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9802" w14:textId="2BF01008" w:rsidR="00CC664F" w:rsidRPr="00AF4D32" w:rsidRDefault="00D66459" w:rsidP="00CC664F">
      <w:pPr>
        <w:rPr>
          <w:b/>
          <w:color w:val="2F5496" w:themeColor="accent5" w:themeShade="BF"/>
          <w:sz w:val="32"/>
          <w:szCs w:val="32"/>
        </w:rPr>
      </w:pPr>
      <w:r w:rsidRPr="00AF4D32">
        <w:rPr>
          <w:b/>
          <w:color w:val="2F5496" w:themeColor="accent5" w:themeShade="BF"/>
          <w:sz w:val="32"/>
          <w:szCs w:val="32"/>
        </w:rPr>
        <w:t>Propazine</w:t>
      </w:r>
      <w:r w:rsidR="00CC664F" w:rsidRPr="00AF4D32">
        <w:rPr>
          <w:b/>
          <w:color w:val="2F5496" w:themeColor="accent5" w:themeShade="BF"/>
          <w:sz w:val="32"/>
          <w:szCs w:val="32"/>
        </w:rPr>
        <w:t xml:space="preserve"> Executive Summary for </w:t>
      </w:r>
      <w:r w:rsidR="00F41F3A" w:rsidRPr="00AF4D32">
        <w:rPr>
          <w:b/>
          <w:color w:val="2F5496" w:themeColor="accent5" w:themeShade="BF"/>
          <w:sz w:val="32"/>
          <w:szCs w:val="32"/>
        </w:rPr>
        <w:t xml:space="preserve">Draft </w:t>
      </w:r>
      <w:r w:rsidR="00B01EBB" w:rsidRPr="00AF4D32">
        <w:rPr>
          <w:b/>
          <w:color w:val="2F5496" w:themeColor="accent5" w:themeShade="BF"/>
          <w:sz w:val="32"/>
          <w:szCs w:val="32"/>
        </w:rPr>
        <w:t>Biological Evaluation</w:t>
      </w:r>
    </w:p>
    <w:p w14:paraId="7768384A" w14:textId="77777777" w:rsidR="00330467" w:rsidRDefault="00330467"/>
    <w:p w14:paraId="400042D2" w14:textId="48362E82" w:rsidR="008322C6" w:rsidRPr="008E0AD0" w:rsidRDefault="00330467" w:rsidP="575D139D">
      <w:r w:rsidRPr="008E0AD0">
        <w:t xml:space="preserve">This </w:t>
      </w:r>
      <w:r w:rsidR="005B5236" w:rsidRPr="008E0AD0">
        <w:t xml:space="preserve">Biological Evaluation </w:t>
      </w:r>
      <w:r w:rsidR="000F2DC8" w:rsidRPr="008E0AD0">
        <w:t xml:space="preserve">(BE) </w:t>
      </w:r>
      <w:r w:rsidR="005B5236" w:rsidRPr="008E0AD0">
        <w:t>assesses</w:t>
      </w:r>
      <w:r w:rsidRPr="008E0AD0">
        <w:t xml:space="preserve"> </w:t>
      </w:r>
      <w:r w:rsidR="008322C6" w:rsidRPr="008E0AD0">
        <w:t xml:space="preserve">potential risks that </w:t>
      </w:r>
      <w:r w:rsidRPr="008E0AD0">
        <w:t xml:space="preserve">registered uses of </w:t>
      </w:r>
      <w:r w:rsidR="00D66459" w:rsidRPr="008E0AD0">
        <w:t>propazine</w:t>
      </w:r>
      <w:r w:rsidR="00DF03C3" w:rsidRPr="008E0AD0">
        <w:t xml:space="preserve"> (PC code 0</w:t>
      </w:r>
      <w:r w:rsidR="00994F37" w:rsidRPr="008E0AD0">
        <w:t>8080</w:t>
      </w:r>
      <w:r w:rsidR="008E0AD0" w:rsidRPr="008E0AD0">
        <w:t>8</w:t>
      </w:r>
      <w:r w:rsidRPr="008E0AD0">
        <w:t xml:space="preserve">) </w:t>
      </w:r>
      <w:r w:rsidR="0026396F" w:rsidRPr="008E0AD0">
        <w:t xml:space="preserve">may </w:t>
      </w:r>
      <w:r w:rsidR="008322C6" w:rsidRPr="008E0AD0">
        <w:t>pose</w:t>
      </w:r>
      <w:r w:rsidR="000F2DC8" w:rsidRPr="008E0AD0">
        <w:t xml:space="preserve"> </w:t>
      </w:r>
      <w:r w:rsidRPr="008E0AD0">
        <w:t xml:space="preserve">to </w:t>
      </w:r>
      <w:r w:rsidR="000F2DC8" w:rsidRPr="008E0AD0">
        <w:t xml:space="preserve">an individual of a </w:t>
      </w:r>
      <w:r w:rsidR="00FF367E" w:rsidRPr="008E0AD0">
        <w:t xml:space="preserve">listed </w:t>
      </w:r>
      <w:r w:rsidRPr="008E0AD0">
        <w:t>species or designated critical habitat</w:t>
      </w:r>
      <w:r w:rsidR="007166BF" w:rsidRPr="008E0AD0">
        <w:t xml:space="preserve">. </w:t>
      </w:r>
      <w:r w:rsidR="0082687E" w:rsidRPr="008E0AD0">
        <w:t xml:space="preserve">The federal action </w:t>
      </w:r>
      <w:r w:rsidR="0026396F" w:rsidRPr="008E0AD0">
        <w:t>considered in this BE is the</w:t>
      </w:r>
      <w:r w:rsidR="0082687E" w:rsidRPr="008E0AD0">
        <w:t xml:space="preserve"> Registration Review for </w:t>
      </w:r>
      <w:r w:rsidR="00D66459" w:rsidRPr="008E0AD0">
        <w:t>propazine</w:t>
      </w:r>
      <w:r w:rsidR="008E0AD0" w:rsidRPr="008E0AD0">
        <w:t>. Registration Review</w:t>
      </w:r>
      <w:r w:rsidR="0082687E" w:rsidRPr="008E0AD0">
        <w:t xml:space="preserve"> encompasses the review of all the registered uses and the approved product labels for all pesticide products containing </w:t>
      </w:r>
      <w:r w:rsidR="00D66459" w:rsidRPr="008E0AD0">
        <w:t>propazine</w:t>
      </w:r>
      <w:bookmarkStart w:id="0" w:name="_Hlk52779401"/>
      <w:r w:rsidR="00522605">
        <w:t>, and</w:t>
      </w:r>
      <w:r w:rsidR="00522605" w:rsidRPr="00C22351">
        <w:t xml:space="preserve"> </w:t>
      </w:r>
      <w:r w:rsidR="00522605" w:rsidRPr="00B67804">
        <w:t>any agreed upon changes to these labels from the technical registrants</w:t>
      </w:r>
      <w:bookmarkEnd w:id="0"/>
      <w:r w:rsidR="0082687E" w:rsidRPr="008E0AD0">
        <w:t>.</w:t>
      </w:r>
    </w:p>
    <w:p w14:paraId="3CE683EE" w14:textId="77777777" w:rsidR="008322C6" w:rsidRPr="008E0AD0" w:rsidRDefault="008322C6" w:rsidP="575D139D"/>
    <w:p w14:paraId="557F5699" w14:textId="74475C2E" w:rsidR="00EB33B0" w:rsidRPr="00B110FB" w:rsidRDefault="000707E4" w:rsidP="575D139D">
      <w:pPr>
        <w:rPr>
          <w:rStyle w:val="eop"/>
        </w:rPr>
      </w:pPr>
      <w:r w:rsidRPr="00B110FB">
        <w:rPr>
          <w:rStyle w:val="eop"/>
        </w:rPr>
        <w:t>The term “l</w:t>
      </w:r>
      <w:r w:rsidR="00FF367E" w:rsidRPr="00B110FB">
        <w:rPr>
          <w:rStyle w:val="eop"/>
        </w:rPr>
        <w:t>isted species</w:t>
      </w:r>
      <w:r w:rsidRPr="00B110FB">
        <w:rPr>
          <w:rStyle w:val="eop"/>
        </w:rPr>
        <w:t>”</w:t>
      </w:r>
      <w:r w:rsidR="00FF367E" w:rsidRPr="00B110FB">
        <w:rPr>
          <w:rStyle w:val="eop"/>
        </w:rPr>
        <w:t xml:space="preserve"> include</w:t>
      </w:r>
      <w:r w:rsidRPr="00B110FB">
        <w:rPr>
          <w:rStyle w:val="eop"/>
        </w:rPr>
        <w:t>s</w:t>
      </w:r>
      <w:r w:rsidR="00FF367E" w:rsidRPr="00B110FB">
        <w:rPr>
          <w:rStyle w:val="eop"/>
        </w:rPr>
        <w:t xml:space="preserve"> those that are federally listed as endangered and threatened, as well as those that are proposed and candidates for listing and experimental populations. </w:t>
      </w:r>
      <w:r w:rsidR="00EB33B0" w:rsidRPr="00B110FB">
        <w:t xml:space="preserve">The methods employed in this BE follow the </w:t>
      </w:r>
      <w:r w:rsidR="00EB33B0" w:rsidRPr="00B110FB">
        <w:rPr>
          <w:rStyle w:val="normaltextrun"/>
        </w:rPr>
        <w:t>Revised Method</w:t>
      </w:r>
      <w:r w:rsidR="00EB33B0" w:rsidRPr="00B110FB">
        <w:rPr>
          <w:rStyle w:val="eop"/>
        </w:rPr>
        <w:t> </w:t>
      </w:r>
      <w:r w:rsidR="00EB33B0" w:rsidRPr="00B110FB">
        <w:rPr>
          <w:rStyle w:val="normaltextrun"/>
        </w:rPr>
        <w:t>for National Level Listed Species Biological Evaluations of Conventional Pesticides</w:t>
      </w:r>
      <w:r w:rsidR="00EB33B0" w:rsidRPr="00B110FB">
        <w:rPr>
          <w:rStyle w:val="eop"/>
        </w:rPr>
        <w:t> (referred to as the “Revised Method”)</w:t>
      </w:r>
      <w:r w:rsidR="00EB33B0" w:rsidRPr="00B110FB">
        <w:rPr>
          <w:rStyle w:val="FootnoteReference"/>
        </w:rPr>
        <w:footnoteReference w:id="2"/>
      </w:r>
      <w:r w:rsidR="00EB33B0" w:rsidRPr="00B110FB">
        <w:rPr>
          <w:rStyle w:val="eop"/>
        </w:rPr>
        <w:t>.</w:t>
      </w:r>
      <w:r w:rsidR="00EB33B0" w:rsidRPr="00B110FB">
        <w:t xml:space="preserve"> The </w:t>
      </w:r>
      <w:r w:rsidR="0026396F" w:rsidRPr="00B110FB">
        <w:t>R</w:t>
      </w:r>
      <w:r w:rsidR="00EB33B0" w:rsidRPr="00B110FB">
        <w:t xml:space="preserve">evised </w:t>
      </w:r>
      <w:r w:rsidR="0026396F" w:rsidRPr="00B110FB">
        <w:t>M</w:t>
      </w:r>
      <w:r w:rsidR="00EB33B0" w:rsidRPr="00B110FB">
        <w:t>ethod incorporates comments from the public, US Fish and Wildlife Service</w:t>
      </w:r>
      <w:r w:rsidR="00A70773" w:rsidRPr="00B110FB">
        <w:t xml:space="preserve"> (FWS)</w:t>
      </w:r>
      <w:r w:rsidR="00EB33B0" w:rsidRPr="00B110FB">
        <w:t xml:space="preserve">, National Marine Fisheries Service </w:t>
      </w:r>
      <w:r w:rsidR="00A70773" w:rsidRPr="00B110FB">
        <w:t xml:space="preserve">(NMFS) </w:t>
      </w:r>
      <w:r w:rsidR="00EB33B0" w:rsidRPr="00B110FB">
        <w:t>and US Department of Agriculture</w:t>
      </w:r>
      <w:r w:rsidR="00A70773" w:rsidRPr="00B110FB">
        <w:t xml:space="preserve"> (USDA)</w:t>
      </w:r>
      <w:r w:rsidR="00EB33B0" w:rsidRPr="00B110FB">
        <w:t>.</w:t>
      </w:r>
    </w:p>
    <w:p w14:paraId="00F34A55" w14:textId="4BB9BE6C" w:rsidR="00CD3692" w:rsidRPr="00B110FB" w:rsidRDefault="00CD3692" w:rsidP="00CD3692"/>
    <w:p w14:paraId="7550FD08" w14:textId="4173F774" w:rsidR="007505C3" w:rsidRDefault="0082687E" w:rsidP="00CE1C66">
      <w:pPr>
        <w:rPr>
          <w:rFonts w:eastAsiaTheme="minorEastAsia"/>
        </w:rPr>
      </w:pPr>
      <w:r w:rsidRPr="00B110FB">
        <w:rPr>
          <w:rStyle w:val="eop"/>
          <w:rFonts w:cstheme="minorHAnsi"/>
        </w:rPr>
        <w:t xml:space="preserve">As described in the Revised Method, </w:t>
      </w:r>
      <w:r w:rsidR="009174AE" w:rsidRPr="00B110FB">
        <w:rPr>
          <w:rStyle w:val="eop"/>
          <w:rFonts w:cstheme="minorHAnsi"/>
        </w:rPr>
        <w:t xml:space="preserve">EPA’s development of this </w:t>
      </w:r>
      <w:r w:rsidR="0026396F" w:rsidRPr="00B110FB">
        <w:rPr>
          <w:rStyle w:val="eop"/>
          <w:rFonts w:cstheme="minorHAnsi"/>
        </w:rPr>
        <w:t>BE includes two steps.</w:t>
      </w:r>
      <w:r w:rsidRPr="00B110FB">
        <w:rPr>
          <w:rStyle w:val="eop"/>
          <w:rFonts w:cstheme="minorHAnsi"/>
        </w:rPr>
        <w:t xml:space="preserve"> </w:t>
      </w:r>
      <w:r w:rsidR="0026396F" w:rsidRPr="00B110FB">
        <w:rPr>
          <w:rStyle w:val="eop"/>
          <w:rFonts w:cstheme="minorHAnsi"/>
        </w:rPr>
        <w:t>The BE includes an evaluation of</w:t>
      </w:r>
      <w:r w:rsidRPr="00B110FB">
        <w:rPr>
          <w:rFonts w:eastAsiaTheme="minorEastAsia"/>
        </w:rPr>
        <w:t xml:space="preserve"> whether an individual of a listed species is reasonably expected to be exposed to a pesticide</w:t>
      </w:r>
      <w:r w:rsidR="009174AE" w:rsidRPr="00B110FB">
        <w:rPr>
          <w:rFonts w:eastAsiaTheme="minorEastAsia"/>
        </w:rPr>
        <w:t xml:space="preserve"> at a level that results in a discernable effect</w:t>
      </w:r>
      <w:r w:rsidRPr="00B110FB">
        <w:rPr>
          <w:rFonts w:eastAsiaTheme="minorEastAsia"/>
        </w:rPr>
        <w:t xml:space="preserv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w:t>
      </w:r>
      <w:r w:rsidR="00D66459" w:rsidRPr="00B110FB">
        <w:rPr>
          <w:rFonts w:eastAsiaTheme="minorEastAsia"/>
        </w:rPr>
        <w:t>propazine</w:t>
      </w:r>
      <w:r w:rsidRPr="00B110FB">
        <w:rPr>
          <w:rFonts w:eastAsiaTheme="minorEastAsia"/>
        </w:rPr>
        <w:t xml:space="preserve"> will have No Effect (NE) or May Affect (MA) (separate determinations made for each species and critical habitat). </w:t>
      </w:r>
      <w:r w:rsidR="0026396F" w:rsidRPr="00B110FB">
        <w:rPr>
          <w:rFonts w:eastAsiaTheme="minorEastAsia"/>
        </w:rPr>
        <w:t>F</w:t>
      </w:r>
      <w:r w:rsidRPr="00B110FB">
        <w:rPr>
          <w:rFonts w:eastAsiaTheme="minorEastAsia"/>
        </w:rPr>
        <w:t xml:space="preserve">or those species and critical habitats with MA determinations, </w:t>
      </w:r>
      <w:r w:rsidR="0026396F" w:rsidRPr="00B110FB">
        <w:rPr>
          <w:rFonts w:eastAsiaTheme="minorEastAsia"/>
        </w:rPr>
        <w:t xml:space="preserve">in Step 2, </w:t>
      </w:r>
      <w:r w:rsidRPr="00B110FB">
        <w:rPr>
          <w:rFonts w:eastAsiaTheme="minorEastAsia"/>
        </w:rPr>
        <w:t xml:space="preserve">EPA will determine if </w:t>
      </w:r>
      <w:r w:rsidR="00D66459" w:rsidRPr="00B110FB">
        <w:rPr>
          <w:rFonts w:eastAsiaTheme="minorEastAsia"/>
        </w:rPr>
        <w:t>propazine</w:t>
      </w:r>
      <w:r w:rsidRPr="00B110FB">
        <w:rPr>
          <w:rFonts w:eastAsiaTheme="minorEastAsia"/>
        </w:rPr>
        <w:t xml:space="preserve"> is Not Likely to Adversely Affect (NLAA) or Likely to Adversely Affect (LAA) each individual species or critical habitat. Details on the method, models and tools used for making NE, NLAA and LAA determinations are provided in the Revised Method</w:t>
      </w:r>
      <w:r w:rsidR="0026396F" w:rsidRPr="00B110FB">
        <w:rPr>
          <w:rFonts w:eastAsiaTheme="minorEastAsia"/>
        </w:rPr>
        <w:t xml:space="preserve"> document</w:t>
      </w:r>
      <w:r w:rsidRPr="00B110FB">
        <w:rPr>
          <w:rFonts w:eastAsiaTheme="minorEastAsia"/>
        </w:rPr>
        <w:t>.</w:t>
      </w:r>
    </w:p>
    <w:p w14:paraId="18E8FFC0" w14:textId="77777777" w:rsidR="00502286" w:rsidRPr="00B110FB" w:rsidRDefault="00502286" w:rsidP="00CE1C66">
      <w:pPr>
        <w:rPr>
          <w:rFonts w:eastAsiaTheme="minorEastAsia"/>
        </w:rPr>
      </w:pPr>
    </w:p>
    <w:p w14:paraId="52A4FB41" w14:textId="77777777" w:rsidR="00C76A8B" w:rsidRPr="00B110FB" w:rsidRDefault="00C76A8B" w:rsidP="00CE1C66"/>
    <w:p w14:paraId="6DC61047" w14:textId="4FB7E17A" w:rsidR="00641ABE" w:rsidRPr="00AF4D32" w:rsidRDefault="00641ABE" w:rsidP="0098319A">
      <w:pPr>
        <w:pStyle w:val="Heading1"/>
        <w:rPr>
          <w:color w:val="2F5496" w:themeColor="accent5" w:themeShade="BF"/>
        </w:rPr>
      </w:pPr>
      <w:r w:rsidRPr="00AF4D32">
        <w:rPr>
          <w:color w:val="2F5496" w:themeColor="accent5" w:themeShade="BF"/>
        </w:rPr>
        <w:t>General Information</w:t>
      </w:r>
    </w:p>
    <w:p w14:paraId="4B0CD0D6" w14:textId="77777777" w:rsidR="00761978" w:rsidRPr="00726B6C" w:rsidRDefault="00761978" w:rsidP="00761978"/>
    <w:p w14:paraId="6E5E942D" w14:textId="45824EC4" w:rsidR="008204F8" w:rsidRPr="00D66459" w:rsidRDefault="00D66459" w:rsidP="0045224D">
      <w:pPr>
        <w:rPr>
          <w:rFonts w:cstheme="minorHAnsi"/>
          <w:highlight w:val="yellow"/>
        </w:rPr>
      </w:pPr>
      <w:r w:rsidRPr="00726B6C">
        <w:rPr>
          <w:rFonts w:cstheme="minorHAnsi"/>
        </w:rPr>
        <w:t>Propazine</w:t>
      </w:r>
      <w:r w:rsidR="00A02B04" w:rsidRPr="00726B6C">
        <w:rPr>
          <w:rFonts w:cstheme="minorHAnsi"/>
        </w:rPr>
        <w:t xml:space="preserve"> is a chlorotriazine herbicide registered in the U.S. to control annual broadleaf and grass weeds</w:t>
      </w:r>
      <w:r w:rsidR="00F849C1" w:rsidRPr="00726B6C">
        <w:rPr>
          <w:rFonts w:cstheme="minorHAnsi"/>
        </w:rPr>
        <w:t xml:space="preserve"> specifically in sorghum crops (</w:t>
      </w:r>
      <w:r w:rsidR="003E3BC1">
        <w:rPr>
          <w:rFonts w:cstheme="minorHAnsi"/>
        </w:rPr>
        <w:t>also referred to as</w:t>
      </w:r>
      <w:r w:rsidR="003E3BC1" w:rsidRPr="00726B6C">
        <w:rPr>
          <w:rFonts w:cstheme="minorHAnsi"/>
        </w:rPr>
        <w:t xml:space="preserve"> </w:t>
      </w:r>
      <w:r w:rsidR="003E3BC1">
        <w:rPr>
          <w:rFonts w:cstheme="minorHAnsi"/>
        </w:rPr>
        <w:t>“</w:t>
      </w:r>
      <w:r w:rsidR="00F849C1" w:rsidRPr="00726B6C">
        <w:rPr>
          <w:rFonts w:cstheme="minorHAnsi"/>
        </w:rPr>
        <w:t>milo</w:t>
      </w:r>
      <w:r w:rsidR="003E3BC1">
        <w:rPr>
          <w:rFonts w:cstheme="minorHAnsi"/>
        </w:rPr>
        <w:t>”</w:t>
      </w:r>
      <w:r w:rsidR="00F849C1" w:rsidRPr="00726B6C">
        <w:rPr>
          <w:rFonts w:cstheme="minorHAnsi"/>
        </w:rPr>
        <w:t>)</w:t>
      </w:r>
      <w:r w:rsidR="00A02B04" w:rsidRPr="00726B6C">
        <w:rPr>
          <w:rFonts w:cstheme="minorHAnsi"/>
        </w:rPr>
        <w:t xml:space="preserve">. </w:t>
      </w:r>
      <w:r w:rsidR="003E3BC1">
        <w:t>Based on commitments from the technical registrant to change product labels, uses of p</w:t>
      </w:r>
      <w:r w:rsidRPr="00726B6C">
        <w:t>ropazine</w:t>
      </w:r>
      <w:r w:rsidR="00A02B04" w:rsidRPr="00726B6C">
        <w:t xml:space="preserve"> </w:t>
      </w:r>
      <w:r w:rsidR="00F849C1" w:rsidRPr="00726B6C">
        <w:t>will only be allowed in Texas, Oklahoma and Kansas</w:t>
      </w:r>
      <w:r w:rsidR="00A02B04" w:rsidRPr="00726B6C">
        <w:t>.</w:t>
      </w:r>
      <w:r w:rsidR="00726B6C" w:rsidRPr="00726B6C">
        <w:t xml:space="preserve"> Based on usage data compiled by EPA’s Office of Pesticide Program’s Biological and Economic Analysis Division (BEAD), approximately 218,400 pounds of propazine are used each year on 308,800 acres of sorghum in Oklahoma, Kansas and Texas (based on a yearly average from 2015 to 2017) (see </w:t>
      </w:r>
      <w:r w:rsidR="00726B6C" w:rsidRPr="00726B6C">
        <w:rPr>
          <w:b/>
        </w:rPr>
        <w:t>APPENDIX</w:t>
      </w:r>
      <w:r w:rsidR="00726B6C" w:rsidRPr="00EE0FAB">
        <w:rPr>
          <w:b/>
        </w:rPr>
        <w:t xml:space="preserve"> 1-4</w:t>
      </w:r>
      <w:r w:rsidR="00726B6C" w:rsidRPr="00EE0FAB">
        <w:t xml:space="preserve"> for details). </w:t>
      </w:r>
    </w:p>
    <w:p w14:paraId="42C3DE1D" w14:textId="77777777" w:rsidR="008204F8" w:rsidRPr="00726B6C" w:rsidRDefault="008204F8" w:rsidP="0045224D">
      <w:pPr>
        <w:rPr>
          <w:rFonts w:cstheme="minorHAnsi"/>
        </w:rPr>
      </w:pPr>
    </w:p>
    <w:p w14:paraId="6A50B12E" w14:textId="24ADB112" w:rsidR="00DF03C3" w:rsidRPr="00726B6C" w:rsidRDefault="003F60A7" w:rsidP="0045224D">
      <w:r w:rsidRPr="00726B6C">
        <w:t xml:space="preserve">This BE </w:t>
      </w:r>
      <w:proofErr w:type="gramStart"/>
      <w:r w:rsidRPr="00726B6C">
        <w:t>assesses</w:t>
      </w:r>
      <w:proofErr w:type="gramEnd"/>
      <w:r w:rsidRPr="00726B6C">
        <w:t xml:space="preserve"> all currently registered labels and any agreed upon changes to these labels from the registrants. </w:t>
      </w:r>
      <w:r w:rsidR="008204F8" w:rsidRPr="00726B6C">
        <w:t>While the current labels may not reflect all the agreed upon changes, the technical registrants have agreed in the form of commitment letter</w:t>
      </w:r>
      <w:r w:rsidR="00266071" w:rsidRPr="00726B6C">
        <w:t>s</w:t>
      </w:r>
      <w:r w:rsidR="008204F8" w:rsidRPr="00726B6C">
        <w:t xml:space="preserve"> (see </w:t>
      </w:r>
      <w:r w:rsidR="008204F8" w:rsidRPr="00726B6C">
        <w:rPr>
          <w:b/>
        </w:rPr>
        <w:t>APPENDIX 1-2</w:t>
      </w:r>
      <w:r w:rsidR="008204F8" w:rsidRPr="00726B6C">
        <w:rPr>
          <w:bCs/>
        </w:rPr>
        <w:t>)</w:t>
      </w:r>
      <w:r w:rsidR="008204F8" w:rsidRPr="00726B6C">
        <w:t xml:space="preserve"> to update the </w:t>
      </w:r>
      <w:r w:rsidR="00D66459" w:rsidRPr="00726B6C">
        <w:t>propazine</w:t>
      </w:r>
      <w:r w:rsidR="008204F8" w:rsidRPr="00726B6C">
        <w:t xml:space="preserve"> formulated product labels to be reflective of the changes (uses summarized in </w:t>
      </w:r>
      <w:r w:rsidR="008204F8" w:rsidRPr="00726B6C">
        <w:rPr>
          <w:b/>
        </w:rPr>
        <w:t>APPENDIX 1-3</w:t>
      </w:r>
      <w:r w:rsidR="008204F8" w:rsidRPr="00726B6C">
        <w:t>).</w:t>
      </w:r>
      <w:r w:rsidRPr="00726B6C">
        <w:t xml:space="preserve"> </w:t>
      </w:r>
      <w:r w:rsidR="008204F8" w:rsidRPr="00726B6C">
        <w:t xml:space="preserve">Major changes in the commitment letters include restriction of applications to </w:t>
      </w:r>
      <w:r w:rsidR="00726B6C" w:rsidRPr="00726B6C">
        <w:t>Texas, Oklahoma and Kansas</w:t>
      </w:r>
      <w:r w:rsidR="008204F8" w:rsidRPr="00726B6C">
        <w:t xml:space="preserve"> </w:t>
      </w:r>
      <w:r w:rsidR="008204F8" w:rsidRPr="00726B6C">
        <w:lastRenderedPageBreak/>
        <w:t>only</w:t>
      </w:r>
      <w:r w:rsidR="00266071" w:rsidRPr="00726B6C">
        <w:t xml:space="preserve">, </w:t>
      </w:r>
      <w:r w:rsidR="008204F8" w:rsidRPr="00726B6C">
        <w:t xml:space="preserve">and implementation of new buffers and mandatory spray drift language (see </w:t>
      </w:r>
      <w:r w:rsidR="008204F8" w:rsidRPr="00726B6C">
        <w:rPr>
          <w:b/>
          <w:bCs/>
        </w:rPr>
        <w:t>APPENDIX</w:t>
      </w:r>
      <w:r w:rsidR="008204F8" w:rsidRPr="00726B6C">
        <w:t xml:space="preserve"> 1-2 for specific details). </w:t>
      </w:r>
      <w:r w:rsidR="00D66459" w:rsidRPr="00726B6C">
        <w:t>Propazine</w:t>
      </w:r>
      <w:r w:rsidR="00A02B04" w:rsidRPr="00726B6C">
        <w:t xml:space="preserve"> may be applied by ground</w:t>
      </w:r>
      <w:r w:rsidR="00726B6C" w:rsidRPr="00726B6C">
        <w:t xml:space="preserve"> and aerial</w:t>
      </w:r>
      <w:r w:rsidR="00A02B04" w:rsidRPr="00726B6C">
        <w:t xml:space="preserve"> broadcast</w:t>
      </w:r>
      <w:r w:rsidR="00726B6C" w:rsidRPr="00726B6C">
        <w:t>.</w:t>
      </w:r>
    </w:p>
    <w:p w14:paraId="03444C95" w14:textId="77777777" w:rsidR="0061209B" w:rsidRPr="00D66459" w:rsidRDefault="0061209B" w:rsidP="0045224D">
      <w:pPr>
        <w:rPr>
          <w:highlight w:val="yellow"/>
        </w:rPr>
      </w:pPr>
    </w:p>
    <w:p w14:paraId="2513319B" w14:textId="536A514F" w:rsidR="00A02B04" w:rsidRPr="00D66459" w:rsidRDefault="00094AF4" w:rsidP="00A02B04">
      <w:pPr>
        <w:rPr>
          <w:highlight w:val="yellow"/>
        </w:rPr>
      </w:pPr>
      <w:r w:rsidRPr="00094AF4">
        <w:t>The major transport routes off the treated area for propazine include runoff and spray drift.</w:t>
      </w:r>
      <w:r>
        <w:t xml:space="preserve"> </w:t>
      </w:r>
      <w:r w:rsidRPr="00094AF4">
        <w:t>Propazine is expected to be moderately persistent and mobile (according to the Food and Agricultural Organization (FAO) mobility classification system</w:t>
      </w:r>
      <w:r w:rsidRPr="00094AF4">
        <w:rPr>
          <w:rStyle w:val="FootnoteReference"/>
        </w:rPr>
        <w:footnoteReference w:id="3"/>
      </w:r>
      <w:r w:rsidRPr="00094AF4">
        <w:t xml:space="preserve">) in most soils, and it is resistant to breakdown by hydrolysis, photolysis, or biodegradation. </w:t>
      </w:r>
      <w:r>
        <w:rPr>
          <w:rStyle w:val="normaltextrun"/>
          <w:rFonts w:ascii="Calibri" w:hAnsi="Calibri" w:cs="Calibri"/>
          <w:color w:val="000000"/>
          <w:bdr w:val="none" w:sz="0" w:space="0" w:color="auto" w:frame="1"/>
        </w:rPr>
        <w:t xml:space="preserve">Propazine is also </w:t>
      </w:r>
      <w:proofErr w:type="gramStart"/>
      <w:r>
        <w:rPr>
          <w:rStyle w:val="normaltextrun"/>
          <w:rFonts w:ascii="Calibri" w:hAnsi="Calibri" w:cs="Calibri"/>
          <w:color w:val="000000"/>
          <w:bdr w:val="none" w:sz="0" w:space="0" w:color="auto" w:frame="1"/>
        </w:rPr>
        <w:t>fairly stable</w:t>
      </w:r>
      <w:proofErr w:type="gramEnd"/>
      <w:r>
        <w:rPr>
          <w:rStyle w:val="normaltextrun"/>
          <w:rFonts w:ascii="Calibri" w:hAnsi="Calibri" w:cs="Calibri"/>
          <w:color w:val="000000"/>
          <w:bdr w:val="none" w:sz="0" w:space="0" w:color="auto" w:frame="1"/>
        </w:rPr>
        <w:t xml:space="preserve"> </w:t>
      </w:r>
      <w:r w:rsidR="00D9534F">
        <w:rPr>
          <w:rStyle w:val="normaltextrun"/>
          <w:rFonts w:ascii="Calibri" w:hAnsi="Calibri" w:cs="Calibri"/>
          <w:color w:val="000000"/>
          <w:bdr w:val="none" w:sz="0" w:space="0" w:color="auto" w:frame="1"/>
        </w:rPr>
        <w:t xml:space="preserve">(e.g., half-lives on the order of months to years) </w:t>
      </w:r>
      <w:r>
        <w:rPr>
          <w:rStyle w:val="normaltextrun"/>
          <w:rFonts w:ascii="Calibri" w:hAnsi="Calibri" w:cs="Calibri"/>
          <w:color w:val="000000"/>
          <w:bdr w:val="none" w:sz="0" w:space="0" w:color="auto" w:frame="1"/>
        </w:rPr>
        <w:t xml:space="preserve">under aerobic and anaerobic aquatic metabolism. </w:t>
      </w:r>
      <w:r w:rsidRPr="00094AF4">
        <w:rPr>
          <w:rStyle w:val="normaltextrun"/>
          <w:rFonts w:ascii="Calibri" w:hAnsi="Calibri" w:cs="Calibri"/>
          <w:color w:val="000000"/>
          <w:bdr w:val="none" w:sz="0" w:space="0" w:color="auto" w:frame="1"/>
        </w:rPr>
        <w:t>The mobility of propazine is also noted in the supplemental terrestrial field dissipation studies, suggesting that propazine persists in the upper 6 inches and may leach to ground water. Therefore, the use of propazine may result in groundwater and/or surface water contamination in areas where soils are highly permeable, the water table is shallow, or where there is irrigation and/or high rainfall which promote runoff. Volatility and air photolysis are not expected to be major routes of dissipation due to the low vapor pressure (2.9 x 10</w:t>
      </w:r>
      <w:r w:rsidRPr="00094AF4">
        <w:rPr>
          <w:rStyle w:val="normaltextrun"/>
          <w:rFonts w:ascii="Calibri" w:hAnsi="Calibri" w:cs="Calibri"/>
          <w:color w:val="000000"/>
          <w:bdr w:val="none" w:sz="0" w:space="0" w:color="auto" w:frame="1"/>
          <w:vertAlign w:val="superscript"/>
        </w:rPr>
        <w:t>-8</w:t>
      </w:r>
      <w:r w:rsidRPr="00094AF4">
        <w:rPr>
          <w:rStyle w:val="normaltextrun"/>
          <w:rFonts w:ascii="Calibri" w:hAnsi="Calibri" w:cs="Calibri"/>
          <w:color w:val="000000"/>
          <w:bdr w:val="none" w:sz="0" w:space="0" w:color="auto" w:frame="1"/>
        </w:rPr>
        <w:t xml:space="preserve"> torr at 20 °C).  Additional details on the fate of propazine are provided in </w:t>
      </w:r>
      <w:r w:rsidRPr="00094AF4">
        <w:rPr>
          <w:rStyle w:val="normaltextrun"/>
          <w:rFonts w:ascii="Calibri" w:hAnsi="Calibri" w:cs="Calibri"/>
          <w:b/>
          <w:bCs/>
          <w:color w:val="000000"/>
          <w:bdr w:val="none" w:sz="0" w:space="0" w:color="auto" w:frame="1"/>
        </w:rPr>
        <w:t>Chapter 3</w:t>
      </w:r>
      <w:r w:rsidRPr="00094AF4">
        <w:rPr>
          <w:rStyle w:val="normaltextrun"/>
          <w:rFonts w:ascii="Calibri" w:hAnsi="Calibri" w:cs="Calibri"/>
          <w:color w:val="000000"/>
          <w:bdr w:val="none" w:sz="0" w:space="0" w:color="auto" w:frame="1"/>
        </w:rPr>
        <w:t xml:space="preserve"> of the Biological Evaluation. </w:t>
      </w:r>
      <w:r w:rsidR="00146F07">
        <w:t xml:space="preserve">Residues of concern are discussed in </w:t>
      </w:r>
      <w:r w:rsidR="00146F07" w:rsidRPr="005426A4">
        <w:rPr>
          <w:b/>
          <w:bCs/>
        </w:rPr>
        <w:t>APPENDIX 1-8</w:t>
      </w:r>
      <w:r w:rsidR="00146F07">
        <w:t>.</w:t>
      </w:r>
      <w:r w:rsidRPr="00094AF4">
        <w:rPr>
          <w:rStyle w:val="normaltextrun"/>
          <w:rFonts w:ascii="Calibri" w:hAnsi="Calibri" w:cs="Calibri"/>
          <w:color w:val="000000"/>
          <w:bdr w:val="none" w:sz="0" w:space="0" w:color="auto" w:frame="1"/>
        </w:rPr>
        <w:t xml:space="preserve"> </w:t>
      </w:r>
    </w:p>
    <w:p w14:paraId="2AA0BC6C" w14:textId="77777777" w:rsidR="00761978" w:rsidRPr="00726B6C" w:rsidRDefault="00761978" w:rsidP="0045224D"/>
    <w:p w14:paraId="03572680" w14:textId="52A231EC" w:rsidR="00A02B04" w:rsidRPr="00726B6C" w:rsidRDefault="00A02B04" w:rsidP="008C01AA">
      <w:pPr>
        <w:rPr>
          <w:rFonts w:cstheme="minorHAnsi"/>
        </w:rPr>
      </w:pPr>
      <w:proofErr w:type="gramStart"/>
      <w:r w:rsidRPr="00726B6C">
        <w:rPr>
          <w:rFonts w:cstheme="minorHAnsi"/>
        </w:rPr>
        <w:t>Similar to</w:t>
      </w:r>
      <w:proofErr w:type="gramEnd"/>
      <w:r w:rsidRPr="00726B6C">
        <w:rPr>
          <w:rFonts w:cstheme="minorHAnsi"/>
        </w:rPr>
        <w:t xml:space="preserve"> the other chlor</w:t>
      </w:r>
      <w:r w:rsidR="0041687E">
        <w:rPr>
          <w:rFonts w:cstheme="minorHAnsi"/>
        </w:rPr>
        <w:t>o</w:t>
      </w:r>
      <w:r w:rsidRPr="00726B6C">
        <w:rPr>
          <w:rFonts w:cstheme="minorHAnsi"/>
        </w:rPr>
        <w:t>triazine herbicides with current registrations in the United States (</w:t>
      </w:r>
      <w:r w:rsidR="00726B6C" w:rsidRPr="00726B6C">
        <w:rPr>
          <w:rFonts w:cstheme="minorHAnsi"/>
        </w:rPr>
        <w:t>simazine</w:t>
      </w:r>
      <w:r w:rsidR="00023101">
        <w:rPr>
          <w:rFonts w:cstheme="minorHAnsi"/>
        </w:rPr>
        <w:t xml:space="preserve"> and </w:t>
      </w:r>
      <w:r w:rsidRPr="00726B6C">
        <w:rPr>
          <w:rFonts w:cstheme="minorHAnsi"/>
        </w:rPr>
        <w:t xml:space="preserve">atrazine), </w:t>
      </w:r>
      <w:r w:rsidR="00D66459" w:rsidRPr="00726B6C">
        <w:rPr>
          <w:rFonts w:cstheme="minorHAnsi"/>
        </w:rPr>
        <w:t>propazine</w:t>
      </w:r>
      <w:r w:rsidRPr="00726B6C">
        <w:rPr>
          <w:rFonts w:cstheme="minorHAnsi"/>
        </w:rPr>
        <w:t xml:space="preserve"> works by binding with a protein complex of the photosystem II in chloroplast photosynthetic membranes (Schulz </w:t>
      </w:r>
      <w:r w:rsidRPr="00A900D8">
        <w:rPr>
          <w:rFonts w:cstheme="minorHAnsi"/>
          <w:i/>
          <w:iCs/>
        </w:rPr>
        <w:t>et al</w:t>
      </w:r>
      <w:r w:rsidRPr="00726B6C">
        <w:rPr>
          <w:rFonts w:cstheme="minorHAnsi"/>
        </w:rPr>
        <w:t>., 1990).</w:t>
      </w:r>
      <w:r w:rsidR="008C01AA" w:rsidRPr="00726B6C">
        <w:rPr>
          <w:rFonts w:cstheme="minorHAnsi"/>
        </w:rPr>
        <w:t xml:space="preserve"> The result is an inhibition in the transfer of electrons through the light reactions of photosynthesis that in turn inhibits the formation and release of oxygen, production of adenosine triphosphate, and the fixation of carbon dioxide into sugars. </w:t>
      </w:r>
      <w:r w:rsidR="008204F8" w:rsidRPr="00726B6C">
        <w:rPr>
          <w:rFonts w:cstheme="minorHAnsi"/>
        </w:rPr>
        <w:t xml:space="preserve"> Plant death results from starvation and oxidative damage caused by the breakdown in photosynthesis. </w:t>
      </w:r>
      <w:r w:rsidR="008C01AA" w:rsidRPr="00726B6C">
        <w:rPr>
          <w:rFonts w:cstheme="minorHAnsi"/>
        </w:rPr>
        <w:t xml:space="preserve">The three </w:t>
      </w:r>
      <w:r w:rsidRPr="00726B6C">
        <w:rPr>
          <w:rFonts w:cstheme="minorHAnsi"/>
        </w:rPr>
        <w:t>chlorotriazines result in similar herbicidal effects to terrestrial and aquatic plants. </w:t>
      </w:r>
    </w:p>
    <w:p w14:paraId="3B4C90AE" w14:textId="77777777" w:rsidR="00A02B04" w:rsidRPr="00726B6C" w:rsidRDefault="00A02B04" w:rsidP="0045224D">
      <w:pPr>
        <w:rPr>
          <w:rFonts w:ascii="Calibri" w:eastAsia="Calibri" w:hAnsi="Calibri" w:cs="Calibri"/>
          <w:color w:val="000000"/>
        </w:rPr>
      </w:pPr>
    </w:p>
    <w:p w14:paraId="64F00F28" w14:textId="140188D1" w:rsidR="00D8211E" w:rsidRDefault="00D66459" w:rsidP="0045224D">
      <w:r w:rsidRPr="00726B6C">
        <w:t>Propazine</w:t>
      </w:r>
      <w:r w:rsidR="008C01AA" w:rsidRPr="00726B6C">
        <w:t xml:space="preserve"> is </w:t>
      </w:r>
      <w:r w:rsidR="008C01AA" w:rsidRPr="00726B6C" w:rsidDel="00DC2F11">
        <w:t xml:space="preserve">practically non-toxic </w:t>
      </w:r>
      <w:r w:rsidR="008C01AA" w:rsidRPr="00726B6C">
        <w:t xml:space="preserve">to </w:t>
      </w:r>
      <w:r w:rsidR="00F60A85">
        <w:t>animal taxa</w:t>
      </w:r>
      <w:r w:rsidR="008C01AA" w:rsidRPr="00726B6C">
        <w:t xml:space="preserve"> on an acute exposure basis. In most terrestrial animal species, sublethal effects are the predominant concern and are discussed further below. In both terrestrial and aquatic animals,</w:t>
      </w:r>
      <w:r w:rsidR="00CA023E" w:rsidRPr="00726B6C">
        <w:t xml:space="preserve"> </w:t>
      </w:r>
      <w:r w:rsidRPr="00726B6C">
        <w:t>propazine</w:t>
      </w:r>
      <w:r w:rsidR="00B32F80" w:rsidRPr="00726B6C">
        <w:t xml:space="preserve"> demonstrate</w:t>
      </w:r>
      <w:r w:rsidR="008C01AA" w:rsidRPr="00726B6C">
        <w:t>s</w:t>
      </w:r>
      <w:r w:rsidR="00B32F80" w:rsidRPr="00726B6C">
        <w:t xml:space="preserve"> a variety of growth and reproductive effects at a range of </w:t>
      </w:r>
      <w:r w:rsidR="00A217A1" w:rsidRPr="00726B6C">
        <w:t xml:space="preserve">chronic </w:t>
      </w:r>
      <w:r w:rsidR="00B32F80" w:rsidRPr="00726B6C">
        <w:t>exposure</w:t>
      </w:r>
      <w:r w:rsidR="00A217A1" w:rsidRPr="00726B6C">
        <w:t xml:space="preserve"> </w:t>
      </w:r>
      <w:r w:rsidR="00B32F80" w:rsidRPr="00726B6C">
        <w:t xml:space="preserve">concentrations. </w:t>
      </w:r>
      <w:r w:rsidRPr="00726B6C">
        <w:t>Propazine</w:t>
      </w:r>
      <w:r w:rsidR="00550153" w:rsidRPr="00726B6C">
        <w:t xml:space="preserve"> has demonstrated adverse effects on </w:t>
      </w:r>
      <w:r w:rsidR="00675167" w:rsidRPr="00726B6C">
        <w:t xml:space="preserve">growth to </w:t>
      </w:r>
      <w:r w:rsidR="00550153" w:rsidRPr="00726B6C">
        <w:t>both vascular and non-vascular aquatic plants</w:t>
      </w:r>
      <w:r w:rsidR="00675167" w:rsidRPr="00726B6C">
        <w:t xml:space="preserve"> as well as terrestrial plants. </w:t>
      </w:r>
      <w:r w:rsidR="00092FF0" w:rsidRPr="00726B6C">
        <w:t xml:space="preserve">There are </w:t>
      </w:r>
      <w:r w:rsidR="00F60A85">
        <w:t xml:space="preserve">no reliably </w:t>
      </w:r>
      <w:r w:rsidR="00783B1B" w:rsidRPr="00726B6C">
        <w:t xml:space="preserve">reported ecological </w:t>
      </w:r>
      <w:r w:rsidR="00092FF0" w:rsidRPr="00726B6C">
        <w:t xml:space="preserve">incidents involving </w:t>
      </w:r>
      <w:r w:rsidRPr="00726B6C">
        <w:t>propazine</w:t>
      </w:r>
      <w:r w:rsidR="00092FF0" w:rsidRPr="00726B6C">
        <w:t xml:space="preserve"> use </w:t>
      </w:r>
      <w:r w:rsidR="003A6483" w:rsidRPr="00726B6C">
        <w:t>for</w:t>
      </w:r>
      <w:r w:rsidR="00092FF0" w:rsidRPr="00726B6C">
        <w:t xml:space="preserve"> birds, mammals, </w:t>
      </w:r>
      <w:r w:rsidR="008C01AA" w:rsidRPr="00726B6C">
        <w:t xml:space="preserve">fish, </w:t>
      </w:r>
      <w:r w:rsidR="00092FF0" w:rsidRPr="00726B6C">
        <w:t>terrestrial invertebrates, and terrestria</w:t>
      </w:r>
      <w:r w:rsidR="008C01AA" w:rsidRPr="00726B6C">
        <w:t>l</w:t>
      </w:r>
      <w:r w:rsidR="00092FF0" w:rsidRPr="00726B6C">
        <w:t xml:space="preserve"> plants</w:t>
      </w:r>
      <w:r w:rsidR="00A217A1" w:rsidRPr="00726B6C">
        <w:t>. More details on the available toxicity data and incident reports are provided</w:t>
      </w:r>
      <w:r w:rsidR="00092FF0" w:rsidRPr="00726B6C">
        <w:t xml:space="preserve"> in </w:t>
      </w:r>
      <w:r w:rsidR="00092FF0" w:rsidRPr="00726B6C">
        <w:rPr>
          <w:b/>
          <w:bCs/>
        </w:rPr>
        <w:t>Chapter 2</w:t>
      </w:r>
      <w:r w:rsidR="00092FF0" w:rsidRPr="00726B6C">
        <w:t>.</w:t>
      </w:r>
    </w:p>
    <w:p w14:paraId="19EA7F63" w14:textId="77777777" w:rsidR="007F713D" w:rsidRPr="00726B6C" w:rsidRDefault="007F713D" w:rsidP="0045224D"/>
    <w:p w14:paraId="451D8CB4" w14:textId="77777777" w:rsidR="005721BD" w:rsidRPr="00AF4D32" w:rsidRDefault="005721BD" w:rsidP="0045224D">
      <w:pPr>
        <w:rPr>
          <w:rFonts w:ascii="Calibri" w:eastAsia="Calibri" w:hAnsi="Calibri" w:cs="Calibri"/>
          <w:color w:val="2F5496" w:themeColor="accent5" w:themeShade="BF"/>
        </w:rPr>
      </w:pPr>
    </w:p>
    <w:p w14:paraId="48B45DA5" w14:textId="207019F9" w:rsidR="00E91586" w:rsidRPr="00AF4D32" w:rsidRDefault="00E91586" w:rsidP="0098319A">
      <w:pPr>
        <w:pStyle w:val="Heading1"/>
        <w:rPr>
          <w:color w:val="2F5496" w:themeColor="accent5" w:themeShade="BF"/>
        </w:rPr>
      </w:pPr>
      <w:r w:rsidRPr="00AF4D32">
        <w:rPr>
          <w:color w:val="2F5496" w:themeColor="accent5" w:themeShade="BF"/>
        </w:rPr>
        <w:t xml:space="preserve">Exposure </w:t>
      </w:r>
      <w:r w:rsidR="00033DB4" w:rsidRPr="00AF4D32">
        <w:rPr>
          <w:color w:val="2F5496" w:themeColor="accent5" w:themeShade="BF"/>
        </w:rPr>
        <w:t>Methods</w:t>
      </w:r>
    </w:p>
    <w:p w14:paraId="54ABB624" w14:textId="77777777" w:rsidR="00E91586" w:rsidRPr="00F60A85" w:rsidRDefault="00E91586" w:rsidP="0045224D"/>
    <w:p w14:paraId="4938168C" w14:textId="5425BB0D" w:rsidR="00C633D9" w:rsidRDefault="004D0F93" w:rsidP="0045224D">
      <w:r w:rsidRPr="00F60A85">
        <w:t xml:space="preserve">Exposure </w:t>
      </w:r>
      <w:r w:rsidR="00607C24" w:rsidRPr="00F60A85">
        <w:t xml:space="preserve">estimates </w:t>
      </w:r>
      <w:r w:rsidRPr="00F60A85">
        <w:t xml:space="preserve">are based primarily on fate and transport model results. </w:t>
      </w:r>
      <w:r w:rsidR="00525490" w:rsidRPr="00F60A85">
        <w:rPr>
          <w:rFonts w:cs="Times New Roman"/>
        </w:rPr>
        <w:t xml:space="preserve">Aquatic exposures (surface water and benthic sediment pore water) are quantitatively estimated for representative </w:t>
      </w:r>
      <w:r w:rsidR="00D66459" w:rsidRPr="00F60A85">
        <w:rPr>
          <w:rFonts w:cs="Times New Roman"/>
        </w:rPr>
        <w:t>propazine</w:t>
      </w:r>
      <w:r w:rsidR="00525490" w:rsidRPr="00F60A85">
        <w:rPr>
          <w:rFonts w:cs="Times New Roman"/>
        </w:rPr>
        <w:t xml:space="preserve"> uses in specific geographic regions within generic habitats (referred to as bins) using the </w:t>
      </w:r>
      <w:r w:rsidR="00525490" w:rsidRPr="00F60A85">
        <w:t>Pesticide Root Zone Model (PRZM) and the Variable Volume Water Model (VVWM)</w:t>
      </w:r>
      <w:r w:rsidR="00525490" w:rsidRPr="00F60A85">
        <w:rPr>
          <w:rStyle w:val="FootnoteReference"/>
        </w:rPr>
        <w:footnoteReference w:id="4"/>
      </w:r>
      <w:r w:rsidR="00525490" w:rsidRPr="00F60A85">
        <w:t xml:space="preserve"> in the Pesticides in Water Calculator (PWC). Aquatic exposure results for the bin(s) most appropriate for the species and/or critical habitat </w:t>
      </w:r>
      <w:r w:rsidR="00607C24" w:rsidRPr="00F60A85">
        <w:lastRenderedPageBreak/>
        <w:t xml:space="preserve">are discussed in </w:t>
      </w:r>
      <w:r w:rsidR="00525490" w:rsidRPr="00F60A85">
        <w:rPr>
          <w:b/>
        </w:rPr>
        <w:t>Chapter 3</w:t>
      </w:r>
      <w:r w:rsidR="00525490" w:rsidRPr="00F60A85">
        <w:t>. </w:t>
      </w:r>
      <w:r w:rsidR="00F53333" w:rsidRPr="00F60A85">
        <w:t xml:space="preserve">Also discussed in </w:t>
      </w:r>
      <w:r w:rsidR="00F53333" w:rsidRPr="00F60A85">
        <w:rPr>
          <w:b/>
          <w:bCs/>
        </w:rPr>
        <w:t>Chapter 3</w:t>
      </w:r>
      <w:r w:rsidR="00F53333" w:rsidRPr="00F60A85">
        <w:t xml:space="preserve"> are available water monitoring data for </w:t>
      </w:r>
      <w:r w:rsidR="00D66459" w:rsidRPr="00F60A85">
        <w:t>propazine</w:t>
      </w:r>
      <w:r w:rsidR="00F53333" w:rsidRPr="00F60A85">
        <w:t xml:space="preserve">. </w:t>
      </w:r>
      <w:r w:rsidR="00303775" w:rsidRPr="00F60A85">
        <w:t>For terrestrial exposures, existing models [</w:t>
      </w:r>
      <w:r w:rsidR="008204F8" w:rsidRPr="00F60A85">
        <w:rPr>
          <w:i/>
        </w:rPr>
        <w:t>i.e.</w:t>
      </w:r>
      <w:r w:rsidR="00303775" w:rsidRPr="00F60A85">
        <w:t xml:space="preserve">, </w:t>
      </w:r>
      <w:proofErr w:type="spellStart"/>
      <w:r w:rsidR="00303775" w:rsidRPr="00F60A85">
        <w:t>AgDRIFT</w:t>
      </w:r>
      <w:proofErr w:type="spellEnd"/>
      <w:r w:rsidR="00303775" w:rsidRPr="00F60A85">
        <w:t>, earthworm fugacity model, Terrestrial Herpetofaunal Exposure Residue Program Simulation (T-HERPS), Terrestrial Residue Exposure model (T-REX) and portions of the Terrestrial Investigation Model (TIM)] were combined and modified into a single tool that is referred to as the MAGTool (</w:t>
      </w:r>
      <w:r w:rsidR="00303775" w:rsidRPr="00F60A85">
        <w:rPr>
          <w:b/>
        </w:rPr>
        <w:t>Chapter 4</w:t>
      </w:r>
      <w:r w:rsidR="00303775" w:rsidRPr="00F60A85">
        <w:t xml:space="preserve">). </w:t>
      </w:r>
      <w:r w:rsidR="00C932E3" w:rsidRPr="00F60A85">
        <w:t xml:space="preserve">This assessment replaces EPA’s </w:t>
      </w:r>
      <w:proofErr w:type="spellStart"/>
      <w:r w:rsidR="00C932E3" w:rsidRPr="00F60A85">
        <w:t>TerrPlant</w:t>
      </w:r>
      <w:proofErr w:type="spellEnd"/>
      <w:r w:rsidR="00C932E3" w:rsidRPr="00F60A85">
        <w:t xml:space="preserve"> model with the Plant Assessment Tool (PAT), the latter is a more refined exposure model for terrestrial, wetland and aquatic plants.</w:t>
      </w:r>
    </w:p>
    <w:p w14:paraId="4685C381" w14:textId="77777777" w:rsidR="007F713D" w:rsidRPr="00F60A85" w:rsidRDefault="007F713D" w:rsidP="0045224D"/>
    <w:p w14:paraId="6C08764A" w14:textId="77777777" w:rsidR="00DC04D5" w:rsidRPr="00F60A85" w:rsidRDefault="00DC04D5" w:rsidP="0045224D"/>
    <w:p w14:paraId="04280AA5" w14:textId="312B87B5" w:rsidR="00CF1313" w:rsidRPr="00AF4D32" w:rsidRDefault="00033DB4" w:rsidP="0098319A">
      <w:pPr>
        <w:pStyle w:val="Heading1"/>
        <w:rPr>
          <w:color w:val="2F5496" w:themeColor="accent5" w:themeShade="BF"/>
        </w:rPr>
      </w:pPr>
      <w:r w:rsidRPr="00AF4D32">
        <w:rPr>
          <w:color w:val="2F5496" w:themeColor="accent5" w:themeShade="BF"/>
        </w:rPr>
        <w:t>O</w:t>
      </w:r>
      <w:r w:rsidR="00C633D9" w:rsidRPr="00AF4D32">
        <w:rPr>
          <w:color w:val="2F5496" w:themeColor="accent5" w:themeShade="BF"/>
        </w:rPr>
        <w:t xml:space="preserve">verlap </w:t>
      </w:r>
      <w:r w:rsidRPr="00AF4D32">
        <w:rPr>
          <w:color w:val="2F5496" w:themeColor="accent5" w:themeShade="BF"/>
        </w:rPr>
        <w:t>A</w:t>
      </w:r>
      <w:r w:rsidR="00C633D9" w:rsidRPr="00AF4D32">
        <w:rPr>
          <w:color w:val="2F5496" w:themeColor="accent5" w:themeShade="BF"/>
        </w:rPr>
        <w:t>nalys</w:t>
      </w:r>
      <w:r w:rsidRPr="00AF4D32">
        <w:rPr>
          <w:color w:val="2F5496" w:themeColor="accent5" w:themeShade="BF"/>
        </w:rPr>
        <w:t>e</w:t>
      </w:r>
      <w:r w:rsidR="00C633D9" w:rsidRPr="00AF4D32">
        <w:rPr>
          <w:color w:val="2F5496" w:themeColor="accent5" w:themeShade="BF"/>
        </w:rPr>
        <w:t>s</w:t>
      </w:r>
    </w:p>
    <w:p w14:paraId="5ABFACB4" w14:textId="77777777" w:rsidR="00607C24" w:rsidRPr="00F60A85" w:rsidRDefault="00607C24"/>
    <w:p w14:paraId="51738D4B" w14:textId="2B3DCF9A" w:rsidR="007667F0" w:rsidRDefault="007667F0">
      <w:r w:rsidRPr="00F60A85">
        <w:t xml:space="preserve">Step 1 of the </w:t>
      </w:r>
      <w:r w:rsidR="00A70773" w:rsidRPr="00F60A85">
        <w:t>BE</w:t>
      </w:r>
      <w:r w:rsidRPr="00F60A85">
        <w:t xml:space="preserve"> </w:t>
      </w:r>
      <w:r w:rsidR="00C340DE" w:rsidRPr="00F60A85">
        <w:t>involves</w:t>
      </w:r>
      <w:r w:rsidRPr="00F60A85">
        <w:t xml:space="preserve"> an analysis of the potential overlap of the action area and individual species ranges </w:t>
      </w:r>
      <w:r w:rsidR="00F02672" w:rsidRPr="00F60A85">
        <w:t xml:space="preserve">and </w:t>
      </w:r>
      <w:r w:rsidRPr="00F60A85">
        <w:t xml:space="preserve">critical habitat. The action area was derived in ArcGIS 10.7 by combining the data layers representative of </w:t>
      </w:r>
      <w:r w:rsidR="00D66459" w:rsidRPr="00F60A85">
        <w:t>propazine</w:t>
      </w:r>
      <w:r w:rsidRPr="00F60A85">
        <w:t xml:space="preserve"> uses and then buffering them out to the off-site transport distance estimated using the AgDRIFT model (</w:t>
      </w:r>
      <w:r w:rsidRPr="00F60A85">
        <w:rPr>
          <w:b/>
        </w:rPr>
        <w:t>A</w:t>
      </w:r>
      <w:r w:rsidR="00ED0D37" w:rsidRPr="00F60A85">
        <w:rPr>
          <w:b/>
        </w:rPr>
        <w:t>PPENDIX</w:t>
      </w:r>
      <w:r w:rsidRPr="00F60A85">
        <w:rPr>
          <w:b/>
        </w:rPr>
        <w:t xml:space="preserve"> 1-6</w:t>
      </w:r>
      <w:r w:rsidRPr="00F60A85">
        <w:t>). The overlaps of action area and individual species</w:t>
      </w:r>
      <w:r w:rsidR="002C5413" w:rsidRPr="00F60A85">
        <w:t>’</w:t>
      </w:r>
      <w:r w:rsidRPr="00F60A85">
        <w:t xml:space="preserve"> ranges or critical habitats were calculated. This analysis used spatial data of species’ ranges and </w:t>
      </w:r>
      <w:r w:rsidR="003732B9">
        <w:t xml:space="preserve">critical </w:t>
      </w:r>
      <w:r w:rsidRPr="00F60A85">
        <w:t xml:space="preserve">habitats from the </w:t>
      </w:r>
      <w:r w:rsidR="0041687E" w:rsidRPr="000C6A3E">
        <w:t xml:space="preserve">FWS and </w:t>
      </w:r>
      <w:r w:rsidRPr="00F60A85">
        <w:t>NMFS. In the contiguous United States</w:t>
      </w:r>
      <w:r w:rsidR="00B04AA7" w:rsidRPr="00F60A85">
        <w:t xml:space="preserve"> (</w:t>
      </w:r>
      <w:proofErr w:type="spellStart"/>
      <w:r w:rsidR="00B04AA7" w:rsidRPr="00F60A85">
        <w:t>ConUS</w:t>
      </w:r>
      <w:proofErr w:type="spellEnd"/>
      <w:r w:rsidR="00B04AA7" w:rsidRPr="00F60A85">
        <w:t>)</w:t>
      </w:r>
      <w:r w:rsidRPr="00F60A85">
        <w:t>, agricultural potential use sites are represented using the USDA Crop Data Layer (CDL) (</w:t>
      </w:r>
      <w:r w:rsidRPr="00F60A85">
        <w:rPr>
          <w:b/>
        </w:rPr>
        <w:t>A</w:t>
      </w:r>
      <w:r w:rsidR="00ED0D37" w:rsidRPr="00F60A85">
        <w:rPr>
          <w:b/>
        </w:rPr>
        <w:t>PPENDIX</w:t>
      </w:r>
      <w:r w:rsidRPr="00F60A85">
        <w:rPr>
          <w:b/>
        </w:rPr>
        <w:t xml:space="preserve"> 1-5</w:t>
      </w:r>
      <w:r w:rsidRPr="00F60A85">
        <w:t xml:space="preserve">). </w:t>
      </w:r>
      <w:r w:rsidR="00B04AA7" w:rsidRPr="00F60A85">
        <w:t xml:space="preserve">Because the </w:t>
      </w:r>
      <w:r w:rsidR="0041687E">
        <w:t>technical</w:t>
      </w:r>
      <w:r w:rsidR="00B04AA7" w:rsidRPr="00F60A85">
        <w:t xml:space="preserve"> registrants of </w:t>
      </w:r>
      <w:r w:rsidR="00D66459" w:rsidRPr="00F60A85">
        <w:t>propazine</w:t>
      </w:r>
      <w:r w:rsidR="00B04AA7" w:rsidRPr="00F60A85">
        <w:t xml:space="preserve"> have committed to limit use of </w:t>
      </w:r>
      <w:r w:rsidR="00D66459" w:rsidRPr="00F60A85">
        <w:t>propazine</w:t>
      </w:r>
      <w:r w:rsidR="00B04AA7" w:rsidRPr="00F60A85">
        <w:t xml:space="preserve"> products to </w:t>
      </w:r>
      <w:r w:rsidR="00F57406">
        <w:t>three states</w:t>
      </w:r>
      <w:r w:rsidR="00B04AA7" w:rsidRPr="00F60A85">
        <w:t xml:space="preserve">, spatial layers of use sites in AK, HI and the territories are not needed. </w:t>
      </w:r>
      <w:r w:rsidRPr="00F60A85">
        <w:t>All species or critical habitats with some overlap of the action area and their range or designated critical habitat, or with some overlap on species that the listed species depends on (</w:t>
      </w:r>
      <w:r w:rsidRPr="00F60A85">
        <w:rPr>
          <w:b/>
        </w:rPr>
        <w:t>Chapter 4</w:t>
      </w:r>
      <w:r w:rsidRPr="00F60A85">
        <w:t xml:space="preserve">) </w:t>
      </w:r>
      <w:r w:rsidR="004B6CC4" w:rsidRPr="00F60A85">
        <w:t>are</w:t>
      </w:r>
      <w:r w:rsidRPr="00F60A85">
        <w:t xml:space="preserve"> assessed in the MAGTool to make LAA/NLAA determinations.</w:t>
      </w:r>
    </w:p>
    <w:p w14:paraId="7D521C5C" w14:textId="77777777" w:rsidR="007F713D" w:rsidRPr="00F60A85" w:rsidRDefault="007F713D"/>
    <w:p w14:paraId="3C6AFD12" w14:textId="77777777" w:rsidR="00DC04D5" w:rsidRPr="00AF4D32" w:rsidRDefault="00DC04D5" w:rsidP="0098319A">
      <w:pPr>
        <w:rPr>
          <w:color w:val="2F5496" w:themeColor="accent5" w:themeShade="BF"/>
        </w:rPr>
      </w:pPr>
    </w:p>
    <w:p w14:paraId="54323EAA" w14:textId="40EA8A5F" w:rsidR="00C633D9" w:rsidRPr="00AF4D32" w:rsidRDefault="00033DB4" w:rsidP="0098319A">
      <w:pPr>
        <w:pStyle w:val="Heading1"/>
        <w:rPr>
          <w:color w:val="2F5496" w:themeColor="accent5" w:themeShade="BF"/>
        </w:rPr>
      </w:pPr>
      <w:r w:rsidRPr="00AF4D32">
        <w:rPr>
          <w:color w:val="2F5496" w:themeColor="accent5" w:themeShade="BF"/>
        </w:rPr>
        <w:t>Effects Determinations</w:t>
      </w:r>
    </w:p>
    <w:p w14:paraId="75E557F5" w14:textId="60E1B7B8" w:rsidR="00631002" w:rsidRPr="00D66459" w:rsidRDefault="00631002" w:rsidP="0045224D">
      <w:pPr>
        <w:rPr>
          <w:highlight w:val="yellow"/>
        </w:rPr>
      </w:pPr>
    </w:p>
    <w:p w14:paraId="4F84B477" w14:textId="7D0E0DF6" w:rsidR="00631002" w:rsidRPr="009843C7" w:rsidRDefault="00631002" w:rsidP="00631002">
      <w:r w:rsidRPr="00F57406">
        <w:t xml:space="preserve">This BE makes effects determinations (NE, NLAA or LAA) for 1795 listed species, and 792 designated critical habitats. For each species and designated critical habitat, the effects determination is based on the methodology detailed in </w:t>
      </w:r>
      <w:r w:rsidRPr="00A40559">
        <w:rPr>
          <w:b/>
        </w:rPr>
        <w:t>Chapter 1</w:t>
      </w:r>
      <w:r w:rsidRPr="00F57406">
        <w:t xml:space="preserve"> and the Revised Method document</w:t>
      </w:r>
      <w:r w:rsidRPr="00F57406">
        <w:rPr>
          <w:rStyle w:val="FootnoteReference"/>
        </w:rPr>
        <w:footnoteReference w:id="5"/>
      </w:r>
      <w:r w:rsidRPr="00F57406">
        <w:t>.</w:t>
      </w:r>
      <w:r w:rsidRPr="00086283">
        <w:t xml:space="preserve"> NE determinations were made for </w:t>
      </w:r>
      <w:r w:rsidR="00D15189" w:rsidRPr="00086283">
        <w:rPr>
          <w:rFonts w:cstheme="minorHAnsi"/>
        </w:rPr>
        <w:t>16</w:t>
      </w:r>
      <w:r w:rsidR="00D15189">
        <w:rPr>
          <w:rFonts w:cstheme="minorHAnsi"/>
        </w:rPr>
        <w:t>36</w:t>
      </w:r>
      <w:r w:rsidR="00D15189" w:rsidRPr="00086283">
        <w:rPr>
          <w:rFonts w:cstheme="minorHAnsi"/>
          <w:sz w:val="20"/>
        </w:rPr>
        <w:t xml:space="preserve"> </w:t>
      </w:r>
      <w:r w:rsidRPr="00086283">
        <w:t xml:space="preserve">species and </w:t>
      </w:r>
      <w:r w:rsidR="00086283" w:rsidRPr="00086283">
        <w:t>75</w:t>
      </w:r>
      <w:r w:rsidR="00D15189">
        <w:t>5</w:t>
      </w:r>
      <w:r w:rsidRPr="00086283">
        <w:t xml:space="preserve"> critical habitats because there was no overlap between the species range/critical habitat and the action area</w:t>
      </w:r>
      <w:r w:rsidRPr="009843C7">
        <w:t xml:space="preserve">. </w:t>
      </w:r>
      <w:r w:rsidR="006C5430" w:rsidRPr="00D46169">
        <w:rPr>
          <w:rFonts w:eastAsia="Calibri" w:cs="Calibri"/>
        </w:rPr>
        <w:t xml:space="preserve">Numerous NE determinations were made based on commitment letters submitted by the registrants </w:t>
      </w:r>
      <w:r w:rsidR="006C5430" w:rsidRPr="00D46169">
        <w:rPr>
          <w:rFonts w:eastAsia="Calibri" w:cs="Calibri"/>
          <w:b/>
        </w:rPr>
        <w:t>(APPENDIX 1-2)</w:t>
      </w:r>
      <w:r w:rsidR="006C5430" w:rsidRPr="00D46169">
        <w:rPr>
          <w:rFonts w:eastAsia="Calibri" w:cs="Calibri"/>
        </w:rPr>
        <w:t>, which</w:t>
      </w:r>
      <w:r w:rsidR="006C5430" w:rsidRPr="00D46169">
        <w:rPr>
          <w:rFonts w:eastAsia="Calibri" w:cs="Calibri"/>
          <w:b/>
        </w:rPr>
        <w:t xml:space="preserve"> </w:t>
      </w:r>
      <w:r w:rsidR="006C5430" w:rsidRPr="00D46169">
        <w:rPr>
          <w:rFonts w:eastAsia="Calibri" w:cs="Calibri"/>
        </w:rPr>
        <w:t>limit the use of propazine to the</w:t>
      </w:r>
      <w:r w:rsidR="006C5430">
        <w:rPr>
          <w:rFonts w:eastAsia="Calibri" w:cs="Calibri"/>
        </w:rPr>
        <w:t xml:space="preserve"> s</w:t>
      </w:r>
      <w:r w:rsidR="006C5430" w:rsidRPr="00D46169">
        <w:rPr>
          <w:rFonts w:eastAsia="Calibri" w:cs="Calibri"/>
        </w:rPr>
        <w:t>tates of Texas, Oklahoma, and Kansas and prevent</w:t>
      </w:r>
      <w:r w:rsidR="00D9534F">
        <w:rPr>
          <w:rFonts w:eastAsia="Calibri" w:cs="Calibri"/>
        </w:rPr>
        <w:t>ed</w:t>
      </w:r>
      <w:r w:rsidR="006C5430" w:rsidRPr="00D46169">
        <w:rPr>
          <w:rFonts w:eastAsia="Calibri" w:cs="Calibri"/>
        </w:rPr>
        <w:t xml:space="preserve"> exposure to a large number of species located outside of these States.</w:t>
      </w:r>
      <w:r w:rsidR="00D9534F">
        <w:rPr>
          <w:rFonts w:eastAsia="Calibri" w:cs="Calibri"/>
        </w:rPr>
        <w:t xml:space="preserve"> </w:t>
      </w:r>
      <w:r w:rsidRPr="009843C7">
        <w:t>MA determinations were made for 1</w:t>
      </w:r>
      <w:r w:rsidR="009843C7" w:rsidRPr="009843C7">
        <w:t>5</w:t>
      </w:r>
      <w:r w:rsidR="00D15189">
        <w:t>9</w:t>
      </w:r>
      <w:r w:rsidRPr="009843C7">
        <w:rPr>
          <w:sz w:val="20"/>
          <w:szCs w:val="20"/>
        </w:rPr>
        <w:t xml:space="preserve"> </w:t>
      </w:r>
      <w:r w:rsidRPr="009843C7">
        <w:t xml:space="preserve">species and </w:t>
      </w:r>
      <w:r w:rsidR="00D15189">
        <w:t>37</w:t>
      </w:r>
      <w:r w:rsidR="00D15189" w:rsidRPr="009843C7">
        <w:t xml:space="preserve"> </w:t>
      </w:r>
      <w:r w:rsidRPr="009843C7">
        <w:t xml:space="preserve">critical habitats. All species and critical habitats with a MA determination progressed to the Step 2 analysis where an NLAA or LAA determination is made. NLAA determinations were made for </w:t>
      </w:r>
      <w:r w:rsidR="009843C7" w:rsidRPr="009843C7">
        <w:t>9</w:t>
      </w:r>
      <w:r w:rsidRPr="009843C7">
        <w:t xml:space="preserve">5 species and </w:t>
      </w:r>
      <w:r w:rsidR="009843C7" w:rsidRPr="009843C7">
        <w:t>2</w:t>
      </w:r>
      <w:r w:rsidR="00D15189">
        <w:t>3</w:t>
      </w:r>
      <w:r w:rsidRPr="009843C7">
        <w:t xml:space="preserve"> critical habitats. LAA determinations were made for </w:t>
      </w:r>
      <w:r w:rsidR="009843C7" w:rsidRPr="009843C7">
        <w:t>6</w:t>
      </w:r>
      <w:r w:rsidR="00D15189">
        <w:t>4</w:t>
      </w:r>
      <w:r w:rsidRPr="009843C7">
        <w:t xml:space="preserve"> species and </w:t>
      </w:r>
      <w:r w:rsidR="009843C7" w:rsidRPr="009843C7">
        <w:t>14</w:t>
      </w:r>
      <w:r w:rsidRPr="009843C7">
        <w:t xml:space="preserve"> critical habitats. Specific species determinations are provided in </w:t>
      </w:r>
      <w:r w:rsidRPr="009843C7">
        <w:rPr>
          <w:b/>
          <w:bCs/>
        </w:rPr>
        <w:t>APPENDIX 4-1.</w:t>
      </w:r>
    </w:p>
    <w:p w14:paraId="3BBFFE1F" w14:textId="77777777" w:rsidR="00631002" w:rsidRPr="009843C7" w:rsidRDefault="00631002" w:rsidP="0045224D"/>
    <w:p w14:paraId="448F0C00" w14:textId="74F2ED80" w:rsidR="00DC04D5" w:rsidRPr="00F57406" w:rsidRDefault="00310F57" w:rsidP="00310F57">
      <w:r w:rsidRPr="00F57406">
        <w:t xml:space="preserve">The MAGTool </w:t>
      </w:r>
      <w:r w:rsidR="00BE2F82" w:rsidRPr="00F57406">
        <w:t>estimates the number of individuals of a listed species that are potentially affected, incorporating the degree of overlap of a species range with potential use sites and associated usage data for a chemical (and associated of</w:t>
      </w:r>
      <w:r w:rsidR="00D10797" w:rsidRPr="00F57406">
        <w:t>f-</w:t>
      </w:r>
      <w:r w:rsidR="00BE2F82" w:rsidRPr="00F57406">
        <w:t xml:space="preserve">site transport areas) into the </w:t>
      </w:r>
      <w:proofErr w:type="gramStart"/>
      <w:r w:rsidR="00BE2F82" w:rsidRPr="00F57406">
        <w:t>effects</w:t>
      </w:r>
      <w:proofErr w:type="gramEnd"/>
      <w:r w:rsidR="00BE2F82" w:rsidRPr="00F57406">
        <w:t xml:space="preserve"> determinations.</w:t>
      </w:r>
      <w:r w:rsidRPr="00F57406">
        <w:t xml:space="preserve"> Using the toxicity endpoints for each </w:t>
      </w:r>
      <w:r w:rsidR="00D10797" w:rsidRPr="00F57406">
        <w:t xml:space="preserve">taxon </w:t>
      </w:r>
      <w:r w:rsidRPr="00F57406">
        <w:t>(</w:t>
      </w:r>
      <w:r w:rsidRPr="00F57406">
        <w:rPr>
          <w:b/>
        </w:rPr>
        <w:t>Chapter 2</w:t>
      </w:r>
      <w:r w:rsidRPr="00F57406">
        <w:t>),</w:t>
      </w:r>
      <w:r w:rsidR="00E53606" w:rsidRPr="00F57406">
        <w:t xml:space="preserve"> the</w:t>
      </w:r>
      <w:r w:rsidRPr="00F57406">
        <w:t xml:space="preserve"> </w:t>
      </w:r>
      <w:proofErr w:type="spellStart"/>
      <w:r w:rsidRPr="00F57406">
        <w:t>MAGTool</w:t>
      </w:r>
      <w:proofErr w:type="spellEnd"/>
      <w:r w:rsidRPr="00F57406">
        <w:t xml:space="preserve"> utilizes probabilistic methods </w:t>
      </w:r>
      <w:bookmarkStart w:id="1" w:name="_Hlk52780749"/>
      <w:r w:rsidRPr="00F57406">
        <w:t xml:space="preserve">to assess </w:t>
      </w:r>
      <w:r w:rsidR="00454954">
        <w:t xml:space="preserve">the impact of various assumptions of </w:t>
      </w:r>
      <w:bookmarkEnd w:id="1"/>
      <w:r w:rsidR="00454954">
        <w:t>toxicity and exposure on the likelihood that atrazine</w:t>
      </w:r>
      <w:r w:rsidR="00454954" w:rsidRPr="000C6A3E">
        <w:t xml:space="preserve"> will adversely </w:t>
      </w:r>
      <w:r w:rsidR="00454954" w:rsidRPr="000C6A3E">
        <w:lastRenderedPageBreak/>
        <w:t xml:space="preserve">affect </w:t>
      </w:r>
      <w:r w:rsidR="00454954">
        <w:t xml:space="preserve">an individual of a given </w:t>
      </w:r>
      <w:r w:rsidR="00454954" w:rsidRPr="000C6A3E">
        <w:t>specie</w:t>
      </w:r>
      <w:r w:rsidR="00454954">
        <w:t>s.</w:t>
      </w:r>
      <w:r w:rsidRPr="00F57406">
        <w:t xml:space="preserve"> </w:t>
      </w:r>
      <w:r w:rsidR="00266071" w:rsidRPr="00F57406">
        <w:t xml:space="preserve">To help determine the potential for risk, the MAGtool incorporates many of EPA’s standard pesticide exposure models to estimate exposures to listed species and their </w:t>
      </w:r>
      <w:r w:rsidR="00454954">
        <w:t>prey, pollination, habitat and dispersal vectors (</w:t>
      </w:r>
      <w:r w:rsidR="00266071" w:rsidRPr="00F57406">
        <w:t>PPHD</w:t>
      </w:r>
      <w:r w:rsidR="00454954">
        <w:t>)</w:t>
      </w:r>
      <w:r w:rsidR="00266071" w:rsidRPr="00F57406">
        <w:t xml:space="preserve">. </w:t>
      </w:r>
      <w:r w:rsidRPr="00F57406">
        <w:t xml:space="preserve"> Details on the individual </w:t>
      </w:r>
      <w:proofErr w:type="gramStart"/>
      <w:r w:rsidRPr="00F57406">
        <w:t>effects</w:t>
      </w:r>
      <w:proofErr w:type="gramEnd"/>
      <w:r w:rsidRPr="00F57406">
        <w:t xml:space="preserve"> determinations are found in </w:t>
      </w:r>
      <w:r w:rsidRPr="00F57406">
        <w:rPr>
          <w:b/>
        </w:rPr>
        <w:t>A</w:t>
      </w:r>
      <w:r w:rsidR="00ED0D37" w:rsidRPr="00F57406">
        <w:rPr>
          <w:b/>
        </w:rPr>
        <w:t>PPENDIX</w:t>
      </w:r>
      <w:r w:rsidRPr="00F57406">
        <w:rPr>
          <w:b/>
        </w:rPr>
        <w:t xml:space="preserve"> 4-</w:t>
      </w:r>
      <w:r w:rsidR="00AB7C89" w:rsidRPr="00F57406">
        <w:rPr>
          <w:b/>
        </w:rPr>
        <w:t>1</w:t>
      </w:r>
      <w:r w:rsidRPr="00F57406">
        <w:t xml:space="preserve">. </w:t>
      </w:r>
      <w:r w:rsidR="00266071" w:rsidRPr="00F57406">
        <w:t xml:space="preserve">If the model estimates are not considered representative of the exposure of the species (due to an inconsistency in the exposure model and assessed species’ habitat), a qualitative analysis is conducted. In those cases, EPA makes either a LAA or a NLAA determination based on a qualitative weight of evidence. </w:t>
      </w:r>
      <w:r w:rsidR="00C85ED0" w:rsidRPr="00F57406">
        <w:t>For each LAA determination, t</w:t>
      </w:r>
      <w:r w:rsidRPr="00F57406">
        <w:t>his assessment employs three categories (</w:t>
      </w:r>
      <w:r w:rsidRPr="00F57406">
        <w:rPr>
          <w:i/>
        </w:rPr>
        <w:t>i.e.,</w:t>
      </w:r>
      <w:r w:rsidRPr="00F57406">
        <w:t xml:space="preserve"> strongest, moderate and weakest) to </w:t>
      </w:r>
      <w:r w:rsidR="00006AE3" w:rsidRPr="00F57406">
        <w:t xml:space="preserve">characterize </w:t>
      </w:r>
      <w:r w:rsidRPr="00F57406">
        <w:t xml:space="preserve">the </w:t>
      </w:r>
      <w:r w:rsidR="00C85ED0" w:rsidRPr="00F57406">
        <w:t>strength of</w:t>
      </w:r>
      <w:r w:rsidRPr="00F57406">
        <w:t xml:space="preserve"> the weight of evidence. </w:t>
      </w:r>
      <w:r w:rsidR="00FD644E" w:rsidRPr="00F57406">
        <w:t xml:space="preserve">Each species or critical habitat was assigned a weak, moderate or strong evidence in the LAA determination based on multiple factors, including: the impact of using less conservative assumptions in the analysis, the quality of the species range or usage data, impacts to both the species and prey, pollination, habitat, and dispersal (PPHD) as opposed to only one, the presence of reported incidents </w:t>
      </w:r>
      <w:proofErr w:type="spellStart"/>
      <w:r w:rsidR="00FD644E" w:rsidRPr="00F57406">
        <w:t>invol</w:t>
      </w:r>
      <w:r w:rsidR="009157FB">
        <w:t>p</w:t>
      </w:r>
      <w:r w:rsidR="00FD644E" w:rsidRPr="00F57406">
        <w:t>ving</w:t>
      </w:r>
      <w:proofErr w:type="spellEnd"/>
      <w:r w:rsidR="00FD644E" w:rsidRPr="00F57406">
        <w:t xml:space="preserve"> the species taxa or PPHD taxa, the presence of monitoring data that exceeds endpoints, exposure only due to spray drift and the likelihood of drift into a species habitat (e.g., if the species inhabits forests). </w:t>
      </w:r>
    </w:p>
    <w:p w14:paraId="1134CF2E" w14:textId="1ECC4D55" w:rsidR="007655CF" w:rsidRPr="00D66459" w:rsidRDefault="006E289F" w:rsidP="0090266C">
      <w:pPr>
        <w:rPr>
          <w:highlight w:val="yellow"/>
        </w:rPr>
      </w:pPr>
      <w:r w:rsidRPr="00D66459">
        <w:rPr>
          <w:highlight w:val="yellow"/>
        </w:rPr>
        <w:t xml:space="preserve"> </w:t>
      </w:r>
      <w:r w:rsidR="003873C0" w:rsidRPr="00D66459">
        <w:rPr>
          <w:highlight w:val="yellow"/>
        </w:rPr>
        <w:t xml:space="preserve"> </w:t>
      </w:r>
    </w:p>
    <w:p w14:paraId="2E81FB16" w14:textId="3AA96C31" w:rsidR="00FA3E72" w:rsidRPr="00086283" w:rsidRDefault="000C2F82" w:rsidP="00FA3E72">
      <w:r w:rsidRPr="00086283">
        <w:t xml:space="preserve">Of the LAA determinations, </w:t>
      </w:r>
      <w:r w:rsidR="00086283" w:rsidRPr="00086283">
        <w:t>4</w:t>
      </w:r>
      <w:r w:rsidR="00D15189">
        <w:t>5</w:t>
      </w:r>
      <w:r w:rsidRPr="00086283">
        <w:t xml:space="preserve">% </w:t>
      </w:r>
      <w:r w:rsidR="00631002" w:rsidRPr="00086283">
        <w:t xml:space="preserve">of species and </w:t>
      </w:r>
      <w:r w:rsidR="00086283" w:rsidRPr="00086283">
        <w:t>64</w:t>
      </w:r>
      <w:r w:rsidR="00631002" w:rsidRPr="00086283">
        <w:t>% of critical habitats</w:t>
      </w:r>
      <w:r w:rsidRPr="00086283">
        <w:t xml:space="preserve"> were considered to have </w:t>
      </w:r>
      <w:r w:rsidR="00086283" w:rsidRPr="00086283">
        <w:t>strong</w:t>
      </w:r>
      <w:r w:rsidRPr="00086283">
        <w:t xml:space="preserve"> evidence</w:t>
      </w:r>
      <w:r w:rsidR="003177C9" w:rsidRPr="00086283">
        <w:t xml:space="preserve">. </w:t>
      </w:r>
      <w:r w:rsidR="00086283" w:rsidRPr="00086283">
        <w:t>Moderate</w:t>
      </w:r>
      <w:r w:rsidR="003177C9" w:rsidRPr="00086283">
        <w:t xml:space="preserve"> evidence was found for </w:t>
      </w:r>
      <w:r w:rsidR="00086283" w:rsidRPr="00086283">
        <w:t>2</w:t>
      </w:r>
      <w:r w:rsidR="00D15189">
        <w:t>7</w:t>
      </w:r>
      <w:r w:rsidR="003177C9" w:rsidRPr="00086283">
        <w:t>% of species and 1</w:t>
      </w:r>
      <w:r w:rsidR="00086283" w:rsidRPr="00086283">
        <w:t>4</w:t>
      </w:r>
      <w:r w:rsidR="003177C9" w:rsidRPr="00086283">
        <w:t>% of critical habitat LAA determinations.</w:t>
      </w:r>
      <w:r w:rsidRPr="00086283">
        <w:t xml:space="preserve"> </w:t>
      </w:r>
      <w:r w:rsidR="003177C9" w:rsidRPr="00086283">
        <w:t xml:space="preserve">Weakest evidence was found for </w:t>
      </w:r>
      <w:r w:rsidR="00086283" w:rsidRPr="00086283">
        <w:t>2</w:t>
      </w:r>
      <w:r w:rsidR="00D15189">
        <w:t>8</w:t>
      </w:r>
      <w:r w:rsidRPr="00086283">
        <w:t xml:space="preserve">% </w:t>
      </w:r>
      <w:r w:rsidR="003177C9" w:rsidRPr="00086283">
        <w:t xml:space="preserve">of species and </w:t>
      </w:r>
      <w:r w:rsidR="00086283" w:rsidRPr="00086283">
        <w:t>21</w:t>
      </w:r>
      <w:r w:rsidR="003177C9" w:rsidRPr="00086283">
        <w:t>% of critical habitat LAA determinations.</w:t>
      </w:r>
      <w:r w:rsidRPr="00086283">
        <w:t xml:space="preserve"> </w:t>
      </w:r>
      <w:r w:rsidR="00C85ED0" w:rsidRPr="00086283">
        <w:t>LAA determinations were made for species across all taxa.</w:t>
      </w:r>
      <w:r w:rsidR="00743F08" w:rsidRPr="00086283">
        <w:rPr>
          <w:i/>
          <w:iCs/>
        </w:rPr>
        <w:t xml:space="preserve"> </w:t>
      </w:r>
      <w:r w:rsidR="00743F08" w:rsidRPr="00086283">
        <w:t xml:space="preserve">For certain species and critical habitats, there were uncertainties in the </w:t>
      </w:r>
      <w:r w:rsidR="00D66459" w:rsidRPr="00086283">
        <w:t>propazine</w:t>
      </w:r>
      <w:r w:rsidR="002C401D" w:rsidRPr="00086283">
        <w:t xml:space="preserve"> </w:t>
      </w:r>
      <w:r w:rsidR="00743F08" w:rsidRPr="00086283">
        <w:t xml:space="preserve">effects determinations based on the resolution of usage data and the threshold for assessing impacts on PPHD (detailed in </w:t>
      </w:r>
      <w:r w:rsidR="00743F08" w:rsidRPr="00086283">
        <w:rPr>
          <w:b/>
          <w:bCs/>
        </w:rPr>
        <w:t>Chapter 4</w:t>
      </w:r>
      <w:r w:rsidR="00743F08" w:rsidRPr="00086283">
        <w:t>).</w:t>
      </w:r>
      <w:r w:rsidR="00743F08" w:rsidRPr="00086283">
        <w:rPr>
          <w:i/>
          <w:iCs/>
        </w:rPr>
        <w:t xml:space="preserve"> </w:t>
      </w:r>
      <w:r w:rsidR="00C85ED0" w:rsidRPr="00086283">
        <w:rPr>
          <w:b/>
          <w:bCs/>
        </w:rPr>
        <w:t xml:space="preserve">Tables </w:t>
      </w:r>
      <w:r w:rsidR="00086283" w:rsidRPr="00086283">
        <w:rPr>
          <w:b/>
          <w:bCs/>
        </w:rPr>
        <w:t>4-</w:t>
      </w:r>
      <w:r w:rsidR="009A5892" w:rsidRPr="00086283">
        <w:rPr>
          <w:b/>
          <w:bCs/>
        </w:rPr>
        <w:t>1 and</w:t>
      </w:r>
      <w:r w:rsidR="007E6AE0" w:rsidRPr="00086283">
        <w:rPr>
          <w:b/>
          <w:bCs/>
        </w:rPr>
        <w:t xml:space="preserve"> </w:t>
      </w:r>
      <w:r w:rsidR="00086283" w:rsidRPr="00086283">
        <w:rPr>
          <w:b/>
          <w:bCs/>
        </w:rPr>
        <w:t>4-</w:t>
      </w:r>
      <w:r w:rsidR="007E6AE0" w:rsidRPr="00086283">
        <w:rPr>
          <w:b/>
          <w:bCs/>
        </w:rPr>
        <w:t xml:space="preserve">2 </w:t>
      </w:r>
      <w:r w:rsidR="00C85ED0" w:rsidRPr="00086283">
        <w:t>summarize the NE, NLAA and LAA determinations for species and critical habitats.</w:t>
      </w:r>
      <w:r w:rsidR="00D1256E" w:rsidRPr="00086283">
        <w:t xml:space="preserve"> </w:t>
      </w:r>
      <w:r w:rsidR="00D1256E" w:rsidRPr="00086283">
        <w:rPr>
          <w:b/>
          <w:bCs/>
        </w:rPr>
        <w:t xml:space="preserve">Table </w:t>
      </w:r>
      <w:r w:rsidR="00086283" w:rsidRPr="00086283">
        <w:rPr>
          <w:b/>
          <w:bCs/>
        </w:rPr>
        <w:t>4-</w:t>
      </w:r>
      <w:r w:rsidR="00D1256E" w:rsidRPr="00086283">
        <w:rPr>
          <w:b/>
          <w:bCs/>
        </w:rPr>
        <w:t>3</w:t>
      </w:r>
      <w:r w:rsidR="00D1256E" w:rsidRPr="00086283">
        <w:t xml:space="preserve"> summarizes the </w:t>
      </w:r>
      <w:r w:rsidR="00F06B22" w:rsidRPr="00086283">
        <w:t>strength of evidence classifications for the</w:t>
      </w:r>
      <w:r w:rsidR="00D1256E" w:rsidRPr="00086283">
        <w:t xml:space="preserve"> LAA determinations</w:t>
      </w:r>
      <w:r w:rsidR="00F06B22" w:rsidRPr="00086283">
        <w:t>.</w:t>
      </w:r>
    </w:p>
    <w:p w14:paraId="354E98E2" w14:textId="3075026D" w:rsidR="00867F6F" w:rsidRPr="00D66459" w:rsidRDefault="00867F6F" w:rsidP="00FA3E72">
      <w:pPr>
        <w:rPr>
          <w:highlight w:val="yellow"/>
        </w:rPr>
      </w:pPr>
    </w:p>
    <w:p w14:paraId="4B6B4A66" w14:textId="77777777" w:rsidR="00F57406" w:rsidRPr="000903AD" w:rsidRDefault="00F57406" w:rsidP="00F57406">
      <w:pPr>
        <w:keepNext/>
        <w:rPr>
          <w:b/>
        </w:rPr>
      </w:pPr>
      <w:r w:rsidRPr="000903AD">
        <w:rPr>
          <w:b/>
        </w:rPr>
        <w:t>T</w:t>
      </w:r>
      <w:r>
        <w:rPr>
          <w:b/>
        </w:rPr>
        <w:t>able</w:t>
      </w:r>
      <w:r w:rsidRPr="000903AD">
        <w:rPr>
          <w:b/>
        </w:rPr>
        <w:t xml:space="preserve"> 4</w:t>
      </w:r>
      <w:r>
        <w:rPr>
          <w:b/>
        </w:rPr>
        <w:t>-</w:t>
      </w:r>
      <w:r w:rsidRPr="000903AD">
        <w:rPr>
          <w:b/>
        </w:rPr>
        <w:t xml:space="preserve">1. Summary of Species Effects Determinations for </w:t>
      </w:r>
      <w:r>
        <w:rPr>
          <w:b/>
        </w:rPr>
        <w:t>Propazine</w:t>
      </w:r>
      <w:r w:rsidRPr="000903AD">
        <w:rPr>
          <w:b/>
        </w:rPr>
        <w:t xml:space="preserve"> (Counts by Taxon).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876"/>
        <w:gridCol w:w="1030"/>
        <w:gridCol w:w="2168"/>
        <w:gridCol w:w="1963"/>
        <w:gridCol w:w="1157"/>
      </w:tblGrid>
      <w:tr w:rsidR="00F57406" w:rsidRPr="00D63947" w14:paraId="7A7084CC" w14:textId="77777777" w:rsidTr="00A64B19">
        <w:trPr>
          <w:trHeight w:val="288"/>
        </w:trPr>
        <w:tc>
          <w:tcPr>
            <w:tcW w:w="1878" w:type="dxa"/>
            <w:vMerge w:val="restart"/>
            <w:shd w:val="clear" w:color="auto" w:fill="E7E6E6" w:themeFill="background2"/>
            <w:noWrap/>
            <w:vAlign w:val="center"/>
            <w:hideMark/>
          </w:tcPr>
          <w:p w14:paraId="6E11FD06" w14:textId="77777777" w:rsidR="00F57406" w:rsidRPr="00D63947" w:rsidRDefault="00F57406" w:rsidP="00903FB1">
            <w:pPr>
              <w:keepNext/>
              <w:jc w:val="center"/>
              <w:rPr>
                <w:rFonts w:cstheme="minorHAnsi"/>
                <w:b/>
                <w:sz w:val="20"/>
                <w:szCs w:val="20"/>
              </w:rPr>
            </w:pPr>
            <w:r w:rsidRPr="00D63947">
              <w:rPr>
                <w:rFonts w:cstheme="minorHAnsi"/>
                <w:b/>
                <w:sz w:val="20"/>
                <w:szCs w:val="20"/>
              </w:rPr>
              <w:t>Taxon</w:t>
            </w:r>
          </w:p>
        </w:tc>
        <w:tc>
          <w:tcPr>
            <w:tcW w:w="1906" w:type="dxa"/>
            <w:gridSpan w:val="2"/>
            <w:shd w:val="clear" w:color="auto" w:fill="E7E6E6" w:themeFill="background2"/>
            <w:vAlign w:val="center"/>
            <w:hideMark/>
          </w:tcPr>
          <w:p w14:paraId="4324C471" w14:textId="77777777" w:rsidR="00F57406" w:rsidRPr="00D63947" w:rsidRDefault="00F57406" w:rsidP="00903FB1">
            <w:pPr>
              <w:keepNext/>
              <w:jc w:val="center"/>
              <w:rPr>
                <w:rFonts w:cstheme="minorHAnsi"/>
                <w:b/>
                <w:sz w:val="20"/>
                <w:szCs w:val="20"/>
              </w:rPr>
            </w:pPr>
            <w:r w:rsidRPr="00D63947">
              <w:rPr>
                <w:rFonts w:cstheme="minorHAnsi"/>
                <w:b/>
                <w:sz w:val="20"/>
                <w:szCs w:val="20"/>
              </w:rPr>
              <w:t>Step 1 Effects Determinations</w:t>
            </w:r>
          </w:p>
        </w:tc>
        <w:tc>
          <w:tcPr>
            <w:tcW w:w="4131" w:type="dxa"/>
            <w:gridSpan w:val="2"/>
            <w:shd w:val="clear" w:color="auto" w:fill="E7E6E6" w:themeFill="background2"/>
            <w:noWrap/>
            <w:vAlign w:val="center"/>
            <w:hideMark/>
          </w:tcPr>
          <w:p w14:paraId="7491073A" w14:textId="77777777" w:rsidR="00F57406" w:rsidRPr="00D63947" w:rsidRDefault="00F57406" w:rsidP="00903FB1">
            <w:pPr>
              <w:keepNext/>
              <w:jc w:val="center"/>
              <w:rPr>
                <w:rFonts w:cstheme="minorHAnsi"/>
                <w:b/>
                <w:sz w:val="20"/>
                <w:szCs w:val="20"/>
              </w:rPr>
            </w:pPr>
            <w:r w:rsidRPr="00D63947">
              <w:rPr>
                <w:rFonts w:cstheme="minorHAnsi"/>
                <w:b/>
                <w:sz w:val="20"/>
                <w:szCs w:val="20"/>
              </w:rPr>
              <w:t>Step 2 Effects Determinations</w:t>
            </w:r>
          </w:p>
        </w:tc>
        <w:tc>
          <w:tcPr>
            <w:tcW w:w="1157" w:type="dxa"/>
            <w:vMerge w:val="restart"/>
            <w:shd w:val="clear" w:color="auto" w:fill="E7E6E6" w:themeFill="background2"/>
            <w:noWrap/>
            <w:vAlign w:val="center"/>
            <w:hideMark/>
          </w:tcPr>
          <w:p w14:paraId="7ACF36A6" w14:textId="77777777" w:rsidR="00F57406" w:rsidRPr="00D63947" w:rsidRDefault="00F57406" w:rsidP="00903FB1">
            <w:pPr>
              <w:keepNext/>
              <w:jc w:val="center"/>
              <w:rPr>
                <w:rFonts w:cstheme="minorHAnsi"/>
                <w:b/>
                <w:sz w:val="20"/>
                <w:szCs w:val="20"/>
              </w:rPr>
            </w:pPr>
            <w:r w:rsidRPr="00D63947">
              <w:rPr>
                <w:rFonts w:cstheme="minorHAnsi"/>
                <w:b/>
                <w:sz w:val="20"/>
                <w:szCs w:val="20"/>
              </w:rPr>
              <w:t>Totals</w:t>
            </w:r>
          </w:p>
        </w:tc>
      </w:tr>
      <w:tr w:rsidR="00F57406" w:rsidRPr="00D63947" w14:paraId="021AD691" w14:textId="77777777" w:rsidTr="00A64B19">
        <w:trPr>
          <w:trHeight w:val="288"/>
        </w:trPr>
        <w:tc>
          <w:tcPr>
            <w:tcW w:w="1878" w:type="dxa"/>
            <w:vMerge/>
            <w:vAlign w:val="center"/>
            <w:hideMark/>
          </w:tcPr>
          <w:p w14:paraId="49A3881C" w14:textId="77777777" w:rsidR="00F57406" w:rsidRPr="00D63947" w:rsidRDefault="00F57406" w:rsidP="00903FB1">
            <w:pPr>
              <w:keepNext/>
              <w:rPr>
                <w:rFonts w:cstheme="minorHAnsi"/>
                <w:b/>
                <w:sz w:val="20"/>
                <w:szCs w:val="20"/>
              </w:rPr>
            </w:pPr>
          </w:p>
        </w:tc>
        <w:tc>
          <w:tcPr>
            <w:tcW w:w="876" w:type="dxa"/>
            <w:shd w:val="clear" w:color="auto" w:fill="E7E6E6" w:themeFill="background2"/>
            <w:vAlign w:val="center"/>
            <w:hideMark/>
          </w:tcPr>
          <w:p w14:paraId="21A979B5" w14:textId="77777777" w:rsidR="00F57406" w:rsidRPr="00D63947" w:rsidRDefault="00F57406" w:rsidP="00903FB1">
            <w:pPr>
              <w:keepNext/>
              <w:jc w:val="center"/>
              <w:rPr>
                <w:rFonts w:cstheme="minorHAnsi"/>
                <w:b/>
                <w:sz w:val="20"/>
                <w:szCs w:val="20"/>
              </w:rPr>
            </w:pPr>
            <w:r w:rsidRPr="00D63947">
              <w:rPr>
                <w:rFonts w:cstheme="minorHAnsi"/>
                <w:b/>
                <w:sz w:val="20"/>
                <w:szCs w:val="20"/>
              </w:rPr>
              <w:t>No Effect</w:t>
            </w:r>
          </w:p>
        </w:tc>
        <w:tc>
          <w:tcPr>
            <w:tcW w:w="1030" w:type="dxa"/>
            <w:shd w:val="clear" w:color="auto" w:fill="E7E6E6" w:themeFill="background2"/>
            <w:vAlign w:val="center"/>
            <w:hideMark/>
          </w:tcPr>
          <w:p w14:paraId="7DAEDEEE" w14:textId="77777777" w:rsidR="00F57406" w:rsidRPr="00D63947" w:rsidRDefault="00F57406" w:rsidP="00903FB1">
            <w:pPr>
              <w:keepNext/>
              <w:jc w:val="center"/>
              <w:rPr>
                <w:rFonts w:cstheme="minorHAnsi"/>
                <w:b/>
                <w:sz w:val="20"/>
                <w:szCs w:val="20"/>
              </w:rPr>
            </w:pPr>
            <w:r w:rsidRPr="00D63947">
              <w:rPr>
                <w:rFonts w:cstheme="minorHAnsi"/>
                <w:b/>
                <w:sz w:val="20"/>
                <w:szCs w:val="20"/>
              </w:rPr>
              <w:t>May Affect</w:t>
            </w:r>
          </w:p>
        </w:tc>
        <w:tc>
          <w:tcPr>
            <w:tcW w:w="2168" w:type="dxa"/>
            <w:shd w:val="clear" w:color="auto" w:fill="E7E6E6" w:themeFill="background2"/>
            <w:noWrap/>
            <w:vAlign w:val="center"/>
            <w:hideMark/>
          </w:tcPr>
          <w:p w14:paraId="38AB49EC" w14:textId="77777777" w:rsidR="00F57406" w:rsidRPr="00D63947" w:rsidRDefault="00F57406" w:rsidP="00903FB1">
            <w:pPr>
              <w:keepNext/>
              <w:jc w:val="center"/>
              <w:rPr>
                <w:rFonts w:cstheme="minorHAnsi"/>
                <w:b/>
                <w:sz w:val="20"/>
                <w:szCs w:val="20"/>
              </w:rPr>
            </w:pPr>
            <w:r w:rsidRPr="00D63947">
              <w:rPr>
                <w:rFonts w:cstheme="minorHAnsi"/>
                <w:b/>
                <w:sz w:val="20"/>
                <w:szCs w:val="20"/>
              </w:rPr>
              <w:t>Not Likely to Adversely Affect</w:t>
            </w:r>
          </w:p>
        </w:tc>
        <w:tc>
          <w:tcPr>
            <w:tcW w:w="1963" w:type="dxa"/>
            <w:shd w:val="clear" w:color="auto" w:fill="E7E6E6" w:themeFill="background2"/>
            <w:noWrap/>
            <w:vAlign w:val="center"/>
            <w:hideMark/>
          </w:tcPr>
          <w:p w14:paraId="1E3FA725" w14:textId="77777777" w:rsidR="00F57406" w:rsidRPr="00D63947" w:rsidRDefault="00F57406" w:rsidP="00903FB1">
            <w:pPr>
              <w:keepNext/>
              <w:jc w:val="center"/>
              <w:rPr>
                <w:rFonts w:cstheme="minorHAnsi"/>
                <w:b/>
                <w:sz w:val="20"/>
                <w:szCs w:val="20"/>
              </w:rPr>
            </w:pPr>
            <w:r w:rsidRPr="00D63947">
              <w:rPr>
                <w:rFonts w:cstheme="minorHAnsi"/>
                <w:b/>
                <w:sz w:val="20"/>
                <w:szCs w:val="20"/>
              </w:rPr>
              <w:t>Likely to Adversely Affect</w:t>
            </w:r>
          </w:p>
        </w:tc>
        <w:tc>
          <w:tcPr>
            <w:tcW w:w="1157" w:type="dxa"/>
            <w:vMerge/>
            <w:vAlign w:val="center"/>
            <w:hideMark/>
          </w:tcPr>
          <w:p w14:paraId="0AFC0A11" w14:textId="77777777" w:rsidR="00F57406" w:rsidRPr="00D63947" w:rsidRDefault="00F57406" w:rsidP="00903FB1">
            <w:pPr>
              <w:keepNext/>
              <w:rPr>
                <w:rFonts w:cstheme="minorHAnsi"/>
                <w:b/>
                <w:sz w:val="20"/>
                <w:szCs w:val="20"/>
              </w:rPr>
            </w:pPr>
          </w:p>
        </w:tc>
      </w:tr>
      <w:tr w:rsidR="00CD0649" w:rsidRPr="00D63947" w14:paraId="721986C4" w14:textId="77777777" w:rsidTr="00A64B19">
        <w:trPr>
          <w:trHeight w:val="288"/>
        </w:trPr>
        <w:tc>
          <w:tcPr>
            <w:tcW w:w="18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AA6287B" w14:textId="553E9390" w:rsidR="00CD0649" w:rsidRPr="00D63947" w:rsidRDefault="00CD0649" w:rsidP="00CD0649">
            <w:pPr>
              <w:keepNext/>
              <w:rPr>
                <w:rFonts w:cstheme="minorHAnsi"/>
                <w:sz w:val="20"/>
                <w:szCs w:val="20"/>
              </w:rPr>
            </w:pPr>
            <w:r w:rsidRPr="00D63947">
              <w:rPr>
                <w:rFonts w:cstheme="minorHAnsi"/>
                <w:color w:val="000000"/>
                <w:sz w:val="20"/>
                <w:szCs w:val="20"/>
              </w:rPr>
              <w:t>Mammals</w:t>
            </w:r>
          </w:p>
        </w:tc>
        <w:tc>
          <w:tcPr>
            <w:tcW w:w="876" w:type="dxa"/>
            <w:tcBorders>
              <w:top w:val="nil"/>
              <w:left w:val="nil"/>
              <w:bottom w:val="single" w:sz="8" w:space="0" w:color="auto"/>
              <w:right w:val="single" w:sz="8" w:space="0" w:color="auto"/>
            </w:tcBorders>
            <w:shd w:val="clear" w:color="auto" w:fill="FFFFFF" w:themeFill="background1"/>
            <w:vAlign w:val="center"/>
            <w:hideMark/>
          </w:tcPr>
          <w:p w14:paraId="336BCC2E" w14:textId="60F5A650" w:rsidR="00CD0649" w:rsidRPr="00D63947" w:rsidRDefault="00CD0649" w:rsidP="00CD0649">
            <w:pPr>
              <w:keepNext/>
              <w:jc w:val="center"/>
              <w:rPr>
                <w:rFonts w:cstheme="minorHAnsi"/>
                <w:sz w:val="20"/>
                <w:szCs w:val="20"/>
              </w:rPr>
            </w:pPr>
            <w:r w:rsidRPr="00D63947">
              <w:rPr>
                <w:rFonts w:cstheme="minorHAnsi"/>
                <w:color w:val="000000"/>
                <w:sz w:val="20"/>
                <w:szCs w:val="20"/>
              </w:rPr>
              <w:t>85</w:t>
            </w:r>
          </w:p>
        </w:tc>
        <w:tc>
          <w:tcPr>
            <w:tcW w:w="1030" w:type="dxa"/>
            <w:tcBorders>
              <w:top w:val="nil"/>
              <w:left w:val="nil"/>
              <w:bottom w:val="single" w:sz="8" w:space="0" w:color="auto"/>
              <w:right w:val="nil"/>
            </w:tcBorders>
            <w:shd w:val="clear" w:color="auto" w:fill="FFFFFF" w:themeFill="background1"/>
            <w:vAlign w:val="center"/>
          </w:tcPr>
          <w:p w14:paraId="4984D4DB" w14:textId="7AB6D475" w:rsidR="00CD0649" w:rsidRPr="00D63947" w:rsidRDefault="00CD0649" w:rsidP="00CD0649">
            <w:pPr>
              <w:keepNext/>
              <w:jc w:val="center"/>
              <w:rPr>
                <w:rFonts w:cstheme="minorHAnsi"/>
                <w:sz w:val="20"/>
                <w:szCs w:val="20"/>
              </w:rPr>
            </w:pPr>
            <w:r w:rsidRPr="00D63947">
              <w:rPr>
                <w:rFonts w:cstheme="minorHAnsi"/>
                <w:color w:val="000000"/>
                <w:sz w:val="20"/>
                <w:szCs w:val="20"/>
              </w:rPr>
              <w:t>14</w:t>
            </w:r>
          </w:p>
        </w:tc>
        <w:tc>
          <w:tcPr>
            <w:tcW w:w="2168" w:type="dxa"/>
            <w:tcBorders>
              <w:top w:val="nil"/>
              <w:left w:val="single" w:sz="8" w:space="0" w:color="auto"/>
              <w:bottom w:val="single" w:sz="8" w:space="0" w:color="auto"/>
              <w:right w:val="nil"/>
            </w:tcBorders>
            <w:shd w:val="clear" w:color="auto" w:fill="FFFFFF" w:themeFill="background1"/>
            <w:noWrap/>
            <w:vAlign w:val="center"/>
            <w:hideMark/>
          </w:tcPr>
          <w:p w14:paraId="07E6AEBA" w14:textId="7A2A13FB" w:rsidR="00CD0649" w:rsidRPr="00D63947" w:rsidRDefault="00CD0649" w:rsidP="00CD0649">
            <w:pPr>
              <w:keepNext/>
              <w:jc w:val="center"/>
              <w:rPr>
                <w:rFonts w:cstheme="minorHAnsi"/>
                <w:sz w:val="20"/>
                <w:szCs w:val="20"/>
              </w:rPr>
            </w:pPr>
            <w:r w:rsidRPr="00D63947">
              <w:rPr>
                <w:rFonts w:cstheme="minorHAnsi"/>
                <w:color w:val="000000"/>
                <w:sz w:val="20"/>
                <w:szCs w:val="20"/>
              </w:rPr>
              <w:t>10</w:t>
            </w:r>
          </w:p>
        </w:tc>
        <w:tc>
          <w:tcPr>
            <w:tcW w:w="19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37C9CEE4" w14:textId="29552AD9" w:rsidR="00CD0649" w:rsidRPr="00D63947" w:rsidRDefault="00CD0649" w:rsidP="00CD0649">
            <w:pPr>
              <w:keepNext/>
              <w:jc w:val="center"/>
              <w:rPr>
                <w:rFonts w:cstheme="minorHAnsi"/>
                <w:sz w:val="20"/>
                <w:szCs w:val="20"/>
              </w:rPr>
            </w:pPr>
            <w:r w:rsidRPr="00D63947">
              <w:rPr>
                <w:rFonts w:cstheme="minorHAnsi"/>
                <w:color w:val="000000"/>
                <w:sz w:val="20"/>
                <w:szCs w:val="20"/>
              </w:rPr>
              <w:t>4</w:t>
            </w:r>
          </w:p>
        </w:tc>
        <w:tc>
          <w:tcPr>
            <w:tcW w:w="1157" w:type="dxa"/>
            <w:tcBorders>
              <w:top w:val="nil"/>
              <w:left w:val="nil"/>
              <w:bottom w:val="single" w:sz="8" w:space="0" w:color="auto"/>
              <w:right w:val="single" w:sz="8" w:space="0" w:color="auto"/>
            </w:tcBorders>
            <w:shd w:val="clear" w:color="auto" w:fill="FFFFFF" w:themeFill="background1"/>
            <w:noWrap/>
            <w:vAlign w:val="center"/>
          </w:tcPr>
          <w:p w14:paraId="5412D8F1" w14:textId="5C5107E0" w:rsidR="00CD0649" w:rsidRPr="00D63947" w:rsidRDefault="00CD0649" w:rsidP="00CD0649">
            <w:pPr>
              <w:keepNext/>
              <w:jc w:val="center"/>
              <w:rPr>
                <w:rFonts w:cstheme="minorHAnsi"/>
                <w:sz w:val="20"/>
                <w:szCs w:val="20"/>
              </w:rPr>
            </w:pPr>
            <w:r w:rsidRPr="00D63947">
              <w:rPr>
                <w:rFonts w:cstheme="minorHAnsi"/>
                <w:color w:val="000000"/>
                <w:sz w:val="20"/>
                <w:szCs w:val="20"/>
              </w:rPr>
              <w:t>99</w:t>
            </w:r>
          </w:p>
        </w:tc>
      </w:tr>
      <w:tr w:rsidR="00CD0649" w:rsidRPr="00D63947" w14:paraId="3F96BC31" w14:textId="77777777" w:rsidTr="00A64B19">
        <w:trPr>
          <w:trHeight w:val="288"/>
        </w:trPr>
        <w:tc>
          <w:tcPr>
            <w:tcW w:w="18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5853F8A6" w14:textId="69382423" w:rsidR="00CD0649" w:rsidRPr="00D63947" w:rsidRDefault="00CD0649" w:rsidP="00CD0649">
            <w:pPr>
              <w:rPr>
                <w:rFonts w:cstheme="minorHAnsi"/>
                <w:sz w:val="20"/>
                <w:szCs w:val="20"/>
              </w:rPr>
            </w:pPr>
            <w:r w:rsidRPr="00D63947">
              <w:rPr>
                <w:rFonts w:cstheme="minorHAnsi"/>
                <w:color w:val="000000"/>
                <w:sz w:val="20"/>
                <w:szCs w:val="20"/>
              </w:rPr>
              <w:t>Birds</w:t>
            </w:r>
          </w:p>
        </w:tc>
        <w:tc>
          <w:tcPr>
            <w:tcW w:w="876" w:type="dxa"/>
            <w:tcBorders>
              <w:top w:val="nil"/>
              <w:left w:val="nil"/>
              <w:bottom w:val="single" w:sz="8" w:space="0" w:color="auto"/>
              <w:right w:val="single" w:sz="8" w:space="0" w:color="auto"/>
            </w:tcBorders>
            <w:shd w:val="clear" w:color="auto" w:fill="FFFFFF" w:themeFill="background1"/>
            <w:vAlign w:val="center"/>
            <w:hideMark/>
          </w:tcPr>
          <w:p w14:paraId="2876E46E" w14:textId="0ED593C4" w:rsidR="00CD0649" w:rsidRPr="00D63947" w:rsidRDefault="00D15189" w:rsidP="00CD0649">
            <w:pPr>
              <w:jc w:val="center"/>
              <w:rPr>
                <w:rFonts w:cstheme="minorHAnsi"/>
                <w:sz w:val="20"/>
                <w:szCs w:val="20"/>
              </w:rPr>
            </w:pPr>
            <w:r w:rsidRPr="00D63947">
              <w:rPr>
                <w:rFonts w:cstheme="minorHAnsi"/>
                <w:color w:val="000000"/>
                <w:sz w:val="20"/>
                <w:szCs w:val="20"/>
              </w:rPr>
              <w:t>88</w:t>
            </w:r>
          </w:p>
        </w:tc>
        <w:tc>
          <w:tcPr>
            <w:tcW w:w="1030" w:type="dxa"/>
            <w:tcBorders>
              <w:top w:val="nil"/>
              <w:left w:val="nil"/>
              <w:bottom w:val="single" w:sz="8" w:space="0" w:color="auto"/>
              <w:right w:val="nil"/>
            </w:tcBorders>
            <w:shd w:val="clear" w:color="auto" w:fill="FFFFFF" w:themeFill="background1"/>
            <w:vAlign w:val="center"/>
          </w:tcPr>
          <w:p w14:paraId="7426078E" w14:textId="39472EE4" w:rsidR="00CD0649" w:rsidRPr="00D63947" w:rsidRDefault="00D15189" w:rsidP="00CD0649">
            <w:pPr>
              <w:jc w:val="center"/>
              <w:rPr>
                <w:rFonts w:cstheme="minorHAnsi"/>
                <w:sz w:val="20"/>
                <w:szCs w:val="20"/>
              </w:rPr>
            </w:pPr>
            <w:r w:rsidRPr="00D63947">
              <w:rPr>
                <w:rFonts w:cstheme="minorHAnsi"/>
                <w:color w:val="000000"/>
                <w:sz w:val="20"/>
                <w:szCs w:val="20"/>
              </w:rPr>
              <w:t>20</w:t>
            </w:r>
          </w:p>
        </w:tc>
        <w:tc>
          <w:tcPr>
            <w:tcW w:w="2168" w:type="dxa"/>
            <w:tcBorders>
              <w:top w:val="nil"/>
              <w:left w:val="single" w:sz="8" w:space="0" w:color="auto"/>
              <w:bottom w:val="single" w:sz="8" w:space="0" w:color="auto"/>
              <w:right w:val="nil"/>
            </w:tcBorders>
            <w:shd w:val="clear" w:color="auto" w:fill="FFFFFF" w:themeFill="background1"/>
            <w:noWrap/>
            <w:vAlign w:val="center"/>
            <w:hideMark/>
          </w:tcPr>
          <w:p w14:paraId="71FCCA3E" w14:textId="4CDA2D3C" w:rsidR="00CD0649" w:rsidRPr="00D63947" w:rsidRDefault="00D15189" w:rsidP="00CD0649">
            <w:pPr>
              <w:jc w:val="center"/>
              <w:rPr>
                <w:rFonts w:cstheme="minorHAnsi"/>
                <w:sz w:val="20"/>
                <w:szCs w:val="20"/>
              </w:rPr>
            </w:pPr>
            <w:r w:rsidRPr="00D63947">
              <w:rPr>
                <w:rFonts w:cstheme="minorHAnsi"/>
                <w:color w:val="000000"/>
                <w:sz w:val="20"/>
                <w:szCs w:val="20"/>
              </w:rPr>
              <w:t>10</w:t>
            </w:r>
          </w:p>
        </w:tc>
        <w:tc>
          <w:tcPr>
            <w:tcW w:w="19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9E7AFE0" w14:textId="2C8D7A03" w:rsidR="00CD0649" w:rsidRPr="00D63947" w:rsidRDefault="00D15189" w:rsidP="00CD0649">
            <w:pPr>
              <w:jc w:val="center"/>
              <w:rPr>
                <w:rFonts w:cstheme="minorHAnsi"/>
                <w:sz w:val="20"/>
                <w:szCs w:val="20"/>
              </w:rPr>
            </w:pPr>
            <w:r w:rsidRPr="00D63947">
              <w:rPr>
                <w:rFonts w:cstheme="minorHAnsi"/>
                <w:color w:val="000000"/>
                <w:sz w:val="20"/>
                <w:szCs w:val="20"/>
              </w:rPr>
              <w:t>10</w:t>
            </w:r>
          </w:p>
        </w:tc>
        <w:tc>
          <w:tcPr>
            <w:tcW w:w="1157" w:type="dxa"/>
            <w:tcBorders>
              <w:top w:val="nil"/>
              <w:left w:val="nil"/>
              <w:bottom w:val="single" w:sz="8" w:space="0" w:color="auto"/>
              <w:right w:val="single" w:sz="8" w:space="0" w:color="auto"/>
            </w:tcBorders>
            <w:shd w:val="clear" w:color="auto" w:fill="FFFFFF" w:themeFill="background1"/>
            <w:noWrap/>
            <w:vAlign w:val="center"/>
          </w:tcPr>
          <w:p w14:paraId="1852E7E3" w14:textId="58019558" w:rsidR="00CD0649" w:rsidRPr="00D63947" w:rsidRDefault="00CD0649" w:rsidP="00CD0649">
            <w:pPr>
              <w:jc w:val="center"/>
              <w:rPr>
                <w:rFonts w:cstheme="minorHAnsi"/>
                <w:sz w:val="20"/>
                <w:szCs w:val="20"/>
              </w:rPr>
            </w:pPr>
            <w:r w:rsidRPr="00D63947">
              <w:rPr>
                <w:rFonts w:cstheme="minorHAnsi"/>
                <w:color w:val="000000"/>
                <w:sz w:val="20"/>
                <w:szCs w:val="20"/>
              </w:rPr>
              <w:t>108</w:t>
            </w:r>
          </w:p>
        </w:tc>
      </w:tr>
      <w:tr w:rsidR="00CD0649" w:rsidRPr="00D63947" w14:paraId="7202DD76" w14:textId="77777777" w:rsidTr="00A64B19">
        <w:trPr>
          <w:trHeight w:val="288"/>
        </w:trPr>
        <w:tc>
          <w:tcPr>
            <w:tcW w:w="18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4BE7DA5" w14:textId="433E35F4" w:rsidR="00CD0649" w:rsidRPr="00D63947" w:rsidRDefault="00CD0649" w:rsidP="00CD0649">
            <w:pPr>
              <w:rPr>
                <w:rFonts w:cstheme="minorHAnsi"/>
                <w:sz w:val="20"/>
                <w:szCs w:val="20"/>
              </w:rPr>
            </w:pPr>
            <w:r w:rsidRPr="00D63947">
              <w:rPr>
                <w:rFonts w:cstheme="minorHAnsi"/>
                <w:color w:val="000000"/>
                <w:sz w:val="20"/>
                <w:szCs w:val="20"/>
              </w:rPr>
              <w:t>Amphibians</w:t>
            </w:r>
          </w:p>
        </w:tc>
        <w:tc>
          <w:tcPr>
            <w:tcW w:w="876" w:type="dxa"/>
            <w:tcBorders>
              <w:top w:val="nil"/>
              <w:left w:val="nil"/>
              <w:bottom w:val="single" w:sz="8" w:space="0" w:color="auto"/>
              <w:right w:val="single" w:sz="8" w:space="0" w:color="auto"/>
            </w:tcBorders>
            <w:shd w:val="clear" w:color="auto" w:fill="FFFFFF" w:themeFill="background1"/>
            <w:vAlign w:val="center"/>
            <w:hideMark/>
          </w:tcPr>
          <w:p w14:paraId="6AE6CE3F" w14:textId="15B06065" w:rsidR="00CD0649" w:rsidRPr="00D63947" w:rsidRDefault="00CD0649" w:rsidP="00CD0649">
            <w:pPr>
              <w:jc w:val="center"/>
              <w:rPr>
                <w:rFonts w:cstheme="minorHAnsi"/>
                <w:sz w:val="20"/>
                <w:szCs w:val="20"/>
              </w:rPr>
            </w:pPr>
            <w:r w:rsidRPr="00D63947">
              <w:rPr>
                <w:rFonts w:cstheme="minorHAnsi"/>
                <w:color w:val="000000"/>
                <w:sz w:val="20"/>
                <w:szCs w:val="20"/>
              </w:rPr>
              <w:t>28</w:t>
            </w:r>
          </w:p>
        </w:tc>
        <w:tc>
          <w:tcPr>
            <w:tcW w:w="1030" w:type="dxa"/>
            <w:tcBorders>
              <w:top w:val="nil"/>
              <w:left w:val="nil"/>
              <w:bottom w:val="single" w:sz="8" w:space="0" w:color="auto"/>
              <w:right w:val="nil"/>
            </w:tcBorders>
            <w:shd w:val="clear" w:color="auto" w:fill="FFFFFF" w:themeFill="background1"/>
            <w:vAlign w:val="center"/>
          </w:tcPr>
          <w:p w14:paraId="338346A4" w14:textId="736F2B61" w:rsidR="00CD0649" w:rsidRPr="00D63947" w:rsidRDefault="00CD0649" w:rsidP="00CD0649">
            <w:pPr>
              <w:jc w:val="center"/>
              <w:rPr>
                <w:rFonts w:cstheme="minorHAnsi"/>
                <w:sz w:val="20"/>
                <w:szCs w:val="20"/>
              </w:rPr>
            </w:pPr>
            <w:r w:rsidRPr="00D63947">
              <w:rPr>
                <w:rFonts w:cstheme="minorHAnsi"/>
                <w:color w:val="000000"/>
                <w:sz w:val="20"/>
                <w:szCs w:val="20"/>
              </w:rPr>
              <w:t>8</w:t>
            </w:r>
          </w:p>
        </w:tc>
        <w:tc>
          <w:tcPr>
            <w:tcW w:w="2168" w:type="dxa"/>
            <w:tcBorders>
              <w:top w:val="nil"/>
              <w:left w:val="single" w:sz="8" w:space="0" w:color="auto"/>
              <w:bottom w:val="single" w:sz="8" w:space="0" w:color="auto"/>
              <w:right w:val="nil"/>
            </w:tcBorders>
            <w:shd w:val="clear" w:color="auto" w:fill="FFFFFF" w:themeFill="background1"/>
            <w:noWrap/>
            <w:vAlign w:val="center"/>
            <w:hideMark/>
          </w:tcPr>
          <w:p w14:paraId="4E39CFE1" w14:textId="50D8F2B3" w:rsidR="00CD0649" w:rsidRPr="00D63947" w:rsidRDefault="00CD0649" w:rsidP="00CD0649">
            <w:pPr>
              <w:jc w:val="center"/>
              <w:rPr>
                <w:rFonts w:cstheme="minorHAnsi"/>
                <w:sz w:val="20"/>
                <w:szCs w:val="20"/>
              </w:rPr>
            </w:pPr>
            <w:r w:rsidRPr="00D63947">
              <w:rPr>
                <w:rFonts w:cstheme="minorHAnsi"/>
                <w:color w:val="000000"/>
                <w:sz w:val="20"/>
                <w:szCs w:val="20"/>
              </w:rPr>
              <w:t>0</w:t>
            </w:r>
          </w:p>
        </w:tc>
        <w:tc>
          <w:tcPr>
            <w:tcW w:w="19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AE8BD76" w14:textId="0EFA3601" w:rsidR="00CD0649" w:rsidRPr="00D63947" w:rsidRDefault="00CD0649" w:rsidP="00CD0649">
            <w:pPr>
              <w:jc w:val="center"/>
              <w:rPr>
                <w:rFonts w:cstheme="minorHAnsi"/>
                <w:sz w:val="20"/>
                <w:szCs w:val="20"/>
              </w:rPr>
            </w:pPr>
            <w:bookmarkStart w:id="2" w:name="_GoBack"/>
            <w:bookmarkEnd w:id="2"/>
            <w:r w:rsidRPr="00D63947">
              <w:rPr>
                <w:rFonts w:cstheme="minorHAnsi"/>
                <w:color w:val="000000"/>
                <w:sz w:val="20"/>
                <w:szCs w:val="20"/>
              </w:rPr>
              <w:t>8</w:t>
            </w:r>
          </w:p>
        </w:tc>
        <w:tc>
          <w:tcPr>
            <w:tcW w:w="1157" w:type="dxa"/>
            <w:tcBorders>
              <w:top w:val="nil"/>
              <w:left w:val="nil"/>
              <w:bottom w:val="single" w:sz="8" w:space="0" w:color="auto"/>
              <w:right w:val="single" w:sz="8" w:space="0" w:color="auto"/>
            </w:tcBorders>
            <w:shd w:val="clear" w:color="auto" w:fill="FFFFFF" w:themeFill="background1"/>
            <w:noWrap/>
            <w:vAlign w:val="center"/>
          </w:tcPr>
          <w:p w14:paraId="6DB91FB9" w14:textId="1F968B4D" w:rsidR="00CD0649" w:rsidRPr="00D63947" w:rsidRDefault="00CD0649" w:rsidP="00CD0649">
            <w:pPr>
              <w:jc w:val="center"/>
              <w:rPr>
                <w:rFonts w:cstheme="minorHAnsi"/>
                <w:sz w:val="20"/>
                <w:szCs w:val="20"/>
              </w:rPr>
            </w:pPr>
            <w:r w:rsidRPr="00D63947">
              <w:rPr>
                <w:rFonts w:cstheme="minorHAnsi"/>
                <w:color w:val="000000"/>
                <w:sz w:val="20"/>
                <w:szCs w:val="20"/>
              </w:rPr>
              <w:t>36</w:t>
            </w:r>
          </w:p>
        </w:tc>
      </w:tr>
      <w:tr w:rsidR="00CD0649" w:rsidRPr="00D63947" w14:paraId="5279EA5C" w14:textId="77777777" w:rsidTr="00A64B19">
        <w:trPr>
          <w:trHeight w:val="288"/>
        </w:trPr>
        <w:tc>
          <w:tcPr>
            <w:tcW w:w="18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2F6EF60" w14:textId="378C42BF" w:rsidR="00CD0649" w:rsidRPr="00D63947" w:rsidRDefault="00CD0649" w:rsidP="00CD0649">
            <w:pPr>
              <w:rPr>
                <w:rFonts w:cstheme="minorHAnsi"/>
                <w:sz w:val="20"/>
                <w:szCs w:val="20"/>
              </w:rPr>
            </w:pPr>
            <w:r w:rsidRPr="00D63947">
              <w:rPr>
                <w:rFonts w:cstheme="minorHAnsi"/>
                <w:color w:val="000000"/>
                <w:sz w:val="20"/>
                <w:szCs w:val="20"/>
              </w:rPr>
              <w:t>Reptiles</w:t>
            </w:r>
          </w:p>
        </w:tc>
        <w:tc>
          <w:tcPr>
            <w:tcW w:w="876" w:type="dxa"/>
            <w:tcBorders>
              <w:top w:val="nil"/>
              <w:left w:val="nil"/>
              <w:bottom w:val="single" w:sz="8" w:space="0" w:color="auto"/>
              <w:right w:val="single" w:sz="8" w:space="0" w:color="auto"/>
            </w:tcBorders>
            <w:shd w:val="clear" w:color="auto" w:fill="FFFFFF" w:themeFill="background1"/>
            <w:vAlign w:val="center"/>
            <w:hideMark/>
          </w:tcPr>
          <w:p w14:paraId="064A2B4B" w14:textId="0661277E" w:rsidR="00CD0649" w:rsidRPr="00D63947" w:rsidRDefault="00CD0649" w:rsidP="00CD0649">
            <w:pPr>
              <w:jc w:val="center"/>
              <w:rPr>
                <w:rFonts w:cstheme="minorHAnsi"/>
                <w:sz w:val="20"/>
                <w:szCs w:val="20"/>
              </w:rPr>
            </w:pPr>
            <w:r w:rsidRPr="00D63947">
              <w:rPr>
                <w:rFonts w:cstheme="minorHAnsi"/>
                <w:color w:val="000000"/>
                <w:sz w:val="20"/>
                <w:szCs w:val="20"/>
              </w:rPr>
              <w:t>38</w:t>
            </w:r>
          </w:p>
        </w:tc>
        <w:tc>
          <w:tcPr>
            <w:tcW w:w="1030" w:type="dxa"/>
            <w:tcBorders>
              <w:top w:val="nil"/>
              <w:left w:val="nil"/>
              <w:bottom w:val="single" w:sz="8" w:space="0" w:color="auto"/>
              <w:right w:val="nil"/>
            </w:tcBorders>
            <w:shd w:val="clear" w:color="auto" w:fill="FFFFFF" w:themeFill="background1"/>
            <w:vAlign w:val="center"/>
          </w:tcPr>
          <w:p w14:paraId="666B81A2" w14:textId="78FFBD18" w:rsidR="00CD0649" w:rsidRPr="00D63947" w:rsidRDefault="00CD0649" w:rsidP="00CD0649">
            <w:pPr>
              <w:jc w:val="center"/>
              <w:rPr>
                <w:rFonts w:cstheme="minorHAnsi"/>
                <w:sz w:val="20"/>
                <w:szCs w:val="20"/>
              </w:rPr>
            </w:pPr>
            <w:r w:rsidRPr="00D63947">
              <w:rPr>
                <w:rFonts w:cstheme="minorHAnsi"/>
                <w:color w:val="000000"/>
                <w:sz w:val="20"/>
                <w:szCs w:val="20"/>
              </w:rPr>
              <w:t>9</w:t>
            </w:r>
          </w:p>
        </w:tc>
        <w:tc>
          <w:tcPr>
            <w:tcW w:w="2168" w:type="dxa"/>
            <w:tcBorders>
              <w:top w:val="nil"/>
              <w:left w:val="single" w:sz="8" w:space="0" w:color="auto"/>
              <w:bottom w:val="single" w:sz="8" w:space="0" w:color="auto"/>
              <w:right w:val="nil"/>
            </w:tcBorders>
            <w:shd w:val="clear" w:color="auto" w:fill="FFFFFF" w:themeFill="background1"/>
            <w:noWrap/>
            <w:vAlign w:val="center"/>
            <w:hideMark/>
          </w:tcPr>
          <w:p w14:paraId="45591631" w14:textId="37A61D4B" w:rsidR="00CD0649" w:rsidRPr="00D63947" w:rsidRDefault="00CD0649" w:rsidP="00CD0649">
            <w:pPr>
              <w:jc w:val="center"/>
              <w:rPr>
                <w:rFonts w:cstheme="minorHAnsi"/>
                <w:sz w:val="20"/>
                <w:szCs w:val="20"/>
              </w:rPr>
            </w:pPr>
            <w:r w:rsidRPr="00D63947">
              <w:rPr>
                <w:rFonts w:cstheme="minorHAnsi"/>
                <w:color w:val="000000"/>
                <w:sz w:val="20"/>
                <w:szCs w:val="20"/>
              </w:rPr>
              <w:t>9</w:t>
            </w:r>
          </w:p>
        </w:tc>
        <w:tc>
          <w:tcPr>
            <w:tcW w:w="19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5B536B0" w14:textId="7ED694BD" w:rsidR="00CD0649" w:rsidRPr="00D63947" w:rsidRDefault="00CD0649" w:rsidP="00CD0649">
            <w:pPr>
              <w:jc w:val="center"/>
              <w:rPr>
                <w:rFonts w:cstheme="minorHAnsi"/>
                <w:sz w:val="20"/>
                <w:szCs w:val="20"/>
              </w:rPr>
            </w:pPr>
            <w:r w:rsidRPr="00D63947">
              <w:rPr>
                <w:rFonts w:cstheme="minorHAnsi"/>
                <w:color w:val="000000"/>
                <w:sz w:val="20"/>
                <w:szCs w:val="20"/>
              </w:rPr>
              <w:t>0</w:t>
            </w:r>
          </w:p>
        </w:tc>
        <w:tc>
          <w:tcPr>
            <w:tcW w:w="1157" w:type="dxa"/>
            <w:tcBorders>
              <w:top w:val="nil"/>
              <w:left w:val="nil"/>
              <w:bottom w:val="single" w:sz="8" w:space="0" w:color="auto"/>
              <w:right w:val="single" w:sz="8" w:space="0" w:color="auto"/>
            </w:tcBorders>
            <w:shd w:val="clear" w:color="auto" w:fill="FFFFFF" w:themeFill="background1"/>
            <w:noWrap/>
            <w:vAlign w:val="center"/>
          </w:tcPr>
          <w:p w14:paraId="13FFAC19" w14:textId="06AE09F8" w:rsidR="00CD0649" w:rsidRPr="00D63947" w:rsidRDefault="00CD0649" w:rsidP="00CD0649">
            <w:pPr>
              <w:jc w:val="center"/>
              <w:rPr>
                <w:rFonts w:cstheme="minorHAnsi"/>
                <w:sz w:val="20"/>
                <w:szCs w:val="20"/>
              </w:rPr>
            </w:pPr>
            <w:r w:rsidRPr="00D63947">
              <w:rPr>
                <w:rFonts w:cstheme="minorHAnsi"/>
                <w:color w:val="000000"/>
                <w:sz w:val="20"/>
                <w:szCs w:val="20"/>
              </w:rPr>
              <w:t>47</w:t>
            </w:r>
          </w:p>
        </w:tc>
      </w:tr>
      <w:tr w:rsidR="00CD0649" w:rsidRPr="00D63947" w14:paraId="01A10C72" w14:textId="77777777" w:rsidTr="00A64B19">
        <w:trPr>
          <w:trHeight w:val="288"/>
        </w:trPr>
        <w:tc>
          <w:tcPr>
            <w:tcW w:w="18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A20BCDD" w14:textId="577D1402" w:rsidR="00CD0649" w:rsidRPr="00D63947" w:rsidRDefault="00CD0649" w:rsidP="00CD0649">
            <w:pPr>
              <w:rPr>
                <w:rFonts w:cstheme="minorHAnsi"/>
                <w:sz w:val="20"/>
                <w:szCs w:val="20"/>
              </w:rPr>
            </w:pPr>
            <w:r w:rsidRPr="00D63947">
              <w:rPr>
                <w:rFonts w:cstheme="minorHAnsi"/>
                <w:color w:val="000000"/>
                <w:sz w:val="20"/>
                <w:szCs w:val="20"/>
              </w:rPr>
              <w:t>Fish</w:t>
            </w:r>
          </w:p>
        </w:tc>
        <w:tc>
          <w:tcPr>
            <w:tcW w:w="876" w:type="dxa"/>
            <w:tcBorders>
              <w:top w:val="nil"/>
              <w:left w:val="nil"/>
              <w:bottom w:val="single" w:sz="8" w:space="0" w:color="auto"/>
              <w:right w:val="single" w:sz="8" w:space="0" w:color="auto"/>
            </w:tcBorders>
            <w:shd w:val="clear" w:color="auto" w:fill="FFFFFF" w:themeFill="background1"/>
            <w:vAlign w:val="center"/>
            <w:hideMark/>
          </w:tcPr>
          <w:p w14:paraId="44FA4446" w14:textId="5A3ACF2E" w:rsidR="00CD0649" w:rsidRPr="00D63947" w:rsidRDefault="00CD0649" w:rsidP="00CD0649">
            <w:pPr>
              <w:jc w:val="center"/>
              <w:rPr>
                <w:rFonts w:cstheme="minorHAnsi"/>
                <w:sz w:val="20"/>
                <w:szCs w:val="20"/>
              </w:rPr>
            </w:pPr>
            <w:r w:rsidRPr="00D63947">
              <w:rPr>
                <w:rFonts w:cstheme="minorHAnsi"/>
                <w:color w:val="000000"/>
                <w:sz w:val="20"/>
                <w:szCs w:val="20"/>
              </w:rPr>
              <w:t>161</w:t>
            </w:r>
          </w:p>
        </w:tc>
        <w:tc>
          <w:tcPr>
            <w:tcW w:w="1030" w:type="dxa"/>
            <w:tcBorders>
              <w:top w:val="nil"/>
              <w:left w:val="nil"/>
              <w:bottom w:val="single" w:sz="8" w:space="0" w:color="auto"/>
              <w:right w:val="nil"/>
            </w:tcBorders>
            <w:shd w:val="clear" w:color="auto" w:fill="FFFFFF" w:themeFill="background1"/>
            <w:vAlign w:val="center"/>
          </w:tcPr>
          <w:p w14:paraId="501A110A" w14:textId="1416F92C" w:rsidR="00CD0649" w:rsidRPr="00D63947" w:rsidRDefault="00CD0649" w:rsidP="00CD0649">
            <w:pPr>
              <w:jc w:val="center"/>
              <w:rPr>
                <w:rFonts w:cstheme="minorHAnsi"/>
                <w:sz w:val="20"/>
                <w:szCs w:val="20"/>
              </w:rPr>
            </w:pPr>
            <w:r w:rsidRPr="00D63947">
              <w:rPr>
                <w:rFonts w:cstheme="minorHAnsi"/>
                <w:color w:val="000000"/>
                <w:sz w:val="20"/>
                <w:szCs w:val="20"/>
              </w:rPr>
              <w:t>29</w:t>
            </w:r>
          </w:p>
        </w:tc>
        <w:tc>
          <w:tcPr>
            <w:tcW w:w="2168" w:type="dxa"/>
            <w:tcBorders>
              <w:top w:val="nil"/>
              <w:left w:val="single" w:sz="8" w:space="0" w:color="auto"/>
              <w:bottom w:val="single" w:sz="8" w:space="0" w:color="auto"/>
              <w:right w:val="nil"/>
            </w:tcBorders>
            <w:shd w:val="clear" w:color="auto" w:fill="FFFFFF" w:themeFill="background1"/>
            <w:noWrap/>
            <w:vAlign w:val="center"/>
            <w:hideMark/>
          </w:tcPr>
          <w:p w14:paraId="130C7DC9" w14:textId="537165E6" w:rsidR="00CD0649" w:rsidRPr="00D63947" w:rsidRDefault="00CD0649" w:rsidP="00CD0649">
            <w:pPr>
              <w:jc w:val="center"/>
              <w:rPr>
                <w:rFonts w:cstheme="minorHAnsi"/>
                <w:sz w:val="20"/>
                <w:szCs w:val="20"/>
              </w:rPr>
            </w:pPr>
            <w:r w:rsidRPr="00D63947">
              <w:rPr>
                <w:rFonts w:cstheme="minorHAnsi"/>
                <w:color w:val="000000"/>
                <w:sz w:val="20"/>
                <w:szCs w:val="20"/>
              </w:rPr>
              <w:t>19</w:t>
            </w:r>
          </w:p>
        </w:tc>
        <w:tc>
          <w:tcPr>
            <w:tcW w:w="19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14230A1" w14:textId="171CB7AD" w:rsidR="00CD0649" w:rsidRPr="00D63947" w:rsidRDefault="00CD0649" w:rsidP="00CD0649">
            <w:pPr>
              <w:jc w:val="center"/>
              <w:rPr>
                <w:rFonts w:cstheme="minorHAnsi"/>
                <w:sz w:val="20"/>
                <w:szCs w:val="20"/>
              </w:rPr>
            </w:pPr>
            <w:r w:rsidRPr="00D63947">
              <w:rPr>
                <w:rFonts w:cstheme="minorHAnsi"/>
                <w:color w:val="000000"/>
                <w:sz w:val="20"/>
                <w:szCs w:val="20"/>
              </w:rPr>
              <w:t>10</w:t>
            </w:r>
          </w:p>
        </w:tc>
        <w:tc>
          <w:tcPr>
            <w:tcW w:w="1157" w:type="dxa"/>
            <w:tcBorders>
              <w:top w:val="nil"/>
              <w:left w:val="nil"/>
              <w:bottom w:val="single" w:sz="8" w:space="0" w:color="auto"/>
              <w:right w:val="single" w:sz="8" w:space="0" w:color="auto"/>
            </w:tcBorders>
            <w:shd w:val="clear" w:color="auto" w:fill="FFFFFF" w:themeFill="background1"/>
            <w:noWrap/>
            <w:vAlign w:val="center"/>
          </w:tcPr>
          <w:p w14:paraId="43507B90" w14:textId="19AFA0FA" w:rsidR="00CD0649" w:rsidRPr="00D63947" w:rsidRDefault="00CD0649" w:rsidP="00CD0649">
            <w:pPr>
              <w:jc w:val="center"/>
              <w:rPr>
                <w:rFonts w:cstheme="minorHAnsi"/>
                <w:sz w:val="20"/>
                <w:szCs w:val="20"/>
              </w:rPr>
            </w:pPr>
            <w:r w:rsidRPr="00D63947">
              <w:rPr>
                <w:rFonts w:cstheme="minorHAnsi"/>
                <w:color w:val="000000"/>
                <w:sz w:val="20"/>
                <w:szCs w:val="20"/>
              </w:rPr>
              <w:t>190</w:t>
            </w:r>
          </w:p>
        </w:tc>
      </w:tr>
      <w:tr w:rsidR="00CD0649" w:rsidRPr="00D63947" w14:paraId="664CE705" w14:textId="77777777" w:rsidTr="00A64B19">
        <w:trPr>
          <w:trHeight w:val="288"/>
        </w:trPr>
        <w:tc>
          <w:tcPr>
            <w:tcW w:w="18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1A672FAF" w14:textId="23F6873F" w:rsidR="00CD0649" w:rsidRPr="00D63947" w:rsidRDefault="00CD0649" w:rsidP="00CD0649">
            <w:pPr>
              <w:rPr>
                <w:rFonts w:cstheme="minorHAnsi"/>
                <w:sz w:val="20"/>
                <w:szCs w:val="20"/>
              </w:rPr>
            </w:pPr>
            <w:r w:rsidRPr="00D63947">
              <w:rPr>
                <w:rFonts w:cstheme="minorHAnsi"/>
                <w:color w:val="000000"/>
                <w:sz w:val="20"/>
                <w:szCs w:val="20"/>
              </w:rPr>
              <w:t>Plants</w:t>
            </w:r>
          </w:p>
        </w:tc>
        <w:tc>
          <w:tcPr>
            <w:tcW w:w="876" w:type="dxa"/>
            <w:tcBorders>
              <w:top w:val="nil"/>
              <w:left w:val="nil"/>
              <w:bottom w:val="single" w:sz="8" w:space="0" w:color="auto"/>
              <w:right w:val="single" w:sz="8" w:space="0" w:color="auto"/>
            </w:tcBorders>
            <w:shd w:val="clear" w:color="auto" w:fill="FFFFFF" w:themeFill="background1"/>
            <w:vAlign w:val="center"/>
            <w:hideMark/>
          </w:tcPr>
          <w:p w14:paraId="039CFDE2" w14:textId="368FFF3B" w:rsidR="00CD0649" w:rsidRPr="00D63947" w:rsidRDefault="00CD0649" w:rsidP="00CD0649">
            <w:pPr>
              <w:jc w:val="center"/>
              <w:rPr>
                <w:rFonts w:cstheme="minorHAnsi"/>
                <w:sz w:val="20"/>
                <w:szCs w:val="20"/>
              </w:rPr>
            </w:pPr>
            <w:r w:rsidRPr="00D63947">
              <w:rPr>
                <w:rFonts w:cstheme="minorHAnsi"/>
                <w:color w:val="000000"/>
                <w:sz w:val="20"/>
                <w:szCs w:val="20"/>
              </w:rPr>
              <w:t>914</w:t>
            </w:r>
          </w:p>
        </w:tc>
        <w:tc>
          <w:tcPr>
            <w:tcW w:w="1030" w:type="dxa"/>
            <w:tcBorders>
              <w:top w:val="nil"/>
              <w:left w:val="nil"/>
              <w:bottom w:val="single" w:sz="8" w:space="0" w:color="auto"/>
              <w:right w:val="nil"/>
            </w:tcBorders>
            <w:shd w:val="clear" w:color="auto" w:fill="FFFFFF" w:themeFill="background1"/>
            <w:vAlign w:val="center"/>
          </w:tcPr>
          <w:p w14:paraId="38C473A6" w14:textId="11A4F233" w:rsidR="00CD0649" w:rsidRPr="00D63947" w:rsidRDefault="00CD0649" w:rsidP="00CD0649">
            <w:pPr>
              <w:jc w:val="center"/>
              <w:rPr>
                <w:rFonts w:cstheme="minorHAnsi"/>
                <w:sz w:val="20"/>
                <w:szCs w:val="20"/>
              </w:rPr>
            </w:pPr>
            <w:r w:rsidRPr="00D63947">
              <w:rPr>
                <w:rFonts w:cstheme="minorHAnsi"/>
                <w:color w:val="000000"/>
                <w:sz w:val="20"/>
                <w:szCs w:val="20"/>
              </w:rPr>
              <w:t>34</w:t>
            </w:r>
          </w:p>
        </w:tc>
        <w:tc>
          <w:tcPr>
            <w:tcW w:w="2168" w:type="dxa"/>
            <w:tcBorders>
              <w:top w:val="nil"/>
              <w:left w:val="single" w:sz="8" w:space="0" w:color="auto"/>
              <w:bottom w:val="single" w:sz="8" w:space="0" w:color="auto"/>
              <w:right w:val="nil"/>
            </w:tcBorders>
            <w:shd w:val="clear" w:color="auto" w:fill="FFFFFF" w:themeFill="background1"/>
            <w:noWrap/>
            <w:vAlign w:val="center"/>
            <w:hideMark/>
          </w:tcPr>
          <w:p w14:paraId="63956D66" w14:textId="2708C263" w:rsidR="00CD0649" w:rsidRPr="00D63947" w:rsidRDefault="00CD0649" w:rsidP="00CD0649">
            <w:pPr>
              <w:jc w:val="center"/>
              <w:rPr>
                <w:rFonts w:cstheme="minorHAnsi"/>
                <w:sz w:val="20"/>
                <w:szCs w:val="20"/>
              </w:rPr>
            </w:pPr>
            <w:r w:rsidRPr="00D63947">
              <w:rPr>
                <w:rFonts w:cstheme="minorHAnsi"/>
                <w:color w:val="000000"/>
                <w:sz w:val="20"/>
                <w:szCs w:val="20"/>
              </w:rPr>
              <w:t>20</w:t>
            </w:r>
          </w:p>
        </w:tc>
        <w:tc>
          <w:tcPr>
            <w:tcW w:w="19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692CC26" w14:textId="6B431606" w:rsidR="00CD0649" w:rsidRPr="00D63947" w:rsidRDefault="00CD0649" w:rsidP="00CD0649">
            <w:pPr>
              <w:jc w:val="center"/>
              <w:rPr>
                <w:rFonts w:cstheme="minorHAnsi"/>
                <w:sz w:val="20"/>
                <w:szCs w:val="20"/>
              </w:rPr>
            </w:pPr>
            <w:r w:rsidRPr="00D63947">
              <w:rPr>
                <w:rFonts w:cstheme="minorHAnsi"/>
                <w:color w:val="000000"/>
                <w:sz w:val="20"/>
                <w:szCs w:val="20"/>
              </w:rPr>
              <w:t>14</w:t>
            </w:r>
          </w:p>
        </w:tc>
        <w:tc>
          <w:tcPr>
            <w:tcW w:w="1157" w:type="dxa"/>
            <w:tcBorders>
              <w:top w:val="nil"/>
              <w:left w:val="nil"/>
              <w:bottom w:val="single" w:sz="8" w:space="0" w:color="auto"/>
              <w:right w:val="single" w:sz="8" w:space="0" w:color="auto"/>
            </w:tcBorders>
            <w:shd w:val="clear" w:color="auto" w:fill="FFFFFF" w:themeFill="background1"/>
            <w:noWrap/>
            <w:vAlign w:val="center"/>
          </w:tcPr>
          <w:p w14:paraId="78AED5CC" w14:textId="24DDBBE4" w:rsidR="00CD0649" w:rsidRPr="00D63947" w:rsidRDefault="00CD0649" w:rsidP="00CD0649">
            <w:pPr>
              <w:jc w:val="center"/>
              <w:rPr>
                <w:rFonts w:cstheme="minorHAnsi"/>
                <w:sz w:val="20"/>
                <w:szCs w:val="20"/>
              </w:rPr>
            </w:pPr>
            <w:r w:rsidRPr="00D63947">
              <w:rPr>
                <w:rFonts w:cstheme="minorHAnsi"/>
                <w:color w:val="000000"/>
                <w:sz w:val="20"/>
                <w:szCs w:val="20"/>
              </w:rPr>
              <w:t>948</w:t>
            </w:r>
          </w:p>
        </w:tc>
      </w:tr>
      <w:tr w:rsidR="00CD0649" w:rsidRPr="00D63947" w14:paraId="5DAC1C03" w14:textId="77777777" w:rsidTr="00A64B19">
        <w:trPr>
          <w:trHeight w:val="288"/>
        </w:trPr>
        <w:tc>
          <w:tcPr>
            <w:tcW w:w="18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F47AB05" w14:textId="1B454EFC" w:rsidR="00CD0649" w:rsidRPr="00D63947" w:rsidRDefault="00CD0649" w:rsidP="00CD0649">
            <w:pPr>
              <w:rPr>
                <w:rFonts w:cstheme="minorHAnsi"/>
                <w:sz w:val="20"/>
                <w:szCs w:val="20"/>
              </w:rPr>
            </w:pPr>
            <w:r w:rsidRPr="00D63947">
              <w:rPr>
                <w:rFonts w:cstheme="minorHAnsi"/>
                <w:color w:val="000000"/>
                <w:sz w:val="20"/>
                <w:szCs w:val="20"/>
              </w:rPr>
              <w:t>Aquatic Invertebrates</w:t>
            </w:r>
          </w:p>
        </w:tc>
        <w:tc>
          <w:tcPr>
            <w:tcW w:w="876" w:type="dxa"/>
            <w:tcBorders>
              <w:top w:val="nil"/>
              <w:left w:val="nil"/>
              <w:bottom w:val="single" w:sz="8" w:space="0" w:color="auto"/>
              <w:right w:val="single" w:sz="8" w:space="0" w:color="auto"/>
            </w:tcBorders>
            <w:shd w:val="clear" w:color="auto" w:fill="FFFFFF" w:themeFill="background1"/>
            <w:vAlign w:val="center"/>
            <w:hideMark/>
          </w:tcPr>
          <w:p w14:paraId="6B78B07C" w14:textId="400A50FB" w:rsidR="00CD0649" w:rsidRPr="00D63947" w:rsidRDefault="00D15189" w:rsidP="00CD0649">
            <w:pPr>
              <w:jc w:val="center"/>
              <w:rPr>
                <w:rFonts w:cstheme="minorHAnsi"/>
                <w:sz w:val="20"/>
                <w:szCs w:val="20"/>
              </w:rPr>
            </w:pPr>
            <w:r w:rsidRPr="00D63947">
              <w:rPr>
                <w:rFonts w:cstheme="minorHAnsi"/>
                <w:color w:val="000000"/>
                <w:sz w:val="20"/>
                <w:szCs w:val="20"/>
              </w:rPr>
              <w:t>182</w:t>
            </w:r>
          </w:p>
        </w:tc>
        <w:tc>
          <w:tcPr>
            <w:tcW w:w="1030" w:type="dxa"/>
            <w:tcBorders>
              <w:top w:val="nil"/>
              <w:left w:val="nil"/>
              <w:bottom w:val="single" w:sz="8" w:space="0" w:color="auto"/>
              <w:right w:val="nil"/>
            </w:tcBorders>
            <w:shd w:val="clear" w:color="auto" w:fill="FFFFFF" w:themeFill="background1"/>
            <w:vAlign w:val="center"/>
          </w:tcPr>
          <w:p w14:paraId="101784CE" w14:textId="0FC29C85" w:rsidR="00CD0649" w:rsidRPr="00D63947" w:rsidRDefault="00D15189" w:rsidP="00CD0649">
            <w:pPr>
              <w:jc w:val="center"/>
              <w:rPr>
                <w:rFonts w:cstheme="minorHAnsi"/>
                <w:sz w:val="20"/>
                <w:szCs w:val="20"/>
              </w:rPr>
            </w:pPr>
            <w:r w:rsidRPr="00D63947">
              <w:rPr>
                <w:rFonts w:cstheme="minorHAnsi"/>
                <w:color w:val="000000"/>
                <w:sz w:val="20"/>
                <w:szCs w:val="20"/>
              </w:rPr>
              <w:t>25</w:t>
            </w:r>
          </w:p>
        </w:tc>
        <w:tc>
          <w:tcPr>
            <w:tcW w:w="2168" w:type="dxa"/>
            <w:tcBorders>
              <w:top w:val="nil"/>
              <w:left w:val="single" w:sz="8" w:space="0" w:color="auto"/>
              <w:bottom w:val="single" w:sz="8" w:space="0" w:color="auto"/>
              <w:right w:val="nil"/>
            </w:tcBorders>
            <w:shd w:val="clear" w:color="auto" w:fill="FFFFFF" w:themeFill="background1"/>
            <w:noWrap/>
            <w:vAlign w:val="center"/>
            <w:hideMark/>
          </w:tcPr>
          <w:p w14:paraId="714E7AC5" w14:textId="3D4EE8A7" w:rsidR="00CD0649" w:rsidRPr="00D63947" w:rsidRDefault="00D15189" w:rsidP="00CD0649">
            <w:pPr>
              <w:jc w:val="center"/>
              <w:rPr>
                <w:rFonts w:cstheme="minorHAnsi"/>
                <w:sz w:val="20"/>
                <w:szCs w:val="20"/>
              </w:rPr>
            </w:pPr>
            <w:r w:rsidRPr="00D63947">
              <w:rPr>
                <w:rFonts w:cstheme="minorHAnsi"/>
                <w:color w:val="000000"/>
                <w:sz w:val="20"/>
                <w:szCs w:val="20"/>
              </w:rPr>
              <w:t>9</w:t>
            </w:r>
          </w:p>
        </w:tc>
        <w:tc>
          <w:tcPr>
            <w:tcW w:w="19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AC8D0A6" w14:textId="14252BFA" w:rsidR="00CD0649" w:rsidRPr="00D63947" w:rsidRDefault="00D15189" w:rsidP="00CD0649">
            <w:pPr>
              <w:jc w:val="center"/>
              <w:rPr>
                <w:rFonts w:cstheme="minorHAnsi"/>
                <w:sz w:val="20"/>
                <w:szCs w:val="20"/>
              </w:rPr>
            </w:pPr>
            <w:r w:rsidRPr="00D63947">
              <w:rPr>
                <w:rFonts w:cstheme="minorHAnsi"/>
                <w:color w:val="000000"/>
                <w:sz w:val="20"/>
                <w:szCs w:val="20"/>
              </w:rPr>
              <w:t>16</w:t>
            </w:r>
          </w:p>
        </w:tc>
        <w:tc>
          <w:tcPr>
            <w:tcW w:w="1157" w:type="dxa"/>
            <w:tcBorders>
              <w:top w:val="nil"/>
              <w:left w:val="nil"/>
              <w:bottom w:val="single" w:sz="8" w:space="0" w:color="auto"/>
              <w:right w:val="single" w:sz="8" w:space="0" w:color="auto"/>
            </w:tcBorders>
            <w:shd w:val="clear" w:color="auto" w:fill="FFFFFF" w:themeFill="background1"/>
            <w:noWrap/>
            <w:vAlign w:val="center"/>
          </w:tcPr>
          <w:p w14:paraId="34F95E86" w14:textId="48CB3421" w:rsidR="00CD0649" w:rsidRPr="00D63947" w:rsidRDefault="00CD0649" w:rsidP="00CD0649">
            <w:pPr>
              <w:jc w:val="center"/>
              <w:rPr>
                <w:rFonts w:cstheme="minorHAnsi"/>
                <w:sz w:val="20"/>
                <w:szCs w:val="20"/>
              </w:rPr>
            </w:pPr>
            <w:r w:rsidRPr="00D63947">
              <w:rPr>
                <w:rFonts w:cstheme="minorHAnsi"/>
                <w:color w:val="000000"/>
                <w:sz w:val="20"/>
                <w:szCs w:val="20"/>
              </w:rPr>
              <w:t>207</w:t>
            </w:r>
          </w:p>
        </w:tc>
      </w:tr>
      <w:tr w:rsidR="00CD0649" w:rsidRPr="00D63947" w14:paraId="050273B5" w14:textId="77777777" w:rsidTr="00A64B19">
        <w:trPr>
          <w:trHeight w:val="288"/>
        </w:trPr>
        <w:tc>
          <w:tcPr>
            <w:tcW w:w="1878"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EBB770F" w14:textId="0F6FD5C6" w:rsidR="00CD0649" w:rsidRPr="00D63947" w:rsidRDefault="00CD0649" w:rsidP="00CD0649">
            <w:pPr>
              <w:rPr>
                <w:rFonts w:cstheme="minorHAnsi"/>
                <w:sz w:val="20"/>
                <w:szCs w:val="20"/>
              </w:rPr>
            </w:pPr>
            <w:r w:rsidRPr="00D63947">
              <w:rPr>
                <w:rFonts w:cstheme="minorHAnsi"/>
                <w:color w:val="000000"/>
                <w:sz w:val="20"/>
                <w:szCs w:val="20"/>
              </w:rPr>
              <w:t>Terrestrial Invertebrates</w:t>
            </w:r>
          </w:p>
        </w:tc>
        <w:tc>
          <w:tcPr>
            <w:tcW w:w="876" w:type="dxa"/>
            <w:tcBorders>
              <w:top w:val="nil"/>
              <w:left w:val="nil"/>
              <w:bottom w:val="single" w:sz="8" w:space="0" w:color="auto"/>
              <w:right w:val="single" w:sz="8" w:space="0" w:color="auto"/>
            </w:tcBorders>
            <w:shd w:val="clear" w:color="auto" w:fill="FFFFFF" w:themeFill="background1"/>
            <w:vAlign w:val="center"/>
            <w:hideMark/>
          </w:tcPr>
          <w:p w14:paraId="68D3375D" w14:textId="603989F7" w:rsidR="00CD0649" w:rsidRPr="00D63947" w:rsidRDefault="00D15189" w:rsidP="00CD0649">
            <w:pPr>
              <w:jc w:val="center"/>
              <w:rPr>
                <w:rFonts w:cstheme="minorHAnsi"/>
                <w:sz w:val="20"/>
                <w:szCs w:val="20"/>
              </w:rPr>
            </w:pPr>
            <w:r w:rsidRPr="00D63947">
              <w:rPr>
                <w:rFonts w:cstheme="minorHAnsi"/>
                <w:color w:val="000000"/>
                <w:sz w:val="20"/>
                <w:szCs w:val="20"/>
              </w:rPr>
              <w:t>140</w:t>
            </w:r>
          </w:p>
        </w:tc>
        <w:tc>
          <w:tcPr>
            <w:tcW w:w="1030" w:type="dxa"/>
            <w:tcBorders>
              <w:top w:val="nil"/>
              <w:left w:val="nil"/>
              <w:bottom w:val="single" w:sz="8" w:space="0" w:color="auto"/>
              <w:right w:val="nil"/>
            </w:tcBorders>
            <w:shd w:val="clear" w:color="auto" w:fill="FFFFFF" w:themeFill="background1"/>
            <w:vAlign w:val="center"/>
          </w:tcPr>
          <w:p w14:paraId="09FFDE7A" w14:textId="2439ABDD" w:rsidR="00CD0649" w:rsidRPr="00D63947" w:rsidRDefault="00D15189" w:rsidP="00CD0649">
            <w:pPr>
              <w:jc w:val="center"/>
              <w:rPr>
                <w:rFonts w:cstheme="minorHAnsi"/>
                <w:sz w:val="20"/>
                <w:szCs w:val="20"/>
              </w:rPr>
            </w:pPr>
            <w:r w:rsidRPr="00D63947">
              <w:rPr>
                <w:rFonts w:cstheme="minorHAnsi"/>
                <w:color w:val="000000"/>
                <w:sz w:val="20"/>
                <w:szCs w:val="20"/>
              </w:rPr>
              <w:t>20</w:t>
            </w:r>
          </w:p>
        </w:tc>
        <w:tc>
          <w:tcPr>
            <w:tcW w:w="2168" w:type="dxa"/>
            <w:tcBorders>
              <w:top w:val="nil"/>
              <w:left w:val="single" w:sz="8" w:space="0" w:color="auto"/>
              <w:bottom w:val="single" w:sz="8" w:space="0" w:color="auto"/>
              <w:right w:val="nil"/>
            </w:tcBorders>
            <w:shd w:val="clear" w:color="auto" w:fill="FFFFFF" w:themeFill="background1"/>
            <w:noWrap/>
            <w:vAlign w:val="center"/>
            <w:hideMark/>
          </w:tcPr>
          <w:p w14:paraId="3806B32E" w14:textId="65660BF4" w:rsidR="00CD0649" w:rsidRPr="00D63947" w:rsidRDefault="00CD0649" w:rsidP="00CD0649">
            <w:pPr>
              <w:jc w:val="center"/>
              <w:rPr>
                <w:rFonts w:cstheme="minorHAnsi"/>
                <w:sz w:val="20"/>
                <w:szCs w:val="20"/>
              </w:rPr>
            </w:pPr>
            <w:r w:rsidRPr="00D63947">
              <w:rPr>
                <w:rFonts w:cstheme="minorHAnsi"/>
                <w:color w:val="000000"/>
                <w:sz w:val="20"/>
                <w:szCs w:val="20"/>
              </w:rPr>
              <w:t>18</w:t>
            </w:r>
          </w:p>
        </w:tc>
        <w:tc>
          <w:tcPr>
            <w:tcW w:w="1963"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7414C2C6" w14:textId="7BDE1067" w:rsidR="00CD0649" w:rsidRPr="00D63947" w:rsidRDefault="00D15189" w:rsidP="00CD0649">
            <w:pPr>
              <w:jc w:val="center"/>
              <w:rPr>
                <w:rFonts w:cstheme="minorHAnsi"/>
                <w:sz w:val="20"/>
                <w:szCs w:val="20"/>
              </w:rPr>
            </w:pPr>
            <w:r w:rsidRPr="00D63947">
              <w:rPr>
                <w:rFonts w:cstheme="minorHAnsi"/>
                <w:color w:val="000000"/>
                <w:sz w:val="20"/>
                <w:szCs w:val="20"/>
              </w:rPr>
              <w:t>2</w:t>
            </w:r>
          </w:p>
        </w:tc>
        <w:tc>
          <w:tcPr>
            <w:tcW w:w="1157" w:type="dxa"/>
            <w:tcBorders>
              <w:top w:val="nil"/>
              <w:left w:val="nil"/>
              <w:bottom w:val="single" w:sz="8" w:space="0" w:color="auto"/>
              <w:right w:val="single" w:sz="8" w:space="0" w:color="auto"/>
            </w:tcBorders>
            <w:shd w:val="clear" w:color="auto" w:fill="FFFFFF" w:themeFill="background1"/>
            <w:noWrap/>
            <w:vAlign w:val="center"/>
          </w:tcPr>
          <w:p w14:paraId="5B8128AE" w14:textId="4DBC23ED" w:rsidR="00CD0649" w:rsidRPr="00D63947" w:rsidRDefault="00CD0649" w:rsidP="00CD0649">
            <w:pPr>
              <w:jc w:val="center"/>
              <w:rPr>
                <w:rFonts w:cstheme="minorHAnsi"/>
                <w:sz w:val="20"/>
                <w:szCs w:val="20"/>
              </w:rPr>
            </w:pPr>
            <w:r w:rsidRPr="00D63947">
              <w:rPr>
                <w:rFonts w:cstheme="minorHAnsi"/>
                <w:color w:val="000000"/>
                <w:sz w:val="20"/>
                <w:szCs w:val="20"/>
              </w:rPr>
              <w:t>160</w:t>
            </w:r>
          </w:p>
        </w:tc>
      </w:tr>
      <w:tr w:rsidR="00CD0649" w:rsidRPr="00D63947" w14:paraId="59A8A1DB" w14:textId="77777777" w:rsidTr="00A64B19">
        <w:trPr>
          <w:trHeight w:val="288"/>
        </w:trPr>
        <w:tc>
          <w:tcPr>
            <w:tcW w:w="1878" w:type="dxa"/>
            <w:tcBorders>
              <w:top w:val="nil"/>
              <w:left w:val="single" w:sz="8" w:space="0" w:color="auto"/>
              <w:bottom w:val="single" w:sz="8" w:space="0" w:color="auto"/>
              <w:right w:val="single" w:sz="8" w:space="0" w:color="auto"/>
            </w:tcBorders>
            <w:shd w:val="clear" w:color="000000" w:fill="D9D9D9"/>
            <w:noWrap/>
            <w:vAlign w:val="center"/>
            <w:hideMark/>
          </w:tcPr>
          <w:p w14:paraId="4A1D87B9" w14:textId="34CBB09C" w:rsidR="00CD0649" w:rsidRPr="00D63947" w:rsidRDefault="00CD0649" w:rsidP="00CD0649">
            <w:pPr>
              <w:rPr>
                <w:rFonts w:cstheme="minorHAnsi"/>
                <w:sz w:val="20"/>
                <w:szCs w:val="20"/>
              </w:rPr>
            </w:pPr>
            <w:r w:rsidRPr="00D63947">
              <w:rPr>
                <w:rFonts w:cstheme="minorHAnsi"/>
                <w:color w:val="000000"/>
                <w:sz w:val="20"/>
                <w:szCs w:val="20"/>
              </w:rPr>
              <w:t>Total</w:t>
            </w:r>
          </w:p>
        </w:tc>
        <w:tc>
          <w:tcPr>
            <w:tcW w:w="876" w:type="dxa"/>
            <w:tcBorders>
              <w:top w:val="nil"/>
              <w:left w:val="nil"/>
              <w:bottom w:val="single" w:sz="8" w:space="0" w:color="auto"/>
              <w:right w:val="single" w:sz="8" w:space="0" w:color="auto"/>
            </w:tcBorders>
            <w:shd w:val="clear" w:color="000000" w:fill="D9D9D9"/>
            <w:vAlign w:val="center"/>
          </w:tcPr>
          <w:p w14:paraId="69EC9B0C" w14:textId="7D5B0E67" w:rsidR="00CD0649" w:rsidRPr="00D63947" w:rsidRDefault="00D15189" w:rsidP="00CD0649">
            <w:pPr>
              <w:jc w:val="center"/>
              <w:rPr>
                <w:rFonts w:cstheme="minorHAnsi"/>
                <w:sz w:val="20"/>
                <w:szCs w:val="20"/>
              </w:rPr>
            </w:pPr>
            <w:r w:rsidRPr="00D63947">
              <w:rPr>
                <w:rFonts w:cstheme="minorHAnsi"/>
                <w:color w:val="000000"/>
                <w:sz w:val="20"/>
                <w:szCs w:val="20"/>
              </w:rPr>
              <w:t>1636</w:t>
            </w:r>
          </w:p>
        </w:tc>
        <w:tc>
          <w:tcPr>
            <w:tcW w:w="1030" w:type="dxa"/>
            <w:tcBorders>
              <w:top w:val="nil"/>
              <w:left w:val="nil"/>
              <w:bottom w:val="single" w:sz="8" w:space="0" w:color="auto"/>
              <w:right w:val="single" w:sz="8" w:space="0" w:color="auto"/>
            </w:tcBorders>
            <w:shd w:val="clear" w:color="000000" w:fill="D9D9D9"/>
            <w:vAlign w:val="center"/>
          </w:tcPr>
          <w:p w14:paraId="35050935" w14:textId="4679030E" w:rsidR="00CD0649" w:rsidRPr="00D63947" w:rsidRDefault="00D15189" w:rsidP="00CD0649">
            <w:pPr>
              <w:jc w:val="center"/>
              <w:rPr>
                <w:rFonts w:cstheme="minorHAnsi"/>
                <w:sz w:val="20"/>
                <w:szCs w:val="20"/>
              </w:rPr>
            </w:pPr>
            <w:r w:rsidRPr="00D63947">
              <w:rPr>
                <w:rFonts w:cstheme="minorHAnsi"/>
                <w:color w:val="000000"/>
                <w:sz w:val="20"/>
                <w:szCs w:val="20"/>
              </w:rPr>
              <w:t>159</w:t>
            </w:r>
          </w:p>
        </w:tc>
        <w:tc>
          <w:tcPr>
            <w:tcW w:w="2168" w:type="dxa"/>
            <w:tcBorders>
              <w:top w:val="nil"/>
              <w:left w:val="nil"/>
              <w:bottom w:val="single" w:sz="8" w:space="0" w:color="auto"/>
              <w:right w:val="single" w:sz="8" w:space="0" w:color="auto"/>
            </w:tcBorders>
            <w:shd w:val="clear" w:color="000000" w:fill="D9D9D9"/>
            <w:noWrap/>
            <w:vAlign w:val="center"/>
          </w:tcPr>
          <w:p w14:paraId="1D3EF4AC" w14:textId="1185321C" w:rsidR="00CD0649" w:rsidRPr="00D63947" w:rsidRDefault="00CD0649" w:rsidP="00CD0649">
            <w:pPr>
              <w:jc w:val="center"/>
              <w:rPr>
                <w:rFonts w:cstheme="minorHAnsi"/>
                <w:sz w:val="20"/>
                <w:szCs w:val="20"/>
              </w:rPr>
            </w:pPr>
            <w:r w:rsidRPr="00D63947">
              <w:rPr>
                <w:rFonts w:cstheme="minorHAnsi"/>
                <w:color w:val="000000"/>
                <w:sz w:val="20"/>
                <w:szCs w:val="20"/>
              </w:rPr>
              <w:t>95</w:t>
            </w:r>
          </w:p>
        </w:tc>
        <w:tc>
          <w:tcPr>
            <w:tcW w:w="1963" w:type="dxa"/>
            <w:tcBorders>
              <w:top w:val="nil"/>
              <w:left w:val="nil"/>
              <w:bottom w:val="single" w:sz="8" w:space="0" w:color="auto"/>
              <w:right w:val="single" w:sz="8" w:space="0" w:color="auto"/>
            </w:tcBorders>
            <w:shd w:val="clear" w:color="000000" w:fill="D9D9D9"/>
            <w:noWrap/>
            <w:vAlign w:val="center"/>
          </w:tcPr>
          <w:p w14:paraId="133D29BA" w14:textId="569192D0" w:rsidR="00CD0649" w:rsidRPr="00D63947" w:rsidRDefault="00D15189" w:rsidP="00CD0649">
            <w:pPr>
              <w:jc w:val="center"/>
              <w:rPr>
                <w:rFonts w:cstheme="minorHAnsi"/>
                <w:sz w:val="20"/>
                <w:szCs w:val="20"/>
              </w:rPr>
            </w:pPr>
            <w:r w:rsidRPr="00D63947">
              <w:rPr>
                <w:rFonts w:cstheme="minorHAnsi"/>
                <w:color w:val="000000"/>
                <w:sz w:val="20"/>
                <w:szCs w:val="20"/>
              </w:rPr>
              <w:t>64</w:t>
            </w:r>
          </w:p>
        </w:tc>
        <w:tc>
          <w:tcPr>
            <w:tcW w:w="1157" w:type="dxa"/>
            <w:tcBorders>
              <w:top w:val="nil"/>
              <w:left w:val="nil"/>
              <w:bottom w:val="single" w:sz="8" w:space="0" w:color="auto"/>
              <w:right w:val="single" w:sz="8" w:space="0" w:color="auto"/>
            </w:tcBorders>
            <w:shd w:val="clear" w:color="000000" w:fill="D9D9D9"/>
            <w:noWrap/>
            <w:vAlign w:val="center"/>
          </w:tcPr>
          <w:p w14:paraId="2C7683BD" w14:textId="64B3B425" w:rsidR="00CD0649" w:rsidRPr="00D63947" w:rsidRDefault="00CD0649" w:rsidP="00CD0649">
            <w:pPr>
              <w:jc w:val="center"/>
              <w:rPr>
                <w:rFonts w:cstheme="minorHAnsi"/>
                <w:sz w:val="20"/>
                <w:szCs w:val="20"/>
              </w:rPr>
            </w:pPr>
            <w:r w:rsidRPr="00D63947">
              <w:rPr>
                <w:rFonts w:cstheme="minorHAnsi"/>
                <w:color w:val="000000"/>
                <w:sz w:val="20"/>
                <w:szCs w:val="20"/>
              </w:rPr>
              <w:t>1795</w:t>
            </w:r>
          </w:p>
        </w:tc>
      </w:tr>
      <w:tr w:rsidR="00CD0649" w:rsidRPr="00D63947" w14:paraId="629E6C6E" w14:textId="77777777" w:rsidTr="00A64B19">
        <w:trPr>
          <w:trHeight w:val="288"/>
        </w:trPr>
        <w:tc>
          <w:tcPr>
            <w:tcW w:w="1878" w:type="dxa"/>
            <w:tcBorders>
              <w:top w:val="nil"/>
              <w:left w:val="single" w:sz="8" w:space="0" w:color="auto"/>
              <w:bottom w:val="single" w:sz="8" w:space="0" w:color="auto"/>
              <w:right w:val="single" w:sz="8" w:space="0" w:color="auto"/>
            </w:tcBorders>
            <w:shd w:val="clear" w:color="000000" w:fill="D9D9D9"/>
            <w:noWrap/>
            <w:vAlign w:val="center"/>
            <w:hideMark/>
          </w:tcPr>
          <w:p w14:paraId="3556313D" w14:textId="375E62B2" w:rsidR="00CD0649" w:rsidRPr="00D63947" w:rsidRDefault="00CD0649" w:rsidP="00CD0649">
            <w:pPr>
              <w:rPr>
                <w:rFonts w:cstheme="minorHAnsi"/>
                <w:sz w:val="20"/>
                <w:szCs w:val="20"/>
              </w:rPr>
            </w:pPr>
            <w:r w:rsidRPr="00D63947">
              <w:rPr>
                <w:rFonts w:cstheme="minorHAnsi"/>
                <w:color w:val="000000"/>
                <w:sz w:val="20"/>
                <w:szCs w:val="20"/>
              </w:rPr>
              <w:t>Percent of total</w:t>
            </w:r>
          </w:p>
        </w:tc>
        <w:tc>
          <w:tcPr>
            <w:tcW w:w="876" w:type="dxa"/>
            <w:tcBorders>
              <w:top w:val="nil"/>
              <w:left w:val="nil"/>
              <w:bottom w:val="single" w:sz="8" w:space="0" w:color="auto"/>
              <w:right w:val="single" w:sz="8" w:space="0" w:color="auto"/>
            </w:tcBorders>
            <w:shd w:val="clear" w:color="000000" w:fill="D9D9D9"/>
            <w:noWrap/>
            <w:vAlign w:val="center"/>
          </w:tcPr>
          <w:p w14:paraId="46ABD377" w14:textId="1B986941" w:rsidR="00CD0649" w:rsidRPr="00D63947" w:rsidRDefault="00CD0649" w:rsidP="00CD0649">
            <w:pPr>
              <w:jc w:val="center"/>
              <w:rPr>
                <w:rFonts w:cstheme="minorHAnsi"/>
                <w:sz w:val="20"/>
                <w:szCs w:val="20"/>
                <w:highlight w:val="yellow"/>
              </w:rPr>
            </w:pPr>
            <w:r w:rsidRPr="00D63947">
              <w:rPr>
                <w:rFonts w:cstheme="minorHAnsi"/>
                <w:color w:val="000000"/>
                <w:sz w:val="20"/>
                <w:szCs w:val="20"/>
              </w:rPr>
              <w:t>91%</w:t>
            </w:r>
          </w:p>
        </w:tc>
        <w:tc>
          <w:tcPr>
            <w:tcW w:w="1030" w:type="dxa"/>
            <w:tcBorders>
              <w:top w:val="nil"/>
              <w:left w:val="nil"/>
              <w:bottom w:val="single" w:sz="8" w:space="0" w:color="auto"/>
              <w:right w:val="single" w:sz="8" w:space="0" w:color="auto"/>
            </w:tcBorders>
            <w:shd w:val="clear" w:color="000000" w:fill="D9D9D9"/>
            <w:noWrap/>
            <w:vAlign w:val="center"/>
          </w:tcPr>
          <w:p w14:paraId="48DC620F" w14:textId="4F9411DC" w:rsidR="00CD0649" w:rsidRPr="00D63947" w:rsidRDefault="00CD0649" w:rsidP="00CD0649">
            <w:pPr>
              <w:jc w:val="center"/>
              <w:rPr>
                <w:rFonts w:cstheme="minorHAnsi"/>
                <w:sz w:val="20"/>
                <w:szCs w:val="20"/>
                <w:highlight w:val="yellow"/>
              </w:rPr>
            </w:pPr>
            <w:r w:rsidRPr="00D63947">
              <w:rPr>
                <w:rFonts w:cstheme="minorHAnsi"/>
                <w:color w:val="000000"/>
                <w:sz w:val="20"/>
                <w:szCs w:val="20"/>
              </w:rPr>
              <w:t>9%</w:t>
            </w:r>
          </w:p>
        </w:tc>
        <w:tc>
          <w:tcPr>
            <w:tcW w:w="2168" w:type="dxa"/>
            <w:tcBorders>
              <w:top w:val="nil"/>
              <w:left w:val="nil"/>
              <w:bottom w:val="single" w:sz="8" w:space="0" w:color="auto"/>
              <w:right w:val="single" w:sz="8" w:space="0" w:color="auto"/>
            </w:tcBorders>
            <w:shd w:val="clear" w:color="000000" w:fill="D9D9D9"/>
            <w:noWrap/>
            <w:vAlign w:val="center"/>
          </w:tcPr>
          <w:p w14:paraId="49AAAD85" w14:textId="45DC4B65" w:rsidR="00CD0649" w:rsidRPr="00D63947" w:rsidRDefault="00CD0649" w:rsidP="00CD0649">
            <w:pPr>
              <w:jc w:val="center"/>
              <w:rPr>
                <w:rFonts w:cstheme="minorHAnsi"/>
                <w:sz w:val="20"/>
                <w:szCs w:val="20"/>
                <w:highlight w:val="yellow"/>
              </w:rPr>
            </w:pPr>
            <w:r w:rsidRPr="00D63947">
              <w:rPr>
                <w:rFonts w:cstheme="minorHAnsi"/>
                <w:color w:val="000000"/>
                <w:sz w:val="20"/>
                <w:szCs w:val="20"/>
              </w:rPr>
              <w:t>5%</w:t>
            </w:r>
          </w:p>
        </w:tc>
        <w:tc>
          <w:tcPr>
            <w:tcW w:w="1963" w:type="dxa"/>
            <w:tcBorders>
              <w:top w:val="nil"/>
              <w:left w:val="nil"/>
              <w:bottom w:val="single" w:sz="8" w:space="0" w:color="auto"/>
              <w:right w:val="single" w:sz="8" w:space="0" w:color="auto"/>
            </w:tcBorders>
            <w:shd w:val="clear" w:color="000000" w:fill="D9D9D9"/>
            <w:noWrap/>
            <w:vAlign w:val="center"/>
          </w:tcPr>
          <w:p w14:paraId="33CF9984" w14:textId="0EF5577A" w:rsidR="00CD0649" w:rsidRPr="00D63947" w:rsidRDefault="00D15189" w:rsidP="00CD0649">
            <w:pPr>
              <w:jc w:val="center"/>
              <w:rPr>
                <w:rFonts w:cstheme="minorHAnsi"/>
                <w:sz w:val="20"/>
                <w:szCs w:val="20"/>
                <w:highlight w:val="yellow"/>
              </w:rPr>
            </w:pPr>
            <w:r w:rsidRPr="00D63947">
              <w:rPr>
                <w:rFonts w:cstheme="minorHAnsi"/>
                <w:color w:val="000000"/>
                <w:sz w:val="20"/>
                <w:szCs w:val="20"/>
              </w:rPr>
              <w:t>4</w:t>
            </w:r>
            <w:r w:rsidR="00CD0649" w:rsidRPr="00D63947">
              <w:rPr>
                <w:rFonts w:cstheme="minorHAnsi"/>
                <w:color w:val="000000"/>
                <w:sz w:val="20"/>
                <w:szCs w:val="20"/>
              </w:rPr>
              <w:t>%</w:t>
            </w:r>
          </w:p>
        </w:tc>
        <w:tc>
          <w:tcPr>
            <w:tcW w:w="1157" w:type="dxa"/>
            <w:tcBorders>
              <w:top w:val="nil"/>
              <w:left w:val="nil"/>
              <w:bottom w:val="single" w:sz="8" w:space="0" w:color="auto"/>
              <w:right w:val="single" w:sz="8" w:space="0" w:color="auto"/>
            </w:tcBorders>
            <w:shd w:val="clear" w:color="000000" w:fill="D9D9D9"/>
            <w:noWrap/>
            <w:vAlign w:val="center"/>
            <w:hideMark/>
          </w:tcPr>
          <w:p w14:paraId="3E411A65" w14:textId="589355E2" w:rsidR="00CD0649" w:rsidRPr="00D63947" w:rsidRDefault="00CD0649" w:rsidP="00CD0649">
            <w:pPr>
              <w:jc w:val="center"/>
              <w:rPr>
                <w:rFonts w:cstheme="minorHAnsi"/>
                <w:sz w:val="20"/>
                <w:szCs w:val="20"/>
                <w:highlight w:val="yellow"/>
              </w:rPr>
            </w:pPr>
            <w:r w:rsidRPr="00D63947">
              <w:rPr>
                <w:rFonts w:cstheme="minorHAnsi"/>
                <w:color w:val="000000"/>
                <w:sz w:val="20"/>
                <w:szCs w:val="20"/>
              </w:rPr>
              <w:t> </w:t>
            </w:r>
          </w:p>
        </w:tc>
      </w:tr>
    </w:tbl>
    <w:p w14:paraId="72B2ACB2" w14:textId="77777777" w:rsidR="00F57406" w:rsidRPr="003C3C6D" w:rsidRDefault="00F57406" w:rsidP="00F57406">
      <w:pPr>
        <w:rPr>
          <w:b/>
        </w:rPr>
      </w:pPr>
    </w:p>
    <w:p w14:paraId="2075FB24" w14:textId="77777777" w:rsidR="00522605" w:rsidRDefault="00522605" w:rsidP="00F57406">
      <w:pPr>
        <w:rPr>
          <w:b/>
        </w:rPr>
      </w:pPr>
      <w:r>
        <w:rPr>
          <w:b/>
        </w:rPr>
        <w:br w:type="page"/>
      </w:r>
    </w:p>
    <w:p w14:paraId="4B9828B7" w14:textId="53CDFD29" w:rsidR="00F57406" w:rsidRPr="003C3C6D" w:rsidRDefault="00F57406" w:rsidP="00F57406">
      <w:pPr>
        <w:rPr>
          <w:b/>
        </w:rPr>
      </w:pPr>
      <w:r w:rsidRPr="003C3C6D">
        <w:rPr>
          <w:b/>
        </w:rPr>
        <w:lastRenderedPageBreak/>
        <w:t>T</w:t>
      </w:r>
      <w:r>
        <w:rPr>
          <w:b/>
        </w:rPr>
        <w:t>able</w:t>
      </w:r>
      <w:r w:rsidRPr="003C3C6D">
        <w:rPr>
          <w:b/>
        </w:rPr>
        <w:t xml:space="preserve"> 4</w:t>
      </w:r>
      <w:r>
        <w:rPr>
          <w:b/>
        </w:rPr>
        <w:t>-</w:t>
      </w:r>
      <w:r w:rsidRPr="003C3C6D">
        <w:rPr>
          <w:b/>
        </w:rPr>
        <w:t>2</w:t>
      </w:r>
      <w:r>
        <w:rPr>
          <w:b/>
        </w:rPr>
        <w:t>.</w:t>
      </w:r>
      <w:r w:rsidRPr="003C3C6D">
        <w:rPr>
          <w:b/>
        </w:rPr>
        <w:t xml:space="preserve"> Summary of Critical Habitat Effects Determinations for </w:t>
      </w:r>
      <w:r>
        <w:rPr>
          <w:b/>
        </w:rPr>
        <w:t>Propazine</w:t>
      </w:r>
      <w:r w:rsidRPr="003C3C6D">
        <w:rPr>
          <w:b/>
        </w:rPr>
        <w:t xml:space="preserve"> (Counts by Taxon).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999"/>
        <w:gridCol w:w="929"/>
        <w:gridCol w:w="2188"/>
        <w:gridCol w:w="2074"/>
        <w:gridCol w:w="1555"/>
      </w:tblGrid>
      <w:tr w:rsidR="00F57406" w:rsidRPr="00D63947" w14:paraId="31F803F5" w14:textId="77777777" w:rsidTr="00A64B19">
        <w:trPr>
          <w:trHeight w:val="288"/>
        </w:trPr>
        <w:tc>
          <w:tcPr>
            <w:tcW w:w="1610" w:type="dxa"/>
            <w:vMerge w:val="restart"/>
            <w:shd w:val="clear" w:color="auto" w:fill="E7E6E6" w:themeFill="background2"/>
            <w:noWrap/>
            <w:vAlign w:val="center"/>
            <w:hideMark/>
          </w:tcPr>
          <w:p w14:paraId="275EDEA8" w14:textId="77777777" w:rsidR="00F57406" w:rsidRPr="00D63947" w:rsidRDefault="00F57406" w:rsidP="00903FB1">
            <w:pPr>
              <w:jc w:val="center"/>
              <w:rPr>
                <w:rFonts w:cstheme="minorHAnsi"/>
                <w:b/>
                <w:sz w:val="20"/>
                <w:szCs w:val="20"/>
              </w:rPr>
            </w:pPr>
            <w:r w:rsidRPr="00D63947">
              <w:rPr>
                <w:rFonts w:cstheme="minorHAnsi"/>
                <w:b/>
                <w:sz w:val="20"/>
                <w:szCs w:val="20"/>
              </w:rPr>
              <w:t>Taxon</w:t>
            </w:r>
          </w:p>
        </w:tc>
        <w:tc>
          <w:tcPr>
            <w:tcW w:w="1921" w:type="dxa"/>
            <w:gridSpan w:val="2"/>
            <w:shd w:val="clear" w:color="auto" w:fill="E7E6E6" w:themeFill="background2"/>
            <w:vAlign w:val="center"/>
            <w:hideMark/>
          </w:tcPr>
          <w:p w14:paraId="7D909544" w14:textId="77777777" w:rsidR="00F57406" w:rsidRPr="00D63947" w:rsidRDefault="00F57406" w:rsidP="00903FB1">
            <w:pPr>
              <w:jc w:val="center"/>
              <w:rPr>
                <w:rFonts w:cstheme="minorHAnsi"/>
                <w:b/>
                <w:sz w:val="20"/>
                <w:szCs w:val="20"/>
              </w:rPr>
            </w:pPr>
            <w:r w:rsidRPr="00D63947">
              <w:rPr>
                <w:rFonts w:cstheme="minorHAnsi"/>
                <w:b/>
                <w:sz w:val="20"/>
                <w:szCs w:val="20"/>
              </w:rPr>
              <w:t>Step 1 Effects Determinations</w:t>
            </w:r>
          </w:p>
        </w:tc>
        <w:tc>
          <w:tcPr>
            <w:tcW w:w="4246" w:type="dxa"/>
            <w:gridSpan w:val="2"/>
            <w:shd w:val="clear" w:color="auto" w:fill="E7E6E6" w:themeFill="background2"/>
            <w:noWrap/>
            <w:vAlign w:val="center"/>
            <w:hideMark/>
          </w:tcPr>
          <w:p w14:paraId="2EBB416C" w14:textId="77777777" w:rsidR="00F57406" w:rsidRPr="00D63947" w:rsidRDefault="00F57406" w:rsidP="00903FB1">
            <w:pPr>
              <w:jc w:val="center"/>
              <w:rPr>
                <w:rFonts w:cstheme="minorHAnsi"/>
                <w:b/>
                <w:sz w:val="20"/>
                <w:szCs w:val="20"/>
              </w:rPr>
            </w:pPr>
            <w:r w:rsidRPr="00D63947">
              <w:rPr>
                <w:rFonts w:cstheme="minorHAnsi"/>
                <w:b/>
                <w:sz w:val="20"/>
                <w:szCs w:val="20"/>
              </w:rPr>
              <w:t>Step 2 Effects Determinations</w:t>
            </w:r>
          </w:p>
        </w:tc>
        <w:tc>
          <w:tcPr>
            <w:tcW w:w="1549" w:type="dxa"/>
            <w:vMerge w:val="restart"/>
            <w:shd w:val="clear" w:color="auto" w:fill="E7E6E6" w:themeFill="background2"/>
            <w:noWrap/>
            <w:vAlign w:val="center"/>
            <w:hideMark/>
          </w:tcPr>
          <w:p w14:paraId="60C99F7A" w14:textId="193305DE" w:rsidR="00F57406" w:rsidRPr="00D63947" w:rsidRDefault="00F57406" w:rsidP="00903FB1">
            <w:pPr>
              <w:jc w:val="center"/>
              <w:rPr>
                <w:rFonts w:cstheme="minorHAnsi"/>
                <w:b/>
                <w:sz w:val="20"/>
                <w:szCs w:val="20"/>
              </w:rPr>
            </w:pPr>
            <w:r w:rsidRPr="00D63947">
              <w:rPr>
                <w:rFonts w:cstheme="minorHAnsi"/>
                <w:b/>
                <w:sz w:val="20"/>
                <w:szCs w:val="20"/>
              </w:rPr>
              <w:t>Totals</w:t>
            </w:r>
          </w:p>
        </w:tc>
      </w:tr>
      <w:tr w:rsidR="00F57406" w:rsidRPr="00D63947" w14:paraId="1AA8402B" w14:textId="77777777" w:rsidTr="00A64B19">
        <w:trPr>
          <w:trHeight w:val="288"/>
        </w:trPr>
        <w:tc>
          <w:tcPr>
            <w:tcW w:w="1610" w:type="dxa"/>
            <w:vMerge/>
            <w:vAlign w:val="center"/>
            <w:hideMark/>
          </w:tcPr>
          <w:p w14:paraId="12BC926B" w14:textId="77777777" w:rsidR="00F57406" w:rsidRPr="00D63947" w:rsidRDefault="00F57406" w:rsidP="00903FB1">
            <w:pPr>
              <w:rPr>
                <w:rFonts w:cstheme="minorHAnsi"/>
                <w:b/>
                <w:sz w:val="20"/>
                <w:szCs w:val="20"/>
              </w:rPr>
            </w:pPr>
          </w:p>
        </w:tc>
        <w:tc>
          <w:tcPr>
            <w:tcW w:w="995" w:type="dxa"/>
            <w:shd w:val="clear" w:color="auto" w:fill="E7E6E6" w:themeFill="background2"/>
            <w:vAlign w:val="center"/>
            <w:hideMark/>
          </w:tcPr>
          <w:p w14:paraId="6749C020" w14:textId="77777777" w:rsidR="00F57406" w:rsidRPr="00D63947" w:rsidRDefault="00F57406" w:rsidP="00903FB1">
            <w:pPr>
              <w:jc w:val="center"/>
              <w:rPr>
                <w:rFonts w:cstheme="minorHAnsi"/>
                <w:b/>
                <w:sz w:val="20"/>
                <w:szCs w:val="20"/>
              </w:rPr>
            </w:pPr>
            <w:r w:rsidRPr="00D63947">
              <w:rPr>
                <w:rFonts w:cstheme="minorHAnsi"/>
                <w:b/>
                <w:sz w:val="20"/>
                <w:szCs w:val="20"/>
              </w:rPr>
              <w:t>No Effect</w:t>
            </w:r>
          </w:p>
        </w:tc>
        <w:tc>
          <w:tcPr>
            <w:tcW w:w="926" w:type="dxa"/>
            <w:shd w:val="clear" w:color="auto" w:fill="E7E6E6" w:themeFill="background2"/>
            <w:vAlign w:val="center"/>
            <w:hideMark/>
          </w:tcPr>
          <w:p w14:paraId="135C80BE" w14:textId="77777777" w:rsidR="00F57406" w:rsidRPr="00D63947" w:rsidRDefault="00F57406" w:rsidP="00903FB1">
            <w:pPr>
              <w:jc w:val="center"/>
              <w:rPr>
                <w:rFonts w:cstheme="minorHAnsi"/>
                <w:b/>
                <w:sz w:val="20"/>
                <w:szCs w:val="20"/>
              </w:rPr>
            </w:pPr>
            <w:r w:rsidRPr="00D63947">
              <w:rPr>
                <w:rFonts w:cstheme="minorHAnsi"/>
                <w:b/>
                <w:sz w:val="20"/>
                <w:szCs w:val="20"/>
              </w:rPr>
              <w:t>May Affect</w:t>
            </w:r>
          </w:p>
        </w:tc>
        <w:tc>
          <w:tcPr>
            <w:tcW w:w="2180" w:type="dxa"/>
            <w:shd w:val="clear" w:color="auto" w:fill="E7E6E6" w:themeFill="background2"/>
            <w:noWrap/>
            <w:vAlign w:val="center"/>
            <w:hideMark/>
          </w:tcPr>
          <w:p w14:paraId="5EC3A8D3" w14:textId="77777777" w:rsidR="00F57406" w:rsidRPr="00D63947" w:rsidRDefault="00F57406" w:rsidP="00903FB1">
            <w:pPr>
              <w:jc w:val="center"/>
              <w:rPr>
                <w:rFonts w:cstheme="minorHAnsi"/>
                <w:b/>
                <w:sz w:val="20"/>
                <w:szCs w:val="20"/>
              </w:rPr>
            </w:pPr>
            <w:r w:rsidRPr="00D63947">
              <w:rPr>
                <w:rFonts w:cstheme="minorHAnsi"/>
                <w:b/>
                <w:sz w:val="20"/>
                <w:szCs w:val="20"/>
              </w:rPr>
              <w:t>Not Likely to Adversely Affect</w:t>
            </w:r>
          </w:p>
        </w:tc>
        <w:tc>
          <w:tcPr>
            <w:tcW w:w="2066" w:type="dxa"/>
            <w:shd w:val="clear" w:color="auto" w:fill="E7E6E6" w:themeFill="background2"/>
            <w:noWrap/>
            <w:vAlign w:val="center"/>
            <w:hideMark/>
          </w:tcPr>
          <w:p w14:paraId="1330A283" w14:textId="77777777" w:rsidR="00F57406" w:rsidRPr="00D63947" w:rsidRDefault="00F57406" w:rsidP="00903FB1">
            <w:pPr>
              <w:jc w:val="center"/>
              <w:rPr>
                <w:rFonts w:cstheme="minorHAnsi"/>
                <w:b/>
                <w:sz w:val="20"/>
                <w:szCs w:val="20"/>
              </w:rPr>
            </w:pPr>
            <w:r w:rsidRPr="00D63947">
              <w:rPr>
                <w:rFonts w:cstheme="minorHAnsi"/>
                <w:b/>
                <w:sz w:val="20"/>
                <w:szCs w:val="20"/>
              </w:rPr>
              <w:t>Likely to Adversely Affect</w:t>
            </w:r>
          </w:p>
        </w:tc>
        <w:tc>
          <w:tcPr>
            <w:tcW w:w="1549" w:type="dxa"/>
            <w:vMerge/>
            <w:vAlign w:val="center"/>
            <w:hideMark/>
          </w:tcPr>
          <w:p w14:paraId="4BD738BB" w14:textId="77777777" w:rsidR="00F57406" w:rsidRPr="00D63947" w:rsidRDefault="00F57406" w:rsidP="00903FB1">
            <w:pPr>
              <w:rPr>
                <w:rFonts w:cstheme="minorHAnsi"/>
                <w:b/>
                <w:sz w:val="20"/>
                <w:szCs w:val="20"/>
              </w:rPr>
            </w:pPr>
          </w:p>
        </w:tc>
      </w:tr>
      <w:tr w:rsidR="00CD0649" w:rsidRPr="00D63947" w14:paraId="5114EC13" w14:textId="77777777" w:rsidTr="00A64B19">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43B26A1E" w14:textId="6F70D36B" w:rsidR="00CD0649" w:rsidRPr="00D63947" w:rsidRDefault="00CD0649" w:rsidP="00CD0649">
            <w:pPr>
              <w:rPr>
                <w:rFonts w:cstheme="minorHAnsi"/>
                <w:sz w:val="20"/>
                <w:szCs w:val="20"/>
              </w:rPr>
            </w:pPr>
            <w:r w:rsidRPr="00D63947">
              <w:rPr>
                <w:rFonts w:cstheme="minorHAnsi"/>
                <w:color w:val="000000"/>
                <w:sz w:val="20"/>
                <w:szCs w:val="20"/>
              </w:rPr>
              <w:t>Mammals</w:t>
            </w:r>
          </w:p>
        </w:tc>
        <w:tc>
          <w:tcPr>
            <w:tcW w:w="995" w:type="dxa"/>
            <w:tcBorders>
              <w:top w:val="nil"/>
              <w:left w:val="nil"/>
              <w:bottom w:val="single" w:sz="8" w:space="0" w:color="auto"/>
              <w:right w:val="single" w:sz="8" w:space="0" w:color="auto"/>
            </w:tcBorders>
            <w:shd w:val="clear" w:color="auto" w:fill="auto"/>
            <w:vAlign w:val="center"/>
            <w:hideMark/>
          </w:tcPr>
          <w:p w14:paraId="2E9DD917" w14:textId="78A864C0" w:rsidR="00CD0649" w:rsidRPr="00D63947" w:rsidRDefault="00CD0649" w:rsidP="00CD0649">
            <w:pPr>
              <w:jc w:val="center"/>
              <w:rPr>
                <w:rFonts w:cstheme="minorHAnsi"/>
                <w:sz w:val="20"/>
                <w:szCs w:val="20"/>
              </w:rPr>
            </w:pPr>
            <w:r w:rsidRPr="00D63947">
              <w:rPr>
                <w:rFonts w:cstheme="minorHAnsi"/>
                <w:color w:val="000000"/>
                <w:sz w:val="20"/>
                <w:szCs w:val="20"/>
              </w:rPr>
              <w:t>32</w:t>
            </w:r>
          </w:p>
        </w:tc>
        <w:tc>
          <w:tcPr>
            <w:tcW w:w="926" w:type="dxa"/>
            <w:tcBorders>
              <w:top w:val="nil"/>
              <w:left w:val="nil"/>
              <w:bottom w:val="single" w:sz="8" w:space="0" w:color="auto"/>
              <w:right w:val="single" w:sz="8" w:space="0" w:color="auto"/>
            </w:tcBorders>
            <w:shd w:val="clear" w:color="auto" w:fill="auto"/>
            <w:vAlign w:val="center"/>
          </w:tcPr>
          <w:p w14:paraId="789E192D" w14:textId="582A8601" w:rsidR="00CD0649" w:rsidRPr="00D63947" w:rsidRDefault="00CD0649" w:rsidP="00CD0649">
            <w:pPr>
              <w:jc w:val="center"/>
              <w:rPr>
                <w:rFonts w:cstheme="minorHAnsi"/>
                <w:sz w:val="20"/>
                <w:szCs w:val="20"/>
              </w:rPr>
            </w:pPr>
            <w:r w:rsidRPr="00D63947">
              <w:rPr>
                <w:rFonts w:cstheme="minorHAnsi"/>
                <w:color w:val="000000"/>
                <w:sz w:val="20"/>
                <w:szCs w:val="20"/>
              </w:rPr>
              <w:t>1</w:t>
            </w:r>
          </w:p>
        </w:tc>
        <w:tc>
          <w:tcPr>
            <w:tcW w:w="2180" w:type="dxa"/>
            <w:tcBorders>
              <w:top w:val="nil"/>
              <w:left w:val="nil"/>
              <w:bottom w:val="single" w:sz="8" w:space="0" w:color="auto"/>
              <w:right w:val="single" w:sz="8" w:space="0" w:color="auto"/>
            </w:tcBorders>
            <w:shd w:val="clear" w:color="auto" w:fill="auto"/>
            <w:noWrap/>
            <w:vAlign w:val="center"/>
            <w:hideMark/>
          </w:tcPr>
          <w:p w14:paraId="6438BAAC" w14:textId="74445C63" w:rsidR="00CD0649" w:rsidRPr="00D63947" w:rsidRDefault="00CD0649" w:rsidP="00CD0649">
            <w:pPr>
              <w:jc w:val="center"/>
              <w:rPr>
                <w:rFonts w:cstheme="minorHAnsi"/>
                <w:sz w:val="20"/>
                <w:szCs w:val="20"/>
              </w:rPr>
            </w:pPr>
            <w:r w:rsidRPr="00D63947">
              <w:rPr>
                <w:rFonts w:cstheme="minorHAnsi"/>
                <w:color w:val="000000"/>
                <w:sz w:val="20"/>
                <w:szCs w:val="20"/>
              </w:rPr>
              <w:t>0</w:t>
            </w:r>
          </w:p>
        </w:tc>
        <w:tc>
          <w:tcPr>
            <w:tcW w:w="2066" w:type="dxa"/>
            <w:tcBorders>
              <w:top w:val="nil"/>
              <w:left w:val="nil"/>
              <w:bottom w:val="single" w:sz="8" w:space="0" w:color="auto"/>
              <w:right w:val="single" w:sz="8" w:space="0" w:color="auto"/>
            </w:tcBorders>
            <w:shd w:val="clear" w:color="auto" w:fill="auto"/>
            <w:noWrap/>
            <w:vAlign w:val="center"/>
            <w:hideMark/>
          </w:tcPr>
          <w:p w14:paraId="6F5E44E7" w14:textId="7C723305" w:rsidR="00CD0649" w:rsidRPr="00D63947" w:rsidRDefault="00CD0649" w:rsidP="00CD0649">
            <w:pPr>
              <w:jc w:val="center"/>
              <w:rPr>
                <w:rFonts w:cstheme="minorHAnsi"/>
                <w:sz w:val="20"/>
                <w:szCs w:val="20"/>
              </w:rPr>
            </w:pPr>
            <w:r w:rsidRPr="00D63947">
              <w:rPr>
                <w:rFonts w:cstheme="minorHAnsi"/>
                <w:color w:val="000000"/>
                <w:sz w:val="20"/>
                <w:szCs w:val="20"/>
              </w:rPr>
              <w:t>1</w:t>
            </w:r>
          </w:p>
        </w:tc>
        <w:tc>
          <w:tcPr>
            <w:tcW w:w="1549" w:type="dxa"/>
            <w:tcBorders>
              <w:top w:val="nil"/>
              <w:left w:val="nil"/>
              <w:bottom w:val="single" w:sz="8" w:space="0" w:color="auto"/>
              <w:right w:val="single" w:sz="8" w:space="0" w:color="auto"/>
            </w:tcBorders>
            <w:shd w:val="clear" w:color="auto" w:fill="auto"/>
            <w:noWrap/>
            <w:vAlign w:val="center"/>
          </w:tcPr>
          <w:p w14:paraId="0E864BC1" w14:textId="09707880" w:rsidR="00CD0649" w:rsidRPr="00D63947" w:rsidRDefault="00CD0649" w:rsidP="00CD0649">
            <w:pPr>
              <w:jc w:val="center"/>
              <w:rPr>
                <w:rFonts w:cstheme="minorHAnsi"/>
                <w:sz w:val="20"/>
                <w:szCs w:val="20"/>
              </w:rPr>
            </w:pPr>
            <w:r w:rsidRPr="00D63947">
              <w:rPr>
                <w:rFonts w:cstheme="minorHAnsi"/>
                <w:color w:val="000000"/>
                <w:sz w:val="20"/>
                <w:szCs w:val="20"/>
              </w:rPr>
              <w:t>33</w:t>
            </w:r>
          </w:p>
        </w:tc>
      </w:tr>
      <w:tr w:rsidR="00CD0649" w:rsidRPr="00D63947" w14:paraId="32DC9EF4" w14:textId="77777777" w:rsidTr="00A64B19">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2AB18140" w14:textId="2D3844CB" w:rsidR="00CD0649" w:rsidRPr="00D63947" w:rsidRDefault="00CD0649" w:rsidP="00CD0649">
            <w:pPr>
              <w:rPr>
                <w:rFonts w:cstheme="minorHAnsi"/>
                <w:sz w:val="20"/>
                <w:szCs w:val="20"/>
              </w:rPr>
            </w:pPr>
            <w:r w:rsidRPr="00D63947">
              <w:rPr>
                <w:rFonts w:cstheme="minorHAnsi"/>
                <w:color w:val="000000"/>
                <w:sz w:val="20"/>
                <w:szCs w:val="20"/>
              </w:rPr>
              <w:t>Birds</w:t>
            </w:r>
          </w:p>
        </w:tc>
        <w:tc>
          <w:tcPr>
            <w:tcW w:w="995" w:type="dxa"/>
            <w:tcBorders>
              <w:top w:val="nil"/>
              <w:left w:val="nil"/>
              <w:bottom w:val="single" w:sz="8" w:space="0" w:color="auto"/>
              <w:right w:val="single" w:sz="8" w:space="0" w:color="auto"/>
            </w:tcBorders>
            <w:shd w:val="clear" w:color="auto" w:fill="auto"/>
            <w:vAlign w:val="center"/>
            <w:hideMark/>
          </w:tcPr>
          <w:p w14:paraId="76B840C0" w14:textId="2A6FC437" w:rsidR="00CD0649" w:rsidRPr="00D63947" w:rsidRDefault="00CD0649" w:rsidP="00CD0649">
            <w:pPr>
              <w:jc w:val="center"/>
              <w:rPr>
                <w:rFonts w:cstheme="minorHAnsi"/>
                <w:sz w:val="20"/>
                <w:szCs w:val="20"/>
              </w:rPr>
            </w:pPr>
            <w:r w:rsidRPr="00D63947">
              <w:rPr>
                <w:rFonts w:cstheme="minorHAnsi"/>
                <w:color w:val="000000"/>
                <w:sz w:val="20"/>
                <w:szCs w:val="20"/>
              </w:rPr>
              <w:t>29</w:t>
            </w:r>
          </w:p>
        </w:tc>
        <w:tc>
          <w:tcPr>
            <w:tcW w:w="926" w:type="dxa"/>
            <w:tcBorders>
              <w:top w:val="nil"/>
              <w:left w:val="nil"/>
              <w:bottom w:val="single" w:sz="8" w:space="0" w:color="auto"/>
              <w:right w:val="single" w:sz="8" w:space="0" w:color="auto"/>
            </w:tcBorders>
            <w:shd w:val="clear" w:color="auto" w:fill="auto"/>
            <w:vAlign w:val="center"/>
          </w:tcPr>
          <w:p w14:paraId="1598F10D" w14:textId="1F876495" w:rsidR="00CD0649" w:rsidRPr="00D63947" w:rsidRDefault="00CD0649" w:rsidP="00CD0649">
            <w:pPr>
              <w:jc w:val="center"/>
              <w:rPr>
                <w:rFonts w:cstheme="minorHAnsi"/>
                <w:sz w:val="20"/>
                <w:szCs w:val="20"/>
              </w:rPr>
            </w:pPr>
            <w:r w:rsidRPr="00D63947">
              <w:rPr>
                <w:rFonts w:cstheme="minorHAnsi"/>
                <w:color w:val="000000"/>
                <w:sz w:val="20"/>
                <w:szCs w:val="20"/>
              </w:rPr>
              <w:t>2</w:t>
            </w:r>
          </w:p>
        </w:tc>
        <w:tc>
          <w:tcPr>
            <w:tcW w:w="2180" w:type="dxa"/>
            <w:tcBorders>
              <w:top w:val="nil"/>
              <w:left w:val="nil"/>
              <w:bottom w:val="single" w:sz="8" w:space="0" w:color="auto"/>
              <w:right w:val="single" w:sz="8" w:space="0" w:color="auto"/>
            </w:tcBorders>
            <w:shd w:val="clear" w:color="auto" w:fill="auto"/>
            <w:noWrap/>
            <w:vAlign w:val="center"/>
            <w:hideMark/>
          </w:tcPr>
          <w:p w14:paraId="27643765" w14:textId="7EF75939" w:rsidR="00CD0649" w:rsidRPr="00D63947" w:rsidRDefault="00CD0649" w:rsidP="00CD0649">
            <w:pPr>
              <w:jc w:val="center"/>
              <w:rPr>
                <w:rFonts w:cstheme="minorHAnsi"/>
                <w:sz w:val="20"/>
                <w:szCs w:val="20"/>
              </w:rPr>
            </w:pPr>
            <w:r w:rsidRPr="00D63947">
              <w:rPr>
                <w:rFonts w:cstheme="minorHAnsi"/>
                <w:color w:val="000000"/>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4AADF5F5" w14:textId="5820E2B3" w:rsidR="00CD0649" w:rsidRPr="00D63947" w:rsidRDefault="00CD0649" w:rsidP="00CD0649">
            <w:pPr>
              <w:jc w:val="center"/>
              <w:rPr>
                <w:rFonts w:cstheme="minorHAnsi"/>
                <w:sz w:val="20"/>
                <w:szCs w:val="20"/>
              </w:rPr>
            </w:pPr>
            <w:r w:rsidRPr="00D63947">
              <w:rPr>
                <w:rFonts w:cstheme="minorHAnsi"/>
                <w:color w:val="000000"/>
                <w:sz w:val="20"/>
                <w:szCs w:val="20"/>
              </w:rPr>
              <w:t>1</w:t>
            </w:r>
          </w:p>
        </w:tc>
        <w:tc>
          <w:tcPr>
            <w:tcW w:w="1549" w:type="dxa"/>
            <w:tcBorders>
              <w:top w:val="nil"/>
              <w:left w:val="nil"/>
              <w:bottom w:val="single" w:sz="8" w:space="0" w:color="auto"/>
              <w:right w:val="single" w:sz="8" w:space="0" w:color="auto"/>
            </w:tcBorders>
            <w:shd w:val="clear" w:color="auto" w:fill="auto"/>
            <w:noWrap/>
            <w:vAlign w:val="center"/>
          </w:tcPr>
          <w:p w14:paraId="0EC190CC" w14:textId="730481BB" w:rsidR="00CD0649" w:rsidRPr="00D63947" w:rsidRDefault="00CD0649" w:rsidP="00CD0649">
            <w:pPr>
              <w:jc w:val="center"/>
              <w:rPr>
                <w:rFonts w:cstheme="minorHAnsi"/>
                <w:sz w:val="20"/>
                <w:szCs w:val="20"/>
              </w:rPr>
            </w:pPr>
            <w:r w:rsidRPr="00D63947">
              <w:rPr>
                <w:rFonts w:cstheme="minorHAnsi"/>
                <w:color w:val="000000"/>
                <w:sz w:val="20"/>
                <w:szCs w:val="20"/>
              </w:rPr>
              <w:t>31</w:t>
            </w:r>
          </w:p>
        </w:tc>
      </w:tr>
      <w:tr w:rsidR="00CD0649" w:rsidRPr="00D63947" w14:paraId="2F11AA51" w14:textId="77777777" w:rsidTr="00A64B19">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4CABCFF" w14:textId="6FB7DD9A" w:rsidR="00CD0649" w:rsidRPr="00D63947" w:rsidRDefault="00CD0649" w:rsidP="00CD0649">
            <w:pPr>
              <w:rPr>
                <w:rFonts w:cstheme="minorHAnsi"/>
                <w:sz w:val="20"/>
                <w:szCs w:val="20"/>
              </w:rPr>
            </w:pPr>
            <w:r w:rsidRPr="00D63947">
              <w:rPr>
                <w:rFonts w:cstheme="minorHAnsi"/>
                <w:color w:val="000000"/>
                <w:sz w:val="20"/>
                <w:szCs w:val="20"/>
              </w:rPr>
              <w:t>Amphibians</w:t>
            </w:r>
          </w:p>
        </w:tc>
        <w:tc>
          <w:tcPr>
            <w:tcW w:w="995" w:type="dxa"/>
            <w:tcBorders>
              <w:top w:val="nil"/>
              <w:left w:val="nil"/>
              <w:bottom w:val="single" w:sz="8" w:space="0" w:color="auto"/>
              <w:right w:val="single" w:sz="8" w:space="0" w:color="auto"/>
            </w:tcBorders>
            <w:shd w:val="clear" w:color="auto" w:fill="auto"/>
            <w:vAlign w:val="center"/>
            <w:hideMark/>
          </w:tcPr>
          <w:p w14:paraId="00C171FC" w14:textId="2A636FDC" w:rsidR="00CD0649" w:rsidRPr="00D63947" w:rsidRDefault="00CD0649" w:rsidP="00CD0649">
            <w:pPr>
              <w:jc w:val="center"/>
              <w:rPr>
                <w:rFonts w:cstheme="minorHAnsi"/>
                <w:sz w:val="20"/>
                <w:szCs w:val="20"/>
              </w:rPr>
            </w:pPr>
            <w:r w:rsidRPr="00D63947">
              <w:rPr>
                <w:rFonts w:cstheme="minorHAnsi"/>
                <w:color w:val="000000"/>
                <w:sz w:val="20"/>
                <w:szCs w:val="20"/>
              </w:rPr>
              <w:t>19</w:t>
            </w:r>
          </w:p>
        </w:tc>
        <w:tc>
          <w:tcPr>
            <w:tcW w:w="926" w:type="dxa"/>
            <w:tcBorders>
              <w:top w:val="nil"/>
              <w:left w:val="nil"/>
              <w:bottom w:val="single" w:sz="8" w:space="0" w:color="auto"/>
              <w:right w:val="single" w:sz="8" w:space="0" w:color="auto"/>
            </w:tcBorders>
            <w:shd w:val="clear" w:color="auto" w:fill="auto"/>
            <w:vAlign w:val="center"/>
          </w:tcPr>
          <w:p w14:paraId="183E80E1" w14:textId="4A139BED" w:rsidR="00CD0649" w:rsidRPr="00D63947" w:rsidRDefault="00CD0649" w:rsidP="00CD0649">
            <w:pPr>
              <w:jc w:val="center"/>
              <w:rPr>
                <w:rFonts w:cstheme="minorHAnsi"/>
                <w:sz w:val="20"/>
                <w:szCs w:val="20"/>
              </w:rPr>
            </w:pPr>
            <w:r w:rsidRPr="00D63947">
              <w:rPr>
                <w:rFonts w:cstheme="minorHAnsi"/>
                <w:color w:val="000000"/>
                <w:sz w:val="20"/>
                <w:szCs w:val="20"/>
              </w:rPr>
              <w:t>6</w:t>
            </w:r>
          </w:p>
        </w:tc>
        <w:tc>
          <w:tcPr>
            <w:tcW w:w="2180" w:type="dxa"/>
            <w:tcBorders>
              <w:top w:val="nil"/>
              <w:left w:val="nil"/>
              <w:bottom w:val="single" w:sz="8" w:space="0" w:color="auto"/>
              <w:right w:val="single" w:sz="8" w:space="0" w:color="auto"/>
            </w:tcBorders>
            <w:shd w:val="clear" w:color="auto" w:fill="auto"/>
            <w:noWrap/>
            <w:vAlign w:val="center"/>
            <w:hideMark/>
          </w:tcPr>
          <w:p w14:paraId="30E2F149" w14:textId="70788F76" w:rsidR="00CD0649" w:rsidRPr="00D63947" w:rsidRDefault="00CD0649" w:rsidP="00CD0649">
            <w:pPr>
              <w:jc w:val="center"/>
              <w:rPr>
                <w:rFonts w:cstheme="minorHAnsi"/>
                <w:sz w:val="20"/>
                <w:szCs w:val="20"/>
              </w:rPr>
            </w:pPr>
            <w:r w:rsidRPr="00D63947">
              <w:rPr>
                <w:rFonts w:cstheme="minorHAnsi"/>
                <w:color w:val="000000"/>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0D4F4FAF" w14:textId="033F6BBD" w:rsidR="00CD0649" w:rsidRPr="00D63947" w:rsidRDefault="00CD0649" w:rsidP="00CD0649">
            <w:pPr>
              <w:jc w:val="center"/>
              <w:rPr>
                <w:rFonts w:cstheme="minorHAnsi"/>
                <w:sz w:val="20"/>
                <w:szCs w:val="20"/>
              </w:rPr>
            </w:pPr>
            <w:r w:rsidRPr="00D63947">
              <w:rPr>
                <w:rFonts w:cstheme="minorHAnsi"/>
                <w:color w:val="000000"/>
                <w:sz w:val="20"/>
                <w:szCs w:val="20"/>
              </w:rPr>
              <w:t>5</w:t>
            </w:r>
          </w:p>
        </w:tc>
        <w:tc>
          <w:tcPr>
            <w:tcW w:w="1549" w:type="dxa"/>
            <w:tcBorders>
              <w:top w:val="nil"/>
              <w:left w:val="nil"/>
              <w:bottom w:val="single" w:sz="8" w:space="0" w:color="auto"/>
              <w:right w:val="single" w:sz="8" w:space="0" w:color="auto"/>
            </w:tcBorders>
            <w:shd w:val="clear" w:color="auto" w:fill="auto"/>
            <w:noWrap/>
            <w:vAlign w:val="center"/>
          </w:tcPr>
          <w:p w14:paraId="36B0935A" w14:textId="459E4AC2" w:rsidR="00CD0649" w:rsidRPr="00D63947" w:rsidRDefault="00CD0649" w:rsidP="00CD0649">
            <w:pPr>
              <w:jc w:val="center"/>
              <w:rPr>
                <w:rFonts w:cstheme="minorHAnsi"/>
                <w:sz w:val="20"/>
                <w:szCs w:val="20"/>
              </w:rPr>
            </w:pPr>
            <w:r w:rsidRPr="00D63947">
              <w:rPr>
                <w:rFonts w:cstheme="minorHAnsi"/>
                <w:color w:val="000000"/>
                <w:sz w:val="20"/>
                <w:szCs w:val="20"/>
              </w:rPr>
              <w:t>25</w:t>
            </w:r>
          </w:p>
        </w:tc>
      </w:tr>
      <w:tr w:rsidR="00CD0649" w:rsidRPr="00D63947" w14:paraId="34503E5A" w14:textId="77777777" w:rsidTr="00A64B19">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53BFB3A6" w14:textId="6D0F5910" w:rsidR="00CD0649" w:rsidRPr="00D63947" w:rsidRDefault="00CD0649" w:rsidP="00CD0649">
            <w:pPr>
              <w:rPr>
                <w:rFonts w:cstheme="minorHAnsi"/>
                <w:sz w:val="20"/>
                <w:szCs w:val="20"/>
              </w:rPr>
            </w:pPr>
            <w:r w:rsidRPr="00D63947">
              <w:rPr>
                <w:rFonts w:cstheme="minorHAnsi"/>
                <w:color w:val="000000"/>
                <w:sz w:val="20"/>
                <w:szCs w:val="20"/>
              </w:rPr>
              <w:t>Reptiles</w:t>
            </w:r>
          </w:p>
        </w:tc>
        <w:tc>
          <w:tcPr>
            <w:tcW w:w="995" w:type="dxa"/>
            <w:tcBorders>
              <w:top w:val="nil"/>
              <w:left w:val="nil"/>
              <w:bottom w:val="single" w:sz="8" w:space="0" w:color="auto"/>
              <w:right w:val="single" w:sz="8" w:space="0" w:color="auto"/>
            </w:tcBorders>
            <w:shd w:val="clear" w:color="auto" w:fill="auto"/>
            <w:vAlign w:val="center"/>
            <w:hideMark/>
          </w:tcPr>
          <w:p w14:paraId="7C5BD96B" w14:textId="132FB55D" w:rsidR="00CD0649" w:rsidRPr="00D63947" w:rsidRDefault="00CD0649" w:rsidP="00CD0649">
            <w:pPr>
              <w:jc w:val="center"/>
              <w:rPr>
                <w:rFonts w:cstheme="minorHAnsi"/>
                <w:sz w:val="20"/>
                <w:szCs w:val="20"/>
              </w:rPr>
            </w:pPr>
            <w:r w:rsidRPr="00D63947">
              <w:rPr>
                <w:rFonts w:cstheme="minorHAnsi"/>
                <w:color w:val="000000"/>
                <w:sz w:val="20"/>
                <w:szCs w:val="20"/>
              </w:rPr>
              <w:t>15</w:t>
            </w:r>
          </w:p>
        </w:tc>
        <w:tc>
          <w:tcPr>
            <w:tcW w:w="926" w:type="dxa"/>
            <w:tcBorders>
              <w:top w:val="nil"/>
              <w:left w:val="nil"/>
              <w:bottom w:val="single" w:sz="8" w:space="0" w:color="auto"/>
              <w:right w:val="single" w:sz="8" w:space="0" w:color="auto"/>
            </w:tcBorders>
            <w:shd w:val="clear" w:color="auto" w:fill="auto"/>
            <w:vAlign w:val="center"/>
          </w:tcPr>
          <w:p w14:paraId="6AB0D036" w14:textId="3A7CAD7D" w:rsidR="00CD0649" w:rsidRPr="00D63947" w:rsidRDefault="00CD0649" w:rsidP="00CD0649">
            <w:pPr>
              <w:jc w:val="center"/>
              <w:rPr>
                <w:rFonts w:cstheme="minorHAnsi"/>
                <w:sz w:val="20"/>
                <w:szCs w:val="20"/>
              </w:rPr>
            </w:pPr>
            <w:r w:rsidRPr="00D63947">
              <w:rPr>
                <w:rFonts w:cstheme="minorHAnsi"/>
                <w:color w:val="000000"/>
                <w:sz w:val="20"/>
                <w:szCs w:val="20"/>
              </w:rPr>
              <w:t>1</w:t>
            </w:r>
          </w:p>
        </w:tc>
        <w:tc>
          <w:tcPr>
            <w:tcW w:w="2180" w:type="dxa"/>
            <w:tcBorders>
              <w:top w:val="nil"/>
              <w:left w:val="nil"/>
              <w:bottom w:val="single" w:sz="8" w:space="0" w:color="auto"/>
              <w:right w:val="single" w:sz="8" w:space="0" w:color="auto"/>
            </w:tcBorders>
            <w:shd w:val="clear" w:color="auto" w:fill="auto"/>
            <w:noWrap/>
            <w:vAlign w:val="center"/>
            <w:hideMark/>
          </w:tcPr>
          <w:p w14:paraId="1C3088A7" w14:textId="32067AE8" w:rsidR="00CD0649" w:rsidRPr="00D63947" w:rsidRDefault="00CD0649" w:rsidP="00CD0649">
            <w:pPr>
              <w:jc w:val="center"/>
              <w:rPr>
                <w:rFonts w:cstheme="minorHAnsi"/>
                <w:sz w:val="20"/>
                <w:szCs w:val="20"/>
              </w:rPr>
            </w:pPr>
            <w:r w:rsidRPr="00D63947">
              <w:rPr>
                <w:rFonts w:cstheme="minorHAnsi"/>
                <w:color w:val="000000"/>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0CF72AC4" w14:textId="1DF4953C" w:rsidR="00CD0649" w:rsidRPr="00D63947" w:rsidRDefault="00CD0649" w:rsidP="00CD0649">
            <w:pPr>
              <w:jc w:val="center"/>
              <w:rPr>
                <w:rFonts w:cstheme="minorHAnsi"/>
                <w:sz w:val="20"/>
                <w:szCs w:val="20"/>
              </w:rPr>
            </w:pPr>
            <w:r w:rsidRPr="00D63947">
              <w:rPr>
                <w:rFonts w:cstheme="minorHAnsi"/>
                <w:color w:val="000000"/>
                <w:sz w:val="20"/>
                <w:szCs w:val="20"/>
              </w:rPr>
              <w:t>0</w:t>
            </w:r>
          </w:p>
        </w:tc>
        <w:tc>
          <w:tcPr>
            <w:tcW w:w="1549" w:type="dxa"/>
            <w:tcBorders>
              <w:top w:val="nil"/>
              <w:left w:val="nil"/>
              <w:bottom w:val="single" w:sz="8" w:space="0" w:color="auto"/>
              <w:right w:val="single" w:sz="8" w:space="0" w:color="auto"/>
            </w:tcBorders>
            <w:shd w:val="clear" w:color="auto" w:fill="auto"/>
            <w:noWrap/>
            <w:vAlign w:val="center"/>
          </w:tcPr>
          <w:p w14:paraId="0130483F" w14:textId="6ED7FB9D" w:rsidR="00CD0649" w:rsidRPr="00D63947" w:rsidRDefault="00CD0649" w:rsidP="00CD0649">
            <w:pPr>
              <w:jc w:val="center"/>
              <w:rPr>
                <w:rFonts w:cstheme="minorHAnsi"/>
                <w:sz w:val="20"/>
                <w:szCs w:val="20"/>
              </w:rPr>
            </w:pPr>
            <w:r w:rsidRPr="00D63947">
              <w:rPr>
                <w:rFonts w:cstheme="minorHAnsi"/>
                <w:color w:val="000000"/>
                <w:sz w:val="20"/>
                <w:szCs w:val="20"/>
              </w:rPr>
              <w:t>16</w:t>
            </w:r>
          </w:p>
        </w:tc>
      </w:tr>
      <w:tr w:rsidR="00CD0649" w:rsidRPr="00D63947" w14:paraId="47ADD3BF" w14:textId="77777777" w:rsidTr="00A64B19">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0574D5A5" w14:textId="21627546" w:rsidR="00CD0649" w:rsidRPr="00D63947" w:rsidRDefault="00CD0649" w:rsidP="00CD0649">
            <w:pPr>
              <w:rPr>
                <w:rFonts w:cstheme="minorHAnsi"/>
                <w:sz w:val="20"/>
                <w:szCs w:val="20"/>
              </w:rPr>
            </w:pPr>
            <w:r w:rsidRPr="00D63947">
              <w:rPr>
                <w:rFonts w:cstheme="minorHAnsi"/>
                <w:color w:val="000000"/>
                <w:sz w:val="20"/>
                <w:szCs w:val="20"/>
              </w:rPr>
              <w:t>Fish</w:t>
            </w:r>
          </w:p>
        </w:tc>
        <w:tc>
          <w:tcPr>
            <w:tcW w:w="995" w:type="dxa"/>
            <w:tcBorders>
              <w:top w:val="nil"/>
              <w:left w:val="nil"/>
              <w:bottom w:val="single" w:sz="8" w:space="0" w:color="auto"/>
              <w:right w:val="single" w:sz="8" w:space="0" w:color="auto"/>
            </w:tcBorders>
            <w:shd w:val="clear" w:color="auto" w:fill="auto"/>
            <w:vAlign w:val="center"/>
            <w:hideMark/>
          </w:tcPr>
          <w:p w14:paraId="6E34DCD7" w14:textId="1A83E83E" w:rsidR="00CD0649" w:rsidRPr="00D63947" w:rsidRDefault="00CD0649" w:rsidP="00CD0649">
            <w:pPr>
              <w:jc w:val="center"/>
              <w:rPr>
                <w:rFonts w:cstheme="minorHAnsi"/>
                <w:sz w:val="20"/>
                <w:szCs w:val="20"/>
              </w:rPr>
            </w:pPr>
            <w:r w:rsidRPr="00D63947">
              <w:rPr>
                <w:rFonts w:cstheme="minorHAnsi"/>
                <w:color w:val="000000"/>
                <w:sz w:val="20"/>
                <w:szCs w:val="20"/>
              </w:rPr>
              <w:t>101</w:t>
            </w:r>
          </w:p>
        </w:tc>
        <w:tc>
          <w:tcPr>
            <w:tcW w:w="926" w:type="dxa"/>
            <w:tcBorders>
              <w:top w:val="nil"/>
              <w:left w:val="nil"/>
              <w:bottom w:val="single" w:sz="8" w:space="0" w:color="auto"/>
              <w:right w:val="single" w:sz="8" w:space="0" w:color="auto"/>
            </w:tcBorders>
            <w:shd w:val="clear" w:color="auto" w:fill="auto"/>
            <w:vAlign w:val="center"/>
          </w:tcPr>
          <w:p w14:paraId="7D0907A5" w14:textId="02D93131" w:rsidR="00CD0649" w:rsidRPr="00D63947" w:rsidRDefault="00CD0649" w:rsidP="00CD0649">
            <w:pPr>
              <w:jc w:val="center"/>
              <w:rPr>
                <w:rFonts w:cstheme="minorHAnsi"/>
                <w:sz w:val="20"/>
                <w:szCs w:val="20"/>
              </w:rPr>
            </w:pPr>
            <w:r w:rsidRPr="00D63947">
              <w:rPr>
                <w:rFonts w:cstheme="minorHAnsi"/>
                <w:color w:val="000000"/>
                <w:sz w:val="20"/>
                <w:szCs w:val="20"/>
              </w:rPr>
              <w:t>6</w:t>
            </w:r>
          </w:p>
        </w:tc>
        <w:tc>
          <w:tcPr>
            <w:tcW w:w="2180" w:type="dxa"/>
            <w:tcBorders>
              <w:top w:val="nil"/>
              <w:left w:val="nil"/>
              <w:bottom w:val="single" w:sz="8" w:space="0" w:color="auto"/>
              <w:right w:val="single" w:sz="8" w:space="0" w:color="auto"/>
            </w:tcBorders>
            <w:shd w:val="clear" w:color="auto" w:fill="auto"/>
            <w:noWrap/>
            <w:vAlign w:val="center"/>
            <w:hideMark/>
          </w:tcPr>
          <w:p w14:paraId="5E773DF3" w14:textId="0F76B051" w:rsidR="00CD0649" w:rsidRPr="00D63947" w:rsidRDefault="00CD0649" w:rsidP="00CD0649">
            <w:pPr>
              <w:jc w:val="center"/>
              <w:rPr>
                <w:rFonts w:cstheme="minorHAnsi"/>
                <w:sz w:val="20"/>
                <w:szCs w:val="20"/>
              </w:rPr>
            </w:pPr>
            <w:r w:rsidRPr="00D63947">
              <w:rPr>
                <w:rFonts w:cstheme="minorHAnsi"/>
                <w:color w:val="000000"/>
                <w:sz w:val="20"/>
                <w:szCs w:val="20"/>
              </w:rPr>
              <w:t>1</w:t>
            </w:r>
          </w:p>
        </w:tc>
        <w:tc>
          <w:tcPr>
            <w:tcW w:w="2066" w:type="dxa"/>
            <w:tcBorders>
              <w:top w:val="nil"/>
              <w:left w:val="nil"/>
              <w:bottom w:val="single" w:sz="8" w:space="0" w:color="auto"/>
              <w:right w:val="single" w:sz="8" w:space="0" w:color="auto"/>
            </w:tcBorders>
            <w:shd w:val="clear" w:color="auto" w:fill="auto"/>
            <w:noWrap/>
            <w:vAlign w:val="center"/>
            <w:hideMark/>
          </w:tcPr>
          <w:p w14:paraId="1F907A9B" w14:textId="36D180D3" w:rsidR="00CD0649" w:rsidRPr="00D63947" w:rsidRDefault="00CD0649" w:rsidP="00CD0649">
            <w:pPr>
              <w:jc w:val="center"/>
              <w:rPr>
                <w:rFonts w:cstheme="minorHAnsi"/>
                <w:sz w:val="20"/>
                <w:szCs w:val="20"/>
              </w:rPr>
            </w:pPr>
            <w:r w:rsidRPr="00D63947">
              <w:rPr>
                <w:rFonts w:cstheme="minorHAnsi"/>
                <w:color w:val="000000"/>
                <w:sz w:val="20"/>
                <w:szCs w:val="20"/>
              </w:rPr>
              <w:t>5</w:t>
            </w:r>
          </w:p>
        </w:tc>
        <w:tc>
          <w:tcPr>
            <w:tcW w:w="1549" w:type="dxa"/>
            <w:tcBorders>
              <w:top w:val="nil"/>
              <w:left w:val="nil"/>
              <w:bottom w:val="single" w:sz="8" w:space="0" w:color="auto"/>
              <w:right w:val="single" w:sz="8" w:space="0" w:color="auto"/>
            </w:tcBorders>
            <w:shd w:val="clear" w:color="auto" w:fill="auto"/>
            <w:noWrap/>
            <w:vAlign w:val="center"/>
          </w:tcPr>
          <w:p w14:paraId="04BC524C" w14:textId="4834C10B" w:rsidR="00CD0649" w:rsidRPr="00D63947" w:rsidRDefault="00CD0649" w:rsidP="00CD0649">
            <w:pPr>
              <w:jc w:val="center"/>
              <w:rPr>
                <w:rFonts w:cstheme="minorHAnsi"/>
                <w:sz w:val="20"/>
                <w:szCs w:val="20"/>
              </w:rPr>
            </w:pPr>
            <w:r w:rsidRPr="00D63947">
              <w:rPr>
                <w:rFonts w:cstheme="minorHAnsi"/>
                <w:color w:val="000000"/>
                <w:sz w:val="20"/>
                <w:szCs w:val="20"/>
              </w:rPr>
              <w:t>107</w:t>
            </w:r>
          </w:p>
        </w:tc>
      </w:tr>
      <w:tr w:rsidR="00CD0649" w:rsidRPr="00D63947" w14:paraId="4A640944" w14:textId="77777777" w:rsidTr="00A64B19">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2A131AE" w14:textId="38C93433" w:rsidR="00CD0649" w:rsidRPr="00D63947" w:rsidRDefault="00CD0649" w:rsidP="00CD0649">
            <w:pPr>
              <w:rPr>
                <w:rFonts w:cstheme="minorHAnsi"/>
                <w:sz w:val="20"/>
                <w:szCs w:val="20"/>
              </w:rPr>
            </w:pPr>
            <w:r w:rsidRPr="00D63947">
              <w:rPr>
                <w:rFonts w:cstheme="minorHAnsi"/>
                <w:color w:val="000000"/>
                <w:sz w:val="20"/>
                <w:szCs w:val="20"/>
              </w:rPr>
              <w:t>Plants</w:t>
            </w:r>
          </w:p>
        </w:tc>
        <w:tc>
          <w:tcPr>
            <w:tcW w:w="995" w:type="dxa"/>
            <w:tcBorders>
              <w:top w:val="nil"/>
              <w:left w:val="nil"/>
              <w:bottom w:val="single" w:sz="8" w:space="0" w:color="auto"/>
              <w:right w:val="single" w:sz="8" w:space="0" w:color="auto"/>
            </w:tcBorders>
            <w:shd w:val="clear" w:color="auto" w:fill="auto"/>
            <w:vAlign w:val="center"/>
            <w:hideMark/>
          </w:tcPr>
          <w:p w14:paraId="2CFBE49C" w14:textId="6967E446" w:rsidR="00CD0649" w:rsidRPr="00D63947" w:rsidRDefault="00CD0649" w:rsidP="00CD0649">
            <w:pPr>
              <w:jc w:val="center"/>
              <w:rPr>
                <w:rFonts w:cstheme="minorHAnsi"/>
                <w:sz w:val="20"/>
                <w:szCs w:val="20"/>
              </w:rPr>
            </w:pPr>
            <w:r w:rsidRPr="00D63947">
              <w:rPr>
                <w:rFonts w:cstheme="minorHAnsi"/>
                <w:color w:val="000000"/>
                <w:sz w:val="20"/>
                <w:szCs w:val="20"/>
              </w:rPr>
              <w:t>45</w:t>
            </w:r>
            <w:r w:rsidR="00ED0CB2" w:rsidRPr="00D63947">
              <w:rPr>
                <w:rFonts w:cstheme="minorHAnsi"/>
                <w:color w:val="000000"/>
                <w:sz w:val="20"/>
                <w:szCs w:val="20"/>
              </w:rPr>
              <w:t>7</w:t>
            </w:r>
          </w:p>
        </w:tc>
        <w:tc>
          <w:tcPr>
            <w:tcW w:w="926" w:type="dxa"/>
            <w:tcBorders>
              <w:top w:val="nil"/>
              <w:left w:val="nil"/>
              <w:bottom w:val="single" w:sz="8" w:space="0" w:color="auto"/>
              <w:right w:val="single" w:sz="8" w:space="0" w:color="auto"/>
            </w:tcBorders>
            <w:shd w:val="clear" w:color="auto" w:fill="auto"/>
            <w:vAlign w:val="center"/>
          </w:tcPr>
          <w:p w14:paraId="567E0D03" w14:textId="014CA396" w:rsidR="00CD0649" w:rsidRPr="00D63947" w:rsidRDefault="00CD0649" w:rsidP="00CD0649">
            <w:pPr>
              <w:jc w:val="center"/>
              <w:rPr>
                <w:rFonts w:cstheme="minorHAnsi"/>
                <w:sz w:val="20"/>
                <w:szCs w:val="20"/>
              </w:rPr>
            </w:pPr>
            <w:r w:rsidRPr="00D63947">
              <w:rPr>
                <w:rFonts w:cstheme="minorHAnsi"/>
                <w:color w:val="000000"/>
                <w:sz w:val="20"/>
                <w:szCs w:val="20"/>
              </w:rPr>
              <w:t>3</w:t>
            </w:r>
          </w:p>
        </w:tc>
        <w:tc>
          <w:tcPr>
            <w:tcW w:w="2180" w:type="dxa"/>
            <w:tcBorders>
              <w:top w:val="nil"/>
              <w:left w:val="nil"/>
              <w:bottom w:val="single" w:sz="8" w:space="0" w:color="auto"/>
              <w:right w:val="single" w:sz="8" w:space="0" w:color="auto"/>
            </w:tcBorders>
            <w:shd w:val="clear" w:color="auto" w:fill="auto"/>
            <w:noWrap/>
            <w:vAlign w:val="center"/>
            <w:hideMark/>
          </w:tcPr>
          <w:p w14:paraId="3CC60BD9" w14:textId="685516CE" w:rsidR="00CD0649" w:rsidRPr="00D63947" w:rsidRDefault="00CD0649" w:rsidP="00CD0649">
            <w:pPr>
              <w:jc w:val="center"/>
              <w:rPr>
                <w:rFonts w:cstheme="minorHAnsi"/>
                <w:sz w:val="20"/>
                <w:szCs w:val="20"/>
              </w:rPr>
            </w:pPr>
            <w:r w:rsidRPr="00D63947">
              <w:rPr>
                <w:rFonts w:cstheme="minorHAnsi"/>
                <w:color w:val="000000"/>
                <w:sz w:val="20"/>
                <w:szCs w:val="20"/>
              </w:rPr>
              <w:t>3</w:t>
            </w:r>
          </w:p>
        </w:tc>
        <w:tc>
          <w:tcPr>
            <w:tcW w:w="2066" w:type="dxa"/>
            <w:tcBorders>
              <w:top w:val="nil"/>
              <w:left w:val="nil"/>
              <w:bottom w:val="single" w:sz="8" w:space="0" w:color="auto"/>
              <w:right w:val="single" w:sz="8" w:space="0" w:color="auto"/>
            </w:tcBorders>
            <w:shd w:val="clear" w:color="auto" w:fill="auto"/>
            <w:noWrap/>
            <w:vAlign w:val="center"/>
            <w:hideMark/>
          </w:tcPr>
          <w:p w14:paraId="14C162EB" w14:textId="209AF789" w:rsidR="00CD0649" w:rsidRPr="00D63947" w:rsidRDefault="00CD0649" w:rsidP="00CD0649">
            <w:pPr>
              <w:jc w:val="center"/>
              <w:rPr>
                <w:rFonts w:cstheme="minorHAnsi"/>
                <w:sz w:val="20"/>
                <w:szCs w:val="20"/>
              </w:rPr>
            </w:pPr>
            <w:r w:rsidRPr="00D63947">
              <w:rPr>
                <w:rFonts w:cstheme="minorHAnsi"/>
                <w:color w:val="000000"/>
                <w:sz w:val="20"/>
                <w:szCs w:val="20"/>
              </w:rPr>
              <w:t>0</w:t>
            </w:r>
          </w:p>
        </w:tc>
        <w:tc>
          <w:tcPr>
            <w:tcW w:w="1549" w:type="dxa"/>
            <w:tcBorders>
              <w:top w:val="nil"/>
              <w:left w:val="nil"/>
              <w:bottom w:val="single" w:sz="8" w:space="0" w:color="auto"/>
              <w:right w:val="single" w:sz="8" w:space="0" w:color="auto"/>
            </w:tcBorders>
            <w:shd w:val="clear" w:color="auto" w:fill="auto"/>
            <w:noWrap/>
            <w:vAlign w:val="center"/>
          </w:tcPr>
          <w:p w14:paraId="59FC981A" w14:textId="31788EF9" w:rsidR="00CD0649" w:rsidRPr="00D63947" w:rsidRDefault="00D15189" w:rsidP="00CD0649">
            <w:pPr>
              <w:jc w:val="center"/>
              <w:rPr>
                <w:rFonts w:cstheme="minorHAnsi"/>
                <w:sz w:val="20"/>
                <w:szCs w:val="20"/>
              </w:rPr>
            </w:pPr>
            <w:r w:rsidRPr="00D63947">
              <w:rPr>
                <w:rFonts w:cstheme="minorHAnsi"/>
                <w:color w:val="000000"/>
                <w:sz w:val="20"/>
                <w:szCs w:val="20"/>
              </w:rPr>
              <w:t>460</w:t>
            </w:r>
          </w:p>
        </w:tc>
      </w:tr>
      <w:tr w:rsidR="00CD0649" w:rsidRPr="00D63947" w14:paraId="0845F250" w14:textId="77777777" w:rsidTr="00A64B19">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AC45E26" w14:textId="357E9E26" w:rsidR="00CD0649" w:rsidRPr="00D63947" w:rsidRDefault="00CD0649" w:rsidP="00CD0649">
            <w:pPr>
              <w:rPr>
                <w:rFonts w:cstheme="minorHAnsi"/>
                <w:sz w:val="20"/>
                <w:szCs w:val="20"/>
              </w:rPr>
            </w:pPr>
            <w:r w:rsidRPr="00D63947">
              <w:rPr>
                <w:rFonts w:cstheme="minorHAnsi"/>
                <w:color w:val="000000"/>
                <w:sz w:val="20"/>
                <w:szCs w:val="20"/>
              </w:rPr>
              <w:t>Aquatic Invertebrates</w:t>
            </w:r>
          </w:p>
        </w:tc>
        <w:tc>
          <w:tcPr>
            <w:tcW w:w="995" w:type="dxa"/>
            <w:tcBorders>
              <w:top w:val="nil"/>
              <w:left w:val="nil"/>
              <w:bottom w:val="single" w:sz="8" w:space="0" w:color="auto"/>
              <w:right w:val="single" w:sz="8" w:space="0" w:color="auto"/>
            </w:tcBorders>
            <w:shd w:val="clear" w:color="auto" w:fill="auto"/>
            <w:vAlign w:val="center"/>
            <w:hideMark/>
          </w:tcPr>
          <w:p w14:paraId="5A5CDFF3" w14:textId="0E381CC1" w:rsidR="00CD0649" w:rsidRPr="00D63947" w:rsidRDefault="00D15189" w:rsidP="00CD0649">
            <w:pPr>
              <w:jc w:val="center"/>
              <w:rPr>
                <w:rFonts w:cstheme="minorHAnsi"/>
                <w:sz w:val="20"/>
                <w:szCs w:val="20"/>
              </w:rPr>
            </w:pPr>
            <w:r w:rsidRPr="00D63947">
              <w:rPr>
                <w:rFonts w:cstheme="minorHAnsi"/>
                <w:color w:val="000000"/>
                <w:sz w:val="20"/>
                <w:szCs w:val="20"/>
              </w:rPr>
              <w:t>62</w:t>
            </w:r>
          </w:p>
        </w:tc>
        <w:tc>
          <w:tcPr>
            <w:tcW w:w="926" w:type="dxa"/>
            <w:tcBorders>
              <w:top w:val="nil"/>
              <w:left w:val="nil"/>
              <w:bottom w:val="single" w:sz="8" w:space="0" w:color="auto"/>
              <w:right w:val="single" w:sz="8" w:space="0" w:color="auto"/>
            </w:tcBorders>
            <w:shd w:val="clear" w:color="auto" w:fill="auto"/>
            <w:vAlign w:val="center"/>
          </w:tcPr>
          <w:p w14:paraId="380848C4" w14:textId="2408D556" w:rsidR="00CD0649" w:rsidRPr="00D63947" w:rsidRDefault="00D15189" w:rsidP="00CD0649">
            <w:pPr>
              <w:jc w:val="center"/>
              <w:rPr>
                <w:rFonts w:cstheme="minorHAnsi"/>
                <w:sz w:val="20"/>
                <w:szCs w:val="20"/>
              </w:rPr>
            </w:pPr>
            <w:r w:rsidRPr="00D63947">
              <w:rPr>
                <w:rFonts w:cstheme="minorHAnsi"/>
                <w:color w:val="000000"/>
                <w:sz w:val="20"/>
                <w:szCs w:val="20"/>
              </w:rPr>
              <w:t>9</w:t>
            </w:r>
          </w:p>
        </w:tc>
        <w:tc>
          <w:tcPr>
            <w:tcW w:w="2180" w:type="dxa"/>
            <w:tcBorders>
              <w:top w:val="nil"/>
              <w:left w:val="nil"/>
              <w:bottom w:val="single" w:sz="8" w:space="0" w:color="auto"/>
              <w:right w:val="single" w:sz="8" w:space="0" w:color="auto"/>
            </w:tcBorders>
            <w:shd w:val="clear" w:color="auto" w:fill="auto"/>
            <w:noWrap/>
            <w:vAlign w:val="center"/>
            <w:hideMark/>
          </w:tcPr>
          <w:p w14:paraId="30DC58BA" w14:textId="7E2F79C0" w:rsidR="00CD0649" w:rsidRPr="00D63947" w:rsidRDefault="00D15189" w:rsidP="00CD0649">
            <w:pPr>
              <w:jc w:val="center"/>
              <w:rPr>
                <w:rFonts w:cstheme="minorHAnsi"/>
                <w:sz w:val="20"/>
                <w:szCs w:val="20"/>
              </w:rPr>
            </w:pPr>
            <w:r w:rsidRPr="00D63947">
              <w:rPr>
                <w:rFonts w:cstheme="minorHAnsi"/>
                <w:color w:val="000000"/>
                <w:sz w:val="20"/>
                <w:szCs w:val="20"/>
              </w:rPr>
              <w:t>7</w:t>
            </w:r>
          </w:p>
        </w:tc>
        <w:tc>
          <w:tcPr>
            <w:tcW w:w="2066" w:type="dxa"/>
            <w:tcBorders>
              <w:top w:val="nil"/>
              <w:left w:val="nil"/>
              <w:bottom w:val="single" w:sz="8" w:space="0" w:color="auto"/>
              <w:right w:val="single" w:sz="8" w:space="0" w:color="auto"/>
            </w:tcBorders>
            <w:shd w:val="clear" w:color="auto" w:fill="auto"/>
            <w:noWrap/>
            <w:vAlign w:val="center"/>
            <w:hideMark/>
          </w:tcPr>
          <w:p w14:paraId="1044A307" w14:textId="11096468" w:rsidR="00CD0649" w:rsidRPr="00D63947" w:rsidRDefault="00CD0649" w:rsidP="00CD0649">
            <w:pPr>
              <w:jc w:val="center"/>
              <w:rPr>
                <w:rFonts w:cstheme="minorHAnsi"/>
                <w:sz w:val="20"/>
                <w:szCs w:val="20"/>
              </w:rPr>
            </w:pPr>
            <w:r w:rsidRPr="00D63947">
              <w:rPr>
                <w:rFonts w:cstheme="minorHAnsi"/>
                <w:color w:val="000000"/>
                <w:sz w:val="20"/>
                <w:szCs w:val="20"/>
              </w:rPr>
              <w:t>2</w:t>
            </w:r>
          </w:p>
        </w:tc>
        <w:tc>
          <w:tcPr>
            <w:tcW w:w="1549" w:type="dxa"/>
            <w:tcBorders>
              <w:top w:val="nil"/>
              <w:left w:val="nil"/>
              <w:bottom w:val="single" w:sz="8" w:space="0" w:color="auto"/>
              <w:right w:val="single" w:sz="8" w:space="0" w:color="auto"/>
            </w:tcBorders>
            <w:shd w:val="clear" w:color="auto" w:fill="auto"/>
            <w:noWrap/>
            <w:vAlign w:val="center"/>
          </w:tcPr>
          <w:p w14:paraId="342EF3A6" w14:textId="15D09756" w:rsidR="00CD0649" w:rsidRPr="00D63947" w:rsidRDefault="00CD0649" w:rsidP="00CD0649">
            <w:pPr>
              <w:jc w:val="center"/>
              <w:rPr>
                <w:rFonts w:cstheme="minorHAnsi"/>
                <w:sz w:val="20"/>
                <w:szCs w:val="20"/>
              </w:rPr>
            </w:pPr>
            <w:r w:rsidRPr="00D63947">
              <w:rPr>
                <w:rFonts w:cstheme="minorHAnsi"/>
                <w:color w:val="000000"/>
                <w:sz w:val="20"/>
                <w:szCs w:val="20"/>
              </w:rPr>
              <w:t>71</w:t>
            </w:r>
          </w:p>
        </w:tc>
      </w:tr>
      <w:tr w:rsidR="00CD0649" w:rsidRPr="00D63947" w14:paraId="1A09C90A" w14:textId="77777777" w:rsidTr="00A64B19">
        <w:trPr>
          <w:trHeight w:val="288"/>
        </w:trPr>
        <w:tc>
          <w:tcPr>
            <w:tcW w:w="1610" w:type="dxa"/>
            <w:tcBorders>
              <w:top w:val="nil"/>
              <w:left w:val="single" w:sz="8" w:space="0" w:color="auto"/>
              <w:bottom w:val="single" w:sz="8" w:space="0" w:color="auto"/>
              <w:right w:val="single" w:sz="8" w:space="0" w:color="auto"/>
            </w:tcBorders>
            <w:shd w:val="clear" w:color="auto" w:fill="auto"/>
            <w:noWrap/>
            <w:vAlign w:val="center"/>
            <w:hideMark/>
          </w:tcPr>
          <w:p w14:paraId="7E6D93B7" w14:textId="0AE21B89" w:rsidR="00CD0649" w:rsidRPr="00D63947" w:rsidRDefault="00CD0649" w:rsidP="00CD0649">
            <w:pPr>
              <w:rPr>
                <w:rFonts w:cstheme="minorHAnsi"/>
                <w:sz w:val="20"/>
                <w:szCs w:val="20"/>
              </w:rPr>
            </w:pPr>
            <w:r w:rsidRPr="00D63947">
              <w:rPr>
                <w:rFonts w:cstheme="minorHAnsi"/>
                <w:color w:val="000000"/>
                <w:sz w:val="20"/>
                <w:szCs w:val="20"/>
              </w:rPr>
              <w:t>Terrestrial Invertebrates</w:t>
            </w:r>
          </w:p>
        </w:tc>
        <w:tc>
          <w:tcPr>
            <w:tcW w:w="995" w:type="dxa"/>
            <w:tcBorders>
              <w:top w:val="nil"/>
              <w:left w:val="nil"/>
              <w:bottom w:val="single" w:sz="8" w:space="0" w:color="auto"/>
              <w:right w:val="single" w:sz="8" w:space="0" w:color="auto"/>
            </w:tcBorders>
            <w:shd w:val="clear" w:color="auto" w:fill="auto"/>
            <w:vAlign w:val="center"/>
            <w:hideMark/>
          </w:tcPr>
          <w:p w14:paraId="4CC8DD93" w14:textId="01CE76AB" w:rsidR="00CD0649" w:rsidRPr="00D63947" w:rsidRDefault="00CD0649" w:rsidP="00CD0649">
            <w:pPr>
              <w:jc w:val="center"/>
              <w:rPr>
                <w:rFonts w:cstheme="minorHAnsi"/>
                <w:sz w:val="20"/>
                <w:szCs w:val="20"/>
              </w:rPr>
            </w:pPr>
            <w:r w:rsidRPr="00D63947">
              <w:rPr>
                <w:rFonts w:cstheme="minorHAnsi"/>
                <w:color w:val="000000"/>
                <w:sz w:val="20"/>
                <w:szCs w:val="20"/>
              </w:rPr>
              <w:t>40</w:t>
            </w:r>
          </w:p>
        </w:tc>
        <w:tc>
          <w:tcPr>
            <w:tcW w:w="926" w:type="dxa"/>
            <w:tcBorders>
              <w:top w:val="nil"/>
              <w:left w:val="nil"/>
              <w:bottom w:val="single" w:sz="8" w:space="0" w:color="auto"/>
              <w:right w:val="single" w:sz="8" w:space="0" w:color="auto"/>
            </w:tcBorders>
            <w:shd w:val="clear" w:color="auto" w:fill="auto"/>
            <w:vAlign w:val="center"/>
          </w:tcPr>
          <w:p w14:paraId="50E92140" w14:textId="0AC2CA73" w:rsidR="00CD0649" w:rsidRPr="00D63947" w:rsidRDefault="00CD0649" w:rsidP="00CD0649">
            <w:pPr>
              <w:jc w:val="center"/>
              <w:rPr>
                <w:rFonts w:cstheme="minorHAnsi"/>
                <w:sz w:val="20"/>
                <w:szCs w:val="20"/>
              </w:rPr>
            </w:pPr>
            <w:r w:rsidRPr="00D63947">
              <w:rPr>
                <w:rFonts w:cstheme="minorHAnsi"/>
                <w:color w:val="000000"/>
                <w:sz w:val="20"/>
                <w:szCs w:val="20"/>
              </w:rPr>
              <w:t>9</w:t>
            </w:r>
          </w:p>
        </w:tc>
        <w:tc>
          <w:tcPr>
            <w:tcW w:w="2180" w:type="dxa"/>
            <w:tcBorders>
              <w:top w:val="nil"/>
              <w:left w:val="nil"/>
              <w:bottom w:val="single" w:sz="8" w:space="0" w:color="auto"/>
              <w:right w:val="single" w:sz="8" w:space="0" w:color="auto"/>
            </w:tcBorders>
            <w:shd w:val="clear" w:color="auto" w:fill="auto"/>
            <w:noWrap/>
            <w:vAlign w:val="center"/>
            <w:hideMark/>
          </w:tcPr>
          <w:p w14:paraId="1AAD6DB8" w14:textId="5EFE96B9" w:rsidR="00CD0649" w:rsidRPr="00D63947" w:rsidRDefault="00CD0649" w:rsidP="00CD0649">
            <w:pPr>
              <w:jc w:val="center"/>
              <w:rPr>
                <w:rFonts w:cstheme="minorHAnsi"/>
                <w:sz w:val="20"/>
                <w:szCs w:val="20"/>
              </w:rPr>
            </w:pPr>
            <w:r w:rsidRPr="00D63947">
              <w:rPr>
                <w:rFonts w:cstheme="minorHAnsi"/>
                <w:color w:val="000000"/>
                <w:sz w:val="20"/>
                <w:szCs w:val="20"/>
              </w:rPr>
              <w:t>9</w:t>
            </w:r>
          </w:p>
        </w:tc>
        <w:tc>
          <w:tcPr>
            <w:tcW w:w="2066" w:type="dxa"/>
            <w:tcBorders>
              <w:top w:val="nil"/>
              <w:left w:val="nil"/>
              <w:bottom w:val="single" w:sz="8" w:space="0" w:color="auto"/>
              <w:right w:val="single" w:sz="8" w:space="0" w:color="auto"/>
            </w:tcBorders>
            <w:shd w:val="clear" w:color="auto" w:fill="auto"/>
            <w:noWrap/>
            <w:vAlign w:val="center"/>
            <w:hideMark/>
          </w:tcPr>
          <w:p w14:paraId="0A56DAAD" w14:textId="7561F275" w:rsidR="00CD0649" w:rsidRPr="00D63947" w:rsidRDefault="00CD0649" w:rsidP="00CD0649">
            <w:pPr>
              <w:jc w:val="center"/>
              <w:rPr>
                <w:rFonts w:cstheme="minorHAnsi"/>
                <w:sz w:val="20"/>
                <w:szCs w:val="20"/>
              </w:rPr>
            </w:pPr>
            <w:r w:rsidRPr="00D63947">
              <w:rPr>
                <w:rFonts w:cstheme="minorHAnsi"/>
                <w:color w:val="000000"/>
                <w:sz w:val="20"/>
                <w:szCs w:val="20"/>
              </w:rPr>
              <w:t>0</w:t>
            </w:r>
          </w:p>
        </w:tc>
        <w:tc>
          <w:tcPr>
            <w:tcW w:w="1549" w:type="dxa"/>
            <w:tcBorders>
              <w:top w:val="nil"/>
              <w:left w:val="nil"/>
              <w:bottom w:val="single" w:sz="8" w:space="0" w:color="auto"/>
              <w:right w:val="single" w:sz="8" w:space="0" w:color="auto"/>
            </w:tcBorders>
            <w:shd w:val="clear" w:color="auto" w:fill="auto"/>
            <w:noWrap/>
            <w:vAlign w:val="center"/>
          </w:tcPr>
          <w:p w14:paraId="410FE67B" w14:textId="02937770" w:rsidR="00CD0649" w:rsidRPr="00D63947" w:rsidRDefault="00CD0649" w:rsidP="00CD0649">
            <w:pPr>
              <w:jc w:val="center"/>
              <w:rPr>
                <w:rFonts w:cstheme="minorHAnsi"/>
                <w:sz w:val="20"/>
                <w:szCs w:val="20"/>
              </w:rPr>
            </w:pPr>
            <w:r w:rsidRPr="00D63947">
              <w:rPr>
                <w:rFonts w:cstheme="minorHAnsi"/>
                <w:color w:val="000000"/>
                <w:sz w:val="20"/>
                <w:szCs w:val="20"/>
              </w:rPr>
              <w:t>49</w:t>
            </w:r>
          </w:p>
        </w:tc>
      </w:tr>
      <w:tr w:rsidR="00CD0649" w:rsidRPr="00D63947" w14:paraId="77EC8A3D" w14:textId="77777777" w:rsidTr="00A64B19">
        <w:trPr>
          <w:trHeight w:val="288"/>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04723BA2" w14:textId="04F99F3C" w:rsidR="00CD0649" w:rsidRPr="00D63947" w:rsidRDefault="00CD0649" w:rsidP="00CD0649">
            <w:pPr>
              <w:rPr>
                <w:rFonts w:cstheme="minorHAnsi"/>
                <w:sz w:val="20"/>
                <w:szCs w:val="20"/>
              </w:rPr>
            </w:pPr>
            <w:r w:rsidRPr="00D63947">
              <w:rPr>
                <w:rFonts w:cstheme="minorHAnsi"/>
                <w:color w:val="000000"/>
                <w:sz w:val="20"/>
                <w:szCs w:val="20"/>
              </w:rPr>
              <w:t>Total</w:t>
            </w:r>
          </w:p>
        </w:tc>
        <w:tc>
          <w:tcPr>
            <w:tcW w:w="995" w:type="dxa"/>
            <w:tcBorders>
              <w:top w:val="nil"/>
              <w:left w:val="nil"/>
              <w:bottom w:val="single" w:sz="8" w:space="0" w:color="auto"/>
              <w:right w:val="single" w:sz="8" w:space="0" w:color="auto"/>
            </w:tcBorders>
            <w:shd w:val="clear" w:color="000000" w:fill="D9D9D9"/>
            <w:vAlign w:val="center"/>
            <w:hideMark/>
          </w:tcPr>
          <w:p w14:paraId="2D6675C4" w14:textId="7E06EE71" w:rsidR="00CD0649" w:rsidRPr="00D63947" w:rsidRDefault="00D15189" w:rsidP="00CD0649">
            <w:pPr>
              <w:jc w:val="center"/>
              <w:rPr>
                <w:rFonts w:cstheme="minorHAnsi"/>
                <w:sz w:val="20"/>
                <w:szCs w:val="20"/>
              </w:rPr>
            </w:pPr>
            <w:r w:rsidRPr="00D63947">
              <w:rPr>
                <w:rFonts w:cstheme="minorHAnsi"/>
                <w:color w:val="000000"/>
                <w:sz w:val="20"/>
                <w:szCs w:val="20"/>
              </w:rPr>
              <w:t>755</w:t>
            </w:r>
          </w:p>
        </w:tc>
        <w:tc>
          <w:tcPr>
            <w:tcW w:w="926" w:type="dxa"/>
            <w:tcBorders>
              <w:top w:val="nil"/>
              <w:left w:val="nil"/>
              <w:bottom w:val="single" w:sz="8" w:space="0" w:color="auto"/>
              <w:right w:val="single" w:sz="8" w:space="0" w:color="auto"/>
            </w:tcBorders>
            <w:shd w:val="clear" w:color="000000" w:fill="D9D9D9"/>
            <w:vAlign w:val="center"/>
            <w:hideMark/>
          </w:tcPr>
          <w:p w14:paraId="4EC0B7B8" w14:textId="0A4F3816" w:rsidR="00CD0649" w:rsidRPr="00D63947" w:rsidRDefault="00D15189" w:rsidP="00CD0649">
            <w:pPr>
              <w:jc w:val="center"/>
              <w:rPr>
                <w:rFonts w:cstheme="minorHAnsi"/>
                <w:sz w:val="20"/>
                <w:szCs w:val="20"/>
              </w:rPr>
            </w:pPr>
            <w:r w:rsidRPr="00D63947">
              <w:rPr>
                <w:rFonts w:cstheme="minorHAnsi"/>
                <w:color w:val="000000"/>
                <w:sz w:val="20"/>
                <w:szCs w:val="20"/>
              </w:rPr>
              <w:t>37</w:t>
            </w:r>
          </w:p>
        </w:tc>
        <w:tc>
          <w:tcPr>
            <w:tcW w:w="2180" w:type="dxa"/>
            <w:tcBorders>
              <w:top w:val="nil"/>
              <w:left w:val="nil"/>
              <w:bottom w:val="single" w:sz="8" w:space="0" w:color="auto"/>
              <w:right w:val="single" w:sz="8" w:space="0" w:color="auto"/>
            </w:tcBorders>
            <w:shd w:val="clear" w:color="000000" w:fill="D9D9D9"/>
            <w:noWrap/>
            <w:vAlign w:val="center"/>
            <w:hideMark/>
          </w:tcPr>
          <w:p w14:paraId="5254EDAD" w14:textId="2E08549C" w:rsidR="00CD0649" w:rsidRPr="00D63947" w:rsidRDefault="00D15189" w:rsidP="00CD0649">
            <w:pPr>
              <w:jc w:val="center"/>
              <w:rPr>
                <w:rFonts w:cstheme="minorHAnsi"/>
                <w:sz w:val="20"/>
                <w:szCs w:val="20"/>
              </w:rPr>
            </w:pPr>
            <w:r w:rsidRPr="00D63947">
              <w:rPr>
                <w:rFonts w:cstheme="minorHAnsi"/>
                <w:color w:val="000000"/>
                <w:sz w:val="20"/>
                <w:szCs w:val="20"/>
              </w:rPr>
              <w:t>23</w:t>
            </w:r>
          </w:p>
        </w:tc>
        <w:tc>
          <w:tcPr>
            <w:tcW w:w="2066" w:type="dxa"/>
            <w:tcBorders>
              <w:top w:val="nil"/>
              <w:left w:val="nil"/>
              <w:bottom w:val="single" w:sz="8" w:space="0" w:color="auto"/>
              <w:right w:val="single" w:sz="8" w:space="0" w:color="auto"/>
            </w:tcBorders>
            <w:shd w:val="clear" w:color="000000" w:fill="D9D9D9"/>
            <w:noWrap/>
            <w:vAlign w:val="center"/>
            <w:hideMark/>
          </w:tcPr>
          <w:p w14:paraId="1F2EEBE7" w14:textId="4C7F4FC4" w:rsidR="00CD0649" w:rsidRPr="00D63947" w:rsidRDefault="00CD0649" w:rsidP="00CD0649">
            <w:pPr>
              <w:jc w:val="center"/>
              <w:rPr>
                <w:rFonts w:cstheme="minorHAnsi"/>
                <w:sz w:val="20"/>
                <w:szCs w:val="20"/>
              </w:rPr>
            </w:pPr>
            <w:r w:rsidRPr="00D63947">
              <w:rPr>
                <w:rFonts w:cstheme="minorHAnsi"/>
                <w:color w:val="000000"/>
                <w:sz w:val="20"/>
                <w:szCs w:val="20"/>
              </w:rPr>
              <w:t>14</w:t>
            </w:r>
          </w:p>
        </w:tc>
        <w:tc>
          <w:tcPr>
            <w:tcW w:w="1549" w:type="dxa"/>
            <w:tcBorders>
              <w:top w:val="nil"/>
              <w:left w:val="nil"/>
              <w:bottom w:val="single" w:sz="8" w:space="0" w:color="auto"/>
              <w:right w:val="single" w:sz="8" w:space="0" w:color="auto"/>
            </w:tcBorders>
            <w:shd w:val="clear" w:color="000000" w:fill="D9D9D9"/>
            <w:noWrap/>
            <w:vAlign w:val="center"/>
            <w:hideMark/>
          </w:tcPr>
          <w:p w14:paraId="661CBF87" w14:textId="3A4BC8E1" w:rsidR="00CD0649" w:rsidRPr="00D63947" w:rsidRDefault="00CD0649" w:rsidP="00CD0649">
            <w:pPr>
              <w:jc w:val="center"/>
              <w:rPr>
                <w:rFonts w:cstheme="minorHAnsi"/>
                <w:sz w:val="20"/>
                <w:szCs w:val="20"/>
              </w:rPr>
            </w:pPr>
            <w:r w:rsidRPr="00D63947">
              <w:rPr>
                <w:rFonts w:cstheme="minorHAnsi"/>
                <w:color w:val="000000"/>
                <w:sz w:val="20"/>
                <w:szCs w:val="20"/>
              </w:rPr>
              <w:t>79</w:t>
            </w:r>
            <w:r w:rsidR="00ED0CB2" w:rsidRPr="00D63947">
              <w:rPr>
                <w:rFonts w:cstheme="minorHAnsi"/>
                <w:color w:val="000000"/>
                <w:sz w:val="20"/>
                <w:szCs w:val="20"/>
              </w:rPr>
              <w:t>2</w:t>
            </w:r>
          </w:p>
        </w:tc>
      </w:tr>
      <w:tr w:rsidR="00CD0649" w:rsidRPr="00D63947" w14:paraId="5F9A8C4E" w14:textId="77777777" w:rsidTr="00A64B19">
        <w:trPr>
          <w:trHeight w:val="288"/>
        </w:trPr>
        <w:tc>
          <w:tcPr>
            <w:tcW w:w="1610" w:type="dxa"/>
            <w:tcBorders>
              <w:top w:val="nil"/>
              <w:left w:val="single" w:sz="8" w:space="0" w:color="auto"/>
              <w:bottom w:val="single" w:sz="8" w:space="0" w:color="auto"/>
              <w:right w:val="single" w:sz="8" w:space="0" w:color="auto"/>
            </w:tcBorders>
            <w:shd w:val="clear" w:color="000000" w:fill="D9D9D9"/>
            <w:noWrap/>
            <w:vAlign w:val="center"/>
            <w:hideMark/>
          </w:tcPr>
          <w:p w14:paraId="48802B17" w14:textId="52770E8F" w:rsidR="00CD0649" w:rsidRPr="00D63947" w:rsidRDefault="00CD0649" w:rsidP="00CD0649">
            <w:pPr>
              <w:rPr>
                <w:rFonts w:cstheme="minorHAnsi"/>
                <w:sz w:val="20"/>
                <w:szCs w:val="20"/>
              </w:rPr>
            </w:pPr>
            <w:r w:rsidRPr="00D63947">
              <w:rPr>
                <w:rFonts w:cstheme="minorHAnsi"/>
                <w:color w:val="000000"/>
                <w:sz w:val="20"/>
                <w:szCs w:val="20"/>
              </w:rPr>
              <w:t>Percent of total</w:t>
            </w:r>
          </w:p>
        </w:tc>
        <w:tc>
          <w:tcPr>
            <w:tcW w:w="995" w:type="dxa"/>
            <w:tcBorders>
              <w:top w:val="nil"/>
              <w:left w:val="nil"/>
              <w:bottom w:val="single" w:sz="8" w:space="0" w:color="auto"/>
              <w:right w:val="single" w:sz="8" w:space="0" w:color="auto"/>
            </w:tcBorders>
            <w:shd w:val="clear" w:color="000000" w:fill="D9D9D9"/>
            <w:noWrap/>
            <w:vAlign w:val="center"/>
            <w:hideMark/>
          </w:tcPr>
          <w:p w14:paraId="7801DE9A" w14:textId="27ECB289" w:rsidR="00CD0649" w:rsidRPr="00D63947" w:rsidRDefault="00CD0649" w:rsidP="00CD0649">
            <w:pPr>
              <w:jc w:val="center"/>
              <w:rPr>
                <w:rFonts w:cstheme="minorHAnsi"/>
                <w:sz w:val="20"/>
                <w:szCs w:val="20"/>
              </w:rPr>
            </w:pPr>
            <w:r w:rsidRPr="00D63947">
              <w:rPr>
                <w:rFonts w:cstheme="minorHAnsi"/>
                <w:color w:val="000000"/>
                <w:sz w:val="20"/>
                <w:szCs w:val="20"/>
              </w:rPr>
              <w:t>95%</w:t>
            </w:r>
          </w:p>
        </w:tc>
        <w:tc>
          <w:tcPr>
            <w:tcW w:w="926" w:type="dxa"/>
            <w:tcBorders>
              <w:top w:val="nil"/>
              <w:left w:val="nil"/>
              <w:bottom w:val="single" w:sz="8" w:space="0" w:color="auto"/>
              <w:right w:val="single" w:sz="8" w:space="0" w:color="auto"/>
            </w:tcBorders>
            <w:shd w:val="clear" w:color="000000" w:fill="D9D9D9"/>
            <w:noWrap/>
            <w:vAlign w:val="center"/>
            <w:hideMark/>
          </w:tcPr>
          <w:p w14:paraId="7AC5C48F" w14:textId="4C2F27EB" w:rsidR="00CD0649" w:rsidRPr="00D63947" w:rsidRDefault="00CD0649" w:rsidP="00CD0649">
            <w:pPr>
              <w:jc w:val="center"/>
              <w:rPr>
                <w:rFonts w:cstheme="minorHAnsi"/>
                <w:sz w:val="20"/>
                <w:szCs w:val="20"/>
              </w:rPr>
            </w:pPr>
            <w:r w:rsidRPr="00D63947">
              <w:rPr>
                <w:rFonts w:cstheme="minorHAnsi"/>
                <w:color w:val="000000"/>
                <w:sz w:val="20"/>
                <w:szCs w:val="20"/>
              </w:rPr>
              <w:t>5%</w:t>
            </w:r>
          </w:p>
        </w:tc>
        <w:tc>
          <w:tcPr>
            <w:tcW w:w="2180" w:type="dxa"/>
            <w:tcBorders>
              <w:top w:val="nil"/>
              <w:left w:val="nil"/>
              <w:bottom w:val="single" w:sz="8" w:space="0" w:color="auto"/>
              <w:right w:val="single" w:sz="8" w:space="0" w:color="auto"/>
            </w:tcBorders>
            <w:shd w:val="clear" w:color="000000" w:fill="D9D9D9"/>
            <w:noWrap/>
            <w:vAlign w:val="center"/>
            <w:hideMark/>
          </w:tcPr>
          <w:p w14:paraId="1012A3A7" w14:textId="59B92014" w:rsidR="00CD0649" w:rsidRPr="00D63947" w:rsidRDefault="00CD0649" w:rsidP="00CD0649">
            <w:pPr>
              <w:jc w:val="center"/>
              <w:rPr>
                <w:rFonts w:cstheme="minorHAnsi"/>
                <w:sz w:val="20"/>
                <w:szCs w:val="20"/>
              </w:rPr>
            </w:pPr>
            <w:r w:rsidRPr="00D63947">
              <w:rPr>
                <w:rFonts w:cstheme="minorHAnsi"/>
                <w:color w:val="000000"/>
                <w:sz w:val="20"/>
                <w:szCs w:val="20"/>
              </w:rPr>
              <w:t>3%</w:t>
            </w:r>
          </w:p>
        </w:tc>
        <w:tc>
          <w:tcPr>
            <w:tcW w:w="2066" w:type="dxa"/>
            <w:tcBorders>
              <w:top w:val="nil"/>
              <w:left w:val="nil"/>
              <w:bottom w:val="single" w:sz="8" w:space="0" w:color="auto"/>
              <w:right w:val="single" w:sz="8" w:space="0" w:color="auto"/>
            </w:tcBorders>
            <w:shd w:val="clear" w:color="000000" w:fill="D9D9D9"/>
            <w:noWrap/>
            <w:vAlign w:val="center"/>
            <w:hideMark/>
          </w:tcPr>
          <w:p w14:paraId="361D0154" w14:textId="4B24F9E8" w:rsidR="00CD0649" w:rsidRPr="00D63947" w:rsidRDefault="00CD0649" w:rsidP="00CD0649">
            <w:pPr>
              <w:jc w:val="center"/>
              <w:rPr>
                <w:rFonts w:cstheme="minorHAnsi"/>
                <w:sz w:val="20"/>
                <w:szCs w:val="20"/>
              </w:rPr>
            </w:pPr>
            <w:r w:rsidRPr="00D63947">
              <w:rPr>
                <w:rFonts w:cstheme="minorHAnsi"/>
                <w:color w:val="000000"/>
                <w:sz w:val="20"/>
                <w:szCs w:val="20"/>
              </w:rPr>
              <w:t>2%</w:t>
            </w:r>
          </w:p>
        </w:tc>
        <w:tc>
          <w:tcPr>
            <w:tcW w:w="1549" w:type="dxa"/>
            <w:tcBorders>
              <w:top w:val="nil"/>
              <w:left w:val="nil"/>
              <w:bottom w:val="single" w:sz="8" w:space="0" w:color="auto"/>
              <w:right w:val="single" w:sz="8" w:space="0" w:color="auto"/>
            </w:tcBorders>
            <w:shd w:val="clear" w:color="000000" w:fill="D9D9D9"/>
            <w:noWrap/>
            <w:vAlign w:val="center"/>
            <w:hideMark/>
          </w:tcPr>
          <w:p w14:paraId="11C8CE2F" w14:textId="230137A8" w:rsidR="00CD0649" w:rsidRPr="00D63947" w:rsidRDefault="00CD0649" w:rsidP="00CD0649">
            <w:pPr>
              <w:jc w:val="center"/>
              <w:rPr>
                <w:rFonts w:cstheme="minorHAnsi"/>
                <w:sz w:val="20"/>
                <w:szCs w:val="20"/>
              </w:rPr>
            </w:pPr>
            <w:r w:rsidRPr="00D63947">
              <w:rPr>
                <w:rFonts w:cstheme="minorHAnsi"/>
                <w:color w:val="000000"/>
                <w:sz w:val="20"/>
                <w:szCs w:val="20"/>
              </w:rPr>
              <w:t> </w:t>
            </w:r>
          </w:p>
        </w:tc>
      </w:tr>
    </w:tbl>
    <w:p w14:paraId="4705851F" w14:textId="77777777" w:rsidR="00F57406" w:rsidRDefault="00F57406" w:rsidP="00F57406">
      <w:pPr>
        <w:rPr>
          <w:sz w:val="20"/>
        </w:rPr>
      </w:pPr>
    </w:p>
    <w:p w14:paraId="39D0C89C" w14:textId="77777777" w:rsidR="00F57406" w:rsidRPr="00517D5C" w:rsidRDefault="00F57406" w:rsidP="00F57406">
      <w:pPr>
        <w:rPr>
          <w:sz w:val="20"/>
        </w:rPr>
      </w:pPr>
    </w:p>
    <w:p w14:paraId="13B3AE20" w14:textId="4D774FE2" w:rsidR="00F57406" w:rsidRDefault="00F57406" w:rsidP="00F57406">
      <w:pPr>
        <w:rPr>
          <w:noProof/>
          <w:sz w:val="20"/>
        </w:rPr>
      </w:pPr>
      <w:r w:rsidRPr="00110D58">
        <w:rPr>
          <w:b/>
        </w:rPr>
        <w:t>T</w:t>
      </w:r>
      <w:r>
        <w:rPr>
          <w:b/>
        </w:rPr>
        <w:t>able</w:t>
      </w:r>
      <w:r w:rsidRPr="00110D58">
        <w:rPr>
          <w:b/>
        </w:rPr>
        <w:t xml:space="preserve"> 4</w:t>
      </w:r>
      <w:r>
        <w:rPr>
          <w:b/>
        </w:rPr>
        <w:t>-</w:t>
      </w:r>
      <w:r w:rsidRPr="00110D58">
        <w:rPr>
          <w:b/>
        </w:rPr>
        <w:t>3</w:t>
      </w:r>
      <w:r>
        <w:rPr>
          <w:b/>
        </w:rPr>
        <w:t>.</w:t>
      </w:r>
      <w:r w:rsidRPr="00110D58">
        <w:rPr>
          <w:b/>
        </w:rPr>
        <w:t xml:space="preserve"> </w:t>
      </w:r>
      <w:r w:rsidR="00086283">
        <w:rPr>
          <w:b/>
        </w:rPr>
        <w:t xml:space="preserve"> </w:t>
      </w:r>
      <w:r>
        <w:rPr>
          <w:b/>
        </w:rPr>
        <w:t>Classification of LAA Determinations by Strength of Evidence.</w:t>
      </w:r>
      <w:r w:rsidR="00D15189" w:rsidRPr="00D15189">
        <w:rPr>
          <w:rFonts w:ascii="Calibri" w:hAnsi="Calibri" w:cs="Calibri"/>
          <w:color w:val="000000"/>
          <w:sz w:val="20"/>
          <w:szCs w:val="20"/>
        </w:rPr>
        <w:t xml:space="preserve"> </w:t>
      </w:r>
    </w:p>
    <w:tbl>
      <w:tblPr>
        <w:tblStyle w:val="TableGrid"/>
        <w:tblW w:w="0" w:type="auto"/>
        <w:tblLook w:val="04A0" w:firstRow="1" w:lastRow="0" w:firstColumn="1" w:lastColumn="0" w:noHBand="0" w:noVBand="1"/>
      </w:tblPr>
      <w:tblGrid>
        <w:gridCol w:w="3020"/>
        <w:gridCol w:w="1655"/>
        <w:gridCol w:w="1497"/>
        <w:gridCol w:w="1484"/>
        <w:gridCol w:w="1694"/>
      </w:tblGrid>
      <w:tr w:rsidR="00F57406" w:rsidRPr="00081CD7" w14:paraId="3DB73EC5" w14:textId="77777777" w:rsidTr="00903FB1">
        <w:trPr>
          <w:trHeight w:val="300"/>
        </w:trPr>
        <w:tc>
          <w:tcPr>
            <w:tcW w:w="3020" w:type="dxa"/>
            <w:vMerge w:val="restart"/>
            <w:shd w:val="clear" w:color="auto" w:fill="E7E6E6" w:themeFill="background2"/>
            <w:noWrap/>
            <w:vAlign w:val="center"/>
          </w:tcPr>
          <w:p w14:paraId="6F2BB2C7" w14:textId="77777777" w:rsidR="00F57406" w:rsidRPr="00DE00CB" w:rsidRDefault="00F57406" w:rsidP="00903FB1">
            <w:pPr>
              <w:rPr>
                <w:b/>
                <w:sz w:val="20"/>
                <w:szCs w:val="20"/>
              </w:rPr>
            </w:pPr>
            <w:r w:rsidRPr="00DE00CB">
              <w:rPr>
                <w:b/>
                <w:sz w:val="20"/>
                <w:szCs w:val="20"/>
              </w:rPr>
              <w:t>Strength of LAA call</w:t>
            </w:r>
          </w:p>
        </w:tc>
        <w:tc>
          <w:tcPr>
            <w:tcW w:w="3152" w:type="dxa"/>
            <w:gridSpan w:val="2"/>
            <w:shd w:val="clear" w:color="auto" w:fill="E7E6E6" w:themeFill="background2"/>
            <w:noWrap/>
          </w:tcPr>
          <w:p w14:paraId="7A765C1F" w14:textId="77777777" w:rsidR="00F57406" w:rsidRPr="00DE00CB" w:rsidRDefault="00F57406" w:rsidP="00903FB1">
            <w:pPr>
              <w:jc w:val="center"/>
              <w:rPr>
                <w:b/>
                <w:sz w:val="20"/>
                <w:szCs w:val="20"/>
              </w:rPr>
            </w:pPr>
            <w:r w:rsidRPr="00DE00CB">
              <w:rPr>
                <w:b/>
                <w:sz w:val="20"/>
                <w:szCs w:val="20"/>
              </w:rPr>
              <w:t>Species range</w:t>
            </w:r>
          </w:p>
        </w:tc>
        <w:tc>
          <w:tcPr>
            <w:tcW w:w="3178" w:type="dxa"/>
            <w:gridSpan w:val="2"/>
            <w:shd w:val="clear" w:color="auto" w:fill="E7E6E6" w:themeFill="background2"/>
          </w:tcPr>
          <w:p w14:paraId="29B91DC1" w14:textId="77777777" w:rsidR="00F57406" w:rsidRPr="00DE00CB" w:rsidRDefault="00F57406" w:rsidP="00903FB1">
            <w:pPr>
              <w:jc w:val="center"/>
              <w:rPr>
                <w:b/>
                <w:sz w:val="20"/>
                <w:szCs w:val="20"/>
              </w:rPr>
            </w:pPr>
            <w:r w:rsidRPr="00DE00CB">
              <w:rPr>
                <w:b/>
                <w:sz w:val="20"/>
                <w:szCs w:val="20"/>
              </w:rPr>
              <w:t>Critical Habitat</w:t>
            </w:r>
          </w:p>
        </w:tc>
      </w:tr>
      <w:tr w:rsidR="00F57406" w:rsidRPr="00081CD7" w14:paraId="3E24BC95" w14:textId="77777777" w:rsidTr="00903FB1">
        <w:trPr>
          <w:trHeight w:val="300"/>
        </w:trPr>
        <w:tc>
          <w:tcPr>
            <w:tcW w:w="3020" w:type="dxa"/>
            <w:vMerge/>
            <w:shd w:val="clear" w:color="auto" w:fill="E7E6E6" w:themeFill="background2"/>
            <w:noWrap/>
          </w:tcPr>
          <w:p w14:paraId="39EFD43F" w14:textId="77777777" w:rsidR="00F57406" w:rsidRPr="00DE00CB" w:rsidRDefault="00F57406" w:rsidP="00903FB1">
            <w:pPr>
              <w:rPr>
                <w:b/>
                <w:sz w:val="20"/>
                <w:szCs w:val="20"/>
              </w:rPr>
            </w:pPr>
          </w:p>
        </w:tc>
        <w:tc>
          <w:tcPr>
            <w:tcW w:w="1655" w:type="dxa"/>
            <w:shd w:val="clear" w:color="auto" w:fill="E7E6E6" w:themeFill="background2"/>
            <w:noWrap/>
          </w:tcPr>
          <w:p w14:paraId="40AE5612" w14:textId="77777777" w:rsidR="00F57406" w:rsidRPr="00DE00CB" w:rsidRDefault="00F57406" w:rsidP="00903FB1">
            <w:pPr>
              <w:jc w:val="center"/>
              <w:rPr>
                <w:b/>
                <w:sz w:val="20"/>
                <w:szCs w:val="20"/>
              </w:rPr>
            </w:pPr>
            <w:r w:rsidRPr="00DE00CB">
              <w:rPr>
                <w:b/>
                <w:sz w:val="20"/>
                <w:szCs w:val="20"/>
              </w:rPr>
              <w:t>Number</w:t>
            </w:r>
          </w:p>
        </w:tc>
        <w:tc>
          <w:tcPr>
            <w:tcW w:w="1497" w:type="dxa"/>
            <w:tcBorders>
              <w:bottom w:val="single" w:sz="4" w:space="0" w:color="auto"/>
            </w:tcBorders>
            <w:shd w:val="clear" w:color="auto" w:fill="E7E6E6" w:themeFill="background2"/>
          </w:tcPr>
          <w:p w14:paraId="7B28BA91" w14:textId="77777777" w:rsidR="00F57406" w:rsidRPr="00DE00CB" w:rsidRDefault="00F57406" w:rsidP="00903FB1">
            <w:pPr>
              <w:jc w:val="center"/>
              <w:rPr>
                <w:b/>
                <w:sz w:val="20"/>
                <w:szCs w:val="20"/>
              </w:rPr>
            </w:pPr>
            <w:r w:rsidRPr="00DE00CB">
              <w:rPr>
                <w:b/>
                <w:sz w:val="20"/>
                <w:szCs w:val="20"/>
              </w:rPr>
              <w:t>% of LAA determinations</w:t>
            </w:r>
          </w:p>
        </w:tc>
        <w:tc>
          <w:tcPr>
            <w:tcW w:w="1484" w:type="dxa"/>
            <w:tcBorders>
              <w:bottom w:val="single" w:sz="4" w:space="0" w:color="auto"/>
            </w:tcBorders>
            <w:shd w:val="clear" w:color="auto" w:fill="E7E6E6" w:themeFill="background2"/>
          </w:tcPr>
          <w:p w14:paraId="648A3832" w14:textId="77777777" w:rsidR="00F57406" w:rsidRPr="00DE00CB" w:rsidRDefault="00F57406" w:rsidP="00903FB1">
            <w:pPr>
              <w:jc w:val="center"/>
              <w:rPr>
                <w:b/>
                <w:sz w:val="20"/>
                <w:szCs w:val="20"/>
              </w:rPr>
            </w:pPr>
            <w:r w:rsidRPr="00DE00CB">
              <w:rPr>
                <w:b/>
                <w:sz w:val="20"/>
                <w:szCs w:val="20"/>
              </w:rPr>
              <w:t>Number</w:t>
            </w:r>
          </w:p>
        </w:tc>
        <w:tc>
          <w:tcPr>
            <w:tcW w:w="1694" w:type="dxa"/>
            <w:tcBorders>
              <w:bottom w:val="single" w:sz="4" w:space="0" w:color="auto"/>
            </w:tcBorders>
            <w:shd w:val="clear" w:color="auto" w:fill="E7E6E6" w:themeFill="background2"/>
          </w:tcPr>
          <w:p w14:paraId="259AC92E" w14:textId="77777777" w:rsidR="00F57406" w:rsidRPr="00DE00CB" w:rsidRDefault="00F57406" w:rsidP="00903FB1">
            <w:pPr>
              <w:jc w:val="center"/>
              <w:rPr>
                <w:b/>
                <w:sz w:val="20"/>
                <w:szCs w:val="20"/>
              </w:rPr>
            </w:pPr>
            <w:r w:rsidRPr="00DE00CB">
              <w:rPr>
                <w:b/>
                <w:sz w:val="20"/>
                <w:szCs w:val="20"/>
              </w:rPr>
              <w:t>% of LAA determinations</w:t>
            </w:r>
          </w:p>
        </w:tc>
      </w:tr>
      <w:tr w:rsidR="00CD0649" w:rsidRPr="003C3E42" w14:paraId="5A03E2A6" w14:textId="77777777" w:rsidTr="007F713D">
        <w:trPr>
          <w:trHeight w:val="300"/>
        </w:trPr>
        <w:tc>
          <w:tcPr>
            <w:tcW w:w="30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226375ED" w14:textId="77777777" w:rsidR="00CD0649" w:rsidRPr="00DE00CB" w:rsidRDefault="00CD0649" w:rsidP="00CD0649">
            <w:pPr>
              <w:rPr>
                <w:sz w:val="20"/>
                <w:szCs w:val="20"/>
              </w:rPr>
            </w:pPr>
            <w:r>
              <w:rPr>
                <w:rFonts w:ascii="Calibri" w:hAnsi="Calibri" w:cs="Calibri"/>
                <w:sz w:val="20"/>
                <w:szCs w:val="20"/>
              </w:rPr>
              <w:t>Strongest evidence of LAA</w:t>
            </w:r>
          </w:p>
        </w:tc>
        <w:tc>
          <w:tcPr>
            <w:tcW w:w="1655" w:type="dxa"/>
            <w:tcBorders>
              <w:top w:val="nil"/>
              <w:left w:val="nil"/>
              <w:bottom w:val="single" w:sz="8" w:space="0" w:color="auto"/>
              <w:right w:val="single" w:sz="8" w:space="0" w:color="auto"/>
            </w:tcBorders>
            <w:shd w:val="clear" w:color="auto" w:fill="FFFFFF" w:themeFill="background1"/>
            <w:noWrap/>
            <w:vAlign w:val="center"/>
            <w:hideMark/>
          </w:tcPr>
          <w:p w14:paraId="5CAFB7BF" w14:textId="70C4855F" w:rsidR="00CD0649" w:rsidRPr="00DE00CB" w:rsidRDefault="00CD0649" w:rsidP="00CD0649">
            <w:pPr>
              <w:jc w:val="center"/>
              <w:rPr>
                <w:sz w:val="20"/>
                <w:szCs w:val="20"/>
              </w:rPr>
            </w:pPr>
            <w:r>
              <w:rPr>
                <w:rFonts w:ascii="Calibri" w:hAnsi="Calibri" w:cs="Calibri"/>
                <w:sz w:val="20"/>
                <w:szCs w:val="20"/>
              </w:rPr>
              <w:t>29</w:t>
            </w:r>
          </w:p>
        </w:tc>
        <w:tc>
          <w:tcPr>
            <w:tcW w:w="1497" w:type="dxa"/>
            <w:tcBorders>
              <w:top w:val="nil"/>
              <w:left w:val="nil"/>
              <w:bottom w:val="single" w:sz="8" w:space="0" w:color="auto"/>
              <w:right w:val="single" w:sz="8" w:space="0" w:color="auto"/>
            </w:tcBorders>
            <w:shd w:val="clear" w:color="auto" w:fill="FFFFFF" w:themeFill="background1"/>
            <w:vAlign w:val="center"/>
          </w:tcPr>
          <w:p w14:paraId="5C29127F" w14:textId="587E4DBB" w:rsidR="00CD0649" w:rsidRPr="00DE00CB" w:rsidRDefault="00D15189" w:rsidP="00CD0649">
            <w:pPr>
              <w:jc w:val="center"/>
              <w:rPr>
                <w:sz w:val="20"/>
                <w:szCs w:val="20"/>
              </w:rPr>
            </w:pPr>
            <w:r>
              <w:rPr>
                <w:rFonts w:ascii="Calibri" w:hAnsi="Calibri" w:cs="Calibri"/>
                <w:color w:val="000000"/>
                <w:sz w:val="20"/>
                <w:szCs w:val="20"/>
              </w:rPr>
              <w:t>45</w:t>
            </w:r>
            <w:r w:rsidR="00CD0649">
              <w:rPr>
                <w:rFonts w:ascii="Calibri" w:hAnsi="Calibri" w:cs="Calibri"/>
                <w:color w:val="000000"/>
                <w:sz w:val="20"/>
                <w:szCs w:val="20"/>
              </w:rPr>
              <w:t>%</w:t>
            </w:r>
          </w:p>
        </w:tc>
        <w:tc>
          <w:tcPr>
            <w:tcW w:w="1484" w:type="dxa"/>
            <w:tcBorders>
              <w:top w:val="nil"/>
              <w:left w:val="nil"/>
              <w:bottom w:val="single" w:sz="8" w:space="0" w:color="auto"/>
              <w:right w:val="single" w:sz="8" w:space="0" w:color="auto"/>
            </w:tcBorders>
            <w:shd w:val="clear" w:color="auto" w:fill="FFFFFF" w:themeFill="background1"/>
            <w:vAlign w:val="center"/>
          </w:tcPr>
          <w:p w14:paraId="2EB7727F" w14:textId="42C7B241" w:rsidR="00CD0649" w:rsidRPr="00DE00CB" w:rsidRDefault="00CD0649" w:rsidP="00CD0649">
            <w:pPr>
              <w:jc w:val="center"/>
              <w:rPr>
                <w:sz w:val="20"/>
                <w:szCs w:val="20"/>
              </w:rPr>
            </w:pPr>
            <w:r>
              <w:rPr>
                <w:rFonts w:ascii="Calibri" w:hAnsi="Calibri" w:cs="Calibri"/>
                <w:sz w:val="20"/>
                <w:szCs w:val="20"/>
              </w:rPr>
              <w:t>9</w:t>
            </w:r>
          </w:p>
        </w:tc>
        <w:tc>
          <w:tcPr>
            <w:tcW w:w="1694" w:type="dxa"/>
            <w:tcBorders>
              <w:top w:val="nil"/>
              <w:left w:val="nil"/>
              <w:bottom w:val="single" w:sz="8" w:space="0" w:color="auto"/>
              <w:right w:val="single" w:sz="8" w:space="0" w:color="auto"/>
            </w:tcBorders>
            <w:shd w:val="clear" w:color="auto" w:fill="FFFFFF" w:themeFill="background1"/>
            <w:vAlign w:val="center"/>
          </w:tcPr>
          <w:p w14:paraId="4EB03C3D" w14:textId="75F507B3" w:rsidR="00CD0649" w:rsidRPr="00DE00CB" w:rsidRDefault="00CD0649" w:rsidP="00CD0649">
            <w:pPr>
              <w:jc w:val="center"/>
              <w:rPr>
                <w:sz w:val="20"/>
                <w:szCs w:val="20"/>
              </w:rPr>
            </w:pPr>
            <w:r>
              <w:rPr>
                <w:rFonts w:ascii="Calibri" w:hAnsi="Calibri" w:cs="Calibri"/>
                <w:color w:val="000000"/>
                <w:sz w:val="20"/>
                <w:szCs w:val="20"/>
              </w:rPr>
              <w:t>64%</w:t>
            </w:r>
          </w:p>
        </w:tc>
      </w:tr>
      <w:tr w:rsidR="00CD0649" w:rsidRPr="003C3E42" w14:paraId="29FCB510" w14:textId="77777777" w:rsidTr="007F713D">
        <w:trPr>
          <w:trHeight w:val="300"/>
        </w:trPr>
        <w:tc>
          <w:tcPr>
            <w:tcW w:w="3020"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621AE91F" w14:textId="77777777" w:rsidR="00CD0649" w:rsidRPr="00DE00CB" w:rsidRDefault="00CD0649" w:rsidP="00CD0649">
            <w:pPr>
              <w:rPr>
                <w:sz w:val="20"/>
                <w:szCs w:val="20"/>
              </w:rPr>
            </w:pPr>
            <w:r>
              <w:rPr>
                <w:rFonts w:ascii="Calibri" w:hAnsi="Calibri" w:cs="Calibri"/>
                <w:sz w:val="20"/>
                <w:szCs w:val="20"/>
              </w:rPr>
              <w:t>Moderate evidence of LAA</w:t>
            </w:r>
          </w:p>
        </w:tc>
        <w:tc>
          <w:tcPr>
            <w:tcW w:w="1655" w:type="dxa"/>
            <w:tcBorders>
              <w:top w:val="nil"/>
              <w:left w:val="nil"/>
              <w:bottom w:val="single" w:sz="8" w:space="0" w:color="auto"/>
              <w:right w:val="single" w:sz="8" w:space="0" w:color="auto"/>
            </w:tcBorders>
            <w:shd w:val="clear" w:color="auto" w:fill="FFFFFF" w:themeFill="background1"/>
            <w:noWrap/>
            <w:vAlign w:val="center"/>
            <w:hideMark/>
          </w:tcPr>
          <w:p w14:paraId="3D6E3CE7" w14:textId="3654DEC9" w:rsidR="00CD0649" w:rsidRPr="00DE00CB" w:rsidRDefault="00CD0649" w:rsidP="00CD0649">
            <w:pPr>
              <w:jc w:val="center"/>
              <w:rPr>
                <w:sz w:val="20"/>
                <w:szCs w:val="20"/>
              </w:rPr>
            </w:pPr>
            <w:r>
              <w:rPr>
                <w:rFonts w:ascii="Calibri" w:hAnsi="Calibri" w:cs="Calibri"/>
                <w:sz w:val="20"/>
                <w:szCs w:val="20"/>
              </w:rPr>
              <w:t>17</w:t>
            </w:r>
          </w:p>
        </w:tc>
        <w:tc>
          <w:tcPr>
            <w:tcW w:w="1497" w:type="dxa"/>
            <w:tcBorders>
              <w:top w:val="nil"/>
              <w:left w:val="nil"/>
              <w:bottom w:val="single" w:sz="8" w:space="0" w:color="auto"/>
              <w:right w:val="single" w:sz="8" w:space="0" w:color="auto"/>
            </w:tcBorders>
            <w:shd w:val="clear" w:color="auto" w:fill="FFFFFF" w:themeFill="background1"/>
            <w:vAlign w:val="center"/>
          </w:tcPr>
          <w:p w14:paraId="4923404F" w14:textId="4AEBF489" w:rsidR="00CD0649" w:rsidRPr="00DE00CB" w:rsidRDefault="00D15189" w:rsidP="00CD0649">
            <w:pPr>
              <w:jc w:val="center"/>
              <w:rPr>
                <w:sz w:val="20"/>
                <w:szCs w:val="20"/>
              </w:rPr>
            </w:pPr>
            <w:r>
              <w:rPr>
                <w:rFonts w:ascii="Calibri" w:hAnsi="Calibri" w:cs="Calibri"/>
                <w:color w:val="000000"/>
                <w:sz w:val="20"/>
                <w:szCs w:val="20"/>
              </w:rPr>
              <w:t>27</w:t>
            </w:r>
            <w:r w:rsidR="00CD0649">
              <w:rPr>
                <w:rFonts w:ascii="Calibri" w:hAnsi="Calibri" w:cs="Calibri"/>
                <w:color w:val="000000"/>
                <w:sz w:val="20"/>
                <w:szCs w:val="20"/>
              </w:rPr>
              <w:t>%</w:t>
            </w:r>
          </w:p>
        </w:tc>
        <w:tc>
          <w:tcPr>
            <w:tcW w:w="1484" w:type="dxa"/>
            <w:tcBorders>
              <w:top w:val="nil"/>
              <w:left w:val="nil"/>
              <w:bottom w:val="single" w:sz="8" w:space="0" w:color="auto"/>
              <w:right w:val="single" w:sz="8" w:space="0" w:color="auto"/>
            </w:tcBorders>
            <w:shd w:val="clear" w:color="auto" w:fill="FFFFFF" w:themeFill="background1"/>
            <w:vAlign w:val="center"/>
          </w:tcPr>
          <w:p w14:paraId="68670118" w14:textId="4CFAE62F" w:rsidR="00CD0649" w:rsidRPr="00DE00CB" w:rsidRDefault="00CD0649" w:rsidP="00CD0649">
            <w:pPr>
              <w:jc w:val="center"/>
              <w:rPr>
                <w:sz w:val="20"/>
                <w:szCs w:val="20"/>
              </w:rPr>
            </w:pPr>
            <w:r>
              <w:rPr>
                <w:rFonts w:ascii="Calibri" w:hAnsi="Calibri" w:cs="Calibri"/>
                <w:sz w:val="20"/>
                <w:szCs w:val="20"/>
              </w:rPr>
              <w:t>2</w:t>
            </w:r>
          </w:p>
        </w:tc>
        <w:tc>
          <w:tcPr>
            <w:tcW w:w="1694" w:type="dxa"/>
            <w:tcBorders>
              <w:top w:val="nil"/>
              <w:left w:val="nil"/>
              <w:bottom w:val="single" w:sz="8" w:space="0" w:color="auto"/>
              <w:right w:val="single" w:sz="8" w:space="0" w:color="auto"/>
            </w:tcBorders>
            <w:shd w:val="clear" w:color="auto" w:fill="FFFFFF" w:themeFill="background1"/>
            <w:vAlign w:val="center"/>
          </w:tcPr>
          <w:p w14:paraId="52A1F339" w14:textId="2AEBF9BE" w:rsidR="00CD0649" w:rsidRPr="00DE00CB" w:rsidRDefault="00CD0649" w:rsidP="00CD0649">
            <w:pPr>
              <w:jc w:val="center"/>
              <w:rPr>
                <w:sz w:val="20"/>
                <w:szCs w:val="20"/>
              </w:rPr>
            </w:pPr>
            <w:r>
              <w:rPr>
                <w:rFonts w:ascii="Calibri" w:hAnsi="Calibri" w:cs="Calibri"/>
                <w:color w:val="000000"/>
                <w:sz w:val="20"/>
                <w:szCs w:val="20"/>
              </w:rPr>
              <w:t>14%</w:t>
            </w:r>
          </w:p>
        </w:tc>
      </w:tr>
      <w:tr w:rsidR="00CD0649" w:rsidRPr="003C3E42" w14:paraId="4FE8DC88" w14:textId="77777777" w:rsidTr="007F713D">
        <w:trPr>
          <w:trHeight w:val="300"/>
        </w:trPr>
        <w:tc>
          <w:tcPr>
            <w:tcW w:w="3020" w:type="dxa"/>
            <w:tcBorders>
              <w:top w:val="nil"/>
              <w:left w:val="single" w:sz="8" w:space="0" w:color="auto"/>
              <w:bottom w:val="single" w:sz="8" w:space="0" w:color="auto"/>
              <w:right w:val="single" w:sz="8" w:space="0" w:color="auto"/>
            </w:tcBorders>
            <w:shd w:val="clear" w:color="auto" w:fill="FFFFFF" w:themeFill="background1"/>
            <w:noWrap/>
            <w:vAlign w:val="center"/>
          </w:tcPr>
          <w:p w14:paraId="5EBAFB1B" w14:textId="77777777" w:rsidR="00CD0649" w:rsidRPr="00DE00CB" w:rsidRDefault="00CD0649" w:rsidP="00CD0649">
            <w:pPr>
              <w:rPr>
                <w:sz w:val="20"/>
                <w:szCs w:val="20"/>
              </w:rPr>
            </w:pPr>
            <w:r>
              <w:rPr>
                <w:rFonts w:ascii="Calibri" w:hAnsi="Calibri" w:cs="Calibri"/>
                <w:sz w:val="20"/>
                <w:szCs w:val="20"/>
              </w:rPr>
              <w:t>Weakest evidence of LAA</w:t>
            </w:r>
          </w:p>
        </w:tc>
        <w:tc>
          <w:tcPr>
            <w:tcW w:w="1655" w:type="dxa"/>
            <w:tcBorders>
              <w:top w:val="nil"/>
              <w:left w:val="nil"/>
              <w:bottom w:val="single" w:sz="8" w:space="0" w:color="auto"/>
              <w:right w:val="single" w:sz="8" w:space="0" w:color="auto"/>
            </w:tcBorders>
            <w:shd w:val="clear" w:color="auto" w:fill="FFFFFF" w:themeFill="background1"/>
            <w:noWrap/>
            <w:vAlign w:val="center"/>
          </w:tcPr>
          <w:p w14:paraId="464021E9" w14:textId="7CC086F6" w:rsidR="00CD0649" w:rsidRPr="00DE00CB" w:rsidRDefault="00D15189" w:rsidP="00CD0649">
            <w:pPr>
              <w:jc w:val="center"/>
              <w:rPr>
                <w:sz w:val="20"/>
                <w:szCs w:val="20"/>
              </w:rPr>
            </w:pPr>
            <w:r>
              <w:rPr>
                <w:rFonts w:ascii="Calibri" w:hAnsi="Calibri" w:cs="Calibri"/>
                <w:sz w:val="20"/>
                <w:szCs w:val="20"/>
              </w:rPr>
              <w:t>18</w:t>
            </w:r>
          </w:p>
        </w:tc>
        <w:tc>
          <w:tcPr>
            <w:tcW w:w="1497" w:type="dxa"/>
            <w:tcBorders>
              <w:top w:val="nil"/>
              <w:left w:val="nil"/>
              <w:bottom w:val="single" w:sz="8" w:space="0" w:color="auto"/>
              <w:right w:val="single" w:sz="8" w:space="0" w:color="auto"/>
            </w:tcBorders>
            <w:shd w:val="clear" w:color="auto" w:fill="FFFFFF" w:themeFill="background1"/>
            <w:vAlign w:val="center"/>
          </w:tcPr>
          <w:p w14:paraId="2561BF16" w14:textId="731F720B" w:rsidR="00CD0649" w:rsidRPr="00DE00CB" w:rsidRDefault="00D15189" w:rsidP="00CD0649">
            <w:pPr>
              <w:jc w:val="center"/>
              <w:rPr>
                <w:sz w:val="20"/>
                <w:szCs w:val="20"/>
              </w:rPr>
            </w:pPr>
            <w:r>
              <w:rPr>
                <w:rFonts w:ascii="Calibri" w:hAnsi="Calibri" w:cs="Calibri"/>
                <w:color w:val="000000"/>
                <w:sz w:val="20"/>
                <w:szCs w:val="20"/>
              </w:rPr>
              <w:t>28</w:t>
            </w:r>
            <w:r w:rsidR="00CD0649">
              <w:rPr>
                <w:rFonts w:ascii="Calibri" w:hAnsi="Calibri" w:cs="Calibri"/>
                <w:color w:val="000000"/>
                <w:sz w:val="20"/>
                <w:szCs w:val="20"/>
              </w:rPr>
              <w:t>%</w:t>
            </w:r>
          </w:p>
        </w:tc>
        <w:tc>
          <w:tcPr>
            <w:tcW w:w="1484" w:type="dxa"/>
            <w:tcBorders>
              <w:top w:val="nil"/>
              <w:left w:val="nil"/>
              <w:bottom w:val="single" w:sz="8" w:space="0" w:color="auto"/>
              <w:right w:val="single" w:sz="8" w:space="0" w:color="auto"/>
            </w:tcBorders>
            <w:shd w:val="clear" w:color="auto" w:fill="FFFFFF" w:themeFill="background1"/>
            <w:vAlign w:val="center"/>
          </w:tcPr>
          <w:p w14:paraId="31EC87DC" w14:textId="19E4773E" w:rsidR="00CD0649" w:rsidRPr="00DE00CB" w:rsidRDefault="00CD0649" w:rsidP="00CD0649">
            <w:pPr>
              <w:jc w:val="center"/>
              <w:rPr>
                <w:sz w:val="20"/>
                <w:szCs w:val="20"/>
              </w:rPr>
            </w:pPr>
            <w:r>
              <w:rPr>
                <w:rFonts w:ascii="Calibri" w:hAnsi="Calibri" w:cs="Calibri"/>
                <w:sz w:val="20"/>
                <w:szCs w:val="20"/>
              </w:rPr>
              <w:t>3</w:t>
            </w:r>
          </w:p>
        </w:tc>
        <w:tc>
          <w:tcPr>
            <w:tcW w:w="1694" w:type="dxa"/>
            <w:tcBorders>
              <w:top w:val="nil"/>
              <w:left w:val="nil"/>
              <w:bottom w:val="single" w:sz="8" w:space="0" w:color="auto"/>
              <w:right w:val="single" w:sz="8" w:space="0" w:color="auto"/>
            </w:tcBorders>
            <w:shd w:val="clear" w:color="auto" w:fill="FFFFFF" w:themeFill="background1"/>
            <w:vAlign w:val="center"/>
          </w:tcPr>
          <w:p w14:paraId="5A24C6BB" w14:textId="7F1D051E" w:rsidR="00CD0649" w:rsidRPr="00DE00CB" w:rsidRDefault="00CD0649" w:rsidP="00CD0649">
            <w:pPr>
              <w:jc w:val="center"/>
              <w:rPr>
                <w:sz w:val="20"/>
                <w:szCs w:val="20"/>
              </w:rPr>
            </w:pPr>
            <w:r>
              <w:rPr>
                <w:rFonts w:ascii="Calibri" w:hAnsi="Calibri" w:cs="Calibri"/>
                <w:color w:val="000000"/>
                <w:sz w:val="20"/>
                <w:szCs w:val="20"/>
              </w:rPr>
              <w:t>21%</w:t>
            </w:r>
          </w:p>
        </w:tc>
      </w:tr>
    </w:tbl>
    <w:p w14:paraId="33613D20" w14:textId="77777777" w:rsidR="00F57406" w:rsidRDefault="00F57406" w:rsidP="00F57406">
      <w:pPr>
        <w:rPr>
          <w:noProof/>
          <w:sz w:val="20"/>
        </w:rPr>
      </w:pPr>
    </w:p>
    <w:p w14:paraId="1E8D93E5" w14:textId="040F3125" w:rsidR="00634B4C" w:rsidRPr="00634B4C" w:rsidRDefault="00634B4C" w:rsidP="00F57406">
      <w:pPr>
        <w:keepNext/>
        <w:rPr>
          <w:sz w:val="20"/>
          <w:szCs w:val="20"/>
        </w:rPr>
      </w:pPr>
    </w:p>
    <w:sectPr w:rsidR="00634B4C" w:rsidRPr="00634B4C" w:rsidSect="001311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DBDF" w14:textId="77777777" w:rsidR="008F3F3C" w:rsidRDefault="008F3F3C" w:rsidP="00330467">
      <w:r>
        <w:separator/>
      </w:r>
    </w:p>
  </w:endnote>
  <w:endnote w:type="continuationSeparator" w:id="0">
    <w:p w14:paraId="48A0A55D" w14:textId="77777777" w:rsidR="008F3F3C" w:rsidRDefault="008F3F3C" w:rsidP="00330467">
      <w:r>
        <w:continuationSeparator/>
      </w:r>
    </w:p>
  </w:endnote>
  <w:endnote w:type="continuationNotice" w:id="1">
    <w:p w14:paraId="27918A58" w14:textId="77777777" w:rsidR="008F3F3C" w:rsidRDefault="008F3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433621"/>
      <w:docPartObj>
        <w:docPartGallery w:val="Page Numbers (Bottom of Page)"/>
        <w:docPartUnique/>
      </w:docPartObj>
    </w:sdtPr>
    <w:sdtEndPr>
      <w:rPr>
        <w:noProof/>
      </w:rPr>
    </w:sdtEndPr>
    <w:sdtContent>
      <w:p w14:paraId="0AAFB633" w14:textId="5BE0AC89" w:rsidR="008F3F3C" w:rsidRDefault="008F3F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6F49F" w14:textId="77777777" w:rsidR="008F3F3C" w:rsidRDefault="008F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F4674" w14:textId="77777777" w:rsidR="008F3F3C" w:rsidRDefault="008F3F3C" w:rsidP="00330467">
      <w:r>
        <w:separator/>
      </w:r>
    </w:p>
  </w:footnote>
  <w:footnote w:type="continuationSeparator" w:id="0">
    <w:p w14:paraId="77E694D1" w14:textId="77777777" w:rsidR="008F3F3C" w:rsidRDefault="008F3F3C" w:rsidP="00330467">
      <w:r>
        <w:continuationSeparator/>
      </w:r>
    </w:p>
  </w:footnote>
  <w:footnote w:type="continuationNotice" w:id="1">
    <w:p w14:paraId="5832F27E" w14:textId="77777777" w:rsidR="008F3F3C" w:rsidRDefault="008F3F3C"/>
  </w:footnote>
  <w:footnote w:id="2">
    <w:p w14:paraId="409A593B" w14:textId="449C250A" w:rsidR="008F3F3C" w:rsidRDefault="008F3F3C" w:rsidP="00EB33B0">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05CD6739" w14:textId="77777777" w:rsidR="008F3F3C" w:rsidRDefault="008F3F3C" w:rsidP="00094AF4">
      <w:pPr>
        <w:pStyle w:val="FootnoteText"/>
      </w:pPr>
      <w:r>
        <w:rPr>
          <w:rStyle w:val="FootnoteReference"/>
        </w:rPr>
        <w:footnoteRef/>
      </w:r>
      <w:r>
        <w:t xml:space="preserve"> The FAO mobility classification system is recommended for use in exposure assessments in the Office of Pesticide Programs in “</w:t>
      </w:r>
      <w:r w:rsidRPr="00427DEC">
        <w:rPr>
          <w:rFonts w:ascii="Segoe UI" w:hAnsi="Segoe UI" w:cs="Segoe UI"/>
          <w:i/>
          <w:sz w:val="18"/>
          <w:szCs w:val="18"/>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Pr>
          <w:rFonts w:ascii="Segoe UI" w:hAnsi="Segoe UI" w:cs="Segoe UI"/>
          <w:sz w:val="18"/>
          <w:szCs w:val="18"/>
        </w:rPr>
        <w:t xml:space="preserve">” </w:t>
      </w:r>
      <w:r>
        <w:rPr>
          <w:rFonts w:ascii="Segoe UI" w:hAnsi="Segoe UI" w:cs="Segoe UI"/>
          <w:sz w:val="18"/>
          <w:szCs w:val="18"/>
        </w:rPr>
        <w:fldChar w:fldCharType="begin"/>
      </w:r>
      <w:r>
        <w:rPr>
          <w:rFonts w:ascii="Segoe UI" w:hAnsi="Segoe UI" w:cs="Segoe UI"/>
          <w:sz w:val="18"/>
          <w:szCs w:val="18"/>
        </w:rPr>
        <w:instrText xml:space="preserve"> ADDIN EN.CITE &lt;EndNote&gt;&lt;Cite&gt;&lt;Author&gt;USEPA&lt;/Author&gt;&lt;Year&gt;2010&lt;/Year&gt;&lt;RecNum&gt;591&lt;/RecNum&gt;&lt;DisplayText&gt;(USEPA, 2010)&lt;/DisplayText&gt;&lt;record&gt;&lt;rec-number&gt;591&lt;/rec-number&gt;&lt;foreign-keys&gt;&lt;key app="EN" db-id="s0xer2w2o0xwx3e0a0tx0sz3zradttw529er" timestamp="1322490410"&gt;591&lt;/key&gt;&lt;/foreign-keys&gt;&lt;ref-type name="EPA Document"&gt;51&lt;/ref-type&gt;&lt;contributors&gt;&lt;authors&gt;&lt;author&gt;USEPA, &lt;/author&gt;&lt;/authors&gt;&lt;/contributors&gt;&lt;titles&gt;&lt;title&gt;Guidance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Assessments&lt;/title&gt;&lt;secondary-title&gt;January 25, 2010&lt;/secondary-title&gt;&lt;tertiary-title&gt;Environmental Fate and Effects Division.  Office of Chemical Safety and Pollution Prevention.  U.S. Environmental Protection Agency&lt;/tertiary-title&gt;&lt;/titles&gt;&lt;dates&gt;&lt;year&gt;2010&lt;/year&gt;&lt;/dates&gt;&lt;urls&gt;&lt;related-urls&gt;&lt;url&gt;https://www.epa.gov/pesticide-science-and-assessing-pesticide-risks/guidance-reporting-environmental-fate-and-transport&lt;/url&gt;&lt;/related-urls&gt;&lt;/urls&gt;&lt;/record&gt;&lt;/Cite&gt;&lt;/EndNote&gt;</w:instrText>
      </w:r>
      <w:r>
        <w:rPr>
          <w:rFonts w:ascii="Segoe UI" w:hAnsi="Segoe UI" w:cs="Segoe UI"/>
          <w:sz w:val="18"/>
          <w:szCs w:val="18"/>
        </w:rPr>
        <w:fldChar w:fldCharType="separate"/>
      </w:r>
      <w:r>
        <w:rPr>
          <w:rFonts w:ascii="Segoe UI" w:hAnsi="Segoe UI" w:cs="Segoe UI"/>
          <w:noProof/>
          <w:sz w:val="18"/>
          <w:szCs w:val="18"/>
        </w:rPr>
        <w:t>(USEPA, 2010)</w:t>
      </w:r>
      <w:r>
        <w:rPr>
          <w:rFonts w:ascii="Segoe UI" w:hAnsi="Segoe UI" w:cs="Segoe UI"/>
          <w:sz w:val="18"/>
          <w:szCs w:val="18"/>
        </w:rPr>
        <w:fldChar w:fldCharType="end"/>
      </w:r>
      <w:r>
        <w:rPr>
          <w:rFonts w:ascii="Segoe UI" w:hAnsi="Segoe UI" w:cs="Segoe UI"/>
          <w:sz w:val="18"/>
          <w:szCs w:val="18"/>
        </w:rPr>
        <w:t>.</w:t>
      </w:r>
    </w:p>
  </w:footnote>
  <w:footnote w:id="4">
    <w:p w14:paraId="5F0D0456" w14:textId="4FAC842D" w:rsidR="008F3F3C" w:rsidRDefault="008F3F3C" w:rsidP="00525490">
      <w:pPr>
        <w:pStyle w:val="FootnoteText"/>
      </w:pPr>
      <w:r w:rsidRPr="00B1575D">
        <w:rPr>
          <w:rStyle w:val="FootnoteReference"/>
        </w:rPr>
        <w:footnoteRef/>
      </w:r>
      <w:r w:rsidRPr="00B1575D">
        <w:t xml:space="preserve"> </w:t>
      </w:r>
      <w:r w:rsidRPr="009174AE">
        <w:t>The exposure models can be found at:</w:t>
      </w:r>
      <w:r w:rsidRPr="006461A4">
        <w:t xml:space="preserve"> </w:t>
      </w:r>
      <w:r w:rsidRPr="000C244B">
        <w:t xml:space="preserve"> </w:t>
      </w:r>
      <w:hyperlink r:id="rId2" w:history="1">
        <w:r w:rsidRPr="000C244B">
          <w:t>https://www.epa.gov/pesticide-science-and-assessing-pesticide-risks/models-pesticide-risk-assessment</w:t>
        </w:r>
      </w:hyperlink>
    </w:p>
  </w:footnote>
  <w:footnote w:id="5">
    <w:p w14:paraId="310C24D4" w14:textId="77777777" w:rsidR="008F3F3C" w:rsidRDefault="008F3F3C" w:rsidP="00631002">
      <w:pPr>
        <w:pStyle w:val="FootnoteText"/>
      </w:pPr>
      <w:r>
        <w:rPr>
          <w:rStyle w:val="FootnoteReference"/>
        </w:rPr>
        <w:footnoteRef/>
      </w:r>
      <w:r>
        <w:t xml:space="preserve"> Available at: </w:t>
      </w:r>
      <w:hyperlink r:id="rId3"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proofState w:spelling="clean" w:grammar="clean"/>
  <w:documentProtection w:edit="readOnly" w:enforcement="1" w:cryptProviderType="rsaAES" w:cryptAlgorithmClass="hash" w:cryptAlgorithmType="typeAny" w:cryptAlgorithmSid="14" w:cryptSpinCount="100000" w:hash="rNCwBSpMLyruXoib12sFj7QLHe98OvT2O5CpR4otQ9+iiS+5bq/KzxqV6FMJBwQ2/JcIIVb0xgP/+SGGHoRWtg==" w:salt="Pd+wZg6KCMy5c9s4cKTCU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3C6F"/>
    <w:rsid w:val="00006AE3"/>
    <w:rsid w:val="000072CB"/>
    <w:rsid w:val="0001757C"/>
    <w:rsid w:val="00023101"/>
    <w:rsid w:val="0002673C"/>
    <w:rsid w:val="000324E8"/>
    <w:rsid w:val="00033AAD"/>
    <w:rsid w:val="00033DB4"/>
    <w:rsid w:val="000347EF"/>
    <w:rsid w:val="000446F0"/>
    <w:rsid w:val="000500CD"/>
    <w:rsid w:val="00052A71"/>
    <w:rsid w:val="000563AF"/>
    <w:rsid w:val="00065954"/>
    <w:rsid w:val="000677AA"/>
    <w:rsid w:val="000707E4"/>
    <w:rsid w:val="00073594"/>
    <w:rsid w:val="00074FBE"/>
    <w:rsid w:val="000807D9"/>
    <w:rsid w:val="000829C5"/>
    <w:rsid w:val="00083B6C"/>
    <w:rsid w:val="00086283"/>
    <w:rsid w:val="00086AA1"/>
    <w:rsid w:val="00092FF0"/>
    <w:rsid w:val="00094AF4"/>
    <w:rsid w:val="000A1407"/>
    <w:rsid w:val="000A4725"/>
    <w:rsid w:val="000A575F"/>
    <w:rsid w:val="000B334D"/>
    <w:rsid w:val="000B4CBE"/>
    <w:rsid w:val="000C244B"/>
    <w:rsid w:val="000C2F82"/>
    <w:rsid w:val="000C6A3E"/>
    <w:rsid w:val="000D2F44"/>
    <w:rsid w:val="000D4CAA"/>
    <w:rsid w:val="000D7D0E"/>
    <w:rsid w:val="000E309A"/>
    <w:rsid w:val="000E6928"/>
    <w:rsid w:val="000F2DC8"/>
    <w:rsid w:val="000F3AF7"/>
    <w:rsid w:val="000F4327"/>
    <w:rsid w:val="000F7585"/>
    <w:rsid w:val="0010233C"/>
    <w:rsid w:val="00111382"/>
    <w:rsid w:val="00122436"/>
    <w:rsid w:val="00122E66"/>
    <w:rsid w:val="001232B3"/>
    <w:rsid w:val="00126F63"/>
    <w:rsid w:val="001311E9"/>
    <w:rsid w:val="0013472B"/>
    <w:rsid w:val="00134B79"/>
    <w:rsid w:val="0014269E"/>
    <w:rsid w:val="00143F04"/>
    <w:rsid w:val="001466FC"/>
    <w:rsid w:val="00146F07"/>
    <w:rsid w:val="001521D1"/>
    <w:rsid w:val="00154BDA"/>
    <w:rsid w:val="00160A09"/>
    <w:rsid w:val="00160CD1"/>
    <w:rsid w:val="00171173"/>
    <w:rsid w:val="0017152A"/>
    <w:rsid w:val="00171E4D"/>
    <w:rsid w:val="001726C9"/>
    <w:rsid w:val="00174FFA"/>
    <w:rsid w:val="00186168"/>
    <w:rsid w:val="00190605"/>
    <w:rsid w:val="001926CA"/>
    <w:rsid w:val="00192708"/>
    <w:rsid w:val="001A2A07"/>
    <w:rsid w:val="001A3C45"/>
    <w:rsid w:val="001A40B9"/>
    <w:rsid w:val="001A4F5C"/>
    <w:rsid w:val="001A53FE"/>
    <w:rsid w:val="001A74C1"/>
    <w:rsid w:val="001B30FB"/>
    <w:rsid w:val="001C2986"/>
    <w:rsid w:val="001C3796"/>
    <w:rsid w:val="001C4866"/>
    <w:rsid w:val="001C6B2E"/>
    <w:rsid w:val="001C75EE"/>
    <w:rsid w:val="001D4536"/>
    <w:rsid w:val="001D4EB7"/>
    <w:rsid w:val="001D504C"/>
    <w:rsid w:val="001E5734"/>
    <w:rsid w:val="001F3217"/>
    <w:rsid w:val="001F396E"/>
    <w:rsid w:val="00203368"/>
    <w:rsid w:val="00204662"/>
    <w:rsid w:val="00204D47"/>
    <w:rsid w:val="00206309"/>
    <w:rsid w:val="0020724D"/>
    <w:rsid w:val="00210CB1"/>
    <w:rsid w:val="002144C9"/>
    <w:rsid w:val="00217285"/>
    <w:rsid w:val="00217C00"/>
    <w:rsid w:val="0022083A"/>
    <w:rsid w:val="00225062"/>
    <w:rsid w:val="00226FE7"/>
    <w:rsid w:val="00242799"/>
    <w:rsid w:val="0025055B"/>
    <w:rsid w:val="00251095"/>
    <w:rsid w:val="00251B86"/>
    <w:rsid w:val="00252157"/>
    <w:rsid w:val="00253286"/>
    <w:rsid w:val="002636EB"/>
    <w:rsid w:val="0026396F"/>
    <w:rsid w:val="0026517A"/>
    <w:rsid w:val="00266071"/>
    <w:rsid w:val="00267E9F"/>
    <w:rsid w:val="002716A0"/>
    <w:rsid w:val="00274175"/>
    <w:rsid w:val="002825F5"/>
    <w:rsid w:val="00291476"/>
    <w:rsid w:val="002A59CB"/>
    <w:rsid w:val="002B275B"/>
    <w:rsid w:val="002B49A3"/>
    <w:rsid w:val="002B59D7"/>
    <w:rsid w:val="002C2ECC"/>
    <w:rsid w:val="002C401D"/>
    <w:rsid w:val="002C4CFD"/>
    <w:rsid w:val="002C5413"/>
    <w:rsid w:val="002D139E"/>
    <w:rsid w:val="002D2A52"/>
    <w:rsid w:val="002E01CF"/>
    <w:rsid w:val="002F0C39"/>
    <w:rsid w:val="002F0ED3"/>
    <w:rsid w:val="002F4C76"/>
    <w:rsid w:val="002F6F7A"/>
    <w:rsid w:val="00303446"/>
    <w:rsid w:val="00303775"/>
    <w:rsid w:val="00303C39"/>
    <w:rsid w:val="00310D68"/>
    <w:rsid w:val="00310F57"/>
    <w:rsid w:val="00312480"/>
    <w:rsid w:val="00312DD7"/>
    <w:rsid w:val="003177C9"/>
    <w:rsid w:val="00323F48"/>
    <w:rsid w:val="0033021F"/>
    <w:rsid w:val="00330467"/>
    <w:rsid w:val="00330580"/>
    <w:rsid w:val="003415BC"/>
    <w:rsid w:val="0035065E"/>
    <w:rsid w:val="0035147F"/>
    <w:rsid w:val="00351C75"/>
    <w:rsid w:val="00353477"/>
    <w:rsid w:val="00354E8A"/>
    <w:rsid w:val="003732B9"/>
    <w:rsid w:val="00374D1B"/>
    <w:rsid w:val="00375339"/>
    <w:rsid w:val="003819F0"/>
    <w:rsid w:val="003873C0"/>
    <w:rsid w:val="00391D18"/>
    <w:rsid w:val="00393A4D"/>
    <w:rsid w:val="003A6483"/>
    <w:rsid w:val="003B252C"/>
    <w:rsid w:val="003B2CCB"/>
    <w:rsid w:val="003B4B31"/>
    <w:rsid w:val="003B4B69"/>
    <w:rsid w:val="003B5F9B"/>
    <w:rsid w:val="003B6C80"/>
    <w:rsid w:val="003B6FF6"/>
    <w:rsid w:val="003C3423"/>
    <w:rsid w:val="003C6E81"/>
    <w:rsid w:val="003D2B8F"/>
    <w:rsid w:val="003D3716"/>
    <w:rsid w:val="003D63A9"/>
    <w:rsid w:val="003D74AE"/>
    <w:rsid w:val="003E3BC1"/>
    <w:rsid w:val="003F0BF1"/>
    <w:rsid w:val="003F60A7"/>
    <w:rsid w:val="003F770C"/>
    <w:rsid w:val="00415354"/>
    <w:rsid w:val="004164EC"/>
    <w:rsid w:val="0041687E"/>
    <w:rsid w:val="00416CC9"/>
    <w:rsid w:val="00421756"/>
    <w:rsid w:val="00424A3F"/>
    <w:rsid w:val="0043297B"/>
    <w:rsid w:val="00433D9E"/>
    <w:rsid w:val="004344EE"/>
    <w:rsid w:val="004406D6"/>
    <w:rsid w:val="00441872"/>
    <w:rsid w:val="00442D91"/>
    <w:rsid w:val="0044391F"/>
    <w:rsid w:val="0045224D"/>
    <w:rsid w:val="00452AEA"/>
    <w:rsid w:val="00454954"/>
    <w:rsid w:val="00457E1B"/>
    <w:rsid w:val="00465462"/>
    <w:rsid w:val="00465524"/>
    <w:rsid w:val="004669A2"/>
    <w:rsid w:val="00467636"/>
    <w:rsid w:val="00467DA9"/>
    <w:rsid w:val="00467F27"/>
    <w:rsid w:val="00474A82"/>
    <w:rsid w:val="00474F88"/>
    <w:rsid w:val="00477FD7"/>
    <w:rsid w:val="00483026"/>
    <w:rsid w:val="004861E1"/>
    <w:rsid w:val="00486AA8"/>
    <w:rsid w:val="00487A73"/>
    <w:rsid w:val="004A40CE"/>
    <w:rsid w:val="004B4A43"/>
    <w:rsid w:val="004B6CC4"/>
    <w:rsid w:val="004B7AC3"/>
    <w:rsid w:val="004C5C58"/>
    <w:rsid w:val="004C66F1"/>
    <w:rsid w:val="004D0F93"/>
    <w:rsid w:val="004D1BDC"/>
    <w:rsid w:val="004E2E0F"/>
    <w:rsid w:val="004E3D6B"/>
    <w:rsid w:val="004F3CBE"/>
    <w:rsid w:val="004F7FAF"/>
    <w:rsid w:val="00502286"/>
    <w:rsid w:val="00504FC6"/>
    <w:rsid w:val="00507E9A"/>
    <w:rsid w:val="00522605"/>
    <w:rsid w:val="005235EC"/>
    <w:rsid w:val="00525490"/>
    <w:rsid w:val="005267CA"/>
    <w:rsid w:val="00542D42"/>
    <w:rsid w:val="00545971"/>
    <w:rsid w:val="00546A2E"/>
    <w:rsid w:val="00546DD1"/>
    <w:rsid w:val="00550153"/>
    <w:rsid w:val="00555EFB"/>
    <w:rsid w:val="005632D1"/>
    <w:rsid w:val="00567B46"/>
    <w:rsid w:val="005721BD"/>
    <w:rsid w:val="005760B5"/>
    <w:rsid w:val="005807A5"/>
    <w:rsid w:val="00580A2F"/>
    <w:rsid w:val="005844A0"/>
    <w:rsid w:val="005949FD"/>
    <w:rsid w:val="00596AC4"/>
    <w:rsid w:val="005A2C5D"/>
    <w:rsid w:val="005A7E2E"/>
    <w:rsid w:val="005B5236"/>
    <w:rsid w:val="005B73D0"/>
    <w:rsid w:val="005C180C"/>
    <w:rsid w:val="005C4C21"/>
    <w:rsid w:val="005C5690"/>
    <w:rsid w:val="005D04D6"/>
    <w:rsid w:val="005D1BFA"/>
    <w:rsid w:val="005E521C"/>
    <w:rsid w:val="005E53CB"/>
    <w:rsid w:val="006008C7"/>
    <w:rsid w:val="00607C24"/>
    <w:rsid w:val="0061209B"/>
    <w:rsid w:val="006123E4"/>
    <w:rsid w:val="00613A27"/>
    <w:rsid w:val="00614514"/>
    <w:rsid w:val="0061478A"/>
    <w:rsid w:val="006153F1"/>
    <w:rsid w:val="00615B53"/>
    <w:rsid w:val="00623D7B"/>
    <w:rsid w:val="00624D1B"/>
    <w:rsid w:val="00631002"/>
    <w:rsid w:val="00634B4C"/>
    <w:rsid w:val="00641ABE"/>
    <w:rsid w:val="00645EC3"/>
    <w:rsid w:val="006675D7"/>
    <w:rsid w:val="006722F0"/>
    <w:rsid w:val="00672413"/>
    <w:rsid w:val="00673C2B"/>
    <w:rsid w:val="00674268"/>
    <w:rsid w:val="00675167"/>
    <w:rsid w:val="006837D9"/>
    <w:rsid w:val="00690822"/>
    <w:rsid w:val="006A2247"/>
    <w:rsid w:val="006A445C"/>
    <w:rsid w:val="006B2641"/>
    <w:rsid w:val="006B26A2"/>
    <w:rsid w:val="006B3430"/>
    <w:rsid w:val="006B5C3A"/>
    <w:rsid w:val="006B7254"/>
    <w:rsid w:val="006C258F"/>
    <w:rsid w:val="006C5430"/>
    <w:rsid w:val="006D0523"/>
    <w:rsid w:val="006D75E4"/>
    <w:rsid w:val="006E289F"/>
    <w:rsid w:val="006F28F5"/>
    <w:rsid w:val="006F4EA6"/>
    <w:rsid w:val="006F62E6"/>
    <w:rsid w:val="00714D28"/>
    <w:rsid w:val="007166BF"/>
    <w:rsid w:val="0071784E"/>
    <w:rsid w:val="007179AF"/>
    <w:rsid w:val="00717C3E"/>
    <w:rsid w:val="00720C1B"/>
    <w:rsid w:val="00722DCA"/>
    <w:rsid w:val="007256EF"/>
    <w:rsid w:val="00726B6C"/>
    <w:rsid w:val="00733A4C"/>
    <w:rsid w:val="007400FE"/>
    <w:rsid w:val="00743F08"/>
    <w:rsid w:val="007505C3"/>
    <w:rsid w:val="00761978"/>
    <w:rsid w:val="007655CF"/>
    <w:rsid w:val="007667F0"/>
    <w:rsid w:val="0077570A"/>
    <w:rsid w:val="00775F47"/>
    <w:rsid w:val="00783261"/>
    <w:rsid w:val="00783B1B"/>
    <w:rsid w:val="00784B2B"/>
    <w:rsid w:val="00785131"/>
    <w:rsid w:val="00791137"/>
    <w:rsid w:val="007917C1"/>
    <w:rsid w:val="007A47BE"/>
    <w:rsid w:val="007A6A83"/>
    <w:rsid w:val="007B79A6"/>
    <w:rsid w:val="007B7CA3"/>
    <w:rsid w:val="007C0A56"/>
    <w:rsid w:val="007C0A6E"/>
    <w:rsid w:val="007C274A"/>
    <w:rsid w:val="007D6193"/>
    <w:rsid w:val="007E5095"/>
    <w:rsid w:val="007E6AE0"/>
    <w:rsid w:val="007E7809"/>
    <w:rsid w:val="007F332A"/>
    <w:rsid w:val="007F713D"/>
    <w:rsid w:val="00802603"/>
    <w:rsid w:val="00804152"/>
    <w:rsid w:val="00806AA8"/>
    <w:rsid w:val="0080737A"/>
    <w:rsid w:val="0081206B"/>
    <w:rsid w:val="008204F8"/>
    <w:rsid w:val="00822B4E"/>
    <w:rsid w:val="0082687E"/>
    <w:rsid w:val="008322C6"/>
    <w:rsid w:val="00836465"/>
    <w:rsid w:val="008409A0"/>
    <w:rsid w:val="00861834"/>
    <w:rsid w:val="00867F6F"/>
    <w:rsid w:val="008722AF"/>
    <w:rsid w:val="00872545"/>
    <w:rsid w:val="00875818"/>
    <w:rsid w:val="00877954"/>
    <w:rsid w:val="00886C2F"/>
    <w:rsid w:val="00890ADD"/>
    <w:rsid w:val="00893971"/>
    <w:rsid w:val="00893E03"/>
    <w:rsid w:val="008A4BA2"/>
    <w:rsid w:val="008C01AA"/>
    <w:rsid w:val="008C5566"/>
    <w:rsid w:val="008D1C96"/>
    <w:rsid w:val="008D449E"/>
    <w:rsid w:val="008E0AD0"/>
    <w:rsid w:val="008F32E8"/>
    <w:rsid w:val="008F3EFA"/>
    <w:rsid w:val="008F3F3C"/>
    <w:rsid w:val="008F4386"/>
    <w:rsid w:val="008F51AB"/>
    <w:rsid w:val="008F522B"/>
    <w:rsid w:val="0090266C"/>
    <w:rsid w:val="00903FB1"/>
    <w:rsid w:val="009157FB"/>
    <w:rsid w:val="00916F11"/>
    <w:rsid w:val="009174AE"/>
    <w:rsid w:val="009231AB"/>
    <w:rsid w:val="00923AD3"/>
    <w:rsid w:val="00925B29"/>
    <w:rsid w:val="009269B6"/>
    <w:rsid w:val="00930D5F"/>
    <w:rsid w:val="009325C0"/>
    <w:rsid w:val="00932D15"/>
    <w:rsid w:val="009341F6"/>
    <w:rsid w:val="00937150"/>
    <w:rsid w:val="00943861"/>
    <w:rsid w:val="009630C0"/>
    <w:rsid w:val="00966889"/>
    <w:rsid w:val="00971428"/>
    <w:rsid w:val="00972637"/>
    <w:rsid w:val="00982D77"/>
    <w:rsid w:val="0098319A"/>
    <w:rsid w:val="009843C7"/>
    <w:rsid w:val="00994F37"/>
    <w:rsid w:val="0099729A"/>
    <w:rsid w:val="009A5892"/>
    <w:rsid w:val="009C04B2"/>
    <w:rsid w:val="009C68AE"/>
    <w:rsid w:val="009D72A8"/>
    <w:rsid w:val="00A00EE6"/>
    <w:rsid w:val="00A02B04"/>
    <w:rsid w:val="00A048A0"/>
    <w:rsid w:val="00A05EF2"/>
    <w:rsid w:val="00A06212"/>
    <w:rsid w:val="00A217A1"/>
    <w:rsid w:val="00A250EC"/>
    <w:rsid w:val="00A2710C"/>
    <w:rsid w:val="00A27315"/>
    <w:rsid w:val="00A309AC"/>
    <w:rsid w:val="00A34D82"/>
    <w:rsid w:val="00A40559"/>
    <w:rsid w:val="00A4112C"/>
    <w:rsid w:val="00A47034"/>
    <w:rsid w:val="00A47677"/>
    <w:rsid w:val="00A52C4E"/>
    <w:rsid w:val="00A63BEF"/>
    <w:rsid w:val="00A64A60"/>
    <w:rsid w:val="00A64B19"/>
    <w:rsid w:val="00A64CC1"/>
    <w:rsid w:val="00A70773"/>
    <w:rsid w:val="00A80427"/>
    <w:rsid w:val="00A84162"/>
    <w:rsid w:val="00A900D8"/>
    <w:rsid w:val="00A918B9"/>
    <w:rsid w:val="00A953F6"/>
    <w:rsid w:val="00A95B31"/>
    <w:rsid w:val="00AA06FB"/>
    <w:rsid w:val="00AB5B88"/>
    <w:rsid w:val="00AB737E"/>
    <w:rsid w:val="00AB7C89"/>
    <w:rsid w:val="00AD4289"/>
    <w:rsid w:val="00AD4BC2"/>
    <w:rsid w:val="00AD5886"/>
    <w:rsid w:val="00AE15F1"/>
    <w:rsid w:val="00AE52D0"/>
    <w:rsid w:val="00AF4B48"/>
    <w:rsid w:val="00AF4D32"/>
    <w:rsid w:val="00AF4EE9"/>
    <w:rsid w:val="00B001CB"/>
    <w:rsid w:val="00B00553"/>
    <w:rsid w:val="00B01EBB"/>
    <w:rsid w:val="00B04AA7"/>
    <w:rsid w:val="00B110FB"/>
    <w:rsid w:val="00B14677"/>
    <w:rsid w:val="00B14E21"/>
    <w:rsid w:val="00B1575D"/>
    <w:rsid w:val="00B32975"/>
    <w:rsid w:val="00B32F80"/>
    <w:rsid w:val="00B36A79"/>
    <w:rsid w:val="00B408AC"/>
    <w:rsid w:val="00B41EAE"/>
    <w:rsid w:val="00B732A0"/>
    <w:rsid w:val="00B77EA4"/>
    <w:rsid w:val="00B85C2A"/>
    <w:rsid w:val="00B91F3F"/>
    <w:rsid w:val="00B932FF"/>
    <w:rsid w:val="00BA5F89"/>
    <w:rsid w:val="00BB0C2D"/>
    <w:rsid w:val="00BB4937"/>
    <w:rsid w:val="00BB5F7C"/>
    <w:rsid w:val="00BC1486"/>
    <w:rsid w:val="00BC7AF6"/>
    <w:rsid w:val="00BD5C3E"/>
    <w:rsid w:val="00BD61C4"/>
    <w:rsid w:val="00BE2F82"/>
    <w:rsid w:val="00BE70F9"/>
    <w:rsid w:val="00BE7466"/>
    <w:rsid w:val="00BF577E"/>
    <w:rsid w:val="00C01C9E"/>
    <w:rsid w:val="00C01E44"/>
    <w:rsid w:val="00C056AC"/>
    <w:rsid w:val="00C06BE5"/>
    <w:rsid w:val="00C1079F"/>
    <w:rsid w:val="00C13650"/>
    <w:rsid w:val="00C17A63"/>
    <w:rsid w:val="00C20F1A"/>
    <w:rsid w:val="00C21087"/>
    <w:rsid w:val="00C22250"/>
    <w:rsid w:val="00C227C7"/>
    <w:rsid w:val="00C3016B"/>
    <w:rsid w:val="00C33B53"/>
    <w:rsid w:val="00C340DE"/>
    <w:rsid w:val="00C40778"/>
    <w:rsid w:val="00C41195"/>
    <w:rsid w:val="00C41D89"/>
    <w:rsid w:val="00C57F9E"/>
    <w:rsid w:val="00C6303C"/>
    <w:rsid w:val="00C633D9"/>
    <w:rsid w:val="00C700FB"/>
    <w:rsid w:val="00C72EBE"/>
    <w:rsid w:val="00C74F6B"/>
    <w:rsid w:val="00C7543E"/>
    <w:rsid w:val="00C7566C"/>
    <w:rsid w:val="00C76A8B"/>
    <w:rsid w:val="00C8016A"/>
    <w:rsid w:val="00C8066C"/>
    <w:rsid w:val="00C823F4"/>
    <w:rsid w:val="00C85ED0"/>
    <w:rsid w:val="00C932E3"/>
    <w:rsid w:val="00C9564C"/>
    <w:rsid w:val="00CA023E"/>
    <w:rsid w:val="00CA4CDB"/>
    <w:rsid w:val="00CB23DA"/>
    <w:rsid w:val="00CC2634"/>
    <w:rsid w:val="00CC3277"/>
    <w:rsid w:val="00CC3B65"/>
    <w:rsid w:val="00CC664F"/>
    <w:rsid w:val="00CD0649"/>
    <w:rsid w:val="00CD3692"/>
    <w:rsid w:val="00CE0987"/>
    <w:rsid w:val="00CE1C66"/>
    <w:rsid w:val="00CE3D42"/>
    <w:rsid w:val="00CF1313"/>
    <w:rsid w:val="00CF21A2"/>
    <w:rsid w:val="00CF3F0F"/>
    <w:rsid w:val="00D021E3"/>
    <w:rsid w:val="00D026F3"/>
    <w:rsid w:val="00D10797"/>
    <w:rsid w:val="00D1256E"/>
    <w:rsid w:val="00D12DB0"/>
    <w:rsid w:val="00D15189"/>
    <w:rsid w:val="00D15940"/>
    <w:rsid w:val="00D23232"/>
    <w:rsid w:val="00D36912"/>
    <w:rsid w:val="00D40751"/>
    <w:rsid w:val="00D449AD"/>
    <w:rsid w:val="00D467CD"/>
    <w:rsid w:val="00D509E3"/>
    <w:rsid w:val="00D6321B"/>
    <w:rsid w:val="00D63947"/>
    <w:rsid w:val="00D64F94"/>
    <w:rsid w:val="00D66459"/>
    <w:rsid w:val="00D70B7B"/>
    <w:rsid w:val="00D72DE9"/>
    <w:rsid w:val="00D768C5"/>
    <w:rsid w:val="00D8211E"/>
    <w:rsid w:val="00D827DC"/>
    <w:rsid w:val="00D853B2"/>
    <w:rsid w:val="00D8647A"/>
    <w:rsid w:val="00D93717"/>
    <w:rsid w:val="00D9534F"/>
    <w:rsid w:val="00DA6892"/>
    <w:rsid w:val="00DB0394"/>
    <w:rsid w:val="00DB34E2"/>
    <w:rsid w:val="00DB5E5D"/>
    <w:rsid w:val="00DC04D5"/>
    <w:rsid w:val="00DD01A0"/>
    <w:rsid w:val="00DD4803"/>
    <w:rsid w:val="00DE73D0"/>
    <w:rsid w:val="00DF03C3"/>
    <w:rsid w:val="00DF273A"/>
    <w:rsid w:val="00DF6F19"/>
    <w:rsid w:val="00E0039A"/>
    <w:rsid w:val="00E06F80"/>
    <w:rsid w:val="00E16B87"/>
    <w:rsid w:val="00E35815"/>
    <w:rsid w:val="00E53606"/>
    <w:rsid w:val="00E6060D"/>
    <w:rsid w:val="00E61DA7"/>
    <w:rsid w:val="00E64C9B"/>
    <w:rsid w:val="00E76E22"/>
    <w:rsid w:val="00E823A7"/>
    <w:rsid w:val="00E8546B"/>
    <w:rsid w:val="00E91586"/>
    <w:rsid w:val="00E94DD1"/>
    <w:rsid w:val="00EA0441"/>
    <w:rsid w:val="00EA463C"/>
    <w:rsid w:val="00EA65DD"/>
    <w:rsid w:val="00EB2B80"/>
    <w:rsid w:val="00EB33B0"/>
    <w:rsid w:val="00EB37E2"/>
    <w:rsid w:val="00EB4EC3"/>
    <w:rsid w:val="00ED0CB2"/>
    <w:rsid w:val="00ED0D37"/>
    <w:rsid w:val="00ED345A"/>
    <w:rsid w:val="00ED45B2"/>
    <w:rsid w:val="00ED538A"/>
    <w:rsid w:val="00ED79AF"/>
    <w:rsid w:val="00F02672"/>
    <w:rsid w:val="00F03042"/>
    <w:rsid w:val="00F06B22"/>
    <w:rsid w:val="00F10A79"/>
    <w:rsid w:val="00F41F3A"/>
    <w:rsid w:val="00F42297"/>
    <w:rsid w:val="00F434EA"/>
    <w:rsid w:val="00F45B82"/>
    <w:rsid w:val="00F47B1B"/>
    <w:rsid w:val="00F50985"/>
    <w:rsid w:val="00F53333"/>
    <w:rsid w:val="00F57406"/>
    <w:rsid w:val="00F60A85"/>
    <w:rsid w:val="00F60E0D"/>
    <w:rsid w:val="00F622BF"/>
    <w:rsid w:val="00F658DA"/>
    <w:rsid w:val="00F67DCD"/>
    <w:rsid w:val="00F83E96"/>
    <w:rsid w:val="00F849C1"/>
    <w:rsid w:val="00F84F72"/>
    <w:rsid w:val="00F928BA"/>
    <w:rsid w:val="00F95658"/>
    <w:rsid w:val="00F97AFB"/>
    <w:rsid w:val="00FA3E72"/>
    <w:rsid w:val="00FA58A7"/>
    <w:rsid w:val="00FA7985"/>
    <w:rsid w:val="00FB02F3"/>
    <w:rsid w:val="00FC5424"/>
    <w:rsid w:val="00FC7AB0"/>
    <w:rsid w:val="00FD62B2"/>
    <w:rsid w:val="00FD644E"/>
    <w:rsid w:val="00FE10F3"/>
    <w:rsid w:val="00FE2D84"/>
    <w:rsid w:val="00FE539B"/>
    <w:rsid w:val="00FF367E"/>
    <w:rsid w:val="00FF56A7"/>
    <w:rsid w:val="575D1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F75038"/>
  <w15:docId w15:val="{EF1229DC-E90C-4AEE-99BC-ECADD11A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unhideWhenUsed/>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styleId="UnresolvedMention">
    <w:name w:val="Unresolved Mention"/>
    <w:basedOn w:val="DefaultParagraphFont"/>
    <w:uiPriority w:val="99"/>
    <w:unhideWhenUsed/>
    <w:rsid w:val="00672413"/>
    <w:rPr>
      <w:color w:val="605E5C"/>
      <w:shd w:val="clear" w:color="auto" w:fill="E1DFDD"/>
    </w:rPr>
  </w:style>
  <w:style w:type="paragraph" w:styleId="Revision">
    <w:name w:val="Revision"/>
    <w:hidden/>
    <w:uiPriority w:val="99"/>
    <w:semiHidden/>
    <w:rsid w:val="007B7CA3"/>
  </w:style>
  <w:style w:type="character" w:styleId="Mention">
    <w:name w:val="Mention"/>
    <w:basedOn w:val="DefaultParagraphFont"/>
    <w:uiPriority w:val="99"/>
    <w:unhideWhenUsed/>
    <w:rsid w:val="0080737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dangered-species/revised-method-national-level-listed-species-biological-evaluations-conventional" TargetMode="External"/><Relationship Id="rId2" Type="http://schemas.openxmlformats.org/officeDocument/2006/relationships/hyperlink" Target="https://www.epa.gov/pesticide-science-and-assessing-pesticide-risks/models-pesticide-risk-assessment"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 (Ethan)</DisplayName>
        <AccountId>6097</AccountId>
        <AccountType/>
      </UserInfo>
      <UserInfo>
        <DisplayName>Echeverria, Marietta</DisplayName>
        <AccountId>250</AccountId>
        <AccountType/>
      </UserInfo>
      <UserInfo>
        <DisplayName>Donovan, Elizabeth</DisplayName>
        <AccountId>580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9C36F-FB7D-45C3-B76F-A96993AF2E94}">
  <ds:schemaRefs>
    <ds:schemaRef ds:uri="http://schemas.microsoft.com/sharepoint/v3/contenttype/forms"/>
  </ds:schemaRefs>
</ds:datastoreItem>
</file>

<file path=customXml/itemProps2.xml><?xml version="1.0" encoding="utf-8"?>
<ds:datastoreItem xmlns:ds="http://schemas.openxmlformats.org/officeDocument/2006/customXml" ds:itemID="{49EA5291-ED1F-4B03-BE11-F0259FE6854C}">
  <ds:schemaRefs>
    <ds:schemaRef ds:uri="http://schemas.microsoft.com/sharepoint/v3/field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http://schemas.microsoft.com/office/2006/metadata/properties"/>
    <ds:schemaRef ds:uri="1b69afd8-9bdb-481b-b26a-06cbd17fa30c"/>
    <ds:schemaRef ds:uri="http://purl.org/dc/dcmitype/"/>
    <ds:schemaRef ds:uri="http://www.w3.org/XML/1998/namespace"/>
    <ds:schemaRef ds:uri="a5d1ca4e-0a3f-4119-b619-e20b93ebd1aa"/>
    <ds:schemaRef ds:uri="4ffa91fb-a0ff-4ac5-b2db-65c790d184a4"/>
    <ds:schemaRef ds:uri="http://schemas.microsoft.com/sharepoint/v3"/>
    <ds:schemaRef ds:uri="http://purl.org/dc/elements/1.1/"/>
  </ds:schemaRefs>
</ds:datastoreItem>
</file>

<file path=customXml/itemProps3.xml><?xml version="1.0" encoding="utf-8"?>
<ds:datastoreItem xmlns:ds="http://schemas.openxmlformats.org/officeDocument/2006/customXml" ds:itemID="{7E5A6F39-10B9-43B5-AE7E-1573C6CD43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CEFF2A-1743-49E9-9391-B59444E71D28}">
  <ds:schemaRefs>
    <ds:schemaRef ds:uri="Microsoft.SharePoint.Taxonomy.ContentTypeSync"/>
  </ds:schemaRefs>
</ds:datastoreItem>
</file>

<file path=customXml/itemProps5.xml><?xml version="1.0" encoding="utf-8"?>
<ds:datastoreItem xmlns:ds="http://schemas.openxmlformats.org/officeDocument/2006/customXml" ds:itemID="{69719C18-3CDE-4C53-85F1-9D53DF0C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2044</Words>
  <Characters>11654</Characters>
  <Application>Microsoft Office Word</Application>
  <DocSecurity>10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13671</CharactersWithSpaces>
  <SharedDoc>false</SharedDoc>
  <HLinks>
    <vt:vector size="18" baseType="variant">
      <vt:variant>
        <vt:i4>7995501</vt:i4>
      </vt:variant>
      <vt:variant>
        <vt:i4>6</vt:i4>
      </vt:variant>
      <vt:variant>
        <vt:i4>0</vt:i4>
      </vt:variant>
      <vt:variant>
        <vt:i4>5</vt:i4>
      </vt:variant>
      <vt:variant>
        <vt:lpwstr>https://www.epa.gov/endangered-species/draft-revised-method-national-level-endangered-species-risk-assessment-process-</vt:lpwstr>
      </vt:variant>
      <vt:variant>
        <vt:lpwstr/>
      </vt:variant>
      <vt:variant>
        <vt:i4>1114191</vt:i4>
      </vt:variant>
      <vt:variant>
        <vt:i4>3</vt:i4>
      </vt:variant>
      <vt:variant>
        <vt:i4>0</vt:i4>
      </vt:variant>
      <vt:variant>
        <vt:i4>5</vt:i4>
      </vt:variant>
      <vt:variant>
        <vt:lpwstr>https://www.epa.gov/pesticide-science-and-assessing-pesticide-risks/models-pesticide-risk-assessment</vt:lpwstr>
      </vt:variant>
      <vt:variant>
        <vt:lpwstr/>
      </vt:variant>
      <vt:variant>
        <vt:i4>5701662</vt:i4>
      </vt:variant>
      <vt:variant>
        <vt:i4>0</vt:i4>
      </vt:variant>
      <vt:variant>
        <vt:i4>0</vt:i4>
      </vt:variant>
      <vt:variant>
        <vt:i4>5</vt:i4>
      </vt:variant>
      <vt:variant>
        <vt:lpwstr>https://www.epa.gov/endangered-species/draft-revised-method-national-level-endangered-species-risk-assessment-process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Louie-Juzwiak, Rosanna</dc:creator>
  <cp:keywords/>
  <dc:description/>
  <cp:lastModifiedBy>Louie-Juzwiak, Rosanna</cp:lastModifiedBy>
  <cp:revision>2</cp:revision>
  <dcterms:created xsi:type="dcterms:W3CDTF">2020-10-08T07:37:00Z</dcterms:created>
  <dcterms:modified xsi:type="dcterms:W3CDTF">2020-10-08T07:37:00Z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