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7839" w14:textId="7B9AE38D" w:rsidR="006A290E" w:rsidRPr="00F01F1D" w:rsidRDefault="006A290E" w:rsidP="006A290E">
      <w:pPr>
        <w:rPr>
          <w:b/>
          <w:bCs/>
          <w:color w:val="5B9BD5" w:themeColor="accent5"/>
          <w:sz w:val="32"/>
          <w:szCs w:val="32"/>
        </w:rPr>
      </w:pPr>
      <w:bookmarkStart w:id="0" w:name="_Toc31193294"/>
      <w:bookmarkStart w:id="1" w:name="_Toc31193349"/>
      <w:bookmarkStart w:id="2" w:name="_Toc31220268"/>
      <w:bookmarkEnd w:id="0"/>
      <w:bookmarkEnd w:id="1"/>
      <w:r w:rsidRPr="7F3E87CA">
        <w:rPr>
          <w:b/>
          <w:bCs/>
          <w:color w:val="4471C4"/>
          <w:sz w:val="32"/>
          <w:szCs w:val="32"/>
        </w:rPr>
        <w:t xml:space="preserve">Chapter 1 – Draft </w:t>
      </w:r>
      <w:r w:rsidR="00F97824">
        <w:rPr>
          <w:b/>
          <w:bCs/>
          <w:color w:val="4471C4"/>
          <w:sz w:val="32"/>
          <w:szCs w:val="32"/>
        </w:rPr>
        <w:t>Propazine</w:t>
      </w:r>
      <w:r w:rsidRPr="7F3E87CA">
        <w:rPr>
          <w:b/>
          <w:bCs/>
          <w:color w:val="4471C4"/>
          <w:sz w:val="32"/>
          <w:szCs w:val="32"/>
        </w:rPr>
        <w:t xml:space="preserve"> Problem Formulation</w:t>
      </w:r>
    </w:p>
    <w:sdt>
      <w:sdtPr>
        <w:id w:val="-138042689"/>
        <w:docPartObj>
          <w:docPartGallery w:val="Table of Contents"/>
          <w:docPartUnique/>
        </w:docPartObj>
      </w:sdtPr>
      <w:sdtEndPr>
        <w:rPr>
          <w:b/>
          <w:bCs/>
          <w:noProof/>
        </w:rPr>
      </w:sdtEndPr>
      <w:sdtContent>
        <w:p w14:paraId="43B2CA7E" w14:textId="77777777" w:rsidR="006A290E" w:rsidRPr="00674E2D" w:rsidRDefault="006A290E" w:rsidP="006A290E">
          <w:pPr>
            <w:rPr>
              <w:color w:val="2F5496" w:themeColor="accent1" w:themeShade="BF"/>
              <w:sz w:val="32"/>
              <w:szCs w:val="32"/>
            </w:rPr>
          </w:pPr>
          <w:r w:rsidRPr="00674E2D">
            <w:rPr>
              <w:color w:val="2F5496" w:themeColor="accent1" w:themeShade="BF"/>
              <w:sz w:val="32"/>
              <w:szCs w:val="32"/>
            </w:rPr>
            <w:t>Contents</w:t>
          </w:r>
        </w:p>
        <w:p w14:paraId="1EFBD020" w14:textId="15212DFA" w:rsidR="00674E2D" w:rsidRPr="00674E2D" w:rsidRDefault="006A290E" w:rsidP="00674E2D">
          <w:pPr>
            <w:pStyle w:val="TOC1"/>
            <w:spacing w:after="40"/>
            <w:rPr>
              <w:rFonts w:asciiTheme="minorHAnsi" w:eastAsiaTheme="minorEastAsia" w:hAnsiTheme="minorHAnsi" w:cstheme="minorBidi"/>
              <w:noProof/>
              <w:color w:val="000000" w:themeColor="text1"/>
            </w:rPr>
          </w:pPr>
          <w:r>
            <w:fldChar w:fldCharType="begin"/>
          </w:r>
          <w:r>
            <w:instrText xml:space="preserve"> TOC \o "1-3" \h \z \u </w:instrText>
          </w:r>
          <w:r>
            <w:fldChar w:fldCharType="separate"/>
          </w:r>
          <w:hyperlink w:anchor="_Toc53023220" w:history="1">
            <w:r w:rsidR="00674E2D" w:rsidRPr="00674E2D">
              <w:rPr>
                <w:rStyle w:val="Hyperlink"/>
                <w:noProof/>
                <w:color w:val="000000" w:themeColor="text1"/>
              </w:rPr>
              <w:t>1</w:t>
            </w:r>
            <w:r w:rsidR="00674E2D" w:rsidRPr="00674E2D">
              <w:rPr>
                <w:rFonts w:asciiTheme="minorHAnsi" w:eastAsiaTheme="minorEastAsia" w:hAnsiTheme="minorHAnsi" w:cstheme="minorBidi"/>
                <w:noProof/>
                <w:color w:val="000000" w:themeColor="text1"/>
              </w:rPr>
              <w:tab/>
            </w:r>
            <w:r w:rsidR="00674E2D" w:rsidRPr="00674E2D">
              <w:rPr>
                <w:rStyle w:val="Hyperlink"/>
                <w:noProof/>
                <w:color w:val="000000" w:themeColor="text1"/>
              </w:rPr>
              <w:t>Introduction</w:t>
            </w:r>
            <w:r w:rsidR="00674E2D" w:rsidRPr="00674E2D">
              <w:rPr>
                <w:noProof/>
                <w:webHidden/>
                <w:color w:val="000000" w:themeColor="text1"/>
              </w:rPr>
              <w:tab/>
            </w:r>
            <w:r w:rsidR="00674E2D" w:rsidRPr="00674E2D">
              <w:rPr>
                <w:noProof/>
                <w:webHidden/>
                <w:color w:val="000000" w:themeColor="text1"/>
              </w:rPr>
              <w:fldChar w:fldCharType="begin"/>
            </w:r>
            <w:r w:rsidR="00674E2D" w:rsidRPr="00674E2D">
              <w:rPr>
                <w:noProof/>
                <w:webHidden/>
                <w:color w:val="000000" w:themeColor="text1"/>
              </w:rPr>
              <w:instrText xml:space="preserve"> PAGEREF _Toc53023220 \h </w:instrText>
            </w:r>
            <w:r w:rsidR="00674E2D" w:rsidRPr="00674E2D">
              <w:rPr>
                <w:noProof/>
                <w:webHidden/>
                <w:color w:val="000000" w:themeColor="text1"/>
              </w:rPr>
            </w:r>
            <w:r w:rsidR="00674E2D" w:rsidRPr="00674E2D">
              <w:rPr>
                <w:noProof/>
                <w:webHidden/>
                <w:color w:val="000000" w:themeColor="text1"/>
              </w:rPr>
              <w:fldChar w:fldCharType="separate"/>
            </w:r>
            <w:r w:rsidR="00674E2D" w:rsidRPr="00674E2D">
              <w:rPr>
                <w:noProof/>
                <w:webHidden/>
                <w:color w:val="000000" w:themeColor="text1"/>
              </w:rPr>
              <w:t>2</w:t>
            </w:r>
            <w:r w:rsidR="00674E2D" w:rsidRPr="00674E2D">
              <w:rPr>
                <w:noProof/>
                <w:webHidden/>
                <w:color w:val="000000" w:themeColor="text1"/>
              </w:rPr>
              <w:fldChar w:fldCharType="end"/>
            </w:r>
          </w:hyperlink>
        </w:p>
        <w:p w14:paraId="3D6C2E7F" w14:textId="65FBC2F9" w:rsidR="00674E2D" w:rsidRPr="00674E2D" w:rsidRDefault="00161EB2" w:rsidP="00674E2D">
          <w:pPr>
            <w:pStyle w:val="TOC1"/>
            <w:spacing w:after="40"/>
            <w:rPr>
              <w:rFonts w:asciiTheme="minorHAnsi" w:eastAsiaTheme="minorEastAsia" w:hAnsiTheme="minorHAnsi" w:cstheme="minorBidi"/>
              <w:noProof/>
              <w:color w:val="000000" w:themeColor="text1"/>
            </w:rPr>
          </w:pPr>
          <w:hyperlink w:anchor="_Toc53023221" w:history="1">
            <w:r w:rsidR="00674E2D" w:rsidRPr="00674E2D">
              <w:rPr>
                <w:rStyle w:val="Hyperlink"/>
                <w:noProof/>
                <w:color w:val="000000" w:themeColor="text1"/>
              </w:rPr>
              <w:t>2</w:t>
            </w:r>
            <w:r w:rsidR="00674E2D" w:rsidRPr="00674E2D">
              <w:rPr>
                <w:rFonts w:asciiTheme="minorHAnsi" w:eastAsiaTheme="minorEastAsia" w:hAnsiTheme="minorHAnsi" w:cstheme="minorBidi"/>
                <w:noProof/>
                <w:color w:val="000000" w:themeColor="text1"/>
              </w:rPr>
              <w:tab/>
            </w:r>
            <w:r w:rsidR="00674E2D" w:rsidRPr="00674E2D">
              <w:rPr>
                <w:rStyle w:val="Hyperlink"/>
                <w:noProof/>
                <w:color w:val="000000" w:themeColor="text1"/>
              </w:rPr>
              <w:t>Description of the Federal Action</w:t>
            </w:r>
            <w:r w:rsidR="00674E2D" w:rsidRPr="00674E2D">
              <w:rPr>
                <w:noProof/>
                <w:webHidden/>
                <w:color w:val="000000" w:themeColor="text1"/>
              </w:rPr>
              <w:tab/>
            </w:r>
            <w:r w:rsidR="00674E2D" w:rsidRPr="00674E2D">
              <w:rPr>
                <w:noProof/>
                <w:webHidden/>
                <w:color w:val="000000" w:themeColor="text1"/>
              </w:rPr>
              <w:fldChar w:fldCharType="begin"/>
            </w:r>
            <w:r w:rsidR="00674E2D" w:rsidRPr="00674E2D">
              <w:rPr>
                <w:noProof/>
                <w:webHidden/>
                <w:color w:val="000000" w:themeColor="text1"/>
              </w:rPr>
              <w:instrText xml:space="preserve"> PAGEREF _Toc53023221 \h </w:instrText>
            </w:r>
            <w:r w:rsidR="00674E2D" w:rsidRPr="00674E2D">
              <w:rPr>
                <w:noProof/>
                <w:webHidden/>
                <w:color w:val="000000" w:themeColor="text1"/>
              </w:rPr>
            </w:r>
            <w:r w:rsidR="00674E2D" w:rsidRPr="00674E2D">
              <w:rPr>
                <w:noProof/>
                <w:webHidden/>
                <w:color w:val="000000" w:themeColor="text1"/>
              </w:rPr>
              <w:fldChar w:fldCharType="separate"/>
            </w:r>
            <w:r w:rsidR="00674E2D" w:rsidRPr="00674E2D">
              <w:rPr>
                <w:noProof/>
                <w:webHidden/>
                <w:color w:val="000000" w:themeColor="text1"/>
              </w:rPr>
              <w:t>2</w:t>
            </w:r>
            <w:r w:rsidR="00674E2D" w:rsidRPr="00674E2D">
              <w:rPr>
                <w:noProof/>
                <w:webHidden/>
                <w:color w:val="000000" w:themeColor="text1"/>
              </w:rPr>
              <w:fldChar w:fldCharType="end"/>
            </w:r>
          </w:hyperlink>
        </w:p>
        <w:p w14:paraId="7A4093ED" w14:textId="0336CDA4" w:rsidR="00674E2D" w:rsidRPr="00674E2D" w:rsidRDefault="00161EB2" w:rsidP="00674E2D">
          <w:pPr>
            <w:pStyle w:val="TOC1"/>
            <w:spacing w:after="40"/>
            <w:rPr>
              <w:rFonts w:asciiTheme="minorHAnsi" w:eastAsiaTheme="minorEastAsia" w:hAnsiTheme="minorHAnsi" w:cstheme="minorBidi"/>
              <w:noProof/>
              <w:color w:val="000000" w:themeColor="text1"/>
            </w:rPr>
          </w:pPr>
          <w:hyperlink w:anchor="_Toc53023222" w:history="1">
            <w:r w:rsidR="00674E2D" w:rsidRPr="00674E2D">
              <w:rPr>
                <w:rStyle w:val="Hyperlink"/>
                <w:noProof/>
                <w:color w:val="000000" w:themeColor="text1"/>
              </w:rPr>
              <w:t>3</w:t>
            </w:r>
            <w:r w:rsidR="00674E2D" w:rsidRPr="00674E2D">
              <w:rPr>
                <w:rFonts w:asciiTheme="minorHAnsi" w:eastAsiaTheme="minorEastAsia" w:hAnsiTheme="minorHAnsi" w:cstheme="minorBidi"/>
                <w:noProof/>
                <w:color w:val="000000" w:themeColor="text1"/>
              </w:rPr>
              <w:tab/>
            </w:r>
            <w:r w:rsidR="00674E2D" w:rsidRPr="00674E2D">
              <w:rPr>
                <w:rStyle w:val="Hyperlink"/>
                <w:noProof/>
                <w:color w:val="000000" w:themeColor="text1"/>
              </w:rPr>
              <w:t>Mode and Mechanism of Action</w:t>
            </w:r>
            <w:r w:rsidR="00674E2D" w:rsidRPr="00674E2D">
              <w:rPr>
                <w:noProof/>
                <w:webHidden/>
                <w:color w:val="000000" w:themeColor="text1"/>
              </w:rPr>
              <w:tab/>
            </w:r>
            <w:r w:rsidR="00674E2D" w:rsidRPr="00674E2D">
              <w:rPr>
                <w:noProof/>
                <w:webHidden/>
                <w:color w:val="000000" w:themeColor="text1"/>
              </w:rPr>
              <w:fldChar w:fldCharType="begin"/>
            </w:r>
            <w:r w:rsidR="00674E2D" w:rsidRPr="00674E2D">
              <w:rPr>
                <w:noProof/>
                <w:webHidden/>
                <w:color w:val="000000" w:themeColor="text1"/>
              </w:rPr>
              <w:instrText xml:space="preserve"> PAGEREF _Toc53023222 \h </w:instrText>
            </w:r>
            <w:r w:rsidR="00674E2D" w:rsidRPr="00674E2D">
              <w:rPr>
                <w:noProof/>
                <w:webHidden/>
                <w:color w:val="000000" w:themeColor="text1"/>
              </w:rPr>
            </w:r>
            <w:r w:rsidR="00674E2D" w:rsidRPr="00674E2D">
              <w:rPr>
                <w:noProof/>
                <w:webHidden/>
                <w:color w:val="000000" w:themeColor="text1"/>
              </w:rPr>
              <w:fldChar w:fldCharType="separate"/>
            </w:r>
            <w:r w:rsidR="00674E2D" w:rsidRPr="00674E2D">
              <w:rPr>
                <w:noProof/>
                <w:webHidden/>
                <w:color w:val="000000" w:themeColor="text1"/>
              </w:rPr>
              <w:t>2</w:t>
            </w:r>
            <w:r w:rsidR="00674E2D" w:rsidRPr="00674E2D">
              <w:rPr>
                <w:noProof/>
                <w:webHidden/>
                <w:color w:val="000000" w:themeColor="text1"/>
              </w:rPr>
              <w:fldChar w:fldCharType="end"/>
            </w:r>
          </w:hyperlink>
        </w:p>
        <w:p w14:paraId="1A77EA7A" w14:textId="2C85D646" w:rsidR="00674E2D" w:rsidRPr="00674E2D" w:rsidRDefault="00161EB2" w:rsidP="00674E2D">
          <w:pPr>
            <w:pStyle w:val="TOC1"/>
            <w:spacing w:after="40"/>
            <w:rPr>
              <w:rFonts w:asciiTheme="minorHAnsi" w:eastAsiaTheme="minorEastAsia" w:hAnsiTheme="minorHAnsi" w:cstheme="minorBidi"/>
              <w:noProof/>
              <w:color w:val="000000" w:themeColor="text1"/>
            </w:rPr>
          </w:pPr>
          <w:hyperlink w:anchor="_Toc53023223" w:history="1">
            <w:r w:rsidR="00674E2D" w:rsidRPr="00674E2D">
              <w:rPr>
                <w:rStyle w:val="Hyperlink"/>
                <w:noProof/>
                <w:color w:val="000000" w:themeColor="text1"/>
              </w:rPr>
              <w:t>4</w:t>
            </w:r>
            <w:r w:rsidR="00674E2D" w:rsidRPr="00674E2D">
              <w:rPr>
                <w:rFonts w:asciiTheme="minorHAnsi" w:eastAsiaTheme="minorEastAsia" w:hAnsiTheme="minorHAnsi" w:cstheme="minorBidi"/>
                <w:noProof/>
                <w:color w:val="000000" w:themeColor="text1"/>
              </w:rPr>
              <w:tab/>
            </w:r>
            <w:r w:rsidR="00674E2D" w:rsidRPr="00674E2D">
              <w:rPr>
                <w:rStyle w:val="Hyperlink"/>
                <w:noProof/>
                <w:color w:val="000000" w:themeColor="text1"/>
              </w:rPr>
              <w:t>Use and Usage Characterization</w:t>
            </w:r>
            <w:r w:rsidR="00674E2D" w:rsidRPr="00674E2D">
              <w:rPr>
                <w:noProof/>
                <w:webHidden/>
                <w:color w:val="000000" w:themeColor="text1"/>
              </w:rPr>
              <w:tab/>
            </w:r>
            <w:r w:rsidR="00674E2D" w:rsidRPr="00674E2D">
              <w:rPr>
                <w:noProof/>
                <w:webHidden/>
                <w:color w:val="000000" w:themeColor="text1"/>
              </w:rPr>
              <w:fldChar w:fldCharType="begin"/>
            </w:r>
            <w:r w:rsidR="00674E2D" w:rsidRPr="00674E2D">
              <w:rPr>
                <w:noProof/>
                <w:webHidden/>
                <w:color w:val="000000" w:themeColor="text1"/>
              </w:rPr>
              <w:instrText xml:space="preserve"> PAGEREF _Toc53023223 \h </w:instrText>
            </w:r>
            <w:r w:rsidR="00674E2D" w:rsidRPr="00674E2D">
              <w:rPr>
                <w:noProof/>
                <w:webHidden/>
                <w:color w:val="000000" w:themeColor="text1"/>
              </w:rPr>
            </w:r>
            <w:r w:rsidR="00674E2D" w:rsidRPr="00674E2D">
              <w:rPr>
                <w:noProof/>
                <w:webHidden/>
                <w:color w:val="000000" w:themeColor="text1"/>
              </w:rPr>
              <w:fldChar w:fldCharType="separate"/>
            </w:r>
            <w:r w:rsidR="00674E2D" w:rsidRPr="00674E2D">
              <w:rPr>
                <w:noProof/>
                <w:webHidden/>
                <w:color w:val="000000" w:themeColor="text1"/>
              </w:rPr>
              <w:t>3</w:t>
            </w:r>
            <w:r w:rsidR="00674E2D" w:rsidRPr="00674E2D">
              <w:rPr>
                <w:noProof/>
                <w:webHidden/>
                <w:color w:val="000000" w:themeColor="text1"/>
              </w:rPr>
              <w:fldChar w:fldCharType="end"/>
            </w:r>
          </w:hyperlink>
        </w:p>
        <w:p w14:paraId="056B1C12" w14:textId="45412104" w:rsidR="00674E2D" w:rsidRPr="00674E2D" w:rsidRDefault="00161EB2" w:rsidP="00674E2D">
          <w:pPr>
            <w:pStyle w:val="TOC2"/>
            <w:tabs>
              <w:tab w:val="left" w:pos="880"/>
              <w:tab w:val="right" w:leader="dot" w:pos="9350"/>
            </w:tabs>
            <w:spacing w:after="40"/>
            <w:rPr>
              <w:rFonts w:asciiTheme="minorHAnsi" w:eastAsiaTheme="minorEastAsia" w:hAnsiTheme="minorHAnsi" w:cstheme="minorBidi"/>
              <w:noProof/>
              <w:color w:val="000000" w:themeColor="text1"/>
            </w:rPr>
          </w:pPr>
          <w:hyperlink w:anchor="_Toc53023224" w:history="1">
            <w:r w:rsidR="00674E2D" w:rsidRPr="00674E2D">
              <w:rPr>
                <w:rStyle w:val="Hyperlink"/>
                <w:noProof/>
                <w:color w:val="000000" w:themeColor="text1"/>
              </w:rPr>
              <w:t>4.1</w:t>
            </w:r>
            <w:r w:rsidR="00674E2D" w:rsidRPr="00674E2D">
              <w:rPr>
                <w:rFonts w:asciiTheme="minorHAnsi" w:eastAsiaTheme="minorEastAsia" w:hAnsiTheme="minorHAnsi" w:cstheme="minorBidi"/>
                <w:noProof/>
                <w:color w:val="000000" w:themeColor="text1"/>
              </w:rPr>
              <w:tab/>
            </w:r>
            <w:r w:rsidR="00674E2D" w:rsidRPr="00674E2D">
              <w:rPr>
                <w:rStyle w:val="Hyperlink"/>
                <w:noProof/>
                <w:color w:val="000000" w:themeColor="text1"/>
              </w:rPr>
              <w:t>Use Data (as Defined on Registered Product Labels)</w:t>
            </w:r>
            <w:r w:rsidR="00674E2D" w:rsidRPr="00674E2D">
              <w:rPr>
                <w:noProof/>
                <w:webHidden/>
                <w:color w:val="000000" w:themeColor="text1"/>
              </w:rPr>
              <w:tab/>
            </w:r>
            <w:r w:rsidR="00674E2D" w:rsidRPr="00674E2D">
              <w:rPr>
                <w:noProof/>
                <w:webHidden/>
                <w:color w:val="000000" w:themeColor="text1"/>
              </w:rPr>
              <w:fldChar w:fldCharType="begin"/>
            </w:r>
            <w:r w:rsidR="00674E2D" w:rsidRPr="00674E2D">
              <w:rPr>
                <w:noProof/>
                <w:webHidden/>
                <w:color w:val="000000" w:themeColor="text1"/>
              </w:rPr>
              <w:instrText xml:space="preserve"> PAGEREF _Toc53023224 \h </w:instrText>
            </w:r>
            <w:r w:rsidR="00674E2D" w:rsidRPr="00674E2D">
              <w:rPr>
                <w:noProof/>
                <w:webHidden/>
                <w:color w:val="000000" w:themeColor="text1"/>
              </w:rPr>
            </w:r>
            <w:r w:rsidR="00674E2D" w:rsidRPr="00674E2D">
              <w:rPr>
                <w:noProof/>
                <w:webHidden/>
                <w:color w:val="000000" w:themeColor="text1"/>
              </w:rPr>
              <w:fldChar w:fldCharType="separate"/>
            </w:r>
            <w:r w:rsidR="00674E2D" w:rsidRPr="00674E2D">
              <w:rPr>
                <w:noProof/>
                <w:webHidden/>
                <w:color w:val="000000" w:themeColor="text1"/>
              </w:rPr>
              <w:t>3</w:t>
            </w:r>
            <w:r w:rsidR="00674E2D" w:rsidRPr="00674E2D">
              <w:rPr>
                <w:noProof/>
                <w:webHidden/>
                <w:color w:val="000000" w:themeColor="text1"/>
              </w:rPr>
              <w:fldChar w:fldCharType="end"/>
            </w:r>
          </w:hyperlink>
        </w:p>
        <w:p w14:paraId="79209888" w14:textId="457A8F53" w:rsidR="00674E2D" w:rsidRPr="00674E2D" w:rsidRDefault="00161EB2" w:rsidP="00674E2D">
          <w:pPr>
            <w:pStyle w:val="TOC2"/>
            <w:tabs>
              <w:tab w:val="left" w:pos="880"/>
              <w:tab w:val="right" w:leader="dot" w:pos="9350"/>
            </w:tabs>
            <w:spacing w:after="40"/>
            <w:rPr>
              <w:rFonts w:asciiTheme="minorHAnsi" w:eastAsiaTheme="minorEastAsia" w:hAnsiTheme="minorHAnsi" w:cstheme="minorBidi"/>
              <w:noProof/>
              <w:color w:val="000000" w:themeColor="text1"/>
            </w:rPr>
          </w:pPr>
          <w:hyperlink w:anchor="_Toc53023225" w:history="1">
            <w:r w:rsidR="00674E2D" w:rsidRPr="00674E2D">
              <w:rPr>
                <w:rStyle w:val="Hyperlink"/>
                <w:noProof/>
                <w:color w:val="000000" w:themeColor="text1"/>
              </w:rPr>
              <w:t>4.2</w:t>
            </w:r>
            <w:r w:rsidR="00674E2D" w:rsidRPr="00674E2D">
              <w:rPr>
                <w:rFonts w:asciiTheme="minorHAnsi" w:eastAsiaTheme="minorEastAsia" w:hAnsiTheme="minorHAnsi" w:cstheme="minorBidi"/>
                <w:noProof/>
                <w:color w:val="000000" w:themeColor="text1"/>
              </w:rPr>
              <w:tab/>
            </w:r>
            <w:r w:rsidR="00674E2D" w:rsidRPr="00674E2D">
              <w:rPr>
                <w:rStyle w:val="Hyperlink"/>
                <w:noProof/>
                <w:color w:val="000000" w:themeColor="text1"/>
              </w:rPr>
              <w:t>Usage Data</w:t>
            </w:r>
            <w:r w:rsidR="00674E2D" w:rsidRPr="00674E2D">
              <w:rPr>
                <w:noProof/>
                <w:webHidden/>
                <w:color w:val="000000" w:themeColor="text1"/>
              </w:rPr>
              <w:tab/>
            </w:r>
            <w:r w:rsidR="00674E2D" w:rsidRPr="00674E2D">
              <w:rPr>
                <w:noProof/>
                <w:webHidden/>
                <w:color w:val="000000" w:themeColor="text1"/>
              </w:rPr>
              <w:fldChar w:fldCharType="begin"/>
            </w:r>
            <w:r w:rsidR="00674E2D" w:rsidRPr="00674E2D">
              <w:rPr>
                <w:noProof/>
                <w:webHidden/>
                <w:color w:val="000000" w:themeColor="text1"/>
              </w:rPr>
              <w:instrText xml:space="preserve"> PAGEREF _Toc53023225 \h </w:instrText>
            </w:r>
            <w:r w:rsidR="00674E2D" w:rsidRPr="00674E2D">
              <w:rPr>
                <w:noProof/>
                <w:webHidden/>
                <w:color w:val="000000" w:themeColor="text1"/>
              </w:rPr>
            </w:r>
            <w:r w:rsidR="00674E2D" w:rsidRPr="00674E2D">
              <w:rPr>
                <w:noProof/>
                <w:webHidden/>
                <w:color w:val="000000" w:themeColor="text1"/>
              </w:rPr>
              <w:fldChar w:fldCharType="separate"/>
            </w:r>
            <w:r w:rsidR="00674E2D" w:rsidRPr="00674E2D">
              <w:rPr>
                <w:noProof/>
                <w:webHidden/>
                <w:color w:val="000000" w:themeColor="text1"/>
              </w:rPr>
              <w:t>3</w:t>
            </w:r>
            <w:r w:rsidR="00674E2D" w:rsidRPr="00674E2D">
              <w:rPr>
                <w:noProof/>
                <w:webHidden/>
                <w:color w:val="000000" w:themeColor="text1"/>
              </w:rPr>
              <w:fldChar w:fldCharType="end"/>
            </w:r>
          </w:hyperlink>
        </w:p>
        <w:p w14:paraId="728889DF" w14:textId="6C3AEEE5" w:rsidR="00674E2D" w:rsidRPr="00674E2D" w:rsidRDefault="00161EB2" w:rsidP="00674E2D">
          <w:pPr>
            <w:pStyle w:val="TOC1"/>
            <w:spacing w:after="40"/>
            <w:rPr>
              <w:rFonts w:asciiTheme="minorHAnsi" w:eastAsiaTheme="minorEastAsia" w:hAnsiTheme="minorHAnsi" w:cstheme="minorBidi"/>
              <w:noProof/>
              <w:color w:val="000000" w:themeColor="text1"/>
            </w:rPr>
          </w:pPr>
          <w:hyperlink w:anchor="_Toc53023226" w:history="1">
            <w:r w:rsidR="00674E2D" w:rsidRPr="00674E2D">
              <w:rPr>
                <w:rStyle w:val="Hyperlink"/>
                <w:noProof/>
                <w:color w:val="000000" w:themeColor="text1"/>
              </w:rPr>
              <w:t>5</w:t>
            </w:r>
            <w:r w:rsidR="00674E2D" w:rsidRPr="00674E2D">
              <w:rPr>
                <w:rFonts w:asciiTheme="minorHAnsi" w:eastAsiaTheme="minorEastAsia" w:hAnsiTheme="minorHAnsi" w:cstheme="minorBidi"/>
                <w:noProof/>
                <w:color w:val="000000" w:themeColor="text1"/>
              </w:rPr>
              <w:tab/>
            </w:r>
            <w:r w:rsidR="00674E2D" w:rsidRPr="00674E2D">
              <w:rPr>
                <w:rStyle w:val="Hyperlink"/>
                <w:noProof/>
                <w:color w:val="000000" w:themeColor="text1"/>
              </w:rPr>
              <w:t>Overview of Environmental Fate</w:t>
            </w:r>
            <w:r w:rsidR="00674E2D" w:rsidRPr="00674E2D">
              <w:rPr>
                <w:noProof/>
                <w:webHidden/>
                <w:color w:val="000000" w:themeColor="text1"/>
              </w:rPr>
              <w:tab/>
            </w:r>
            <w:r w:rsidR="00674E2D" w:rsidRPr="00674E2D">
              <w:rPr>
                <w:noProof/>
                <w:webHidden/>
                <w:color w:val="000000" w:themeColor="text1"/>
              </w:rPr>
              <w:fldChar w:fldCharType="begin"/>
            </w:r>
            <w:r w:rsidR="00674E2D" w:rsidRPr="00674E2D">
              <w:rPr>
                <w:noProof/>
                <w:webHidden/>
                <w:color w:val="000000" w:themeColor="text1"/>
              </w:rPr>
              <w:instrText xml:space="preserve"> PAGEREF _Toc53023226 \h </w:instrText>
            </w:r>
            <w:r w:rsidR="00674E2D" w:rsidRPr="00674E2D">
              <w:rPr>
                <w:noProof/>
                <w:webHidden/>
                <w:color w:val="000000" w:themeColor="text1"/>
              </w:rPr>
            </w:r>
            <w:r w:rsidR="00674E2D" w:rsidRPr="00674E2D">
              <w:rPr>
                <w:noProof/>
                <w:webHidden/>
                <w:color w:val="000000" w:themeColor="text1"/>
              </w:rPr>
              <w:fldChar w:fldCharType="separate"/>
            </w:r>
            <w:r w:rsidR="00674E2D" w:rsidRPr="00674E2D">
              <w:rPr>
                <w:noProof/>
                <w:webHidden/>
                <w:color w:val="000000" w:themeColor="text1"/>
              </w:rPr>
              <w:t>4</w:t>
            </w:r>
            <w:r w:rsidR="00674E2D" w:rsidRPr="00674E2D">
              <w:rPr>
                <w:noProof/>
                <w:webHidden/>
                <w:color w:val="000000" w:themeColor="text1"/>
              </w:rPr>
              <w:fldChar w:fldCharType="end"/>
            </w:r>
          </w:hyperlink>
        </w:p>
        <w:p w14:paraId="7B1E2293" w14:textId="331BB0A3" w:rsidR="00674E2D" w:rsidRPr="00674E2D" w:rsidRDefault="00161EB2" w:rsidP="00674E2D">
          <w:pPr>
            <w:pStyle w:val="TOC1"/>
            <w:spacing w:after="40"/>
            <w:rPr>
              <w:rFonts w:asciiTheme="minorHAnsi" w:eastAsiaTheme="minorEastAsia" w:hAnsiTheme="minorHAnsi" w:cstheme="minorBidi"/>
              <w:noProof/>
              <w:color w:val="000000" w:themeColor="text1"/>
            </w:rPr>
          </w:pPr>
          <w:hyperlink w:anchor="_Toc53023227" w:history="1">
            <w:r w:rsidR="00674E2D" w:rsidRPr="00674E2D">
              <w:rPr>
                <w:rStyle w:val="Hyperlink"/>
                <w:noProof/>
                <w:color w:val="000000" w:themeColor="text1"/>
              </w:rPr>
              <w:t>6</w:t>
            </w:r>
            <w:r w:rsidR="00674E2D" w:rsidRPr="00674E2D">
              <w:rPr>
                <w:rFonts w:asciiTheme="minorHAnsi" w:eastAsiaTheme="minorEastAsia" w:hAnsiTheme="minorHAnsi" w:cstheme="minorBidi"/>
                <w:noProof/>
                <w:color w:val="000000" w:themeColor="text1"/>
              </w:rPr>
              <w:tab/>
            </w:r>
            <w:r w:rsidR="00674E2D" w:rsidRPr="00674E2D">
              <w:rPr>
                <w:rStyle w:val="Hyperlink"/>
                <w:noProof/>
                <w:color w:val="000000" w:themeColor="text1"/>
              </w:rPr>
              <w:t>Residue of Concern</w:t>
            </w:r>
            <w:r w:rsidR="00674E2D" w:rsidRPr="00674E2D">
              <w:rPr>
                <w:noProof/>
                <w:webHidden/>
                <w:color w:val="000000" w:themeColor="text1"/>
              </w:rPr>
              <w:tab/>
            </w:r>
            <w:r w:rsidR="00674E2D" w:rsidRPr="00674E2D">
              <w:rPr>
                <w:noProof/>
                <w:webHidden/>
                <w:color w:val="000000" w:themeColor="text1"/>
              </w:rPr>
              <w:fldChar w:fldCharType="begin"/>
            </w:r>
            <w:r w:rsidR="00674E2D" w:rsidRPr="00674E2D">
              <w:rPr>
                <w:noProof/>
                <w:webHidden/>
                <w:color w:val="000000" w:themeColor="text1"/>
              </w:rPr>
              <w:instrText xml:space="preserve"> PAGEREF _Toc53023227 \h </w:instrText>
            </w:r>
            <w:r w:rsidR="00674E2D" w:rsidRPr="00674E2D">
              <w:rPr>
                <w:noProof/>
                <w:webHidden/>
                <w:color w:val="000000" w:themeColor="text1"/>
              </w:rPr>
            </w:r>
            <w:r w:rsidR="00674E2D" w:rsidRPr="00674E2D">
              <w:rPr>
                <w:noProof/>
                <w:webHidden/>
                <w:color w:val="000000" w:themeColor="text1"/>
              </w:rPr>
              <w:fldChar w:fldCharType="separate"/>
            </w:r>
            <w:r w:rsidR="00674E2D" w:rsidRPr="00674E2D">
              <w:rPr>
                <w:noProof/>
                <w:webHidden/>
                <w:color w:val="000000" w:themeColor="text1"/>
              </w:rPr>
              <w:t>4</w:t>
            </w:r>
            <w:r w:rsidR="00674E2D" w:rsidRPr="00674E2D">
              <w:rPr>
                <w:noProof/>
                <w:webHidden/>
                <w:color w:val="000000" w:themeColor="text1"/>
              </w:rPr>
              <w:fldChar w:fldCharType="end"/>
            </w:r>
          </w:hyperlink>
        </w:p>
        <w:p w14:paraId="4E215744" w14:textId="78E2963F" w:rsidR="00674E2D" w:rsidRPr="00674E2D" w:rsidRDefault="00161EB2" w:rsidP="00674E2D">
          <w:pPr>
            <w:pStyle w:val="TOC1"/>
            <w:spacing w:after="40"/>
            <w:rPr>
              <w:rFonts w:asciiTheme="minorHAnsi" w:eastAsiaTheme="minorEastAsia" w:hAnsiTheme="minorHAnsi" w:cstheme="minorBidi"/>
              <w:noProof/>
              <w:color w:val="000000" w:themeColor="text1"/>
            </w:rPr>
          </w:pPr>
          <w:hyperlink w:anchor="_Toc53023228" w:history="1">
            <w:r w:rsidR="00674E2D" w:rsidRPr="00674E2D">
              <w:rPr>
                <w:rStyle w:val="Hyperlink"/>
                <w:noProof/>
                <w:color w:val="000000" w:themeColor="text1"/>
              </w:rPr>
              <w:t>7</w:t>
            </w:r>
            <w:r w:rsidR="00674E2D" w:rsidRPr="00674E2D">
              <w:rPr>
                <w:rFonts w:asciiTheme="minorHAnsi" w:eastAsiaTheme="minorEastAsia" w:hAnsiTheme="minorHAnsi" w:cstheme="minorBidi"/>
                <w:noProof/>
                <w:color w:val="000000" w:themeColor="text1"/>
              </w:rPr>
              <w:tab/>
            </w:r>
            <w:r w:rsidR="00674E2D" w:rsidRPr="00674E2D">
              <w:rPr>
                <w:rStyle w:val="Hyperlink"/>
                <w:noProof/>
                <w:color w:val="000000" w:themeColor="text1"/>
              </w:rPr>
              <w:t>Analysis Plan</w:t>
            </w:r>
            <w:r w:rsidR="00674E2D" w:rsidRPr="00674E2D">
              <w:rPr>
                <w:noProof/>
                <w:webHidden/>
                <w:color w:val="000000" w:themeColor="text1"/>
              </w:rPr>
              <w:tab/>
            </w:r>
            <w:r w:rsidR="00674E2D" w:rsidRPr="00674E2D">
              <w:rPr>
                <w:noProof/>
                <w:webHidden/>
                <w:color w:val="000000" w:themeColor="text1"/>
              </w:rPr>
              <w:fldChar w:fldCharType="begin"/>
            </w:r>
            <w:r w:rsidR="00674E2D" w:rsidRPr="00674E2D">
              <w:rPr>
                <w:noProof/>
                <w:webHidden/>
                <w:color w:val="000000" w:themeColor="text1"/>
              </w:rPr>
              <w:instrText xml:space="preserve"> PAGEREF _Toc53023228 \h </w:instrText>
            </w:r>
            <w:r w:rsidR="00674E2D" w:rsidRPr="00674E2D">
              <w:rPr>
                <w:noProof/>
                <w:webHidden/>
                <w:color w:val="000000" w:themeColor="text1"/>
              </w:rPr>
            </w:r>
            <w:r w:rsidR="00674E2D" w:rsidRPr="00674E2D">
              <w:rPr>
                <w:noProof/>
                <w:webHidden/>
                <w:color w:val="000000" w:themeColor="text1"/>
              </w:rPr>
              <w:fldChar w:fldCharType="separate"/>
            </w:r>
            <w:r w:rsidR="00674E2D" w:rsidRPr="00674E2D">
              <w:rPr>
                <w:noProof/>
                <w:webHidden/>
                <w:color w:val="000000" w:themeColor="text1"/>
              </w:rPr>
              <w:t>5</w:t>
            </w:r>
            <w:r w:rsidR="00674E2D" w:rsidRPr="00674E2D">
              <w:rPr>
                <w:noProof/>
                <w:webHidden/>
                <w:color w:val="000000" w:themeColor="text1"/>
              </w:rPr>
              <w:fldChar w:fldCharType="end"/>
            </w:r>
          </w:hyperlink>
        </w:p>
        <w:p w14:paraId="7115FD99" w14:textId="701D9AE6" w:rsidR="006A290E" w:rsidRDefault="006A290E" w:rsidP="006A290E">
          <w:pPr>
            <w:rPr>
              <w:b/>
              <w:bCs/>
              <w:noProof/>
            </w:rPr>
          </w:pPr>
          <w:r>
            <w:rPr>
              <w:b/>
              <w:bCs/>
              <w:noProof/>
            </w:rPr>
            <w:fldChar w:fldCharType="end"/>
          </w:r>
        </w:p>
      </w:sdtContent>
    </w:sdt>
    <w:p w14:paraId="4DDB0BD1" w14:textId="77777777" w:rsidR="00674E2D" w:rsidRDefault="00674E2D">
      <w:pPr>
        <w:rPr>
          <w:color w:val="2E75B5"/>
          <w:sz w:val="24"/>
          <w:szCs w:val="28"/>
        </w:rPr>
      </w:pPr>
      <w:r>
        <w:br w:type="page"/>
      </w:r>
      <w:bookmarkStart w:id="3" w:name="_GoBack"/>
      <w:bookmarkEnd w:id="3"/>
    </w:p>
    <w:p w14:paraId="73AECF4A" w14:textId="453CF049" w:rsidR="006A290E" w:rsidRPr="00674E2D" w:rsidRDefault="006A290E" w:rsidP="00F97824">
      <w:pPr>
        <w:pStyle w:val="TOCHeading"/>
        <w:rPr>
          <w:color w:val="2F5496" w:themeColor="accent1" w:themeShade="BF"/>
        </w:rPr>
      </w:pPr>
      <w:bookmarkStart w:id="4" w:name="_Toc53023220"/>
      <w:r w:rsidRPr="00674E2D">
        <w:rPr>
          <w:color w:val="2F5496" w:themeColor="accent1" w:themeShade="BF"/>
        </w:rPr>
        <w:lastRenderedPageBreak/>
        <w:t>Introduction</w:t>
      </w:r>
      <w:bookmarkEnd w:id="4"/>
    </w:p>
    <w:p w14:paraId="0647C4AC" w14:textId="77777777" w:rsidR="00D858C8" w:rsidRDefault="00D858C8" w:rsidP="006A290E">
      <w:pPr>
        <w:spacing w:after="0" w:line="240" w:lineRule="auto"/>
      </w:pPr>
    </w:p>
    <w:p w14:paraId="58261892" w14:textId="044B1BA0" w:rsidR="006A290E" w:rsidRDefault="006A290E" w:rsidP="006A290E">
      <w:pPr>
        <w:spacing w:after="0" w:line="240" w:lineRule="auto"/>
        <w:rPr>
          <w:rStyle w:val="eop"/>
          <w:rFonts w:asciiTheme="minorHAnsi" w:hAnsiTheme="minorHAnsi" w:cstheme="minorHAnsi"/>
        </w:rPr>
      </w:pPr>
      <w:r>
        <w:rPr>
          <w:color w:val="000000" w:themeColor="text1"/>
        </w:rPr>
        <w:t>This</w:t>
      </w:r>
      <w:r w:rsidRPr="001561C2">
        <w:rPr>
          <w:color w:val="000000" w:themeColor="text1"/>
        </w:rPr>
        <w:t xml:space="preserve"> problem formulation provide</w:t>
      </w:r>
      <w:r>
        <w:rPr>
          <w:color w:val="000000" w:themeColor="text1"/>
        </w:rPr>
        <w:t>s</w:t>
      </w:r>
      <w:r w:rsidRPr="001561C2">
        <w:rPr>
          <w:color w:val="000000" w:themeColor="text1"/>
        </w:rPr>
        <w:t xml:space="preserve"> the foundation for </w:t>
      </w:r>
      <w:r>
        <w:rPr>
          <w:rStyle w:val="eop"/>
          <w:rFonts w:asciiTheme="minorHAnsi" w:hAnsiTheme="minorHAnsi" w:cstheme="minorHAnsi"/>
        </w:rPr>
        <w:t xml:space="preserve">the </w:t>
      </w:r>
      <w:r w:rsidR="00F97824">
        <w:rPr>
          <w:rStyle w:val="eop"/>
          <w:rFonts w:asciiTheme="minorHAnsi" w:hAnsiTheme="minorHAnsi" w:cstheme="minorHAnsi"/>
        </w:rPr>
        <w:t>propazine</w:t>
      </w:r>
      <w:r w:rsidRPr="001561C2">
        <w:rPr>
          <w:rStyle w:val="eop"/>
          <w:rFonts w:asciiTheme="minorHAnsi" w:hAnsiTheme="minorHAnsi" w:cstheme="minorHAnsi"/>
        </w:rPr>
        <w:t xml:space="preserve"> Biological Evaluation (BE) for all federally listed endangered and threatened species, as well as those that are proposed and candidates for listing and experimental populations (in sum referred to as “listed species”). This BE also includes </w:t>
      </w:r>
      <w:r>
        <w:rPr>
          <w:rStyle w:val="eop"/>
          <w:rFonts w:asciiTheme="minorHAnsi" w:hAnsiTheme="minorHAnsi" w:cstheme="minorHAnsi"/>
        </w:rPr>
        <w:t xml:space="preserve">an analysis of </w:t>
      </w:r>
      <w:r w:rsidRPr="001561C2">
        <w:rPr>
          <w:rStyle w:val="eop"/>
          <w:rFonts w:asciiTheme="minorHAnsi" w:hAnsiTheme="minorHAnsi" w:cstheme="minorHAnsi"/>
        </w:rPr>
        <w:t>designated critical habitats.</w:t>
      </w:r>
      <w:r w:rsidDel="004F4417">
        <w:t xml:space="preserve"> </w:t>
      </w:r>
      <w:r w:rsidRPr="001561C2">
        <w:rPr>
          <w:rFonts w:asciiTheme="minorHAnsi" w:hAnsiTheme="minorHAnsi" w:cstheme="minorHAnsi"/>
        </w:rPr>
        <w:t xml:space="preserve">The methods employed in this </w:t>
      </w:r>
      <w:r>
        <w:rPr>
          <w:rFonts w:asciiTheme="minorHAnsi" w:hAnsiTheme="minorHAnsi" w:cstheme="minorHAnsi"/>
        </w:rPr>
        <w:t>BE</w:t>
      </w:r>
      <w:r w:rsidRPr="001561C2">
        <w:rPr>
          <w:rFonts w:asciiTheme="minorHAnsi" w:hAnsiTheme="minorHAnsi" w:cstheme="minorHAnsi"/>
        </w:rPr>
        <w:t xml:space="preserve"> follow the </w:t>
      </w:r>
      <w:r w:rsidRPr="001561C2">
        <w:rPr>
          <w:rStyle w:val="normaltextrun"/>
          <w:rFonts w:asciiTheme="minorHAnsi" w:hAnsiTheme="minorHAnsi" w:cstheme="minorHAnsi"/>
          <w:bCs/>
        </w:rPr>
        <w:t>Revised Method</w:t>
      </w:r>
      <w:r w:rsidRPr="001561C2">
        <w:rPr>
          <w:rStyle w:val="eop"/>
          <w:rFonts w:asciiTheme="minorHAnsi" w:hAnsiTheme="minorHAnsi" w:cstheme="minorHAnsi"/>
        </w:rPr>
        <w:t> </w:t>
      </w:r>
      <w:r w:rsidRPr="001561C2">
        <w:rPr>
          <w:rStyle w:val="normaltextrun"/>
          <w:rFonts w:asciiTheme="minorHAnsi" w:hAnsiTheme="minorHAnsi" w:cstheme="minorHAnsi"/>
          <w:bCs/>
        </w:rPr>
        <w:t xml:space="preserve">for National Level </w:t>
      </w:r>
      <w:r>
        <w:rPr>
          <w:rStyle w:val="normaltextrun"/>
          <w:rFonts w:asciiTheme="minorHAnsi" w:hAnsiTheme="minorHAnsi" w:cstheme="minorHAnsi"/>
          <w:bCs/>
        </w:rPr>
        <w:t>Listed</w:t>
      </w:r>
      <w:r w:rsidRPr="001561C2">
        <w:rPr>
          <w:rStyle w:val="normaltextrun"/>
          <w:rFonts w:asciiTheme="minorHAnsi" w:hAnsiTheme="minorHAnsi" w:cstheme="minorHAnsi"/>
          <w:bCs/>
        </w:rPr>
        <w:t xml:space="preserve"> Species Biological Evaluations</w:t>
      </w:r>
      <w:r>
        <w:rPr>
          <w:rStyle w:val="normaltextrun"/>
          <w:rFonts w:asciiTheme="minorHAnsi" w:hAnsiTheme="minorHAnsi" w:cstheme="minorHAnsi"/>
          <w:bCs/>
        </w:rPr>
        <w:t xml:space="preserve"> o</w:t>
      </w:r>
      <w:r w:rsidRPr="001561C2">
        <w:rPr>
          <w:rStyle w:val="normaltextrun"/>
          <w:rFonts w:asciiTheme="minorHAnsi" w:hAnsiTheme="minorHAnsi" w:cstheme="minorHAnsi"/>
          <w:bCs/>
        </w:rPr>
        <w:t>f Conventional Pesticides</w:t>
      </w:r>
      <w:r w:rsidRPr="001561C2">
        <w:rPr>
          <w:rStyle w:val="eop"/>
          <w:rFonts w:asciiTheme="minorHAnsi" w:hAnsiTheme="minorHAnsi" w:cstheme="minorHAnsi"/>
        </w:rPr>
        <w:t> (referred to as the “</w:t>
      </w:r>
      <w:r>
        <w:rPr>
          <w:rStyle w:val="eop"/>
          <w:rFonts w:asciiTheme="minorHAnsi" w:hAnsiTheme="minorHAnsi" w:cstheme="minorHAnsi"/>
        </w:rPr>
        <w:t>R</w:t>
      </w:r>
      <w:r w:rsidRPr="001561C2">
        <w:rPr>
          <w:rStyle w:val="eop"/>
          <w:rFonts w:asciiTheme="minorHAnsi" w:hAnsiTheme="minorHAnsi" w:cstheme="minorHAnsi"/>
        </w:rPr>
        <w:t xml:space="preserve">evised </w:t>
      </w:r>
      <w:r>
        <w:rPr>
          <w:rStyle w:val="eop"/>
          <w:rFonts w:asciiTheme="minorHAnsi" w:hAnsiTheme="minorHAnsi" w:cstheme="minorHAnsi"/>
        </w:rPr>
        <w:t>M</w:t>
      </w:r>
      <w:r w:rsidRPr="001561C2">
        <w:rPr>
          <w:rStyle w:val="eop"/>
          <w:rFonts w:asciiTheme="minorHAnsi" w:hAnsiTheme="minorHAnsi" w:cstheme="minorHAnsi"/>
        </w:rPr>
        <w:t>ethod”)</w:t>
      </w:r>
      <w:r>
        <w:rPr>
          <w:rStyle w:val="FootnoteReference"/>
          <w:rFonts w:asciiTheme="minorHAnsi" w:hAnsiTheme="minorHAnsi" w:cstheme="minorHAnsi"/>
        </w:rPr>
        <w:footnoteReference w:id="2"/>
      </w:r>
      <w:r w:rsidRPr="001561C2">
        <w:rPr>
          <w:rStyle w:val="eop"/>
          <w:rFonts w:asciiTheme="minorHAnsi" w:hAnsiTheme="minorHAnsi" w:cstheme="minorHAnsi"/>
        </w:rPr>
        <w:t xml:space="preserve">. The assessment for </w:t>
      </w:r>
      <w:r w:rsidR="00F97824">
        <w:rPr>
          <w:rStyle w:val="eop"/>
          <w:rFonts w:asciiTheme="minorHAnsi" w:hAnsiTheme="minorHAnsi" w:cstheme="minorHAnsi"/>
        </w:rPr>
        <w:t>propazine</w:t>
      </w:r>
      <w:r w:rsidRPr="001561C2">
        <w:rPr>
          <w:rStyle w:val="eop"/>
          <w:rFonts w:asciiTheme="minorHAnsi" w:hAnsiTheme="minorHAnsi" w:cstheme="minorHAnsi"/>
        </w:rPr>
        <w:t xml:space="preserve"> represents EPA’s Biological Evaluation (BE) for all listed species</w:t>
      </w:r>
      <w:r>
        <w:rPr>
          <w:rStyle w:val="eop"/>
          <w:rFonts w:asciiTheme="minorHAnsi" w:hAnsiTheme="minorHAnsi" w:cstheme="minorHAnsi"/>
        </w:rPr>
        <w:t xml:space="preserve"> and </w:t>
      </w:r>
      <w:r w:rsidRPr="001561C2">
        <w:rPr>
          <w:rStyle w:val="eop"/>
          <w:rFonts w:asciiTheme="minorHAnsi" w:hAnsiTheme="minorHAnsi" w:cstheme="minorHAnsi"/>
        </w:rPr>
        <w:t xml:space="preserve">designated critical habitats. </w:t>
      </w:r>
      <w:r>
        <w:rPr>
          <w:rStyle w:val="eop"/>
          <w:rFonts w:asciiTheme="minorHAnsi" w:hAnsiTheme="minorHAnsi" w:cstheme="minorHAnsi"/>
        </w:rPr>
        <w:t xml:space="preserve"> </w:t>
      </w:r>
    </w:p>
    <w:p w14:paraId="48896B03" w14:textId="77777777" w:rsidR="006A290E" w:rsidRDefault="006A290E" w:rsidP="006A290E">
      <w:pPr>
        <w:spacing w:after="0" w:line="240" w:lineRule="auto"/>
      </w:pPr>
    </w:p>
    <w:p w14:paraId="5ADB20FD" w14:textId="14ECA331" w:rsidR="006A290E" w:rsidRDefault="006A290E" w:rsidP="006A290E">
      <w:pPr>
        <w:spacing w:after="0" w:line="240" w:lineRule="auto"/>
        <w:rPr>
          <w:color w:val="000000" w:themeColor="text1"/>
        </w:rPr>
      </w:pPr>
      <w:r>
        <w:rPr>
          <w:color w:val="000000" w:themeColor="text1"/>
        </w:rPr>
        <w:t xml:space="preserve">Included in this chapter is a description of the federal action; the mode and mechanism of action of </w:t>
      </w:r>
      <w:r w:rsidR="00F97824">
        <w:rPr>
          <w:color w:val="000000" w:themeColor="text1"/>
        </w:rPr>
        <w:t>propazine</w:t>
      </w:r>
      <w:r>
        <w:rPr>
          <w:color w:val="000000" w:themeColor="text1"/>
        </w:rPr>
        <w:t>; summaries of its uses (based on registered product labels</w:t>
      </w:r>
      <w:r w:rsidR="00241525">
        <w:rPr>
          <w:color w:val="000000" w:themeColor="text1"/>
        </w:rPr>
        <w:t xml:space="preserve"> and commitment letters </w:t>
      </w:r>
      <w:r w:rsidR="007246A8">
        <w:rPr>
          <w:color w:val="000000" w:themeColor="text1"/>
        </w:rPr>
        <w:t>from all technical registrants</w:t>
      </w:r>
      <w:r>
        <w:rPr>
          <w:color w:val="000000" w:themeColor="text1"/>
        </w:rPr>
        <w:t>), usage</w:t>
      </w:r>
      <w:r w:rsidR="007246A8">
        <w:rPr>
          <w:color w:val="000000" w:themeColor="text1"/>
        </w:rPr>
        <w:t>,</w:t>
      </w:r>
      <w:r>
        <w:rPr>
          <w:color w:val="000000" w:themeColor="text1"/>
        </w:rPr>
        <w:t xml:space="preserve"> and fate; definition of the residue of concern</w:t>
      </w:r>
      <w:r w:rsidR="007246A8">
        <w:rPr>
          <w:color w:val="000000" w:themeColor="text1"/>
        </w:rPr>
        <w:t xml:space="preserve"> and</w:t>
      </w:r>
      <w:r>
        <w:rPr>
          <w:color w:val="000000" w:themeColor="text1"/>
        </w:rPr>
        <w:t xml:space="preserve"> an analysis plan for how the </w:t>
      </w:r>
      <w:r w:rsidR="007246A8">
        <w:rPr>
          <w:color w:val="000000" w:themeColor="text1"/>
        </w:rPr>
        <w:t>BE</w:t>
      </w:r>
      <w:r>
        <w:rPr>
          <w:color w:val="000000" w:themeColor="text1"/>
        </w:rPr>
        <w:t xml:space="preserve"> will be conducted</w:t>
      </w:r>
      <w:r w:rsidRPr="00C67EFD">
        <w:rPr>
          <w:color w:val="000000" w:themeColor="text1"/>
        </w:rPr>
        <w:t xml:space="preserve">. </w:t>
      </w:r>
      <w:r w:rsidRPr="00DD0C13">
        <w:rPr>
          <w:color w:val="000000" w:themeColor="text1"/>
        </w:rPr>
        <w:t xml:space="preserve">As part of the </w:t>
      </w:r>
      <w:r>
        <w:rPr>
          <w:color w:val="000000" w:themeColor="text1"/>
        </w:rPr>
        <w:t xml:space="preserve">FIFRA </w:t>
      </w:r>
      <w:r w:rsidRPr="00DD0C13">
        <w:rPr>
          <w:color w:val="000000" w:themeColor="text1"/>
        </w:rPr>
        <w:t xml:space="preserve">registration review process, a detailed Problem Formulation for the </w:t>
      </w:r>
      <w:r>
        <w:rPr>
          <w:color w:val="000000" w:themeColor="text1"/>
        </w:rPr>
        <w:t xml:space="preserve">FIFRA </w:t>
      </w:r>
      <w:r w:rsidRPr="00DD0C13">
        <w:rPr>
          <w:color w:val="000000" w:themeColor="text1"/>
        </w:rPr>
        <w:t xml:space="preserve">ecological risk assessment of </w:t>
      </w:r>
      <w:r w:rsidR="00F97824">
        <w:rPr>
          <w:color w:val="000000" w:themeColor="text1"/>
        </w:rPr>
        <w:t>propazine</w:t>
      </w:r>
      <w:r w:rsidRPr="00DD0C13">
        <w:rPr>
          <w:color w:val="000000" w:themeColor="text1"/>
        </w:rPr>
        <w:t xml:space="preserve"> was finalized in </w:t>
      </w:r>
      <w:r w:rsidR="00946398">
        <w:rPr>
          <w:color w:val="000000" w:themeColor="text1"/>
        </w:rPr>
        <w:t>February</w:t>
      </w:r>
      <w:r w:rsidRPr="00DD0C13">
        <w:rPr>
          <w:color w:val="000000" w:themeColor="text1"/>
        </w:rPr>
        <w:t xml:space="preserve"> 201</w:t>
      </w:r>
      <w:r w:rsidR="00946398">
        <w:rPr>
          <w:color w:val="000000" w:themeColor="text1"/>
        </w:rPr>
        <w:t>3</w:t>
      </w:r>
      <w:r w:rsidRPr="00DD0C13">
        <w:rPr>
          <w:rStyle w:val="FootnoteReference"/>
          <w:color w:val="000000" w:themeColor="text1"/>
        </w:rPr>
        <w:footnoteReference w:id="3"/>
      </w:r>
      <w:r w:rsidRPr="00DD0C13">
        <w:rPr>
          <w:color w:val="000000" w:themeColor="text1"/>
        </w:rPr>
        <w:t xml:space="preserve"> </w:t>
      </w:r>
      <w:r w:rsidRPr="00DD0C13">
        <w:rPr>
          <w:color w:val="000000" w:themeColor="text1"/>
        </w:rPr>
        <w:fldChar w:fldCharType="begin"/>
      </w:r>
      <w:r w:rsidRPr="00DD0C13">
        <w:rPr>
          <w:color w:val="000000" w:themeColor="text1"/>
        </w:rPr>
        <w:instrText xml:space="preserve"> ADDIN EN.CITE &lt;EndNote&gt;&lt;Cite&gt;&lt;Author&gt;USEPA&lt;/Author&gt;&lt;Year&gt;2010&lt;/Year&gt;&lt;RecNum&gt;5223&lt;/RecNum&gt;&lt;DisplayText&gt;(USEPA, 2010, DP Barcode D374937)&lt;/DisplayText&gt;&lt;record&gt;&lt;rec-number&gt;5223&lt;/rec-number&gt;&lt;foreign-keys&gt;&lt;key app="EN" db-id="s0xer2w2o0xwx3e0a0tx0sz3zradttw529er" timestamp="1580839586" guid="b6e25a9c-25a8-4d8d-a439-185720ebd046"&gt;5223&lt;/key&gt;&lt;/foreign-keys&gt;&lt;ref-type name="EPA Document"&gt;51&lt;/ref-type&gt;&lt;contributors&gt;&lt;authors&gt;&lt;author&gt;USEPA&lt;/author&gt;&lt;/authors&gt;&lt;/contributors&gt;&lt;titles&gt;&lt;title&gt;Registration Review - Preliminary Problem Formulatoin for Ecological Risk and Environmental Fate, Endangered Species, and Drinking Water Assessments for Carbaryl (PC Code 056801; DP barcode D374937)&lt;/title&gt;&lt;secondary-title&gt;September 3, 2010&lt;/secondary-title&gt;&lt;tertiary-title&gt;Environmental Fate and Effects Division. Office of Pesticide Programs. U.S. Environmental Protection Agency&lt;/tertiary-title&gt;&lt;/titles&gt;&lt;dates&gt;&lt;year&gt;2010&lt;/year&gt;&lt;/dates&gt;&lt;urls&gt;&lt;related-urls&gt;&lt;url&gt;https://www.regulations.gov/document?D=EPA-HQ-OPP-2010-0230-0004&lt;/url&gt;&lt;/related-urls&gt;&lt;/urls&gt;&lt;custom1&gt;DP Barcode D374937&lt;/custom1&gt;&lt;access-date&gt;February 2020&lt;/access-date&gt;&lt;/record&gt;&lt;/Cite&gt;&lt;/EndNote&gt;</w:instrText>
      </w:r>
      <w:r w:rsidRPr="00DD0C13">
        <w:rPr>
          <w:color w:val="000000" w:themeColor="text1"/>
        </w:rPr>
        <w:fldChar w:fldCharType="separate"/>
      </w:r>
      <w:r w:rsidRPr="00DD0C13">
        <w:rPr>
          <w:noProof/>
          <w:color w:val="000000" w:themeColor="text1"/>
        </w:rPr>
        <w:t>(USEPA, 201</w:t>
      </w:r>
      <w:r w:rsidR="00946398">
        <w:rPr>
          <w:noProof/>
          <w:color w:val="000000" w:themeColor="text1"/>
        </w:rPr>
        <w:t>3</w:t>
      </w:r>
      <w:r w:rsidRPr="00DD0C13">
        <w:rPr>
          <w:noProof/>
          <w:color w:val="000000" w:themeColor="text1"/>
        </w:rPr>
        <w:t xml:space="preserve">, DP Barcode </w:t>
      </w:r>
      <w:r w:rsidRPr="00946398">
        <w:rPr>
          <w:noProof/>
          <w:color w:val="000000" w:themeColor="text1"/>
        </w:rPr>
        <w:t>D</w:t>
      </w:r>
      <w:r w:rsidR="00946398" w:rsidRPr="00946398">
        <w:rPr>
          <w:noProof/>
          <w:color w:val="000000" w:themeColor="text1"/>
        </w:rPr>
        <w:t>40</w:t>
      </w:r>
      <w:r w:rsidR="00946398">
        <w:rPr>
          <w:noProof/>
          <w:color w:val="000000" w:themeColor="text1"/>
        </w:rPr>
        <w:t>7255</w:t>
      </w:r>
      <w:r w:rsidRPr="00DD0C13">
        <w:rPr>
          <w:noProof/>
          <w:color w:val="000000" w:themeColor="text1"/>
        </w:rPr>
        <w:t>)</w:t>
      </w:r>
      <w:r w:rsidRPr="00DD0C13">
        <w:rPr>
          <w:color w:val="000000" w:themeColor="text1"/>
        </w:rPr>
        <w:fldChar w:fldCharType="end"/>
      </w:r>
      <w:r w:rsidRPr="00DD0C13">
        <w:rPr>
          <w:color w:val="000000" w:themeColor="text1"/>
        </w:rPr>
        <w:t>.</w:t>
      </w:r>
      <w:r>
        <w:rPr>
          <w:color w:val="000000" w:themeColor="text1"/>
        </w:rPr>
        <w:t xml:space="preserve"> The problem formulation considered data needs for both a FIFRA ecological risk assessment and an assessment for potential impacts on listed species.</w:t>
      </w:r>
    </w:p>
    <w:p w14:paraId="238D6E04" w14:textId="67612EF5" w:rsidR="006A290E" w:rsidRDefault="006A290E" w:rsidP="006A290E">
      <w:pPr>
        <w:spacing w:after="0" w:line="240" w:lineRule="auto"/>
        <w:rPr>
          <w:color w:val="000000" w:themeColor="text1"/>
        </w:rPr>
      </w:pPr>
    </w:p>
    <w:p w14:paraId="16536BA3" w14:textId="77777777" w:rsidR="00674E2D" w:rsidRDefault="00674E2D" w:rsidP="006A290E">
      <w:pPr>
        <w:spacing w:after="0" w:line="240" w:lineRule="auto"/>
        <w:rPr>
          <w:color w:val="000000" w:themeColor="text1"/>
        </w:rPr>
      </w:pPr>
    </w:p>
    <w:p w14:paraId="03C25CB5" w14:textId="77777777" w:rsidR="006A290E" w:rsidRPr="00674E2D" w:rsidRDefault="006A290E" w:rsidP="006A290E">
      <w:pPr>
        <w:pStyle w:val="TOCHeading"/>
        <w:rPr>
          <w:color w:val="2F5496" w:themeColor="accent1" w:themeShade="BF"/>
        </w:rPr>
      </w:pPr>
      <w:bookmarkStart w:id="5" w:name="_Toc53023221"/>
      <w:bookmarkEnd w:id="2"/>
      <w:r w:rsidRPr="00674E2D">
        <w:rPr>
          <w:color w:val="2F5496" w:themeColor="accent1" w:themeShade="BF"/>
        </w:rPr>
        <w:t>Description of the Federal Action</w:t>
      </w:r>
      <w:bookmarkEnd w:id="5"/>
      <w:r w:rsidRPr="00674E2D">
        <w:rPr>
          <w:color w:val="2F5496" w:themeColor="accent1" w:themeShade="BF"/>
        </w:rPr>
        <w:t xml:space="preserve"> </w:t>
      </w:r>
    </w:p>
    <w:p w14:paraId="526B49A5" w14:textId="77777777" w:rsidR="006A290E" w:rsidRDefault="006A290E" w:rsidP="006A290E">
      <w:pPr>
        <w:keepNext/>
        <w:spacing w:after="0" w:line="240" w:lineRule="auto"/>
      </w:pPr>
    </w:p>
    <w:p w14:paraId="78F51A20" w14:textId="677CCBB8" w:rsidR="006A290E" w:rsidRDefault="006A290E" w:rsidP="006A290E">
      <w:pPr>
        <w:keepNext/>
        <w:spacing w:after="0" w:line="240" w:lineRule="auto"/>
      </w:pPr>
      <w:r w:rsidRPr="001561C2">
        <w:t>In 2006,</w:t>
      </w:r>
      <w:r w:rsidR="00C4422B">
        <w:t xml:space="preserve"> the</w:t>
      </w:r>
      <w:r w:rsidRPr="001561C2">
        <w:t xml:space="preserve"> U.S. Environmental Protection Agency </w:t>
      </w:r>
      <w:r>
        <w:t>(</w:t>
      </w:r>
      <w:r w:rsidRPr="001561C2">
        <w:t>EPA</w:t>
      </w:r>
      <w:r>
        <w:t>)</w:t>
      </w:r>
      <w:r w:rsidRPr="001561C2">
        <w:t xml:space="preserve"> initiated Registration Review to reevaluate all </w:t>
      </w:r>
      <w:r w:rsidR="007246A8">
        <w:t xml:space="preserve">registered </w:t>
      </w:r>
      <w:r w:rsidRPr="001561C2">
        <w:t>pesticide</w:t>
      </w:r>
      <w:r w:rsidR="007246A8">
        <w:t xml:space="preserve"> active ingredient</w:t>
      </w:r>
      <w:r w:rsidRPr="001561C2">
        <w:t xml:space="preserve">s on a regular cycle. EPA is required to review each pesticide active ingredient at least every 15 years to make sure that </w:t>
      </w:r>
      <w:r>
        <w:t>it h</w:t>
      </w:r>
      <w:r w:rsidRPr="001561C2">
        <w:t xml:space="preserve">as the ability to assess risks to human health and the environment </w:t>
      </w:r>
      <w:r>
        <w:t xml:space="preserve">as science </w:t>
      </w:r>
      <w:r w:rsidRPr="001561C2">
        <w:t xml:space="preserve">evolves and policies and practices </w:t>
      </w:r>
      <w:r>
        <w:t xml:space="preserve">may </w:t>
      </w:r>
      <w:r w:rsidRPr="001561C2">
        <w:t xml:space="preserve">change, </w:t>
      </w:r>
      <w:bookmarkStart w:id="6" w:name="_Hlk33448916"/>
      <w:r w:rsidRPr="001561C2">
        <w:t xml:space="preserve">all pesticide products in the marketplace  </w:t>
      </w:r>
      <w:r>
        <w:t>continue to meet the standard of registration</w:t>
      </w:r>
      <w:bookmarkEnd w:id="6"/>
      <w:r w:rsidRPr="001561C2">
        <w:t xml:space="preserve">. Registration </w:t>
      </w:r>
      <w:r>
        <w:t>R</w:t>
      </w:r>
      <w:r w:rsidRPr="001561C2">
        <w:t xml:space="preserve">eview includes labels registered under Sections 3, 24(c), and 18 of </w:t>
      </w:r>
      <w:r w:rsidRPr="001561C2">
        <w:rPr>
          <w:color w:val="000000" w:themeColor="text1"/>
        </w:rPr>
        <w:t>FIFRA</w:t>
      </w:r>
      <w:r w:rsidRPr="001561C2">
        <w:t xml:space="preserve">.  </w:t>
      </w:r>
      <w:r>
        <w:t xml:space="preserve">The federal action </w:t>
      </w:r>
      <w:r w:rsidR="007246A8">
        <w:t>relevant to this BE is the</w:t>
      </w:r>
      <w:r>
        <w:t xml:space="preserve"> Registration Review for </w:t>
      </w:r>
      <w:r w:rsidR="00F97824">
        <w:t>propazine</w:t>
      </w:r>
      <w:r w:rsidR="007246A8">
        <w:t>, which</w:t>
      </w:r>
      <w:r>
        <w:t xml:space="preserve"> </w:t>
      </w:r>
      <w:r w:rsidRPr="001561C2">
        <w:t xml:space="preserve">encompasses the </w:t>
      </w:r>
      <w:r>
        <w:t xml:space="preserve">review of all the </w:t>
      </w:r>
      <w:r w:rsidRPr="001561C2">
        <w:t>regist</w:t>
      </w:r>
      <w:r>
        <w:t>ered</w:t>
      </w:r>
      <w:r w:rsidRPr="001561C2">
        <w:t xml:space="preserve"> uses</w:t>
      </w:r>
      <w:r>
        <w:t xml:space="preserve">, and the approved </w:t>
      </w:r>
      <w:r w:rsidRPr="001561C2">
        <w:t>product labels</w:t>
      </w:r>
      <w:r>
        <w:t xml:space="preserve"> for </w:t>
      </w:r>
      <w:r w:rsidRPr="001561C2">
        <w:t xml:space="preserve">all pesticide products containing </w:t>
      </w:r>
      <w:r w:rsidR="00F97824">
        <w:t>propazine</w:t>
      </w:r>
      <w:r w:rsidRPr="001561C2">
        <w:t xml:space="preserve">.   </w:t>
      </w:r>
    </w:p>
    <w:p w14:paraId="6DF83FFF" w14:textId="63BA369E" w:rsidR="006A290E" w:rsidRDefault="006A290E" w:rsidP="006A290E">
      <w:pPr>
        <w:spacing w:after="0" w:line="240" w:lineRule="auto"/>
        <w:rPr>
          <w:color w:val="000000" w:themeColor="text1"/>
        </w:rPr>
      </w:pPr>
    </w:p>
    <w:p w14:paraId="79CE3A37" w14:textId="77777777" w:rsidR="00674E2D" w:rsidRDefault="00674E2D" w:rsidP="006A290E">
      <w:pPr>
        <w:spacing w:after="0" w:line="240" w:lineRule="auto"/>
        <w:rPr>
          <w:color w:val="000000" w:themeColor="text1"/>
        </w:rPr>
      </w:pPr>
    </w:p>
    <w:p w14:paraId="67BC1BEF" w14:textId="77777777" w:rsidR="006A290E" w:rsidRPr="00674E2D" w:rsidRDefault="006A290E" w:rsidP="006A290E">
      <w:pPr>
        <w:pStyle w:val="TOCHeading"/>
        <w:rPr>
          <w:color w:val="2F5496" w:themeColor="accent1" w:themeShade="BF"/>
        </w:rPr>
      </w:pPr>
      <w:bookmarkStart w:id="7" w:name="_Toc31220272"/>
      <w:bookmarkStart w:id="8" w:name="_Toc53023222"/>
      <w:r w:rsidRPr="00674E2D">
        <w:rPr>
          <w:color w:val="2F5496" w:themeColor="accent1" w:themeShade="BF"/>
        </w:rPr>
        <w:t>Mode and Mechanism of Action</w:t>
      </w:r>
      <w:bookmarkEnd w:id="7"/>
      <w:bookmarkEnd w:id="8"/>
      <w:r w:rsidRPr="00674E2D">
        <w:rPr>
          <w:color w:val="2F5496" w:themeColor="accent1" w:themeShade="BF"/>
        </w:rPr>
        <w:t xml:space="preserve"> </w:t>
      </w:r>
    </w:p>
    <w:p w14:paraId="36889B3B" w14:textId="77777777" w:rsidR="006A290E" w:rsidRPr="00946398" w:rsidRDefault="006A290E" w:rsidP="006A290E">
      <w:pPr>
        <w:keepNext/>
        <w:keepLines/>
        <w:spacing w:after="0" w:line="240" w:lineRule="auto"/>
        <w:rPr>
          <w:rFonts w:asciiTheme="minorHAnsi" w:hAnsiTheme="minorHAnsi" w:cstheme="minorHAnsi"/>
        </w:rPr>
      </w:pPr>
    </w:p>
    <w:p w14:paraId="5DC67E82" w14:textId="77777777" w:rsidR="005756EA" w:rsidRDefault="00946398" w:rsidP="00991577">
      <w:pPr>
        <w:spacing w:after="0" w:line="240" w:lineRule="auto"/>
        <w:rPr>
          <w:rFonts w:asciiTheme="minorHAnsi" w:hAnsiTheme="minorHAnsi" w:cstheme="minorHAnsi"/>
        </w:rPr>
      </w:pPr>
      <w:r w:rsidRPr="00946398">
        <w:rPr>
          <w:rFonts w:asciiTheme="minorHAnsi" w:hAnsiTheme="minorHAnsi" w:cstheme="minorHAnsi"/>
        </w:rPr>
        <w:t>Three chlorotriazine herbicides have current registrations in the United States: propazine (6-chloro-N,N′-bis(1-methylethyl)-1,3,5-triazine-2,4-diamine</w:t>
      </w:r>
      <w:r w:rsidR="007246A8">
        <w:rPr>
          <w:rFonts w:asciiTheme="minorHAnsi" w:hAnsiTheme="minorHAnsi" w:cstheme="minorHAnsi"/>
        </w:rPr>
        <w:t xml:space="preserve">; </w:t>
      </w:r>
      <w:r w:rsidR="007246A8" w:rsidRPr="00946398">
        <w:rPr>
          <w:rFonts w:asciiTheme="minorHAnsi" w:hAnsiTheme="minorHAnsi" w:cstheme="minorHAnsi"/>
        </w:rPr>
        <w:t>PC code 080808</w:t>
      </w:r>
      <w:r w:rsidRPr="00946398">
        <w:rPr>
          <w:rFonts w:asciiTheme="minorHAnsi" w:hAnsiTheme="minorHAnsi" w:cstheme="minorHAnsi"/>
        </w:rPr>
        <w:t>); atrazine (6-chloro-N-ethyl-N′-(1-methylethyl)-1,3,5-triazine-2,4-diamine</w:t>
      </w:r>
      <w:r w:rsidR="007246A8">
        <w:rPr>
          <w:rFonts w:asciiTheme="minorHAnsi" w:hAnsiTheme="minorHAnsi" w:cstheme="minorHAnsi"/>
        </w:rPr>
        <w:t xml:space="preserve">; </w:t>
      </w:r>
      <w:r w:rsidR="007246A8" w:rsidRPr="00946398">
        <w:rPr>
          <w:rFonts w:asciiTheme="minorHAnsi" w:hAnsiTheme="minorHAnsi" w:cstheme="minorHAnsi"/>
        </w:rPr>
        <w:t>PC code 080803</w:t>
      </w:r>
      <w:r w:rsidRPr="00946398">
        <w:rPr>
          <w:rFonts w:asciiTheme="minorHAnsi" w:hAnsiTheme="minorHAnsi" w:cstheme="minorHAnsi"/>
        </w:rPr>
        <w:t>); and simazine (6-chloro-N,N′-diethyl-1,3,5-triazine-2,4-diamine</w:t>
      </w:r>
      <w:r w:rsidR="007246A8">
        <w:rPr>
          <w:rFonts w:asciiTheme="minorHAnsi" w:hAnsiTheme="minorHAnsi" w:cstheme="minorHAnsi"/>
        </w:rPr>
        <w:t xml:space="preserve">; </w:t>
      </w:r>
      <w:r w:rsidR="007246A8" w:rsidRPr="00946398">
        <w:rPr>
          <w:rFonts w:asciiTheme="minorHAnsi" w:hAnsiTheme="minorHAnsi" w:cstheme="minorHAnsi"/>
        </w:rPr>
        <w:t>PC code 080807</w:t>
      </w:r>
      <w:r w:rsidRPr="00946398">
        <w:rPr>
          <w:rFonts w:asciiTheme="minorHAnsi" w:hAnsiTheme="minorHAnsi" w:cstheme="minorHAnsi"/>
        </w:rPr>
        <w:t>).  These three chemicals differ only in number and/or position of methyl groups on moieties branched in identical positions off the triazine ring, thus are structurally nearly identical.  Based upon the available guideline and non-guideline toxicity studies, these chlorotriazines result in similar herbicidal effects to terrestrial and aquatic plants.</w:t>
      </w:r>
    </w:p>
    <w:p w14:paraId="73F442AF" w14:textId="77777777" w:rsidR="005756EA" w:rsidRDefault="005756EA" w:rsidP="00991577">
      <w:pPr>
        <w:spacing w:after="0" w:line="240" w:lineRule="auto"/>
        <w:rPr>
          <w:rFonts w:asciiTheme="minorHAnsi" w:hAnsiTheme="minorHAnsi" w:cstheme="minorHAnsi"/>
        </w:rPr>
      </w:pPr>
    </w:p>
    <w:p w14:paraId="297EBF9F" w14:textId="1758327C" w:rsidR="00991577" w:rsidRDefault="005756EA" w:rsidP="00991577">
      <w:pPr>
        <w:spacing w:after="0" w:line="240" w:lineRule="auto"/>
        <w:rPr>
          <w:rFonts w:asciiTheme="minorHAnsi" w:hAnsiTheme="minorHAnsi" w:cstheme="minorHAnsi"/>
        </w:rPr>
      </w:pPr>
      <w:r>
        <w:rPr>
          <w:rFonts w:asciiTheme="minorHAnsi" w:hAnsiTheme="minorHAnsi" w:cstheme="minorHAnsi"/>
        </w:rPr>
        <w:t>In plants, t</w:t>
      </w:r>
      <w:r w:rsidR="00946398" w:rsidRPr="00946398">
        <w:rPr>
          <w:rFonts w:asciiTheme="minorHAnsi" w:hAnsiTheme="minorHAnsi" w:cstheme="minorHAnsi"/>
        </w:rPr>
        <w:t xml:space="preserve">hese molecules bind with a protein complex of the photosystem II in chloroplast photosynthetic membranes (Schulz et al., 1990).  The result is an inhibition in the transfer of electrons through the light reactions of photosynthesis that in turn inhibits the formation and release of oxygen, </w:t>
      </w:r>
      <w:r w:rsidR="00946398" w:rsidRPr="00946398">
        <w:rPr>
          <w:rFonts w:asciiTheme="minorHAnsi" w:hAnsiTheme="minorHAnsi" w:cstheme="minorHAnsi"/>
        </w:rPr>
        <w:lastRenderedPageBreak/>
        <w:t>production of adenosine triphosphate, and the fixation of carbon dioxide into sugars.</w:t>
      </w:r>
      <w:r>
        <w:rPr>
          <w:rFonts w:asciiTheme="minorHAnsi" w:hAnsiTheme="minorHAnsi" w:cstheme="minorHAnsi"/>
        </w:rPr>
        <w:t xml:space="preserve"> Plant death results from starvation and oxidative damage caused by the breakdown in photosynthesis.</w:t>
      </w:r>
    </w:p>
    <w:p w14:paraId="2D957286" w14:textId="5957505A" w:rsidR="005756EA" w:rsidRDefault="005756EA" w:rsidP="00991577">
      <w:pPr>
        <w:spacing w:after="0" w:line="240" w:lineRule="auto"/>
        <w:rPr>
          <w:rFonts w:asciiTheme="minorHAnsi" w:hAnsiTheme="minorHAnsi" w:cstheme="minorHAnsi"/>
        </w:rPr>
      </w:pPr>
    </w:p>
    <w:p w14:paraId="05B26617" w14:textId="3D2A45DC" w:rsidR="005756EA" w:rsidRPr="00946398" w:rsidRDefault="005756EA" w:rsidP="00991577">
      <w:pPr>
        <w:spacing w:after="0" w:line="240" w:lineRule="auto"/>
        <w:rPr>
          <w:rFonts w:asciiTheme="minorHAnsi" w:hAnsiTheme="minorHAnsi" w:cstheme="minorHAnsi"/>
        </w:rPr>
      </w:pPr>
      <w:r>
        <w:rPr>
          <w:rFonts w:asciiTheme="minorHAnsi" w:hAnsiTheme="minorHAnsi" w:cstheme="minorHAnsi"/>
        </w:rPr>
        <w:t xml:space="preserve">While this pathway is not found in animals, </w:t>
      </w:r>
      <w:r>
        <w:rPr>
          <w:rFonts w:asciiTheme="minorHAnsi" w:hAnsiTheme="minorHAnsi"/>
        </w:rPr>
        <w:t xml:space="preserve">acute and </w:t>
      </w:r>
      <w:r w:rsidRPr="00C4412F">
        <w:rPr>
          <w:rFonts w:asciiTheme="minorHAnsi" w:hAnsiTheme="minorHAnsi"/>
        </w:rPr>
        <w:t>chronic exposure of animals has shown significant reduction in body weight and organ weights across multiple mammal and bird species.</w:t>
      </w:r>
    </w:p>
    <w:p w14:paraId="74B97279" w14:textId="6D101661" w:rsidR="00946398" w:rsidRDefault="00946398" w:rsidP="00991577">
      <w:pPr>
        <w:spacing w:after="0" w:line="240" w:lineRule="auto"/>
      </w:pPr>
    </w:p>
    <w:p w14:paraId="1D378379" w14:textId="77777777" w:rsidR="00674E2D" w:rsidRDefault="00674E2D" w:rsidP="00991577">
      <w:pPr>
        <w:spacing w:after="0" w:line="240" w:lineRule="auto"/>
      </w:pPr>
    </w:p>
    <w:p w14:paraId="218E857A" w14:textId="77777777" w:rsidR="006A290E" w:rsidRPr="00674E2D" w:rsidRDefault="006A290E" w:rsidP="006A290E">
      <w:pPr>
        <w:pStyle w:val="TOCHeading"/>
        <w:rPr>
          <w:color w:val="2F5496" w:themeColor="accent1" w:themeShade="BF"/>
        </w:rPr>
      </w:pPr>
      <w:bookmarkStart w:id="9" w:name="_Toc31220269"/>
      <w:bookmarkStart w:id="10" w:name="_Toc53023223"/>
      <w:r w:rsidRPr="00674E2D">
        <w:rPr>
          <w:color w:val="2F5496" w:themeColor="accent1" w:themeShade="BF"/>
        </w:rPr>
        <w:t>Use and Usage Characterization</w:t>
      </w:r>
      <w:bookmarkEnd w:id="9"/>
      <w:bookmarkEnd w:id="10"/>
      <w:r w:rsidRPr="00674E2D">
        <w:rPr>
          <w:color w:val="2F5496" w:themeColor="accent1" w:themeShade="BF"/>
        </w:rPr>
        <w:fldChar w:fldCharType="begin"/>
      </w:r>
      <w:r w:rsidRPr="00674E2D">
        <w:rPr>
          <w:color w:val="2F5496" w:themeColor="accent1" w:themeShade="BF"/>
        </w:rPr>
        <w:instrText xml:space="preserve"> HYPERLINK "http://epa.gov/pesticides/fifra6a2/" \h </w:instrText>
      </w:r>
      <w:r w:rsidRPr="00674E2D">
        <w:rPr>
          <w:color w:val="2F5496" w:themeColor="accent1" w:themeShade="BF"/>
        </w:rPr>
        <w:fldChar w:fldCharType="end"/>
      </w:r>
    </w:p>
    <w:p w14:paraId="73A34F0B" w14:textId="2F892684" w:rsidR="006A290E" w:rsidRDefault="006A290E" w:rsidP="006A290E">
      <w:pPr>
        <w:spacing w:after="0" w:line="240" w:lineRule="auto"/>
      </w:pPr>
    </w:p>
    <w:p w14:paraId="5B1C3BE6" w14:textId="56F59BD4" w:rsidR="006A290E" w:rsidRPr="00C22351" w:rsidRDefault="006A290E" w:rsidP="006A290E">
      <w:pPr>
        <w:spacing w:after="0" w:line="240" w:lineRule="auto"/>
      </w:pPr>
      <w:r w:rsidRPr="00C22351">
        <w:t>Use data are based on registered product labels and include pesticide application information relevant to a treatment site (</w:t>
      </w:r>
      <w:r w:rsidR="00D7483D">
        <w:rPr>
          <w:i/>
          <w:iCs/>
        </w:rPr>
        <w:t>i</w:t>
      </w:r>
      <w:r w:rsidRPr="00C22351">
        <w:rPr>
          <w:i/>
          <w:iCs/>
        </w:rPr>
        <w:t>.</w:t>
      </w:r>
      <w:r w:rsidR="00D7483D">
        <w:rPr>
          <w:i/>
          <w:iCs/>
        </w:rPr>
        <w:t>e</w:t>
      </w:r>
      <w:r w:rsidRPr="00C22351">
        <w:rPr>
          <w:i/>
          <w:iCs/>
        </w:rPr>
        <w:t>.</w:t>
      </w:r>
      <w:r w:rsidRPr="00C22351">
        <w:t xml:space="preserve">, </w:t>
      </w:r>
      <w:r w:rsidR="00C22351" w:rsidRPr="00C22351">
        <w:t>sorghum</w:t>
      </w:r>
      <w:r w:rsidRPr="00C22351">
        <w:t>). EPA determines the uses based on registered labels</w:t>
      </w:r>
      <w:r w:rsidR="001F16B2">
        <w:t xml:space="preserve">, </w:t>
      </w:r>
      <w:bookmarkStart w:id="11" w:name="_Hlk52774205"/>
      <w:r w:rsidR="00B46FD4">
        <w:t xml:space="preserve">including </w:t>
      </w:r>
      <w:r w:rsidR="001F16B2" w:rsidRPr="00B67804">
        <w:t>any agreed upon changes to these labels from the technical registrants</w:t>
      </w:r>
      <w:r w:rsidR="00452D3D">
        <w:t xml:space="preserve"> (Appendix 1-2)</w:t>
      </w:r>
      <w:r w:rsidR="001F16B2">
        <w:t>,</w:t>
      </w:r>
      <w:bookmarkEnd w:id="11"/>
      <w:r w:rsidR="001F16B2" w:rsidRPr="003516E7">
        <w:t xml:space="preserve"> </w:t>
      </w:r>
      <w:r w:rsidRPr="00C22351">
        <w:t>and define</w:t>
      </w:r>
      <w:r w:rsidR="00D7483D">
        <w:t>s</w:t>
      </w:r>
      <w:r w:rsidRPr="00C22351">
        <w:t xml:space="preserve"> crop or non-crop sites to which a pesticide may be applied. Use data also describe the maximum application rates, method (</w:t>
      </w:r>
      <w:r w:rsidRPr="00C22351">
        <w:rPr>
          <w:i/>
        </w:rPr>
        <w:t>e.g.,</w:t>
      </w:r>
      <w:r w:rsidRPr="00C22351">
        <w:t xml:space="preserve"> aerial or ground spray), re-treatment intervals and number of applications that may occur according to registered product labels.</w:t>
      </w:r>
    </w:p>
    <w:p w14:paraId="6532DDC3" w14:textId="77777777" w:rsidR="006A290E" w:rsidRPr="00C4422B" w:rsidRDefault="006A290E" w:rsidP="006A290E">
      <w:pPr>
        <w:spacing w:after="0" w:line="240" w:lineRule="auto"/>
        <w:rPr>
          <w:highlight w:val="yellow"/>
        </w:rPr>
      </w:pPr>
    </w:p>
    <w:p w14:paraId="6B7281AA" w14:textId="50195173" w:rsidR="006A290E" w:rsidRPr="001561C2" w:rsidRDefault="006A290E" w:rsidP="006A290E">
      <w:pPr>
        <w:spacing w:after="0" w:line="240" w:lineRule="auto"/>
      </w:pPr>
      <w:r w:rsidRPr="00AA1D57">
        <w:t>Usage data</w:t>
      </w:r>
      <w:r w:rsidR="00241525">
        <w:t xml:space="preserve"> </w:t>
      </w:r>
      <w:r w:rsidRPr="00AA1D57">
        <w:t>describe how the pesticide has been applied to multiple use sites within a state, region or the US.  EPA also reviews actual usage data that documents the actual applications of a pesticide, including information such as actual application rates and timing, and spatial distribution of applications across multiple sites (usually based on survey data). The key difference between use and usage is potential applications vs. actual applications.</w:t>
      </w:r>
      <w:r w:rsidRPr="00DD0C13">
        <w:t xml:space="preserve"> </w:t>
      </w:r>
    </w:p>
    <w:p w14:paraId="22E55251" w14:textId="77777777" w:rsidR="006A290E" w:rsidRPr="00674E2D" w:rsidRDefault="006A290E" w:rsidP="006A290E">
      <w:pPr>
        <w:pStyle w:val="Heading2"/>
        <w:rPr>
          <w:color w:val="2F5496" w:themeColor="accent1" w:themeShade="BF"/>
        </w:rPr>
      </w:pPr>
      <w:bookmarkStart w:id="12" w:name="_Toc31220270"/>
      <w:bookmarkStart w:id="13" w:name="_Toc53023224"/>
      <w:r w:rsidRPr="00674E2D">
        <w:rPr>
          <w:color w:val="2F5496" w:themeColor="accent1" w:themeShade="BF"/>
        </w:rPr>
        <w:t>Use Data (as Defined on Registered Product Labels)</w:t>
      </w:r>
      <w:bookmarkEnd w:id="12"/>
      <w:bookmarkEnd w:id="13"/>
    </w:p>
    <w:p w14:paraId="30501FDB" w14:textId="77777777" w:rsidR="00946398" w:rsidRDefault="00946398" w:rsidP="006A290E">
      <w:pPr>
        <w:spacing w:after="0" w:line="240" w:lineRule="auto"/>
      </w:pPr>
    </w:p>
    <w:p w14:paraId="2DA22108" w14:textId="4A7A78BE" w:rsidR="000C0B7F" w:rsidRPr="00A64A36" w:rsidRDefault="006A290E" w:rsidP="000C0B7F">
      <w:pPr>
        <w:spacing w:line="240" w:lineRule="auto"/>
        <w:rPr>
          <w:highlight w:val="cyan"/>
        </w:rPr>
      </w:pPr>
      <w:r w:rsidRPr="00083AAE">
        <w:t xml:space="preserve">The label on a pesticide package or container is legally enforceable. The label provides information about how to handle and safely use the pesticide product and avoid harm to human health and the environment.  Using a pesticide in a manner that is inconsistent with the use directions on the label is a violation of FIFRA and can result in enforcement actions to correct the violations. </w:t>
      </w:r>
      <w:r w:rsidR="005756EA" w:rsidRPr="005756EA">
        <w:t xml:space="preserve">This BE assesses all currently registered labels and any agreed upon changes to these labels from the technical registrants (for implementation on all formulated product labels). While the current labels may not reflect all the agreed upon changes, the technical registrants have agreed in the form of commitment letters (see </w:t>
      </w:r>
      <w:r w:rsidR="005756EA" w:rsidRPr="005756EA">
        <w:rPr>
          <w:b/>
          <w:bCs/>
        </w:rPr>
        <w:t>APPENDIX 1-2</w:t>
      </w:r>
      <w:r w:rsidR="005756EA" w:rsidRPr="005756EA">
        <w:t xml:space="preserve">) to update the </w:t>
      </w:r>
      <w:r w:rsidR="005756EA">
        <w:t>prop</w:t>
      </w:r>
      <w:r w:rsidR="005756EA" w:rsidRPr="005756EA">
        <w:t xml:space="preserve">azine formulated product labels to be reflective of these changes (uses summarized in </w:t>
      </w:r>
      <w:r w:rsidR="005756EA" w:rsidRPr="005756EA">
        <w:rPr>
          <w:b/>
          <w:bCs/>
        </w:rPr>
        <w:t>APPENDIX 1-3</w:t>
      </w:r>
      <w:r w:rsidR="005756EA" w:rsidRPr="005756EA">
        <w:t xml:space="preserve">). Major changes in the commitment letters include restriction of applications to </w:t>
      </w:r>
      <w:r w:rsidR="007A22B0">
        <w:t>sorghum in the</w:t>
      </w:r>
      <w:r w:rsidR="005D46C8">
        <w:t xml:space="preserve"> </w:t>
      </w:r>
      <w:r w:rsidR="0021719D">
        <w:t>s</w:t>
      </w:r>
      <w:r w:rsidR="005D46C8">
        <w:t>tates</w:t>
      </w:r>
      <w:r w:rsidR="005756EA" w:rsidRPr="005756EA">
        <w:t xml:space="preserve"> </w:t>
      </w:r>
      <w:r w:rsidR="007A22B0">
        <w:t xml:space="preserve">of Texas, Oklahoma, and Kansas </w:t>
      </w:r>
      <w:r w:rsidR="005756EA" w:rsidRPr="005756EA">
        <w:t xml:space="preserve">(see </w:t>
      </w:r>
      <w:r w:rsidR="005756EA" w:rsidRPr="005756EA">
        <w:rPr>
          <w:b/>
          <w:bCs/>
        </w:rPr>
        <w:t>APPENDIX 1-2</w:t>
      </w:r>
      <w:r w:rsidR="005756EA" w:rsidRPr="005756EA">
        <w:t xml:space="preserve"> for specific details).</w:t>
      </w:r>
      <w:r w:rsidR="000C0B7F">
        <w:t xml:space="preserve"> EPA plans to formalize these changes through the appropriate processes prior to finalizing the BEs.</w:t>
      </w:r>
      <w:r w:rsidR="000C0B7F" w:rsidRPr="00A64A36">
        <w:rPr>
          <w:highlight w:val="cyan"/>
        </w:rPr>
        <w:t xml:space="preserve">  </w:t>
      </w:r>
    </w:p>
    <w:p w14:paraId="07251BBA" w14:textId="4F2878C3" w:rsidR="006A290E" w:rsidRDefault="006A290E" w:rsidP="006A290E">
      <w:pPr>
        <w:spacing w:after="0" w:line="240" w:lineRule="auto"/>
        <w:rPr>
          <w:highlight w:val="yellow"/>
        </w:rPr>
      </w:pPr>
    </w:p>
    <w:p w14:paraId="2989E0E6" w14:textId="77777777" w:rsidR="001C76C3" w:rsidRDefault="007A22B0" w:rsidP="006A290E">
      <w:pPr>
        <w:spacing w:after="0" w:line="240" w:lineRule="auto"/>
      </w:pPr>
      <w:r>
        <w:t>Propazine is only registered for use on sorghum</w:t>
      </w:r>
      <w:r w:rsidR="006A290E" w:rsidRPr="002A74F2">
        <w:t xml:space="preserve"> (</w:t>
      </w:r>
      <w:r w:rsidR="006A290E" w:rsidRPr="002A74F2">
        <w:rPr>
          <w:b/>
        </w:rPr>
        <w:t>APPENDIX 1-</w:t>
      </w:r>
      <w:r>
        <w:rPr>
          <w:b/>
        </w:rPr>
        <w:t>1</w:t>
      </w:r>
      <w:r w:rsidR="006A290E" w:rsidRPr="002A74F2">
        <w:t xml:space="preserve">). </w:t>
      </w:r>
      <w:r w:rsidR="002A74F2" w:rsidRPr="002A74F2">
        <w:t>T</w:t>
      </w:r>
      <w:r w:rsidR="006A290E" w:rsidRPr="002A74F2">
        <w:t xml:space="preserve">he single maximum </w:t>
      </w:r>
      <w:r w:rsidR="00F97824" w:rsidRPr="002A74F2">
        <w:t>propazine</w:t>
      </w:r>
      <w:r w:rsidR="006A290E" w:rsidRPr="002A74F2">
        <w:t xml:space="preserve"> application rate do</w:t>
      </w:r>
      <w:r>
        <w:t>es</w:t>
      </w:r>
      <w:r w:rsidR="006A290E" w:rsidRPr="002A74F2">
        <w:t xml:space="preserve"> not exceed </w:t>
      </w:r>
      <w:r w:rsidR="002A74F2" w:rsidRPr="002A74F2">
        <w:t>1.2</w:t>
      </w:r>
      <w:r w:rsidR="006A290E" w:rsidRPr="002A74F2">
        <w:t xml:space="preserve"> lb a.i./A</w:t>
      </w:r>
      <w:r>
        <w:t xml:space="preserve"> and </w:t>
      </w:r>
      <w:r w:rsidR="002A74F2" w:rsidRPr="002A74F2">
        <w:t>multiple applications are not allowed.</w:t>
      </w:r>
      <w:r w:rsidR="00295BB8">
        <w:t xml:space="preserve"> </w:t>
      </w:r>
    </w:p>
    <w:p w14:paraId="423CC3B3" w14:textId="08D83353" w:rsidR="006A290E" w:rsidRDefault="00295BB8" w:rsidP="006A290E">
      <w:pPr>
        <w:spacing w:after="0" w:line="240" w:lineRule="auto"/>
      </w:pPr>
      <w:r>
        <w:t xml:space="preserve">Propazine is applied </w:t>
      </w:r>
      <w:r w:rsidR="00621CB5">
        <w:t xml:space="preserve">preplant or </w:t>
      </w:r>
      <w:r>
        <w:t>preemergence in grain sorghum (</w:t>
      </w:r>
      <w:r w:rsidRPr="00295BB8">
        <w:rPr>
          <w:i/>
          <w:iCs/>
        </w:rPr>
        <w:t>Sorghum</w:t>
      </w:r>
      <w:r w:rsidR="001910A5">
        <w:rPr>
          <w:i/>
          <w:iCs/>
        </w:rPr>
        <w:t xml:space="preserve"> </w:t>
      </w:r>
      <w:r w:rsidRPr="00295BB8">
        <w:rPr>
          <w:i/>
          <w:iCs/>
        </w:rPr>
        <w:t>bicolor</w:t>
      </w:r>
      <w:r>
        <w:t xml:space="preserve">) plantings in order to control broadleaf and grass weeds. </w:t>
      </w:r>
      <w:r w:rsidR="00AF2149">
        <w:t>Currently, there is only one end-use pesticide product registered for propazine.</w:t>
      </w:r>
    </w:p>
    <w:p w14:paraId="36E86C07" w14:textId="2CE37086" w:rsidR="006A290E" w:rsidRPr="00674E2D" w:rsidRDefault="006A290E" w:rsidP="00B7546C">
      <w:pPr>
        <w:pStyle w:val="Heading2"/>
        <w:rPr>
          <w:color w:val="2F5496" w:themeColor="accent1" w:themeShade="BF"/>
        </w:rPr>
      </w:pPr>
      <w:bookmarkStart w:id="14" w:name="_Toc31220271"/>
      <w:bookmarkStart w:id="15" w:name="_Toc53023225"/>
      <w:r w:rsidRPr="00674E2D">
        <w:rPr>
          <w:color w:val="2F5496" w:themeColor="accent1" w:themeShade="BF"/>
        </w:rPr>
        <w:t>Usage Data</w:t>
      </w:r>
      <w:bookmarkEnd w:id="14"/>
      <w:bookmarkEnd w:id="15"/>
      <w:r w:rsidRPr="00674E2D">
        <w:rPr>
          <w:color w:val="2F5496" w:themeColor="accent1" w:themeShade="BF"/>
        </w:rPr>
        <w:t xml:space="preserve"> </w:t>
      </w:r>
    </w:p>
    <w:p w14:paraId="78A8E7F3" w14:textId="77777777" w:rsidR="00B7546C" w:rsidRPr="001561C2" w:rsidRDefault="00B7546C" w:rsidP="00B7546C">
      <w:pPr>
        <w:spacing w:after="0" w:line="240" w:lineRule="auto"/>
      </w:pPr>
    </w:p>
    <w:p w14:paraId="162E6D17" w14:textId="719FD8F0" w:rsidR="00B7546C" w:rsidRPr="00C4422B" w:rsidRDefault="00B7546C" w:rsidP="00B7546C">
      <w:pPr>
        <w:spacing w:after="0" w:line="240" w:lineRule="auto"/>
        <w:rPr>
          <w:highlight w:val="yellow"/>
        </w:rPr>
      </w:pPr>
      <w:r w:rsidRPr="00B97EDB">
        <w:t>Based on usage data compiled by EPA’s Office of Pesticide Program’s Biological and Economic Analysis Division (BEAD</w:t>
      </w:r>
      <w:r w:rsidRPr="00EE0FAB">
        <w:t xml:space="preserve">), approximately 218,400 pounds of propazine are used each year on 308,800 acres of </w:t>
      </w:r>
      <w:r w:rsidRPr="00EE0FAB">
        <w:lastRenderedPageBreak/>
        <w:t xml:space="preserve">sorghum in </w:t>
      </w:r>
      <w:r w:rsidR="00D10448">
        <w:t>Oklahoma, Kansas and Texas</w:t>
      </w:r>
      <w:r w:rsidRPr="00EE0FAB">
        <w:t xml:space="preserve"> (based on a yearly average from 2015 to 2017) (see </w:t>
      </w:r>
      <w:r w:rsidRPr="00EE0FAB">
        <w:rPr>
          <w:b/>
        </w:rPr>
        <w:t>APPENDIX 1-4</w:t>
      </w:r>
      <w:r w:rsidRPr="00EE0FAB">
        <w:t xml:space="preserve"> for details). </w:t>
      </w:r>
      <w:r>
        <w:t>The average rate applied is reported as 0.707 lbs ai/A. Although allowed</w:t>
      </w:r>
      <w:r w:rsidR="00324929">
        <w:t xml:space="preserve"> per the product label</w:t>
      </w:r>
      <w:r>
        <w:t>, no aerial applications were reported.</w:t>
      </w:r>
    </w:p>
    <w:p w14:paraId="7A4BAE97" w14:textId="0AB9DEF0" w:rsidR="006A290E" w:rsidRDefault="006A290E" w:rsidP="006A290E">
      <w:pPr>
        <w:spacing w:after="0" w:line="240" w:lineRule="auto"/>
        <w:rPr>
          <w:highlight w:val="yellow"/>
        </w:rPr>
      </w:pPr>
    </w:p>
    <w:p w14:paraId="17AA4248" w14:textId="77777777" w:rsidR="00674E2D" w:rsidRPr="00C4422B" w:rsidRDefault="00674E2D" w:rsidP="006A290E">
      <w:pPr>
        <w:spacing w:after="0" w:line="240" w:lineRule="auto"/>
        <w:rPr>
          <w:highlight w:val="yellow"/>
        </w:rPr>
      </w:pPr>
    </w:p>
    <w:p w14:paraId="4475CA78" w14:textId="77777777" w:rsidR="006A290E" w:rsidRPr="00674E2D" w:rsidRDefault="006A290E" w:rsidP="006A290E">
      <w:pPr>
        <w:pStyle w:val="Heading1"/>
        <w:rPr>
          <w:color w:val="2F5496" w:themeColor="accent1" w:themeShade="BF"/>
        </w:rPr>
      </w:pPr>
      <w:bookmarkStart w:id="16" w:name="_Toc31220273"/>
      <w:bookmarkStart w:id="17" w:name="_Toc53023226"/>
      <w:r w:rsidRPr="00674E2D">
        <w:rPr>
          <w:color w:val="2F5496" w:themeColor="accent1" w:themeShade="BF"/>
        </w:rPr>
        <w:t>Overview</w:t>
      </w:r>
      <w:bookmarkEnd w:id="16"/>
      <w:r w:rsidRPr="00674E2D">
        <w:rPr>
          <w:color w:val="2F5496" w:themeColor="accent1" w:themeShade="BF"/>
        </w:rPr>
        <w:t xml:space="preserve"> of Environmental Fate</w:t>
      </w:r>
      <w:bookmarkEnd w:id="17"/>
    </w:p>
    <w:p w14:paraId="75E541EB" w14:textId="77777777" w:rsidR="006A290E" w:rsidRPr="00BB3BB8" w:rsidRDefault="006A290E" w:rsidP="006A290E">
      <w:pPr>
        <w:widowControl w:val="0"/>
        <w:spacing w:after="0" w:line="240" w:lineRule="auto"/>
      </w:pPr>
    </w:p>
    <w:p w14:paraId="731FD011" w14:textId="0E5694BD" w:rsidR="00C322B2" w:rsidRPr="00C322B2" w:rsidRDefault="006A290E" w:rsidP="00C322B2">
      <w:pPr>
        <w:pStyle w:val="BodyText"/>
        <w:ind w:left="0" w:right="129"/>
        <w:rPr>
          <w:rFonts w:asciiTheme="minorHAnsi" w:hAnsiTheme="minorHAnsi" w:cstheme="minorHAnsi"/>
          <w:sz w:val="22"/>
          <w:szCs w:val="22"/>
        </w:rPr>
      </w:pPr>
      <w:r w:rsidRPr="00C322B2">
        <w:rPr>
          <w:rFonts w:asciiTheme="minorHAnsi" w:hAnsiTheme="minorHAnsi" w:cstheme="minorHAnsi"/>
          <w:sz w:val="22"/>
          <w:szCs w:val="22"/>
        </w:rPr>
        <w:t xml:space="preserve">The major transport routes off the treated area for </w:t>
      </w:r>
      <w:r w:rsidR="00F97824" w:rsidRPr="00C322B2">
        <w:rPr>
          <w:rFonts w:asciiTheme="minorHAnsi" w:hAnsiTheme="minorHAnsi" w:cstheme="minorHAnsi"/>
          <w:sz w:val="22"/>
          <w:szCs w:val="22"/>
        </w:rPr>
        <w:t>propazine</w:t>
      </w:r>
      <w:r w:rsidRPr="00C322B2">
        <w:rPr>
          <w:rFonts w:asciiTheme="minorHAnsi" w:hAnsiTheme="minorHAnsi" w:cstheme="minorHAnsi"/>
          <w:sz w:val="22"/>
          <w:szCs w:val="22"/>
        </w:rPr>
        <w:t xml:space="preserve"> include runoff and spray drift. </w:t>
      </w:r>
      <w:r w:rsidR="00C322B2" w:rsidRPr="00C322B2">
        <w:rPr>
          <w:rFonts w:asciiTheme="minorHAnsi" w:hAnsiTheme="minorHAnsi" w:cstheme="minorHAnsi"/>
          <w:spacing w:val="-1"/>
          <w:sz w:val="22"/>
          <w:szCs w:val="22"/>
        </w:rPr>
        <w:t>Propazine</w:t>
      </w:r>
      <w:r w:rsidR="00C322B2" w:rsidRPr="00C322B2">
        <w:rPr>
          <w:rFonts w:asciiTheme="minorHAnsi" w:hAnsiTheme="minorHAnsi" w:cstheme="minorHAnsi"/>
          <w:sz w:val="22"/>
          <w:szCs w:val="22"/>
        </w:rPr>
        <w:t xml:space="preserve"> is </w:t>
      </w:r>
      <w:r w:rsidR="00C322B2" w:rsidRPr="00C322B2">
        <w:rPr>
          <w:rFonts w:asciiTheme="minorHAnsi" w:hAnsiTheme="minorHAnsi" w:cstheme="minorHAnsi"/>
          <w:spacing w:val="-1"/>
          <w:sz w:val="22"/>
          <w:szCs w:val="22"/>
        </w:rPr>
        <w:t>expected</w:t>
      </w:r>
      <w:r w:rsidR="00C322B2" w:rsidRPr="00C322B2">
        <w:rPr>
          <w:rFonts w:asciiTheme="minorHAnsi" w:hAnsiTheme="minorHAnsi" w:cstheme="minorHAnsi"/>
          <w:sz w:val="22"/>
          <w:szCs w:val="22"/>
        </w:rPr>
        <w:t xml:space="preserve"> to be</w:t>
      </w:r>
      <w:r w:rsidR="00C322B2" w:rsidRPr="00C322B2">
        <w:rPr>
          <w:rFonts w:asciiTheme="minorHAnsi" w:hAnsiTheme="minorHAnsi" w:cstheme="minorHAnsi"/>
          <w:spacing w:val="-1"/>
          <w:sz w:val="22"/>
          <w:szCs w:val="22"/>
        </w:rPr>
        <w:t xml:space="preserve"> </w:t>
      </w:r>
      <w:r w:rsidR="00C322B2" w:rsidRPr="00C322B2">
        <w:rPr>
          <w:rFonts w:asciiTheme="minorHAnsi" w:hAnsiTheme="minorHAnsi" w:cstheme="minorHAnsi"/>
          <w:sz w:val="22"/>
          <w:szCs w:val="22"/>
        </w:rPr>
        <w:t>moderately</w:t>
      </w:r>
      <w:r w:rsidR="00C322B2" w:rsidRPr="00C322B2">
        <w:rPr>
          <w:rFonts w:asciiTheme="minorHAnsi" w:hAnsiTheme="minorHAnsi" w:cstheme="minorHAnsi"/>
          <w:spacing w:val="-5"/>
          <w:sz w:val="22"/>
          <w:szCs w:val="22"/>
        </w:rPr>
        <w:t xml:space="preserve"> </w:t>
      </w:r>
      <w:r w:rsidR="00C322B2" w:rsidRPr="00C322B2">
        <w:rPr>
          <w:rFonts w:asciiTheme="minorHAnsi" w:hAnsiTheme="minorHAnsi" w:cstheme="minorHAnsi"/>
          <w:sz w:val="22"/>
          <w:szCs w:val="22"/>
        </w:rPr>
        <w:t>persistent</w:t>
      </w:r>
      <w:r w:rsidR="00C322B2" w:rsidRPr="00C322B2">
        <w:rPr>
          <w:rFonts w:asciiTheme="minorHAnsi" w:hAnsiTheme="minorHAnsi" w:cstheme="minorHAnsi"/>
          <w:spacing w:val="2"/>
          <w:sz w:val="22"/>
          <w:szCs w:val="22"/>
        </w:rPr>
        <w:t xml:space="preserve"> </w:t>
      </w:r>
      <w:r w:rsidR="00C322B2" w:rsidRPr="00C322B2">
        <w:rPr>
          <w:rFonts w:asciiTheme="minorHAnsi" w:hAnsiTheme="minorHAnsi" w:cstheme="minorHAnsi"/>
          <w:spacing w:val="-1"/>
          <w:sz w:val="22"/>
          <w:szCs w:val="22"/>
        </w:rPr>
        <w:t>and</w:t>
      </w:r>
      <w:r w:rsidR="00C322B2" w:rsidRPr="00C322B2">
        <w:rPr>
          <w:rFonts w:asciiTheme="minorHAnsi" w:hAnsiTheme="minorHAnsi" w:cstheme="minorHAnsi"/>
          <w:sz w:val="22"/>
          <w:szCs w:val="22"/>
        </w:rPr>
        <w:t xml:space="preserve"> mobile</w:t>
      </w:r>
      <w:r w:rsidR="00077698">
        <w:rPr>
          <w:rFonts w:asciiTheme="minorHAnsi" w:hAnsiTheme="minorHAnsi" w:cstheme="minorHAnsi"/>
          <w:sz w:val="22"/>
          <w:szCs w:val="22"/>
        </w:rPr>
        <w:t xml:space="preserve"> </w:t>
      </w:r>
      <w:r w:rsidR="00077698" w:rsidRPr="00742269">
        <w:rPr>
          <w:rFonts w:asciiTheme="minorHAnsi" w:hAnsiTheme="minorHAnsi" w:cstheme="minorHAnsi"/>
          <w:sz w:val="22"/>
          <w:szCs w:val="22"/>
        </w:rPr>
        <w:t>(according to the Food and Agricultural</w:t>
      </w:r>
      <w:r w:rsidR="004E0CA9">
        <w:rPr>
          <w:rFonts w:asciiTheme="minorHAnsi" w:hAnsiTheme="minorHAnsi" w:cstheme="minorHAnsi"/>
          <w:sz w:val="22"/>
          <w:szCs w:val="22"/>
        </w:rPr>
        <w:t xml:space="preserve"> </w:t>
      </w:r>
      <w:r w:rsidR="00077698" w:rsidRPr="00742269">
        <w:rPr>
          <w:rFonts w:asciiTheme="minorHAnsi" w:hAnsiTheme="minorHAnsi" w:cstheme="minorHAnsi"/>
          <w:sz w:val="22"/>
          <w:szCs w:val="22"/>
        </w:rPr>
        <w:t>Organization (FAO) mobility classification system</w:t>
      </w:r>
      <w:r w:rsidR="00077698" w:rsidRPr="00742269">
        <w:rPr>
          <w:rStyle w:val="FootnoteReference"/>
          <w:rFonts w:asciiTheme="minorHAnsi" w:hAnsiTheme="minorHAnsi" w:cstheme="minorHAnsi"/>
          <w:sz w:val="22"/>
          <w:szCs w:val="22"/>
        </w:rPr>
        <w:footnoteReference w:id="4"/>
      </w:r>
      <w:r w:rsidR="00077698" w:rsidRPr="00742269">
        <w:rPr>
          <w:rFonts w:asciiTheme="minorHAnsi" w:hAnsiTheme="minorHAnsi" w:cstheme="minorHAnsi"/>
          <w:sz w:val="22"/>
          <w:szCs w:val="22"/>
        </w:rPr>
        <w:t>)</w:t>
      </w:r>
      <w:r w:rsidR="00C322B2" w:rsidRPr="00C322B2">
        <w:rPr>
          <w:rFonts w:asciiTheme="minorHAnsi" w:hAnsiTheme="minorHAnsi" w:cstheme="minorHAnsi"/>
          <w:sz w:val="22"/>
          <w:szCs w:val="22"/>
        </w:rPr>
        <w:t xml:space="preserve"> in most soils,</w:t>
      </w:r>
      <w:r w:rsidR="00C322B2" w:rsidRPr="00C322B2">
        <w:rPr>
          <w:rFonts w:asciiTheme="minorHAnsi" w:hAnsiTheme="minorHAnsi" w:cstheme="minorHAnsi"/>
          <w:spacing w:val="-2"/>
          <w:sz w:val="22"/>
          <w:szCs w:val="22"/>
        </w:rPr>
        <w:t xml:space="preserve"> </w:t>
      </w:r>
      <w:r w:rsidR="00C322B2" w:rsidRPr="00C322B2">
        <w:rPr>
          <w:rFonts w:asciiTheme="minorHAnsi" w:hAnsiTheme="minorHAnsi" w:cstheme="minorHAnsi"/>
          <w:spacing w:val="-1"/>
          <w:sz w:val="22"/>
          <w:szCs w:val="22"/>
        </w:rPr>
        <w:t>and</w:t>
      </w:r>
      <w:r w:rsidR="00C322B2" w:rsidRPr="00C322B2">
        <w:rPr>
          <w:rFonts w:asciiTheme="minorHAnsi" w:hAnsiTheme="minorHAnsi" w:cstheme="minorHAnsi"/>
          <w:sz w:val="22"/>
          <w:szCs w:val="22"/>
        </w:rPr>
        <w:t xml:space="preserve"> it is </w:t>
      </w:r>
      <w:r w:rsidR="00C322B2" w:rsidRPr="00C322B2">
        <w:rPr>
          <w:rFonts w:asciiTheme="minorHAnsi" w:hAnsiTheme="minorHAnsi" w:cstheme="minorHAnsi"/>
          <w:spacing w:val="-1"/>
          <w:sz w:val="22"/>
          <w:szCs w:val="22"/>
        </w:rPr>
        <w:t>resistant</w:t>
      </w:r>
      <w:r w:rsidR="00C322B2" w:rsidRPr="00C322B2">
        <w:rPr>
          <w:rFonts w:asciiTheme="minorHAnsi" w:hAnsiTheme="minorHAnsi" w:cstheme="minorHAnsi"/>
          <w:sz w:val="22"/>
          <w:szCs w:val="22"/>
        </w:rPr>
        <w:t xml:space="preserve"> to</w:t>
      </w:r>
      <w:r w:rsidR="00BB4C5F">
        <w:rPr>
          <w:rFonts w:asciiTheme="minorHAnsi" w:hAnsiTheme="minorHAnsi" w:cstheme="minorHAnsi"/>
          <w:spacing w:val="57"/>
          <w:sz w:val="22"/>
          <w:szCs w:val="22"/>
        </w:rPr>
        <w:t xml:space="preserve"> </w:t>
      </w:r>
      <w:r w:rsidR="00C322B2" w:rsidRPr="00C322B2">
        <w:rPr>
          <w:rFonts w:asciiTheme="minorHAnsi" w:hAnsiTheme="minorHAnsi" w:cstheme="minorHAnsi"/>
          <w:spacing w:val="-1"/>
          <w:sz w:val="22"/>
          <w:szCs w:val="22"/>
        </w:rPr>
        <w:t>breakdown</w:t>
      </w:r>
      <w:r w:rsidR="00C322B2" w:rsidRPr="00C322B2">
        <w:rPr>
          <w:rFonts w:asciiTheme="minorHAnsi" w:hAnsiTheme="minorHAnsi" w:cstheme="minorHAnsi"/>
          <w:sz w:val="22"/>
          <w:szCs w:val="22"/>
        </w:rPr>
        <w:t xml:space="preserve"> </w:t>
      </w:r>
      <w:r w:rsidR="00C322B2" w:rsidRPr="00C322B2">
        <w:rPr>
          <w:rFonts w:asciiTheme="minorHAnsi" w:hAnsiTheme="minorHAnsi" w:cstheme="minorHAnsi"/>
          <w:spacing w:val="2"/>
          <w:sz w:val="22"/>
          <w:szCs w:val="22"/>
        </w:rPr>
        <w:t>by</w:t>
      </w:r>
      <w:r w:rsidR="00C322B2" w:rsidRPr="00C322B2">
        <w:rPr>
          <w:rFonts w:asciiTheme="minorHAnsi" w:hAnsiTheme="minorHAnsi" w:cstheme="minorHAnsi"/>
          <w:spacing w:val="-5"/>
          <w:sz w:val="22"/>
          <w:szCs w:val="22"/>
        </w:rPr>
        <w:t xml:space="preserve"> </w:t>
      </w:r>
      <w:r w:rsidR="00C322B2" w:rsidRPr="00C322B2">
        <w:rPr>
          <w:rFonts w:asciiTheme="minorHAnsi" w:hAnsiTheme="minorHAnsi" w:cstheme="minorHAnsi"/>
          <w:sz w:val="22"/>
          <w:szCs w:val="22"/>
        </w:rPr>
        <w:t xml:space="preserve">hydrolysis, </w:t>
      </w:r>
      <w:r w:rsidR="00C322B2" w:rsidRPr="00C322B2">
        <w:rPr>
          <w:rFonts w:asciiTheme="minorHAnsi" w:hAnsiTheme="minorHAnsi" w:cstheme="minorHAnsi"/>
          <w:spacing w:val="-1"/>
          <w:sz w:val="22"/>
          <w:szCs w:val="22"/>
        </w:rPr>
        <w:t>photolysis,</w:t>
      </w:r>
      <w:r w:rsidR="00C322B2" w:rsidRPr="00C322B2">
        <w:rPr>
          <w:rFonts w:asciiTheme="minorHAnsi" w:hAnsiTheme="minorHAnsi" w:cstheme="minorHAnsi"/>
          <w:sz w:val="22"/>
          <w:szCs w:val="22"/>
        </w:rPr>
        <w:t xml:space="preserve"> or </w:t>
      </w:r>
      <w:r w:rsidR="00C322B2" w:rsidRPr="00C322B2">
        <w:rPr>
          <w:rFonts w:asciiTheme="minorHAnsi" w:hAnsiTheme="minorHAnsi" w:cstheme="minorHAnsi"/>
          <w:spacing w:val="-1"/>
          <w:sz w:val="22"/>
          <w:szCs w:val="22"/>
        </w:rPr>
        <w:t>biodegradation.</w:t>
      </w:r>
      <w:r w:rsidR="00C322B2" w:rsidRPr="00C322B2">
        <w:rPr>
          <w:rFonts w:asciiTheme="minorHAnsi" w:hAnsiTheme="minorHAnsi" w:cstheme="minorHAnsi"/>
          <w:spacing w:val="3"/>
          <w:sz w:val="22"/>
          <w:szCs w:val="22"/>
        </w:rPr>
        <w:t xml:space="preserve"> </w:t>
      </w:r>
    </w:p>
    <w:p w14:paraId="47947048" w14:textId="77777777" w:rsidR="00C322B2" w:rsidRPr="00C322B2" w:rsidRDefault="00C322B2" w:rsidP="00C322B2">
      <w:pPr>
        <w:pStyle w:val="BodyText"/>
        <w:spacing w:before="53" w:line="239" w:lineRule="auto"/>
        <w:ind w:left="0" w:right="194"/>
        <w:rPr>
          <w:rFonts w:asciiTheme="minorHAnsi" w:hAnsiTheme="minorHAnsi" w:cstheme="minorHAnsi"/>
          <w:spacing w:val="-1"/>
          <w:sz w:val="22"/>
          <w:szCs w:val="22"/>
        </w:rPr>
      </w:pPr>
    </w:p>
    <w:p w14:paraId="24A46634" w14:textId="7421F957" w:rsidR="00C322B2" w:rsidRPr="00C322B2" w:rsidRDefault="00C322B2" w:rsidP="00C322B2">
      <w:pPr>
        <w:pStyle w:val="BodyText"/>
        <w:widowControl/>
        <w:ind w:left="0" w:right="187"/>
        <w:rPr>
          <w:rFonts w:asciiTheme="minorHAnsi" w:hAnsiTheme="minorHAnsi" w:cstheme="minorHAnsi"/>
          <w:sz w:val="22"/>
          <w:szCs w:val="22"/>
        </w:rPr>
      </w:pPr>
      <w:r w:rsidRPr="00C322B2">
        <w:rPr>
          <w:rFonts w:asciiTheme="minorHAnsi" w:hAnsiTheme="minorHAnsi" w:cstheme="minorHAnsi"/>
          <w:sz w:val="22"/>
          <w:szCs w:val="22"/>
        </w:rPr>
        <w:t xml:space="preserve">Studies suggest that propazine is stable to both abiotic processes of hydrolysis and aqueous photolysis. Propazine is also fairly stable under aerobic and anaerobic aquatic metabolism with half-lives ranging from 146 to 1240 days (extrapolated past the end of the study) and 69.3 to 122 days respectively. Batch equilibrium experiments suggest </w:t>
      </w:r>
      <w:r w:rsidRPr="00C322B2">
        <w:rPr>
          <w:rFonts w:asciiTheme="minorHAnsi" w:hAnsiTheme="minorHAnsi" w:cstheme="minorHAnsi"/>
          <w:position w:val="2"/>
          <w:sz w:val="22"/>
          <w:szCs w:val="22"/>
        </w:rPr>
        <w:t>that propazine is mobile, with Freundlich K</w:t>
      </w:r>
      <w:r w:rsidRPr="00C322B2">
        <w:rPr>
          <w:rFonts w:asciiTheme="minorHAnsi" w:hAnsiTheme="minorHAnsi" w:cstheme="minorHAnsi"/>
          <w:sz w:val="22"/>
          <w:szCs w:val="22"/>
        </w:rPr>
        <w:t xml:space="preserve">d </w:t>
      </w:r>
      <w:r w:rsidRPr="00C322B2">
        <w:rPr>
          <w:rFonts w:asciiTheme="minorHAnsi" w:hAnsiTheme="minorHAnsi" w:cstheme="minorHAnsi"/>
          <w:position w:val="2"/>
          <w:sz w:val="22"/>
          <w:szCs w:val="22"/>
        </w:rPr>
        <w:t>values ranging from 0.34 to 3.19 in two separate studies involving 8 soil textures. The K</w:t>
      </w:r>
      <w:r w:rsidRPr="00C322B2">
        <w:rPr>
          <w:rFonts w:asciiTheme="minorHAnsi" w:hAnsiTheme="minorHAnsi" w:cstheme="minorHAnsi"/>
          <w:sz w:val="22"/>
          <w:szCs w:val="22"/>
        </w:rPr>
        <w:t xml:space="preserve">oc </w:t>
      </w:r>
      <w:r w:rsidRPr="00C322B2">
        <w:rPr>
          <w:rFonts w:asciiTheme="minorHAnsi" w:hAnsiTheme="minorHAnsi" w:cstheme="minorHAnsi"/>
          <w:position w:val="2"/>
          <w:sz w:val="22"/>
          <w:szCs w:val="22"/>
        </w:rPr>
        <w:t>values ranged from 65 to 268 in these same studies.</w:t>
      </w:r>
      <w:r w:rsidRPr="00C322B2">
        <w:rPr>
          <w:rFonts w:asciiTheme="minorHAnsi" w:hAnsiTheme="minorHAnsi" w:cstheme="minorHAnsi"/>
          <w:sz w:val="22"/>
          <w:szCs w:val="22"/>
        </w:rPr>
        <w:t xml:space="preserve">  </w:t>
      </w:r>
    </w:p>
    <w:p w14:paraId="51F1AFE2" w14:textId="77777777" w:rsidR="00C322B2" w:rsidRPr="00C322B2" w:rsidRDefault="00C322B2" w:rsidP="00C322B2">
      <w:pPr>
        <w:pStyle w:val="BodyText"/>
        <w:ind w:left="0" w:right="194"/>
        <w:rPr>
          <w:rFonts w:asciiTheme="minorHAnsi" w:hAnsiTheme="minorHAnsi" w:cstheme="minorHAnsi"/>
          <w:sz w:val="22"/>
          <w:szCs w:val="22"/>
        </w:rPr>
      </w:pPr>
    </w:p>
    <w:p w14:paraId="6934A4F8" w14:textId="687A0F62" w:rsidR="006A290E" w:rsidRPr="00C322B2" w:rsidRDefault="66E703AC" w:rsidP="70B86C6F">
      <w:pPr>
        <w:spacing w:after="0" w:line="240" w:lineRule="auto"/>
        <w:rPr>
          <w:rFonts w:asciiTheme="minorHAnsi" w:hAnsiTheme="minorHAnsi" w:cstheme="minorBidi"/>
        </w:rPr>
      </w:pPr>
      <w:r w:rsidRPr="70B86C6F">
        <w:rPr>
          <w:rFonts w:asciiTheme="minorHAnsi" w:hAnsiTheme="minorHAnsi" w:cstheme="minorBidi"/>
        </w:rPr>
        <w:t>The</w:t>
      </w:r>
      <w:r w:rsidRPr="70B86C6F">
        <w:rPr>
          <w:rFonts w:asciiTheme="minorHAnsi" w:hAnsiTheme="minorHAnsi" w:cstheme="minorBidi"/>
          <w:spacing w:val="-2"/>
        </w:rPr>
        <w:t xml:space="preserve"> </w:t>
      </w:r>
      <w:r w:rsidRPr="70B86C6F">
        <w:rPr>
          <w:rFonts w:asciiTheme="minorHAnsi" w:hAnsiTheme="minorHAnsi" w:cstheme="minorBidi"/>
        </w:rPr>
        <w:t>mobility</w:t>
      </w:r>
      <w:r w:rsidRPr="70B86C6F">
        <w:rPr>
          <w:rFonts w:asciiTheme="minorHAnsi" w:hAnsiTheme="minorHAnsi" w:cstheme="minorBidi"/>
          <w:spacing w:val="-8"/>
        </w:rPr>
        <w:t xml:space="preserve"> </w:t>
      </w:r>
      <w:r w:rsidRPr="70B86C6F">
        <w:rPr>
          <w:rFonts w:asciiTheme="minorHAnsi" w:hAnsiTheme="minorHAnsi" w:cstheme="minorBidi"/>
          <w:spacing w:val="1"/>
        </w:rPr>
        <w:t>of</w:t>
      </w:r>
      <w:r w:rsidRPr="70B86C6F">
        <w:rPr>
          <w:rFonts w:asciiTheme="minorHAnsi" w:hAnsiTheme="minorHAnsi" w:cstheme="minorBidi"/>
        </w:rPr>
        <w:t xml:space="preserve"> propazine</w:t>
      </w:r>
      <w:r w:rsidRPr="70B86C6F">
        <w:rPr>
          <w:rFonts w:asciiTheme="minorHAnsi" w:hAnsiTheme="minorHAnsi" w:cstheme="minorBidi"/>
          <w:spacing w:val="-1"/>
        </w:rPr>
        <w:t xml:space="preserve"> </w:t>
      </w:r>
      <w:r w:rsidRPr="70B86C6F">
        <w:rPr>
          <w:rFonts w:asciiTheme="minorHAnsi" w:hAnsiTheme="minorHAnsi" w:cstheme="minorBidi"/>
        </w:rPr>
        <w:t xml:space="preserve">is also </w:t>
      </w:r>
      <w:r w:rsidRPr="70B86C6F">
        <w:rPr>
          <w:rFonts w:asciiTheme="minorHAnsi" w:hAnsiTheme="minorHAnsi" w:cstheme="minorBidi"/>
          <w:spacing w:val="-1"/>
        </w:rPr>
        <w:t>noted</w:t>
      </w:r>
      <w:r w:rsidRPr="70B86C6F">
        <w:rPr>
          <w:rFonts w:asciiTheme="minorHAnsi" w:hAnsiTheme="minorHAnsi" w:cstheme="minorBidi"/>
        </w:rPr>
        <w:t xml:space="preserve"> in the</w:t>
      </w:r>
      <w:r w:rsidRPr="70B86C6F">
        <w:rPr>
          <w:rFonts w:asciiTheme="minorHAnsi" w:hAnsiTheme="minorHAnsi" w:cstheme="minorBidi"/>
          <w:spacing w:val="-1"/>
        </w:rPr>
        <w:t xml:space="preserve"> supplemental</w:t>
      </w:r>
      <w:r w:rsidRPr="70B86C6F">
        <w:rPr>
          <w:rFonts w:asciiTheme="minorHAnsi" w:hAnsiTheme="minorHAnsi" w:cstheme="minorBidi"/>
        </w:rPr>
        <w:t xml:space="preserve"> </w:t>
      </w:r>
      <w:r w:rsidRPr="70B86C6F">
        <w:rPr>
          <w:rFonts w:asciiTheme="minorHAnsi" w:hAnsiTheme="minorHAnsi" w:cstheme="minorBidi"/>
          <w:spacing w:val="-1"/>
        </w:rPr>
        <w:t>terrestrial</w:t>
      </w:r>
      <w:r w:rsidRPr="70B86C6F">
        <w:rPr>
          <w:rFonts w:asciiTheme="minorHAnsi" w:hAnsiTheme="minorHAnsi" w:cstheme="minorBidi"/>
        </w:rPr>
        <w:t xml:space="preserve"> </w:t>
      </w:r>
      <w:r w:rsidRPr="70B86C6F">
        <w:rPr>
          <w:rFonts w:asciiTheme="minorHAnsi" w:hAnsiTheme="minorHAnsi" w:cstheme="minorBidi"/>
          <w:spacing w:val="-1"/>
        </w:rPr>
        <w:t>field</w:t>
      </w:r>
      <w:r w:rsidRPr="70B86C6F">
        <w:rPr>
          <w:rFonts w:asciiTheme="minorHAnsi" w:hAnsiTheme="minorHAnsi" w:cstheme="minorBidi"/>
          <w:spacing w:val="2"/>
        </w:rPr>
        <w:t xml:space="preserve"> </w:t>
      </w:r>
      <w:r w:rsidRPr="70B86C6F">
        <w:rPr>
          <w:rFonts w:asciiTheme="minorHAnsi" w:hAnsiTheme="minorHAnsi" w:cstheme="minorBidi"/>
        </w:rPr>
        <w:t>dissipation studies,</w:t>
      </w:r>
      <w:r w:rsidRPr="70B86C6F">
        <w:rPr>
          <w:rFonts w:asciiTheme="minorHAnsi" w:hAnsiTheme="minorHAnsi" w:cstheme="minorBidi"/>
          <w:spacing w:val="57"/>
        </w:rPr>
        <w:t xml:space="preserve"> </w:t>
      </w:r>
      <w:r w:rsidRPr="70B86C6F">
        <w:rPr>
          <w:rFonts w:asciiTheme="minorHAnsi" w:hAnsiTheme="minorHAnsi" w:cstheme="minorBidi"/>
          <w:spacing w:val="-1"/>
        </w:rPr>
        <w:t>suggesting</w:t>
      </w:r>
      <w:r w:rsidRPr="70B86C6F">
        <w:rPr>
          <w:rFonts w:asciiTheme="minorHAnsi" w:hAnsiTheme="minorHAnsi" w:cstheme="minorBidi"/>
          <w:spacing w:val="-3"/>
        </w:rPr>
        <w:t xml:space="preserve"> </w:t>
      </w:r>
      <w:r w:rsidRPr="70B86C6F">
        <w:rPr>
          <w:rFonts w:asciiTheme="minorHAnsi" w:hAnsiTheme="minorHAnsi" w:cstheme="minorBidi"/>
        </w:rPr>
        <w:t xml:space="preserve">that </w:t>
      </w:r>
      <w:r w:rsidRPr="70B86C6F">
        <w:rPr>
          <w:rFonts w:asciiTheme="minorHAnsi" w:hAnsiTheme="minorHAnsi" w:cstheme="minorBidi"/>
          <w:spacing w:val="-1"/>
        </w:rPr>
        <w:t>propazine</w:t>
      </w:r>
      <w:r w:rsidRPr="70B86C6F">
        <w:rPr>
          <w:rFonts w:asciiTheme="minorHAnsi" w:hAnsiTheme="minorHAnsi" w:cstheme="minorBidi"/>
          <w:spacing w:val="1"/>
        </w:rPr>
        <w:t xml:space="preserve"> </w:t>
      </w:r>
      <w:r w:rsidRPr="70B86C6F">
        <w:rPr>
          <w:rFonts w:asciiTheme="minorHAnsi" w:hAnsiTheme="minorHAnsi" w:cstheme="minorBidi"/>
          <w:spacing w:val="-1"/>
        </w:rPr>
        <w:t>persists in</w:t>
      </w:r>
      <w:r w:rsidRPr="70B86C6F">
        <w:rPr>
          <w:rFonts w:asciiTheme="minorHAnsi" w:hAnsiTheme="minorHAnsi" w:cstheme="minorBidi"/>
        </w:rPr>
        <w:t xml:space="preserve"> </w:t>
      </w:r>
      <w:r w:rsidRPr="70B86C6F">
        <w:rPr>
          <w:rFonts w:asciiTheme="minorHAnsi" w:hAnsiTheme="minorHAnsi" w:cstheme="minorBidi"/>
          <w:spacing w:val="1"/>
        </w:rPr>
        <w:t>the</w:t>
      </w:r>
      <w:r w:rsidRPr="70B86C6F">
        <w:rPr>
          <w:rFonts w:asciiTheme="minorHAnsi" w:hAnsiTheme="minorHAnsi" w:cstheme="minorBidi"/>
          <w:spacing w:val="-1"/>
        </w:rPr>
        <w:t xml:space="preserve"> upper</w:t>
      </w:r>
      <w:r w:rsidRPr="70B86C6F">
        <w:rPr>
          <w:rFonts w:asciiTheme="minorHAnsi" w:hAnsiTheme="minorHAnsi" w:cstheme="minorBidi"/>
        </w:rPr>
        <w:t xml:space="preserve"> 6 </w:t>
      </w:r>
      <w:r w:rsidRPr="70B86C6F">
        <w:rPr>
          <w:rFonts w:asciiTheme="minorHAnsi" w:hAnsiTheme="minorHAnsi" w:cstheme="minorBidi"/>
          <w:spacing w:val="-1"/>
        </w:rPr>
        <w:t>inches</w:t>
      </w:r>
      <w:r w:rsidRPr="70B86C6F">
        <w:rPr>
          <w:rFonts w:asciiTheme="minorHAnsi" w:hAnsiTheme="minorHAnsi" w:cstheme="minorBidi"/>
        </w:rPr>
        <w:t xml:space="preserve"> </w:t>
      </w:r>
      <w:r w:rsidRPr="70B86C6F">
        <w:rPr>
          <w:rFonts w:asciiTheme="minorHAnsi" w:hAnsiTheme="minorHAnsi" w:cstheme="minorBidi"/>
          <w:spacing w:val="-1"/>
        </w:rPr>
        <w:t>and</w:t>
      </w:r>
      <w:r w:rsidRPr="70B86C6F">
        <w:rPr>
          <w:rFonts w:asciiTheme="minorHAnsi" w:hAnsiTheme="minorHAnsi" w:cstheme="minorBidi"/>
          <w:spacing w:val="38"/>
        </w:rPr>
        <w:t xml:space="preserve"> </w:t>
      </w:r>
      <w:r w:rsidRPr="70B86C6F">
        <w:rPr>
          <w:rFonts w:asciiTheme="minorHAnsi" w:hAnsiTheme="minorHAnsi" w:cstheme="minorBidi"/>
        </w:rPr>
        <w:t>may</w:t>
      </w:r>
      <w:r w:rsidRPr="70B86C6F">
        <w:rPr>
          <w:rFonts w:asciiTheme="minorHAnsi" w:hAnsiTheme="minorHAnsi" w:cstheme="minorBidi"/>
          <w:spacing w:val="-5"/>
        </w:rPr>
        <w:t xml:space="preserve"> </w:t>
      </w:r>
      <w:r w:rsidRPr="70B86C6F">
        <w:rPr>
          <w:rFonts w:asciiTheme="minorHAnsi" w:hAnsiTheme="minorHAnsi" w:cstheme="minorBidi"/>
          <w:spacing w:val="-1"/>
        </w:rPr>
        <w:t>leach</w:t>
      </w:r>
      <w:r w:rsidRPr="70B86C6F">
        <w:rPr>
          <w:rFonts w:asciiTheme="minorHAnsi" w:hAnsiTheme="minorHAnsi" w:cstheme="minorBidi"/>
        </w:rPr>
        <w:t xml:space="preserve"> to</w:t>
      </w:r>
      <w:r w:rsidRPr="70B86C6F">
        <w:rPr>
          <w:rFonts w:asciiTheme="minorHAnsi" w:hAnsiTheme="minorHAnsi" w:cstheme="minorBidi"/>
          <w:spacing w:val="2"/>
        </w:rPr>
        <w:t xml:space="preserve"> </w:t>
      </w:r>
      <w:r w:rsidRPr="70B86C6F">
        <w:rPr>
          <w:rFonts w:asciiTheme="minorHAnsi" w:hAnsiTheme="minorHAnsi" w:cstheme="minorBidi"/>
          <w:spacing w:val="-1"/>
        </w:rPr>
        <w:t xml:space="preserve">ground </w:t>
      </w:r>
      <w:r w:rsidRPr="70B86C6F">
        <w:rPr>
          <w:rFonts w:asciiTheme="minorHAnsi" w:hAnsiTheme="minorHAnsi" w:cstheme="minorBidi"/>
        </w:rPr>
        <w:t>water.</w:t>
      </w:r>
      <w:r w:rsidRPr="70B86C6F">
        <w:rPr>
          <w:rFonts w:asciiTheme="minorHAnsi" w:hAnsiTheme="minorHAnsi" w:cstheme="minorBidi"/>
          <w:spacing w:val="-5"/>
        </w:rPr>
        <w:t xml:space="preserve"> </w:t>
      </w:r>
      <w:r w:rsidR="40A9037F" w:rsidRPr="70B86C6F">
        <w:rPr>
          <w:rFonts w:asciiTheme="minorHAnsi" w:hAnsiTheme="minorHAnsi" w:cstheme="minorBidi"/>
          <w:spacing w:val="-5"/>
        </w:rPr>
        <w:t xml:space="preserve">Therefore, </w:t>
      </w:r>
      <w:r w:rsidRPr="70B86C6F">
        <w:rPr>
          <w:rFonts w:asciiTheme="minorHAnsi" w:hAnsiTheme="minorHAnsi" w:cstheme="minorBidi"/>
        </w:rPr>
        <w:t>the use</w:t>
      </w:r>
      <w:r w:rsidRPr="70B86C6F">
        <w:rPr>
          <w:rFonts w:asciiTheme="minorHAnsi" w:hAnsiTheme="minorHAnsi" w:cstheme="minorBidi"/>
          <w:spacing w:val="-2"/>
        </w:rPr>
        <w:t xml:space="preserve"> </w:t>
      </w:r>
      <w:r w:rsidRPr="70B86C6F">
        <w:rPr>
          <w:rFonts w:asciiTheme="minorHAnsi" w:hAnsiTheme="minorHAnsi" w:cstheme="minorBidi"/>
          <w:spacing w:val="1"/>
        </w:rPr>
        <w:t>of</w:t>
      </w:r>
      <w:r w:rsidRPr="70B86C6F">
        <w:rPr>
          <w:rFonts w:asciiTheme="minorHAnsi" w:hAnsiTheme="minorHAnsi" w:cstheme="minorBidi"/>
        </w:rPr>
        <w:t xml:space="preserve"> propazine may</w:t>
      </w:r>
      <w:r w:rsidRPr="70B86C6F">
        <w:rPr>
          <w:rFonts w:asciiTheme="minorHAnsi" w:hAnsiTheme="minorHAnsi" w:cstheme="minorBidi"/>
          <w:spacing w:val="-5"/>
        </w:rPr>
        <w:t xml:space="preserve"> </w:t>
      </w:r>
      <w:r w:rsidRPr="70B86C6F">
        <w:rPr>
          <w:rFonts w:asciiTheme="minorHAnsi" w:hAnsiTheme="minorHAnsi" w:cstheme="minorBidi"/>
        </w:rPr>
        <w:t xml:space="preserve">result in </w:t>
      </w:r>
      <w:r w:rsidRPr="70B86C6F">
        <w:rPr>
          <w:rFonts w:asciiTheme="minorHAnsi" w:hAnsiTheme="minorHAnsi" w:cstheme="minorBidi"/>
          <w:spacing w:val="-1"/>
        </w:rPr>
        <w:t>groundwater</w:t>
      </w:r>
      <w:r w:rsidRPr="70B86C6F">
        <w:rPr>
          <w:rFonts w:asciiTheme="minorHAnsi" w:hAnsiTheme="minorHAnsi" w:cstheme="minorBidi"/>
          <w:spacing w:val="-2"/>
        </w:rPr>
        <w:t xml:space="preserve"> </w:t>
      </w:r>
      <w:r w:rsidRPr="70B86C6F">
        <w:rPr>
          <w:rFonts w:asciiTheme="minorHAnsi" w:hAnsiTheme="minorHAnsi" w:cstheme="minorBidi"/>
        </w:rPr>
        <w:t xml:space="preserve">and/or </w:t>
      </w:r>
      <w:r w:rsidRPr="70B86C6F">
        <w:rPr>
          <w:rFonts w:asciiTheme="minorHAnsi" w:hAnsiTheme="minorHAnsi" w:cstheme="minorBidi"/>
          <w:spacing w:val="-1"/>
        </w:rPr>
        <w:t>surface</w:t>
      </w:r>
      <w:r w:rsidRPr="70B86C6F">
        <w:rPr>
          <w:rFonts w:asciiTheme="minorHAnsi" w:hAnsiTheme="minorHAnsi" w:cstheme="minorBidi"/>
          <w:spacing w:val="1"/>
        </w:rPr>
        <w:t xml:space="preserve"> </w:t>
      </w:r>
      <w:r w:rsidRPr="70B86C6F">
        <w:rPr>
          <w:rFonts w:asciiTheme="minorHAnsi" w:hAnsiTheme="minorHAnsi" w:cstheme="minorBidi"/>
        </w:rPr>
        <w:t>water</w:t>
      </w:r>
      <w:r w:rsidRPr="70B86C6F">
        <w:rPr>
          <w:rFonts w:asciiTheme="minorHAnsi" w:hAnsiTheme="minorHAnsi" w:cstheme="minorBidi"/>
          <w:spacing w:val="-2"/>
        </w:rPr>
        <w:t xml:space="preserve"> </w:t>
      </w:r>
      <w:r w:rsidRPr="70B86C6F">
        <w:rPr>
          <w:rFonts w:asciiTheme="minorHAnsi" w:hAnsiTheme="minorHAnsi" w:cstheme="minorBidi"/>
          <w:spacing w:val="-1"/>
        </w:rPr>
        <w:t>contamination</w:t>
      </w:r>
      <w:r w:rsidRPr="70B86C6F">
        <w:rPr>
          <w:rFonts w:asciiTheme="minorHAnsi" w:hAnsiTheme="minorHAnsi" w:cstheme="minorBidi"/>
        </w:rPr>
        <w:t xml:space="preserve"> in</w:t>
      </w:r>
      <w:r w:rsidRPr="70B86C6F">
        <w:rPr>
          <w:rFonts w:asciiTheme="minorHAnsi" w:hAnsiTheme="minorHAnsi" w:cstheme="minorBidi"/>
          <w:spacing w:val="54"/>
        </w:rPr>
        <w:t xml:space="preserve"> </w:t>
      </w:r>
      <w:r w:rsidRPr="70B86C6F">
        <w:rPr>
          <w:rFonts w:asciiTheme="minorHAnsi" w:hAnsiTheme="minorHAnsi" w:cstheme="minorBidi"/>
          <w:spacing w:val="-1"/>
        </w:rPr>
        <w:t>areas</w:t>
      </w:r>
      <w:r w:rsidRPr="70B86C6F">
        <w:rPr>
          <w:rFonts w:asciiTheme="minorHAnsi" w:hAnsiTheme="minorHAnsi" w:cstheme="minorBidi"/>
          <w:spacing w:val="2"/>
        </w:rPr>
        <w:t xml:space="preserve"> </w:t>
      </w:r>
      <w:r w:rsidRPr="70B86C6F">
        <w:rPr>
          <w:rFonts w:asciiTheme="minorHAnsi" w:hAnsiTheme="minorHAnsi" w:cstheme="minorBidi"/>
          <w:spacing w:val="-1"/>
        </w:rPr>
        <w:t xml:space="preserve">where </w:t>
      </w:r>
      <w:r w:rsidRPr="70B86C6F">
        <w:rPr>
          <w:rFonts w:asciiTheme="minorHAnsi" w:hAnsiTheme="minorHAnsi" w:cstheme="minorBidi"/>
        </w:rPr>
        <w:t xml:space="preserve">soils </w:t>
      </w:r>
      <w:r w:rsidRPr="70B86C6F">
        <w:rPr>
          <w:rFonts w:asciiTheme="minorHAnsi" w:hAnsiTheme="minorHAnsi" w:cstheme="minorBidi"/>
          <w:spacing w:val="-1"/>
        </w:rPr>
        <w:t xml:space="preserve">are </w:t>
      </w:r>
      <w:r w:rsidRPr="70B86C6F">
        <w:rPr>
          <w:rFonts w:asciiTheme="minorHAnsi" w:hAnsiTheme="minorHAnsi" w:cstheme="minorBidi"/>
        </w:rPr>
        <w:t>highly</w:t>
      </w:r>
      <w:r w:rsidRPr="70B86C6F">
        <w:rPr>
          <w:rFonts w:asciiTheme="minorHAnsi" w:hAnsiTheme="minorHAnsi" w:cstheme="minorBidi"/>
          <w:spacing w:val="-5"/>
        </w:rPr>
        <w:t xml:space="preserve"> </w:t>
      </w:r>
      <w:r w:rsidRPr="70B86C6F">
        <w:rPr>
          <w:rFonts w:asciiTheme="minorHAnsi" w:hAnsiTheme="minorHAnsi" w:cstheme="minorBidi"/>
          <w:spacing w:val="-1"/>
        </w:rPr>
        <w:t>permeable,</w:t>
      </w:r>
      <w:r w:rsidRPr="70B86C6F">
        <w:rPr>
          <w:rFonts w:asciiTheme="minorHAnsi" w:hAnsiTheme="minorHAnsi" w:cstheme="minorBidi"/>
        </w:rPr>
        <w:t xml:space="preserve"> the</w:t>
      </w:r>
      <w:r w:rsidRPr="70B86C6F">
        <w:rPr>
          <w:rFonts w:asciiTheme="minorHAnsi" w:hAnsiTheme="minorHAnsi" w:cstheme="minorBidi"/>
          <w:spacing w:val="1"/>
        </w:rPr>
        <w:t xml:space="preserve"> </w:t>
      </w:r>
      <w:r w:rsidRPr="70B86C6F">
        <w:rPr>
          <w:rFonts w:asciiTheme="minorHAnsi" w:hAnsiTheme="minorHAnsi" w:cstheme="minorBidi"/>
          <w:spacing w:val="-1"/>
        </w:rPr>
        <w:t>water</w:t>
      </w:r>
      <w:r w:rsidRPr="70B86C6F">
        <w:rPr>
          <w:rFonts w:asciiTheme="minorHAnsi" w:hAnsiTheme="minorHAnsi" w:cstheme="minorBidi"/>
          <w:spacing w:val="1"/>
        </w:rPr>
        <w:t xml:space="preserve"> </w:t>
      </w:r>
      <w:r w:rsidRPr="70B86C6F">
        <w:rPr>
          <w:rFonts w:asciiTheme="minorHAnsi" w:hAnsiTheme="minorHAnsi" w:cstheme="minorBidi"/>
        </w:rPr>
        <w:t>table</w:t>
      </w:r>
      <w:r w:rsidRPr="70B86C6F">
        <w:rPr>
          <w:rFonts w:asciiTheme="minorHAnsi" w:hAnsiTheme="minorHAnsi" w:cstheme="minorBidi"/>
          <w:spacing w:val="-1"/>
        </w:rPr>
        <w:t xml:space="preserve"> </w:t>
      </w:r>
      <w:r w:rsidRPr="70B86C6F">
        <w:rPr>
          <w:rFonts w:asciiTheme="minorHAnsi" w:hAnsiTheme="minorHAnsi" w:cstheme="minorBidi"/>
        </w:rPr>
        <w:t xml:space="preserve">is </w:t>
      </w:r>
      <w:r w:rsidRPr="70B86C6F">
        <w:rPr>
          <w:rFonts w:asciiTheme="minorHAnsi" w:hAnsiTheme="minorHAnsi" w:cstheme="minorBidi"/>
          <w:spacing w:val="-1"/>
        </w:rPr>
        <w:t>shallow,</w:t>
      </w:r>
      <w:r w:rsidRPr="70B86C6F">
        <w:rPr>
          <w:rFonts w:asciiTheme="minorHAnsi" w:hAnsiTheme="minorHAnsi" w:cstheme="minorBidi"/>
        </w:rPr>
        <w:t xml:space="preserve"> or</w:t>
      </w:r>
      <w:r w:rsidRPr="70B86C6F">
        <w:rPr>
          <w:rFonts w:asciiTheme="minorHAnsi" w:hAnsiTheme="minorHAnsi" w:cstheme="minorBidi"/>
          <w:spacing w:val="-2"/>
        </w:rPr>
        <w:t xml:space="preserve"> </w:t>
      </w:r>
      <w:r w:rsidRPr="70B86C6F">
        <w:rPr>
          <w:rFonts w:asciiTheme="minorHAnsi" w:hAnsiTheme="minorHAnsi" w:cstheme="minorBidi"/>
          <w:spacing w:val="-1"/>
        </w:rPr>
        <w:t xml:space="preserve">where there </w:t>
      </w:r>
      <w:r w:rsidRPr="70B86C6F">
        <w:rPr>
          <w:rFonts w:asciiTheme="minorHAnsi" w:hAnsiTheme="minorHAnsi" w:cstheme="minorBidi"/>
        </w:rPr>
        <w:t xml:space="preserve">is </w:t>
      </w:r>
      <w:r w:rsidRPr="70B86C6F">
        <w:rPr>
          <w:rFonts w:asciiTheme="minorHAnsi" w:hAnsiTheme="minorHAnsi" w:cstheme="minorBidi"/>
          <w:spacing w:val="-1"/>
        </w:rPr>
        <w:t>irrigatio</w:t>
      </w:r>
      <w:r w:rsidR="42F4D674" w:rsidRPr="70B86C6F">
        <w:rPr>
          <w:rFonts w:asciiTheme="minorHAnsi" w:hAnsiTheme="minorHAnsi" w:cstheme="minorBidi"/>
          <w:spacing w:val="-1"/>
        </w:rPr>
        <w:t>n and</w:t>
      </w:r>
      <w:r w:rsidRPr="70B86C6F">
        <w:rPr>
          <w:rFonts w:asciiTheme="minorHAnsi" w:hAnsiTheme="minorHAnsi" w:cstheme="minorBidi"/>
          <w:spacing w:val="-1"/>
        </w:rPr>
        <w:t>/or</w:t>
      </w:r>
      <w:r w:rsidRPr="70B86C6F">
        <w:rPr>
          <w:rFonts w:asciiTheme="minorHAnsi" w:hAnsiTheme="minorHAnsi" w:cstheme="minorBidi"/>
        </w:rPr>
        <w:t xml:space="preserve"> </w:t>
      </w:r>
      <w:r w:rsidRPr="70B86C6F">
        <w:rPr>
          <w:rFonts w:asciiTheme="minorHAnsi" w:hAnsiTheme="minorHAnsi" w:cstheme="minorBidi"/>
          <w:spacing w:val="-1"/>
        </w:rPr>
        <w:t>high</w:t>
      </w:r>
      <w:r w:rsidRPr="70B86C6F">
        <w:rPr>
          <w:rFonts w:asciiTheme="minorHAnsi" w:hAnsiTheme="minorHAnsi" w:cstheme="minorBidi"/>
          <w:spacing w:val="2"/>
        </w:rPr>
        <w:t xml:space="preserve"> </w:t>
      </w:r>
      <w:r w:rsidRPr="70B86C6F">
        <w:rPr>
          <w:rFonts w:asciiTheme="minorHAnsi" w:hAnsiTheme="minorHAnsi" w:cstheme="minorBidi"/>
          <w:spacing w:val="-1"/>
        </w:rPr>
        <w:t>rainfall which promote runof</w:t>
      </w:r>
      <w:r w:rsidR="42F4D674" w:rsidRPr="70B86C6F">
        <w:rPr>
          <w:rFonts w:asciiTheme="minorHAnsi" w:hAnsiTheme="minorHAnsi" w:cstheme="minorBidi"/>
          <w:spacing w:val="-1"/>
        </w:rPr>
        <w:t xml:space="preserve">f. </w:t>
      </w:r>
      <w:r w:rsidRPr="70B86C6F">
        <w:rPr>
          <w:rFonts w:asciiTheme="minorHAnsi" w:hAnsiTheme="minorHAnsi" w:cstheme="minorBidi"/>
        </w:rPr>
        <w:t>Volatility</w:t>
      </w:r>
      <w:r w:rsidRPr="70B86C6F">
        <w:rPr>
          <w:rFonts w:asciiTheme="minorHAnsi" w:hAnsiTheme="minorHAnsi" w:cstheme="minorBidi"/>
          <w:spacing w:val="-6"/>
        </w:rPr>
        <w:t xml:space="preserve"> </w:t>
      </w:r>
      <w:r w:rsidRPr="70B86C6F">
        <w:rPr>
          <w:rFonts w:asciiTheme="minorHAnsi" w:hAnsiTheme="minorHAnsi" w:cstheme="minorBidi"/>
          <w:spacing w:val="-1"/>
        </w:rPr>
        <w:t>and</w:t>
      </w:r>
      <w:r w:rsidRPr="70B86C6F">
        <w:rPr>
          <w:rFonts w:asciiTheme="minorHAnsi" w:hAnsiTheme="minorHAnsi" w:cstheme="minorBidi"/>
        </w:rPr>
        <w:t xml:space="preserve"> </w:t>
      </w:r>
      <w:r w:rsidRPr="70B86C6F">
        <w:rPr>
          <w:rFonts w:asciiTheme="minorHAnsi" w:hAnsiTheme="minorHAnsi" w:cstheme="minorBidi"/>
          <w:spacing w:val="-1"/>
        </w:rPr>
        <w:t>air</w:t>
      </w:r>
      <w:r w:rsidRPr="70B86C6F">
        <w:rPr>
          <w:rFonts w:asciiTheme="minorHAnsi" w:hAnsiTheme="minorHAnsi" w:cstheme="minorBidi"/>
        </w:rPr>
        <w:t xml:space="preserve"> photolysis </w:t>
      </w:r>
      <w:r w:rsidRPr="70B86C6F">
        <w:rPr>
          <w:rFonts w:asciiTheme="minorHAnsi" w:hAnsiTheme="minorHAnsi" w:cstheme="minorBidi"/>
          <w:spacing w:val="-1"/>
        </w:rPr>
        <w:t>are</w:t>
      </w:r>
      <w:r w:rsidRPr="70B86C6F">
        <w:rPr>
          <w:rFonts w:asciiTheme="minorHAnsi" w:hAnsiTheme="minorHAnsi" w:cstheme="minorBidi"/>
          <w:spacing w:val="-2"/>
        </w:rPr>
        <w:t xml:space="preserve"> </w:t>
      </w:r>
      <w:r w:rsidRPr="70B86C6F">
        <w:rPr>
          <w:rFonts w:asciiTheme="minorHAnsi" w:hAnsiTheme="minorHAnsi" w:cstheme="minorBidi"/>
        </w:rPr>
        <w:t xml:space="preserve">not </w:t>
      </w:r>
      <w:r w:rsidRPr="70B86C6F">
        <w:rPr>
          <w:rFonts w:asciiTheme="minorHAnsi" w:hAnsiTheme="minorHAnsi" w:cstheme="minorBidi"/>
          <w:spacing w:val="-1"/>
        </w:rPr>
        <w:t>expected</w:t>
      </w:r>
      <w:r w:rsidRPr="70B86C6F">
        <w:rPr>
          <w:rFonts w:asciiTheme="minorHAnsi" w:hAnsiTheme="minorHAnsi" w:cstheme="minorBidi"/>
        </w:rPr>
        <w:t xml:space="preserve"> to be</w:t>
      </w:r>
      <w:r w:rsidRPr="70B86C6F">
        <w:rPr>
          <w:rFonts w:asciiTheme="minorHAnsi" w:hAnsiTheme="minorHAnsi" w:cstheme="minorBidi"/>
          <w:spacing w:val="-1"/>
        </w:rPr>
        <w:t xml:space="preserve"> </w:t>
      </w:r>
      <w:r w:rsidRPr="70B86C6F">
        <w:rPr>
          <w:rFonts w:asciiTheme="minorHAnsi" w:hAnsiTheme="minorHAnsi" w:cstheme="minorBidi"/>
        </w:rPr>
        <w:t xml:space="preserve">major </w:t>
      </w:r>
      <w:r w:rsidRPr="70B86C6F">
        <w:rPr>
          <w:rFonts w:asciiTheme="minorHAnsi" w:hAnsiTheme="minorHAnsi" w:cstheme="minorBidi"/>
          <w:spacing w:val="-1"/>
        </w:rPr>
        <w:t>routes</w:t>
      </w:r>
      <w:r w:rsidRPr="70B86C6F">
        <w:rPr>
          <w:rFonts w:asciiTheme="minorHAnsi" w:hAnsiTheme="minorHAnsi" w:cstheme="minorBidi"/>
        </w:rPr>
        <w:t xml:space="preserve"> o</w:t>
      </w:r>
      <w:r w:rsidR="42F4D674" w:rsidRPr="70B86C6F">
        <w:rPr>
          <w:rFonts w:asciiTheme="minorHAnsi" w:hAnsiTheme="minorHAnsi" w:cstheme="minorBidi"/>
        </w:rPr>
        <w:t>f d</w:t>
      </w:r>
      <w:r w:rsidRPr="70B86C6F">
        <w:rPr>
          <w:rFonts w:asciiTheme="minorHAnsi" w:hAnsiTheme="minorHAnsi" w:cstheme="minorBidi"/>
        </w:rPr>
        <w:t xml:space="preserve">issipation due to the low </w:t>
      </w:r>
      <w:r w:rsidRPr="70B86C6F">
        <w:rPr>
          <w:rFonts w:asciiTheme="minorHAnsi" w:hAnsiTheme="minorHAnsi" w:cstheme="minorBidi"/>
          <w:spacing w:val="-1"/>
        </w:rPr>
        <w:t>vapor</w:t>
      </w:r>
      <w:r w:rsidRPr="70B86C6F">
        <w:rPr>
          <w:rFonts w:asciiTheme="minorHAnsi" w:hAnsiTheme="minorHAnsi" w:cstheme="minorBidi"/>
        </w:rPr>
        <w:t xml:space="preserve"> </w:t>
      </w:r>
      <w:r w:rsidRPr="70B86C6F">
        <w:rPr>
          <w:rFonts w:asciiTheme="minorHAnsi" w:hAnsiTheme="minorHAnsi" w:cstheme="minorBidi"/>
          <w:spacing w:val="-1"/>
        </w:rPr>
        <w:t>pressure</w:t>
      </w:r>
      <w:r w:rsidRPr="70B86C6F">
        <w:rPr>
          <w:rFonts w:asciiTheme="minorHAnsi" w:hAnsiTheme="minorHAnsi" w:cstheme="minorBidi"/>
          <w:spacing w:val="-2"/>
        </w:rPr>
        <w:t xml:space="preserve"> </w:t>
      </w:r>
      <w:r w:rsidRPr="70B86C6F">
        <w:rPr>
          <w:rFonts w:asciiTheme="minorHAnsi" w:hAnsiTheme="minorHAnsi" w:cstheme="minorBidi"/>
        </w:rPr>
        <w:t>(2.9</w:t>
      </w:r>
      <w:r w:rsidRPr="70B86C6F">
        <w:rPr>
          <w:rFonts w:asciiTheme="minorHAnsi" w:hAnsiTheme="minorHAnsi" w:cstheme="minorBidi"/>
          <w:spacing w:val="-1"/>
        </w:rPr>
        <w:t xml:space="preserve"> </w:t>
      </w:r>
      <w:r w:rsidRPr="70B86C6F">
        <w:rPr>
          <w:rFonts w:asciiTheme="minorHAnsi" w:hAnsiTheme="minorHAnsi" w:cstheme="minorBidi"/>
        </w:rPr>
        <w:t>x</w:t>
      </w:r>
      <w:r w:rsidRPr="70B86C6F">
        <w:rPr>
          <w:rFonts w:asciiTheme="minorHAnsi" w:hAnsiTheme="minorHAnsi" w:cstheme="minorBidi"/>
          <w:spacing w:val="2"/>
        </w:rPr>
        <w:t xml:space="preserve"> </w:t>
      </w:r>
      <w:r w:rsidRPr="70B86C6F">
        <w:rPr>
          <w:rFonts w:asciiTheme="minorHAnsi" w:hAnsiTheme="minorHAnsi" w:cstheme="minorBidi"/>
        </w:rPr>
        <w:t>1</w:t>
      </w:r>
      <w:r w:rsidR="455BA721" w:rsidRPr="70B86C6F">
        <w:rPr>
          <w:rFonts w:asciiTheme="minorHAnsi" w:hAnsiTheme="minorHAnsi" w:cstheme="minorBidi"/>
        </w:rPr>
        <w:t>0</w:t>
      </w:r>
      <w:r w:rsidR="455BA721" w:rsidRPr="70B86C6F">
        <w:rPr>
          <w:rFonts w:asciiTheme="minorHAnsi" w:hAnsiTheme="minorHAnsi" w:cstheme="minorBidi"/>
          <w:vertAlign w:val="superscript"/>
        </w:rPr>
        <w:t>-8</w:t>
      </w:r>
      <w:r w:rsidR="455BA721" w:rsidRPr="70B86C6F">
        <w:rPr>
          <w:rFonts w:asciiTheme="minorHAnsi" w:hAnsiTheme="minorHAnsi" w:cstheme="minorBidi"/>
        </w:rPr>
        <w:t xml:space="preserve"> to</w:t>
      </w:r>
      <w:r w:rsidRPr="70B86C6F">
        <w:rPr>
          <w:rFonts w:asciiTheme="minorHAnsi" w:hAnsiTheme="minorHAnsi" w:cstheme="minorBidi"/>
        </w:rPr>
        <w:t>rr</w:t>
      </w:r>
      <w:r w:rsidRPr="70B86C6F">
        <w:rPr>
          <w:rFonts w:asciiTheme="minorHAnsi" w:hAnsiTheme="minorHAnsi" w:cstheme="minorBidi"/>
          <w:spacing w:val="-2"/>
        </w:rPr>
        <w:t xml:space="preserve"> </w:t>
      </w:r>
      <w:r w:rsidRPr="70B86C6F">
        <w:rPr>
          <w:rFonts w:asciiTheme="minorHAnsi" w:hAnsiTheme="minorHAnsi" w:cstheme="minorBidi"/>
          <w:spacing w:val="-1"/>
        </w:rPr>
        <w:t>at</w:t>
      </w:r>
      <w:r w:rsidRPr="70B86C6F">
        <w:rPr>
          <w:rFonts w:asciiTheme="minorHAnsi" w:hAnsiTheme="minorHAnsi" w:cstheme="minorBidi"/>
        </w:rPr>
        <w:t xml:space="preserve"> </w:t>
      </w:r>
      <w:r w:rsidRPr="70B86C6F">
        <w:rPr>
          <w:rFonts w:asciiTheme="minorHAnsi" w:hAnsiTheme="minorHAnsi" w:cstheme="minorBidi"/>
          <w:spacing w:val="-1"/>
        </w:rPr>
        <w:t>20</w:t>
      </w:r>
      <w:r w:rsidR="511318FA" w:rsidRPr="70B86C6F">
        <w:rPr>
          <w:rFonts w:asciiTheme="minorHAnsi" w:hAnsiTheme="minorHAnsi" w:cstheme="minorBidi"/>
          <w:spacing w:val="-1"/>
        </w:rPr>
        <w:t xml:space="preserve"> °</w:t>
      </w:r>
      <w:r w:rsidRPr="70B86C6F">
        <w:rPr>
          <w:rFonts w:asciiTheme="minorHAnsi" w:hAnsiTheme="minorHAnsi" w:cstheme="minorBidi"/>
          <w:spacing w:val="-1"/>
        </w:rPr>
        <w:t>C).</w:t>
      </w:r>
      <w:r w:rsidR="5FBBD621" w:rsidRPr="70B86C6F">
        <w:rPr>
          <w:rFonts w:asciiTheme="minorHAnsi" w:hAnsiTheme="minorHAnsi" w:cstheme="minorBidi"/>
        </w:rPr>
        <w:t xml:space="preserve">  Additional details on the fate of </w:t>
      </w:r>
      <w:r w:rsidR="5D408088" w:rsidRPr="70B86C6F">
        <w:rPr>
          <w:rFonts w:asciiTheme="minorHAnsi" w:hAnsiTheme="minorHAnsi" w:cstheme="minorBidi"/>
        </w:rPr>
        <w:t>propazine</w:t>
      </w:r>
      <w:r w:rsidR="5FBBD621" w:rsidRPr="70B86C6F">
        <w:rPr>
          <w:rFonts w:asciiTheme="minorHAnsi" w:hAnsiTheme="minorHAnsi" w:cstheme="minorBidi"/>
        </w:rPr>
        <w:t xml:space="preserve"> are provided in </w:t>
      </w:r>
      <w:r w:rsidR="5FBBD621" w:rsidRPr="70B86C6F">
        <w:rPr>
          <w:rFonts w:asciiTheme="minorHAnsi" w:hAnsiTheme="minorHAnsi" w:cstheme="minorBidi"/>
          <w:b/>
          <w:bCs/>
        </w:rPr>
        <w:t>Chapter 3</w:t>
      </w:r>
      <w:r w:rsidR="5FBBD621" w:rsidRPr="70B86C6F">
        <w:rPr>
          <w:rFonts w:asciiTheme="minorHAnsi" w:hAnsiTheme="minorHAnsi" w:cstheme="minorBidi"/>
        </w:rPr>
        <w:t xml:space="preserve"> of the Biological Evaluation.</w:t>
      </w:r>
    </w:p>
    <w:p w14:paraId="23A9B4B5" w14:textId="56677810" w:rsidR="006A290E" w:rsidRDefault="006A290E" w:rsidP="006A290E">
      <w:pPr>
        <w:spacing w:after="0" w:line="240" w:lineRule="auto"/>
        <w:rPr>
          <w:highlight w:val="yellow"/>
        </w:rPr>
      </w:pPr>
    </w:p>
    <w:p w14:paraId="5A75E896" w14:textId="77777777" w:rsidR="00674E2D" w:rsidRPr="00C4422B" w:rsidRDefault="00674E2D" w:rsidP="006A290E">
      <w:pPr>
        <w:spacing w:after="0" w:line="240" w:lineRule="auto"/>
        <w:rPr>
          <w:highlight w:val="yellow"/>
        </w:rPr>
      </w:pPr>
    </w:p>
    <w:p w14:paraId="40864BD6" w14:textId="77777777" w:rsidR="006A290E" w:rsidRPr="00674E2D" w:rsidRDefault="006A290E" w:rsidP="006A290E">
      <w:pPr>
        <w:pStyle w:val="Heading1"/>
        <w:rPr>
          <w:color w:val="2F5496" w:themeColor="accent1" w:themeShade="BF"/>
        </w:rPr>
      </w:pPr>
      <w:bookmarkStart w:id="18" w:name="_Toc31220274"/>
      <w:bookmarkStart w:id="19" w:name="_Toc53023227"/>
      <w:r w:rsidRPr="00674E2D">
        <w:rPr>
          <w:color w:val="2F5496" w:themeColor="accent1" w:themeShade="BF"/>
        </w:rPr>
        <w:t>Residue of Concern</w:t>
      </w:r>
      <w:bookmarkEnd w:id="18"/>
      <w:bookmarkEnd w:id="19"/>
      <w:r w:rsidRPr="00674E2D">
        <w:rPr>
          <w:color w:val="2F5496" w:themeColor="accent1" w:themeShade="BF"/>
        </w:rPr>
        <w:t xml:space="preserve"> </w:t>
      </w:r>
    </w:p>
    <w:p w14:paraId="7B18208A" w14:textId="77777777" w:rsidR="006A290E" w:rsidRPr="00243C7F" w:rsidRDefault="006A290E" w:rsidP="006A290E">
      <w:pPr>
        <w:keepNext/>
        <w:spacing w:after="0" w:line="240" w:lineRule="auto"/>
      </w:pPr>
    </w:p>
    <w:p w14:paraId="2C4BAAEA" w14:textId="32B928C8" w:rsidR="0005340D" w:rsidRDefault="00943915" w:rsidP="0005340D">
      <w:pPr>
        <w:keepNext/>
        <w:spacing w:after="0" w:line="240" w:lineRule="auto"/>
        <w:rPr>
          <w:rFonts w:asciiTheme="minorHAnsi" w:hAnsiTheme="minorHAnsi" w:cstheme="minorHAnsi"/>
        </w:rPr>
      </w:pPr>
      <w:r>
        <w:rPr>
          <w:rFonts w:asciiTheme="minorHAnsi" w:hAnsiTheme="minorHAnsi" w:cstheme="minorHAnsi"/>
        </w:rPr>
        <w:t xml:space="preserve">The </w:t>
      </w:r>
      <w:r w:rsidR="00F97824">
        <w:rPr>
          <w:rFonts w:asciiTheme="minorHAnsi" w:hAnsiTheme="minorHAnsi" w:cstheme="minorHAnsi"/>
        </w:rPr>
        <w:t>residue of concern is parent propazine</w:t>
      </w:r>
      <w:r w:rsidR="006A290E" w:rsidRPr="00943915">
        <w:rPr>
          <w:rFonts w:asciiTheme="minorHAnsi" w:hAnsiTheme="minorHAnsi" w:cstheme="minorHAnsi"/>
        </w:rPr>
        <w:t xml:space="preserve">. </w:t>
      </w:r>
      <w:r w:rsidR="00BB4C5F" w:rsidRPr="00BB4C5F">
        <w:rPr>
          <w:rFonts w:asciiTheme="minorHAnsi" w:hAnsiTheme="minorHAnsi" w:cstheme="minorHAnsi"/>
        </w:rPr>
        <w:t>The major soil metabolite was 2-hydroxy propazine (2-hydroxy-4,6-bis(isopropylamino)-s-triazine) and comprised a</w:t>
      </w:r>
      <w:r w:rsidR="00BB4C5F">
        <w:rPr>
          <w:rFonts w:asciiTheme="minorHAnsi" w:hAnsiTheme="minorHAnsi" w:cstheme="minorHAnsi"/>
        </w:rPr>
        <w:t xml:space="preserve"> </w:t>
      </w:r>
      <w:r w:rsidR="00BB4C5F" w:rsidRPr="00BB4C5F">
        <w:rPr>
          <w:rFonts w:asciiTheme="minorHAnsi" w:hAnsiTheme="minorHAnsi" w:cstheme="minorHAnsi"/>
        </w:rPr>
        <w:t>maximum of 31% of the total applied radioactivity (TAR) after one year. Minor</w:t>
      </w:r>
      <w:r w:rsidR="00BB4C5F">
        <w:rPr>
          <w:rFonts w:asciiTheme="minorHAnsi" w:hAnsiTheme="minorHAnsi" w:cstheme="minorHAnsi"/>
        </w:rPr>
        <w:t xml:space="preserve"> </w:t>
      </w:r>
      <w:r w:rsidR="00BB4C5F" w:rsidRPr="00BB4C5F">
        <w:rPr>
          <w:rFonts w:asciiTheme="minorHAnsi" w:hAnsiTheme="minorHAnsi" w:cstheme="minorHAnsi"/>
        </w:rPr>
        <w:t>degradates consist of desethylatrazine (2-chloro-4-isopropylamino-6-amino-s-triazine or</w:t>
      </w:r>
      <w:r w:rsidR="00BB4C5F">
        <w:rPr>
          <w:rFonts w:asciiTheme="minorHAnsi" w:hAnsiTheme="minorHAnsi" w:cstheme="minorHAnsi"/>
        </w:rPr>
        <w:t xml:space="preserve"> </w:t>
      </w:r>
      <w:r w:rsidR="00BB4C5F" w:rsidRPr="00BB4C5F">
        <w:rPr>
          <w:rFonts w:asciiTheme="minorHAnsi" w:hAnsiTheme="minorHAnsi" w:cstheme="minorHAnsi"/>
        </w:rPr>
        <w:t>DEA) (&lt;2% of TAR) and 2-hydroxy desethylatrazine (&lt;5% of TAR).</w:t>
      </w:r>
      <w:r w:rsidR="00BB4C5F">
        <w:rPr>
          <w:rFonts w:asciiTheme="minorHAnsi" w:hAnsiTheme="minorHAnsi" w:cstheme="minorHAnsi"/>
        </w:rPr>
        <w:t xml:space="preserve"> </w:t>
      </w:r>
    </w:p>
    <w:p w14:paraId="045E557B" w14:textId="3201F479" w:rsidR="00BC3673" w:rsidRDefault="00BC3673" w:rsidP="0005340D">
      <w:pPr>
        <w:keepNext/>
        <w:spacing w:after="0" w:line="240" w:lineRule="auto"/>
        <w:rPr>
          <w:rFonts w:asciiTheme="minorHAnsi" w:hAnsiTheme="minorHAnsi" w:cstheme="minorHAnsi"/>
        </w:rPr>
      </w:pPr>
    </w:p>
    <w:p w14:paraId="100CA6EB" w14:textId="7868961C" w:rsidR="00BC3673" w:rsidRDefault="00BC3673" w:rsidP="0005340D">
      <w:pPr>
        <w:keepNext/>
        <w:spacing w:after="0" w:line="240" w:lineRule="auto"/>
        <w:rPr>
          <w:rFonts w:asciiTheme="minorHAnsi" w:hAnsiTheme="minorHAnsi" w:cstheme="minorHAnsi"/>
        </w:rPr>
      </w:pPr>
      <w:r>
        <w:rPr>
          <w:rStyle w:val="normaltextrun"/>
          <w:shd w:val="clear" w:color="auto" w:fill="FFFFFF"/>
        </w:rPr>
        <w:t>Five transformation products were identified in aerobic and anaerobic aquatic studies: 2-chloro-4,6-diamino-1,3,5-triazine (DACT); atrazin-desethyldeisopropyl-2-hydroxy (</w:t>
      </w:r>
      <w:r>
        <w:rPr>
          <w:rStyle w:val="spellingerror"/>
          <w:shd w:val="clear" w:color="auto" w:fill="FFFFFF"/>
        </w:rPr>
        <w:t>ammeline</w:t>
      </w:r>
      <w:r>
        <w:rPr>
          <w:rStyle w:val="normaltextrun"/>
          <w:shd w:val="clear" w:color="auto" w:fill="FFFFFF"/>
        </w:rPr>
        <w:t>); propazine-2-hydroxy (2-hydroxy propazine); atrazin-desethyl-2-hydroxy (</w:t>
      </w:r>
      <w:r>
        <w:rPr>
          <w:rStyle w:val="spellingerror"/>
          <w:shd w:val="clear" w:color="auto" w:fill="FFFFFF"/>
        </w:rPr>
        <w:t>deisopropyl</w:t>
      </w:r>
      <w:r>
        <w:rPr>
          <w:rStyle w:val="normaltextrun"/>
          <w:shd w:val="clear" w:color="auto" w:fill="FFFFFF"/>
        </w:rPr>
        <w:t xml:space="preserve"> hydroxy propazine); and atrazin-desethyl (DEA). In the aerobic aquatic study, DACT was a major transformation product (maximum of 11.7% at Day 46) in the Golden Lake water-loamy sand sediment system and a minor transformation product in the Goose River water-clay loam sediment system. All other compounds were minor </w:t>
      </w:r>
      <w:r>
        <w:rPr>
          <w:rStyle w:val="normaltextrun"/>
          <w:shd w:val="clear" w:color="auto" w:fill="FFFFFF"/>
        </w:rPr>
        <w:lastRenderedPageBreak/>
        <w:t>transformation products in both systems. In the anaerobic aquatic study, no major transformation products were identified</w:t>
      </w:r>
      <w:r w:rsidR="00674E2D">
        <w:rPr>
          <w:rStyle w:val="normaltextrun"/>
          <w:shd w:val="clear" w:color="auto" w:fill="FFFFFF"/>
        </w:rPr>
        <w:t>.</w:t>
      </w:r>
    </w:p>
    <w:p w14:paraId="0DB286C1" w14:textId="77777777" w:rsidR="0005340D" w:rsidRDefault="0005340D" w:rsidP="0005340D">
      <w:pPr>
        <w:keepNext/>
        <w:spacing w:after="0" w:line="240" w:lineRule="auto"/>
        <w:rPr>
          <w:rFonts w:asciiTheme="minorHAnsi" w:hAnsiTheme="minorHAnsi" w:cstheme="minorHAnsi"/>
        </w:rPr>
      </w:pPr>
    </w:p>
    <w:p w14:paraId="58606687" w14:textId="332B6FE8" w:rsidR="0005340D" w:rsidRDefault="0005340D" w:rsidP="0005340D">
      <w:pPr>
        <w:keepNext/>
        <w:spacing w:after="0" w:line="240" w:lineRule="auto"/>
        <w:rPr>
          <w:rFonts w:asciiTheme="minorHAnsi" w:hAnsiTheme="minorHAnsi" w:cstheme="minorHAnsi"/>
        </w:rPr>
      </w:pPr>
      <w:r w:rsidRPr="0005340D">
        <w:rPr>
          <w:rFonts w:asciiTheme="minorHAnsi" w:hAnsiTheme="minorHAnsi" w:cstheme="minorHAnsi"/>
        </w:rPr>
        <w:t>The major laboratory soil degradate, 2-hydroxy propazine was seen in the 0-3</w:t>
      </w:r>
      <w:r>
        <w:rPr>
          <w:rFonts w:asciiTheme="minorHAnsi" w:hAnsiTheme="minorHAnsi" w:cstheme="minorHAnsi"/>
        </w:rPr>
        <w:t>”</w:t>
      </w:r>
      <w:r w:rsidRPr="0005340D">
        <w:rPr>
          <w:rFonts w:asciiTheme="minorHAnsi" w:hAnsiTheme="minorHAnsi" w:cstheme="minorHAnsi"/>
        </w:rPr>
        <w:t xml:space="preserve"> and 3-6</w:t>
      </w:r>
      <w:r>
        <w:rPr>
          <w:rFonts w:asciiTheme="minorHAnsi" w:hAnsiTheme="minorHAnsi" w:cstheme="minorHAnsi"/>
        </w:rPr>
        <w:t xml:space="preserve">” </w:t>
      </w:r>
      <w:r w:rsidRPr="0005340D">
        <w:rPr>
          <w:rFonts w:asciiTheme="minorHAnsi" w:hAnsiTheme="minorHAnsi" w:cstheme="minorHAnsi"/>
        </w:rPr>
        <w:t>soil layers of the terrestrial field studies at approximately 15% of parent at day 1 and</w:t>
      </w:r>
      <w:r>
        <w:rPr>
          <w:rFonts w:asciiTheme="minorHAnsi" w:hAnsiTheme="minorHAnsi" w:cstheme="minorHAnsi"/>
        </w:rPr>
        <w:t xml:space="preserve"> </w:t>
      </w:r>
      <w:r w:rsidRPr="0005340D">
        <w:rPr>
          <w:rFonts w:asciiTheme="minorHAnsi" w:hAnsiTheme="minorHAnsi" w:cstheme="minorHAnsi"/>
        </w:rPr>
        <w:t>decreased to less than 5% of parent by day 93. The other two minor degradates</w:t>
      </w:r>
      <w:r>
        <w:rPr>
          <w:rFonts w:asciiTheme="minorHAnsi" w:hAnsiTheme="minorHAnsi" w:cstheme="minorHAnsi"/>
        </w:rPr>
        <w:t xml:space="preserve"> </w:t>
      </w:r>
      <w:r w:rsidRPr="0005340D">
        <w:rPr>
          <w:rFonts w:asciiTheme="minorHAnsi" w:hAnsiTheme="minorHAnsi" w:cstheme="minorHAnsi"/>
        </w:rPr>
        <w:t>desethylatrazine (DEA) and 2,4-diamino-6 chloro-s-triazine (DACT), which are common</w:t>
      </w:r>
      <w:r>
        <w:rPr>
          <w:rFonts w:asciiTheme="minorHAnsi" w:hAnsiTheme="minorHAnsi" w:cstheme="minorHAnsi"/>
        </w:rPr>
        <w:t xml:space="preserve"> </w:t>
      </w:r>
      <w:r w:rsidRPr="0005340D">
        <w:rPr>
          <w:rFonts w:asciiTheme="minorHAnsi" w:hAnsiTheme="minorHAnsi" w:cstheme="minorHAnsi"/>
        </w:rPr>
        <w:t>to atrazine and simazine, were detected only in the 0-3" soil layer, each at less than 5% of</w:t>
      </w:r>
      <w:r>
        <w:rPr>
          <w:rFonts w:asciiTheme="minorHAnsi" w:hAnsiTheme="minorHAnsi" w:cstheme="minorHAnsi"/>
        </w:rPr>
        <w:t xml:space="preserve"> </w:t>
      </w:r>
      <w:r w:rsidRPr="0005340D">
        <w:rPr>
          <w:rFonts w:asciiTheme="minorHAnsi" w:hAnsiTheme="minorHAnsi" w:cstheme="minorHAnsi"/>
        </w:rPr>
        <w:t>parent at day 1, however decreasing to less than 1% by day 28</w:t>
      </w:r>
      <w:r>
        <w:rPr>
          <w:rFonts w:asciiTheme="minorHAnsi" w:hAnsiTheme="minorHAnsi" w:cstheme="minorHAnsi"/>
        </w:rPr>
        <w:t>.</w:t>
      </w:r>
      <w:r w:rsidRPr="0005340D">
        <w:rPr>
          <w:rFonts w:asciiTheme="minorHAnsi" w:hAnsiTheme="minorHAnsi" w:cstheme="minorHAnsi"/>
        </w:rPr>
        <w:t xml:space="preserve"> </w:t>
      </w:r>
    </w:p>
    <w:p w14:paraId="08F80077" w14:textId="77777777" w:rsidR="0005340D" w:rsidRDefault="0005340D" w:rsidP="0005340D">
      <w:pPr>
        <w:keepNext/>
        <w:spacing w:after="0" w:line="240" w:lineRule="auto"/>
        <w:rPr>
          <w:rFonts w:asciiTheme="minorHAnsi" w:hAnsiTheme="minorHAnsi" w:cstheme="minorHAnsi"/>
        </w:rPr>
      </w:pPr>
    </w:p>
    <w:p w14:paraId="67A53921" w14:textId="5F53A549" w:rsidR="006A290E" w:rsidRDefault="006A290E" w:rsidP="0005340D">
      <w:pPr>
        <w:keepNext/>
        <w:spacing w:after="0" w:line="240" w:lineRule="auto"/>
        <w:rPr>
          <w:rFonts w:asciiTheme="minorHAnsi" w:hAnsiTheme="minorHAnsi" w:cstheme="minorHAnsi"/>
        </w:rPr>
      </w:pPr>
      <w:r w:rsidRPr="00943915">
        <w:rPr>
          <w:rFonts w:asciiTheme="minorHAnsi" w:hAnsiTheme="minorHAnsi" w:cstheme="minorHAnsi"/>
        </w:rPr>
        <w:t>Th</w:t>
      </w:r>
      <w:r w:rsidR="00F97824">
        <w:rPr>
          <w:rFonts w:asciiTheme="minorHAnsi" w:hAnsiTheme="minorHAnsi" w:cstheme="minorHAnsi"/>
        </w:rPr>
        <w:t xml:space="preserve">e </w:t>
      </w:r>
      <w:r w:rsidR="0005340D">
        <w:rPr>
          <w:rFonts w:asciiTheme="minorHAnsi" w:hAnsiTheme="minorHAnsi" w:cstheme="minorHAnsi"/>
        </w:rPr>
        <w:t>major</w:t>
      </w:r>
      <w:r w:rsidR="00F97824">
        <w:rPr>
          <w:rFonts w:asciiTheme="minorHAnsi" w:hAnsiTheme="minorHAnsi" w:cstheme="minorHAnsi"/>
        </w:rPr>
        <w:t xml:space="preserve"> </w:t>
      </w:r>
      <w:r w:rsidRPr="00943915">
        <w:rPr>
          <w:rFonts w:asciiTheme="minorHAnsi" w:hAnsiTheme="minorHAnsi" w:cstheme="minorHAnsi"/>
        </w:rPr>
        <w:t>degradate</w:t>
      </w:r>
      <w:r w:rsidR="00BC3673">
        <w:rPr>
          <w:rFonts w:asciiTheme="minorHAnsi" w:hAnsiTheme="minorHAnsi" w:cstheme="minorHAnsi"/>
        </w:rPr>
        <w:t>s</w:t>
      </w:r>
      <w:r w:rsidR="0005340D">
        <w:rPr>
          <w:rFonts w:asciiTheme="minorHAnsi" w:hAnsiTheme="minorHAnsi" w:cstheme="minorHAnsi"/>
        </w:rPr>
        <w:t xml:space="preserve"> (</w:t>
      </w:r>
      <w:r w:rsidR="0005340D" w:rsidRPr="00BB4C5F">
        <w:rPr>
          <w:rFonts w:asciiTheme="minorHAnsi" w:hAnsiTheme="minorHAnsi" w:cstheme="minorHAnsi"/>
        </w:rPr>
        <w:t>2-hydroxy propazine</w:t>
      </w:r>
      <w:r w:rsidR="00BC3673">
        <w:rPr>
          <w:rFonts w:asciiTheme="minorHAnsi" w:hAnsiTheme="minorHAnsi" w:cstheme="minorHAnsi"/>
        </w:rPr>
        <w:t xml:space="preserve"> and DACT</w:t>
      </w:r>
      <w:r w:rsidR="0005340D">
        <w:rPr>
          <w:rFonts w:asciiTheme="minorHAnsi" w:hAnsiTheme="minorHAnsi" w:cstheme="minorHAnsi"/>
        </w:rPr>
        <w:t>)</w:t>
      </w:r>
      <w:r w:rsidR="00F97824">
        <w:rPr>
          <w:rFonts w:asciiTheme="minorHAnsi" w:hAnsiTheme="minorHAnsi" w:cstheme="minorHAnsi"/>
        </w:rPr>
        <w:t xml:space="preserve"> </w:t>
      </w:r>
      <w:r w:rsidR="00F2619B">
        <w:rPr>
          <w:rFonts w:asciiTheme="minorHAnsi" w:hAnsiTheme="minorHAnsi" w:cstheme="minorHAnsi"/>
        </w:rPr>
        <w:t>are</w:t>
      </w:r>
      <w:r w:rsidRPr="00943915">
        <w:rPr>
          <w:rFonts w:asciiTheme="minorHAnsi" w:hAnsiTheme="minorHAnsi" w:cstheme="minorHAnsi"/>
        </w:rPr>
        <w:t xml:space="preserve"> not considered to be of toxicological concern </w:t>
      </w:r>
      <w:r w:rsidR="009B5E51">
        <w:rPr>
          <w:rFonts w:asciiTheme="minorHAnsi" w:hAnsiTheme="minorHAnsi" w:cstheme="minorHAnsi"/>
        </w:rPr>
        <w:t xml:space="preserve">because </w:t>
      </w:r>
      <w:r w:rsidR="00F97824">
        <w:rPr>
          <w:rFonts w:asciiTheme="minorHAnsi" w:hAnsiTheme="minorHAnsi" w:cstheme="minorHAnsi"/>
        </w:rPr>
        <w:t xml:space="preserve">toxicity studies and </w:t>
      </w:r>
      <w:r w:rsidR="00DC617E">
        <w:rPr>
          <w:rFonts w:asciiTheme="minorHAnsi" w:hAnsiTheme="minorHAnsi" w:cstheme="minorHAnsi"/>
        </w:rPr>
        <w:t xml:space="preserve">ECOSAR suggest </w:t>
      </w:r>
      <w:r w:rsidR="00F97824">
        <w:rPr>
          <w:rFonts w:asciiTheme="minorHAnsi" w:hAnsiTheme="minorHAnsi" w:cstheme="minorHAnsi"/>
        </w:rPr>
        <w:t>lower</w:t>
      </w:r>
      <w:r w:rsidR="00DC617E">
        <w:rPr>
          <w:rFonts w:asciiTheme="minorHAnsi" w:hAnsiTheme="minorHAnsi" w:cstheme="minorHAnsi"/>
        </w:rPr>
        <w:t xml:space="preserve"> toxicity </w:t>
      </w:r>
      <w:r w:rsidR="00F97824">
        <w:rPr>
          <w:rFonts w:asciiTheme="minorHAnsi" w:hAnsiTheme="minorHAnsi" w:cstheme="minorHAnsi"/>
        </w:rPr>
        <w:t>than</w:t>
      </w:r>
      <w:r w:rsidR="00DC617E">
        <w:rPr>
          <w:rFonts w:asciiTheme="minorHAnsi" w:hAnsiTheme="minorHAnsi" w:cstheme="minorHAnsi"/>
        </w:rPr>
        <w:t xml:space="preserve"> parent propazine</w:t>
      </w:r>
      <w:r w:rsidRPr="00943915">
        <w:rPr>
          <w:rFonts w:asciiTheme="minorHAnsi" w:hAnsiTheme="minorHAnsi" w:cstheme="minorHAnsi"/>
        </w:rPr>
        <w:t xml:space="preserve">. </w:t>
      </w:r>
      <w:r w:rsidR="00E16BB1" w:rsidRPr="0005340D">
        <w:rPr>
          <w:rFonts w:asciiTheme="minorHAnsi" w:hAnsiTheme="minorHAnsi" w:cstheme="minorHAnsi"/>
        </w:rPr>
        <w:t>It should be noted that no studies were submitted on the fate of any degradates (both major and minor) in the environment.</w:t>
      </w:r>
      <w:r w:rsidR="00E16BB1">
        <w:rPr>
          <w:rFonts w:asciiTheme="minorHAnsi" w:hAnsiTheme="minorHAnsi" w:cstheme="minorHAnsi"/>
        </w:rPr>
        <w:t xml:space="preserve"> </w:t>
      </w:r>
      <w:r w:rsidRPr="00943915">
        <w:rPr>
          <w:rFonts w:asciiTheme="minorHAnsi" w:hAnsiTheme="minorHAnsi" w:cstheme="minorHAnsi"/>
        </w:rPr>
        <w:t xml:space="preserve">Therefore, </w:t>
      </w:r>
      <w:r w:rsidR="00943915" w:rsidRPr="00943915">
        <w:rPr>
          <w:rFonts w:asciiTheme="minorHAnsi" w:hAnsiTheme="minorHAnsi" w:cstheme="minorHAnsi"/>
        </w:rPr>
        <w:t>propazine</w:t>
      </w:r>
      <w:r w:rsidRPr="00943915">
        <w:rPr>
          <w:rFonts w:asciiTheme="minorHAnsi" w:hAnsiTheme="minorHAnsi" w:cstheme="minorHAnsi"/>
        </w:rPr>
        <w:t xml:space="preserve"> alone is the residue of concern for the ecological risk assessment (see </w:t>
      </w:r>
      <w:r w:rsidRPr="00943915">
        <w:rPr>
          <w:rFonts w:asciiTheme="minorHAnsi" w:hAnsiTheme="minorHAnsi" w:cstheme="minorHAnsi"/>
          <w:b/>
        </w:rPr>
        <w:t>Chapter 3</w:t>
      </w:r>
      <w:r w:rsidRPr="00943915">
        <w:rPr>
          <w:rFonts w:asciiTheme="minorHAnsi" w:hAnsiTheme="minorHAnsi" w:cstheme="minorHAnsi"/>
        </w:rPr>
        <w:t>).</w:t>
      </w:r>
      <w:r w:rsidRPr="007D7A1E">
        <w:rPr>
          <w:rFonts w:asciiTheme="minorHAnsi" w:hAnsiTheme="minorHAnsi" w:cstheme="minorHAnsi"/>
        </w:rPr>
        <w:t xml:space="preserve"> </w:t>
      </w:r>
      <w:r w:rsidR="00E16BB1">
        <w:rPr>
          <w:rFonts w:asciiTheme="minorHAnsi" w:hAnsiTheme="minorHAnsi" w:cstheme="minorHAnsi"/>
        </w:rPr>
        <w:t xml:space="preserve"> </w:t>
      </w:r>
    </w:p>
    <w:p w14:paraId="26F8B7C4" w14:textId="77777777" w:rsidR="00674E2D" w:rsidRPr="007D7A1E" w:rsidRDefault="00674E2D" w:rsidP="0005340D">
      <w:pPr>
        <w:keepNext/>
        <w:spacing w:after="0" w:line="240" w:lineRule="auto"/>
        <w:rPr>
          <w:rFonts w:asciiTheme="minorHAnsi" w:hAnsiTheme="minorHAnsi" w:cstheme="minorHAnsi"/>
        </w:rPr>
      </w:pPr>
    </w:p>
    <w:p w14:paraId="488D8F83" w14:textId="77777777" w:rsidR="006A290E" w:rsidRDefault="006A290E" w:rsidP="006A290E">
      <w:pPr>
        <w:spacing w:after="0" w:line="240" w:lineRule="auto"/>
      </w:pPr>
      <w:bookmarkStart w:id="20" w:name="_Toc31220275"/>
    </w:p>
    <w:p w14:paraId="79C77D56" w14:textId="77777777" w:rsidR="006A290E" w:rsidRPr="002C29BA" w:rsidRDefault="006A290E" w:rsidP="006A290E">
      <w:pPr>
        <w:pStyle w:val="Heading1"/>
      </w:pPr>
      <w:bookmarkStart w:id="21" w:name="_Toc53023228"/>
      <w:r w:rsidRPr="002C29BA">
        <w:t>Analysis Plan</w:t>
      </w:r>
      <w:bookmarkEnd w:id="20"/>
      <w:bookmarkEnd w:id="21"/>
    </w:p>
    <w:p w14:paraId="752049E5" w14:textId="77777777" w:rsidR="006A290E" w:rsidRDefault="006A290E" w:rsidP="006A290E">
      <w:pPr>
        <w:keepNext/>
        <w:keepLines/>
        <w:spacing w:after="0" w:line="240" w:lineRule="auto"/>
      </w:pPr>
    </w:p>
    <w:p w14:paraId="2C3A7E8F" w14:textId="5AC6ACA7" w:rsidR="000F4A9B" w:rsidRDefault="000F4A9B" w:rsidP="000F4A9B">
      <w:pPr>
        <w:spacing w:after="0" w:line="240" w:lineRule="auto"/>
        <w:rPr>
          <w:rStyle w:val="eop"/>
          <w:rFonts w:asciiTheme="minorHAnsi" w:hAnsiTheme="minorHAnsi" w:cstheme="minorHAnsi"/>
        </w:rPr>
      </w:pPr>
      <w:bookmarkStart w:id="22" w:name="_Hlk33466025"/>
      <w:r w:rsidRPr="001561C2">
        <w:rPr>
          <w:rStyle w:val="eop"/>
          <w:rFonts w:asciiTheme="minorHAnsi" w:hAnsiTheme="minorHAnsi" w:cstheme="minorHAnsi"/>
        </w:rPr>
        <w:t xml:space="preserve">Listed species and designated critical habitats that were listed as of </w:t>
      </w:r>
      <w:r w:rsidRPr="004B3715">
        <w:rPr>
          <w:rStyle w:val="eop"/>
          <w:rFonts w:asciiTheme="minorHAnsi" w:hAnsiTheme="minorHAnsi" w:cstheme="minorHAnsi"/>
        </w:rPr>
        <w:t>Jan</w:t>
      </w:r>
      <w:r w:rsidR="00DE3786">
        <w:rPr>
          <w:rStyle w:val="eop"/>
          <w:rFonts w:asciiTheme="minorHAnsi" w:hAnsiTheme="minorHAnsi" w:cstheme="minorHAnsi"/>
        </w:rPr>
        <w:t>uary</w:t>
      </w:r>
      <w:r w:rsidRPr="004B3715">
        <w:rPr>
          <w:rStyle w:val="eop"/>
          <w:rFonts w:asciiTheme="minorHAnsi" w:hAnsiTheme="minorHAnsi" w:cstheme="minorHAnsi"/>
        </w:rPr>
        <w:t xml:space="preserve"> 30, 2019</w:t>
      </w:r>
      <w:r w:rsidRPr="001561C2">
        <w:rPr>
          <w:rStyle w:val="eop"/>
          <w:rFonts w:asciiTheme="minorHAnsi" w:hAnsiTheme="minorHAnsi" w:cstheme="minorHAnsi"/>
        </w:rPr>
        <w:t xml:space="preserve"> are </w:t>
      </w:r>
      <w:r>
        <w:rPr>
          <w:rStyle w:val="eop"/>
          <w:rFonts w:asciiTheme="minorHAnsi" w:hAnsiTheme="minorHAnsi" w:cstheme="minorHAnsi"/>
        </w:rPr>
        <w:t>considered</w:t>
      </w:r>
      <w:r w:rsidRPr="001561C2">
        <w:rPr>
          <w:rStyle w:val="eop"/>
          <w:rFonts w:asciiTheme="minorHAnsi" w:hAnsiTheme="minorHAnsi" w:cstheme="minorHAnsi"/>
        </w:rPr>
        <w:t xml:space="preserve"> in this BE</w:t>
      </w:r>
      <w:r>
        <w:rPr>
          <w:rStyle w:val="eop"/>
          <w:rFonts w:asciiTheme="minorHAnsi" w:hAnsiTheme="minorHAnsi" w:cstheme="minorHAnsi"/>
        </w:rPr>
        <w:t xml:space="preserve"> (see </w:t>
      </w:r>
      <w:r w:rsidRPr="00E520CC">
        <w:rPr>
          <w:rStyle w:val="eop"/>
          <w:rFonts w:asciiTheme="minorHAnsi" w:hAnsiTheme="minorHAnsi" w:cstheme="minorHAnsi"/>
          <w:b/>
          <w:bCs/>
        </w:rPr>
        <w:t>A</w:t>
      </w:r>
      <w:r>
        <w:rPr>
          <w:rStyle w:val="eop"/>
          <w:rFonts w:asciiTheme="minorHAnsi" w:hAnsiTheme="minorHAnsi" w:cstheme="minorHAnsi"/>
          <w:b/>
          <w:bCs/>
        </w:rPr>
        <w:t>PPENDIX</w:t>
      </w:r>
      <w:r w:rsidRPr="00E520CC">
        <w:rPr>
          <w:rStyle w:val="eop"/>
          <w:rFonts w:asciiTheme="minorHAnsi" w:hAnsiTheme="minorHAnsi" w:cstheme="minorHAnsi"/>
          <w:b/>
          <w:bCs/>
        </w:rPr>
        <w:t xml:space="preserve"> 4-1</w:t>
      </w:r>
      <w:r>
        <w:rPr>
          <w:rStyle w:val="eop"/>
          <w:rFonts w:asciiTheme="minorHAnsi" w:hAnsiTheme="minorHAnsi" w:cstheme="minorHAnsi"/>
        </w:rPr>
        <w:t xml:space="preserve"> for complete species lists)</w:t>
      </w:r>
      <w:r w:rsidRPr="001561C2">
        <w:rPr>
          <w:rStyle w:val="eop"/>
          <w:rFonts w:asciiTheme="minorHAnsi" w:hAnsiTheme="minorHAnsi" w:cstheme="minorHAnsi"/>
        </w:rPr>
        <w:t xml:space="preserve">. </w:t>
      </w:r>
      <w:r>
        <w:rPr>
          <w:rStyle w:val="eop"/>
          <w:rFonts w:asciiTheme="minorHAnsi" w:hAnsiTheme="minorHAnsi" w:cstheme="minorHAnsi"/>
        </w:rPr>
        <w:t xml:space="preserve">Effects determinations were made for 1795 listed species and 792 designated critical habitats. </w:t>
      </w:r>
    </w:p>
    <w:bookmarkEnd w:id="22"/>
    <w:p w14:paraId="5B1606AB" w14:textId="77777777" w:rsidR="000F4A9B" w:rsidRPr="001561C2" w:rsidRDefault="000F4A9B" w:rsidP="000F4A9B">
      <w:pPr>
        <w:spacing w:after="0" w:line="240" w:lineRule="auto"/>
        <w:rPr>
          <w:rStyle w:val="eop"/>
          <w:rFonts w:asciiTheme="minorHAnsi" w:hAnsiTheme="minorHAnsi" w:cstheme="minorHAnsi"/>
        </w:rPr>
      </w:pPr>
    </w:p>
    <w:p w14:paraId="770ABC56" w14:textId="1E9EFF5E" w:rsidR="000F4A9B" w:rsidRDefault="000F4A9B" w:rsidP="000F4A9B">
      <w:pPr>
        <w:spacing w:after="0" w:line="240" w:lineRule="auto"/>
        <w:rPr>
          <w:rFonts w:eastAsiaTheme="minorEastAsia"/>
        </w:rPr>
      </w:pPr>
      <w:r w:rsidRPr="001561C2">
        <w:rPr>
          <w:rStyle w:val="eop"/>
          <w:rFonts w:asciiTheme="minorHAnsi" w:hAnsiTheme="minorHAnsi" w:cstheme="minorHAnsi"/>
        </w:rPr>
        <w:t xml:space="preserve">As described in the </w:t>
      </w:r>
      <w:r>
        <w:rPr>
          <w:rStyle w:val="eop"/>
          <w:rFonts w:asciiTheme="minorHAnsi" w:hAnsiTheme="minorHAnsi" w:cstheme="minorHAnsi"/>
        </w:rPr>
        <w:t>R</w:t>
      </w:r>
      <w:r w:rsidRPr="001561C2">
        <w:rPr>
          <w:rStyle w:val="eop"/>
          <w:rFonts w:asciiTheme="minorHAnsi" w:hAnsiTheme="minorHAnsi" w:cstheme="minorHAnsi"/>
        </w:rPr>
        <w:t xml:space="preserve">evised </w:t>
      </w:r>
      <w:r>
        <w:rPr>
          <w:rStyle w:val="eop"/>
          <w:rFonts w:asciiTheme="minorHAnsi" w:hAnsiTheme="minorHAnsi" w:cstheme="minorHAnsi"/>
        </w:rPr>
        <w:t>M</w:t>
      </w:r>
      <w:r w:rsidRPr="001561C2">
        <w:rPr>
          <w:rStyle w:val="eop"/>
          <w:rFonts w:asciiTheme="minorHAnsi" w:hAnsiTheme="minorHAnsi" w:cstheme="minorHAnsi"/>
        </w:rPr>
        <w:t xml:space="preserve">ethod, listed species risk assessments for pesticides include three steps. </w:t>
      </w:r>
      <w:r w:rsidRPr="001561C2">
        <w:rPr>
          <w:rFonts w:eastAsiaTheme="minorEastAsia"/>
        </w:rPr>
        <w:t xml:space="preserve">Steps 1 and 2 are represented by the BE, which evaluates whether an individual of a listed species is reasonably expected to be exposed to a pesticide,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Pr>
          <w:rFonts w:eastAsiaTheme="minorEastAsia"/>
        </w:rPr>
        <w:t>propazine</w:t>
      </w:r>
      <w:r w:rsidRPr="001561C2">
        <w:rPr>
          <w:rFonts w:eastAsiaTheme="minorEastAsia"/>
        </w:rPr>
        <w:t xml:space="preserve"> will have No Effect (NE) or </w:t>
      </w:r>
      <w:r>
        <w:rPr>
          <w:rFonts w:eastAsiaTheme="minorEastAsia"/>
        </w:rPr>
        <w:t>M</w:t>
      </w:r>
      <w:r w:rsidRPr="001561C2">
        <w:rPr>
          <w:rFonts w:eastAsiaTheme="minorEastAsia"/>
        </w:rPr>
        <w:t xml:space="preserve">ay </w:t>
      </w:r>
      <w:r>
        <w:rPr>
          <w:rFonts w:eastAsiaTheme="minorEastAsia"/>
        </w:rPr>
        <w:t>A</w:t>
      </w:r>
      <w:r w:rsidRPr="001561C2">
        <w:rPr>
          <w:rFonts w:eastAsiaTheme="minorEastAsia"/>
        </w:rPr>
        <w:t xml:space="preserve">ffect (MA) (separate determinations made for each species and critical habitat). For those species and critical habitats with MA determinations in Step 1, EPA will determine if </w:t>
      </w:r>
      <w:r>
        <w:rPr>
          <w:rFonts w:eastAsiaTheme="minorEastAsia"/>
        </w:rPr>
        <w:t>propazine</w:t>
      </w:r>
      <w:r w:rsidRPr="001561C2">
        <w:rPr>
          <w:rFonts w:eastAsiaTheme="minorEastAsia"/>
        </w:rPr>
        <w:t xml:space="preserve"> is Not Likely to Adversely Affect (NLAA) or Likely to Adversely Affect (LAA) each individual species or critical habitat. </w:t>
      </w:r>
    </w:p>
    <w:p w14:paraId="71E836DC" w14:textId="77777777" w:rsidR="000F4A9B" w:rsidRDefault="000F4A9B" w:rsidP="000F4A9B">
      <w:pPr>
        <w:spacing w:after="0" w:line="240" w:lineRule="auto"/>
        <w:rPr>
          <w:rFonts w:eastAsiaTheme="minorEastAsia"/>
        </w:rPr>
      </w:pPr>
    </w:p>
    <w:p w14:paraId="748D8D6E" w14:textId="6417EDA5" w:rsidR="000F4A9B" w:rsidRDefault="000F4A9B" w:rsidP="000F4A9B">
      <w:pPr>
        <w:spacing w:after="0" w:line="240" w:lineRule="auto"/>
        <w:rPr>
          <w:rFonts w:eastAsiaTheme="minorEastAsia"/>
        </w:rPr>
      </w:pPr>
      <w:r w:rsidRPr="001561C2">
        <w:rPr>
          <w:rFonts w:eastAsiaTheme="minorEastAsia"/>
        </w:rPr>
        <w:t>Details on the method</w:t>
      </w:r>
      <w:r>
        <w:rPr>
          <w:rFonts w:eastAsiaTheme="minorEastAsia"/>
        </w:rPr>
        <w:t>, models and tools used</w:t>
      </w:r>
      <w:r w:rsidRPr="001561C2">
        <w:rPr>
          <w:rFonts w:eastAsiaTheme="minorEastAsia"/>
        </w:rPr>
        <w:t xml:space="preserve"> for making NE,</w:t>
      </w:r>
      <w:r>
        <w:rPr>
          <w:rFonts w:eastAsiaTheme="minorEastAsia"/>
        </w:rPr>
        <w:t xml:space="preserve"> </w:t>
      </w:r>
      <w:r w:rsidRPr="001561C2">
        <w:rPr>
          <w:rFonts w:eastAsiaTheme="minorEastAsia"/>
        </w:rPr>
        <w:t>NLAA and LAA determinations are provided in the Revised Method.</w:t>
      </w:r>
      <w:r>
        <w:rPr>
          <w:rFonts w:eastAsiaTheme="minorEastAsia"/>
        </w:rPr>
        <w:t xml:space="preserve"> This analysis plan identifies propazine specific information that is used in the Revised Method to complete this BE. </w:t>
      </w:r>
    </w:p>
    <w:p w14:paraId="7577AA5F" w14:textId="77777777" w:rsidR="000F4A9B" w:rsidRDefault="000F4A9B" w:rsidP="000F4A9B">
      <w:pPr>
        <w:spacing w:after="0" w:line="240" w:lineRule="auto"/>
        <w:jc w:val="center"/>
      </w:pPr>
    </w:p>
    <w:p w14:paraId="0ACFF0A2" w14:textId="6F51D725" w:rsidR="000F4A9B" w:rsidRPr="00DD0C13" w:rsidRDefault="000F4A9B" w:rsidP="000F4A9B">
      <w:pPr>
        <w:spacing w:after="0" w:line="240" w:lineRule="auto"/>
      </w:pPr>
      <w:r w:rsidRPr="00667162">
        <w:t xml:space="preserve">Step 1 begins with an analysis of the potential overlap of the action area and individual species ranges or </w:t>
      </w:r>
      <w:r w:rsidRPr="008308E4">
        <w:t>critical habitat. For species or critical habitats with no overlap (</w:t>
      </w:r>
      <w:r w:rsidRPr="008308E4">
        <w:rPr>
          <w:i/>
          <w:iCs/>
        </w:rPr>
        <w:t>i.e.,</w:t>
      </w:r>
      <w:r w:rsidRPr="008308E4">
        <w:t xml:space="preserve"> species found outside of the action area), NE determinations are made. The </w:t>
      </w:r>
      <w:r>
        <w:t>propazine</w:t>
      </w:r>
      <w:r w:rsidRPr="00DD0C13">
        <w:t xml:space="preserve"> overlap analysis is conducted using ArcGIS version 10.7. The action area is derived using potential use sites and the off-site transport zone. The currently registered uses</w:t>
      </w:r>
      <w:r>
        <w:t>, incorporating changes based on commitment letters</w:t>
      </w:r>
      <w:r w:rsidRPr="00DD0C13">
        <w:t xml:space="preserve"> (summarized in </w:t>
      </w:r>
      <w:r w:rsidRPr="00DD0C13">
        <w:rPr>
          <w:b/>
        </w:rPr>
        <w:t xml:space="preserve">Section 3 </w:t>
      </w:r>
      <w:r w:rsidRPr="00DD0C13">
        <w:t xml:space="preserve">and </w:t>
      </w:r>
      <w:r w:rsidRPr="00DD0C13">
        <w:rPr>
          <w:b/>
        </w:rPr>
        <w:t>APPENDIX 1-</w:t>
      </w:r>
      <w:r>
        <w:rPr>
          <w:b/>
        </w:rPr>
        <w:t>3</w:t>
      </w:r>
      <w:r w:rsidRPr="00DD0C13">
        <w:t xml:space="preserve">) include </w:t>
      </w:r>
      <w:r w:rsidR="000E3B67">
        <w:t>on</w:t>
      </w:r>
      <w:r w:rsidR="00812E59">
        <w:t>e</w:t>
      </w:r>
      <w:r w:rsidR="000E3B67">
        <w:t xml:space="preserve"> </w:t>
      </w:r>
      <w:r w:rsidRPr="00DD0C13">
        <w:t>agricultural</w:t>
      </w:r>
      <w:r>
        <w:t xml:space="preserve"> use</w:t>
      </w:r>
      <w:r w:rsidR="00291978">
        <w:t xml:space="preserve"> (</w:t>
      </w:r>
      <w:r w:rsidR="00291978" w:rsidRPr="0062601B">
        <w:rPr>
          <w:i/>
          <w:iCs/>
        </w:rPr>
        <w:t>i.e.,</w:t>
      </w:r>
      <w:r w:rsidR="00291978">
        <w:t xml:space="preserve"> sorghum)</w:t>
      </w:r>
      <w:r>
        <w:t>. F</w:t>
      </w:r>
      <w:r w:rsidRPr="00DD0C13">
        <w:t xml:space="preserve">or </w:t>
      </w:r>
      <w:r>
        <w:t>propazine</w:t>
      </w:r>
      <w:r w:rsidRPr="00DD0C13">
        <w:t xml:space="preserve">, agricultural use site </w:t>
      </w:r>
      <w:r w:rsidR="000E3B67">
        <w:t>is</w:t>
      </w:r>
      <w:r w:rsidRPr="00DD0C13">
        <w:t xml:space="preserve"> used to derive the action area (along with the associated off-site transport zone).</w:t>
      </w:r>
    </w:p>
    <w:p w14:paraId="664F1C8A" w14:textId="77777777" w:rsidR="000F4A9B" w:rsidRPr="00827163" w:rsidRDefault="000F4A9B" w:rsidP="000F4A9B">
      <w:pPr>
        <w:spacing w:after="0" w:line="240" w:lineRule="auto"/>
        <w:rPr>
          <w:highlight w:val="yellow"/>
        </w:rPr>
      </w:pPr>
    </w:p>
    <w:p w14:paraId="0406C1FD" w14:textId="036AE466" w:rsidR="000F4A9B" w:rsidRPr="00DD0C13" w:rsidRDefault="000F4A9B" w:rsidP="000F4A9B">
      <w:pPr>
        <w:spacing w:after="0" w:line="240" w:lineRule="auto"/>
      </w:pPr>
      <w:r w:rsidRPr="00DD0C13">
        <w:t xml:space="preserve">A number of spatial data sources were used to generate Use Data Layers (UDLs), which map the potential use sites for </w:t>
      </w:r>
      <w:r>
        <w:t>propazine</w:t>
      </w:r>
      <w:r w:rsidRPr="00DD0C13">
        <w:t xml:space="preserve">. In the contiguous United States (ConUS), agricultural use patterns </w:t>
      </w:r>
      <w:r w:rsidRPr="00DD0C13">
        <w:lastRenderedPageBreak/>
        <w:t>UDLs are represented by</w:t>
      </w:r>
      <w:r w:rsidRPr="00DD0C13" w:rsidDel="00552909">
        <w:t xml:space="preserve"> using</w:t>
      </w:r>
      <w:r w:rsidRPr="00DD0C13">
        <w:t xml:space="preserve"> the US Department of Agriculture’s (USDA) Crop Data Layer (CDL)</w:t>
      </w:r>
      <w:r w:rsidRPr="00DD0C13">
        <w:rPr>
          <w:rStyle w:val="FootnoteReference"/>
        </w:rPr>
        <w:footnoteReference w:id="5"/>
      </w:r>
      <w:r w:rsidRPr="00DD0C13">
        <w:t xml:space="preserve">.  This analysis utilizes data from 2013-2017. </w:t>
      </w:r>
      <w:r>
        <w:t xml:space="preserve">As the commitment letters restrict the use of propazine to the </w:t>
      </w:r>
      <w:r w:rsidR="000F257C">
        <w:t>states</w:t>
      </w:r>
      <w:r>
        <w:t xml:space="preserve"> of Texas, Oklahoma, and Kansas, areas</w:t>
      </w:r>
      <w:r w:rsidR="000E3B67" w:rsidRPr="000E3B67">
        <w:t xml:space="preserve"> outside</w:t>
      </w:r>
      <w:r w:rsidR="000E3B67">
        <w:t xml:space="preserve"> of ConUS</w:t>
      </w:r>
      <w:r>
        <w:t xml:space="preserve"> (</w:t>
      </w:r>
      <w:r>
        <w:rPr>
          <w:i/>
          <w:iCs/>
        </w:rPr>
        <w:t>e.g.,</w:t>
      </w:r>
      <w:r>
        <w:t xml:space="preserve"> Hawaii, Puerto Rico, etc.) were not included in the analysis.</w:t>
      </w:r>
      <w:r w:rsidRPr="00DD0C13">
        <w:t xml:space="preserve"> </w:t>
      </w:r>
      <w:r w:rsidRPr="00DD0C13">
        <w:rPr>
          <w:b/>
        </w:rPr>
        <w:t>A</w:t>
      </w:r>
      <w:r>
        <w:rPr>
          <w:b/>
        </w:rPr>
        <w:t>PPENDIX</w:t>
      </w:r>
      <w:r w:rsidRPr="00DD0C13">
        <w:rPr>
          <w:b/>
        </w:rPr>
        <w:t xml:space="preserve"> 1-</w:t>
      </w:r>
      <w:r w:rsidR="00332AB0">
        <w:rPr>
          <w:b/>
        </w:rPr>
        <w:t>6</w:t>
      </w:r>
      <w:r w:rsidRPr="00DD0C13">
        <w:t xml:space="preserve"> includes a crosswalk between </w:t>
      </w:r>
      <w:r>
        <w:t>propazine</w:t>
      </w:r>
      <w:r w:rsidRPr="00DD0C13">
        <w:t xml:space="preserve">’s registered agricultural crops and the CDL. </w:t>
      </w:r>
      <w:r w:rsidRPr="00DD0C13">
        <w:rPr>
          <w:b/>
        </w:rPr>
        <w:t>A</w:t>
      </w:r>
      <w:r>
        <w:rPr>
          <w:b/>
        </w:rPr>
        <w:t>PPENDIX</w:t>
      </w:r>
      <w:r w:rsidRPr="00DD0C13">
        <w:rPr>
          <w:b/>
        </w:rPr>
        <w:t xml:space="preserve"> 1-</w:t>
      </w:r>
      <w:r w:rsidR="00332AB0">
        <w:rPr>
          <w:b/>
        </w:rPr>
        <w:t>6</w:t>
      </w:r>
      <w:r w:rsidRPr="00DD0C13">
        <w:t xml:space="preserve"> also defines how individual CDL layers are grouped into UDL categories</w:t>
      </w:r>
      <w:r w:rsidRPr="00DD0C13">
        <w:rPr>
          <w:rStyle w:val="FootnoteReference"/>
        </w:rPr>
        <w:footnoteReference w:id="6"/>
      </w:r>
      <w:r w:rsidRPr="00DD0C13">
        <w:t xml:space="preserve"> </w:t>
      </w:r>
      <w:bookmarkStart w:id="23" w:name="_Hlk32246071"/>
      <w:r w:rsidRPr="00DD0C13">
        <w:t xml:space="preserve">and temporally combined </w:t>
      </w:r>
      <w:bookmarkEnd w:id="23"/>
      <w:r w:rsidRPr="00DD0C13">
        <w:t>to account for the accuracy of the data. USDA’s 2012 Census of Agriculture (CoA) is also used to improve accuracy by expanding the agricultural UDLs to meet or exceed the reported acres in the CoA (</w:t>
      </w:r>
      <w:r w:rsidRPr="00DD0C13">
        <w:rPr>
          <w:b/>
        </w:rPr>
        <w:t>A</w:t>
      </w:r>
      <w:r>
        <w:rPr>
          <w:b/>
        </w:rPr>
        <w:t>TTACHMENT</w:t>
      </w:r>
      <w:r w:rsidRPr="00DD0C13">
        <w:rPr>
          <w:b/>
        </w:rPr>
        <w:t xml:space="preserve"> 1-3</w:t>
      </w:r>
      <w:r w:rsidRPr="00DD0C13">
        <w:t xml:space="preserve">). </w:t>
      </w:r>
      <w:r>
        <w:t xml:space="preserve"> </w:t>
      </w:r>
    </w:p>
    <w:p w14:paraId="124CB0F3" w14:textId="77777777" w:rsidR="000F4A9B" w:rsidRPr="0011187A" w:rsidRDefault="000F4A9B" w:rsidP="000F4A9B">
      <w:pPr>
        <w:keepNext/>
        <w:keepLines/>
        <w:spacing w:after="0" w:line="240" w:lineRule="auto"/>
        <w:rPr>
          <w:highlight w:val="yellow"/>
        </w:rPr>
      </w:pPr>
    </w:p>
    <w:p w14:paraId="232D09EF" w14:textId="36C8BE66" w:rsidR="000F4A9B" w:rsidRDefault="000F4A9B" w:rsidP="000F4A9B">
      <w:pPr>
        <w:spacing w:after="0" w:line="240" w:lineRule="auto"/>
      </w:pPr>
      <w:r w:rsidRPr="0023583F">
        <w:t xml:space="preserve">The Step 2 overlap analysis incorporates </w:t>
      </w:r>
      <w:r>
        <w:t>propazine</w:t>
      </w:r>
      <w:r w:rsidRPr="0023583F">
        <w:t xml:space="preserve"> </w:t>
      </w:r>
      <w:r>
        <w:t>usage data, which are provided</w:t>
      </w:r>
      <w:r w:rsidRPr="0023583F">
        <w:t xml:space="preserve"> in the SUUM</w:t>
      </w:r>
      <w:bookmarkStart w:id="24" w:name="_Hlk52770530"/>
      <w:r w:rsidR="000C0B7F">
        <w:t xml:space="preserve"> (</w:t>
      </w:r>
      <w:r w:rsidR="000C0B7F" w:rsidRPr="00131878">
        <w:t>SIAB Use and Usage Matrix</w:t>
      </w:r>
      <w:r w:rsidR="000C0B7F">
        <w:t>)</w:t>
      </w:r>
      <w:bookmarkEnd w:id="24"/>
      <w:r w:rsidR="00812E59">
        <w:t>,</w:t>
      </w:r>
      <w:r w:rsidRPr="0023583F">
        <w:t xml:space="preserve"> </w:t>
      </w:r>
      <w:r w:rsidR="00812E59">
        <w:t xml:space="preserve">combining it with information from the CoA </w:t>
      </w:r>
      <w:r w:rsidRPr="0023583F">
        <w:t>(</w:t>
      </w:r>
      <w:r w:rsidRPr="0023583F">
        <w:rPr>
          <w:b/>
        </w:rPr>
        <w:t>A</w:t>
      </w:r>
      <w:r>
        <w:rPr>
          <w:b/>
        </w:rPr>
        <w:t>PPENDIX</w:t>
      </w:r>
      <w:r w:rsidRPr="0023583F">
        <w:rPr>
          <w:b/>
        </w:rPr>
        <w:t xml:space="preserve"> 1-4</w:t>
      </w:r>
      <w:r w:rsidR="00812E59">
        <w:rPr>
          <w:b/>
        </w:rPr>
        <w:t>, ATTACHMENT 1-4</w:t>
      </w:r>
      <w:r w:rsidRPr="0023583F">
        <w:t xml:space="preserve">). </w:t>
      </w:r>
      <w:r w:rsidRPr="0023583F">
        <w:rPr>
          <w:b/>
        </w:rPr>
        <w:t>A</w:t>
      </w:r>
      <w:r>
        <w:rPr>
          <w:b/>
        </w:rPr>
        <w:t>PPENDIX</w:t>
      </w:r>
      <w:r w:rsidRPr="0023583F">
        <w:rPr>
          <w:b/>
        </w:rPr>
        <w:t xml:space="preserve"> 1-7 </w:t>
      </w:r>
      <w:r w:rsidRPr="0023583F">
        <w:t xml:space="preserve">describe how the usage data for </w:t>
      </w:r>
      <w:r>
        <w:t>propazine</w:t>
      </w:r>
      <w:bookmarkStart w:id="25" w:name="_Hlk52363521"/>
      <w:r w:rsidR="00812E59">
        <w:t>, the CoA and the potential use sites</w:t>
      </w:r>
      <w:r w:rsidRPr="0023583F">
        <w:t xml:space="preserve"> </w:t>
      </w:r>
      <w:bookmarkEnd w:id="25"/>
      <w:r w:rsidRPr="0023583F">
        <w:t>are combined to estimate the number of treated acres relevant to a given species located in ConUS. These appendices also explain how the off-site transport zone (specifically spray drift) is adjusted based on available usage data.</w:t>
      </w:r>
      <w:r>
        <w:t xml:space="preserve"> </w:t>
      </w:r>
    </w:p>
    <w:p w14:paraId="4753BDFC" w14:textId="77777777" w:rsidR="000F4A9B" w:rsidRDefault="000F4A9B" w:rsidP="000F4A9B">
      <w:pPr>
        <w:spacing w:after="0" w:line="240" w:lineRule="auto"/>
        <w:rPr>
          <w:rFonts w:eastAsiaTheme="minorEastAsia"/>
        </w:rPr>
      </w:pPr>
    </w:p>
    <w:p w14:paraId="7320DA07" w14:textId="77777777" w:rsidR="000C0B7F" w:rsidRDefault="000C0B7F" w:rsidP="000C0B7F">
      <w:r>
        <w:t>The Revised Method document stated “Over time, EPA expects to update the MAGtool and other models and tools described in this document. When a pesticide BE is conducted, it will incorporate the most current versions of models and tools intended for use in the BEs.” This BE is consistent with the Revised Method and includes two method updates that are intended to improve the methods for assessing exposure and effects to plants. First, this BE utilizes a refined exposure model for plants inhabiting terrestrial, wetland and aquatic habitats. Second, this BE incorporates surrogate endpoints for plants when No Observed Adverse Effects Concentrations (NOAEC) values are not available. These approaches are discussed below.</w:t>
      </w:r>
    </w:p>
    <w:p w14:paraId="4E594530" w14:textId="461482A5" w:rsidR="000C0B7F" w:rsidRDefault="000C0B7F" w:rsidP="000C0B7F">
      <w:r>
        <w:t>To estimate exposures to plants in aquatic, wetland, and terrestrial habitats, this BE uses the Plant Assessment Tool (PAT), a new tool designed to refine screening-level exposure estimates to plants typically generated using TerrPlant. PAT employs mechanistic representations of fate (e.g., degradation) and transport (e.g., runoff), using data that are typically available for pesticides, to model runoff and spray drift exposure to terrestrial and wetland environments. For terrestrial plants, runoff and erosion are modeled using the Pesticide Root Zone Model (PRZM; which is part of PWC) and spray drift is modeled using AgDRIFT deposition values (also incorporated into the MAGtool). The model uses a mixing cell approach to represent water within the active root zone area of soil, and accounts for flow through the terrestrial plant exposure zone (T-PEZ) caused by both treated field runoff and direct precipitation onto the T-PEZ.  Pesticide losses from the T-PEZ occur from transport (i.e., washout and infiltration below the active root zone) and degradation. Wetlands are modeled using PRZM and the Variable Volume Water Model (VVWM) and are then processed in PAT to estimate aquatic (mass per volume of water) and terrestrial (mass per area) concentrations. Aquatic plants exposure is modeled using the PRZM/VVWM models and the standard pond. The results from PAT are summarized for use in the MAGtool in the same way as the results from PWC.</w:t>
      </w:r>
    </w:p>
    <w:p w14:paraId="2288E838" w14:textId="22D3E2CB" w:rsidR="000F4A9B" w:rsidRDefault="000C0B7F" w:rsidP="00674E2D">
      <w:pPr>
        <w:spacing w:after="0"/>
      </w:pPr>
      <w:r>
        <w:lastRenderedPageBreak/>
        <w:t>For listed terrestrial and wetland plant species, NOAECs from seedling emergence and vegetative vigor studies are used to represent toxicity endpoints. There are often cases where NOAECs are not available (e.g., statistically significant effects occurred at all test concentrations) or are considered unreliable. Consistent with OPP’s longstanding practice, in cases where NOAECs are not available or reliable, an ICx value is used as a surrogate. Based on an analysis of the variability in the dry weight and height data of the controls of commonly tested species in vegetative vigor and seedling emergence studies, x values were assigned based on test type and endpoint (</w:t>
      </w:r>
      <w:r w:rsidRPr="00FF5EDB">
        <w:rPr>
          <w:b/>
          <w:bCs/>
        </w:rPr>
        <w:t>Table 1-1</w:t>
      </w:r>
      <w:r>
        <w:t>; supporting details in</w:t>
      </w:r>
      <w:r w:rsidRPr="00FF5EDB">
        <w:rPr>
          <w:b/>
          <w:bCs/>
        </w:rPr>
        <w:t xml:space="preserve"> ATTACHMENT 1-5</w:t>
      </w:r>
      <w:r>
        <w:t xml:space="preserve">). This analysis does not consider the biological significance of the percent effect but rather identifies an ICx value at which we have confidence the measured effect is discernible. </w:t>
      </w:r>
      <w:r w:rsidRPr="00FF5EDB">
        <w:rPr>
          <w:b/>
          <w:bCs/>
        </w:rPr>
        <w:t>Table 1-1</w:t>
      </w:r>
      <w:r>
        <w:t xml:space="preserve"> Presents the ICx values that will be used as the Step 1 and 2 thresholds when a reliable NOAEC value is not available.</w:t>
      </w:r>
    </w:p>
    <w:p w14:paraId="35B0479C" w14:textId="77777777" w:rsidR="00674E2D" w:rsidRPr="000F4A9B" w:rsidRDefault="00674E2D" w:rsidP="00674E2D">
      <w:pPr>
        <w:spacing w:after="0"/>
      </w:pPr>
    </w:p>
    <w:p w14:paraId="79416A4E" w14:textId="77777777" w:rsidR="000F4A9B" w:rsidRDefault="000F4A9B" w:rsidP="00674E2D">
      <w:pPr>
        <w:spacing w:after="0"/>
      </w:pPr>
      <w:r w:rsidRPr="000F4A9B">
        <w:rPr>
          <w:b/>
          <w:bCs/>
        </w:rPr>
        <w:t>Table 1-1.</w:t>
      </w:r>
      <w:r w:rsidRPr="000F4A9B">
        <w:t xml:space="preserve"> Alternate Step 1 and 2 thresholds.</w:t>
      </w:r>
    </w:p>
    <w:tbl>
      <w:tblPr>
        <w:tblStyle w:val="TableGrid"/>
        <w:tblW w:w="0" w:type="auto"/>
        <w:tblLook w:val="04A0" w:firstRow="1" w:lastRow="0" w:firstColumn="1" w:lastColumn="0" w:noHBand="0" w:noVBand="1"/>
      </w:tblPr>
      <w:tblGrid>
        <w:gridCol w:w="3116"/>
        <w:gridCol w:w="3117"/>
        <w:gridCol w:w="3117"/>
      </w:tblGrid>
      <w:tr w:rsidR="000F4A9B" w14:paraId="7C03A295" w14:textId="77777777" w:rsidTr="0062601B">
        <w:tc>
          <w:tcPr>
            <w:tcW w:w="3116" w:type="dxa"/>
            <w:shd w:val="clear" w:color="auto" w:fill="D9D9D9" w:themeFill="background1" w:themeFillShade="D9"/>
          </w:tcPr>
          <w:p w14:paraId="5D983ADB" w14:textId="77777777" w:rsidR="000F4A9B" w:rsidRPr="002B2976" w:rsidRDefault="000F4A9B" w:rsidP="0062601B">
            <w:pPr>
              <w:rPr>
                <w:b/>
                <w:bCs/>
              </w:rPr>
            </w:pPr>
            <w:r w:rsidRPr="002B2976">
              <w:rPr>
                <w:b/>
                <w:bCs/>
              </w:rPr>
              <w:t>Test Type</w:t>
            </w:r>
          </w:p>
        </w:tc>
        <w:tc>
          <w:tcPr>
            <w:tcW w:w="3117" w:type="dxa"/>
            <w:shd w:val="clear" w:color="auto" w:fill="D9D9D9" w:themeFill="background1" w:themeFillShade="D9"/>
          </w:tcPr>
          <w:p w14:paraId="3416BB9A" w14:textId="77777777" w:rsidR="000F4A9B" w:rsidRPr="002B2976" w:rsidRDefault="000F4A9B" w:rsidP="0062601B">
            <w:pPr>
              <w:jc w:val="center"/>
              <w:rPr>
                <w:b/>
                <w:bCs/>
              </w:rPr>
            </w:pPr>
            <w:r w:rsidRPr="002B2976">
              <w:rPr>
                <w:b/>
                <w:bCs/>
              </w:rPr>
              <w:t>Dry Weight</w:t>
            </w:r>
          </w:p>
        </w:tc>
        <w:tc>
          <w:tcPr>
            <w:tcW w:w="3117" w:type="dxa"/>
            <w:shd w:val="clear" w:color="auto" w:fill="D9D9D9" w:themeFill="background1" w:themeFillShade="D9"/>
          </w:tcPr>
          <w:p w14:paraId="6727C6D4" w14:textId="77777777" w:rsidR="000F4A9B" w:rsidRPr="002B2976" w:rsidRDefault="000F4A9B" w:rsidP="0062601B">
            <w:pPr>
              <w:jc w:val="center"/>
              <w:rPr>
                <w:b/>
                <w:bCs/>
              </w:rPr>
            </w:pPr>
            <w:r w:rsidRPr="002B2976">
              <w:rPr>
                <w:b/>
                <w:bCs/>
              </w:rPr>
              <w:t>Shoot Height</w:t>
            </w:r>
          </w:p>
        </w:tc>
      </w:tr>
      <w:tr w:rsidR="000F4A9B" w14:paraId="5FFA637F" w14:textId="77777777" w:rsidTr="0062601B">
        <w:tc>
          <w:tcPr>
            <w:tcW w:w="3116" w:type="dxa"/>
          </w:tcPr>
          <w:p w14:paraId="328119BA" w14:textId="77777777" w:rsidR="000F4A9B" w:rsidRDefault="000F4A9B" w:rsidP="0062601B">
            <w:r>
              <w:t>Vegetative Vigor</w:t>
            </w:r>
          </w:p>
        </w:tc>
        <w:tc>
          <w:tcPr>
            <w:tcW w:w="3117" w:type="dxa"/>
          </w:tcPr>
          <w:p w14:paraId="1DC4C81E" w14:textId="77777777" w:rsidR="000F4A9B" w:rsidRDefault="000F4A9B" w:rsidP="0062601B">
            <w:pPr>
              <w:jc w:val="center"/>
            </w:pPr>
            <w:r>
              <w:t>IC</w:t>
            </w:r>
            <w:r w:rsidRPr="002B2976">
              <w:rPr>
                <w:vertAlign w:val="subscript"/>
              </w:rPr>
              <w:t>15</w:t>
            </w:r>
          </w:p>
        </w:tc>
        <w:tc>
          <w:tcPr>
            <w:tcW w:w="3117" w:type="dxa"/>
          </w:tcPr>
          <w:p w14:paraId="213DEEAF" w14:textId="77777777" w:rsidR="000F4A9B" w:rsidRDefault="000F4A9B" w:rsidP="0062601B">
            <w:pPr>
              <w:jc w:val="center"/>
            </w:pPr>
            <w:r>
              <w:t>IC</w:t>
            </w:r>
            <w:r w:rsidRPr="002B2976">
              <w:rPr>
                <w:vertAlign w:val="subscript"/>
              </w:rPr>
              <w:t>10</w:t>
            </w:r>
          </w:p>
        </w:tc>
      </w:tr>
      <w:tr w:rsidR="000F4A9B" w14:paraId="017E7387" w14:textId="77777777" w:rsidTr="0062601B">
        <w:tc>
          <w:tcPr>
            <w:tcW w:w="3116" w:type="dxa"/>
          </w:tcPr>
          <w:p w14:paraId="23C7FA9F" w14:textId="77777777" w:rsidR="000F4A9B" w:rsidRDefault="000F4A9B" w:rsidP="0062601B">
            <w:r>
              <w:t>Seedling Emergence</w:t>
            </w:r>
          </w:p>
        </w:tc>
        <w:tc>
          <w:tcPr>
            <w:tcW w:w="3117" w:type="dxa"/>
          </w:tcPr>
          <w:p w14:paraId="49E6666D" w14:textId="77777777" w:rsidR="000F4A9B" w:rsidRDefault="000F4A9B" w:rsidP="0062601B">
            <w:pPr>
              <w:jc w:val="center"/>
            </w:pPr>
            <w:r>
              <w:t>IC</w:t>
            </w:r>
            <w:r w:rsidRPr="002B2976">
              <w:rPr>
                <w:vertAlign w:val="subscript"/>
              </w:rPr>
              <w:t>20</w:t>
            </w:r>
          </w:p>
        </w:tc>
        <w:tc>
          <w:tcPr>
            <w:tcW w:w="3117" w:type="dxa"/>
          </w:tcPr>
          <w:p w14:paraId="26F43413" w14:textId="77777777" w:rsidR="000F4A9B" w:rsidRDefault="000F4A9B" w:rsidP="0062601B">
            <w:pPr>
              <w:jc w:val="center"/>
            </w:pPr>
            <w:r>
              <w:t>IC</w:t>
            </w:r>
            <w:r w:rsidRPr="002B2976">
              <w:rPr>
                <w:vertAlign w:val="subscript"/>
              </w:rPr>
              <w:t>10</w:t>
            </w:r>
          </w:p>
        </w:tc>
      </w:tr>
    </w:tbl>
    <w:p w14:paraId="6B22C57A" w14:textId="77777777" w:rsidR="000F4A9B" w:rsidRDefault="000F4A9B" w:rsidP="000F4A9B"/>
    <w:p w14:paraId="41221B38" w14:textId="2054B52C" w:rsidR="0062601B" w:rsidRPr="00803981" w:rsidRDefault="000F4A9B" w:rsidP="00803981">
      <w:pPr>
        <w:spacing w:after="0" w:line="240" w:lineRule="auto"/>
        <w:rPr>
          <w:rFonts w:eastAsiaTheme="minorEastAsia"/>
        </w:rPr>
      </w:pPr>
      <w:r w:rsidRPr="00165122">
        <w:rPr>
          <w:rFonts w:eastAsiaTheme="minorEastAsia"/>
          <w:b/>
        </w:rPr>
        <w:t>Chapter 2</w:t>
      </w:r>
      <w:r w:rsidRPr="001561C2">
        <w:rPr>
          <w:rFonts w:eastAsiaTheme="minorEastAsia"/>
        </w:rPr>
        <w:t xml:space="preserve"> of this BE includes </w:t>
      </w:r>
      <w:r w:rsidR="007A22B0">
        <w:rPr>
          <w:rFonts w:eastAsiaTheme="minorEastAsia"/>
        </w:rPr>
        <w:t>prop</w:t>
      </w:r>
      <w:r>
        <w:rPr>
          <w:rFonts w:eastAsiaTheme="minorEastAsia"/>
        </w:rPr>
        <w:t>azine</w:t>
      </w:r>
      <w:r w:rsidRPr="001561C2">
        <w:rPr>
          <w:rFonts w:eastAsiaTheme="minorEastAsia"/>
        </w:rPr>
        <w:t xml:space="preserve">’s toxicity endpoints and </w:t>
      </w:r>
      <w:r w:rsidRPr="00165122">
        <w:rPr>
          <w:rFonts w:eastAsiaTheme="minorEastAsia"/>
          <w:b/>
        </w:rPr>
        <w:t>Chapter 3</w:t>
      </w:r>
      <w:r w:rsidRPr="001561C2">
        <w:rPr>
          <w:rFonts w:eastAsiaTheme="minorEastAsia"/>
        </w:rPr>
        <w:t xml:space="preserve"> includes the exposure analysis. These toxicity endpoints and exposure estimates are used in Step</w:t>
      </w:r>
      <w:r>
        <w:rPr>
          <w:rFonts w:eastAsiaTheme="minorEastAsia"/>
        </w:rPr>
        <w:t>s</w:t>
      </w:r>
      <w:r w:rsidRPr="001561C2">
        <w:rPr>
          <w:rFonts w:eastAsiaTheme="minorEastAsia"/>
        </w:rPr>
        <w:t xml:space="preserve"> 1 and 2. </w:t>
      </w:r>
      <w:r w:rsidRPr="00427DEC">
        <w:rPr>
          <w:rFonts w:eastAsiaTheme="minorEastAsia"/>
          <w:b/>
        </w:rPr>
        <w:t>Chapter 2</w:t>
      </w:r>
      <w:r>
        <w:rPr>
          <w:rFonts w:eastAsiaTheme="minorEastAsia"/>
        </w:rPr>
        <w:t xml:space="preserve"> also summarizes incident reports that are associated with applications of </w:t>
      </w:r>
      <w:r w:rsidR="007A22B0">
        <w:rPr>
          <w:rFonts w:eastAsiaTheme="minorEastAsia"/>
        </w:rPr>
        <w:t>prop</w:t>
      </w:r>
      <w:r>
        <w:rPr>
          <w:rFonts w:eastAsiaTheme="minorEastAsia"/>
        </w:rPr>
        <w:t xml:space="preserve">azine (incident reports associated with illegal uses or misuses are not included in the assessment). </w:t>
      </w:r>
      <w:r w:rsidRPr="00427DEC">
        <w:rPr>
          <w:rFonts w:eastAsiaTheme="minorEastAsia"/>
          <w:b/>
        </w:rPr>
        <w:t>Chapter 3</w:t>
      </w:r>
      <w:r>
        <w:rPr>
          <w:rFonts w:eastAsiaTheme="minorEastAsia"/>
        </w:rPr>
        <w:t xml:space="preserve"> summarizes available monitoring data. </w:t>
      </w:r>
      <w:r w:rsidRPr="0023583F">
        <w:rPr>
          <w:rFonts w:eastAsiaTheme="minorEastAsia"/>
          <w:b/>
        </w:rPr>
        <w:t>Chapter 4</w:t>
      </w:r>
      <w:r w:rsidRPr="001561C2">
        <w:rPr>
          <w:rFonts w:eastAsiaTheme="minorEastAsia"/>
        </w:rPr>
        <w:t xml:space="preserve"> includes the species and critical habitat</w:t>
      </w:r>
      <w:r>
        <w:rPr>
          <w:rFonts w:eastAsiaTheme="minorEastAsia"/>
        </w:rPr>
        <w:t>-</w:t>
      </w:r>
      <w:r w:rsidRPr="001561C2">
        <w:rPr>
          <w:rFonts w:eastAsiaTheme="minorEastAsia"/>
        </w:rPr>
        <w:t>specific determinations</w:t>
      </w:r>
      <w:r>
        <w:rPr>
          <w:rFonts w:eastAsiaTheme="minorEastAsia"/>
        </w:rPr>
        <w:t xml:space="preserve"> for </w:t>
      </w:r>
      <w:r w:rsidR="007A22B0">
        <w:rPr>
          <w:rFonts w:eastAsiaTheme="minorEastAsia"/>
        </w:rPr>
        <w:t>prop</w:t>
      </w:r>
      <w:r>
        <w:rPr>
          <w:rFonts w:eastAsiaTheme="minorEastAsia"/>
        </w:rPr>
        <w:t>azine</w:t>
      </w:r>
      <w:r w:rsidRPr="001561C2">
        <w:rPr>
          <w:rFonts w:eastAsiaTheme="minorEastAsia"/>
        </w:rPr>
        <w:t>.</w:t>
      </w:r>
      <w:r>
        <w:rPr>
          <w:rFonts w:eastAsiaTheme="minorEastAsia"/>
        </w:rPr>
        <w:t xml:space="preserve"> For exposure in terrestrial habitats, the MAGtool</w:t>
      </w:r>
      <w:r>
        <w:rPr>
          <w:rStyle w:val="FootnoteReference"/>
          <w:rFonts w:eastAsiaTheme="minorEastAsia"/>
        </w:rPr>
        <w:footnoteReference w:id="7"/>
      </w:r>
      <w:r>
        <w:rPr>
          <w:rFonts w:eastAsiaTheme="minorEastAsia"/>
        </w:rPr>
        <w:t xml:space="preserve"> (version 2.2) is used (additional details in </w:t>
      </w:r>
      <w:r w:rsidRPr="00026C6E">
        <w:rPr>
          <w:rFonts w:eastAsiaTheme="minorEastAsia"/>
          <w:b/>
        </w:rPr>
        <w:t>A</w:t>
      </w:r>
      <w:r>
        <w:rPr>
          <w:rFonts w:eastAsiaTheme="minorEastAsia"/>
          <w:b/>
        </w:rPr>
        <w:t>TTACHMENT</w:t>
      </w:r>
      <w:r w:rsidRPr="00026C6E">
        <w:rPr>
          <w:rFonts w:eastAsiaTheme="minorEastAsia"/>
          <w:b/>
        </w:rPr>
        <w:t xml:space="preserve"> 1-1</w:t>
      </w:r>
      <w:r w:rsidRPr="00026C6E">
        <w:rPr>
          <w:rFonts w:eastAsiaTheme="minorEastAsia"/>
        </w:rPr>
        <w:t xml:space="preserve"> and tool documentation</w:t>
      </w:r>
      <w:r>
        <w:rPr>
          <w:rFonts w:eastAsiaTheme="minorEastAsia"/>
        </w:rPr>
        <w:t>).</w:t>
      </w:r>
      <w:r w:rsidRPr="001561C2">
        <w:rPr>
          <w:rFonts w:eastAsiaTheme="minorEastAsia"/>
        </w:rPr>
        <w:t xml:space="preserve"> </w:t>
      </w:r>
      <w:r>
        <w:rPr>
          <w:rFonts w:eastAsiaTheme="minorEastAsia"/>
        </w:rPr>
        <w:t>For aquatic habitats, exposure is estimated using the Pesticide in Water Calculator (PWC; version 1.52</w:t>
      </w:r>
      <w:r>
        <w:rPr>
          <w:rStyle w:val="FootnoteReference"/>
          <w:rFonts w:eastAsiaTheme="minorEastAsia"/>
        </w:rPr>
        <w:footnoteReference w:id="8"/>
      </w:r>
      <w:r>
        <w:rPr>
          <w:rFonts w:eastAsiaTheme="minorEastAsia"/>
        </w:rPr>
        <w:t>) and, where appropriate, the Pesticide in Flooded Applications Model (PFAM, version 2</w:t>
      </w:r>
      <w:r>
        <w:rPr>
          <w:rStyle w:val="FootnoteReference"/>
          <w:rFonts w:eastAsiaTheme="minorEastAsia"/>
        </w:rPr>
        <w:footnoteReference w:id="9"/>
      </w:r>
      <w:r>
        <w:rPr>
          <w:rFonts w:eastAsiaTheme="minorEastAsia"/>
        </w:rPr>
        <w:t xml:space="preserve">). Aquatic scenarios (referred to as “bins”) used to estimate exposures for each listed species with aquatic habitats are provided in </w:t>
      </w:r>
      <w:r w:rsidRPr="00026C6E">
        <w:rPr>
          <w:rFonts w:eastAsiaTheme="minorEastAsia"/>
          <w:b/>
        </w:rPr>
        <w:t>A</w:t>
      </w:r>
      <w:r>
        <w:rPr>
          <w:rFonts w:eastAsiaTheme="minorEastAsia"/>
          <w:b/>
        </w:rPr>
        <w:t>TTACHMENT</w:t>
      </w:r>
      <w:r w:rsidRPr="00026C6E">
        <w:rPr>
          <w:rFonts w:eastAsiaTheme="minorEastAsia"/>
          <w:b/>
        </w:rPr>
        <w:t xml:space="preserve"> 1-2.</w:t>
      </w:r>
      <w:r>
        <w:rPr>
          <w:rFonts w:eastAsiaTheme="minorEastAsia"/>
          <w:b/>
        </w:rPr>
        <w:t xml:space="preserve"> </w:t>
      </w:r>
      <w:r>
        <w:rPr>
          <w:rFonts w:eastAsiaTheme="minorEastAsia"/>
          <w:bCs/>
        </w:rPr>
        <w:t xml:space="preserve">For plants, exposure is estimated using PAT. </w:t>
      </w:r>
      <w:r>
        <w:rPr>
          <w:rFonts w:eastAsiaTheme="minorEastAsia"/>
        </w:rPr>
        <w:t>The MAGtool is used to integrate exposure, effects, and listed species life history information in order to make NE, NLAA and LAA determinations.</w:t>
      </w:r>
    </w:p>
    <w:sectPr w:rsidR="0062601B" w:rsidRPr="0080398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BD732B" w16cex:dateUtc="2020-09-30T19:25:59.8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80DDB" w14:textId="77777777" w:rsidR="0062601B" w:rsidRDefault="0062601B" w:rsidP="006A290E">
      <w:pPr>
        <w:spacing w:after="0" w:line="240" w:lineRule="auto"/>
      </w:pPr>
      <w:r>
        <w:separator/>
      </w:r>
    </w:p>
  </w:endnote>
  <w:endnote w:type="continuationSeparator" w:id="0">
    <w:p w14:paraId="718C2E86" w14:textId="77777777" w:rsidR="0062601B" w:rsidRDefault="0062601B" w:rsidP="006A290E">
      <w:pPr>
        <w:spacing w:after="0" w:line="240" w:lineRule="auto"/>
      </w:pPr>
      <w:r>
        <w:continuationSeparator/>
      </w:r>
    </w:p>
  </w:endnote>
  <w:endnote w:type="continuationNotice" w:id="1">
    <w:p w14:paraId="51D2E43B" w14:textId="77777777" w:rsidR="0062601B" w:rsidRDefault="00626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85A2" w14:textId="48480A3A" w:rsidR="00161EB2" w:rsidRDefault="00161EB2">
    <w:pPr>
      <w:pStyle w:val="Footer"/>
      <w:jc w:val="center"/>
    </w:pPr>
    <w:r>
      <w:t>1-</w:t>
    </w:r>
    <w:sdt>
      <w:sdtPr>
        <w:id w:val="10895066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284EEB6" w14:textId="77777777" w:rsidR="00161EB2" w:rsidRDefault="00161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E0D95" w14:textId="77777777" w:rsidR="0062601B" w:rsidRDefault="0062601B" w:rsidP="006A290E">
      <w:pPr>
        <w:spacing w:after="0" w:line="240" w:lineRule="auto"/>
      </w:pPr>
      <w:r>
        <w:separator/>
      </w:r>
    </w:p>
  </w:footnote>
  <w:footnote w:type="continuationSeparator" w:id="0">
    <w:p w14:paraId="4FF70E7A" w14:textId="77777777" w:rsidR="0062601B" w:rsidRDefault="0062601B" w:rsidP="006A290E">
      <w:pPr>
        <w:spacing w:after="0" w:line="240" w:lineRule="auto"/>
      </w:pPr>
      <w:r>
        <w:continuationSeparator/>
      </w:r>
    </w:p>
  </w:footnote>
  <w:footnote w:type="continuationNotice" w:id="1">
    <w:p w14:paraId="3698993A" w14:textId="77777777" w:rsidR="0062601B" w:rsidRDefault="0062601B">
      <w:pPr>
        <w:spacing w:after="0" w:line="240" w:lineRule="auto"/>
      </w:pPr>
    </w:p>
  </w:footnote>
  <w:footnote w:id="2">
    <w:p w14:paraId="069FF3AF" w14:textId="77777777" w:rsidR="0062601B" w:rsidRDefault="0062601B" w:rsidP="006A290E">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41543254" w14:textId="05B743A7" w:rsidR="0062601B" w:rsidRDefault="0062601B" w:rsidP="006A290E">
      <w:pPr>
        <w:pStyle w:val="FootnoteText"/>
      </w:pPr>
      <w:r>
        <w:rPr>
          <w:rStyle w:val="FootnoteReference"/>
        </w:rPr>
        <w:footnoteRef/>
      </w:r>
      <w:r>
        <w:t xml:space="preserve"> </w:t>
      </w:r>
      <w:r>
        <w:rPr>
          <w:rFonts w:asciiTheme="minorHAnsi" w:hAnsiTheme="minorHAnsi" w:cstheme="minorHAnsi"/>
        </w:rPr>
        <w:t>Propazine</w:t>
      </w:r>
      <w:r w:rsidRPr="00354AFC">
        <w:rPr>
          <w:rFonts w:asciiTheme="minorHAnsi" w:hAnsiTheme="minorHAnsi" w:cstheme="minorHAnsi"/>
        </w:rPr>
        <w:t xml:space="preserve"> Registration Review Docket Folder. </w:t>
      </w:r>
      <w:hyperlink r:id="rId2" w:history="1">
        <w:r>
          <w:rPr>
            <w:rStyle w:val="Hyperlink"/>
          </w:rPr>
          <w:t>https://www.regulations.gov/docket?D=EPA-HQ-OPP-2010-0230</w:t>
        </w:r>
      </w:hyperlink>
    </w:p>
  </w:footnote>
  <w:footnote w:id="4">
    <w:p w14:paraId="6FB3CB35" w14:textId="37DFEF49" w:rsidR="0062601B" w:rsidRPr="00077698" w:rsidRDefault="0062601B" w:rsidP="00077698">
      <w:pPr>
        <w:pStyle w:val="FootnoteText"/>
      </w:pPr>
      <w:r w:rsidRPr="00077698">
        <w:rPr>
          <w:rStyle w:val="FootnoteReference"/>
        </w:rPr>
        <w:footnoteRef/>
      </w:r>
      <w:r w:rsidRPr="00077698">
        <w:t xml:space="preserve"> </w:t>
      </w:r>
      <w:r w:rsidRPr="00077698">
        <w:rPr>
          <w:rFonts w:asciiTheme="minorHAnsi" w:hAnsiTheme="minorHAnsi" w:cstheme="minorHAnsi"/>
        </w:rPr>
        <w:t>The FAO mobility classification system is recommended for use in exposure assessments in the Office of Pesticide Programs in “</w:t>
      </w:r>
      <w:r w:rsidRPr="00077698">
        <w:rPr>
          <w:rFonts w:asciiTheme="minorHAnsi" w:hAnsiTheme="minorHAnsi" w:cstheme="minorHAnsi"/>
          <w:i/>
        </w:rPr>
        <w: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w:t>
      </w:r>
      <w:r w:rsidRPr="00077698">
        <w:rPr>
          <w:rFonts w:asciiTheme="minorHAnsi" w:hAnsiTheme="minorHAnsi" w:cstheme="minorHAnsi"/>
        </w:rPr>
        <w:t xml:space="preserve">” </w:t>
      </w:r>
      <w:r w:rsidRPr="00077698">
        <w:rPr>
          <w:rFonts w:asciiTheme="minorHAnsi" w:hAnsiTheme="minorHAnsi" w:cstheme="minorHAnsi"/>
        </w:rPr>
        <w:fldChar w:fldCharType="begin"/>
      </w:r>
      <w:r w:rsidRPr="00077698">
        <w:rPr>
          <w:rFonts w:asciiTheme="minorHAnsi" w:hAnsiTheme="minorHAnsi" w:cstheme="minorHAnsi"/>
        </w:rPr>
        <w:instrText xml:space="preserve"> ADDIN EN.CITE &lt;EndNote&gt;&lt;Cite&gt;&lt;Author&gt;USEPA&lt;/Author&gt;&lt;Year&gt;2010&lt;/Year&gt;&lt;RecNum&gt;591&lt;/RecNum&gt;&lt;DisplayText&gt;(USEPA, 2010)&lt;/DisplayText&gt;&lt;record&gt;&lt;rec-number&gt;591&lt;/rec-number&gt;&lt;foreign-keys&gt;&lt;key app="EN" db-id="s0xer2w2o0xwx3e0a0tx0sz3zradttw529er" timestamp="1322490410"&gt;591&lt;/key&gt;&lt;/foreign-keys&gt;&lt;ref-type name="EPA Document"&gt;51&lt;/ref-type&gt;&lt;contributors&gt;&lt;authors&gt;&lt;author&gt;USEPA, &lt;/author&gt;&lt;/authors&gt;&lt;/contributors&gt;&lt;titles&gt;&lt;title&gt;Guidance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Assessments&lt;/title&gt;&lt;secondary-title&gt;January 25, 2010&lt;/secondary-title&gt;&lt;tertiary-title&gt;Environmental Fate and Effects Division.  Office of Chemical Safety and Pollution Prevention.  U.S. Environmental Protection Agency&lt;/tertiary-title&gt;&lt;/titles&gt;&lt;dates&gt;&lt;year&gt;2010&lt;/year&gt;&lt;/dates&gt;&lt;urls&gt;&lt;related-urls&gt;&lt;url&gt;https://www.epa.gov/pesticide-science-and-assessing-pesticide-risks/guidance-reporting-environmental-fate-and-transport&lt;/url&gt;&lt;/related-urls&gt;&lt;/urls&gt;&lt;/record&gt;&lt;/Cite&gt;&lt;/EndNote&gt;</w:instrText>
      </w:r>
      <w:r w:rsidRPr="00077698">
        <w:rPr>
          <w:rFonts w:asciiTheme="minorHAnsi" w:hAnsiTheme="minorHAnsi" w:cstheme="minorHAnsi"/>
        </w:rPr>
        <w:fldChar w:fldCharType="separate"/>
      </w:r>
      <w:r w:rsidRPr="00077698">
        <w:rPr>
          <w:rFonts w:asciiTheme="minorHAnsi" w:hAnsiTheme="minorHAnsi" w:cstheme="minorHAnsi"/>
          <w:noProof/>
        </w:rPr>
        <w:t>(USEPA, 2010)</w:t>
      </w:r>
      <w:r w:rsidRPr="00077698">
        <w:rPr>
          <w:rFonts w:asciiTheme="minorHAnsi" w:hAnsiTheme="minorHAnsi" w:cstheme="minorHAnsi"/>
        </w:rPr>
        <w:fldChar w:fldCharType="end"/>
      </w:r>
      <w:r w:rsidRPr="00077698">
        <w:rPr>
          <w:rFonts w:asciiTheme="minorHAnsi" w:hAnsiTheme="minorHAnsi" w:cstheme="minorHAnsi"/>
        </w:rPr>
        <w:t>.</w:t>
      </w:r>
      <w:r w:rsidRPr="00803981">
        <w:t xml:space="preserve"> </w:t>
      </w:r>
      <w:hyperlink r:id="rId3" w:history="1">
        <w:r w:rsidRPr="003E0BE8">
          <w:rPr>
            <w:rStyle w:val="Hyperlink"/>
          </w:rPr>
          <w:t>https://www.epa.gov/pesticide-science-and-assessing-pesticide-risks/guidance-reporting-environmental-fate-and-transport</w:t>
        </w:r>
      </w:hyperlink>
      <w:r w:rsidRPr="003E0BE8">
        <w:t>.</w:t>
      </w:r>
    </w:p>
  </w:footnote>
  <w:footnote w:id="5">
    <w:p w14:paraId="5BE969A0" w14:textId="77777777" w:rsidR="0062601B" w:rsidRDefault="0062601B" w:rsidP="000F4A9B">
      <w:pPr>
        <w:pStyle w:val="FootnoteText"/>
      </w:pPr>
      <w:r>
        <w:rPr>
          <w:rStyle w:val="FootnoteReference"/>
        </w:rPr>
        <w:footnoteRef/>
      </w:r>
      <w:r>
        <w:t xml:space="preserve"> </w:t>
      </w:r>
      <w:r w:rsidRPr="00270167">
        <w:t xml:space="preserve">USDA National Agricultural Statistics Service Cropland Data Layer. </w:t>
      </w:r>
      <w:r w:rsidRPr="00893070">
        <w:t xml:space="preserve">2013-2017. Published crop-specific data layer [Online]. Available at </w:t>
      </w:r>
      <w:hyperlink r:id="rId4" w:history="1">
        <w:r w:rsidRPr="00023DE3">
          <w:rPr>
            <w:rStyle w:val="Hyperlink"/>
          </w:rPr>
          <w:t>https://www.nass.usda.gov/Research_and_Science/Cropland/SARS1a.php</w:t>
        </w:r>
      </w:hyperlink>
      <w:r w:rsidRPr="00893070">
        <w:t xml:space="preserve"> (accessed 3/2018; verified </w:t>
      </w:r>
      <w:r>
        <w:t>2</w:t>
      </w:r>
      <w:r w:rsidRPr="00893070">
        <w:t>/</w:t>
      </w:r>
      <w:r>
        <w:t>2020</w:t>
      </w:r>
      <w:r w:rsidRPr="00270167">
        <w:t>). USDA-NASS, Washington, DC.</w:t>
      </w:r>
    </w:p>
  </w:footnote>
  <w:footnote w:id="6">
    <w:p w14:paraId="2485F658" w14:textId="77777777" w:rsidR="0062601B" w:rsidRDefault="0062601B" w:rsidP="000F4A9B">
      <w:pPr>
        <w:pStyle w:val="FootnoteText"/>
      </w:pPr>
      <w:r>
        <w:rPr>
          <w:rStyle w:val="FootnoteReference"/>
        </w:rPr>
        <w:footnoteRef/>
      </w:r>
      <w:r>
        <w:t xml:space="preserve"> Categories include: corn, cotton, rice, soybeans, wheat, vegetables and ground fruit, other grains, other row crops, other crops, pasture/hay, citrus, vineyards and other orchards.</w:t>
      </w:r>
    </w:p>
  </w:footnote>
  <w:footnote w:id="7">
    <w:p w14:paraId="424851EE" w14:textId="65D50C36" w:rsidR="0062601B" w:rsidRPr="000A4575" w:rsidRDefault="0062601B" w:rsidP="000F4A9B">
      <w:pPr>
        <w:pStyle w:val="FootnoteText"/>
      </w:pPr>
      <w:r w:rsidRPr="00E65520">
        <w:rPr>
          <w:rStyle w:val="FootnoteReference"/>
        </w:rPr>
        <w:footnoteRef/>
      </w:r>
      <w:r w:rsidRPr="00E65520">
        <w:t xml:space="preserve"> </w:t>
      </w:r>
      <w:r w:rsidRPr="00DE3C95">
        <w:t>Information on the models and too</w:t>
      </w:r>
      <w:r w:rsidRPr="000A4575">
        <w:t xml:space="preserve">ls used to support </w:t>
      </w:r>
      <w:r w:rsidRPr="0061215F">
        <w:t>th</w:t>
      </w:r>
      <w:r w:rsidRPr="00E65520">
        <w:t xml:space="preserve">is biological evaluation are available at: </w:t>
      </w:r>
      <w:hyperlink r:id="rId5" w:history="1">
        <w:r w:rsidRPr="00DE3C95">
          <w:rPr>
            <w:rStyle w:val="Hyperlink"/>
          </w:rPr>
          <w:t>https://www.epa.gov/endangered-species/models-and-tools-endangered-species-pesticide-assessments</w:t>
        </w:r>
      </w:hyperlink>
      <w:r w:rsidRPr="00E65520">
        <w:t xml:space="preserve"> (Accessed </w:t>
      </w:r>
      <w:r>
        <w:t>September</w:t>
      </w:r>
      <w:r w:rsidRPr="00DE3C95">
        <w:t xml:space="preserve"> 2020).</w:t>
      </w:r>
    </w:p>
  </w:footnote>
  <w:footnote w:id="8">
    <w:p w14:paraId="6B7BE7A2" w14:textId="5B47A014" w:rsidR="0062601B" w:rsidRDefault="0062601B" w:rsidP="000F4A9B">
      <w:pPr>
        <w:pStyle w:val="FootnoteText"/>
      </w:pPr>
      <w:r w:rsidRPr="00E65520">
        <w:rPr>
          <w:rStyle w:val="FootnoteReference"/>
        </w:rPr>
        <w:footnoteRef/>
      </w:r>
      <w:r w:rsidRPr="00E65520">
        <w:t xml:space="preserve"> Available online at: </w:t>
      </w:r>
      <w:hyperlink r:id="rId6" w:history="1">
        <w:r w:rsidRPr="00626DEF">
          <w:rPr>
            <w:rStyle w:val="Hyperlink"/>
          </w:rPr>
          <w:t>https://www.epa.gov/pesticide-science-and-assessing-pesticide-risks/models-pesticide-risk-assessment#aquatic</w:t>
        </w:r>
      </w:hyperlink>
      <w:r w:rsidRPr="00E63DA9">
        <w:rPr>
          <w:rStyle w:val="Hyperlink"/>
          <w:color w:val="000000" w:themeColor="text1"/>
        </w:rPr>
        <w:t xml:space="preserve"> </w:t>
      </w:r>
      <w:r w:rsidRPr="00626DEF">
        <w:rPr>
          <w:rStyle w:val="Hyperlink"/>
          <w:color w:val="000000" w:themeColor="text1"/>
        </w:rPr>
        <w:t>(</w:t>
      </w:r>
      <w:r>
        <w:rPr>
          <w:rStyle w:val="Hyperlink"/>
          <w:color w:val="000000" w:themeColor="text1"/>
        </w:rPr>
        <w:t>A</w:t>
      </w:r>
      <w:r w:rsidRPr="00626DEF">
        <w:rPr>
          <w:rStyle w:val="Hyperlink"/>
          <w:color w:val="000000" w:themeColor="text1"/>
        </w:rPr>
        <w:t xml:space="preserve">ccessed </w:t>
      </w:r>
      <w:r>
        <w:rPr>
          <w:rStyle w:val="Hyperlink"/>
          <w:color w:val="000000" w:themeColor="text1"/>
        </w:rPr>
        <w:t>September</w:t>
      </w:r>
      <w:r w:rsidRPr="00626DEF">
        <w:rPr>
          <w:rStyle w:val="Hyperlink"/>
          <w:color w:val="000000" w:themeColor="text1"/>
        </w:rPr>
        <w:t xml:space="preserve"> 2020).</w:t>
      </w:r>
    </w:p>
  </w:footnote>
  <w:footnote w:id="9">
    <w:p w14:paraId="0B721955" w14:textId="77777777" w:rsidR="0062601B" w:rsidRDefault="0062601B" w:rsidP="000F4A9B">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4588D"/>
    <w:multiLevelType w:val="multilevel"/>
    <w:tmpl w:val="2D2C56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8"/>
  <w:proofState w:spelling="clean" w:grammar="clean"/>
  <w:documentProtection w:edit="readOnly" w:enforcement="1" w:cryptProviderType="rsaAES" w:cryptAlgorithmClass="hash" w:cryptAlgorithmType="typeAny" w:cryptAlgorithmSid="14" w:cryptSpinCount="100000" w:hash="CYxKkHO4QdjT0+7HRfUrGg4ST64C1kbX2yqVCnkMfetAk8kCN5RefLDV2jcTOPuPnhE8un+z1FBQzSrKC9BbRw==" w:salt="hefQ2SAzKShHMYVzy0RiO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0E"/>
    <w:rsid w:val="000262BB"/>
    <w:rsid w:val="0003082D"/>
    <w:rsid w:val="0005340D"/>
    <w:rsid w:val="00055AF9"/>
    <w:rsid w:val="000571B9"/>
    <w:rsid w:val="00072EB8"/>
    <w:rsid w:val="00077698"/>
    <w:rsid w:val="00083AAE"/>
    <w:rsid w:val="000C0B7F"/>
    <w:rsid w:val="000C1F75"/>
    <w:rsid w:val="000E3B67"/>
    <w:rsid w:val="000F257C"/>
    <w:rsid w:val="000F4A9B"/>
    <w:rsid w:val="00136CD9"/>
    <w:rsid w:val="0015317A"/>
    <w:rsid w:val="00161EB2"/>
    <w:rsid w:val="001623A1"/>
    <w:rsid w:val="001736A6"/>
    <w:rsid w:val="001910A5"/>
    <w:rsid w:val="00195814"/>
    <w:rsid w:val="001B207F"/>
    <w:rsid w:val="001C76C3"/>
    <w:rsid w:val="001D0873"/>
    <w:rsid w:val="001E3976"/>
    <w:rsid w:val="001F16B2"/>
    <w:rsid w:val="0021719D"/>
    <w:rsid w:val="00241525"/>
    <w:rsid w:val="00243C7F"/>
    <w:rsid w:val="00291978"/>
    <w:rsid w:val="0029446D"/>
    <w:rsid w:val="00295BB8"/>
    <w:rsid w:val="002A74F2"/>
    <w:rsid w:val="002F3A79"/>
    <w:rsid w:val="00324929"/>
    <w:rsid w:val="00332AB0"/>
    <w:rsid w:val="00357346"/>
    <w:rsid w:val="00452D3D"/>
    <w:rsid w:val="00477B62"/>
    <w:rsid w:val="004E0CA9"/>
    <w:rsid w:val="004F3210"/>
    <w:rsid w:val="004F7B24"/>
    <w:rsid w:val="005046AB"/>
    <w:rsid w:val="00504A15"/>
    <w:rsid w:val="00521FF2"/>
    <w:rsid w:val="005543BA"/>
    <w:rsid w:val="0056026E"/>
    <w:rsid w:val="005756EA"/>
    <w:rsid w:val="005D46C8"/>
    <w:rsid w:val="00621CB5"/>
    <w:rsid w:val="0062601B"/>
    <w:rsid w:val="006727F3"/>
    <w:rsid w:val="00674E2D"/>
    <w:rsid w:val="006A09BD"/>
    <w:rsid w:val="006A290E"/>
    <w:rsid w:val="006D19DE"/>
    <w:rsid w:val="006F3398"/>
    <w:rsid w:val="007246A8"/>
    <w:rsid w:val="00742269"/>
    <w:rsid w:val="0074294E"/>
    <w:rsid w:val="007452BB"/>
    <w:rsid w:val="007536AB"/>
    <w:rsid w:val="0077793B"/>
    <w:rsid w:val="007A22B0"/>
    <w:rsid w:val="00803981"/>
    <w:rsid w:val="00812E59"/>
    <w:rsid w:val="008A489C"/>
    <w:rsid w:val="008A7C0A"/>
    <w:rsid w:val="008F2619"/>
    <w:rsid w:val="008F4A0C"/>
    <w:rsid w:val="008F702D"/>
    <w:rsid w:val="00943915"/>
    <w:rsid w:val="00946398"/>
    <w:rsid w:val="00947BB8"/>
    <w:rsid w:val="00991577"/>
    <w:rsid w:val="009A1975"/>
    <w:rsid w:val="009B5455"/>
    <w:rsid w:val="009B5E51"/>
    <w:rsid w:val="009E1289"/>
    <w:rsid w:val="009E2056"/>
    <w:rsid w:val="009E5C80"/>
    <w:rsid w:val="00A03B0D"/>
    <w:rsid w:val="00A343C3"/>
    <w:rsid w:val="00AA1D57"/>
    <w:rsid w:val="00AA7BA2"/>
    <w:rsid w:val="00AB129A"/>
    <w:rsid w:val="00AE1836"/>
    <w:rsid w:val="00AF2149"/>
    <w:rsid w:val="00AF264A"/>
    <w:rsid w:val="00B16D24"/>
    <w:rsid w:val="00B46FD4"/>
    <w:rsid w:val="00B7546C"/>
    <w:rsid w:val="00B97EDB"/>
    <w:rsid w:val="00BB3C49"/>
    <w:rsid w:val="00BB4C5F"/>
    <w:rsid w:val="00BC3673"/>
    <w:rsid w:val="00BF44CD"/>
    <w:rsid w:val="00C044C1"/>
    <w:rsid w:val="00C06EA4"/>
    <w:rsid w:val="00C118C6"/>
    <w:rsid w:val="00C22351"/>
    <w:rsid w:val="00C31935"/>
    <w:rsid w:val="00C322B2"/>
    <w:rsid w:val="00C351A5"/>
    <w:rsid w:val="00C4422B"/>
    <w:rsid w:val="00CD6262"/>
    <w:rsid w:val="00D037A1"/>
    <w:rsid w:val="00D10448"/>
    <w:rsid w:val="00D35769"/>
    <w:rsid w:val="00D40F53"/>
    <w:rsid w:val="00D71DAC"/>
    <w:rsid w:val="00D7483D"/>
    <w:rsid w:val="00D858C8"/>
    <w:rsid w:val="00D93C4C"/>
    <w:rsid w:val="00DC617E"/>
    <w:rsid w:val="00DD7DF8"/>
    <w:rsid w:val="00DE3786"/>
    <w:rsid w:val="00DE526D"/>
    <w:rsid w:val="00E16BB1"/>
    <w:rsid w:val="00E31B32"/>
    <w:rsid w:val="00F2619B"/>
    <w:rsid w:val="00F82A69"/>
    <w:rsid w:val="00F97824"/>
    <w:rsid w:val="1C049CE5"/>
    <w:rsid w:val="40A9037F"/>
    <w:rsid w:val="42F4D674"/>
    <w:rsid w:val="455BA721"/>
    <w:rsid w:val="511318FA"/>
    <w:rsid w:val="5D408088"/>
    <w:rsid w:val="5FBBD621"/>
    <w:rsid w:val="66E703AC"/>
    <w:rsid w:val="70B8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1107"/>
  <w15:chartTrackingRefBased/>
  <w15:docId w15:val="{E9689035-6D2C-4595-AA8A-433E4A23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290E"/>
    <w:rPr>
      <w:rFonts w:ascii="Calibri" w:eastAsia="Calibri" w:hAnsi="Calibri" w:cs="Calibri"/>
      <w:color w:val="000000"/>
    </w:rPr>
  </w:style>
  <w:style w:type="paragraph" w:styleId="Heading1">
    <w:name w:val="heading 1"/>
    <w:basedOn w:val="Normal"/>
    <w:next w:val="Normal"/>
    <w:link w:val="Heading1Char"/>
    <w:uiPriority w:val="9"/>
    <w:qFormat/>
    <w:rsid w:val="006A290E"/>
    <w:pPr>
      <w:keepNext/>
      <w:keepLines/>
      <w:numPr>
        <w:numId w:val="1"/>
      </w:numPr>
      <w:spacing w:after="0" w:line="240" w:lineRule="auto"/>
      <w:outlineLvl w:val="0"/>
    </w:pPr>
    <w:rPr>
      <w:color w:val="2E75B5"/>
      <w:sz w:val="24"/>
      <w:szCs w:val="28"/>
    </w:rPr>
  </w:style>
  <w:style w:type="paragraph" w:styleId="Heading2">
    <w:name w:val="heading 2"/>
    <w:basedOn w:val="Normal"/>
    <w:next w:val="Normal"/>
    <w:link w:val="Heading2Char"/>
    <w:uiPriority w:val="9"/>
    <w:rsid w:val="006A290E"/>
    <w:pPr>
      <w:keepNext/>
      <w:keepLines/>
      <w:numPr>
        <w:ilvl w:val="1"/>
        <w:numId w:val="1"/>
      </w:numPr>
      <w:spacing w:before="200" w:after="0" w:line="276" w:lineRule="auto"/>
      <w:ind w:left="1170" w:hanging="540"/>
      <w:outlineLvl w:val="1"/>
    </w:pPr>
    <w:rPr>
      <w:color w:val="5B9BD5" w:themeColor="accent5"/>
      <w:szCs w:val="24"/>
    </w:rPr>
  </w:style>
  <w:style w:type="paragraph" w:styleId="Heading3">
    <w:name w:val="heading 3"/>
    <w:basedOn w:val="Normal"/>
    <w:next w:val="Normal"/>
    <w:link w:val="Heading3Char"/>
    <w:qFormat/>
    <w:rsid w:val="006A290E"/>
    <w:pPr>
      <w:keepNext/>
      <w:keepLines/>
      <w:numPr>
        <w:ilvl w:val="2"/>
        <w:numId w:val="1"/>
      </w:numPr>
      <w:spacing w:before="200" w:after="0" w:line="276" w:lineRule="auto"/>
      <w:ind w:left="1800" w:hanging="630"/>
      <w:outlineLvl w:val="2"/>
    </w:pPr>
    <w:rPr>
      <w:color w:val="5B9BD5" w:themeColor="accent5"/>
    </w:rPr>
  </w:style>
  <w:style w:type="paragraph" w:styleId="Heading4">
    <w:name w:val="heading 4"/>
    <w:basedOn w:val="Normal"/>
    <w:next w:val="Normal"/>
    <w:link w:val="Heading4Char"/>
    <w:uiPriority w:val="9"/>
    <w:qFormat/>
    <w:rsid w:val="006A290E"/>
    <w:pPr>
      <w:keepNext/>
      <w:keepLines/>
      <w:numPr>
        <w:ilvl w:val="3"/>
        <w:numId w:val="1"/>
      </w:numPr>
      <w:spacing w:before="240" w:after="40"/>
      <w:contextualSpacing/>
      <w:outlineLvl w:val="3"/>
    </w:pPr>
    <w:rPr>
      <w:b/>
      <w:sz w:val="24"/>
      <w:szCs w:val="24"/>
    </w:rPr>
  </w:style>
  <w:style w:type="paragraph" w:styleId="Heading5">
    <w:name w:val="heading 5"/>
    <w:basedOn w:val="Normal"/>
    <w:next w:val="Normal"/>
    <w:link w:val="Heading5Char"/>
    <w:uiPriority w:val="9"/>
    <w:qFormat/>
    <w:rsid w:val="006A290E"/>
    <w:pPr>
      <w:keepNext/>
      <w:keepLines/>
      <w:numPr>
        <w:ilvl w:val="4"/>
        <w:numId w:val="1"/>
      </w:numPr>
      <w:spacing w:before="220" w:after="40"/>
      <w:contextualSpacing/>
      <w:outlineLvl w:val="4"/>
    </w:pPr>
    <w:rPr>
      <w:b/>
    </w:rPr>
  </w:style>
  <w:style w:type="paragraph" w:styleId="Heading6">
    <w:name w:val="heading 6"/>
    <w:basedOn w:val="Normal"/>
    <w:next w:val="Normal"/>
    <w:link w:val="Heading6Char"/>
    <w:qFormat/>
    <w:rsid w:val="006A290E"/>
    <w:pPr>
      <w:keepNext/>
      <w:keepLines/>
      <w:numPr>
        <w:ilvl w:val="5"/>
        <w:numId w:val="1"/>
      </w:numPr>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6A290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A29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29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90E"/>
    <w:rPr>
      <w:rFonts w:ascii="Calibri" w:eastAsia="Calibri" w:hAnsi="Calibri" w:cs="Calibri"/>
      <w:color w:val="2E75B5"/>
      <w:sz w:val="24"/>
      <w:szCs w:val="28"/>
    </w:rPr>
  </w:style>
  <w:style w:type="character" w:customStyle="1" w:styleId="Heading2Char">
    <w:name w:val="Heading 2 Char"/>
    <w:basedOn w:val="DefaultParagraphFont"/>
    <w:link w:val="Heading2"/>
    <w:uiPriority w:val="9"/>
    <w:rsid w:val="006A290E"/>
    <w:rPr>
      <w:rFonts w:ascii="Calibri" w:eastAsia="Calibri" w:hAnsi="Calibri" w:cs="Calibri"/>
      <w:color w:val="5B9BD5" w:themeColor="accent5"/>
      <w:szCs w:val="24"/>
    </w:rPr>
  </w:style>
  <w:style w:type="character" w:customStyle="1" w:styleId="Heading3Char">
    <w:name w:val="Heading 3 Char"/>
    <w:basedOn w:val="DefaultParagraphFont"/>
    <w:link w:val="Heading3"/>
    <w:rsid w:val="006A290E"/>
    <w:rPr>
      <w:rFonts w:ascii="Calibri" w:eastAsia="Calibri" w:hAnsi="Calibri" w:cs="Calibri"/>
      <w:color w:val="5B9BD5" w:themeColor="accent5"/>
    </w:rPr>
  </w:style>
  <w:style w:type="character" w:customStyle="1" w:styleId="Heading4Char">
    <w:name w:val="Heading 4 Char"/>
    <w:basedOn w:val="DefaultParagraphFont"/>
    <w:link w:val="Heading4"/>
    <w:uiPriority w:val="9"/>
    <w:rsid w:val="006A290E"/>
    <w:rPr>
      <w:rFonts w:ascii="Calibri" w:eastAsia="Calibri" w:hAnsi="Calibri" w:cs="Calibri"/>
      <w:b/>
      <w:color w:val="000000"/>
      <w:sz w:val="24"/>
      <w:szCs w:val="24"/>
    </w:rPr>
  </w:style>
  <w:style w:type="character" w:customStyle="1" w:styleId="Heading5Char">
    <w:name w:val="Heading 5 Char"/>
    <w:basedOn w:val="DefaultParagraphFont"/>
    <w:link w:val="Heading5"/>
    <w:uiPriority w:val="9"/>
    <w:rsid w:val="006A290E"/>
    <w:rPr>
      <w:rFonts w:ascii="Calibri" w:eastAsia="Calibri" w:hAnsi="Calibri" w:cs="Calibri"/>
      <w:b/>
      <w:color w:val="000000"/>
    </w:rPr>
  </w:style>
  <w:style w:type="character" w:customStyle="1" w:styleId="Heading6Char">
    <w:name w:val="Heading 6 Char"/>
    <w:basedOn w:val="DefaultParagraphFont"/>
    <w:link w:val="Heading6"/>
    <w:rsid w:val="006A290E"/>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6A29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A29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290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6A290E"/>
    <w:pPr>
      <w:spacing w:after="0" w:line="240" w:lineRule="auto"/>
    </w:pPr>
    <w:rPr>
      <w:sz w:val="20"/>
      <w:szCs w:val="20"/>
    </w:rPr>
  </w:style>
  <w:style w:type="character" w:customStyle="1" w:styleId="FootnoteTextChar">
    <w:name w:val="Footnote Text Char"/>
    <w:basedOn w:val="DefaultParagraphFont"/>
    <w:link w:val="FootnoteText"/>
    <w:uiPriority w:val="99"/>
    <w:rsid w:val="006A290E"/>
    <w:rPr>
      <w:rFonts w:ascii="Calibri" w:eastAsia="Calibri" w:hAnsi="Calibri" w:cs="Calibri"/>
      <w:color w:val="000000"/>
      <w:sz w:val="20"/>
      <w:szCs w:val="20"/>
    </w:rPr>
  </w:style>
  <w:style w:type="character" w:styleId="FootnoteReference">
    <w:name w:val="footnote reference"/>
    <w:basedOn w:val="DefaultParagraphFont"/>
    <w:unhideWhenUsed/>
    <w:rsid w:val="006A290E"/>
    <w:rPr>
      <w:vertAlign w:val="superscript"/>
    </w:rPr>
  </w:style>
  <w:style w:type="character" w:styleId="Hyperlink">
    <w:name w:val="Hyperlink"/>
    <w:basedOn w:val="DefaultParagraphFont"/>
    <w:uiPriority w:val="99"/>
    <w:unhideWhenUsed/>
    <w:rsid w:val="006A290E"/>
    <w:rPr>
      <w:color w:val="0563C1" w:themeColor="hyperlink"/>
      <w:u w:val="single"/>
    </w:rPr>
  </w:style>
  <w:style w:type="paragraph" w:styleId="TOCHeading">
    <w:name w:val="TOC Heading"/>
    <w:basedOn w:val="Heading1"/>
    <w:next w:val="Normal"/>
    <w:uiPriority w:val="39"/>
    <w:unhideWhenUsed/>
    <w:qFormat/>
    <w:rsid w:val="006A290E"/>
  </w:style>
  <w:style w:type="paragraph" w:styleId="TOC1">
    <w:name w:val="toc 1"/>
    <w:basedOn w:val="Normal"/>
    <w:next w:val="Normal"/>
    <w:autoRedefine/>
    <w:uiPriority w:val="39"/>
    <w:unhideWhenUsed/>
    <w:rsid w:val="006A290E"/>
    <w:pPr>
      <w:tabs>
        <w:tab w:val="left" w:pos="440"/>
        <w:tab w:val="right" w:leader="dot" w:pos="9350"/>
      </w:tabs>
      <w:spacing w:after="100"/>
    </w:pPr>
  </w:style>
  <w:style w:type="paragraph" w:styleId="TOC2">
    <w:name w:val="toc 2"/>
    <w:basedOn w:val="Normal"/>
    <w:next w:val="Normal"/>
    <w:autoRedefine/>
    <w:uiPriority w:val="39"/>
    <w:unhideWhenUsed/>
    <w:rsid w:val="006A290E"/>
    <w:pPr>
      <w:spacing w:after="100"/>
      <w:ind w:left="220"/>
    </w:pPr>
  </w:style>
  <w:style w:type="character" w:customStyle="1" w:styleId="normaltextrun">
    <w:name w:val="normaltextrun"/>
    <w:basedOn w:val="DefaultParagraphFont"/>
    <w:rsid w:val="006A290E"/>
  </w:style>
  <w:style w:type="character" w:customStyle="1" w:styleId="eop">
    <w:name w:val="eop"/>
    <w:basedOn w:val="DefaultParagraphFont"/>
    <w:rsid w:val="006A290E"/>
  </w:style>
  <w:style w:type="paragraph" w:customStyle="1" w:styleId="EndNoteBibliography">
    <w:name w:val="EndNote Bibliography"/>
    <w:basedOn w:val="Normal"/>
    <w:link w:val="EndNoteBibliographyChar"/>
    <w:rsid w:val="006A290E"/>
    <w:pPr>
      <w:spacing w:line="240" w:lineRule="auto"/>
    </w:pPr>
    <w:rPr>
      <w:noProof/>
    </w:rPr>
  </w:style>
  <w:style w:type="character" w:customStyle="1" w:styleId="EndNoteBibliographyChar">
    <w:name w:val="EndNote Bibliography Char"/>
    <w:basedOn w:val="DefaultParagraphFont"/>
    <w:link w:val="EndNoteBibliography"/>
    <w:rsid w:val="006A290E"/>
    <w:rPr>
      <w:rFonts w:ascii="Calibri" w:eastAsia="Calibri" w:hAnsi="Calibri" w:cs="Calibri"/>
      <w:noProof/>
      <w:color w:val="000000"/>
    </w:rPr>
  </w:style>
  <w:style w:type="character" w:styleId="CommentReference">
    <w:name w:val="annotation reference"/>
    <w:basedOn w:val="DefaultParagraphFont"/>
    <w:uiPriority w:val="99"/>
    <w:semiHidden/>
    <w:unhideWhenUsed/>
    <w:rsid w:val="00B16D24"/>
    <w:rPr>
      <w:sz w:val="16"/>
      <w:szCs w:val="16"/>
    </w:rPr>
  </w:style>
  <w:style w:type="paragraph" w:styleId="CommentText">
    <w:name w:val="annotation text"/>
    <w:basedOn w:val="Normal"/>
    <w:link w:val="CommentTextChar"/>
    <w:uiPriority w:val="99"/>
    <w:unhideWhenUsed/>
    <w:rsid w:val="00B16D24"/>
    <w:pPr>
      <w:spacing w:line="240" w:lineRule="auto"/>
    </w:pPr>
    <w:rPr>
      <w:sz w:val="20"/>
      <w:szCs w:val="20"/>
    </w:rPr>
  </w:style>
  <w:style w:type="character" w:customStyle="1" w:styleId="CommentTextChar">
    <w:name w:val="Comment Text Char"/>
    <w:basedOn w:val="DefaultParagraphFont"/>
    <w:link w:val="CommentText"/>
    <w:uiPriority w:val="99"/>
    <w:rsid w:val="00B16D2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16D24"/>
    <w:rPr>
      <w:b/>
      <w:bCs/>
    </w:rPr>
  </w:style>
  <w:style w:type="character" w:customStyle="1" w:styleId="CommentSubjectChar">
    <w:name w:val="Comment Subject Char"/>
    <w:basedOn w:val="CommentTextChar"/>
    <w:link w:val="CommentSubject"/>
    <w:uiPriority w:val="99"/>
    <w:semiHidden/>
    <w:rsid w:val="00B16D2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16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D24"/>
    <w:rPr>
      <w:rFonts w:ascii="Segoe UI" w:eastAsia="Calibri" w:hAnsi="Segoe UI" w:cs="Segoe UI"/>
      <w:color w:val="000000"/>
      <w:sz w:val="18"/>
      <w:szCs w:val="18"/>
    </w:rPr>
  </w:style>
  <w:style w:type="paragraph" w:styleId="BodyText">
    <w:name w:val="Body Text"/>
    <w:basedOn w:val="Normal"/>
    <w:link w:val="BodyTextChar"/>
    <w:uiPriority w:val="1"/>
    <w:qFormat/>
    <w:rsid w:val="00C322B2"/>
    <w:pPr>
      <w:widowControl w:val="0"/>
      <w:spacing w:after="0" w:line="240" w:lineRule="auto"/>
      <w:ind w:left="100"/>
    </w:pPr>
    <w:rPr>
      <w:rFonts w:ascii="Times New Roman" w:eastAsia="Times New Roman" w:hAnsi="Times New Roman" w:cstheme="minorBidi"/>
      <w:color w:val="auto"/>
      <w:sz w:val="24"/>
      <w:szCs w:val="24"/>
    </w:rPr>
  </w:style>
  <w:style w:type="character" w:customStyle="1" w:styleId="BodyTextChar">
    <w:name w:val="Body Text Char"/>
    <w:basedOn w:val="DefaultParagraphFont"/>
    <w:link w:val="BodyText"/>
    <w:uiPriority w:val="1"/>
    <w:rsid w:val="00C322B2"/>
    <w:rPr>
      <w:rFonts w:ascii="Times New Roman" w:eastAsia="Times New Roman" w:hAnsi="Times New Roman"/>
      <w:sz w:val="24"/>
      <w:szCs w:val="24"/>
    </w:rPr>
  </w:style>
  <w:style w:type="paragraph" w:customStyle="1" w:styleId="TableParagraph">
    <w:name w:val="Table Paragraph"/>
    <w:basedOn w:val="Normal"/>
    <w:uiPriority w:val="1"/>
    <w:qFormat/>
    <w:rsid w:val="00C322B2"/>
    <w:pPr>
      <w:widowControl w:val="0"/>
      <w:spacing w:after="0" w:line="240" w:lineRule="auto"/>
    </w:pPr>
    <w:rPr>
      <w:rFonts w:asciiTheme="minorHAnsi" w:eastAsiaTheme="minorHAnsi" w:hAnsiTheme="minorHAnsi" w:cstheme="minorBidi"/>
      <w:color w:val="auto"/>
    </w:rPr>
  </w:style>
  <w:style w:type="paragraph" w:styleId="Header">
    <w:name w:val="header"/>
    <w:basedOn w:val="Normal"/>
    <w:link w:val="HeaderChar"/>
    <w:uiPriority w:val="99"/>
    <w:unhideWhenUsed/>
    <w:rsid w:val="0074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BB"/>
    <w:rPr>
      <w:rFonts w:ascii="Calibri" w:eastAsia="Calibri" w:hAnsi="Calibri" w:cs="Calibri"/>
      <w:color w:val="000000"/>
    </w:rPr>
  </w:style>
  <w:style w:type="paragraph" w:styleId="Footer">
    <w:name w:val="footer"/>
    <w:basedOn w:val="Normal"/>
    <w:link w:val="FooterChar"/>
    <w:uiPriority w:val="99"/>
    <w:unhideWhenUsed/>
    <w:rsid w:val="0074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BB"/>
    <w:rPr>
      <w:rFonts w:ascii="Calibri" w:eastAsia="Calibri" w:hAnsi="Calibri" w:cs="Calibri"/>
      <w:color w:val="000000"/>
    </w:rPr>
  </w:style>
  <w:style w:type="character" w:customStyle="1" w:styleId="spellingerror">
    <w:name w:val="spellingerror"/>
    <w:basedOn w:val="DefaultParagraphFont"/>
    <w:rsid w:val="000F4A9B"/>
  </w:style>
  <w:style w:type="table" w:styleId="TableGrid">
    <w:name w:val="Table Grid"/>
    <w:basedOn w:val="TableNormal"/>
    <w:uiPriority w:val="39"/>
    <w:rsid w:val="000F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F4A0C"/>
    <w:rPr>
      <w:color w:val="605E5C"/>
      <w:shd w:val="clear" w:color="auto" w:fill="E1DFDD"/>
    </w:rPr>
  </w:style>
  <w:style w:type="character" w:styleId="Mention">
    <w:name w:val="Mention"/>
    <w:basedOn w:val="DefaultParagraphFont"/>
    <w:uiPriority w:val="99"/>
    <w:unhideWhenUsed/>
    <w:rsid w:val="008F4A0C"/>
    <w:rPr>
      <w:color w:val="2B579A"/>
      <w:shd w:val="clear" w:color="auto" w:fill="E1DFDD"/>
    </w:rPr>
  </w:style>
  <w:style w:type="paragraph" w:styleId="Revision">
    <w:name w:val="Revision"/>
    <w:hidden/>
    <w:uiPriority w:val="99"/>
    <w:semiHidden/>
    <w:rsid w:val="00C118C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0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304f96e3d727460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pesticide-science-and-assessing-pesticide-risks/guidance-reporting-environmental-fate-and-transport" TargetMode="External"/><Relationship Id="rId2" Type="http://schemas.openxmlformats.org/officeDocument/2006/relationships/hyperlink" Target="https://www.regulations.gov/docket?D=EPA-HQ-OPP-2010-0230" TargetMode="External"/><Relationship Id="rId1" Type="http://schemas.openxmlformats.org/officeDocument/2006/relationships/hyperlink" Target="https://www.epa.gov/endangered-species/revised-method-national-level-listed-species-biological-evaluations-conventional" TargetMode="External"/><Relationship Id="rId6" Type="http://schemas.openxmlformats.org/officeDocument/2006/relationships/hyperlink" Target="https://www.epa.gov/pesticide-science-and-assessing-pesticide-risks/models-pesticide-risk-assessment%23aquatic" TargetMode="External"/><Relationship Id="rId5" Type="http://schemas.openxmlformats.org/officeDocument/2006/relationships/hyperlink" Target="https://www.epa.gov/endangered-species/models-and-tools-endangered-species-pesticide-assessments" TargetMode="External"/><Relationship Id="rId4" Type="http://schemas.openxmlformats.org/officeDocument/2006/relationships/hyperlink" Target="https://www.nass.usda.gov/Research_and_Science/Cropland/SARS1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2020-08-20T12:41:37+00:00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XSL" StyleName="ISO 690 - First Element and Date" Version="1987">
  <b:Source>
    <b:Tag>1EF06</b:Tag>
    <b:SourceType>Report</b:SourceType>
    <b:Guid>{A5427DA7-D330-4D1F-B7AF-3838D5D5D819}</b:Guid>
    <b:Author>
      <b:Author>
        <b:Corporate>EFED</b:Corporate>
      </b:Author>
    </b:Author>
    <b:Title>Ecological Risk Assessment: Section 3 (New Use on Sorghum) Propazine</b:Title>
    <b:Year>2006</b:Year>
    <b:Publisher>U.S. EPA</b:Publisher>
    <b:City>Washington, D.C.</b:City>
    <b:RefOrder>1</b:RefOrder>
  </b:Source>
  <b:Source>
    <b:Tag>Wor83</b:Tag>
    <b:SourceType>Book</b:SourceType>
    <b:Guid>{D3296094-F062-43CF-9A01-BD1462069860}</b:Guid>
    <b:Title>The Pesticide manual: A World Compendium</b:Title>
    <b:Year>1983</b:Year>
    <b:City>Croydon, England</b:City>
    <b:Publisher>The British Crop Protection Council</b:Publisher>
    <b:Author>
      <b:Author>
        <b:NameList>
          <b:Person>
            <b:Last>Worthing</b:Last>
            <b:First>C.R.,</b:First>
            <b:Middle>ed.</b:Middle>
          </b:Person>
        </b:NameList>
      </b:Author>
    </b:Author>
    <b:RefOrder>3</b:RefOrder>
  </b:Source>
  <b:Source>
    <b:Tag>Mon93</b:Tag>
    <b:SourceType>BookSection</b:SourceType>
    <b:Guid>{CB8DE33C-851C-4283-B6F2-81E6C544391D}</b:Guid>
    <b:Year>1993</b:Year>
    <b:Publisher>Lewis Publishers</b:Publisher>
    <b:City>Chelsea, MI</b:City>
    <b:Author>
      <b:Author>
        <b:NameList>
          <b:Person>
            <b:Last>Montgomery</b:Last>
            <b:First>J.H.</b:First>
          </b:Person>
        </b:NameList>
      </b:Author>
    </b:Author>
    <b:BookTitle>Agrochemicals desk reference: environmental data.</b:BookTitle>
    <b:Pages>356-358</b:Pages>
    <b:RefOrder>4</b:RefOrder>
  </b:Source>
</b:Sources>
</file>

<file path=customXml/itemProps1.xml><?xml version="1.0" encoding="utf-8"?>
<ds:datastoreItem xmlns:ds="http://schemas.openxmlformats.org/officeDocument/2006/customXml" ds:itemID="{10973105-6CE9-43C2-8102-D80DC5C8D698}">
  <ds:schemaRefs>
    <ds:schemaRef ds:uri="Microsoft.SharePoint.Taxonomy.ContentTypeSync"/>
  </ds:schemaRefs>
</ds:datastoreItem>
</file>

<file path=customXml/itemProps2.xml><?xml version="1.0" encoding="utf-8"?>
<ds:datastoreItem xmlns:ds="http://schemas.openxmlformats.org/officeDocument/2006/customXml" ds:itemID="{2D130823-E17B-4A2F-82F7-910E448AA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CB71E-C022-4CE7-8E4D-95E40E3937CC}">
  <ds:schemaRefs>
    <ds:schemaRef ds:uri="http://purl.org/dc/elements/1.1/"/>
    <ds:schemaRef ds:uri="http://schemas.microsoft.com/office/infopath/2007/PartnerControls"/>
    <ds:schemaRef ds:uri="1b69afd8-9bdb-481b-b26a-06cbd17fa30c"/>
    <ds:schemaRef ds:uri="4ffa91fb-a0ff-4ac5-b2db-65c790d184a4"/>
    <ds:schemaRef ds:uri="http://schemas.openxmlformats.org/package/2006/metadata/core-properties"/>
    <ds:schemaRef ds:uri="a5d1ca4e-0a3f-4119-b619-e20b93ebd1aa"/>
    <ds:schemaRef ds:uri="http://purl.org/dc/terms/"/>
    <ds:schemaRef ds:uri="http://purl.org/dc/dcmitype/"/>
    <ds:schemaRef ds:uri="http://www.w3.org/XML/1998/namespace"/>
    <ds:schemaRef ds:uri="http://schemas.microsoft.com/office/2006/documentManagement/types"/>
    <ds:schemaRef ds:uri="http://schemas.microsoft.com/sharepoint/v3/fields"/>
    <ds:schemaRef ds:uri="http://schemas.microsoft.com/sharepoint.v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C852BFA4-74A2-4389-B632-71E190D726FB}">
  <ds:schemaRefs>
    <ds:schemaRef ds:uri="http://schemas.microsoft.com/sharepoint/v3/contenttype/forms"/>
  </ds:schemaRefs>
</ds:datastoreItem>
</file>

<file path=customXml/itemProps5.xml><?xml version="1.0" encoding="utf-8"?>
<ds:datastoreItem xmlns:ds="http://schemas.openxmlformats.org/officeDocument/2006/customXml" ds:itemID="{81913A51-637C-4ECC-9B99-2D020057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3075</Words>
  <Characters>17529</Characters>
  <Application>Microsoft Office Word</Application>
  <DocSecurity>10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Louie-Juzwiak, Rosanna</cp:lastModifiedBy>
  <cp:revision>2</cp:revision>
  <dcterms:created xsi:type="dcterms:W3CDTF">2020-10-16T22:05:00Z</dcterms:created>
  <dcterms:modified xsi:type="dcterms:W3CDTF">2020-10-16T22:05:00Z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