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2403" w14:textId="209253C9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4472C4" w:themeColor="accent5"/>
          <w:sz w:val="32"/>
          <w:szCs w:val="32"/>
        </w:rPr>
      </w:pPr>
      <w:bookmarkStart w:id="0" w:name="h.gjdgxs" w:colFirst="0" w:colLast="0"/>
      <w:bookmarkEnd w:id="0"/>
      <w:r w:rsidRPr="008B3BE4">
        <w:rPr>
          <w:rFonts w:eastAsia="Times New Roman" w:cs="Times New Roman"/>
          <w:b/>
          <w:color w:val="4472C4" w:themeColor="accent5"/>
          <w:sz w:val="32"/>
          <w:szCs w:val="32"/>
        </w:rPr>
        <w:t>APPENDIX 2-</w:t>
      </w:r>
      <w:r w:rsidR="0019511A">
        <w:rPr>
          <w:rFonts w:eastAsia="Times New Roman" w:cs="Times New Roman"/>
          <w:b/>
          <w:color w:val="4472C4" w:themeColor="accent5"/>
          <w:sz w:val="32"/>
          <w:szCs w:val="32"/>
        </w:rPr>
        <w:t>6</w:t>
      </w:r>
      <w:r w:rsidRPr="008B3BE4">
        <w:rPr>
          <w:rFonts w:eastAsia="Times New Roman" w:cs="Times New Roman"/>
          <w:b/>
          <w:color w:val="4472C4" w:themeColor="accent5"/>
          <w:sz w:val="32"/>
          <w:szCs w:val="32"/>
        </w:rPr>
        <w:t xml:space="preserve">. </w:t>
      </w:r>
      <w:r w:rsidR="00D03F30">
        <w:rPr>
          <w:rFonts w:eastAsia="Times New Roman" w:cs="Times New Roman"/>
          <w:b/>
          <w:color w:val="4472C4" w:themeColor="accent5"/>
          <w:sz w:val="32"/>
          <w:szCs w:val="32"/>
        </w:rPr>
        <w:t>Propazine</w:t>
      </w:r>
      <w:r w:rsidRPr="008B3BE4">
        <w:rPr>
          <w:rFonts w:eastAsia="Times New Roman" w:cs="Times New Roman"/>
          <w:b/>
          <w:color w:val="4472C4" w:themeColor="accent5"/>
          <w:sz w:val="32"/>
          <w:szCs w:val="32"/>
        </w:rPr>
        <w:t xml:space="preserve"> Species Sensitivity Distribution Analysis for </w:t>
      </w:r>
      <w:r w:rsidR="0019511A">
        <w:rPr>
          <w:rFonts w:eastAsia="Times New Roman" w:cs="Times New Roman"/>
          <w:b/>
          <w:color w:val="4472C4" w:themeColor="accent5"/>
          <w:sz w:val="32"/>
          <w:szCs w:val="32"/>
        </w:rPr>
        <w:t>Terrestrial</w:t>
      </w:r>
      <w:r w:rsidR="0093602D" w:rsidRPr="008B3BE4">
        <w:rPr>
          <w:rFonts w:eastAsia="Times New Roman" w:cs="Times New Roman"/>
          <w:b/>
          <w:color w:val="4472C4" w:themeColor="accent5"/>
          <w:sz w:val="32"/>
          <w:szCs w:val="32"/>
        </w:rPr>
        <w:t xml:space="preserve"> Plants</w:t>
      </w:r>
    </w:p>
    <w:p w14:paraId="27766248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bookmarkStart w:id="1" w:name="_Hlk51146890"/>
    </w:p>
    <w:p w14:paraId="03A519CF" w14:textId="44643D2B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color w:val="000000"/>
        </w:rPr>
        <w:t xml:space="preserve">SSDs were fit to toxicity data for </w:t>
      </w:r>
      <w:r w:rsidR="0082163B">
        <w:rPr>
          <w:rFonts w:eastAsia="Times New Roman" w:cs="Times New Roman"/>
          <w:color w:val="000000"/>
        </w:rPr>
        <w:t>terrestrial</w:t>
      </w:r>
      <w:r w:rsidR="0093602D" w:rsidRPr="008B3BE4">
        <w:rPr>
          <w:rFonts w:eastAsia="Times New Roman" w:cs="Times New Roman"/>
          <w:color w:val="000000"/>
        </w:rPr>
        <w:t xml:space="preserve"> plants</w:t>
      </w:r>
      <w:r w:rsidR="00927881" w:rsidRPr="008B3BE4">
        <w:rPr>
          <w:rFonts w:eastAsia="Times New Roman" w:cs="Times New Roman"/>
          <w:color w:val="000000"/>
        </w:rPr>
        <w:t xml:space="preserve"> </w:t>
      </w:r>
      <w:r w:rsidRPr="008B3BE4">
        <w:rPr>
          <w:rFonts w:eastAsia="Times New Roman" w:cs="Times New Roman"/>
          <w:color w:val="000000"/>
        </w:rPr>
        <w:t xml:space="preserve">exposed to </w:t>
      </w:r>
      <w:r w:rsidR="00D03F30">
        <w:rPr>
          <w:rFonts w:eastAsia="Times New Roman" w:cs="Times New Roman"/>
          <w:color w:val="000000"/>
        </w:rPr>
        <w:t>propazine</w:t>
      </w:r>
      <w:r w:rsidRPr="008B3BE4">
        <w:rPr>
          <w:rFonts w:eastAsia="Times New Roman" w:cs="Times New Roman"/>
          <w:color w:val="000000"/>
        </w:rPr>
        <w:t xml:space="preserve">.  Five distributions were </w:t>
      </w:r>
      <w:proofErr w:type="gramStart"/>
      <w:r w:rsidRPr="008B3BE4">
        <w:rPr>
          <w:rFonts w:eastAsia="Times New Roman" w:cs="Times New Roman"/>
          <w:color w:val="000000"/>
        </w:rPr>
        <w:t>tested</w:t>
      </w:r>
      <w:proofErr w:type="gramEnd"/>
      <w:r w:rsidRPr="008B3BE4">
        <w:rPr>
          <w:rFonts w:eastAsia="Times New Roman" w:cs="Times New Roman"/>
          <w:color w:val="000000"/>
        </w:rPr>
        <w:t xml:space="preserve"> and a variety of methods were used to determine whether different subsets of data should be modeled independently.  </w:t>
      </w:r>
      <w:r w:rsidR="00D9696D" w:rsidRPr="008B3BE4">
        <w:rPr>
          <w:rFonts w:eastAsia="Times New Roman" w:cs="Times New Roman"/>
          <w:color w:val="000000"/>
        </w:rPr>
        <w:t xml:space="preserve">Ultimately, the results from the </w:t>
      </w:r>
      <w:r w:rsidR="0019511A">
        <w:rPr>
          <w:rFonts w:eastAsia="Times New Roman" w:cs="Times New Roman"/>
          <w:color w:val="000000"/>
        </w:rPr>
        <w:t>vegetative vigor</w:t>
      </w:r>
      <w:r w:rsidR="00F16C06" w:rsidRPr="008B3BE4">
        <w:rPr>
          <w:rFonts w:eastAsia="Times New Roman" w:cs="Times New Roman"/>
          <w:color w:val="000000"/>
        </w:rPr>
        <w:t xml:space="preserve"> and </w:t>
      </w:r>
      <w:r w:rsidR="0019511A">
        <w:rPr>
          <w:rFonts w:eastAsia="Times New Roman" w:cs="Times New Roman"/>
          <w:color w:val="000000"/>
        </w:rPr>
        <w:t>seedling emergence</w:t>
      </w:r>
      <w:r w:rsidR="00F16C06" w:rsidRPr="008B3BE4">
        <w:rPr>
          <w:rFonts w:eastAsia="Times New Roman" w:cs="Times New Roman"/>
          <w:color w:val="000000"/>
        </w:rPr>
        <w:t xml:space="preserve"> </w:t>
      </w:r>
      <w:r w:rsidR="00D9696D" w:rsidRPr="008B3BE4">
        <w:rPr>
          <w:rFonts w:eastAsia="Times New Roman" w:cs="Times New Roman"/>
          <w:color w:val="000000"/>
        </w:rPr>
        <w:t>SSDs were used.</w:t>
      </w:r>
      <w:r w:rsidRPr="008B3BE4">
        <w:rPr>
          <w:rFonts w:eastAsia="Times New Roman" w:cs="Times New Roman"/>
          <w:color w:val="000000"/>
        </w:rPr>
        <w:t xml:space="preserve"> </w:t>
      </w:r>
      <w:r w:rsidRPr="008B3BE4">
        <w:rPr>
          <w:rFonts w:eastAsia="Times New Roman" w:cs="Times New Roman"/>
          <w:b/>
          <w:bCs/>
          <w:color w:val="000000"/>
        </w:rPr>
        <w:t xml:space="preserve"> Table 1</w:t>
      </w:r>
      <w:r w:rsidRPr="008B3BE4">
        <w:rPr>
          <w:rFonts w:eastAsia="Times New Roman" w:cs="Times New Roman"/>
          <w:color w:val="000000"/>
        </w:rPr>
        <w:t xml:space="preserve"> provides a summary of the results. </w:t>
      </w:r>
    </w:p>
    <w:bookmarkEnd w:id="1"/>
    <w:p w14:paraId="6FDBCFC5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</w:rPr>
      </w:pPr>
    </w:p>
    <w:p w14:paraId="0B3F0FAC" w14:textId="77777777" w:rsidR="008D46DB" w:rsidRPr="008B3BE4" w:rsidRDefault="008D46DB" w:rsidP="008D46DB">
      <w:pPr>
        <w:spacing w:after="0" w:line="276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8B3BE4">
        <w:rPr>
          <w:rFonts w:eastAsia="Times New Roman" w:cs="Times New Roman"/>
          <w:b/>
          <w:color w:val="000000"/>
        </w:rPr>
        <w:t>Table 1. Summary statistics for SSD</w:t>
      </w:r>
      <w:r w:rsidRPr="008B3BE4">
        <w:rPr>
          <w:rFonts w:eastAsia="Times New Roman" w:cstheme="minorHAnsi"/>
          <w:b/>
          <w:color w:val="000000"/>
          <w:sz w:val="20"/>
          <w:szCs w:val="20"/>
        </w:rPr>
        <w:t xml:space="preserve">s fit to </w:t>
      </w:r>
      <w:r>
        <w:rPr>
          <w:rFonts w:eastAsia="Times New Roman" w:cstheme="minorHAnsi"/>
          <w:b/>
          <w:color w:val="000000"/>
          <w:sz w:val="20"/>
          <w:szCs w:val="20"/>
        </w:rPr>
        <w:t>propazine</w:t>
      </w:r>
      <w:r w:rsidRPr="008B3BE4">
        <w:rPr>
          <w:rFonts w:eastAsia="Times New Roman" w:cstheme="minorHAnsi"/>
          <w:b/>
          <w:color w:val="000000"/>
          <w:sz w:val="20"/>
          <w:szCs w:val="20"/>
        </w:rPr>
        <w:t xml:space="preserve"> test results.</w:t>
      </w:r>
    </w:p>
    <w:tbl>
      <w:tblPr>
        <w:tblStyle w:val="TableGrid"/>
        <w:tblW w:w="3210" w:type="pct"/>
        <w:tblInd w:w="108" w:type="dxa"/>
        <w:tblLook w:val="04A0" w:firstRow="1" w:lastRow="0" w:firstColumn="1" w:lastColumn="0" w:noHBand="0" w:noVBand="1"/>
      </w:tblPr>
      <w:tblGrid>
        <w:gridCol w:w="2922"/>
        <w:gridCol w:w="1570"/>
        <w:gridCol w:w="1568"/>
      </w:tblGrid>
      <w:tr w:rsidR="008D46DB" w:rsidRPr="008B3BE4" w14:paraId="0D387DE2" w14:textId="77777777" w:rsidTr="00DC2ECC">
        <w:trPr>
          <w:trHeight w:val="359"/>
        </w:trPr>
        <w:tc>
          <w:tcPr>
            <w:tcW w:w="2411" w:type="pct"/>
            <w:shd w:val="clear" w:color="auto" w:fill="D9D9D9" w:themeFill="background1" w:themeFillShade="D9"/>
            <w:vAlign w:val="center"/>
          </w:tcPr>
          <w:p w14:paraId="0D48FF3F" w14:textId="77777777" w:rsidR="008D46DB" w:rsidRPr="008B3BE4" w:rsidRDefault="008D46DB" w:rsidP="00DC2E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Statistic</w:t>
            </w:r>
          </w:p>
        </w:tc>
        <w:tc>
          <w:tcPr>
            <w:tcW w:w="1295" w:type="pct"/>
            <w:shd w:val="clear" w:color="auto" w:fill="D9D9D9" w:themeFill="background1" w:themeFillShade="D9"/>
            <w:vAlign w:val="center"/>
          </w:tcPr>
          <w:p w14:paraId="4474CB7C" w14:textId="77777777" w:rsidR="008D46DB" w:rsidRPr="008B3BE4" w:rsidRDefault="008D46DB" w:rsidP="00DC2E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Vegetative Vigor</w:t>
            </w:r>
          </w:p>
        </w:tc>
        <w:tc>
          <w:tcPr>
            <w:tcW w:w="1294" w:type="pct"/>
            <w:shd w:val="clear" w:color="auto" w:fill="D9D9D9" w:themeFill="background1" w:themeFillShade="D9"/>
            <w:vAlign w:val="center"/>
          </w:tcPr>
          <w:p w14:paraId="4FAF2558" w14:textId="77777777" w:rsidR="008D46DB" w:rsidRPr="008B3BE4" w:rsidRDefault="008D46DB" w:rsidP="00DC2E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Seedling Emergence</w:t>
            </w:r>
          </w:p>
        </w:tc>
      </w:tr>
      <w:tr w:rsidR="008D46DB" w:rsidRPr="008B3BE4" w14:paraId="5DFC58D2" w14:textId="77777777" w:rsidTr="00DC2ECC">
        <w:trPr>
          <w:trHeight w:val="350"/>
        </w:trPr>
        <w:tc>
          <w:tcPr>
            <w:tcW w:w="2411" w:type="pct"/>
          </w:tcPr>
          <w:p w14:paraId="4B420391" w14:textId="77777777" w:rsidR="008D46DB" w:rsidRPr="008B3BE4" w:rsidRDefault="008D46DB" w:rsidP="008D46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 xml:space="preserve">Best Distribution (by </w:t>
            </w:r>
            <w:proofErr w:type="spellStart"/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AIC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c</w:t>
            </w:r>
            <w:proofErr w:type="spellEnd"/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95" w:type="pct"/>
          </w:tcPr>
          <w:p w14:paraId="3E8FC1EB" w14:textId="77777777" w:rsidR="008D46DB" w:rsidRPr="008B3BE4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Gumbel</w:t>
            </w:r>
          </w:p>
        </w:tc>
        <w:tc>
          <w:tcPr>
            <w:tcW w:w="1294" w:type="pct"/>
          </w:tcPr>
          <w:p w14:paraId="2C0F31F5" w14:textId="77777777" w:rsidR="008D46DB" w:rsidRPr="00B75114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114">
              <w:rPr>
                <w:rFonts w:asciiTheme="minorHAnsi" w:hAnsiTheme="minorHAnsi" w:cstheme="minorHAnsi"/>
                <w:sz w:val="20"/>
                <w:szCs w:val="20"/>
              </w:rPr>
              <w:t>Triangular</w:t>
            </w:r>
          </w:p>
        </w:tc>
      </w:tr>
      <w:tr w:rsidR="008D46DB" w:rsidRPr="008B3BE4" w14:paraId="10067652" w14:textId="77777777" w:rsidTr="00DC2ECC">
        <w:trPr>
          <w:trHeight w:val="359"/>
        </w:trPr>
        <w:tc>
          <w:tcPr>
            <w:tcW w:w="2411" w:type="pct"/>
          </w:tcPr>
          <w:p w14:paraId="34E861CE" w14:textId="77777777" w:rsidR="008D46DB" w:rsidRPr="008B3BE4" w:rsidRDefault="008D46DB" w:rsidP="008D46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Goodness of fit P-value</w:t>
            </w:r>
          </w:p>
        </w:tc>
        <w:tc>
          <w:tcPr>
            <w:tcW w:w="1295" w:type="pct"/>
          </w:tcPr>
          <w:p w14:paraId="51FCFCCB" w14:textId="77777777" w:rsidR="008D46DB" w:rsidRPr="008B3BE4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0.63</w:t>
            </w:r>
          </w:p>
        </w:tc>
        <w:tc>
          <w:tcPr>
            <w:tcW w:w="1294" w:type="pct"/>
          </w:tcPr>
          <w:p w14:paraId="717AD33B" w14:textId="77777777" w:rsidR="008D46DB" w:rsidRPr="00B75114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114">
              <w:rPr>
                <w:rFonts w:asciiTheme="minorHAnsi" w:hAnsiTheme="minorHAnsi" w:cstheme="minorHAnsi"/>
                <w:sz w:val="20"/>
                <w:szCs w:val="20"/>
              </w:rPr>
              <w:t>0.9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8D46DB" w:rsidRPr="008B3BE4" w14:paraId="60B7E4D0" w14:textId="77777777" w:rsidTr="00DC2ECC">
        <w:trPr>
          <w:trHeight w:val="178"/>
        </w:trPr>
        <w:tc>
          <w:tcPr>
            <w:tcW w:w="2411" w:type="pct"/>
          </w:tcPr>
          <w:p w14:paraId="62F5F33D" w14:textId="77777777" w:rsidR="008D46DB" w:rsidRPr="008B3BE4" w:rsidRDefault="008D46DB" w:rsidP="008D46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CV of the 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1295" w:type="pct"/>
          </w:tcPr>
          <w:p w14:paraId="108167FE" w14:textId="77777777" w:rsidR="008D46DB" w:rsidRPr="00613B78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B78">
              <w:rPr>
                <w:rFonts w:asciiTheme="minorHAnsi" w:hAnsiTheme="minorHAnsi" w:cstheme="minorHAnsi"/>
                <w:sz w:val="20"/>
                <w:szCs w:val="20"/>
              </w:rPr>
              <w:t>0.33</w:t>
            </w:r>
          </w:p>
        </w:tc>
        <w:tc>
          <w:tcPr>
            <w:tcW w:w="1294" w:type="pct"/>
          </w:tcPr>
          <w:p w14:paraId="4F7F4647" w14:textId="77777777" w:rsidR="008D46DB" w:rsidRPr="00B75114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1.266</w:t>
            </w:r>
          </w:p>
        </w:tc>
      </w:tr>
      <w:tr w:rsidR="008D46DB" w:rsidRPr="008B3BE4" w14:paraId="305D4D61" w14:textId="77777777" w:rsidTr="00DC2ECC">
        <w:trPr>
          <w:trHeight w:val="170"/>
        </w:trPr>
        <w:tc>
          <w:tcPr>
            <w:tcW w:w="2411" w:type="pct"/>
          </w:tcPr>
          <w:p w14:paraId="09D1E34C" w14:textId="77777777" w:rsidR="008D46DB" w:rsidRPr="008B3BE4" w:rsidRDefault="008D46DB" w:rsidP="008D46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1295" w:type="pct"/>
          </w:tcPr>
          <w:p w14:paraId="54098505" w14:textId="77777777" w:rsidR="008D46DB" w:rsidRPr="00613B78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B78">
              <w:rPr>
                <w:rFonts w:asciiTheme="minorHAnsi" w:hAnsiTheme="minorHAnsi" w:cstheme="minorHAnsi"/>
                <w:sz w:val="20"/>
                <w:szCs w:val="20"/>
              </w:rPr>
              <w:t>0.056</w:t>
            </w:r>
          </w:p>
        </w:tc>
        <w:tc>
          <w:tcPr>
            <w:tcW w:w="1294" w:type="pct"/>
          </w:tcPr>
          <w:p w14:paraId="0C40E351" w14:textId="77777777" w:rsidR="008D46DB" w:rsidRPr="00B75114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0.0104</w:t>
            </w:r>
          </w:p>
        </w:tc>
      </w:tr>
      <w:tr w:rsidR="008D46DB" w:rsidRPr="008B3BE4" w14:paraId="50D2F5B4" w14:textId="77777777" w:rsidTr="00DC2ECC">
        <w:trPr>
          <w:trHeight w:val="178"/>
        </w:trPr>
        <w:tc>
          <w:tcPr>
            <w:tcW w:w="2411" w:type="pct"/>
          </w:tcPr>
          <w:p w14:paraId="066E4980" w14:textId="77777777" w:rsidR="008D46DB" w:rsidRPr="008B3BE4" w:rsidRDefault="008D46DB" w:rsidP="008D46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295" w:type="pct"/>
          </w:tcPr>
          <w:p w14:paraId="50065D02" w14:textId="77777777" w:rsidR="008D46DB" w:rsidRPr="00613B78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B78">
              <w:rPr>
                <w:rFonts w:asciiTheme="minorHAnsi" w:hAnsiTheme="minorHAnsi" w:cstheme="minorHAnsi"/>
                <w:sz w:val="20"/>
                <w:szCs w:val="20"/>
              </w:rPr>
              <w:t>0.070</w:t>
            </w:r>
          </w:p>
        </w:tc>
        <w:tc>
          <w:tcPr>
            <w:tcW w:w="1294" w:type="pct"/>
          </w:tcPr>
          <w:p w14:paraId="1F2B07B2" w14:textId="77777777" w:rsidR="008D46DB" w:rsidRPr="00B75114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0.0179</w:t>
            </w:r>
          </w:p>
        </w:tc>
      </w:tr>
      <w:tr w:rsidR="008D46DB" w:rsidRPr="008B3BE4" w14:paraId="7638621D" w14:textId="77777777" w:rsidTr="00DC2ECC">
        <w:trPr>
          <w:trHeight w:val="178"/>
        </w:trPr>
        <w:tc>
          <w:tcPr>
            <w:tcW w:w="2411" w:type="pct"/>
          </w:tcPr>
          <w:p w14:paraId="4828E384" w14:textId="77777777" w:rsidR="008D46DB" w:rsidRPr="008B3BE4" w:rsidRDefault="008D46DB" w:rsidP="008D46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295" w:type="pct"/>
          </w:tcPr>
          <w:p w14:paraId="63AD12B9" w14:textId="77777777" w:rsidR="008D46DB" w:rsidRPr="00613B78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B78">
              <w:rPr>
                <w:rFonts w:asciiTheme="minorHAnsi" w:hAnsiTheme="minorHAnsi" w:cstheme="minorHAnsi"/>
                <w:sz w:val="20"/>
                <w:szCs w:val="20"/>
              </w:rPr>
              <w:t>0.170</w:t>
            </w:r>
          </w:p>
        </w:tc>
        <w:tc>
          <w:tcPr>
            <w:tcW w:w="1294" w:type="pct"/>
          </w:tcPr>
          <w:p w14:paraId="01B41FE6" w14:textId="77777777" w:rsidR="008D46DB" w:rsidRPr="00B75114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0.1818</w:t>
            </w:r>
          </w:p>
        </w:tc>
      </w:tr>
      <w:tr w:rsidR="008D46DB" w:rsidRPr="008B3BE4" w14:paraId="7E3973DC" w14:textId="77777777" w:rsidTr="00DC2ECC">
        <w:trPr>
          <w:trHeight w:val="170"/>
        </w:trPr>
        <w:tc>
          <w:tcPr>
            <w:tcW w:w="2411" w:type="pct"/>
          </w:tcPr>
          <w:p w14:paraId="6C18EF24" w14:textId="77777777" w:rsidR="008D46DB" w:rsidRPr="008B3BE4" w:rsidRDefault="008D46DB" w:rsidP="008D46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1295" w:type="pct"/>
          </w:tcPr>
          <w:p w14:paraId="139B2B8C" w14:textId="77777777" w:rsidR="008D46DB" w:rsidRPr="00613B78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B78">
              <w:rPr>
                <w:rFonts w:asciiTheme="minorHAnsi" w:hAnsiTheme="minorHAnsi" w:cstheme="minorHAnsi"/>
                <w:sz w:val="20"/>
                <w:szCs w:val="20"/>
              </w:rPr>
              <w:t>0.685</w:t>
            </w:r>
          </w:p>
        </w:tc>
        <w:tc>
          <w:tcPr>
            <w:tcW w:w="1294" w:type="pct"/>
          </w:tcPr>
          <w:p w14:paraId="42E249E3" w14:textId="77777777" w:rsidR="008D46DB" w:rsidRPr="00B75114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11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.8418</w:t>
            </w:r>
          </w:p>
        </w:tc>
      </w:tr>
      <w:tr w:rsidR="008D46DB" w:rsidRPr="008B3BE4" w14:paraId="4C05F9B0" w14:textId="77777777" w:rsidTr="00DC2ECC">
        <w:trPr>
          <w:trHeight w:val="178"/>
        </w:trPr>
        <w:tc>
          <w:tcPr>
            <w:tcW w:w="2411" w:type="pct"/>
          </w:tcPr>
          <w:p w14:paraId="7D1EBC6C" w14:textId="77777777" w:rsidR="008D46DB" w:rsidRPr="008B3BE4" w:rsidRDefault="008D46DB" w:rsidP="008D46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95</w:t>
            </w:r>
          </w:p>
        </w:tc>
        <w:tc>
          <w:tcPr>
            <w:tcW w:w="1295" w:type="pct"/>
          </w:tcPr>
          <w:p w14:paraId="1F2F8508" w14:textId="77777777" w:rsidR="008D46DB" w:rsidRPr="00613B78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B78">
              <w:rPr>
                <w:rFonts w:asciiTheme="minorHAnsi" w:hAnsiTheme="minorHAnsi" w:cstheme="minorHAnsi"/>
                <w:sz w:val="20"/>
                <w:szCs w:val="20"/>
              </w:rPr>
              <w:t>1.167</w:t>
            </w:r>
          </w:p>
        </w:tc>
        <w:tc>
          <w:tcPr>
            <w:tcW w:w="1294" w:type="pct"/>
          </w:tcPr>
          <w:p w14:paraId="7D0F38E1" w14:textId="77777777" w:rsidR="008D46DB" w:rsidRPr="00B75114" w:rsidRDefault="008D46DB" w:rsidP="008D46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3.1881</w:t>
            </w:r>
          </w:p>
        </w:tc>
      </w:tr>
    </w:tbl>
    <w:p w14:paraId="1C48A8C9" w14:textId="77777777" w:rsidR="008D46DB" w:rsidRPr="008B3BE4" w:rsidRDefault="008D46DB" w:rsidP="008D46DB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</w:p>
    <w:p w14:paraId="3EA5B1F8" w14:textId="77777777" w:rsidR="00E6781C" w:rsidRPr="008B3BE4" w:rsidRDefault="00E6781C" w:rsidP="009B7083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</w:p>
    <w:p w14:paraId="75A9495D" w14:textId="05E4C144" w:rsidR="009B7083" w:rsidRPr="008B3BE4" w:rsidRDefault="009B7083" w:rsidP="009C45AE">
      <w:pPr>
        <w:pStyle w:val="BEheader"/>
      </w:pPr>
      <w:r w:rsidRPr="008B3BE4">
        <w:t>Data</w:t>
      </w:r>
    </w:p>
    <w:p w14:paraId="7A705F8E" w14:textId="77777777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216FC8D5" w14:textId="623DA091" w:rsidR="00BD3351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8B3BE4">
        <w:rPr>
          <w:rFonts w:ascii="Calibri" w:eastAsia="Times New Roman" w:hAnsi="Calibri" w:cs="Times New Roman"/>
          <w:color w:val="000000"/>
        </w:rPr>
        <w:t>Data used in this analysis</w:t>
      </w:r>
      <w:r w:rsidR="004158DE" w:rsidRPr="008B3BE4">
        <w:rPr>
          <w:rFonts w:ascii="Calibri" w:eastAsia="Times New Roman" w:hAnsi="Calibri" w:cs="Times New Roman"/>
          <w:color w:val="000000"/>
        </w:rPr>
        <w:t xml:space="preserve"> are detailed in </w:t>
      </w:r>
      <w:r w:rsidR="004158DE" w:rsidRPr="008B3BE4">
        <w:rPr>
          <w:rFonts w:ascii="Calibri" w:eastAsia="Times New Roman" w:hAnsi="Calibri" w:cs="Times New Roman"/>
          <w:b/>
          <w:bCs/>
          <w:color w:val="000000"/>
        </w:rPr>
        <w:t xml:space="preserve">Table </w:t>
      </w:r>
      <w:r w:rsidR="00EC25E8">
        <w:rPr>
          <w:rFonts w:ascii="Calibri" w:eastAsia="Times New Roman" w:hAnsi="Calibri" w:cs="Times New Roman"/>
          <w:b/>
          <w:bCs/>
          <w:color w:val="000000"/>
        </w:rPr>
        <w:t>11</w:t>
      </w:r>
      <w:r w:rsidR="00EC25E8" w:rsidRPr="008B3BE4">
        <w:rPr>
          <w:rFonts w:ascii="Calibri" w:eastAsia="Times New Roman" w:hAnsi="Calibri" w:cs="Times New Roman"/>
          <w:color w:val="000000"/>
        </w:rPr>
        <w:t xml:space="preserve"> </w:t>
      </w:r>
      <w:r w:rsidR="004158DE" w:rsidRPr="008B3BE4">
        <w:rPr>
          <w:rFonts w:ascii="Calibri" w:eastAsia="Times New Roman" w:hAnsi="Calibri" w:cs="Times New Roman"/>
          <w:color w:val="000000"/>
        </w:rPr>
        <w:t>(at the end of the document) and</w:t>
      </w:r>
      <w:r w:rsidRPr="008B3BE4">
        <w:rPr>
          <w:rFonts w:ascii="Calibri" w:eastAsia="Times New Roman" w:hAnsi="Calibri" w:cs="Times New Roman"/>
          <w:color w:val="000000"/>
        </w:rPr>
        <w:t xml:space="preserve"> were from </w:t>
      </w:r>
      <w:r w:rsidR="004158DE" w:rsidRPr="008B3BE4">
        <w:rPr>
          <w:rFonts w:ascii="Calibri" w:eastAsia="Times New Roman" w:hAnsi="Calibri" w:cs="Times New Roman"/>
          <w:color w:val="000000"/>
        </w:rPr>
        <w:t>registrant submitted studies</w:t>
      </w:r>
      <w:r w:rsidR="00780E23">
        <w:rPr>
          <w:rFonts w:ascii="Calibri" w:eastAsia="Times New Roman" w:hAnsi="Calibri" w:cs="Times New Roman"/>
          <w:color w:val="000000"/>
        </w:rPr>
        <w:t>; no ECOTOX studies were suitable for inclusion</w:t>
      </w:r>
      <w:r w:rsidRPr="003C0297">
        <w:rPr>
          <w:rFonts w:ascii="Calibri" w:eastAsia="Times New Roman" w:hAnsi="Calibri" w:cs="Times New Roman"/>
          <w:color w:val="000000"/>
        </w:rPr>
        <w:t xml:space="preserve">. </w:t>
      </w:r>
      <w:r w:rsidR="003C0297" w:rsidRPr="003C0297">
        <w:rPr>
          <w:rFonts w:ascii="Calibri" w:eastAsia="Times New Roman" w:hAnsi="Calibri" w:cs="Times New Roman"/>
          <w:color w:val="000000"/>
        </w:rPr>
        <w:t>Eleven species were available from each study.</w:t>
      </w:r>
      <w:r w:rsidRPr="003C0297">
        <w:rPr>
          <w:rFonts w:ascii="Calibri" w:eastAsia="Times New Roman" w:hAnsi="Calibri" w:cs="Times New Roman"/>
          <w:color w:val="000000"/>
        </w:rPr>
        <w:t xml:space="preserve"> </w:t>
      </w:r>
      <w:r w:rsidR="00833FE1" w:rsidRPr="003C0297">
        <w:rPr>
          <w:rFonts w:ascii="Calibri" w:eastAsia="Times New Roman" w:hAnsi="Calibri" w:cs="Times New Roman"/>
          <w:color w:val="000000"/>
        </w:rPr>
        <w:t>D</w:t>
      </w:r>
      <w:r w:rsidR="00833FE1" w:rsidRPr="008B3BE4">
        <w:rPr>
          <w:rFonts w:ascii="Calibri" w:eastAsia="Times New Roman" w:hAnsi="Calibri" w:cs="Times New Roman"/>
          <w:color w:val="000000"/>
        </w:rPr>
        <w:t xml:space="preserve">istributions were created for </w:t>
      </w:r>
      <w:r w:rsidR="002A423F">
        <w:rPr>
          <w:rFonts w:ascii="Calibri" w:eastAsia="Times New Roman" w:hAnsi="Calibri" w:cs="Times New Roman"/>
          <w:color w:val="000000"/>
        </w:rPr>
        <w:t xml:space="preserve">terrestrial </w:t>
      </w:r>
      <w:r w:rsidR="00833FE1" w:rsidRPr="008B3BE4">
        <w:rPr>
          <w:rFonts w:ascii="Calibri" w:eastAsia="Times New Roman" w:hAnsi="Calibri" w:cs="Times New Roman"/>
          <w:color w:val="000000"/>
        </w:rPr>
        <w:t xml:space="preserve">plants based on </w:t>
      </w:r>
      <w:r w:rsidR="002A423F">
        <w:rPr>
          <w:rFonts w:ascii="Calibri" w:eastAsia="Times New Roman" w:hAnsi="Calibri" w:cs="Times New Roman"/>
          <w:color w:val="000000"/>
        </w:rPr>
        <w:t>I</w:t>
      </w:r>
      <w:r w:rsidR="00833FE1" w:rsidRPr="008B3BE4">
        <w:rPr>
          <w:rFonts w:ascii="Calibri" w:eastAsia="Times New Roman" w:hAnsi="Calibri" w:cs="Times New Roman"/>
          <w:color w:val="000000"/>
        </w:rPr>
        <w:t>C</w:t>
      </w:r>
      <w:r w:rsidR="002A423F" w:rsidRPr="002A423F">
        <w:rPr>
          <w:rFonts w:ascii="Calibri" w:eastAsia="Times New Roman" w:hAnsi="Calibri" w:cs="Times New Roman"/>
          <w:color w:val="000000"/>
          <w:vertAlign w:val="subscript"/>
        </w:rPr>
        <w:t>25</w:t>
      </w:r>
      <w:r w:rsidR="00833FE1" w:rsidRPr="008B3BE4">
        <w:rPr>
          <w:rFonts w:ascii="Calibri" w:eastAsia="Times New Roman" w:hAnsi="Calibri" w:cs="Times New Roman"/>
          <w:color w:val="000000"/>
        </w:rPr>
        <w:t xml:space="preserve"> values for</w:t>
      </w:r>
      <w:r w:rsidR="003C0297">
        <w:rPr>
          <w:rFonts w:ascii="Calibri" w:eastAsia="Times New Roman" w:hAnsi="Calibri" w:cs="Times New Roman"/>
          <w:color w:val="000000"/>
        </w:rPr>
        <w:t xml:space="preserve"> biomass (height in one species)</w:t>
      </w:r>
      <w:r w:rsidR="00833FE1" w:rsidRPr="008B3BE4">
        <w:rPr>
          <w:rFonts w:ascii="Calibri" w:eastAsia="Times New Roman" w:hAnsi="Calibri" w:cs="Times New Roman"/>
          <w:color w:val="000000"/>
        </w:rPr>
        <w:t xml:space="preserve"> from </w:t>
      </w:r>
      <w:r w:rsidR="002A423F">
        <w:rPr>
          <w:rFonts w:ascii="Calibri" w:eastAsia="Times New Roman" w:hAnsi="Calibri" w:cs="Times New Roman"/>
          <w:color w:val="000000"/>
        </w:rPr>
        <w:t xml:space="preserve">seedling emergence and vegetative vigor studies. </w:t>
      </w:r>
    </w:p>
    <w:p w14:paraId="7CBADC3E" w14:textId="77777777" w:rsidR="001F18F3" w:rsidRPr="008B3BE4" w:rsidRDefault="001F18F3" w:rsidP="009B7083">
      <w:pPr>
        <w:spacing w:after="0" w:line="276" w:lineRule="auto"/>
        <w:rPr>
          <w:rFonts w:ascii="Calibri" w:eastAsia="Times New Roman" w:hAnsi="Calibri" w:cs="Times New Roman"/>
          <w:b/>
          <w:color w:val="000000"/>
        </w:rPr>
      </w:pPr>
    </w:p>
    <w:p w14:paraId="18034F28" w14:textId="648634FA" w:rsidR="009B7083" w:rsidRPr="008B3BE4" w:rsidRDefault="00780E23" w:rsidP="009B7083">
      <w:p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Six</w:t>
      </w:r>
      <w:r w:rsidR="009B7083" w:rsidRPr="008B3BE4">
        <w:rPr>
          <w:rFonts w:eastAsia="Times New Roman" w:cs="Times New Roman"/>
          <w:color w:val="000000"/>
        </w:rPr>
        <w:t xml:space="preserve"> potential distributions for the </w:t>
      </w:r>
      <w:r w:rsidR="00D03F30">
        <w:rPr>
          <w:rFonts w:eastAsia="Times New Roman" w:cs="Times New Roman"/>
          <w:color w:val="000000"/>
        </w:rPr>
        <w:t>propazine</w:t>
      </w:r>
      <w:r w:rsidR="009B7083" w:rsidRPr="008B3BE4">
        <w:rPr>
          <w:rFonts w:eastAsia="Times New Roman" w:cs="Times New Roman"/>
          <w:color w:val="000000"/>
        </w:rPr>
        <w:t xml:space="preserve"> data were considered, including log-normal, log-logistic, log-triangular, log-</w:t>
      </w:r>
      <w:proofErr w:type="spellStart"/>
      <w:r w:rsidR="009B7083" w:rsidRPr="008B3BE4">
        <w:rPr>
          <w:rFonts w:eastAsia="Times New Roman" w:cs="Times New Roman"/>
          <w:color w:val="000000"/>
        </w:rPr>
        <w:t>gumbel</w:t>
      </w:r>
      <w:proofErr w:type="spellEnd"/>
      <w:r w:rsidR="009B7083" w:rsidRPr="008B3BE4">
        <w:rPr>
          <w:rFonts w:eastAsia="Times New Roman" w:cs="Times New Roman"/>
          <w:color w:val="000000"/>
        </w:rPr>
        <w:t xml:space="preserve">, </w:t>
      </w:r>
      <w:r w:rsidR="00BD3351">
        <w:rPr>
          <w:rFonts w:eastAsia="Times New Roman" w:cs="Times New Roman"/>
          <w:color w:val="000000"/>
        </w:rPr>
        <w:t xml:space="preserve">Weibull </w:t>
      </w:r>
      <w:r w:rsidR="009B7083" w:rsidRPr="008B3BE4">
        <w:rPr>
          <w:rFonts w:eastAsia="Times New Roman" w:cs="Times New Roman"/>
          <w:color w:val="000000"/>
        </w:rPr>
        <w:t>and Burr. To fit each of the first four distributions, the toxicity values were first common log (log</w:t>
      </w:r>
      <w:r w:rsidR="009B7083" w:rsidRPr="008B3BE4">
        <w:rPr>
          <w:rFonts w:eastAsia="Times New Roman" w:cs="Times New Roman"/>
          <w:color w:val="000000"/>
          <w:vertAlign w:val="subscript"/>
        </w:rPr>
        <w:t>10</w:t>
      </w:r>
      <w:r w:rsidR="009B7083" w:rsidRPr="008B3BE4">
        <w:rPr>
          <w:rFonts w:eastAsia="Times New Roman" w:cs="Times New Roman"/>
          <w:color w:val="000000"/>
        </w:rPr>
        <w:t>) transformed. Finally, effect thresholds and five quantiles from the fitted SSDs (HC</w:t>
      </w:r>
      <w:r w:rsidR="009B7083" w:rsidRPr="008B3BE4">
        <w:rPr>
          <w:rFonts w:eastAsia="Times New Roman" w:cs="Times New Roman"/>
          <w:color w:val="000000"/>
          <w:vertAlign w:val="subscript"/>
        </w:rPr>
        <w:t>05</w:t>
      </w:r>
      <w:r w:rsidR="009B7083" w:rsidRPr="008B3BE4">
        <w:rPr>
          <w:rFonts w:eastAsia="Times New Roman" w:cs="Times New Roman"/>
          <w:color w:val="000000"/>
        </w:rPr>
        <w:t>, HC</w:t>
      </w:r>
      <w:r w:rsidR="009B7083" w:rsidRPr="008B3BE4">
        <w:rPr>
          <w:rFonts w:eastAsia="Times New Roman" w:cs="Times New Roman"/>
          <w:color w:val="000000"/>
          <w:vertAlign w:val="subscript"/>
        </w:rPr>
        <w:t>10</w:t>
      </w:r>
      <w:r w:rsidR="009B7083" w:rsidRPr="008B3BE4">
        <w:rPr>
          <w:rFonts w:eastAsia="Times New Roman" w:cs="Times New Roman"/>
          <w:color w:val="000000"/>
        </w:rPr>
        <w:t>, HC</w:t>
      </w:r>
      <w:r w:rsidR="009B7083" w:rsidRPr="008B3BE4">
        <w:rPr>
          <w:rFonts w:eastAsia="Times New Roman" w:cs="Times New Roman"/>
          <w:color w:val="000000"/>
          <w:vertAlign w:val="subscript"/>
        </w:rPr>
        <w:t>50</w:t>
      </w:r>
      <w:r w:rsidR="009B7083" w:rsidRPr="008B3BE4">
        <w:rPr>
          <w:rFonts w:eastAsia="Times New Roman" w:cs="Times New Roman"/>
          <w:color w:val="000000"/>
        </w:rPr>
        <w:t>, HC</w:t>
      </w:r>
      <w:r w:rsidR="009B7083" w:rsidRPr="008B3BE4">
        <w:rPr>
          <w:rFonts w:eastAsia="Times New Roman" w:cs="Times New Roman"/>
          <w:color w:val="000000"/>
          <w:vertAlign w:val="subscript"/>
        </w:rPr>
        <w:t>90</w:t>
      </w:r>
      <w:r w:rsidR="009B7083" w:rsidRPr="008B3BE4">
        <w:rPr>
          <w:rFonts w:eastAsia="Times New Roman" w:cs="Times New Roman"/>
          <w:color w:val="000000"/>
        </w:rPr>
        <w:t>, HC</w:t>
      </w:r>
      <w:r w:rsidR="009B7083" w:rsidRPr="008B3BE4">
        <w:rPr>
          <w:rFonts w:eastAsia="Times New Roman" w:cs="Times New Roman"/>
          <w:color w:val="000000"/>
          <w:vertAlign w:val="subscript"/>
        </w:rPr>
        <w:t>95</w:t>
      </w:r>
      <w:r w:rsidR="009B7083" w:rsidRPr="008B3BE4">
        <w:rPr>
          <w:rFonts w:eastAsia="Times New Roman" w:cs="Times New Roman"/>
          <w:color w:val="000000"/>
        </w:rPr>
        <w:t>) were calculated and reported.</w:t>
      </w:r>
    </w:p>
    <w:p w14:paraId="5200684E" w14:textId="568A1B3D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0C349385" w14:textId="48FEB6A3" w:rsidR="00DC0511" w:rsidRPr="008B3BE4" w:rsidRDefault="00DC0511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74AE49B5" w14:textId="4C5FEF9C" w:rsidR="009B7083" w:rsidRPr="008B3BE4" w:rsidRDefault="009B7083" w:rsidP="00D03F30">
      <w:pPr>
        <w:pStyle w:val="BEheader"/>
        <w:keepNext/>
        <w:keepLines/>
      </w:pPr>
      <w:r w:rsidRPr="008B3BE4">
        <w:lastRenderedPageBreak/>
        <w:t>Comparison of distributions using AIC</w:t>
      </w:r>
      <w:r w:rsidRPr="008B3BE4">
        <w:rPr>
          <w:vertAlign w:val="subscript"/>
        </w:rPr>
        <w:t>c</w:t>
      </w:r>
    </w:p>
    <w:p w14:paraId="5D4E88A2" w14:textId="77777777" w:rsidR="009B7083" w:rsidRPr="008B3BE4" w:rsidRDefault="009B7083" w:rsidP="00D03F30">
      <w:pPr>
        <w:keepNext/>
        <w:keepLine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DC8DA3" w14:textId="30CA844E" w:rsidR="009B7083" w:rsidRPr="008B3BE4" w:rsidRDefault="009B7083" w:rsidP="00D03F30">
      <w:pPr>
        <w:keepNext/>
        <w:keepLines/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color w:val="000000"/>
        </w:rPr>
        <w:t>Akaike’s Information Criterion corrected for sample size (AIC</w:t>
      </w:r>
      <w:r w:rsidRPr="008B3BE4">
        <w:rPr>
          <w:rFonts w:eastAsia="Times New Roman" w:cs="Times New Roman"/>
          <w:color w:val="000000"/>
          <w:vertAlign w:val="subscript"/>
        </w:rPr>
        <w:t>c</w:t>
      </w:r>
      <w:r w:rsidRPr="008B3BE4">
        <w:rPr>
          <w:rFonts w:eastAsia="Times New Roman" w:cs="Times New Roman"/>
          <w:color w:val="000000"/>
        </w:rPr>
        <w:t xml:space="preserve">) was used to compare the five distributions for </w:t>
      </w:r>
      <w:r w:rsidR="00235D8B" w:rsidRPr="008B3BE4">
        <w:rPr>
          <w:rFonts w:eastAsia="Times New Roman" w:cs="Times New Roman"/>
          <w:color w:val="000000"/>
        </w:rPr>
        <w:t>the</w:t>
      </w:r>
      <w:r w:rsidR="00BD3351">
        <w:rPr>
          <w:rFonts w:eastAsia="Times New Roman" w:cs="Times New Roman"/>
          <w:color w:val="000000"/>
        </w:rPr>
        <w:t xml:space="preserve"> terrestrial</w:t>
      </w:r>
      <w:r w:rsidR="00235D8B" w:rsidRPr="008B3BE4">
        <w:rPr>
          <w:rFonts w:eastAsia="Times New Roman" w:cs="Times New Roman"/>
          <w:color w:val="000000"/>
        </w:rPr>
        <w:t xml:space="preserve"> plant dataset</w:t>
      </w:r>
      <w:r w:rsidRPr="008B3BE4">
        <w:rPr>
          <w:rFonts w:eastAsia="Times New Roman" w:cs="Times New Roman"/>
          <w:color w:val="000000"/>
        </w:rPr>
        <w:t xml:space="preserve">. For these comparisons all SSDs were fit using maximum likelihood. </w:t>
      </w:r>
      <w:r w:rsidR="00235D8B" w:rsidRPr="008B3BE4">
        <w:rPr>
          <w:rFonts w:eastAsia="Times New Roman" w:cs="Times New Roman"/>
          <w:color w:val="000000"/>
        </w:rPr>
        <w:t xml:space="preserve">The </w:t>
      </w:r>
      <w:proofErr w:type="spellStart"/>
      <w:r w:rsidRPr="008B3BE4">
        <w:rPr>
          <w:rFonts w:eastAsia="Times New Roman" w:cs="Times New Roman"/>
          <w:color w:val="000000"/>
        </w:rPr>
        <w:t>AIC</w:t>
      </w:r>
      <w:r w:rsidRPr="008B3BE4">
        <w:rPr>
          <w:rFonts w:eastAsia="Times New Roman" w:cs="Times New Roman"/>
          <w:color w:val="000000"/>
          <w:vertAlign w:val="subscript"/>
        </w:rPr>
        <w:t>c</w:t>
      </w:r>
      <w:proofErr w:type="spellEnd"/>
      <w:r w:rsidRPr="008B3BE4">
        <w:rPr>
          <w:rFonts w:eastAsia="Times New Roman" w:cs="Times New Roman"/>
          <w:color w:val="000000"/>
        </w:rPr>
        <w:t xml:space="preserve"> suggested that the </w:t>
      </w:r>
      <w:proofErr w:type="spellStart"/>
      <w:r w:rsidR="00EC25E8">
        <w:rPr>
          <w:rFonts w:eastAsia="Times New Roman" w:cs="Times New Roman"/>
          <w:color w:val="000000"/>
        </w:rPr>
        <w:t>gumbel</w:t>
      </w:r>
      <w:proofErr w:type="spellEnd"/>
      <w:r w:rsidR="00EC25E8" w:rsidRPr="008B3BE4">
        <w:rPr>
          <w:rFonts w:eastAsia="Times New Roman" w:cs="Times New Roman"/>
          <w:color w:val="000000"/>
        </w:rPr>
        <w:t xml:space="preserve"> </w:t>
      </w:r>
      <w:r w:rsidRPr="008B3BE4">
        <w:rPr>
          <w:rFonts w:eastAsia="Times New Roman" w:cs="Times New Roman"/>
          <w:color w:val="000000"/>
        </w:rPr>
        <w:t xml:space="preserve">distribution provided the best fit </w:t>
      </w:r>
      <w:r w:rsidR="00911EB6" w:rsidRPr="008B3BE4">
        <w:rPr>
          <w:rFonts w:eastAsia="Times New Roman" w:cs="Times New Roman"/>
          <w:color w:val="000000"/>
        </w:rPr>
        <w:t xml:space="preserve">for the </w:t>
      </w:r>
      <w:r w:rsidR="00D23B18">
        <w:rPr>
          <w:rFonts w:eastAsia="Times New Roman" w:cs="Times New Roman"/>
          <w:color w:val="000000"/>
        </w:rPr>
        <w:t xml:space="preserve">vegetative vigor data and the </w:t>
      </w:r>
      <w:r w:rsidR="00EC25E8">
        <w:rPr>
          <w:rFonts w:eastAsia="Times New Roman" w:cs="Times New Roman"/>
          <w:color w:val="000000"/>
        </w:rPr>
        <w:t xml:space="preserve">triangular </w:t>
      </w:r>
      <w:r w:rsidR="00D23B18">
        <w:rPr>
          <w:rFonts w:eastAsia="Times New Roman" w:cs="Times New Roman"/>
          <w:color w:val="000000"/>
        </w:rPr>
        <w:t xml:space="preserve">distribution provided the best fit for the seedling emergence data </w:t>
      </w:r>
      <w:r w:rsidRPr="008B3BE4">
        <w:rPr>
          <w:rFonts w:eastAsia="Times New Roman" w:cs="Times New Roman"/>
          <w:color w:val="000000"/>
        </w:rPr>
        <w:t>(</w:t>
      </w:r>
      <w:r w:rsidRPr="008B3BE4">
        <w:rPr>
          <w:rFonts w:eastAsia="Times New Roman" w:cs="Times New Roman"/>
          <w:b/>
          <w:color w:val="000000"/>
        </w:rPr>
        <w:t>Tables 3</w:t>
      </w:r>
      <w:r w:rsidR="00911EB6" w:rsidRPr="008B3BE4">
        <w:rPr>
          <w:rFonts w:eastAsia="Times New Roman" w:cs="Times New Roman"/>
          <w:b/>
          <w:color w:val="000000"/>
        </w:rPr>
        <w:t xml:space="preserve"> and 4</w:t>
      </w:r>
      <w:r w:rsidRPr="008B3BE4">
        <w:rPr>
          <w:rFonts w:eastAsia="Times New Roman" w:cs="Times New Roman"/>
          <w:color w:val="000000"/>
        </w:rPr>
        <w:t xml:space="preserve">).  </w:t>
      </w:r>
    </w:p>
    <w:p w14:paraId="30327770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1B1CD9A2" w14:textId="4786901D" w:rsidR="009B7083" w:rsidRPr="008B3BE4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Table 3. Comparison of distributions for </w:t>
      </w:r>
      <w:r w:rsidR="00654062">
        <w:rPr>
          <w:rFonts w:eastAsia="Times New Roman" w:cs="Times New Roman"/>
          <w:b/>
          <w:color w:val="000000"/>
        </w:rPr>
        <w:t>vegetative vigor toxicity data</w:t>
      </w:r>
      <w:r w:rsidRPr="008B3BE4">
        <w:rPr>
          <w:rFonts w:eastAsia="Times New Roman" w:cs="Times New Roman"/>
          <w:b/>
          <w:color w:val="000000"/>
        </w:rPr>
        <w:t xml:space="preserve"> for </w:t>
      </w:r>
      <w:r w:rsidR="00D03F30">
        <w:rPr>
          <w:rFonts w:eastAsia="Times New Roman" w:cs="Times New Roman"/>
          <w:b/>
          <w:color w:val="000000"/>
        </w:rPr>
        <w:t>propazine</w:t>
      </w:r>
      <w:r w:rsidR="00917B7A" w:rsidRPr="008B3BE4">
        <w:rPr>
          <w:rFonts w:eastAsia="Times New Roman" w:cs="Times New Roman"/>
          <w:b/>
          <w:color w:val="000000"/>
        </w:rPr>
        <w:t>.</w:t>
      </w:r>
    </w:p>
    <w:tbl>
      <w:tblPr>
        <w:tblW w:w="6325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23"/>
        <w:gridCol w:w="1162"/>
        <w:gridCol w:w="1162"/>
        <w:gridCol w:w="1339"/>
        <w:gridCol w:w="1339"/>
      </w:tblGrid>
      <w:tr w:rsidR="009B7083" w:rsidRPr="008B3BE4" w14:paraId="708E5265" w14:textId="77777777" w:rsidTr="0096622E">
        <w:trPr>
          <w:tblHeader/>
        </w:trPr>
        <w:tc>
          <w:tcPr>
            <w:tcW w:w="1323" w:type="dxa"/>
            <w:tcBorders>
              <w:top w:val="single" w:sz="12" w:space="0" w:color="000000"/>
              <w:bottom w:val="single" w:sz="12" w:space="0" w:color="000000"/>
            </w:tcBorders>
          </w:tcPr>
          <w:p w14:paraId="3CD5DC71" w14:textId="77777777" w:rsidR="009B7083" w:rsidRPr="008B3BE4" w:rsidRDefault="009B7083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B3BE4">
              <w:rPr>
                <w:rFonts w:eastAsia="Times New Roman" w:cs="Times New Roman"/>
                <w:color w:val="000000"/>
              </w:rPr>
              <w:t>distribution</w:t>
            </w:r>
          </w:p>
        </w:tc>
        <w:tc>
          <w:tcPr>
            <w:tcW w:w="1162" w:type="dxa"/>
            <w:tcBorders>
              <w:top w:val="single" w:sz="12" w:space="0" w:color="000000"/>
              <w:bottom w:val="single" w:sz="12" w:space="0" w:color="000000"/>
            </w:tcBorders>
          </w:tcPr>
          <w:p w14:paraId="7376A48D" w14:textId="77777777" w:rsidR="009B7083" w:rsidRPr="008B3BE4" w:rsidRDefault="009B7083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B3BE4">
              <w:rPr>
                <w:rFonts w:eastAsia="Times New Roman" w:cs="Times New Roman"/>
                <w:color w:val="000000"/>
              </w:rPr>
              <w:t>AIC</w:t>
            </w:r>
            <w:r w:rsidRPr="008B3BE4">
              <w:rPr>
                <w:rFonts w:eastAsia="Times New Roman" w:cs="Times New Roman"/>
                <w:color w:val="000000"/>
                <w:vertAlign w:val="subscript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bottom w:val="single" w:sz="12" w:space="0" w:color="000000"/>
            </w:tcBorders>
          </w:tcPr>
          <w:p w14:paraId="2993BCB2" w14:textId="77777777" w:rsidR="009B7083" w:rsidRPr="008B3BE4" w:rsidRDefault="009B7083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B3BE4">
              <w:rPr>
                <w:rFonts w:eastAsia="Arial Unicode MS" w:cs="Arial Unicode MS"/>
                <w:color w:val="000000"/>
              </w:rPr>
              <w:t>∆AIC</w:t>
            </w:r>
            <w:r w:rsidRPr="008B3BE4">
              <w:rPr>
                <w:rFonts w:eastAsia="Times New Roman" w:cs="Times New Roman"/>
                <w:color w:val="000000"/>
                <w:vertAlign w:val="subscript"/>
              </w:rPr>
              <w:t>c</w:t>
            </w:r>
          </w:p>
        </w:tc>
        <w:tc>
          <w:tcPr>
            <w:tcW w:w="1339" w:type="dxa"/>
            <w:tcBorders>
              <w:top w:val="single" w:sz="12" w:space="0" w:color="000000"/>
              <w:bottom w:val="single" w:sz="12" w:space="0" w:color="000000"/>
            </w:tcBorders>
          </w:tcPr>
          <w:p w14:paraId="23BABBBA" w14:textId="77777777" w:rsidR="009B7083" w:rsidRPr="008B3BE4" w:rsidRDefault="009B7083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B3BE4">
              <w:rPr>
                <w:rFonts w:eastAsia="Times New Roman" w:cs="Times New Roman"/>
                <w:color w:val="000000"/>
              </w:rPr>
              <w:t>Weight</w:t>
            </w:r>
          </w:p>
        </w:tc>
        <w:tc>
          <w:tcPr>
            <w:tcW w:w="1339" w:type="dxa"/>
            <w:tcBorders>
              <w:top w:val="single" w:sz="12" w:space="0" w:color="000000"/>
              <w:bottom w:val="single" w:sz="12" w:space="0" w:color="000000"/>
            </w:tcBorders>
          </w:tcPr>
          <w:p w14:paraId="4DC097DA" w14:textId="77777777" w:rsidR="009B7083" w:rsidRPr="008B3BE4" w:rsidRDefault="009B7083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B3BE4">
              <w:rPr>
                <w:rFonts w:eastAsia="Times New Roman" w:cs="Times New Roman"/>
                <w:color w:val="000000"/>
              </w:rPr>
              <w:t>HC</w:t>
            </w:r>
            <w:r w:rsidRPr="008B3BE4">
              <w:rPr>
                <w:rFonts w:eastAsia="Times New Roman" w:cs="Times New Roman"/>
                <w:color w:val="000000"/>
                <w:vertAlign w:val="subscript"/>
              </w:rPr>
              <w:t>05</w:t>
            </w:r>
          </w:p>
        </w:tc>
      </w:tr>
      <w:tr w:rsidR="00201885" w:rsidRPr="008B3BE4" w14:paraId="29B8FD15" w14:textId="77777777" w:rsidTr="00B75114">
        <w:trPr>
          <w:trHeight w:val="132"/>
        </w:trPr>
        <w:tc>
          <w:tcPr>
            <w:tcW w:w="1323" w:type="dxa"/>
            <w:vAlign w:val="center"/>
          </w:tcPr>
          <w:p w14:paraId="6FDA4FA5" w14:textId="7FA06DA2" w:rsidR="00201885" w:rsidRDefault="00201885" w:rsidP="00B75114">
            <w:pPr>
              <w:spacing w:after="0" w:line="240" w:lineRule="auto"/>
              <w:jc w:val="center"/>
            </w:pPr>
            <w:proofErr w:type="spellStart"/>
            <w:r>
              <w:t>gumbel</w:t>
            </w:r>
            <w:proofErr w:type="spellEnd"/>
          </w:p>
        </w:tc>
        <w:tc>
          <w:tcPr>
            <w:tcW w:w="1162" w:type="dxa"/>
            <w:vAlign w:val="center"/>
          </w:tcPr>
          <w:p w14:paraId="252E5565" w14:textId="77C913E2" w:rsidR="00201885" w:rsidRDefault="00201885" w:rsidP="00B75114">
            <w:pPr>
              <w:spacing w:after="0" w:line="240" w:lineRule="auto"/>
              <w:jc w:val="center"/>
            </w:pPr>
            <w:r>
              <w:t>-1.3276</w:t>
            </w:r>
          </w:p>
        </w:tc>
        <w:tc>
          <w:tcPr>
            <w:tcW w:w="1162" w:type="dxa"/>
            <w:vAlign w:val="center"/>
          </w:tcPr>
          <w:p w14:paraId="7D8EBF42" w14:textId="1B310793" w:rsidR="00201885" w:rsidRDefault="00201885" w:rsidP="00B7511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9" w:type="dxa"/>
            <w:vAlign w:val="center"/>
          </w:tcPr>
          <w:p w14:paraId="684C3053" w14:textId="637915C1" w:rsidR="00201885" w:rsidRDefault="00201885" w:rsidP="00B75114">
            <w:pPr>
              <w:spacing w:after="0" w:line="240" w:lineRule="auto"/>
              <w:jc w:val="center"/>
            </w:pPr>
            <w:r>
              <w:t>0.5121</w:t>
            </w:r>
          </w:p>
        </w:tc>
        <w:tc>
          <w:tcPr>
            <w:tcW w:w="1339" w:type="dxa"/>
            <w:vAlign w:val="center"/>
          </w:tcPr>
          <w:p w14:paraId="4DE6C8FA" w14:textId="56E0A84B" w:rsidR="00201885" w:rsidRDefault="00201885" w:rsidP="00B75114">
            <w:pPr>
              <w:spacing w:after="0" w:line="240" w:lineRule="auto"/>
              <w:jc w:val="center"/>
            </w:pPr>
            <w:r>
              <w:t>0.0575</w:t>
            </w:r>
          </w:p>
        </w:tc>
      </w:tr>
      <w:tr w:rsidR="00201885" w:rsidRPr="008B3BE4" w14:paraId="67B0FCF5" w14:textId="77777777" w:rsidTr="0096622E">
        <w:tc>
          <w:tcPr>
            <w:tcW w:w="1323" w:type="dxa"/>
            <w:vAlign w:val="center"/>
          </w:tcPr>
          <w:p w14:paraId="1EFBE27B" w14:textId="72894AEF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logistic</w:t>
            </w:r>
          </w:p>
        </w:tc>
        <w:tc>
          <w:tcPr>
            <w:tcW w:w="1162" w:type="dxa"/>
            <w:vAlign w:val="center"/>
          </w:tcPr>
          <w:p w14:paraId="402C50D7" w14:textId="39E6A92C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0.6445</w:t>
            </w:r>
          </w:p>
        </w:tc>
        <w:tc>
          <w:tcPr>
            <w:tcW w:w="1162" w:type="dxa"/>
            <w:vAlign w:val="center"/>
          </w:tcPr>
          <w:p w14:paraId="7F261EDE" w14:textId="2864368C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1.9721</w:t>
            </w:r>
          </w:p>
        </w:tc>
        <w:tc>
          <w:tcPr>
            <w:tcW w:w="1339" w:type="dxa"/>
            <w:vAlign w:val="center"/>
          </w:tcPr>
          <w:p w14:paraId="747B37E3" w14:textId="74FDD6A8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0.1911</w:t>
            </w:r>
          </w:p>
        </w:tc>
        <w:tc>
          <w:tcPr>
            <w:tcW w:w="1339" w:type="dxa"/>
            <w:vAlign w:val="center"/>
          </w:tcPr>
          <w:p w14:paraId="361BE871" w14:textId="0FF88272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0.0378</w:t>
            </w:r>
          </w:p>
        </w:tc>
      </w:tr>
      <w:tr w:rsidR="00201885" w:rsidRPr="008B3BE4" w14:paraId="19481936" w14:textId="77777777" w:rsidTr="0096622E">
        <w:tc>
          <w:tcPr>
            <w:tcW w:w="1323" w:type="dxa"/>
            <w:vAlign w:val="center"/>
          </w:tcPr>
          <w:p w14:paraId="0BE52EE7" w14:textId="60C5D6A1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normal</w:t>
            </w:r>
          </w:p>
        </w:tc>
        <w:tc>
          <w:tcPr>
            <w:tcW w:w="1162" w:type="dxa"/>
            <w:vAlign w:val="center"/>
          </w:tcPr>
          <w:p w14:paraId="72451CF8" w14:textId="298419DA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1.6585</w:t>
            </w:r>
          </w:p>
        </w:tc>
        <w:tc>
          <w:tcPr>
            <w:tcW w:w="1162" w:type="dxa"/>
            <w:vAlign w:val="center"/>
          </w:tcPr>
          <w:p w14:paraId="60755A1E" w14:textId="00ECCF2E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2.9862</w:t>
            </w:r>
          </w:p>
        </w:tc>
        <w:tc>
          <w:tcPr>
            <w:tcW w:w="1339" w:type="dxa"/>
            <w:vAlign w:val="center"/>
          </w:tcPr>
          <w:p w14:paraId="110F0CD7" w14:textId="5A4A1930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0.1151</w:t>
            </w:r>
          </w:p>
        </w:tc>
        <w:tc>
          <w:tcPr>
            <w:tcW w:w="1339" w:type="dxa"/>
            <w:vAlign w:val="center"/>
          </w:tcPr>
          <w:p w14:paraId="096C42B7" w14:textId="29ED8DA4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0.0381</w:t>
            </w:r>
          </w:p>
        </w:tc>
      </w:tr>
      <w:tr w:rsidR="00201885" w:rsidRPr="008B3BE4" w14:paraId="25BA6FD5" w14:textId="77777777" w:rsidTr="0096622E">
        <w:tc>
          <w:tcPr>
            <w:tcW w:w="1323" w:type="dxa"/>
            <w:vAlign w:val="center"/>
          </w:tcPr>
          <w:p w14:paraId="7DFBDEF7" w14:textId="03E23B2B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triangular</w:t>
            </w:r>
          </w:p>
        </w:tc>
        <w:tc>
          <w:tcPr>
            <w:tcW w:w="1162" w:type="dxa"/>
            <w:vAlign w:val="center"/>
          </w:tcPr>
          <w:p w14:paraId="42A5AC55" w14:textId="6252F67D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1.9292</w:t>
            </w:r>
          </w:p>
        </w:tc>
        <w:tc>
          <w:tcPr>
            <w:tcW w:w="1162" w:type="dxa"/>
            <w:vAlign w:val="center"/>
          </w:tcPr>
          <w:p w14:paraId="68D1036E" w14:textId="2753F78A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3.2568</w:t>
            </w:r>
          </w:p>
        </w:tc>
        <w:tc>
          <w:tcPr>
            <w:tcW w:w="1339" w:type="dxa"/>
            <w:vAlign w:val="center"/>
          </w:tcPr>
          <w:p w14:paraId="357D88E6" w14:textId="12D29442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0.1005</w:t>
            </w:r>
          </w:p>
        </w:tc>
        <w:tc>
          <w:tcPr>
            <w:tcW w:w="1339" w:type="dxa"/>
            <w:vAlign w:val="center"/>
          </w:tcPr>
          <w:p w14:paraId="2BF9B5A6" w14:textId="7AD81A76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0.0358</w:t>
            </w:r>
          </w:p>
        </w:tc>
      </w:tr>
      <w:tr w:rsidR="00201885" w:rsidRPr="008B3BE4" w14:paraId="42AB6804" w14:textId="77777777" w:rsidTr="0096622E">
        <w:tc>
          <w:tcPr>
            <w:tcW w:w="1323" w:type="dxa"/>
            <w:vAlign w:val="center"/>
          </w:tcPr>
          <w:p w14:paraId="7C60FFA3" w14:textId="65056434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burr</w:t>
            </w:r>
          </w:p>
        </w:tc>
        <w:tc>
          <w:tcPr>
            <w:tcW w:w="1162" w:type="dxa"/>
            <w:vAlign w:val="center"/>
          </w:tcPr>
          <w:p w14:paraId="303C1870" w14:textId="6B0FC418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2.6012</w:t>
            </w:r>
          </w:p>
        </w:tc>
        <w:tc>
          <w:tcPr>
            <w:tcW w:w="1162" w:type="dxa"/>
            <w:vAlign w:val="center"/>
          </w:tcPr>
          <w:p w14:paraId="0C823CDC" w14:textId="52921173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3.9288</w:t>
            </w:r>
          </w:p>
        </w:tc>
        <w:tc>
          <w:tcPr>
            <w:tcW w:w="1339" w:type="dxa"/>
            <w:vAlign w:val="center"/>
          </w:tcPr>
          <w:p w14:paraId="7B6571ED" w14:textId="456CA495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0.0718</w:t>
            </w:r>
          </w:p>
        </w:tc>
        <w:tc>
          <w:tcPr>
            <w:tcW w:w="1339" w:type="dxa"/>
            <w:vAlign w:val="center"/>
          </w:tcPr>
          <w:p w14:paraId="7DD07F2A" w14:textId="407016A4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0.0575</w:t>
            </w:r>
          </w:p>
        </w:tc>
      </w:tr>
      <w:tr w:rsidR="00201885" w:rsidRPr="008B3BE4" w14:paraId="4155B127" w14:textId="77777777" w:rsidTr="0096622E">
        <w:tc>
          <w:tcPr>
            <w:tcW w:w="1323" w:type="dxa"/>
            <w:tcBorders>
              <w:bottom w:val="single" w:sz="12" w:space="0" w:color="000000"/>
            </w:tcBorders>
            <w:vAlign w:val="center"/>
          </w:tcPr>
          <w:p w14:paraId="44C241BC" w14:textId="4703467A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t>weibull</w:t>
            </w:r>
            <w:proofErr w:type="spellEnd"/>
          </w:p>
        </w:tc>
        <w:tc>
          <w:tcPr>
            <w:tcW w:w="1162" w:type="dxa"/>
            <w:tcBorders>
              <w:bottom w:val="single" w:sz="12" w:space="0" w:color="000000"/>
            </w:tcBorders>
            <w:vAlign w:val="center"/>
          </w:tcPr>
          <w:p w14:paraId="6B60B2CB" w14:textId="79219869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6.6678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vAlign w:val="center"/>
          </w:tcPr>
          <w:p w14:paraId="77B80C5B" w14:textId="07F6D87F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7.9954</w:t>
            </w:r>
          </w:p>
        </w:tc>
        <w:tc>
          <w:tcPr>
            <w:tcW w:w="1339" w:type="dxa"/>
            <w:tcBorders>
              <w:bottom w:val="single" w:sz="12" w:space="0" w:color="000000"/>
            </w:tcBorders>
            <w:vAlign w:val="center"/>
          </w:tcPr>
          <w:p w14:paraId="6ABEED93" w14:textId="547ADFC3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0.0094</w:t>
            </w:r>
          </w:p>
        </w:tc>
        <w:tc>
          <w:tcPr>
            <w:tcW w:w="1339" w:type="dxa"/>
            <w:tcBorders>
              <w:bottom w:val="single" w:sz="12" w:space="0" w:color="000000"/>
            </w:tcBorders>
            <w:vAlign w:val="center"/>
          </w:tcPr>
          <w:p w14:paraId="39AD1D9C" w14:textId="26D547C0" w:rsidR="00201885" w:rsidRPr="008B3BE4" w:rsidRDefault="00201885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0.0094</w:t>
            </w:r>
          </w:p>
        </w:tc>
      </w:tr>
    </w:tbl>
    <w:p w14:paraId="0B189B1C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239E3172" w14:textId="6EC8EE07" w:rsidR="00D25148" w:rsidRPr="008B3BE4" w:rsidRDefault="00D25148" w:rsidP="00D25148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Table 4. Comparison of distributions for </w:t>
      </w:r>
      <w:r w:rsidR="00654062">
        <w:rPr>
          <w:rFonts w:eastAsia="Times New Roman" w:cs="Times New Roman"/>
          <w:b/>
          <w:color w:val="000000"/>
        </w:rPr>
        <w:t>seedling emergence</w:t>
      </w:r>
      <w:r w:rsidRPr="008B3BE4">
        <w:rPr>
          <w:rFonts w:eastAsia="Times New Roman" w:cs="Times New Roman"/>
          <w:b/>
          <w:color w:val="000000"/>
        </w:rPr>
        <w:t xml:space="preserve"> toxicity data for </w:t>
      </w:r>
      <w:r w:rsidR="00D03F30">
        <w:rPr>
          <w:rFonts w:eastAsia="Times New Roman" w:cs="Times New Roman"/>
          <w:b/>
          <w:color w:val="000000"/>
        </w:rPr>
        <w:t>propazine</w:t>
      </w:r>
      <w:r w:rsidRPr="008B3BE4">
        <w:rPr>
          <w:rFonts w:eastAsia="Times New Roman" w:cs="Times New Roman"/>
          <w:b/>
          <w:color w:val="000000"/>
        </w:rPr>
        <w:t>.</w:t>
      </w:r>
    </w:p>
    <w:tbl>
      <w:tblPr>
        <w:tblW w:w="6325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23"/>
        <w:gridCol w:w="1162"/>
        <w:gridCol w:w="1162"/>
        <w:gridCol w:w="1339"/>
        <w:gridCol w:w="1339"/>
      </w:tblGrid>
      <w:tr w:rsidR="00D25148" w:rsidRPr="008B3BE4" w14:paraId="273C575B" w14:textId="77777777" w:rsidTr="00D25148">
        <w:trPr>
          <w:tblHeader/>
        </w:trPr>
        <w:tc>
          <w:tcPr>
            <w:tcW w:w="1323" w:type="dxa"/>
            <w:tcBorders>
              <w:top w:val="single" w:sz="12" w:space="0" w:color="000000"/>
              <w:bottom w:val="single" w:sz="12" w:space="0" w:color="000000"/>
            </w:tcBorders>
          </w:tcPr>
          <w:p w14:paraId="06DB9DB0" w14:textId="77777777" w:rsidR="00D25148" w:rsidRPr="008B3BE4" w:rsidRDefault="00D25148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B3BE4">
              <w:rPr>
                <w:rFonts w:eastAsia="Times New Roman" w:cs="Times New Roman"/>
                <w:color w:val="000000"/>
              </w:rPr>
              <w:t>distribution</w:t>
            </w:r>
          </w:p>
        </w:tc>
        <w:tc>
          <w:tcPr>
            <w:tcW w:w="1162" w:type="dxa"/>
            <w:tcBorders>
              <w:top w:val="single" w:sz="12" w:space="0" w:color="000000"/>
              <w:bottom w:val="single" w:sz="12" w:space="0" w:color="000000"/>
            </w:tcBorders>
          </w:tcPr>
          <w:p w14:paraId="323D100D" w14:textId="77777777" w:rsidR="00D25148" w:rsidRPr="008B3BE4" w:rsidRDefault="00D25148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B3BE4">
              <w:rPr>
                <w:rFonts w:eastAsia="Times New Roman" w:cs="Times New Roman"/>
                <w:color w:val="000000"/>
              </w:rPr>
              <w:t>AIC</w:t>
            </w:r>
            <w:r w:rsidRPr="008B3BE4">
              <w:rPr>
                <w:rFonts w:eastAsia="Times New Roman" w:cs="Times New Roman"/>
                <w:color w:val="000000"/>
                <w:vertAlign w:val="subscript"/>
              </w:rPr>
              <w:t>c</w:t>
            </w:r>
            <w:proofErr w:type="spellEnd"/>
          </w:p>
        </w:tc>
        <w:tc>
          <w:tcPr>
            <w:tcW w:w="1162" w:type="dxa"/>
            <w:tcBorders>
              <w:top w:val="single" w:sz="12" w:space="0" w:color="000000"/>
              <w:bottom w:val="single" w:sz="12" w:space="0" w:color="000000"/>
            </w:tcBorders>
          </w:tcPr>
          <w:p w14:paraId="6B9D9584" w14:textId="77777777" w:rsidR="00D25148" w:rsidRPr="008B3BE4" w:rsidRDefault="00D25148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B3BE4">
              <w:rPr>
                <w:rFonts w:eastAsia="Arial Unicode MS" w:cs="Arial Unicode MS"/>
                <w:color w:val="000000"/>
              </w:rPr>
              <w:t>∆</w:t>
            </w:r>
            <w:proofErr w:type="spellStart"/>
            <w:r w:rsidRPr="008B3BE4">
              <w:rPr>
                <w:rFonts w:eastAsia="Arial Unicode MS" w:cs="Arial Unicode MS"/>
                <w:color w:val="000000"/>
              </w:rPr>
              <w:t>AIC</w:t>
            </w:r>
            <w:r w:rsidRPr="008B3BE4">
              <w:rPr>
                <w:rFonts w:eastAsia="Times New Roman" w:cs="Times New Roman"/>
                <w:color w:val="000000"/>
                <w:vertAlign w:val="subscript"/>
              </w:rPr>
              <w:t>c</w:t>
            </w:r>
            <w:proofErr w:type="spellEnd"/>
          </w:p>
        </w:tc>
        <w:tc>
          <w:tcPr>
            <w:tcW w:w="1339" w:type="dxa"/>
            <w:tcBorders>
              <w:top w:val="single" w:sz="12" w:space="0" w:color="000000"/>
              <w:bottom w:val="single" w:sz="12" w:space="0" w:color="000000"/>
            </w:tcBorders>
          </w:tcPr>
          <w:p w14:paraId="177DDE25" w14:textId="77777777" w:rsidR="00D25148" w:rsidRPr="008B3BE4" w:rsidRDefault="00D25148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B3BE4">
              <w:rPr>
                <w:rFonts w:eastAsia="Times New Roman" w:cs="Times New Roman"/>
                <w:color w:val="000000"/>
              </w:rPr>
              <w:t>Weight</w:t>
            </w:r>
          </w:p>
        </w:tc>
        <w:tc>
          <w:tcPr>
            <w:tcW w:w="1339" w:type="dxa"/>
            <w:tcBorders>
              <w:top w:val="single" w:sz="12" w:space="0" w:color="000000"/>
              <w:bottom w:val="single" w:sz="12" w:space="0" w:color="000000"/>
            </w:tcBorders>
          </w:tcPr>
          <w:p w14:paraId="52BFE837" w14:textId="77777777" w:rsidR="00D25148" w:rsidRPr="008B3BE4" w:rsidRDefault="00D25148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B3BE4">
              <w:rPr>
                <w:rFonts w:eastAsia="Times New Roman" w:cs="Times New Roman"/>
                <w:color w:val="000000"/>
              </w:rPr>
              <w:t>HC</w:t>
            </w:r>
            <w:r w:rsidRPr="008B3BE4">
              <w:rPr>
                <w:rFonts w:eastAsia="Times New Roman" w:cs="Times New Roman"/>
                <w:color w:val="000000"/>
                <w:vertAlign w:val="subscript"/>
              </w:rPr>
              <w:t>05</w:t>
            </w:r>
          </w:p>
        </w:tc>
      </w:tr>
      <w:tr w:rsidR="00B75114" w:rsidRPr="008B3BE4" w14:paraId="105EE271" w14:textId="77777777" w:rsidTr="00D25148">
        <w:tc>
          <w:tcPr>
            <w:tcW w:w="1323" w:type="dxa"/>
            <w:vAlign w:val="center"/>
          </w:tcPr>
          <w:p w14:paraId="02182056" w14:textId="16FD12BD" w:rsidR="00B75114" w:rsidRDefault="00B75114" w:rsidP="00B75114">
            <w:pPr>
              <w:spacing w:after="0" w:line="240" w:lineRule="auto"/>
              <w:jc w:val="center"/>
            </w:pPr>
            <w:r>
              <w:t>triangular</w:t>
            </w:r>
          </w:p>
        </w:tc>
        <w:tc>
          <w:tcPr>
            <w:tcW w:w="1162" w:type="dxa"/>
            <w:vAlign w:val="center"/>
          </w:tcPr>
          <w:p w14:paraId="729D2DCC" w14:textId="62E2A8FA" w:rsidR="00B75114" w:rsidRDefault="00B75114" w:rsidP="00B75114">
            <w:pPr>
              <w:spacing w:after="0" w:line="240" w:lineRule="auto"/>
              <w:jc w:val="center"/>
            </w:pPr>
            <w:r>
              <w:t>6.3385</w:t>
            </w:r>
          </w:p>
        </w:tc>
        <w:tc>
          <w:tcPr>
            <w:tcW w:w="1162" w:type="dxa"/>
            <w:vAlign w:val="center"/>
          </w:tcPr>
          <w:p w14:paraId="12F2F1E9" w14:textId="496D18FC" w:rsidR="00B75114" w:rsidRDefault="00B75114" w:rsidP="00B7511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9" w:type="dxa"/>
            <w:vAlign w:val="center"/>
          </w:tcPr>
          <w:p w14:paraId="0D37395C" w14:textId="1946677A" w:rsidR="00B75114" w:rsidRDefault="00B75114" w:rsidP="00B75114">
            <w:pPr>
              <w:spacing w:after="0" w:line="240" w:lineRule="auto"/>
              <w:jc w:val="center"/>
            </w:pPr>
            <w:r>
              <w:t>0.3616</w:t>
            </w:r>
          </w:p>
        </w:tc>
        <w:tc>
          <w:tcPr>
            <w:tcW w:w="1339" w:type="dxa"/>
            <w:vAlign w:val="center"/>
          </w:tcPr>
          <w:p w14:paraId="1AA03D5D" w14:textId="3A22F03B" w:rsidR="00B75114" w:rsidRDefault="00B75114" w:rsidP="00B75114">
            <w:pPr>
              <w:spacing w:after="0" w:line="240" w:lineRule="auto"/>
              <w:jc w:val="center"/>
            </w:pPr>
            <w:r>
              <w:t>0.0194</w:t>
            </w:r>
          </w:p>
        </w:tc>
      </w:tr>
      <w:tr w:rsidR="00B75114" w:rsidRPr="008B3BE4" w14:paraId="5A84324C" w14:textId="77777777" w:rsidTr="00D25148">
        <w:tc>
          <w:tcPr>
            <w:tcW w:w="1323" w:type="dxa"/>
            <w:vAlign w:val="center"/>
          </w:tcPr>
          <w:p w14:paraId="50EFFB93" w14:textId="29226005" w:rsidR="00B75114" w:rsidRPr="008B3BE4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normal</w:t>
            </w:r>
          </w:p>
        </w:tc>
        <w:tc>
          <w:tcPr>
            <w:tcW w:w="1162" w:type="dxa"/>
            <w:vAlign w:val="center"/>
          </w:tcPr>
          <w:p w14:paraId="2193151D" w14:textId="3DF812BE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7.4552</w:t>
            </w:r>
          </w:p>
        </w:tc>
        <w:tc>
          <w:tcPr>
            <w:tcW w:w="1162" w:type="dxa"/>
            <w:vAlign w:val="center"/>
          </w:tcPr>
          <w:p w14:paraId="229DC3CB" w14:textId="5519AB37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1.1168</w:t>
            </w:r>
          </w:p>
        </w:tc>
        <w:tc>
          <w:tcPr>
            <w:tcW w:w="1339" w:type="dxa"/>
            <w:vAlign w:val="center"/>
          </w:tcPr>
          <w:p w14:paraId="196CF673" w14:textId="70773BFD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0.2069</w:t>
            </w:r>
          </w:p>
        </w:tc>
        <w:tc>
          <w:tcPr>
            <w:tcW w:w="1339" w:type="dxa"/>
            <w:vAlign w:val="center"/>
          </w:tcPr>
          <w:p w14:paraId="043759FF" w14:textId="6164E2B7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0.0166</w:t>
            </w:r>
          </w:p>
        </w:tc>
      </w:tr>
      <w:tr w:rsidR="00B75114" w:rsidRPr="008B3BE4" w14:paraId="253967BE" w14:textId="77777777" w:rsidTr="00D25148">
        <w:tc>
          <w:tcPr>
            <w:tcW w:w="1323" w:type="dxa"/>
            <w:vAlign w:val="center"/>
          </w:tcPr>
          <w:p w14:paraId="1C8A8353" w14:textId="07A63381" w:rsidR="00B75114" w:rsidRPr="008B3BE4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t>gumbel</w:t>
            </w:r>
            <w:proofErr w:type="spellEnd"/>
          </w:p>
        </w:tc>
        <w:tc>
          <w:tcPr>
            <w:tcW w:w="1162" w:type="dxa"/>
            <w:vAlign w:val="center"/>
          </w:tcPr>
          <w:p w14:paraId="08DCC858" w14:textId="77E6DBB9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7.9764</w:t>
            </w:r>
          </w:p>
        </w:tc>
        <w:tc>
          <w:tcPr>
            <w:tcW w:w="1162" w:type="dxa"/>
            <w:vAlign w:val="center"/>
          </w:tcPr>
          <w:p w14:paraId="18FE8C7F" w14:textId="7E3A6B48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1.6380</w:t>
            </w:r>
          </w:p>
        </w:tc>
        <w:tc>
          <w:tcPr>
            <w:tcW w:w="1339" w:type="dxa"/>
            <w:vAlign w:val="center"/>
          </w:tcPr>
          <w:p w14:paraId="7860A446" w14:textId="0EAEA81E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0.1594</w:t>
            </w:r>
          </w:p>
        </w:tc>
        <w:tc>
          <w:tcPr>
            <w:tcW w:w="1339" w:type="dxa"/>
            <w:vAlign w:val="center"/>
          </w:tcPr>
          <w:p w14:paraId="2E8AFDDA" w14:textId="50071A00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0.0211</w:t>
            </w:r>
          </w:p>
        </w:tc>
      </w:tr>
      <w:tr w:rsidR="00B75114" w:rsidRPr="008B3BE4" w14:paraId="68B871FE" w14:textId="77777777" w:rsidTr="00D25148">
        <w:tc>
          <w:tcPr>
            <w:tcW w:w="1323" w:type="dxa"/>
            <w:vAlign w:val="center"/>
          </w:tcPr>
          <w:p w14:paraId="633CA77E" w14:textId="5417C325" w:rsidR="00B75114" w:rsidRPr="008B3BE4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logistic</w:t>
            </w:r>
          </w:p>
        </w:tc>
        <w:tc>
          <w:tcPr>
            <w:tcW w:w="1162" w:type="dxa"/>
            <w:vAlign w:val="center"/>
          </w:tcPr>
          <w:p w14:paraId="28F27959" w14:textId="38D3D9CE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8.1870</w:t>
            </w:r>
          </w:p>
        </w:tc>
        <w:tc>
          <w:tcPr>
            <w:tcW w:w="1162" w:type="dxa"/>
            <w:vAlign w:val="center"/>
          </w:tcPr>
          <w:p w14:paraId="7926065F" w14:textId="636D1CD2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1.8486</w:t>
            </w:r>
          </w:p>
        </w:tc>
        <w:tc>
          <w:tcPr>
            <w:tcW w:w="1339" w:type="dxa"/>
            <w:vAlign w:val="center"/>
          </w:tcPr>
          <w:p w14:paraId="42CF6FCF" w14:textId="12F04FAB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0.1435</w:t>
            </w:r>
          </w:p>
        </w:tc>
        <w:tc>
          <w:tcPr>
            <w:tcW w:w="1339" w:type="dxa"/>
            <w:vAlign w:val="center"/>
          </w:tcPr>
          <w:p w14:paraId="2B01376F" w14:textId="64AD52DF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0.0138</w:t>
            </w:r>
          </w:p>
        </w:tc>
      </w:tr>
      <w:tr w:rsidR="00B75114" w:rsidRPr="008B3BE4" w14:paraId="7AE300C3" w14:textId="77777777" w:rsidTr="00D25148">
        <w:tc>
          <w:tcPr>
            <w:tcW w:w="1323" w:type="dxa"/>
            <w:tcBorders>
              <w:bottom w:val="single" w:sz="12" w:space="0" w:color="000000"/>
            </w:tcBorders>
            <w:vAlign w:val="center"/>
          </w:tcPr>
          <w:p w14:paraId="06FA00DB" w14:textId="0920CDF5" w:rsidR="00B75114" w:rsidRPr="008B3BE4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t>weibull</w:t>
            </w:r>
            <w:proofErr w:type="spellEnd"/>
          </w:p>
        </w:tc>
        <w:tc>
          <w:tcPr>
            <w:tcW w:w="1162" w:type="dxa"/>
            <w:tcBorders>
              <w:bottom w:val="single" w:sz="12" w:space="0" w:color="000000"/>
            </w:tcBorders>
            <w:vAlign w:val="center"/>
          </w:tcPr>
          <w:p w14:paraId="3FFF9465" w14:textId="265EBD91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8.8084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vAlign w:val="center"/>
          </w:tcPr>
          <w:p w14:paraId="4AECC16E" w14:textId="28A8BB45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2.4699</w:t>
            </w:r>
          </w:p>
        </w:tc>
        <w:tc>
          <w:tcPr>
            <w:tcW w:w="1339" w:type="dxa"/>
            <w:tcBorders>
              <w:bottom w:val="single" w:sz="12" w:space="0" w:color="000000"/>
            </w:tcBorders>
            <w:vAlign w:val="center"/>
          </w:tcPr>
          <w:p w14:paraId="77C57186" w14:textId="677F565D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0.1052</w:t>
            </w:r>
          </w:p>
        </w:tc>
        <w:tc>
          <w:tcPr>
            <w:tcW w:w="1339" w:type="dxa"/>
            <w:tcBorders>
              <w:bottom w:val="single" w:sz="12" w:space="0" w:color="000000"/>
            </w:tcBorders>
            <w:vAlign w:val="center"/>
          </w:tcPr>
          <w:p w14:paraId="6CA11657" w14:textId="62081EED" w:rsidR="00B75114" w:rsidRPr="00D03F30" w:rsidRDefault="00B75114" w:rsidP="00B751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>
              <w:t>0.0062</w:t>
            </w:r>
          </w:p>
        </w:tc>
      </w:tr>
    </w:tbl>
    <w:p w14:paraId="0C4A6C2E" w14:textId="1E24CB33" w:rsidR="00873A91" w:rsidRPr="008B3BE4" w:rsidRDefault="00873A91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049416A2" w14:textId="77777777" w:rsidR="00873A91" w:rsidRPr="008B3BE4" w:rsidRDefault="00873A91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4F3098CD" w14:textId="69283B77" w:rsidR="009B7083" w:rsidRPr="008B3BE4" w:rsidRDefault="009B7083" w:rsidP="00A617F6">
      <w:pPr>
        <w:pStyle w:val="BEheader"/>
      </w:pPr>
      <w:r w:rsidRPr="008B3BE4">
        <w:t>Goodness</w:t>
      </w:r>
      <w:r w:rsidR="007B662E" w:rsidRPr="008B3BE4">
        <w:t xml:space="preserve"> </w:t>
      </w:r>
      <w:r w:rsidRPr="008B3BE4">
        <w:t>of</w:t>
      </w:r>
      <w:r w:rsidR="007B662E" w:rsidRPr="008B3BE4">
        <w:t xml:space="preserve"> </w:t>
      </w:r>
      <w:r w:rsidRPr="008B3BE4">
        <w:t>fit</w:t>
      </w:r>
    </w:p>
    <w:p w14:paraId="1662C9B7" w14:textId="77777777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66E131C4" w14:textId="4528EB71" w:rsidR="009B7083" w:rsidRPr="008B3BE4" w:rsidRDefault="00B123DD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8B3BE4">
        <w:rPr>
          <w:rFonts w:ascii="Calibri" w:eastAsia="Times New Roman" w:hAnsi="Calibri" w:cs="Times New Roman"/>
          <w:color w:val="000000"/>
        </w:rPr>
        <w:t>The p</w:t>
      </w:r>
      <w:r w:rsidR="009B7083" w:rsidRPr="008B3BE4">
        <w:rPr>
          <w:rFonts w:ascii="Calibri" w:eastAsia="Times New Roman" w:hAnsi="Calibri" w:cs="Times New Roman"/>
          <w:color w:val="000000"/>
        </w:rPr>
        <w:t>lot of the cumulative distribution functions for the best-fit distributions (as determined by AIC</w:t>
      </w:r>
      <w:r w:rsidR="009B7083" w:rsidRPr="008B3BE4">
        <w:rPr>
          <w:rFonts w:ascii="Calibri" w:eastAsia="Times New Roman" w:hAnsi="Calibri" w:cs="Times New Roman"/>
          <w:color w:val="000000"/>
          <w:vertAlign w:val="subscript"/>
        </w:rPr>
        <w:t>c</w:t>
      </w:r>
      <w:r w:rsidR="009B7083" w:rsidRPr="008B3BE4">
        <w:rPr>
          <w:rFonts w:ascii="Calibri" w:eastAsia="Times New Roman" w:hAnsi="Calibri" w:cs="Times New Roman"/>
          <w:color w:val="000000"/>
        </w:rPr>
        <w:t>) suggest little evidence of lack-of-fit (</w:t>
      </w:r>
      <w:r w:rsidR="009B7083" w:rsidRPr="008B3BE4">
        <w:rPr>
          <w:rFonts w:ascii="Calibri" w:eastAsia="Times New Roman" w:hAnsi="Calibri" w:cs="Times New Roman"/>
          <w:b/>
          <w:color w:val="000000"/>
        </w:rPr>
        <w:t>Fig</w:t>
      </w:r>
      <w:r w:rsidRPr="008B3BE4">
        <w:rPr>
          <w:rFonts w:ascii="Calibri" w:eastAsia="Times New Roman" w:hAnsi="Calibri" w:cs="Times New Roman"/>
          <w:b/>
          <w:color w:val="000000"/>
        </w:rPr>
        <w:t>ure</w:t>
      </w:r>
      <w:r w:rsidR="00D23B18">
        <w:rPr>
          <w:rFonts w:ascii="Calibri" w:eastAsia="Times New Roman" w:hAnsi="Calibri" w:cs="Times New Roman"/>
          <w:b/>
          <w:color w:val="000000"/>
        </w:rPr>
        <w:t>s</w:t>
      </w:r>
      <w:r w:rsidRPr="008B3BE4">
        <w:rPr>
          <w:rFonts w:ascii="Calibri" w:eastAsia="Times New Roman" w:hAnsi="Calibri" w:cs="Times New Roman"/>
          <w:b/>
          <w:color w:val="000000"/>
        </w:rPr>
        <w:t xml:space="preserve"> </w:t>
      </w:r>
      <w:r w:rsidR="00BD3351">
        <w:rPr>
          <w:rFonts w:ascii="Calibri" w:eastAsia="Times New Roman" w:hAnsi="Calibri" w:cs="Times New Roman"/>
          <w:b/>
          <w:color w:val="000000"/>
        </w:rPr>
        <w:t>1</w:t>
      </w:r>
      <w:r w:rsidR="00D23B18">
        <w:rPr>
          <w:rFonts w:ascii="Calibri" w:eastAsia="Times New Roman" w:hAnsi="Calibri" w:cs="Times New Roman"/>
          <w:b/>
          <w:color w:val="000000"/>
        </w:rPr>
        <w:t xml:space="preserve"> </w:t>
      </w:r>
      <w:r w:rsidR="00D23B18" w:rsidRPr="00D23B18">
        <w:rPr>
          <w:rFonts w:ascii="Calibri" w:eastAsia="Times New Roman" w:hAnsi="Calibri" w:cs="Times New Roman"/>
          <w:bCs/>
          <w:color w:val="000000"/>
        </w:rPr>
        <w:t>and</w:t>
      </w:r>
      <w:r w:rsidR="00D23B18">
        <w:rPr>
          <w:rFonts w:ascii="Calibri" w:eastAsia="Times New Roman" w:hAnsi="Calibri" w:cs="Times New Roman"/>
          <w:b/>
          <w:color w:val="000000"/>
        </w:rPr>
        <w:t xml:space="preserve"> </w:t>
      </w:r>
      <w:r w:rsidR="00BD3351">
        <w:rPr>
          <w:rFonts w:ascii="Calibri" w:eastAsia="Times New Roman" w:hAnsi="Calibri" w:cs="Times New Roman"/>
          <w:b/>
          <w:color w:val="000000"/>
        </w:rPr>
        <w:t>2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). </w:t>
      </w:r>
      <w:r w:rsidR="006D5342" w:rsidRPr="008B3BE4">
        <w:rPr>
          <w:rFonts w:ascii="Calibri" w:eastAsia="Times New Roman" w:hAnsi="Calibri" w:cs="Times New Roman"/>
          <w:color w:val="000000"/>
        </w:rPr>
        <w:t>B</w:t>
      </w:r>
      <w:r w:rsidR="009B7083" w:rsidRPr="008B3BE4">
        <w:rPr>
          <w:rFonts w:ascii="Calibri" w:eastAsia="Times New Roman" w:hAnsi="Calibri" w:cs="Times New Roman"/>
          <w:color w:val="000000"/>
        </w:rPr>
        <w:t>ootstrap goodness-of-fit tests show</w:t>
      </w:r>
      <w:r w:rsidR="008D46DB">
        <w:rPr>
          <w:rFonts w:ascii="Calibri" w:eastAsia="Times New Roman" w:hAnsi="Calibri" w:cs="Times New Roman"/>
          <w:color w:val="000000"/>
        </w:rPr>
        <w:t>ed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 evidence for lack-of-fit (P-values </w:t>
      </w:r>
      <w:r w:rsidR="008D46DB">
        <w:rPr>
          <w:rFonts w:ascii="Calibri" w:eastAsia="Times New Roman" w:hAnsi="Calibri" w:cs="Times New Roman"/>
          <w:color w:val="000000"/>
        </w:rPr>
        <w:t>&lt;</w:t>
      </w:r>
      <w:r w:rsidR="008D46DB" w:rsidRPr="008B3BE4">
        <w:rPr>
          <w:rFonts w:ascii="Calibri" w:eastAsia="Times New Roman" w:hAnsi="Calibri" w:cs="Times New Roman"/>
          <w:color w:val="000000"/>
        </w:rPr>
        <w:t xml:space="preserve"> 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0.05, </w:t>
      </w:r>
      <w:r w:rsidR="009B7083" w:rsidRPr="008B3BE4">
        <w:rPr>
          <w:rFonts w:ascii="Calibri" w:eastAsia="Times New Roman" w:hAnsi="Calibri" w:cs="Times New Roman"/>
          <w:b/>
          <w:color w:val="000000"/>
        </w:rPr>
        <w:t>Table</w:t>
      </w:r>
      <w:r w:rsidR="00D23B18">
        <w:rPr>
          <w:rFonts w:ascii="Calibri" w:eastAsia="Times New Roman" w:hAnsi="Calibri" w:cs="Times New Roman"/>
          <w:b/>
          <w:color w:val="000000"/>
        </w:rPr>
        <w:t>s</w:t>
      </w:r>
      <w:r w:rsidRPr="008B3BE4">
        <w:rPr>
          <w:rFonts w:ascii="Calibri" w:eastAsia="Times New Roman" w:hAnsi="Calibri" w:cs="Times New Roman"/>
          <w:b/>
          <w:color w:val="000000"/>
        </w:rPr>
        <w:t xml:space="preserve"> </w:t>
      </w:r>
      <w:r w:rsidR="00D23B18">
        <w:rPr>
          <w:rFonts w:ascii="Calibri" w:eastAsia="Times New Roman" w:hAnsi="Calibri" w:cs="Times New Roman"/>
          <w:b/>
          <w:color w:val="000000"/>
        </w:rPr>
        <w:t xml:space="preserve">5 </w:t>
      </w:r>
      <w:r w:rsidR="00D23B18" w:rsidRPr="00D23B18">
        <w:rPr>
          <w:rFonts w:ascii="Calibri" w:eastAsia="Times New Roman" w:hAnsi="Calibri" w:cs="Times New Roman"/>
          <w:bCs/>
          <w:color w:val="000000"/>
        </w:rPr>
        <w:t>and</w:t>
      </w:r>
      <w:r w:rsidR="00D23B18">
        <w:rPr>
          <w:rFonts w:ascii="Calibri" w:eastAsia="Times New Roman" w:hAnsi="Calibri" w:cs="Times New Roman"/>
          <w:b/>
          <w:color w:val="000000"/>
        </w:rPr>
        <w:t xml:space="preserve"> 6</w:t>
      </w:r>
      <w:r w:rsidR="009B7083" w:rsidRPr="008B3BE4">
        <w:rPr>
          <w:rFonts w:ascii="Calibri" w:eastAsia="Times New Roman" w:hAnsi="Calibri" w:cs="Times New Roman"/>
          <w:color w:val="000000"/>
        </w:rPr>
        <w:t>)</w:t>
      </w:r>
      <w:r w:rsidR="006D5342" w:rsidRPr="008B3BE4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="006D5342" w:rsidRPr="008B3BE4">
        <w:rPr>
          <w:rFonts w:ascii="Calibri" w:eastAsia="Times New Roman" w:hAnsi="Calibri" w:cs="Times New Roman"/>
          <w:color w:val="000000"/>
        </w:rPr>
        <w:t xml:space="preserve">for </w:t>
      </w:r>
      <w:r w:rsidR="008D46DB">
        <w:rPr>
          <w:rFonts w:ascii="Calibri" w:eastAsia="Times New Roman" w:hAnsi="Calibri" w:cs="Times New Roman"/>
          <w:color w:val="000000"/>
        </w:rPr>
        <w:t xml:space="preserve"> the</w:t>
      </w:r>
      <w:proofErr w:type="gramEnd"/>
      <w:r w:rsidR="008D46DB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8D46DB">
        <w:rPr>
          <w:rFonts w:ascii="Calibri" w:eastAsia="Times New Roman" w:hAnsi="Calibri" w:cs="Times New Roman"/>
          <w:color w:val="000000"/>
        </w:rPr>
        <w:t>Weibul</w:t>
      </w:r>
      <w:proofErr w:type="spellEnd"/>
      <w:r w:rsidR="008D46DB">
        <w:rPr>
          <w:rFonts w:ascii="Calibri" w:eastAsia="Times New Roman" w:hAnsi="Calibri" w:cs="Times New Roman"/>
          <w:color w:val="000000"/>
        </w:rPr>
        <w:t xml:space="preserve"> and triangular</w:t>
      </w:r>
      <w:r w:rsidR="00D23B18">
        <w:rPr>
          <w:rFonts w:ascii="Calibri" w:eastAsia="Times New Roman" w:hAnsi="Calibri" w:cs="Times New Roman"/>
          <w:color w:val="000000"/>
        </w:rPr>
        <w:t xml:space="preserve"> distributions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. </w:t>
      </w:r>
      <w:r w:rsidR="00800A46" w:rsidRPr="008B3BE4">
        <w:rPr>
          <w:rFonts w:ascii="Calibri" w:eastAsia="Times New Roman" w:hAnsi="Calibri" w:cs="Times New Roman"/>
          <w:color w:val="000000"/>
        </w:rPr>
        <w:t>T</w:t>
      </w:r>
      <w:r w:rsidR="009B7083" w:rsidRPr="008B3BE4">
        <w:rPr>
          <w:rFonts w:ascii="Calibri" w:eastAsia="Times New Roman" w:hAnsi="Calibri" w:cs="Times New Roman"/>
          <w:color w:val="000000"/>
        </w:rPr>
        <w:t>he coefficient of variation for the HC</w:t>
      </w:r>
      <w:r w:rsidR="009B7083" w:rsidRPr="008B3BE4">
        <w:rPr>
          <w:rFonts w:ascii="Calibri" w:eastAsia="Times New Roman" w:hAnsi="Calibri" w:cs="Times New Roman"/>
          <w:color w:val="000000"/>
          <w:vertAlign w:val="subscript"/>
        </w:rPr>
        <w:t>05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 was</w:t>
      </w:r>
      <w:r w:rsidR="008D46DB">
        <w:rPr>
          <w:rFonts w:ascii="Calibri" w:eastAsia="Times New Roman" w:hAnsi="Calibri" w:cs="Times New Roman"/>
          <w:color w:val="000000"/>
        </w:rPr>
        <w:t xml:space="preserve"> exceeded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 1 for </w:t>
      </w:r>
      <w:r w:rsidR="008D46DB">
        <w:rPr>
          <w:rFonts w:ascii="Calibri" w:eastAsia="Times New Roman" w:hAnsi="Calibri" w:cs="Times New Roman"/>
          <w:color w:val="000000"/>
        </w:rPr>
        <w:t>several</w:t>
      </w:r>
      <w:r w:rsidR="008D46DB" w:rsidRPr="008B3BE4">
        <w:rPr>
          <w:rFonts w:ascii="Calibri" w:eastAsia="Times New Roman" w:hAnsi="Calibri" w:cs="Times New Roman"/>
          <w:color w:val="000000"/>
        </w:rPr>
        <w:t xml:space="preserve"> 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distributions. </w:t>
      </w:r>
    </w:p>
    <w:p w14:paraId="683F268F" w14:textId="77777777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59B72D8A" w14:textId="457432D4" w:rsidR="0067331B" w:rsidRPr="008B3BE4" w:rsidRDefault="00613B78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lastRenderedPageBreak/>
        <w:drawing>
          <wp:inline distT="0" distB="0" distL="0" distR="0" wp14:anchorId="15CEC350" wp14:editId="1B9764AD">
            <wp:extent cx="6000750" cy="4500880"/>
            <wp:effectExtent l="0" t="0" r="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v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EF0E" w14:textId="577EEDCF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Figure </w:t>
      </w:r>
      <w:r w:rsidR="00BD3351">
        <w:rPr>
          <w:rFonts w:eastAsia="Times New Roman" w:cs="Times New Roman"/>
          <w:b/>
          <w:color w:val="000000"/>
        </w:rPr>
        <w:t>1</w:t>
      </w:r>
      <w:r w:rsidRPr="008B3BE4">
        <w:rPr>
          <w:rFonts w:eastAsia="Times New Roman" w:cs="Times New Roman"/>
          <w:b/>
          <w:color w:val="000000"/>
        </w:rPr>
        <w:t>. Log-</w:t>
      </w:r>
      <w:proofErr w:type="spellStart"/>
      <w:r w:rsidR="00EC25E8">
        <w:rPr>
          <w:rFonts w:eastAsia="Times New Roman" w:cs="Times New Roman"/>
          <w:b/>
          <w:color w:val="000000"/>
        </w:rPr>
        <w:t>gumbel</w:t>
      </w:r>
      <w:proofErr w:type="spellEnd"/>
      <w:r w:rsidR="00EC25E8" w:rsidRPr="008B3BE4">
        <w:rPr>
          <w:rFonts w:eastAsia="Times New Roman" w:cs="Times New Roman"/>
          <w:b/>
          <w:color w:val="000000"/>
        </w:rPr>
        <w:t xml:space="preserve"> </w:t>
      </w:r>
      <w:r w:rsidRPr="008B3BE4">
        <w:rPr>
          <w:rFonts w:eastAsia="Times New Roman" w:cs="Times New Roman"/>
          <w:b/>
          <w:color w:val="000000"/>
        </w:rPr>
        <w:t xml:space="preserve">SSD for </w:t>
      </w:r>
      <w:r w:rsidR="00D03F30">
        <w:rPr>
          <w:rFonts w:eastAsia="Times New Roman" w:cs="Times New Roman"/>
          <w:b/>
          <w:color w:val="000000"/>
        </w:rPr>
        <w:t>propazine</w:t>
      </w:r>
      <w:r w:rsidRPr="008B3BE4">
        <w:rPr>
          <w:rFonts w:eastAsia="Times New Roman" w:cs="Times New Roman"/>
          <w:b/>
          <w:color w:val="000000"/>
        </w:rPr>
        <w:t xml:space="preserve"> toxicity values for </w:t>
      </w:r>
      <w:r w:rsidR="00654062">
        <w:rPr>
          <w:rFonts w:eastAsia="Times New Roman" w:cs="Times New Roman"/>
          <w:b/>
          <w:color w:val="000000"/>
        </w:rPr>
        <w:t>terrestrial</w:t>
      </w:r>
      <w:r w:rsidR="00D159C8" w:rsidRPr="008B3BE4">
        <w:rPr>
          <w:rFonts w:eastAsia="Times New Roman" w:cs="Times New Roman"/>
          <w:b/>
          <w:color w:val="000000"/>
        </w:rPr>
        <w:t xml:space="preserve"> plants</w:t>
      </w:r>
      <w:r w:rsidR="00654062">
        <w:rPr>
          <w:rFonts w:eastAsia="Times New Roman" w:cs="Times New Roman"/>
          <w:b/>
          <w:color w:val="000000"/>
        </w:rPr>
        <w:t xml:space="preserve"> at the vegetative vigor life stage</w:t>
      </w:r>
      <w:r w:rsidRPr="008B3BE4">
        <w:rPr>
          <w:rFonts w:eastAsia="Times New Roman" w:cs="Times New Roman"/>
          <w:b/>
          <w:color w:val="000000"/>
        </w:rPr>
        <w:t xml:space="preserve">. </w:t>
      </w:r>
      <w:r w:rsidRPr="008B3BE4">
        <w:rPr>
          <w:rFonts w:eastAsia="Times New Roman" w:cs="Times New Roman"/>
          <w:color w:val="000000"/>
        </w:rPr>
        <w:t xml:space="preserve">Black points indicate single toxicity values. </w:t>
      </w:r>
    </w:p>
    <w:p w14:paraId="6F69DB0A" w14:textId="4B04FBCE" w:rsidR="00D25148" w:rsidRPr="008B3BE4" w:rsidRDefault="00D25148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193CDA57" w14:textId="4E91008A" w:rsidR="00D25148" w:rsidRPr="008B3BE4" w:rsidRDefault="00D25148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2DE425E3" w14:textId="4F0E01EC" w:rsidR="00D25148" w:rsidRPr="008B3BE4" w:rsidRDefault="00B61AEC" w:rsidP="00D25148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lastRenderedPageBreak/>
        <w:drawing>
          <wp:inline distT="0" distB="0" distL="0" distR="0" wp14:anchorId="183A8D70" wp14:editId="798DC6BC">
            <wp:extent cx="6000750" cy="450088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E4E42" w14:textId="3B760EF8" w:rsidR="00D25148" w:rsidRPr="008B3BE4" w:rsidRDefault="00D25148" w:rsidP="00D25148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Figure </w:t>
      </w:r>
      <w:r w:rsidR="00BD3351">
        <w:rPr>
          <w:rFonts w:eastAsia="Times New Roman" w:cs="Times New Roman"/>
          <w:b/>
          <w:color w:val="000000"/>
        </w:rPr>
        <w:t>2</w:t>
      </w:r>
      <w:r w:rsidRPr="008B3BE4">
        <w:rPr>
          <w:rFonts w:eastAsia="Times New Roman" w:cs="Times New Roman"/>
          <w:b/>
          <w:color w:val="000000"/>
        </w:rPr>
        <w:t>. Log-</w:t>
      </w:r>
      <w:r w:rsidR="00EC25E8">
        <w:rPr>
          <w:rFonts w:eastAsia="Times New Roman" w:cs="Times New Roman"/>
          <w:b/>
          <w:color w:val="000000"/>
        </w:rPr>
        <w:t>triangular</w:t>
      </w:r>
      <w:r w:rsidR="00EC25E8" w:rsidRPr="008B3BE4">
        <w:rPr>
          <w:rFonts w:eastAsia="Times New Roman" w:cs="Times New Roman"/>
          <w:b/>
          <w:color w:val="000000"/>
        </w:rPr>
        <w:t xml:space="preserve"> </w:t>
      </w:r>
      <w:r w:rsidRPr="008B3BE4">
        <w:rPr>
          <w:rFonts w:eastAsia="Times New Roman" w:cs="Times New Roman"/>
          <w:b/>
          <w:color w:val="000000"/>
        </w:rPr>
        <w:t xml:space="preserve">SSD for </w:t>
      </w:r>
      <w:r w:rsidR="00D03F30">
        <w:rPr>
          <w:rFonts w:eastAsia="Times New Roman" w:cs="Times New Roman"/>
          <w:b/>
          <w:color w:val="000000"/>
        </w:rPr>
        <w:t>propazine</w:t>
      </w:r>
      <w:r w:rsidRPr="008B3BE4">
        <w:rPr>
          <w:rFonts w:eastAsia="Times New Roman" w:cs="Times New Roman"/>
          <w:b/>
          <w:color w:val="000000"/>
        </w:rPr>
        <w:t xml:space="preserve"> toxicity values for </w:t>
      </w:r>
      <w:r w:rsidR="00654062">
        <w:rPr>
          <w:rFonts w:eastAsia="Times New Roman" w:cs="Times New Roman"/>
          <w:b/>
          <w:color w:val="000000"/>
        </w:rPr>
        <w:t>terrestrial</w:t>
      </w:r>
      <w:r w:rsidRPr="008B3BE4">
        <w:rPr>
          <w:rFonts w:eastAsia="Times New Roman" w:cs="Times New Roman"/>
          <w:b/>
          <w:color w:val="000000"/>
        </w:rPr>
        <w:t xml:space="preserve"> plants</w:t>
      </w:r>
      <w:r w:rsidR="00654062">
        <w:rPr>
          <w:rFonts w:eastAsia="Times New Roman" w:cs="Times New Roman"/>
          <w:b/>
          <w:color w:val="000000"/>
        </w:rPr>
        <w:t xml:space="preserve"> at the seedling emergence</w:t>
      </w:r>
      <w:r w:rsidRPr="008B3BE4">
        <w:rPr>
          <w:rFonts w:eastAsia="Times New Roman" w:cs="Times New Roman"/>
          <w:b/>
          <w:color w:val="000000"/>
        </w:rPr>
        <w:t xml:space="preserve">. </w:t>
      </w:r>
      <w:r w:rsidRPr="008B3BE4">
        <w:rPr>
          <w:rFonts w:eastAsia="Times New Roman" w:cs="Times New Roman"/>
          <w:color w:val="000000"/>
        </w:rPr>
        <w:t xml:space="preserve">Black points indicate single toxicity values. </w:t>
      </w:r>
    </w:p>
    <w:p w14:paraId="59C30721" w14:textId="549D95D1" w:rsidR="00873A91" w:rsidRPr="008B3BE4" w:rsidRDefault="00873A91" w:rsidP="00D25148">
      <w:pPr>
        <w:spacing w:after="0" w:line="276" w:lineRule="auto"/>
        <w:rPr>
          <w:rFonts w:eastAsia="Times New Roman" w:cs="Times New Roman"/>
          <w:color w:val="000000"/>
        </w:rPr>
      </w:pPr>
    </w:p>
    <w:p w14:paraId="3C4756E7" w14:textId="77777777" w:rsidR="00420E10" w:rsidRPr="008B3BE4" w:rsidRDefault="00420E10" w:rsidP="00420E10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>Table 6. Range of HC</w:t>
      </w:r>
      <w:r w:rsidRPr="00D03F30">
        <w:rPr>
          <w:rFonts w:eastAsia="Times New Roman" w:cs="Times New Roman"/>
          <w:b/>
          <w:color w:val="000000"/>
          <w:vertAlign w:val="subscript"/>
        </w:rPr>
        <w:t>05</w:t>
      </w:r>
      <w:r w:rsidRPr="008B3BE4">
        <w:rPr>
          <w:rFonts w:eastAsia="Times New Roman" w:cs="Times New Roman"/>
          <w:b/>
          <w:color w:val="000000"/>
        </w:rPr>
        <w:t xml:space="preserve"> values for </w:t>
      </w:r>
      <w:r>
        <w:rPr>
          <w:rFonts w:eastAsia="Times New Roman" w:cs="Times New Roman"/>
          <w:b/>
          <w:color w:val="000000"/>
        </w:rPr>
        <w:t>propazine</w:t>
      </w:r>
      <w:r w:rsidRPr="008B3BE4">
        <w:rPr>
          <w:rFonts w:eastAsia="Times New Roman" w:cs="Times New Roman"/>
          <w:b/>
          <w:color w:val="000000"/>
        </w:rPr>
        <w:t xml:space="preserve"> SSDs for </w:t>
      </w:r>
      <w:r>
        <w:rPr>
          <w:rFonts w:eastAsia="Times New Roman" w:cs="Times New Roman"/>
          <w:b/>
          <w:color w:val="000000"/>
        </w:rPr>
        <w:t>terrestrial plants at the vegetative vigor life stage</w:t>
      </w:r>
      <w:r w:rsidRPr="008B3BE4">
        <w:rPr>
          <w:rFonts w:eastAsia="Times New Roman" w:cs="Times New Roman"/>
          <w:b/>
          <w:color w:val="000000"/>
        </w:rPr>
        <w:t>.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960"/>
        <w:gridCol w:w="960"/>
        <w:gridCol w:w="960"/>
        <w:gridCol w:w="960"/>
        <w:gridCol w:w="960"/>
        <w:gridCol w:w="1114"/>
      </w:tblGrid>
      <w:tr w:rsidR="00420E10" w:rsidRPr="008B3BE4" w14:paraId="1B7814BF" w14:textId="77777777" w:rsidTr="007F07DF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14:paraId="17DDC053" w14:textId="77777777" w:rsidR="00420E10" w:rsidRPr="008B3BE4" w:rsidRDefault="00420E10" w:rsidP="0029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127F2EA" w14:textId="77777777" w:rsidR="00420E10" w:rsidRPr="008B3BE4" w:rsidRDefault="00420E10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49ECEC7" w14:textId="77777777" w:rsidR="00420E10" w:rsidRPr="008B3BE4" w:rsidRDefault="00420E10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bookmarkStart w:id="2" w:name="_GoBack"/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05</w:t>
            </w:r>
            <w:bookmarkEnd w:id="2"/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B6F84FB" w14:textId="77777777" w:rsidR="00420E10" w:rsidRPr="008B3BE4" w:rsidRDefault="00420E10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04D5F1C" w14:textId="77777777" w:rsidR="00420E10" w:rsidRPr="008B3BE4" w:rsidRDefault="00420E10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CV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3468B69" w14:textId="77777777" w:rsidR="00420E10" w:rsidRPr="008B3BE4" w:rsidRDefault="00420E10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Lower CI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45F3DF7" w14:textId="77777777" w:rsidR="00420E10" w:rsidRPr="008B3BE4" w:rsidRDefault="00420E10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Upper CI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04D932A2" w14:textId="77777777" w:rsidR="00420E10" w:rsidRPr="008B3BE4" w:rsidRDefault="00420E10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</w:tr>
      <w:tr w:rsidR="00D531CC" w:rsidRPr="008B3BE4" w14:paraId="5400A62D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8C09716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10D92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F226710" w14:textId="2CEF0176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0.0381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D8C687" w14:textId="72DABBB7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844EA4E" w14:textId="253A5676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0.5946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DD9431" w14:textId="71C995CC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8AFE2F" w14:textId="3DDAD0A2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0.1054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8461782" w14:textId="77777777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0.1169</w:t>
            </w:r>
          </w:p>
        </w:tc>
      </w:tr>
      <w:tr w:rsidR="00D531CC" w:rsidRPr="008B3BE4" w14:paraId="0423F63B" w14:textId="77777777" w:rsidTr="00E806C5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F3DEEB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BBDA8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A67992B" w14:textId="12A1D6DE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0.0352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6BD6DF" w14:textId="65BCBE84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B1EF118" w14:textId="14E5ACD1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0.6014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13F584" w14:textId="4A237FC1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BEB3F4" w14:textId="4EE8E0EF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0.0953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C0A59CE" w14:textId="77777777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0.0829</w:t>
            </w:r>
          </w:p>
        </w:tc>
      </w:tr>
      <w:tr w:rsidR="00D531CC" w:rsidRPr="008B3BE4" w14:paraId="4F9672A6" w14:textId="77777777" w:rsidTr="00E806C5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A9D6FD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9A73D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F81C7B9" w14:textId="374B4049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0.0302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D7C1B9" w14:textId="5CEDF2E8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2FB4EC" w14:textId="2F8C8593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0.5572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3C65A0" w14:textId="3CED2355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138531" w14:textId="70713FEE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0.0688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8E97767" w14:textId="77777777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0.0410</w:t>
            </w:r>
          </w:p>
        </w:tc>
      </w:tr>
      <w:tr w:rsidR="00D531CC" w:rsidRPr="008B3BE4" w14:paraId="1401B563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9B9280A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1EA64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EC9C13E" w14:textId="6FDA3115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0.0378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0722DD" w14:textId="4845BDC1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D17318" w14:textId="6D5BDBFD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0.5170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F392E79" w14:textId="1B03A2C6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B887C3" w14:textId="091CF948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0.0907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3D1956" w14:textId="77777777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0.3377</w:t>
            </w:r>
          </w:p>
        </w:tc>
      </w:tr>
      <w:tr w:rsidR="00E806C5" w:rsidRPr="008B3BE4" w14:paraId="258E76D9" w14:textId="77777777" w:rsidTr="00E806C5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09852D6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E943E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A79C059" w14:textId="289AD47C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0.0360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D50E85" w14:textId="56D670C9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79AC548" w14:textId="7BB1C3C1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0.6736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8F2123" w14:textId="6DAFC32A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F72E95" w14:textId="0ADF0C6F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0.0991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DC2CF10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0.1319</w:t>
            </w:r>
          </w:p>
        </w:tc>
      </w:tr>
      <w:tr w:rsidR="00E806C5" w:rsidRPr="008B3BE4" w14:paraId="0A4132D8" w14:textId="77777777" w:rsidTr="00E806C5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5723B18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206DF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DE7C37" w14:textId="699D8BA0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5036B3" w14:textId="5C025942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4F605E" w14:textId="6127148A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0.5988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30F335" w14:textId="334BCAA0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EEF1CC" w14:textId="7DA92374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0.0662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6BF0C22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0.0789</w:t>
            </w:r>
          </w:p>
        </w:tc>
      </w:tr>
      <w:tr w:rsidR="00E806C5" w:rsidRPr="008B3BE4" w14:paraId="12894D5B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2484EAE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FF2442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1EB08D" w14:textId="674BEA29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0.0358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67E105" w14:textId="01142778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3067D1" w14:textId="5781A28E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0.7088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0B7F17" w14:textId="4E91D8DB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1757BE" w14:textId="47D908AC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0.1186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F8DEB50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0.0729</w:t>
            </w:r>
          </w:p>
        </w:tc>
      </w:tr>
      <w:tr w:rsidR="00E806C5" w:rsidRPr="008B3BE4" w14:paraId="3808CF46" w14:textId="77777777" w:rsidTr="00E806C5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869681D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BE206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AAD094" w14:textId="3CAE37C3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0.0341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1093C8" w14:textId="029E0F42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024D94" w14:textId="04BBFB2C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0.5761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66EC27" w14:textId="3A9F7033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7E4F49" w14:textId="11A01B41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0.0947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BB4896C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0.0450</w:t>
            </w:r>
          </w:p>
        </w:tc>
      </w:tr>
      <w:tr w:rsidR="00E806C5" w:rsidRPr="008B3BE4" w14:paraId="269403A3" w14:textId="77777777" w:rsidTr="00E806C5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5047E81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5FF0B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1C61D37" w14:textId="1FB5302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5BA71D" w14:textId="05050EC1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26DF1A" w14:textId="2E13B9A3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0.5126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499A93" w14:textId="45C56C8B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BBC0BB" w14:textId="41E1F18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0.0735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0DDC324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0.0380</w:t>
            </w:r>
          </w:p>
        </w:tc>
      </w:tr>
      <w:tr w:rsidR="00D531CC" w:rsidRPr="008B3BE4" w14:paraId="784AAC6B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5C499A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05410" w14:textId="67EF3D98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2E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825CFB7" w14:textId="048BF0A7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B2E">
              <w:t>0.0575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9E7A85" w14:textId="0224EE1F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B2E">
              <w:t>0.0178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3CF0E64" w14:textId="6011DA1A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B2E">
              <w:t>0.3105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67F683" w14:textId="328DE060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B2E">
              <w:t>0.0381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68AD72" w14:textId="0F4F636E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3B2E">
              <w:t>0.1074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ED2CE8B" w14:textId="77777777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0.6513</w:t>
            </w:r>
          </w:p>
        </w:tc>
      </w:tr>
      <w:tr w:rsidR="00D531CC" w:rsidRPr="008B3BE4" w14:paraId="2B67CD88" w14:textId="77777777" w:rsidTr="00E806C5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3C583DF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0FDB8" w14:textId="4A6D8DB8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2F25169" w14:textId="67E2A049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0.0504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2A139E" w14:textId="7C2C058E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3F7283" w14:textId="3FDE0E26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0.3984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F18C477" w14:textId="44D1A17E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35B789" w14:textId="392D48DF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0.0996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BCEE659" w14:textId="77777777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0.6074</w:t>
            </w:r>
          </w:p>
        </w:tc>
      </w:tr>
      <w:tr w:rsidR="00D531CC" w:rsidRPr="008B3BE4" w14:paraId="48970D9E" w14:textId="77777777" w:rsidTr="00E806C5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44B525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lastRenderedPageBreak/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62503" w14:textId="77777777" w:rsidR="00D531CC" w:rsidRPr="008B3BE4" w:rsidRDefault="00D531CC" w:rsidP="00D53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268C07" w14:textId="3EFD9D35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0.0411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7D6BB44" w14:textId="2284C050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DAE790" w14:textId="59D29088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0.4343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F23A35" w14:textId="7DFF9894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AFD441" w14:textId="518D6A8A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0.0763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66E82A7" w14:textId="77777777" w:rsidR="00D531CC" w:rsidRPr="008B3BE4" w:rsidRDefault="00D531CC" w:rsidP="00D53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0.2348</w:t>
            </w:r>
          </w:p>
        </w:tc>
      </w:tr>
      <w:tr w:rsidR="00E806C5" w:rsidRPr="008B3BE4" w14:paraId="3DA4B4CA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</w:tcPr>
          <w:p w14:paraId="65F25524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Weibull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B931C1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7B66D44" w14:textId="1817DC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8A8D5C" w14:textId="2D292C4D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5E0372" w14:textId="3F8C8B9E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2.1456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B72486" w14:textId="3D2708D2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01090A" w14:textId="593B68CD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0.0739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6C48EBE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0.0110</w:t>
            </w:r>
          </w:p>
        </w:tc>
      </w:tr>
      <w:tr w:rsidR="00E806C5" w:rsidRPr="008B3BE4" w14:paraId="2A97A27C" w14:textId="77777777" w:rsidTr="00E806C5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</w:tcPr>
          <w:p w14:paraId="72B871D6" w14:textId="1FAA38A9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Weibull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F41162" w14:textId="6C95A60B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64BB325" w14:textId="54C211D6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24646B" w14:textId="34332C83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2D0568" w14:textId="2A3F7B6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0.9229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6354AE3" w14:textId="606DE1C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86B3B7" w14:textId="727B7472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0.0752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BA957BB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0.0140</w:t>
            </w:r>
          </w:p>
        </w:tc>
      </w:tr>
      <w:tr w:rsidR="00E806C5" w:rsidRPr="008B3BE4" w14:paraId="0C1DB195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A08A9DA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8F700" w14:textId="77777777" w:rsidR="00E806C5" w:rsidRPr="008B3BE4" w:rsidRDefault="00E806C5" w:rsidP="00E8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D87691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498207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0E0901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0.3880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7C49A0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2145EF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0.1093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B84AE40" w14:textId="77777777" w:rsidR="00E806C5" w:rsidRPr="008B3BE4" w:rsidRDefault="00E806C5" w:rsidP="00E8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0.5674</w:t>
            </w:r>
          </w:p>
        </w:tc>
      </w:tr>
    </w:tbl>
    <w:p w14:paraId="6A325CEB" w14:textId="77777777" w:rsidR="00420E10" w:rsidRPr="008B3BE4" w:rsidRDefault="00420E10" w:rsidP="00420E10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r w:rsidRPr="008B3BE4">
        <w:rPr>
          <w:rFonts w:eastAsia="Times New Roman" w:cs="Times New Roman"/>
          <w:color w:val="000000"/>
          <w:sz w:val="18"/>
          <w:szCs w:val="18"/>
        </w:rPr>
        <w:t>ML=maximum likelihood</w:t>
      </w:r>
    </w:p>
    <w:p w14:paraId="2923A1A1" w14:textId="77777777" w:rsidR="00420E10" w:rsidRPr="008B3BE4" w:rsidRDefault="00420E10" w:rsidP="00420E10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LCp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UCp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>=projections of the confidence limits of the HC</w:t>
      </w:r>
      <w:r w:rsidRPr="008B3BE4">
        <w:rPr>
          <w:rFonts w:eastAsia="Times New Roman" w:cs="Times New Roman"/>
          <w:color w:val="000000"/>
          <w:sz w:val="18"/>
          <w:szCs w:val="18"/>
          <w:vertAlign w:val="subscript"/>
        </w:rPr>
        <w:t>05</w:t>
      </w:r>
      <w:r w:rsidRPr="008B3BE4">
        <w:rPr>
          <w:rFonts w:eastAsia="Times New Roman" w:cs="Times New Roman"/>
          <w:color w:val="000000"/>
          <w:sz w:val="18"/>
          <w:szCs w:val="18"/>
        </w:rPr>
        <w:t xml:space="preserve"> (</w:t>
      </w: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LCx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UCx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>) onto the cumulative distribution function of the fitted distribution.</w:t>
      </w:r>
    </w:p>
    <w:p w14:paraId="579EEF8C" w14:textId="77777777" w:rsidR="00A72B60" w:rsidRPr="008B3BE4" w:rsidRDefault="00A72B60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41963117" w14:textId="06E9BA16" w:rsidR="008D46DB" w:rsidRPr="008B3BE4" w:rsidRDefault="009B7083" w:rsidP="00DC6E8C">
      <w:pPr>
        <w:keepNext/>
        <w:keepLines/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Table </w:t>
      </w:r>
      <w:r w:rsidR="00AF40E3" w:rsidRPr="008B3BE4">
        <w:rPr>
          <w:rFonts w:eastAsia="Times New Roman" w:cs="Times New Roman"/>
          <w:b/>
          <w:color w:val="000000"/>
        </w:rPr>
        <w:t>7</w:t>
      </w:r>
      <w:r w:rsidRPr="008B3BE4">
        <w:rPr>
          <w:rFonts w:eastAsia="Times New Roman" w:cs="Times New Roman"/>
          <w:b/>
          <w:color w:val="000000"/>
        </w:rPr>
        <w:t>. Range of HC</w:t>
      </w:r>
      <w:r w:rsidRPr="00D03F30">
        <w:rPr>
          <w:rFonts w:eastAsia="Times New Roman" w:cs="Times New Roman"/>
          <w:b/>
          <w:color w:val="000000"/>
          <w:vertAlign w:val="subscript"/>
        </w:rPr>
        <w:t>05</w:t>
      </w:r>
      <w:r w:rsidRPr="008B3BE4">
        <w:rPr>
          <w:rFonts w:eastAsia="Times New Roman" w:cs="Times New Roman"/>
          <w:b/>
          <w:color w:val="000000"/>
        </w:rPr>
        <w:t xml:space="preserve"> values for </w:t>
      </w:r>
      <w:r w:rsidR="00D03F30">
        <w:rPr>
          <w:rFonts w:eastAsia="Times New Roman" w:cs="Times New Roman"/>
          <w:b/>
          <w:color w:val="000000"/>
        </w:rPr>
        <w:t>propazine</w:t>
      </w:r>
      <w:r w:rsidRPr="008B3BE4">
        <w:rPr>
          <w:rFonts w:eastAsia="Times New Roman" w:cs="Times New Roman"/>
          <w:b/>
          <w:color w:val="000000"/>
        </w:rPr>
        <w:t xml:space="preserve"> SSDs for</w:t>
      </w:r>
      <w:r w:rsidR="00401C2B">
        <w:rPr>
          <w:rFonts w:eastAsia="Times New Roman" w:cs="Times New Roman"/>
          <w:b/>
          <w:color w:val="000000"/>
        </w:rPr>
        <w:t xml:space="preserve"> terrestrial</w:t>
      </w:r>
      <w:r w:rsidRPr="008B3BE4">
        <w:rPr>
          <w:rFonts w:eastAsia="Times New Roman" w:cs="Times New Roman"/>
          <w:b/>
          <w:color w:val="000000"/>
        </w:rPr>
        <w:t xml:space="preserve"> </w:t>
      </w:r>
      <w:r w:rsidR="00306357" w:rsidRPr="008B3BE4">
        <w:rPr>
          <w:rFonts w:eastAsia="Times New Roman" w:cs="Times New Roman"/>
          <w:b/>
          <w:color w:val="000000"/>
        </w:rPr>
        <w:t>plants</w:t>
      </w:r>
      <w:r w:rsidR="00401C2B">
        <w:rPr>
          <w:rFonts w:eastAsia="Times New Roman" w:cs="Times New Roman"/>
          <w:b/>
          <w:color w:val="000000"/>
        </w:rPr>
        <w:t xml:space="preserve"> at the seedling emergence life stage.</w:t>
      </w:r>
      <w:r w:rsidR="008D46DB" w:rsidRPr="008D46DB">
        <w:rPr>
          <w:rFonts w:eastAsia="Times New Roman" w:cs="Times New Roman"/>
          <w:b/>
          <w:color w:val="000000"/>
        </w:rPr>
        <w:t xml:space="preserve"> 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960"/>
        <w:gridCol w:w="960"/>
        <w:gridCol w:w="960"/>
        <w:gridCol w:w="960"/>
        <w:gridCol w:w="960"/>
        <w:gridCol w:w="1114"/>
      </w:tblGrid>
      <w:tr w:rsidR="008D46DB" w:rsidRPr="008B3BE4" w14:paraId="13552D38" w14:textId="77777777" w:rsidTr="007F07DF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center"/>
            <w:hideMark/>
          </w:tcPr>
          <w:p w14:paraId="39E60D35" w14:textId="77777777" w:rsidR="008D46DB" w:rsidRPr="008B3BE4" w:rsidRDefault="008D46DB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3" w:name="_Hlk51142062"/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9957987" w14:textId="77777777" w:rsidR="008D46DB" w:rsidRPr="008B3BE4" w:rsidRDefault="008D46DB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66410A1" w14:textId="77777777" w:rsidR="008D46DB" w:rsidRPr="008B3BE4" w:rsidRDefault="008D46DB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7DEA922" w14:textId="77777777" w:rsidR="008D46DB" w:rsidRPr="008B3BE4" w:rsidRDefault="008D46DB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40B637B" w14:textId="77777777" w:rsidR="008D46DB" w:rsidRPr="008B3BE4" w:rsidRDefault="008D46DB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CV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3F42F44" w14:textId="77777777" w:rsidR="008D46DB" w:rsidRPr="008B3BE4" w:rsidRDefault="008D46DB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Lower CI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9C6056A" w14:textId="77777777" w:rsidR="008D46DB" w:rsidRPr="008B3BE4" w:rsidRDefault="008D46DB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Upper CI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4CCA98CF" w14:textId="77777777" w:rsidR="008D46DB" w:rsidRPr="008B3BE4" w:rsidRDefault="008D46DB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</w:tr>
      <w:tr w:rsidR="008D46DB" w:rsidRPr="008B3BE4" w14:paraId="200EA886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5B48606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6755D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513AD0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4A2916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16FDA5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1.1891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0D75CF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6D825C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0.0772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92EB626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0.8961</w:t>
            </w:r>
          </w:p>
        </w:tc>
      </w:tr>
      <w:tr w:rsidR="008D46DB" w:rsidRPr="008B3BE4" w14:paraId="2920A76C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D63D28D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15C11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885C0EE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47529C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3916F2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1.1619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6320773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548FD5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0.0636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F1EBC0B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0.9341</w:t>
            </w:r>
          </w:p>
        </w:tc>
      </w:tr>
      <w:tr w:rsidR="008D46DB" w:rsidRPr="008B3BE4" w14:paraId="5FDB2702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4C3A144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E8F09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992243D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84F514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BACD97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1.1619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6E0515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C5A769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0.0636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EB42422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0.9840</w:t>
            </w:r>
          </w:p>
        </w:tc>
      </w:tr>
      <w:tr w:rsidR="008D46DB" w:rsidRPr="008B3BE4" w14:paraId="4C0530A1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5745EE6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9A255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B854542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BEDF86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91FCC1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1.1983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E9A7997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376AE7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0.0620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40CD99E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0.8252</w:t>
            </w:r>
          </w:p>
        </w:tc>
      </w:tr>
      <w:tr w:rsidR="008D46DB" w:rsidRPr="008B3BE4" w14:paraId="2A4179EE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E276D19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14567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205ADB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0.8482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4A669E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4F73D2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1.1619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1B1083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2554789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0.0636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CA6135C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0.8482</w:t>
            </w:r>
          </w:p>
        </w:tc>
      </w:tr>
      <w:tr w:rsidR="008D46DB" w:rsidRPr="008B3BE4" w14:paraId="3EF95697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CEF7136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6DE9C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626F723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E3EC47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EC5594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1.3057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9BFD49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50B04A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0.0369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787C765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0.9730</w:t>
            </w:r>
          </w:p>
        </w:tc>
      </w:tr>
      <w:tr w:rsidR="008D46DB" w:rsidRPr="008B3BE4" w14:paraId="5DE8B113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E7BC415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E42AD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F0DA2A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EE45B6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F549C3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1.0370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1B6E04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5887C9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0.0865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85E1F6F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0.9500</w:t>
            </w:r>
          </w:p>
        </w:tc>
      </w:tr>
      <w:tr w:rsidR="008D46DB" w:rsidRPr="008B3BE4" w14:paraId="5BC11336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2DE183E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4E367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CA4E14E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641C9D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AAA47A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1.1217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74B675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88940D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0.0548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2A47FA0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0.9810</w:t>
            </w:r>
          </w:p>
        </w:tc>
      </w:tr>
      <w:tr w:rsidR="008D46DB" w:rsidRPr="008B3BE4" w14:paraId="34D302B7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90AE2A6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5C096" w14:textId="77777777" w:rsidR="008D46DB" w:rsidRPr="008B3BE4" w:rsidRDefault="008D46DB" w:rsidP="00DC6E8C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DA22DE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1787975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D88367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1.2116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35D0AC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93308D" w14:textId="7777777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0.0473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6BA5171" w14:textId="2ABEF0D7" w:rsidR="008D46DB" w:rsidRPr="008B3BE4" w:rsidRDefault="008D46DB" w:rsidP="00DC6E8C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90283">
              <w:rPr>
                <w:rFonts w:ascii="Calibri" w:eastAsia="Times New Roman" w:hAnsi="Calibri" w:cs="Calibri"/>
                <w:color w:val="000000"/>
              </w:rPr>
              <w:t>9830</w:t>
            </w:r>
          </w:p>
        </w:tc>
      </w:tr>
      <w:tr w:rsidR="008D46DB" w:rsidRPr="008B3BE4" w14:paraId="4E03DA95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E1C0155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BE9B7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DF1ECC8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1587F0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0CEB17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0.6749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A39039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E09D65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0.0593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502F87E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0.9351</w:t>
            </w:r>
          </w:p>
        </w:tc>
      </w:tr>
      <w:tr w:rsidR="008D46DB" w:rsidRPr="008B3BE4" w14:paraId="1D606B75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E553AF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813F9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2B32886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E267A44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2D5785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0.6256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7837AD6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0C1E56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0.0695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DF4A4BB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0.7183</w:t>
            </w:r>
          </w:p>
        </w:tc>
      </w:tr>
      <w:tr w:rsidR="008D46DB" w:rsidRPr="008B3BE4" w14:paraId="143E5D8D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0732F6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AB77A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99D67F7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6AA1B62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6E988B1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0.6588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2DE582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CAAC22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0.0449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13A4A39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0.9600</w:t>
            </w:r>
          </w:p>
        </w:tc>
      </w:tr>
      <w:tr w:rsidR="008D46DB" w:rsidRPr="008B3BE4" w14:paraId="28041D23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</w:tcPr>
          <w:p w14:paraId="3797B2D4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Weibull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B4493B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C6A2A96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F08146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9C50E5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2.7975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FD81B57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9D8A48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0.0613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6CED667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0.6683</w:t>
            </w:r>
          </w:p>
        </w:tc>
      </w:tr>
      <w:tr w:rsidR="008D46DB" w:rsidRPr="008B3BE4" w14:paraId="76704AB8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</w:tcPr>
          <w:p w14:paraId="40DE9AE3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Weibull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E8C1C5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A5E6B1A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3F7154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EB75CA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2.0632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128ACC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0.00006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63615E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0.0345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C9B21E6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0.6134</w:t>
            </w:r>
          </w:p>
        </w:tc>
      </w:tr>
      <w:tr w:rsidR="008D46DB" w:rsidRPr="008B3BE4" w14:paraId="071998DE" w14:textId="77777777" w:rsidTr="008D46DB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9E44D6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3AB0C" w14:textId="77777777" w:rsidR="008D46DB" w:rsidRPr="008B3BE4" w:rsidRDefault="008D46DB" w:rsidP="008D4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085B503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7E2323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616B088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0.9196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7F41CC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0C1AA2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0.0682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B66856D" w14:textId="77777777" w:rsidR="008D46DB" w:rsidRPr="008B3BE4" w:rsidRDefault="008D46DB" w:rsidP="008D4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0.9071</w:t>
            </w:r>
          </w:p>
        </w:tc>
      </w:tr>
    </w:tbl>
    <w:p w14:paraId="7C0A3032" w14:textId="77777777" w:rsidR="008D46DB" w:rsidRPr="008B3BE4" w:rsidRDefault="008D46DB" w:rsidP="008D46DB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bookmarkStart w:id="4" w:name="_Hlk51142175"/>
      <w:bookmarkEnd w:id="3"/>
      <w:r w:rsidRPr="008B3BE4">
        <w:rPr>
          <w:rFonts w:eastAsia="Times New Roman" w:cs="Times New Roman"/>
          <w:color w:val="000000"/>
          <w:sz w:val="18"/>
          <w:szCs w:val="18"/>
        </w:rPr>
        <w:t>ML=maximum likelihood, MO= moment estimators, and GR=graphical methods</w:t>
      </w:r>
    </w:p>
    <w:bookmarkEnd w:id="4"/>
    <w:p w14:paraId="2DE7ED2B" w14:textId="77777777" w:rsidR="008D46DB" w:rsidRPr="008B3BE4" w:rsidRDefault="008D46DB" w:rsidP="008D46DB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LCp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UCp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>=projections of the confidence limits of the HC</w:t>
      </w:r>
      <w:r w:rsidRPr="008B3BE4">
        <w:rPr>
          <w:rFonts w:eastAsia="Times New Roman" w:cs="Times New Roman"/>
          <w:color w:val="000000"/>
          <w:sz w:val="18"/>
          <w:szCs w:val="18"/>
          <w:vertAlign w:val="subscript"/>
        </w:rPr>
        <w:t>05</w:t>
      </w:r>
      <w:r w:rsidRPr="008B3BE4">
        <w:rPr>
          <w:rFonts w:eastAsia="Times New Roman" w:cs="Times New Roman"/>
          <w:color w:val="000000"/>
          <w:sz w:val="18"/>
          <w:szCs w:val="18"/>
        </w:rPr>
        <w:t xml:space="preserve"> (</w:t>
      </w: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LCx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UCx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>) onto the cumulative distribution function of the fitted distribution.</w:t>
      </w:r>
    </w:p>
    <w:p w14:paraId="35825FF7" w14:textId="77777777" w:rsidR="008D46DB" w:rsidRPr="008B3BE4" w:rsidRDefault="008D46DB" w:rsidP="008D46DB">
      <w:pPr>
        <w:keepNext/>
        <w:keepLines/>
        <w:spacing w:after="0" w:line="276" w:lineRule="auto"/>
        <w:rPr>
          <w:rFonts w:ascii="Calibri" w:eastAsia="Times New Roman" w:hAnsi="Calibri" w:cs="Times New Roman"/>
          <w:b/>
          <w:color w:val="000000"/>
        </w:rPr>
      </w:pPr>
    </w:p>
    <w:p w14:paraId="5CF9F905" w14:textId="5FD7C0A4" w:rsidR="00A423AD" w:rsidRPr="001D0F7E" w:rsidRDefault="00A423AD" w:rsidP="00A423AD">
      <w:pPr>
        <w:pStyle w:val="BEheader"/>
      </w:pPr>
      <w:r w:rsidRPr="001D0F7E">
        <w:t xml:space="preserve">Test for the need to model results separately by </w:t>
      </w:r>
      <w:r w:rsidR="001636BE" w:rsidRPr="001D0F7E">
        <w:t>vegetative vigor and seedling emergence life stage</w:t>
      </w:r>
    </w:p>
    <w:p w14:paraId="7CD32668" w14:textId="77777777" w:rsidR="00A423AD" w:rsidRPr="001D0F7E" w:rsidRDefault="00A423AD" w:rsidP="00A423AD">
      <w:pPr>
        <w:spacing w:after="0" w:line="276" w:lineRule="auto"/>
        <w:rPr>
          <w:rFonts w:ascii="Calibri" w:eastAsia="Times New Roman" w:hAnsi="Calibri" w:cs="Times New Roman"/>
          <w:b/>
          <w:color w:val="000000"/>
        </w:rPr>
      </w:pPr>
    </w:p>
    <w:p w14:paraId="21127AB3" w14:textId="11E52A9F" w:rsidR="00A423AD" w:rsidRPr="001D0F7E" w:rsidRDefault="00A423AD" w:rsidP="00A423AD">
      <w:pPr>
        <w:rPr>
          <w:rFonts w:ascii="Calibri" w:eastAsia="Times New Roman" w:hAnsi="Calibri" w:cs="Times New Roman"/>
          <w:b/>
          <w:color w:val="000000"/>
        </w:rPr>
      </w:pPr>
      <w:r w:rsidRPr="001D0F7E">
        <w:rPr>
          <w:rFonts w:ascii="Calibri" w:eastAsia="Times New Roman" w:hAnsi="Calibri" w:cs="Times New Roman"/>
          <w:color w:val="000000"/>
        </w:rPr>
        <w:t xml:space="preserve">Examination of the cumulative distribution functions plotted on similar axes for </w:t>
      </w:r>
      <w:r w:rsidR="001636BE" w:rsidRPr="001D0F7E">
        <w:rPr>
          <w:rFonts w:ascii="Calibri" w:eastAsia="Times New Roman" w:hAnsi="Calibri" w:cs="Times New Roman"/>
          <w:color w:val="000000"/>
        </w:rPr>
        <w:t>vegetative vigor and seedling emergence studies</w:t>
      </w:r>
      <w:r w:rsidRPr="001D0F7E">
        <w:rPr>
          <w:rFonts w:ascii="Calibri" w:eastAsia="Times New Roman" w:hAnsi="Calibri" w:cs="Times New Roman"/>
          <w:color w:val="000000"/>
        </w:rPr>
        <w:t xml:space="preserve"> does not support </w:t>
      </w:r>
      <w:r w:rsidR="00EF56BD" w:rsidRPr="001D0F7E">
        <w:rPr>
          <w:rFonts w:ascii="Calibri" w:eastAsia="Times New Roman" w:hAnsi="Calibri" w:cs="Times New Roman"/>
          <w:color w:val="000000"/>
        </w:rPr>
        <w:t>combining the datasets into one distribution</w:t>
      </w:r>
      <w:r w:rsidRPr="001D0F7E">
        <w:rPr>
          <w:rFonts w:ascii="Calibri" w:eastAsia="Times New Roman" w:hAnsi="Calibri" w:cs="Times New Roman"/>
          <w:color w:val="000000"/>
        </w:rPr>
        <w:t xml:space="preserve">.  </w:t>
      </w:r>
      <w:r w:rsidR="001D0F7E" w:rsidRPr="001D0F7E">
        <w:rPr>
          <w:rFonts w:ascii="Calibri" w:eastAsia="Times New Roman" w:hAnsi="Calibri" w:cs="Times New Roman"/>
          <w:color w:val="000000"/>
        </w:rPr>
        <w:t>Although t</w:t>
      </w:r>
      <w:r w:rsidRPr="001D0F7E">
        <w:rPr>
          <w:rFonts w:ascii="Calibri" w:eastAsia="Times New Roman" w:hAnsi="Calibri" w:cs="Times New Roman"/>
          <w:color w:val="000000"/>
        </w:rPr>
        <w:t xml:space="preserve">he 95% bootstrap confidence intervals for the separate distributions overlap </w:t>
      </w:r>
      <w:r w:rsidR="00200583" w:rsidRPr="001D0F7E">
        <w:rPr>
          <w:rFonts w:ascii="Calibri" w:eastAsia="Times New Roman" w:hAnsi="Calibri" w:cs="Times New Roman"/>
          <w:color w:val="000000"/>
        </w:rPr>
        <w:t>substantially</w:t>
      </w:r>
      <w:r w:rsidRPr="001D0F7E">
        <w:rPr>
          <w:rFonts w:ascii="Calibri" w:eastAsia="Times New Roman" w:hAnsi="Calibri" w:cs="Times New Roman"/>
          <w:color w:val="000000"/>
        </w:rPr>
        <w:t xml:space="preserve"> (</w:t>
      </w:r>
      <w:r w:rsidRPr="001D0F7E">
        <w:rPr>
          <w:rFonts w:ascii="Calibri" w:eastAsia="Times New Roman" w:hAnsi="Calibri" w:cs="Times New Roman"/>
          <w:b/>
          <w:color w:val="000000"/>
        </w:rPr>
        <w:t>Figure 5</w:t>
      </w:r>
      <w:r w:rsidRPr="001D0F7E">
        <w:rPr>
          <w:rFonts w:ascii="Calibri" w:eastAsia="Times New Roman" w:hAnsi="Calibri" w:cs="Times New Roman"/>
          <w:color w:val="000000"/>
        </w:rPr>
        <w:t>)</w:t>
      </w:r>
      <w:r w:rsidR="001D0F7E" w:rsidRPr="001D0F7E">
        <w:rPr>
          <w:rFonts w:ascii="Calibri" w:eastAsia="Times New Roman" w:hAnsi="Calibri" w:cs="Times New Roman"/>
          <w:color w:val="000000"/>
        </w:rPr>
        <w:t>, the slopes of the response curves are appreciably different</w:t>
      </w:r>
      <w:r w:rsidRPr="001D0F7E">
        <w:rPr>
          <w:rFonts w:ascii="Calibri" w:eastAsia="Times New Roman" w:hAnsi="Calibri" w:cs="Times New Roman"/>
          <w:color w:val="000000"/>
        </w:rPr>
        <w:t xml:space="preserve">. </w:t>
      </w:r>
      <w:r w:rsidR="00925FAB">
        <w:rPr>
          <w:rFonts w:ascii="Calibri" w:eastAsia="Times New Roman" w:hAnsi="Calibri" w:cs="Times New Roman"/>
          <w:color w:val="000000"/>
        </w:rPr>
        <w:t>Additionally, the distributions do not fit well at the endpoint of interest, the HC</w:t>
      </w:r>
      <w:r w:rsidR="00925FAB" w:rsidRPr="00925FAB">
        <w:rPr>
          <w:rFonts w:ascii="Calibri" w:eastAsia="Times New Roman" w:hAnsi="Calibri" w:cs="Times New Roman"/>
          <w:color w:val="000000"/>
          <w:vertAlign w:val="subscript"/>
        </w:rPr>
        <w:t>05</w:t>
      </w:r>
      <w:r w:rsidR="00925FAB">
        <w:rPr>
          <w:rFonts w:ascii="Calibri" w:eastAsia="Times New Roman" w:hAnsi="Calibri" w:cs="Times New Roman"/>
          <w:color w:val="000000"/>
        </w:rPr>
        <w:t xml:space="preserve">. </w:t>
      </w:r>
      <w:r w:rsidR="001D0F7E" w:rsidRPr="001D0F7E">
        <w:rPr>
          <w:rFonts w:ascii="Calibri" w:eastAsia="Times New Roman" w:hAnsi="Calibri" w:cs="Times New Roman"/>
          <w:color w:val="000000"/>
        </w:rPr>
        <w:t>Therefore</w:t>
      </w:r>
      <w:r w:rsidR="001674C8" w:rsidRPr="001D0F7E">
        <w:rPr>
          <w:rFonts w:ascii="Calibri" w:eastAsia="Times New Roman" w:hAnsi="Calibri" w:cs="Times New Roman"/>
          <w:color w:val="000000"/>
        </w:rPr>
        <w:t xml:space="preserve">, the </w:t>
      </w:r>
      <w:r w:rsidR="001636BE" w:rsidRPr="001D0F7E">
        <w:rPr>
          <w:rFonts w:ascii="Calibri" w:eastAsia="Times New Roman" w:hAnsi="Calibri" w:cs="Times New Roman"/>
          <w:color w:val="000000"/>
        </w:rPr>
        <w:t>vegetative vigor and seedling emergence</w:t>
      </w:r>
      <w:r w:rsidR="001674C8" w:rsidRPr="001D0F7E">
        <w:rPr>
          <w:rFonts w:ascii="Calibri" w:eastAsia="Times New Roman" w:hAnsi="Calibri" w:cs="Times New Roman"/>
          <w:color w:val="000000"/>
        </w:rPr>
        <w:t xml:space="preserve"> distributions will be used separately. </w:t>
      </w:r>
    </w:p>
    <w:p w14:paraId="7A42359D" w14:textId="534B029E" w:rsidR="003C63C5" w:rsidRPr="00D411AA" w:rsidRDefault="003C63C5" w:rsidP="00FA0105">
      <w:pPr>
        <w:rPr>
          <w:rFonts w:ascii="Calibri" w:eastAsia="Times New Roman" w:hAnsi="Calibri" w:cs="Times New Roman"/>
          <w:b/>
          <w:color w:val="000000"/>
          <w:highlight w:val="green"/>
        </w:rPr>
      </w:pPr>
      <w:r>
        <w:rPr>
          <w:noProof/>
        </w:rPr>
        <w:lastRenderedPageBreak/>
        <w:drawing>
          <wp:inline distT="0" distB="0" distL="0" distR="0" wp14:anchorId="7FB044C1" wp14:editId="792C15FA">
            <wp:extent cx="6000750" cy="4086860"/>
            <wp:effectExtent l="0" t="0" r="0" b="889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959FA91-4352-4E50-8D06-F1EEB742C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44C6985" w14:textId="2D681BD1" w:rsidR="00A423AD" w:rsidRPr="008B3BE4" w:rsidRDefault="00A423AD" w:rsidP="00A423AD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1D0F7E">
        <w:rPr>
          <w:rFonts w:eastAsia="Times New Roman" w:cs="Times New Roman"/>
          <w:b/>
          <w:color w:val="000000"/>
        </w:rPr>
        <w:t xml:space="preserve">Figure 5.  </w:t>
      </w:r>
      <w:r w:rsidRPr="001D0F7E">
        <w:rPr>
          <w:rFonts w:ascii="Calibri" w:eastAsia="Times New Roman" w:hAnsi="Calibri" w:cs="Times New Roman"/>
          <w:b/>
          <w:color w:val="000000"/>
        </w:rPr>
        <w:t xml:space="preserve">SSDs for </w:t>
      </w:r>
      <w:r w:rsidR="001636BE" w:rsidRPr="001D0F7E">
        <w:rPr>
          <w:rFonts w:ascii="Calibri" w:eastAsia="Times New Roman" w:hAnsi="Calibri" w:cs="Times New Roman"/>
          <w:b/>
          <w:color w:val="000000"/>
        </w:rPr>
        <w:t xml:space="preserve">vegetative </w:t>
      </w:r>
      <w:proofErr w:type="spellStart"/>
      <w:r w:rsidR="001636BE" w:rsidRPr="001D0F7E">
        <w:rPr>
          <w:rFonts w:ascii="Calibri" w:eastAsia="Times New Roman" w:hAnsi="Calibri" w:cs="Times New Roman"/>
          <w:b/>
          <w:color w:val="000000"/>
        </w:rPr>
        <w:t>vibor</w:t>
      </w:r>
      <w:proofErr w:type="spellEnd"/>
      <w:r w:rsidRPr="001D0F7E">
        <w:rPr>
          <w:rFonts w:ascii="Calibri" w:eastAsia="Times New Roman" w:hAnsi="Calibri" w:cs="Times New Roman"/>
          <w:b/>
          <w:color w:val="000000"/>
        </w:rPr>
        <w:t xml:space="preserve"> </w:t>
      </w:r>
      <w:r w:rsidR="001636BE" w:rsidRPr="001D0F7E">
        <w:rPr>
          <w:rFonts w:ascii="Calibri" w:eastAsia="Times New Roman" w:hAnsi="Calibri" w:cs="Times New Roman"/>
          <w:b/>
          <w:color w:val="000000"/>
        </w:rPr>
        <w:t>I</w:t>
      </w:r>
      <w:r w:rsidRPr="001D0F7E">
        <w:rPr>
          <w:rFonts w:ascii="Calibri" w:eastAsia="Times New Roman" w:hAnsi="Calibri" w:cs="Times New Roman"/>
          <w:b/>
          <w:color w:val="000000"/>
        </w:rPr>
        <w:t>C</w:t>
      </w:r>
      <w:r w:rsidR="001636BE" w:rsidRPr="001D0F7E">
        <w:rPr>
          <w:rFonts w:ascii="Calibri" w:eastAsia="Times New Roman" w:hAnsi="Calibri" w:cs="Times New Roman"/>
          <w:b/>
          <w:color w:val="000000"/>
          <w:vertAlign w:val="subscript"/>
        </w:rPr>
        <w:t>25</w:t>
      </w:r>
      <w:r w:rsidRPr="001D0F7E">
        <w:rPr>
          <w:rFonts w:ascii="Calibri" w:eastAsia="Times New Roman" w:hAnsi="Calibri" w:cs="Times New Roman"/>
          <w:b/>
          <w:color w:val="000000"/>
        </w:rPr>
        <w:t>s (</w:t>
      </w:r>
      <w:r w:rsidR="001D0F7E" w:rsidRPr="001D0F7E">
        <w:rPr>
          <w:rFonts w:ascii="Calibri" w:eastAsia="Times New Roman" w:hAnsi="Calibri" w:cs="Times New Roman"/>
          <w:b/>
          <w:color w:val="000000"/>
        </w:rPr>
        <w:t>Gumbe</w:t>
      </w:r>
      <w:r w:rsidR="001636BE" w:rsidRPr="001D0F7E">
        <w:rPr>
          <w:rFonts w:ascii="Calibri" w:eastAsia="Times New Roman" w:hAnsi="Calibri" w:cs="Times New Roman"/>
          <w:b/>
          <w:color w:val="000000"/>
        </w:rPr>
        <w:t>l</w:t>
      </w:r>
      <w:r w:rsidRPr="001D0F7E">
        <w:rPr>
          <w:rFonts w:ascii="Calibri" w:eastAsia="Times New Roman" w:hAnsi="Calibri" w:cs="Times New Roman"/>
          <w:b/>
          <w:color w:val="000000"/>
        </w:rPr>
        <w:t xml:space="preserve">) and </w:t>
      </w:r>
      <w:r w:rsidR="001636BE" w:rsidRPr="001D0F7E">
        <w:rPr>
          <w:rFonts w:ascii="Calibri" w:eastAsia="Times New Roman" w:hAnsi="Calibri" w:cs="Times New Roman"/>
          <w:b/>
          <w:color w:val="000000"/>
        </w:rPr>
        <w:t>seedling emergence</w:t>
      </w:r>
      <w:r w:rsidRPr="001D0F7E">
        <w:rPr>
          <w:rFonts w:ascii="Calibri" w:eastAsia="Times New Roman" w:hAnsi="Calibri" w:cs="Times New Roman"/>
          <w:b/>
          <w:color w:val="000000"/>
        </w:rPr>
        <w:t xml:space="preserve"> </w:t>
      </w:r>
      <w:r w:rsidR="001636BE" w:rsidRPr="001D0F7E">
        <w:rPr>
          <w:rFonts w:ascii="Calibri" w:eastAsia="Times New Roman" w:hAnsi="Calibri" w:cs="Times New Roman"/>
          <w:b/>
          <w:color w:val="000000"/>
        </w:rPr>
        <w:t>I</w:t>
      </w:r>
      <w:r w:rsidRPr="001D0F7E">
        <w:rPr>
          <w:rFonts w:ascii="Calibri" w:eastAsia="Times New Roman" w:hAnsi="Calibri" w:cs="Times New Roman"/>
          <w:b/>
          <w:color w:val="000000"/>
        </w:rPr>
        <w:t>C</w:t>
      </w:r>
      <w:r w:rsidR="001636BE" w:rsidRPr="001D0F7E">
        <w:rPr>
          <w:rFonts w:ascii="Calibri" w:eastAsia="Times New Roman" w:hAnsi="Calibri" w:cs="Times New Roman"/>
          <w:b/>
          <w:color w:val="000000"/>
          <w:vertAlign w:val="subscript"/>
        </w:rPr>
        <w:t>25</w:t>
      </w:r>
      <w:r w:rsidRPr="001D0F7E">
        <w:rPr>
          <w:rFonts w:ascii="Calibri" w:eastAsia="Times New Roman" w:hAnsi="Calibri" w:cs="Times New Roman"/>
          <w:b/>
          <w:color w:val="000000"/>
        </w:rPr>
        <w:t>s (</w:t>
      </w:r>
      <w:r w:rsidR="001D0F7E" w:rsidRPr="001D0F7E">
        <w:rPr>
          <w:rFonts w:ascii="Calibri" w:eastAsia="Times New Roman" w:hAnsi="Calibri" w:cs="Times New Roman"/>
          <w:b/>
          <w:color w:val="000000"/>
        </w:rPr>
        <w:t>triangular</w:t>
      </w:r>
      <w:r w:rsidRPr="001D0F7E">
        <w:rPr>
          <w:rFonts w:ascii="Calibri" w:eastAsia="Times New Roman" w:hAnsi="Calibri" w:cs="Times New Roman"/>
          <w:b/>
          <w:color w:val="000000"/>
        </w:rPr>
        <w:t xml:space="preserve">) for </w:t>
      </w:r>
      <w:r w:rsidR="00D03F30" w:rsidRPr="001D0F7E">
        <w:rPr>
          <w:rFonts w:ascii="Calibri" w:eastAsia="Times New Roman" w:hAnsi="Calibri" w:cs="Times New Roman"/>
          <w:b/>
          <w:color w:val="000000"/>
        </w:rPr>
        <w:t>propazine</w:t>
      </w:r>
      <w:r w:rsidRPr="001D0F7E">
        <w:rPr>
          <w:rFonts w:ascii="Calibri" w:eastAsia="Times New Roman" w:hAnsi="Calibri" w:cs="Times New Roman"/>
          <w:color w:val="000000"/>
        </w:rPr>
        <w:t xml:space="preserve">. Blue lines show the distribution and upper and lower confidence interval for </w:t>
      </w:r>
      <w:r w:rsidR="001636BE" w:rsidRPr="001D0F7E">
        <w:rPr>
          <w:rFonts w:ascii="Calibri" w:eastAsia="Times New Roman" w:hAnsi="Calibri" w:cs="Times New Roman"/>
          <w:color w:val="000000"/>
        </w:rPr>
        <w:t>species from vegetative vigor st</w:t>
      </w:r>
      <w:r w:rsidR="001636BE">
        <w:rPr>
          <w:rFonts w:ascii="Calibri" w:eastAsia="Times New Roman" w:hAnsi="Calibri" w:cs="Times New Roman"/>
          <w:color w:val="000000"/>
        </w:rPr>
        <w:t>udies</w:t>
      </w:r>
      <w:r w:rsidRPr="008B3BE4">
        <w:rPr>
          <w:rFonts w:ascii="Calibri" w:eastAsia="Times New Roman" w:hAnsi="Calibri" w:cs="Times New Roman"/>
          <w:color w:val="000000"/>
        </w:rPr>
        <w:t xml:space="preserve">.  Red lines show the distribution and upper and lower confidence interval for </w:t>
      </w:r>
      <w:r w:rsidR="001636BE">
        <w:rPr>
          <w:rFonts w:ascii="Calibri" w:eastAsia="Times New Roman" w:hAnsi="Calibri" w:cs="Times New Roman"/>
          <w:color w:val="000000"/>
        </w:rPr>
        <w:t>species from seedling emergence studies</w:t>
      </w:r>
      <w:r w:rsidRPr="008B3BE4">
        <w:rPr>
          <w:rFonts w:ascii="Calibri" w:eastAsia="Times New Roman" w:hAnsi="Calibri" w:cs="Times New Roman"/>
          <w:color w:val="000000"/>
        </w:rPr>
        <w:t xml:space="preserve">. </w:t>
      </w:r>
    </w:p>
    <w:p w14:paraId="4BA64752" w14:textId="77777777" w:rsidR="00A423AD" w:rsidRPr="008B3BE4" w:rsidRDefault="00A423AD" w:rsidP="00FA0105">
      <w:pPr>
        <w:rPr>
          <w:rFonts w:ascii="Calibri" w:eastAsia="Times New Roman" w:hAnsi="Calibri" w:cs="Times New Roman"/>
          <w:b/>
          <w:color w:val="000000"/>
        </w:rPr>
      </w:pPr>
    </w:p>
    <w:p w14:paraId="6641348F" w14:textId="7EC04A26" w:rsidR="009B7083" w:rsidRPr="008B3BE4" w:rsidRDefault="009B7083" w:rsidP="00F5765F">
      <w:pPr>
        <w:pStyle w:val="BEheader"/>
      </w:pPr>
      <w:r w:rsidRPr="008B3BE4">
        <w:t>Calculation of other quantiles</w:t>
      </w:r>
    </w:p>
    <w:p w14:paraId="6E8A3AD9" w14:textId="77777777" w:rsidR="00917B7A" w:rsidRPr="008B3BE4" w:rsidRDefault="00917B7A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48007C0F" w14:textId="221DB4AF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b/>
          <w:color w:val="000000"/>
        </w:rPr>
        <w:t>Table</w:t>
      </w:r>
      <w:r w:rsidR="000348FD" w:rsidRPr="008B3BE4">
        <w:rPr>
          <w:rFonts w:eastAsia="Times New Roman" w:cs="Times New Roman"/>
          <w:b/>
          <w:color w:val="000000"/>
        </w:rPr>
        <w:t>s</w:t>
      </w:r>
      <w:r w:rsidRPr="008B3BE4">
        <w:rPr>
          <w:rFonts w:eastAsia="Times New Roman" w:cs="Times New Roman"/>
          <w:b/>
          <w:color w:val="000000"/>
        </w:rPr>
        <w:t xml:space="preserve"> </w:t>
      </w:r>
      <w:r w:rsidR="00FC4F76">
        <w:rPr>
          <w:rFonts w:eastAsia="Times New Roman" w:cs="Times New Roman"/>
          <w:b/>
          <w:color w:val="000000"/>
        </w:rPr>
        <w:t>8</w:t>
      </w:r>
      <w:r w:rsidR="000348FD" w:rsidRPr="008B3BE4">
        <w:rPr>
          <w:rFonts w:eastAsia="Times New Roman" w:cs="Times New Roman"/>
          <w:b/>
          <w:color w:val="000000"/>
        </w:rPr>
        <w:t xml:space="preserve"> - 11</w:t>
      </w:r>
      <w:r w:rsidR="00170250" w:rsidRPr="008B3BE4">
        <w:rPr>
          <w:rFonts w:eastAsia="Times New Roman" w:cs="Times New Roman"/>
          <w:b/>
          <w:color w:val="000000"/>
        </w:rPr>
        <w:t xml:space="preserve"> </w:t>
      </w:r>
      <w:r w:rsidRPr="008B3BE4">
        <w:rPr>
          <w:rFonts w:eastAsia="Times New Roman" w:cs="Times New Roman"/>
          <w:color w:val="000000"/>
        </w:rPr>
        <w:t>provide</w:t>
      </w:r>
      <w:r w:rsidR="00170250" w:rsidRPr="008B3BE4">
        <w:rPr>
          <w:rFonts w:eastAsia="Times New Roman" w:cs="Times New Roman"/>
          <w:color w:val="000000"/>
        </w:rPr>
        <w:t>s</w:t>
      </w:r>
      <w:r w:rsidRPr="008B3BE4">
        <w:rPr>
          <w:rFonts w:eastAsia="Times New Roman" w:cs="Times New Roman"/>
          <w:color w:val="000000"/>
        </w:rPr>
        <w:t xml:space="preserve"> estimates of the HC</w:t>
      </w:r>
      <w:r w:rsidRPr="008B3BE4">
        <w:rPr>
          <w:rFonts w:eastAsia="Times New Roman" w:cs="Times New Roman"/>
          <w:color w:val="000000"/>
          <w:vertAlign w:val="subscript"/>
        </w:rPr>
        <w:t>05</w:t>
      </w:r>
      <w:r w:rsidRPr="008B3BE4">
        <w:rPr>
          <w:rFonts w:eastAsia="Times New Roman" w:cs="Times New Roman"/>
          <w:color w:val="000000"/>
        </w:rPr>
        <w:t xml:space="preserve"> as well as other quantiles of the fitted SSDs.</w:t>
      </w:r>
    </w:p>
    <w:p w14:paraId="1781BF2D" w14:textId="731A260A" w:rsidR="00E6781C" w:rsidRPr="008B3BE4" w:rsidRDefault="00E6781C">
      <w:pPr>
        <w:rPr>
          <w:rFonts w:eastAsia="Times New Roman" w:cs="Times New Roman"/>
          <w:b/>
          <w:color w:val="000000"/>
        </w:rPr>
      </w:pPr>
    </w:p>
    <w:p w14:paraId="678FD7AB" w14:textId="426EF335" w:rsidR="009B7083" w:rsidRPr="00E82B26" w:rsidRDefault="009B7083" w:rsidP="00D03F30">
      <w:pPr>
        <w:keepNext/>
        <w:keepLines/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lastRenderedPageBreak/>
        <w:t xml:space="preserve">Table </w:t>
      </w:r>
      <w:r w:rsidR="00FC4F76">
        <w:rPr>
          <w:rFonts w:eastAsia="Times New Roman" w:cs="Times New Roman"/>
          <w:b/>
          <w:color w:val="000000"/>
        </w:rPr>
        <w:t>8</w:t>
      </w:r>
      <w:r w:rsidRPr="008B3BE4">
        <w:rPr>
          <w:rFonts w:eastAsia="Times New Roman" w:cs="Times New Roman"/>
          <w:b/>
          <w:color w:val="000000"/>
        </w:rPr>
        <w:t xml:space="preserve">.  Estimated quantiles of the fitted SSDs for </w:t>
      </w:r>
      <w:r w:rsidR="00D03F30">
        <w:rPr>
          <w:rFonts w:eastAsia="Times New Roman" w:cs="Times New Roman"/>
          <w:b/>
          <w:color w:val="000000"/>
        </w:rPr>
        <w:t>propazine</w:t>
      </w:r>
      <w:r w:rsidRPr="008B3BE4">
        <w:rPr>
          <w:rFonts w:eastAsia="Times New Roman" w:cs="Times New Roman"/>
          <w:b/>
          <w:color w:val="000000"/>
        </w:rPr>
        <w:t xml:space="preserve"> </w:t>
      </w:r>
      <w:r w:rsidR="00401C2B">
        <w:rPr>
          <w:rFonts w:eastAsia="Times New Roman" w:cs="Times New Roman"/>
          <w:b/>
          <w:color w:val="000000"/>
        </w:rPr>
        <w:t>I</w:t>
      </w:r>
      <w:r w:rsidRPr="008B3BE4">
        <w:rPr>
          <w:rFonts w:eastAsia="Times New Roman" w:cs="Times New Roman"/>
          <w:b/>
          <w:color w:val="000000"/>
        </w:rPr>
        <w:t>C</w:t>
      </w:r>
      <w:r w:rsidR="00401C2B">
        <w:rPr>
          <w:rFonts w:eastAsia="Times New Roman" w:cs="Times New Roman"/>
          <w:b/>
          <w:color w:val="000000"/>
          <w:vertAlign w:val="subscript"/>
        </w:rPr>
        <w:t>25</w:t>
      </w:r>
      <w:r w:rsidRPr="008B3BE4">
        <w:rPr>
          <w:rFonts w:eastAsia="Times New Roman" w:cs="Times New Roman"/>
          <w:b/>
          <w:color w:val="000000"/>
        </w:rPr>
        <w:t xml:space="preserve">s for </w:t>
      </w:r>
      <w:r w:rsidR="00401C2B">
        <w:rPr>
          <w:rFonts w:eastAsia="Times New Roman" w:cs="Times New Roman"/>
          <w:b/>
          <w:color w:val="000000"/>
        </w:rPr>
        <w:t>terrestrial</w:t>
      </w:r>
      <w:r w:rsidRPr="008B3BE4">
        <w:rPr>
          <w:rFonts w:eastAsia="Times New Roman" w:cs="Times New Roman"/>
          <w:b/>
          <w:color w:val="000000"/>
        </w:rPr>
        <w:t xml:space="preserve"> </w:t>
      </w:r>
      <w:r w:rsidR="00170250" w:rsidRPr="008B3BE4">
        <w:rPr>
          <w:rFonts w:eastAsia="Times New Roman" w:cs="Times New Roman"/>
          <w:b/>
          <w:color w:val="000000"/>
        </w:rPr>
        <w:t>plants</w:t>
      </w:r>
      <w:r w:rsidR="00401C2B">
        <w:rPr>
          <w:rFonts w:eastAsia="Times New Roman" w:cs="Times New Roman"/>
          <w:b/>
          <w:color w:val="000000"/>
        </w:rPr>
        <w:t xml:space="preserve"> at the </w:t>
      </w:r>
      <w:r w:rsidR="00401C2B" w:rsidRPr="0015420A">
        <w:rPr>
          <w:rFonts w:eastAsia="Times New Roman" w:cs="Times New Roman"/>
          <w:b/>
          <w:color w:val="000000"/>
        </w:rPr>
        <w:t>vegetative vigor life stage</w:t>
      </w:r>
      <w:r w:rsidR="00EB7275" w:rsidRPr="00E82B26">
        <w:rPr>
          <w:rFonts w:eastAsia="Times New Roman" w:cs="Times New Roman"/>
          <w:b/>
          <w:color w:val="000000"/>
        </w:rPr>
        <w:t>.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1164"/>
        <w:gridCol w:w="1053"/>
        <w:gridCol w:w="1053"/>
        <w:gridCol w:w="1047"/>
        <w:gridCol w:w="843"/>
      </w:tblGrid>
      <w:tr w:rsidR="007F07DF" w:rsidRPr="00275339" w14:paraId="3B84E503" w14:textId="136B6A7C" w:rsidTr="00E82B26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14:paraId="60F03748" w14:textId="77777777" w:rsidR="007F07DF" w:rsidRPr="00275339" w:rsidRDefault="007F07DF" w:rsidP="007F07DF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5339">
              <w:rPr>
                <w:rFonts w:ascii="Calibri" w:eastAsia="Times New Roman" w:hAnsi="Calibri" w:cs="Calibri"/>
                <w:b/>
                <w:bCs/>
                <w:color w:val="00000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7A85B1E0" w14:textId="77777777" w:rsidR="007F07DF" w:rsidRPr="00275339" w:rsidRDefault="007F07DF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5339">
              <w:rPr>
                <w:rFonts w:ascii="Calibri" w:eastAsia="Times New Roman" w:hAnsi="Calibri" w:cs="Calibri"/>
                <w:b/>
                <w:bCs/>
                <w:color w:val="000000"/>
              </w:rPr>
              <w:t>Method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bottom"/>
            <w:hideMark/>
          </w:tcPr>
          <w:p w14:paraId="7605CDB7" w14:textId="1D0758BA" w:rsidR="007F07DF" w:rsidRPr="00275339" w:rsidRDefault="007F07DF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05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bottom"/>
            <w:hideMark/>
          </w:tcPr>
          <w:p w14:paraId="57B1E2AF" w14:textId="5EBBAD1F" w:rsidR="007F07DF" w:rsidRPr="00275339" w:rsidRDefault="007F07DF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10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bottom"/>
            <w:hideMark/>
          </w:tcPr>
          <w:p w14:paraId="5E52417E" w14:textId="10CEDBC7" w:rsidR="007F07DF" w:rsidRPr="00275339" w:rsidRDefault="007F07DF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50</w:t>
            </w:r>
          </w:p>
        </w:tc>
        <w:tc>
          <w:tcPr>
            <w:tcW w:w="1047" w:type="dxa"/>
            <w:shd w:val="clear" w:color="auto" w:fill="D9D9D9" w:themeFill="background1" w:themeFillShade="D9"/>
            <w:noWrap/>
            <w:vAlign w:val="bottom"/>
            <w:hideMark/>
          </w:tcPr>
          <w:p w14:paraId="14A76A86" w14:textId="1A6AA49C" w:rsidR="007F07DF" w:rsidRPr="00275339" w:rsidRDefault="007F07DF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90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1AE0CAC0" w14:textId="280E3ECE" w:rsidR="007F07DF" w:rsidRPr="00275339" w:rsidRDefault="007F07DF" w:rsidP="007F07D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95</w:t>
            </w:r>
          </w:p>
        </w:tc>
      </w:tr>
      <w:tr w:rsidR="00B475CE" w:rsidRPr="0015420A" w14:paraId="1738E733" w14:textId="77777777" w:rsidTr="00E82B26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</w:tcPr>
          <w:p w14:paraId="63144D09" w14:textId="63C94325" w:rsidR="00B475CE" w:rsidRPr="0015420A" w:rsidRDefault="00867CFF" w:rsidP="00D03F3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20A">
              <w:t>W</w:t>
            </w:r>
            <w:r w:rsidR="00B475CE" w:rsidRPr="0015420A">
              <w:t>eibull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CDC33FA" w14:textId="2EB33DCF" w:rsidR="00B475CE" w:rsidRPr="0015420A" w:rsidRDefault="00B475CE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t>ML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6C2D244" w14:textId="55038F3C" w:rsidR="00B475CE" w:rsidRPr="0015420A" w:rsidRDefault="00B475CE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5420A">
              <w:t>0.009</w:t>
            </w:r>
            <w:r w:rsidR="0015420A">
              <w:t>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B094961" w14:textId="049ADCC6" w:rsidR="00B475CE" w:rsidRPr="0015420A" w:rsidRDefault="00B475CE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5420A">
              <w:rPr>
                <w:rFonts w:ascii="Calibri" w:hAnsi="Calibri" w:cs="Calibri"/>
                <w:color w:val="000000"/>
              </w:rPr>
              <w:t>0.</w:t>
            </w:r>
            <w:r w:rsidR="00D03F30" w:rsidRPr="0015420A">
              <w:rPr>
                <w:rFonts w:ascii="Calibri" w:hAnsi="Calibri" w:cs="Calibri"/>
                <w:color w:val="000000"/>
              </w:rPr>
              <w:t>022</w:t>
            </w:r>
            <w:r w:rsidR="0015420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E50DD6F" w14:textId="20BE7408" w:rsidR="00B475CE" w:rsidRPr="0015420A" w:rsidRDefault="00D03F30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5420A">
              <w:rPr>
                <w:rFonts w:ascii="Calibri" w:hAnsi="Calibri" w:cs="Calibri"/>
                <w:color w:val="000000"/>
              </w:rPr>
              <w:t>0.</w:t>
            </w:r>
            <w:r w:rsidR="0015420A" w:rsidRPr="0015420A">
              <w:rPr>
                <w:rFonts w:ascii="Calibri" w:hAnsi="Calibri" w:cs="Calibri"/>
                <w:color w:val="000000"/>
              </w:rPr>
              <w:t>22</w:t>
            </w:r>
            <w:r w:rsidR="0015420A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4BEB4E" w14:textId="6C3A94D1" w:rsidR="00B475CE" w:rsidRPr="0015420A" w:rsidRDefault="00D03F30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5420A">
              <w:rPr>
                <w:rFonts w:ascii="Calibri" w:hAnsi="Calibri" w:cs="Calibri"/>
                <w:color w:val="000000"/>
              </w:rPr>
              <w:t>0.973</w:t>
            </w:r>
            <w:r w:rsidR="0015420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14:paraId="0E8ECC1B" w14:textId="5EDA87DB" w:rsidR="00B475CE" w:rsidRPr="0015420A" w:rsidRDefault="00D03F30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5420A">
              <w:rPr>
                <w:rFonts w:ascii="Calibri" w:hAnsi="Calibri" w:cs="Calibri"/>
                <w:color w:val="000000"/>
              </w:rPr>
              <w:t>1.</w:t>
            </w:r>
            <w:r w:rsidR="0015420A" w:rsidRPr="0015420A">
              <w:rPr>
                <w:rFonts w:ascii="Calibri" w:hAnsi="Calibri" w:cs="Calibri"/>
                <w:color w:val="000000"/>
              </w:rPr>
              <w:t>34</w:t>
            </w:r>
            <w:r w:rsidR="0015420A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5420A" w:rsidRPr="00E82B26" w14:paraId="2AB61632" w14:textId="77777777" w:rsidTr="00E82B26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</w:tcPr>
          <w:p w14:paraId="5C01404A" w14:textId="43ECA21C" w:rsidR="0015420A" w:rsidRPr="0015420A" w:rsidRDefault="0015420A" w:rsidP="00D03F30">
            <w:pPr>
              <w:keepNext/>
              <w:keepLines/>
              <w:spacing w:after="0" w:line="240" w:lineRule="auto"/>
            </w:pPr>
            <w:r>
              <w:t>Weibull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0C2ED9" w14:textId="605FFC42" w:rsidR="0015420A" w:rsidRPr="0015420A" w:rsidRDefault="0015420A" w:rsidP="00867CFF">
            <w:pPr>
              <w:keepNext/>
              <w:keepLines/>
              <w:spacing w:after="0" w:line="240" w:lineRule="auto"/>
              <w:jc w:val="center"/>
            </w:pPr>
            <w:r>
              <w:t>GR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96E1E1C" w14:textId="04BBDFFE" w:rsidR="0015420A" w:rsidRPr="0015420A" w:rsidRDefault="0015420A" w:rsidP="00867CFF">
            <w:pPr>
              <w:keepNext/>
              <w:keepLines/>
              <w:spacing w:after="0" w:line="240" w:lineRule="auto"/>
              <w:jc w:val="center"/>
            </w:pPr>
            <w:r>
              <w:t>0.0215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0860BDD" w14:textId="0A187A57" w:rsidR="0015420A" w:rsidRPr="0015420A" w:rsidRDefault="0015420A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0.0413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181E224" w14:textId="5F8CE3A7" w:rsidR="0015420A" w:rsidRPr="0015420A" w:rsidRDefault="0015420A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0.2268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CD7C83" w14:textId="5ACCE00A" w:rsidR="0015420A" w:rsidRPr="0015420A" w:rsidRDefault="0015420A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0.6715</w:t>
            </w:r>
          </w:p>
        </w:tc>
        <w:tc>
          <w:tcPr>
            <w:tcW w:w="843" w:type="dxa"/>
            <w:vAlign w:val="center"/>
          </w:tcPr>
          <w:p w14:paraId="4C2E63C3" w14:textId="687CE59D" w:rsidR="0015420A" w:rsidRPr="0015420A" w:rsidRDefault="0015420A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0.8520</w:t>
            </w:r>
          </w:p>
        </w:tc>
      </w:tr>
      <w:tr w:rsidR="00E55332" w:rsidRPr="0015420A" w14:paraId="30584883" w14:textId="3920D0D4" w:rsidTr="00E82B2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527F20" w14:textId="77777777" w:rsidR="00E55332" w:rsidRPr="0015420A" w:rsidRDefault="00E55332" w:rsidP="00D03F3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3E311" w14:textId="77777777" w:rsidR="00E55332" w:rsidRPr="0015420A" w:rsidRDefault="00E55332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08AC125" w14:textId="145F9C72" w:rsidR="00E55332" w:rsidRPr="0015420A" w:rsidRDefault="00E55332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hAnsi="Calibri" w:cs="Calibri"/>
                <w:color w:val="000000"/>
              </w:rPr>
              <w:t>0.0</w:t>
            </w:r>
            <w:r w:rsidR="00D03F30" w:rsidRPr="0015420A">
              <w:rPr>
                <w:rFonts w:ascii="Calibri" w:hAnsi="Calibri" w:cs="Calibri"/>
                <w:color w:val="000000"/>
              </w:rPr>
              <w:t>38</w:t>
            </w:r>
            <w:r w:rsidR="00E82B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620643C" w14:textId="330188E6" w:rsidR="00E55332" w:rsidRPr="0015420A" w:rsidRDefault="00D03F30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hAnsi="Calibri" w:cs="Calibri"/>
                <w:color w:val="000000"/>
              </w:rPr>
              <w:t>0.055</w:t>
            </w:r>
            <w:r w:rsidR="00E82B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3B229B1" w14:textId="5CED9DF8" w:rsidR="00E55332" w:rsidRPr="0015420A" w:rsidRDefault="00E55332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hAnsi="Calibri" w:cs="Calibri"/>
                <w:color w:val="000000"/>
              </w:rPr>
              <w:t>0.</w:t>
            </w:r>
            <w:r w:rsidR="00D03F30" w:rsidRPr="0015420A">
              <w:rPr>
                <w:rFonts w:ascii="Calibri" w:hAnsi="Calibri" w:cs="Calibri"/>
                <w:color w:val="000000"/>
              </w:rPr>
              <w:t>201</w:t>
            </w:r>
            <w:r w:rsidR="00E82B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4F62140" w14:textId="47B7E454" w:rsidR="00E55332" w:rsidRPr="0015420A" w:rsidRDefault="00D03F30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hAnsi="Calibri" w:cs="Calibri"/>
                <w:color w:val="000000"/>
              </w:rPr>
              <w:t>0.</w:t>
            </w:r>
            <w:r w:rsidR="00E82B26" w:rsidRPr="0015420A">
              <w:rPr>
                <w:rFonts w:ascii="Calibri" w:hAnsi="Calibri" w:cs="Calibri"/>
                <w:color w:val="000000"/>
              </w:rPr>
              <w:t>7</w:t>
            </w:r>
            <w:r w:rsidR="00E82B26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843" w:type="dxa"/>
            <w:vAlign w:val="center"/>
          </w:tcPr>
          <w:p w14:paraId="3AF81634" w14:textId="74BF4912" w:rsidR="00E55332" w:rsidRPr="0015420A" w:rsidRDefault="00D03F30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5420A">
              <w:rPr>
                <w:rFonts w:ascii="Calibri" w:hAnsi="Calibri" w:cs="Calibri"/>
                <w:color w:val="000000"/>
              </w:rPr>
              <w:t>1.</w:t>
            </w:r>
            <w:r w:rsidR="00E82B26" w:rsidRPr="0015420A">
              <w:rPr>
                <w:rFonts w:ascii="Calibri" w:hAnsi="Calibri" w:cs="Calibri"/>
                <w:color w:val="000000"/>
              </w:rPr>
              <w:t>0</w:t>
            </w:r>
            <w:r w:rsidR="00E82B26">
              <w:rPr>
                <w:rFonts w:ascii="Calibri" w:hAnsi="Calibri" w:cs="Calibri"/>
                <w:color w:val="000000"/>
              </w:rPr>
              <w:t>599</w:t>
            </w:r>
          </w:p>
        </w:tc>
      </w:tr>
      <w:tr w:rsidR="00E82B26" w:rsidRPr="0015420A" w14:paraId="0BBF4A6E" w14:textId="77777777" w:rsidTr="00275339">
        <w:trPr>
          <w:trHeight w:val="290"/>
        </w:trPr>
        <w:tc>
          <w:tcPr>
            <w:tcW w:w="1308" w:type="dxa"/>
            <w:shd w:val="clear" w:color="auto" w:fill="auto"/>
            <w:noWrap/>
          </w:tcPr>
          <w:p w14:paraId="250FFCFC" w14:textId="6C124F99" w:rsidR="00E82B26" w:rsidRPr="0015420A" w:rsidRDefault="00E82B26" w:rsidP="00E82B2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F1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169123B" w14:textId="780B5580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6ED5499" w14:textId="3F17F7CA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9D35277" w14:textId="62EF92B8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0.0517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B0F73BF" w14:textId="2E8F0C3B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AD86265" w14:textId="57B178E8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0.7821</w:t>
            </w:r>
          </w:p>
        </w:tc>
        <w:tc>
          <w:tcPr>
            <w:tcW w:w="843" w:type="dxa"/>
            <w:vAlign w:val="center"/>
          </w:tcPr>
          <w:p w14:paraId="7A4387D7" w14:textId="259377F5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1.1495</w:t>
            </w:r>
          </w:p>
        </w:tc>
      </w:tr>
      <w:tr w:rsidR="00E82B26" w:rsidRPr="0015420A" w14:paraId="3F165E23" w14:textId="77777777" w:rsidTr="00275339">
        <w:trPr>
          <w:trHeight w:val="290"/>
        </w:trPr>
        <w:tc>
          <w:tcPr>
            <w:tcW w:w="1308" w:type="dxa"/>
            <w:shd w:val="clear" w:color="auto" w:fill="auto"/>
            <w:noWrap/>
          </w:tcPr>
          <w:p w14:paraId="50D218FD" w14:textId="1584A31C" w:rsidR="00E82B26" w:rsidRPr="0015420A" w:rsidRDefault="00E82B26" w:rsidP="00E82B2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F1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1573F5" w14:textId="65DC0BBB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D0E53DE" w14:textId="5C78F4C0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9B471FF" w14:textId="12760E18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0.0459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A861157" w14:textId="653C589E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53F7F1" w14:textId="20BAA694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0.8813</w:t>
            </w:r>
          </w:p>
        </w:tc>
        <w:tc>
          <w:tcPr>
            <w:tcW w:w="843" w:type="dxa"/>
            <w:vAlign w:val="center"/>
          </w:tcPr>
          <w:p w14:paraId="345BC160" w14:textId="7FA15336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1.3398</w:t>
            </w:r>
          </w:p>
        </w:tc>
      </w:tr>
      <w:tr w:rsidR="00BC669F" w:rsidRPr="0015420A" w14:paraId="0C294FB2" w14:textId="33D2AB87" w:rsidTr="00E82B2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BCC1C36" w14:textId="77777777" w:rsidR="00BC669F" w:rsidRPr="0015420A" w:rsidRDefault="00BC669F" w:rsidP="00BC669F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321A8" w14:textId="77777777" w:rsidR="00BC669F" w:rsidRPr="0015420A" w:rsidRDefault="00BC669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60EDC02" w14:textId="1835EE96" w:rsidR="00BC669F" w:rsidRPr="0015420A" w:rsidRDefault="00BC669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0.03</w:t>
            </w:r>
            <w:r w:rsidR="00275339">
              <w:rPr>
                <w:rFonts w:ascii="Calibri" w:eastAsia="Times New Roman" w:hAnsi="Calibri" w:cs="Calibri"/>
                <w:color w:val="000000"/>
              </w:rPr>
              <w:t>7</w:t>
            </w:r>
            <w:r w:rsidRPr="0015420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31B187C" w14:textId="3E463AAB" w:rsidR="00BC669F" w:rsidRPr="0015420A" w:rsidRDefault="00BC669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t>0.</w:t>
            </w:r>
            <w:r w:rsidR="00275339" w:rsidRPr="0015420A">
              <w:t>0</w:t>
            </w:r>
            <w:r w:rsidR="00275339">
              <w:t>557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1872C23" w14:textId="2745981A" w:rsidR="00BC669F" w:rsidRPr="0015420A" w:rsidRDefault="00BC669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0.</w:t>
            </w:r>
            <w:r w:rsidR="00275339" w:rsidRPr="0015420A">
              <w:rPr>
                <w:rFonts w:ascii="Calibri" w:eastAsia="Times New Roman" w:hAnsi="Calibri" w:cs="Calibri"/>
                <w:color w:val="000000"/>
              </w:rPr>
              <w:t>17</w:t>
            </w:r>
            <w:r w:rsidR="0027533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9B4DB16" w14:textId="33E8D917" w:rsidR="00BC669F" w:rsidRPr="0015420A" w:rsidRDefault="00BC669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0.</w:t>
            </w:r>
            <w:r w:rsidR="00275339" w:rsidRPr="0015420A">
              <w:rPr>
                <w:rFonts w:ascii="Calibri" w:eastAsia="Times New Roman" w:hAnsi="Calibri" w:cs="Calibri"/>
                <w:color w:val="000000"/>
              </w:rPr>
              <w:t>54</w:t>
            </w:r>
            <w:r w:rsidR="0027533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43" w:type="dxa"/>
            <w:vAlign w:val="center"/>
          </w:tcPr>
          <w:p w14:paraId="340B3BFA" w14:textId="4E3ABBDF" w:rsidR="00BC669F" w:rsidRPr="0015420A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5420A">
              <w:rPr>
                <w:rFonts w:ascii="Calibri" w:hAnsi="Calibri" w:cs="Calibri"/>
                <w:color w:val="000000"/>
              </w:rPr>
              <w:t>0.803</w:t>
            </w:r>
            <w:r w:rsidR="002F50D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82B26" w:rsidRPr="0015420A" w14:paraId="7556BF12" w14:textId="77777777" w:rsidTr="00E82B2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</w:tcPr>
          <w:p w14:paraId="6DD38E95" w14:textId="3812BD28" w:rsidR="00E82B26" w:rsidRPr="0015420A" w:rsidRDefault="00E82B26" w:rsidP="00E82B2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811EB14" w14:textId="360C8358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2744F56" w14:textId="08E5B483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0.0360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3144D64" w14:textId="7CE0D9F0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</w:pPr>
            <w:r>
              <w:t>0.0557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CE9C32F" w14:textId="6EF670AE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0.2011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F18AFB" w14:textId="7437A946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0.7261</w:t>
            </w:r>
          </w:p>
        </w:tc>
        <w:tc>
          <w:tcPr>
            <w:tcW w:w="843" w:type="dxa"/>
            <w:vAlign w:val="center"/>
          </w:tcPr>
          <w:p w14:paraId="136DC622" w14:textId="2AE70EC6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1.1236</w:t>
            </w:r>
          </w:p>
        </w:tc>
      </w:tr>
      <w:tr w:rsidR="00E82B26" w:rsidRPr="0015420A" w14:paraId="01B99431" w14:textId="77777777" w:rsidTr="00E82B2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</w:tcPr>
          <w:p w14:paraId="63BD0756" w14:textId="41EF686B" w:rsidR="00E82B26" w:rsidRPr="0015420A" w:rsidRDefault="00E82B26" w:rsidP="00E82B2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CF6048" w14:textId="19178E74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AD9587" w14:textId="467B6A04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0.0267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14E410C" w14:textId="56EE4477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</w:pPr>
            <w:r>
              <w:t>0.0446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2223D81" w14:textId="7B5C7C20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0.2011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69E5708" w14:textId="479C1BB2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0.9067</w:t>
            </w:r>
          </w:p>
        </w:tc>
        <w:tc>
          <w:tcPr>
            <w:tcW w:w="843" w:type="dxa"/>
            <w:vAlign w:val="center"/>
          </w:tcPr>
          <w:p w14:paraId="037D873B" w14:textId="5B88551C" w:rsidR="00E82B26" w:rsidRPr="0015420A" w:rsidRDefault="00275339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1.5132</w:t>
            </w:r>
          </w:p>
        </w:tc>
      </w:tr>
      <w:tr w:rsidR="00E55332" w:rsidRPr="00275339" w14:paraId="7E640FFC" w14:textId="79F31EA5" w:rsidTr="00E82B2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66B1D5" w14:textId="77777777" w:rsidR="00E55332" w:rsidRPr="0015420A" w:rsidRDefault="00E55332" w:rsidP="00D03F3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11538" w14:textId="77777777" w:rsidR="00E55332" w:rsidRPr="00E82B26" w:rsidRDefault="00E55332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2B26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B57BAD7" w14:textId="44E6DDBA" w:rsidR="00E55332" w:rsidRPr="00275339" w:rsidRDefault="00BC669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9">
              <w:rPr>
                <w:rFonts w:ascii="Calibri" w:eastAsia="Times New Roman" w:hAnsi="Calibri" w:cs="Calibri"/>
                <w:color w:val="000000"/>
              </w:rPr>
              <w:t>0.</w:t>
            </w:r>
            <w:r w:rsidR="002F50D5" w:rsidRPr="00275339">
              <w:rPr>
                <w:rFonts w:ascii="Calibri" w:eastAsia="Times New Roman" w:hAnsi="Calibri" w:cs="Calibri"/>
                <w:color w:val="000000"/>
              </w:rPr>
              <w:t>03</w:t>
            </w:r>
            <w:r w:rsidR="002F50D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FA7BE77" w14:textId="67D4F48C" w:rsidR="00E55332" w:rsidRPr="00275339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9">
              <w:rPr>
                <w:rFonts w:ascii="Calibri" w:eastAsia="Times New Roman" w:hAnsi="Calibri" w:cs="Calibri"/>
                <w:color w:val="000000"/>
              </w:rPr>
              <w:t>0.</w:t>
            </w:r>
            <w:r w:rsidR="002F50D5" w:rsidRPr="00275339">
              <w:rPr>
                <w:rFonts w:ascii="Calibri" w:eastAsia="Times New Roman" w:hAnsi="Calibri" w:cs="Calibri"/>
                <w:color w:val="000000"/>
              </w:rPr>
              <w:t>0</w:t>
            </w:r>
            <w:r w:rsidR="002F50D5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142DEE2" w14:textId="4B50ACAF" w:rsidR="00E55332" w:rsidRPr="00275339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9">
              <w:rPr>
                <w:rFonts w:ascii="Calibri" w:eastAsia="Times New Roman" w:hAnsi="Calibri" w:cs="Calibri"/>
                <w:color w:val="000000"/>
              </w:rPr>
              <w:t>0.229</w:t>
            </w:r>
            <w:r w:rsidR="002F50D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D6D3D1F" w14:textId="70FD8B5D" w:rsidR="00E55332" w:rsidRPr="00275339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9">
              <w:rPr>
                <w:rFonts w:ascii="Calibri" w:eastAsia="Times New Roman" w:hAnsi="Calibri" w:cs="Calibri"/>
                <w:color w:val="000000"/>
              </w:rPr>
              <w:t>1.027</w:t>
            </w:r>
            <w:r w:rsidR="002F50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14:paraId="7EEBA2EA" w14:textId="6FB67FBD" w:rsidR="00E55332" w:rsidRPr="00275339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5339">
              <w:rPr>
                <w:rFonts w:ascii="Calibri" w:hAnsi="Calibri" w:cs="Calibri"/>
                <w:color w:val="000000"/>
              </w:rPr>
              <w:t>1.</w:t>
            </w:r>
            <w:r w:rsidR="002F50D5" w:rsidRPr="00275339">
              <w:rPr>
                <w:rFonts w:ascii="Calibri" w:hAnsi="Calibri" w:cs="Calibri"/>
                <w:color w:val="000000"/>
              </w:rPr>
              <w:t>4</w:t>
            </w:r>
            <w:r w:rsidR="002F50D5">
              <w:rPr>
                <w:rFonts w:ascii="Calibri" w:hAnsi="Calibri" w:cs="Calibri"/>
                <w:color w:val="000000"/>
              </w:rPr>
              <w:t>657</w:t>
            </w:r>
          </w:p>
        </w:tc>
      </w:tr>
      <w:tr w:rsidR="00E82B26" w:rsidRPr="00275339" w14:paraId="704C1F16" w14:textId="77777777" w:rsidTr="00275339">
        <w:trPr>
          <w:trHeight w:val="290"/>
        </w:trPr>
        <w:tc>
          <w:tcPr>
            <w:tcW w:w="1308" w:type="dxa"/>
            <w:shd w:val="clear" w:color="auto" w:fill="auto"/>
            <w:noWrap/>
          </w:tcPr>
          <w:p w14:paraId="11893AE4" w14:textId="5BDB58CE" w:rsidR="00E82B26" w:rsidRPr="0015420A" w:rsidRDefault="00E82B26" w:rsidP="00E82B2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2BA5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A4EFEE" w14:textId="042AB070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A9552A7" w14:textId="1789DF73" w:rsidR="00E82B26" w:rsidRPr="0015420A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0.0341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D90BEA9" w14:textId="543F47DC" w:rsidR="00E82B26" w:rsidRPr="00E82B26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0.0479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4EF4C1D" w14:textId="570E2B55" w:rsidR="00E82B26" w:rsidRPr="00E82B26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0.2011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B47AB88" w14:textId="2EDFF2EE" w:rsidR="00E82B26" w:rsidRPr="00E82B26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0.8446</w:t>
            </w:r>
          </w:p>
        </w:tc>
        <w:tc>
          <w:tcPr>
            <w:tcW w:w="843" w:type="dxa"/>
            <w:vAlign w:val="center"/>
          </w:tcPr>
          <w:p w14:paraId="478C66AF" w14:textId="3922EC21" w:rsidR="00E82B26" w:rsidRPr="00275339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1.1867</w:t>
            </w:r>
          </w:p>
        </w:tc>
      </w:tr>
      <w:tr w:rsidR="00E82B26" w:rsidRPr="00275339" w14:paraId="031A89E0" w14:textId="77777777" w:rsidTr="00275339">
        <w:trPr>
          <w:trHeight w:val="290"/>
        </w:trPr>
        <w:tc>
          <w:tcPr>
            <w:tcW w:w="1308" w:type="dxa"/>
            <w:shd w:val="clear" w:color="auto" w:fill="auto"/>
            <w:noWrap/>
          </w:tcPr>
          <w:p w14:paraId="45CC24A9" w14:textId="08EAACEF" w:rsidR="00E82B26" w:rsidRPr="0015420A" w:rsidRDefault="00E82B26" w:rsidP="00E82B2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2BA5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A73F6F" w14:textId="74BF7082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2396F94" w14:textId="7E14D0CE" w:rsidR="00E82B26" w:rsidRPr="0015420A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0.0324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07A239B" w14:textId="42CE5B75" w:rsidR="00E82B26" w:rsidRPr="00E82B26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0.0459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8B4DCE9" w14:textId="13939D27" w:rsidR="00E82B26" w:rsidRPr="00E82B26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0.2011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8B9AE7" w14:textId="75B149A2" w:rsidR="00E82B26" w:rsidRPr="00E82B26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0.8805</w:t>
            </w:r>
          </w:p>
        </w:tc>
        <w:tc>
          <w:tcPr>
            <w:tcW w:w="843" w:type="dxa"/>
            <w:vAlign w:val="center"/>
          </w:tcPr>
          <w:p w14:paraId="1FC27BF8" w14:textId="446ADB64" w:rsidR="00E82B26" w:rsidRPr="00275339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1.2493</w:t>
            </w:r>
          </w:p>
        </w:tc>
      </w:tr>
      <w:tr w:rsidR="00E55332" w:rsidRPr="0015420A" w14:paraId="4F1FB6BA" w14:textId="0076315A" w:rsidTr="00E82B2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81BD553" w14:textId="77777777" w:rsidR="00E55332" w:rsidRPr="0015420A" w:rsidRDefault="00E55332" w:rsidP="00D03F3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3A406" w14:textId="77777777" w:rsidR="00E55332" w:rsidRPr="0015420A" w:rsidRDefault="00E55332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8484FF9" w14:textId="27E92235" w:rsidR="00E55332" w:rsidRPr="0015420A" w:rsidRDefault="00BC669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0.</w:t>
            </w:r>
            <w:r w:rsidR="0015420A" w:rsidRPr="0015420A">
              <w:rPr>
                <w:rFonts w:ascii="Calibri" w:eastAsia="Times New Roman" w:hAnsi="Calibri" w:cs="Calibri"/>
                <w:color w:val="000000"/>
              </w:rPr>
              <w:t>0575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930DC78" w14:textId="526F604C" w:rsidR="00E55332" w:rsidRPr="0015420A" w:rsidRDefault="0015420A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0</w:t>
            </w:r>
            <w:r w:rsidR="002F50D5">
              <w:rPr>
                <w:rFonts w:ascii="Calibri" w:eastAsia="Times New Roman" w:hAnsi="Calibri" w:cs="Calibri"/>
                <w:color w:val="000000"/>
              </w:rPr>
              <w:t>.</w:t>
            </w:r>
            <w:r w:rsidRPr="0015420A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286DFB4" w14:textId="4D9D5A23" w:rsidR="00E55332" w:rsidRPr="0015420A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0.</w:t>
            </w:r>
            <w:r w:rsidR="002F50D5" w:rsidRPr="0015420A">
              <w:rPr>
                <w:rFonts w:ascii="Calibri" w:eastAsia="Times New Roman" w:hAnsi="Calibri" w:cs="Calibri"/>
                <w:color w:val="000000"/>
              </w:rPr>
              <w:t>16</w:t>
            </w:r>
            <w:r w:rsidR="002F50D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40DCD2" w14:textId="5C32748B" w:rsidR="00E55332" w:rsidRPr="0015420A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0.685</w:t>
            </w:r>
            <w:r w:rsidR="0015420A" w:rsidRPr="001542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14:paraId="514FEF75" w14:textId="16ADE2F9" w:rsidR="00E55332" w:rsidRPr="0015420A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5420A">
              <w:rPr>
                <w:rFonts w:ascii="Calibri" w:hAnsi="Calibri" w:cs="Calibri"/>
                <w:color w:val="000000"/>
              </w:rPr>
              <w:t>1.167</w:t>
            </w:r>
            <w:r w:rsidR="0015420A" w:rsidRPr="0015420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82B26" w:rsidRPr="0015420A" w14:paraId="240F7A2E" w14:textId="77777777" w:rsidTr="00275339">
        <w:trPr>
          <w:trHeight w:val="290"/>
        </w:trPr>
        <w:tc>
          <w:tcPr>
            <w:tcW w:w="1308" w:type="dxa"/>
            <w:shd w:val="clear" w:color="auto" w:fill="auto"/>
            <w:noWrap/>
          </w:tcPr>
          <w:p w14:paraId="28F2B1B1" w14:textId="2E7C56C0" w:rsidR="00E82B26" w:rsidRPr="0015420A" w:rsidRDefault="00E82B26" w:rsidP="00E82B2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620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97A67A" w14:textId="09FF825B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1DA3B43" w14:textId="6E9A9B04" w:rsidR="00E82B26" w:rsidRPr="0015420A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0.0504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C2041E0" w14:textId="61445CC9" w:rsidR="00E82B26" w:rsidRPr="0015420A" w:rsidRDefault="002F50D5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0.0626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C8BE6C3" w14:textId="762226CA" w:rsidR="00E82B26" w:rsidRPr="0015420A" w:rsidRDefault="00420E10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0.1689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E208166" w14:textId="0CAA9033" w:rsidR="00E82B26" w:rsidRPr="0015420A" w:rsidRDefault="00420E10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0.8014</w:t>
            </w:r>
          </w:p>
        </w:tc>
        <w:tc>
          <w:tcPr>
            <w:tcW w:w="843" w:type="dxa"/>
            <w:vAlign w:val="center"/>
          </w:tcPr>
          <w:p w14:paraId="0010EAE1" w14:textId="3B9C7431" w:rsidR="00E82B26" w:rsidRPr="0015420A" w:rsidRDefault="00420E10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1.4528</w:t>
            </w:r>
          </w:p>
        </w:tc>
      </w:tr>
      <w:tr w:rsidR="00E82B26" w:rsidRPr="0015420A" w14:paraId="4BBB2ED4" w14:textId="77777777" w:rsidTr="00275339">
        <w:trPr>
          <w:trHeight w:val="290"/>
        </w:trPr>
        <w:tc>
          <w:tcPr>
            <w:tcW w:w="1308" w:type="dxa"/>
            <w:shd w:val="clear" w:color="auto" w:fill="auto"/>
            <w:noWrap/>
          </w:tcPr>
          <w:p w14:paraId="73A30E64" w14:textId="7318D904" w:rsidR="00E82B26" w:rsidRPr="0015420A" w:rsidRDefault="00E82B26" w:rsidP="00E82B26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5620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6BF89B" w14:textId="2A389196" w:rsidR="00E82B26" w:rsidRPr="0015420A" w:rsidRDefault="00E82B26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62D29E7" w14:textId="0CDD5381" w:rsidR="00E82B26" w:rsidRPr="0015420A" w:rsidRDefault="00420E10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0.0411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DAD435A" w14:textId="4B0D2C46" w:rsidR="00E82B26" w:rsidRPr="0015420A" w:rsidRDefault="00420E10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0.0534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AFDDBFD" w14:textId="613E5DF5" w:rsidR="00E82B26" w:rsidRPr="0015420A" w:rsidRDefault="00420E10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0.1762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7ED6255" w14:textId="7A917B6A" w:rsidR="00E82B26" w:rsidRPr="0015420A" w:rsidRDefault="00420E10" w:rsidP="00E82B2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1.1464</w:t>
            </w:r>
          </w:p>
        </w:tc>
        <w:tc>
          <w:tcPr>
            <w:tcW w:w="843" w:type="dxa"/>
            <w:vAlign w:val="center"/>
          </w:tcPr>
          <w:p w14:paraId="68E24698" w14:textId="5610284C" w:rsidR="00E82B26" w:rsidRPr="0015420A" w:rsidRDefault="00420E10" w:rsidP="00E82B26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2.3451</w:t>
            </w:r>
          </w:p>
        </w:tc>
      </w:tr>
      <w:tr w:rsidR="00E55332" w:rsidRPr="008B3BE4" w14:paraId="7D133FB1" w14:textId="53ACF20F" w:rsidTr="00E82B2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63E29D5" w14:textId="77777777" w:rsidR="00E55332" w:rsidRPr="0015420A" w:rsidRDefault="00E55332" w:rsidP="00D03F3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420A">
              <w:rPr>
                <w:rFonts w:ascii="Calibri" w:eastAsia="Times New Roman" w:hAnsi="Calibri" w:cs="Calibri"/>
                <w:color w:val="00000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78EF2" w14:textId="77777777" w:rsidR="00E55332" w:rsidRPr="00E82B26" w:rsidRDefault="00E55332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2B26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D93A716" w14:textId="51394423" w:rsidR="00E55332" w:rsidRPr="0015420A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9">
              <w:rPr>
                <w:rFonts w:ascii="Calibri" w:eastAsia="Times New Roman" w:hAnsi="Calibri" w:cs="Calibri"/>
                <w:color w:val="000000"/>
              </w:rPr>
              <w:t>0.</w:t>
            </w:r>
            <w:r w:rsidR="0015420A" w:rsidRPr="0015420A">
              <w:rPr>
                <w:rFonts w:ascii="Calibri" w:eastAsia="Times New Roman" w:hAnsi="Calibri" w:cs="Calibri"/>
                <w:color w:val="000000"/>
              </w:rPr>
              <w:t>05</w:t>
            </w:r>
            <w:r w:rsidR="0015420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47DFAA5" w14:textId="77F0A584" w:rsidR="00E55332" w:rsidRPr="00E82B26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2B26">
              <w:rPr>
                <w:rFonts w:ascii="Calibri" w:eastAsia="Times New Roman" w:hAnsi="Calibri" w:cs="Calibri"/>
                <w:color w:val="000000"/>
              </w:rPr>
              <w:t>0.070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00544F7" w14:textId="202136DF" w:rsidR="00E55332" w:rsidRPr="00275339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9">
              <w:rPr>
                <w:rFonts w:ascii="Calibri" w:eastAsia="Times New Roman" w:hAnsi="Calibri" w:cs="Calibri"/>
                <w:color w:val="000000"/>
              </w:rPr>
              <w:t>0.170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3373F9" w14:textId="61431E45" w:rsidR="00E55332" w:rsidRPr="00275339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9">
              <w:rPr>
                <w:rFonts w:ascii="Calibri" w:eastAsia="Times New Roman" w:hAnsi="Calibri" w:cs="Calibri"/>
                <w:color w:val="000000"/>
              </w:rPr>
              <w:t>0.685</w:t>
            </w:r>
          </w:p>
        </w:tc>
        <w:tc>
          <w:tcPr>
            <w:tcW w:w="843" w:type="dxa"/>
            <w:vAlign w:val="center"/>
          </w:tcPr>
          <w:p w14:paraId="2CCEFF18" w14:textId="0C4E63D0" w:rsidR="00E55332" w:rsidRPr="008B3BE4" w:rsidRDefault="00867CFF" w:rsidP="00867CFF">
            <w:pPr>
              <w:keepNext/>
              <w:keepLines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5339">
              <w:rPr>
                <w:rFonts w:ascii="Calibri" w:hAnsi="Calibri" w:cs="Calibri"/>
                <w:color w:val="000000"/>
              </w:rPr>
              <w:t>1.166</w:t>
            </w:r>
          </w:p>
        </w:tc>
      </w:tr>
    </w:tbl>
    <w:p w14:paraId="1451AF6A" w14:textId="697E9142" w:rsidR="00EB7275" w:rsidRPr="008B3BE4" w:rsidRDefault="00EB7275" w:rsidP="009B7083">
      <w:pPr>
        <w:spacing w:after="0" w:line="276" w:lineRule="auto"/>
        <w:rPr>
          <w:rFonts w:eastAsia="Times New Roman" w:cs="Times New Roman"/>
          <w:b/>
          <w:color w:val="000000"/>
        </w:rPr>
      </w:pPr>
    </w:p>
    <w:p w14:paraId="48167A4F" w14:textId="085A246F" w:rsidR="00E82B26" w:rsidRPr="00D918FE" w:rsidRDefault="00BD2065" w:rsidP="00E82B26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Table </w:t>
      </w:r>
      <w:r w:rsidR="007F07DF">
        <w:rPr>
          <w:rFonts w:eastAsia="Times New Roman" w:cs="Times New Roman"/>
          <w:b/>
          <w:color w:val="000000"/>
        </w:rPr>
        <w:t>9</w:t>
      </w:r>
      <w:r w:rsidRPr="008B3BE4">
        <w:rPr>
          <w:rFonts w:eastAsia="Times New Roman" w:cs="Times New Roman"/>
          <w:b/>
          <w:color w:val="000000"/>
        </w:rPr>
        <w:t xml:space="preserve">.  </w:t>
      </w:r>
      <w:r w:rsidR="00401C2B" w:rsidRPr="008B3BE4">
        <w:rPr>
          <w:rFonts w:eastAsia="Times New Roman" w:cs="Times New Roman"/>
          <w:b/>
          <w:color w:val="000000"/>
        </w:rPr>
        <w:t xml:space="preserve">Estimated quantiles of the fitted SSDs for </w:t>
      </w:r>
      <w:r w:rsidR="00D03F30">
        <w:rPr>
          <w:rFonts w:eastAsia="Times New Roman" w:cs="Times New Roman"/>
          <w:b/>
          <w:color w:val="000000"/>
        </w:rPr>
        <w:t>propazine</w:t>
      </w:r>
      <w:r w:rsidR="00401C2B" w:rsidRPr="008B3BE4">
        <w:rPr>
          <w:rFonts w:eastAsia="Times New Roman" w:cs="Times New Roman"/>
          <w:b/>
          <w:color w:val="000000"/>
        </w:rPr>
        <w:t xml:space="preserve"> </w:t>
      </w:r>
      <w:r w:rsidR="00401C2B">
        <w:rPr>
          <w:rFonts w:eastAsia="Times New Roman" w:cs="Times New Roman"/>
          <w:b/>
          <w:color w:val="000000"/>
        </w:rPr>
        <w:t>I</w:t>
      </w:r>
      <w:r w:rsidR="00401C2B" w:rsidRPr="008B3BE4">
        <w:rPr>
          <w:rFonts w:eastAsia="Times New Roman" w:cs="Times New Roman"/>
          <w:b/>
          <w:color w:val="000000"/>
        </w:rPr>
        <w:t>C</w:t>
      </w:r>
      <w:r w:rsidR="00401C2B">
        <w:rPr>
          <w:rFonts w:eastAsia="Times New Roman" w:cs="Times New Roman"/>
          <w:b/>
          <w:color w:val="000000"/>
          <w:vertAlign w:val="subscript"/>
        </w:rPr>
        <w:t>25</w:t>
      </w:r>
      <w:r w:rsidR="00401C2B" w:rsidRPr="008B3BE4">
        <w:rPr>
          <w:rFonts w:eastAsia="Times New Roman" w:cs="Times New Roman"/>
          <w:b/>
          <w:color w:val="000000"/>
        </w:rPr>
        <w:t xml:space="preserve">s for </w:t>
      </w:r>
      <w:r w:rsidR="00401C2B">
        <w:rPr>
          <w:rFonts w:eastAsia="Times New Roman" w:cs="Times New Roman"/>
          <w:b/>
          <w:color w:val="000000"/>
        </w:rPr>
        <w:t>terrestrial</w:t>
      </w:r>
      <w:r w:rsidR="00401C2B" w:rsidRPr="008B3BE4">
        <w:rPr>
          <w:rFonts w:eastAsia="Times New Roman" w:cs="Times New Roman"/>
          <w:b/>
          <w:color w:val="000000"/>
        </w:rPr>
        <w:t xml:space="preserve"> plants</w:t>
      </w:r>
      <w:r w:rsidR="00401C2B">
        <w:rPr>
          <w:rFonts w:eastAsia="Times New Roman" w:cs="Times New Roman"/>
          <w:b/>
          <w:color w:val="000000"/>
        </w:rPr>
        <w:t xml:space="preserve"> at the seedling emergence life stage</w:t>
      </w:r>
      <w:r w:rsidR="00401C2B" w:rsidRPr="008B3BE4">
        <w:rPr>
          <w:rFonts w:eastAsia="Times New Roman" w:cs="Times New Roman"/>
          <w:b/>
          <w:color w:val="000000"/>
        </w:rPr>
        <w:t>.</w:t>
      </w:r>
      <w:r w:rsidR="00E82B26" w:rsidRPr="00E82B26">
        <w:rPr>
          <w:rFonts w:eastAsia="Times New Roman" w:cs="Times New Roman"/>
          <w:b/>
          <w:color w:val="000000"/>
        </w:rPr>
        <w:t xml:space="preserve"> </w:t>
      </w: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960"/>
        <w:gridCol w:w="960"/>
        <w:gridCol w:w="1053"/>
        <w:gridCol w:w="1047"/>
        <w:gridCol w:w="1047"/>
      </w:tblGrid>
      <w:tr w:rsidR="00E82B26" w:rsidRPr="008B3BE4" w14:paraId="28B2FF7F" w14:textId="77777777" w:rsidTr="00290283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14:paraId="215F02C4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54F9D96A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1016AAE7" w14:textId="77777777" w:rsidR="00E82B26" w:rsidRPr="008B3BE4" w:rsidRDefault="00E82B26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50A708E7" w14:textId="77777777" w:rsidR="00E82B26" w:rsidRPr="008B3BE4" w:rsidRDefault="00E82B26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10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bottom"/>
            <w:hideMark/>
          </w:tcPr>
          <w:p w14:paraId="330D6D78" w14:textId="77777777" w:rsidR="00E82B26" w:rsidRPr="008B3BE4" w:rsidRDefault="00E82B26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50</w:t>
            </w:r>
          </w:p>
        </w:tc>
        <w:tc>
          <w:tcPr>
            <w:tcW w:w="1047" w:type="dxa"/>
            <w:shd w:val="clear" w:color="auto" w:fill="D9D9D9" w:themeFill="background1" w:themeFillShade="D9"/>
            <w:noWrap/>
            <w:vAlign w:val="bottom"/>
            <w:hideMark/>
          </w:tcPr>
          <w:p w14:paraId="252D6F7C" w14:textId="77777777" w:rsidR="00E82B26" w:rsidRPr="008B3BE4" w:rsidRDefault="00E82B26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90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5B1AA82F" w14:textId="77777777" w:rsidR="00E82B26" w:rsidRPr="008B3BE4" w:rsidRDefault="00E82B26" w:rsidP="007F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7F07DF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95</w:t>
            </w:r>
          </w:p>
        </w:tc>
      </w:tr>
      <w:tr w:rsidR="00E82B26" w:rsidRPr="008B3BE4" w14:paraId="143BD41A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6007E9B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5E77D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8E5E88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0.0166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5CD631E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3605C53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0.1818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2C2C19B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1.1727</w:t>
            </w:r>
          </w:p>
        </w:tc>
        <w:tc>
          <w:tcPr>
            <w:tcW w:w="1047" w:type="dxa"/>
            <w:vAlign w:val="center"/>
          </w:tcPr>
          <w:p w14:paraId="148A2F0D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1.9892</w:t>
            </w:r>
          </w:p>
        </w:tc>
      </w:tr>
      <w:tr w:rsidR="00E82B26" w:rsidRPr="008B3BE4" w14:paraId="47E9AF62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449CC5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F1BAB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D152A65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0.0148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0080BCF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0.0257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FB9B0A2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0.1818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1BA05AE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1.2844</w:t>
            </w:r>
          </w:p>
        </w:tc>
        <w:tc>
          <w:tcPr>
            <w:tcW w:w="1047" w:type="dxa"/>
            <w:vAlign w:val="center"/>
          </w:tcPr>
          <w:p w14:paraId="7878A89E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2.2356</w:t>
            </w:r>
          </w:p>
        </w:tc>
      </w:tr>
      <w:tr w:rsidR="00E82B26" w:rsidRPr="008B3BE4" w14:paraId="4C77EEDE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AFA1159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787FDE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7CE16EE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52738A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0.0180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E274F1E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0.1818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51337DF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1.8363</w:t>
            </w:r>
          </w:p>
        </w:tc>
        <w:tc>
          <w:tcPr>
            <w:tcW w:w="1047" w:type="dxa"/>
            <w:vAlign w:val="center"/>
          </w:tcPr>
          <w:p w14:paraId="0D53372A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3.5371</w:t>
            </w:r>
          </w:p>
        </w:tc>
      </w:tr>
      <w:tr w:rsidR="00E82B26" w:rsidRPr="008B3BE4" w14:paraId="10942259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13A5B9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97355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5A8EDF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0.0138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827D8C1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0.0264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BB3327D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0.1762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4A4BF19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1.1761</w:t>
            </w:r>
          </w:p>
        </w:tc>
        <w:tc>
          <w:tcPr>
            <w:tcW w:w="1047" w:type="dxa"/>
            <w:vAlign w:val="center"/>
          </w:tcPr>
          <w:p w14:paraId="1F440C2F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2.2429</w:t>
            </w:r>
          </w:p>
        </w:tc>
      </w:tr>
      <w:tr w:rsidR="00E82B26" w:rsidRPr="008B3BE4" w14:paraId="0558CA14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F65772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58337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3077D71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1643530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0.0286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C5943CF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0.1818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78B4014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1.1540</w:t>
            </w:r>
          </w:p>
        </w:tc>
        <w:tc>
          <w:tcPr>
            <w:tcW w:w="1047" w:type="dxa"/>
            <w:vAlign w:val="center"/>
          </w:tcPr>
          <w:p w14:paraId="44261DFA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2.1635</w:t>
            </w:r>
          </w:p>
        </w:tc>
      </w:tr>
      <w:tr w:rsidR="00E82B26" w:rsidRPr="008B3BE4" w14:paraId="1D24D9F7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A4D14F8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A2E4F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F3F59B9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6203EC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0.0175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73D3600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0.1818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24D597F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1.8866</w:t>
            </w:r>
          </w:p>
        </w:tc>
        <w:tc>
          <w:tcPr>
            <w:tcW w:w="1047" w:type="dxa"/>
            <w:vAlign w:val="center"/>
          </w:tcPr>
          <w:p w14:paraId="0C6F1928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4.1804</w:t>
            </w:r>
          </w:p>
        </w:tc>
      </w:tr>
      <w:tr w:rsidR="00E82B26" w:rsidRPr="008B3BE4" w14:paraId="4B96B788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CAA8AE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5EDC8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6FF1F1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0.0194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5A16DAF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0.0297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CF9C930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0.1812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A7FE86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1.1040</w:t>
            </w:r>
          </w:p>
        </w:tc>
        <w:tc>
          <w:tcPr>
            <w:tcW w:w="1047" w:type="dxa"/>
            <w:vAlign w:val="center"/>
          </w:tcPr>
          <w:p w14:paraId="18DC041E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1.6941</w:t>
            </w:r>
          </w:p>
        </w:tc>
      </w:tr>
      <w:tr w:rsidR="00E82B26" w:rsidRPr="008B3BE4" w14:paraId="67707C50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0BC4EE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EC737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67D3A10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0.0141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D292A50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0.0230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F49293D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0.1818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4BFCB67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1.4346</w:t>
            </w:r>
          </w:p>
        </w:tc>
        <w:tc>
          <w:tcPr>
            <w:tcW w:w="1047" w:type="dxa"/>
            <w:vAlign w:val="center"/>
          </w:tcPr>
          <w:p w14:paraId="4CEAD169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2.3404</w:t>
            </w:r>
          </w:p>
        </w:tc>
      </w:tr>
      <w:tr w:rsidR="00E82B26" w:rsidRPr="008B3BE4" w14:paraId="0642B846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5DFABA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8A076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1E0C879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0.0104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777C2AC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0.0179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873E580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0.1818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382F00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1.8418</w:t>
            </w:r>
          </w:p>
        </w:tc>
        <w:tc>
          <w:tcPr>
            <w:tcW w:w="1047" w:type="dxa"/>
            <w:vAlign w:val="center"/>
          </w:tcPr>
          <w:p w14:paraId="536FE220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3.1881</w:t>
            </w:r>
          </w:p>
        </w:tc>
      </w:tr>
      <w:tr w:rsidR="00E82B26" w:rsidRPr="008B3BE4" w14:paraId="62A73D74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A41651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906CD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186DD76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0.0211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DEABC6D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0.0298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14B8327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0.1437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8F35C31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1.6997</w:t>
            </w:r>
          </w:p>
        </w:tc>
        <w:tc>
          <w:tcPr>
            <w:tcW w:w="1047" w:type="dxa"/>
            <w:vAlign w:val="center"/>
          </w:tcPr>
          <w:p w14:paraId="1B24824B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4.6547</w:t>
            </w:r>
          </w:p>
        </w:tc>
      </w:tr>
      <w:tr w:rsidR="00E82B26" w:rsidRPr="008B3BE4" w14:paraId="02D4DE54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ED6C8C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A15CB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D2EBE7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0.0248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1B0F0FB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0.0339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C19B4F6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0.1415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1400ADF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1.3303</w:t>
            </w:r>
          </w:p>
        </w:tc>
        <w:tc>
          <w:tcPr>
            <w:tcW w:w="1047" w:type="dxa"/>
            <w:vAlign w:val="center"/>
          </w:tcPr>
          <w:p w14:paraId="40EDEE1E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3.1316</w:t>
            </w:r>
          </w:p>
        </w:tc>
      </w:tr>
      <w:tr w:rsidR="00E82B26" w:rsidRPr="008B3BE4" w14:paraId="25223384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61DF6F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57188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5A12E79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0.0169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380970B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0.0250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72F7EF3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0.1492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261714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2.4549</w:t>
            </w:r>
          </w:p>
        </w:tc>
        <w:tc>
          <w:tcPr>
            <w:tcW w:w="1047" w:type="dxa"/>
            <w:vAlign w:val="center"/>
          </w:tcPr>
          <w:p w14:paraId="54503C32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7.1581</w:t>
            </w:r>
          </w:p>
        </w:tc>
      </w:tr>
      <w:tr w:rsidR="00E82B26" w:rsidRPr="008B3BE4" w14:paraId="6D5B1134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</w:tcPr>
          <w:p w14:paraId="2C1F1144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Weibull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EE62E07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F809198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0.0062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5E3FE6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0.0168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4C61F91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0.2282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B5BC52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1.2008</w:t>
            </w:r>
          </w:p>
        </w:tc>
        <w:tc>
          <w:tcPr>
            <w:tcW w:w="1047" w:type="dxa"/>
            <w:vAlign w:val="center"/>
          </w:tcPr>
          <w:p w14:paraId="4A064392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1.7281</w:t>
            </w:r>
          </w:p>
        </w:tc>
      </w:tr>
      <w:tr w:rsidR="00E82B26" w:rsidRPr="008B3BE4" w14:paraId="24E2FF33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</w:tcPr>
          <w:p w14:paraId="59AFD793" w14:textId="77777777" w:rsidR="00E82B26" w:rsidRDefault="00E82B26" w:rsidP="00290283">
            <w:pPr>
              <w:spacing w:after="0" w:line="240" w:lineRule="auto"/>
            </w:pPr>
            <w:r>
              <w:t>Weibull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EDFA98" w14:textId="77777777" w:rsidR="00E82B26" w:rsidRDefault="00E82B26" w:rsidP="00290283">
            <w:pPr>
              <w:spacing w:after="0" w:line="240" w:lineRule="auto"/>
            </w:pPr>
            <w: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9B36B0A" w14:textId="77777777" w:rsidR="00E82B26" w:rsidRDefault="00E82B26" w:rsidP="00290283">
            <w:pPr>
              <w:spacing w:after="0" w:line="240" w:lineRule="auto"/>
              <w:jc w:val="right"/>
            </w:pPr>
            <w:r>
              <w:t>0.0048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1E45F7" w14:textId="77777777" w:rsidR="00E82B26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0.0139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B6EB45A" w14:textId="77777777" w:rsidR="00E82B26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0.2211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109AD34" w14:textId="77777777" w:rsidR="00E82B26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1.2923</w:t>
            </w:r>
          </w:p>
        </w:tc>
        <w:tc>
          <w:tcPr>
            <w:tcW w:w="1047" w:type="dxa"/>
            <w:vAlign w:val="center"/>
          </w:tcPr>
          <w:p w14:paraId="0B465978" w14:textId="77777777" w:rsidR="00E82B26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1.9030</w:t>
            </w:r>
          </w:p>
        </w:tc>
      </w:tr>
      <w:tr w:rsidR="00E82B26" w:rsidRPr="008B3BE4" w14:paraId="14EB2AF7" w14:textId="77777777" w:rsidTr="00290283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365209E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1261D" w14:textId="77777777" w:rsidR="00E82B26" w:rsidRPr="008B3BE4" w:rsidRDefault="00E82B26" w:rsidP="0029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64002C6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0.0198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0B73069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0.0303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EC8F4C0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0.1556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6243F6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1.4342</w:t>
            </w:r>
          </w:p>
        </w:tc>
        <w:tc>
          <w:tcPr>
            <w:tcW w:w="1047" w:type="dxa"/>
            <w:vAlign w:val="center"/>
          </w:tcPr>
          <w:p w14:paraId="4AD628E1" w14:textId="77777777" w:rsidR="00E82B26" w:rsidRPr="008B3BE4" w:rsidRDefault="00E82B26" w:rsidP="0029028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3.2567</w:t>
            </w:r>
          </w:p>
        </w:tc>
      </w:tr>
    </w:tbl>
    <w:p w14:paraId="1CDBF670" w14:textId="77777777" w:rsidR="00E82B26" w:rsidRDefault="00E82B26" w:rsidP="00E82B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04BDA1" w14:textId="47EE0215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8B3BE4">
        <w:rPr>
          <w:rFonts w:ascii="Calibri" w:eastAsia="Times New Roman" w:hAnsi="Calibri" w:cs="Times New Roman"/>
          <w:b/>
          <w:color w:val="000000"/>
        </w:rPr>
        <w:t xml:space="preserve">Table </w:t>
      </w:r>
      <w:r w:rsidR="00D411AA">
        <w:rPr>
          <w:rFonts w:ascii="Calibri" w:eastAsia="Times New Roman" w:hAnsi="Calibri" w:cs="Times New Roman"/>
          <w:b/>
          <w:color w:val="000000"/>
        </w:rPr>
        <w:t>1</w:t>
      </w:r>
      <w:r w:rsidR="007F07DF">
        <w:rPr>
          <w:rFonts w:ascii="Calibri" w:eastAsia="Times New Roman" w:hAnsi="Calibri" w:cs="Times New Roman"/>
          <w:b/>
          <w:color w:val="000000"/>
        </w:rPr>
        <w:t>0</w:t>
      </w:r>
      <w:r w:rsidRPr="008B3BE4">
        <w:rPr>
          <w:rFonts w:ascii="Calibri" w:eastAsia="Times New Roman" w:hAnsi="Calibri" w:cs="Times New Roman"/>
          <w:color w:val="000000"/>
        </w:rPr>
        <w:t xml:space="preserve"> provide</w:t>
      </w:r>
      <w:r w:rsidR="00170250" w:rsidRPr="008B3BE4">
        <w:rPr>
          <w:rFonts w:ascii="Calibri" w:eastAsia="Times New Roman" w:hAnsi="Calibri" w:cs="Times New Roman"/>
          <w:color w:val="000000"/>
        </w:rPr>
        <w:t>s</w:t>
      </w:r>
      <w:r w:rsidRPr="008B3BE4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8B3BE4">
        <w:rPr>
          <w:rFonts w:ascii="Calibri" w:eastAsia="Times New Roman" w:hAnsi="Calibri" w:cs="Times New Roman"/>
          <w:color w:val="000000"/>
        </w:rPr>
        <w:t>all of</w:t>
      </w:r>
      <w:proofErr w:type="gramEnd"/>
      <w:r w:rsidRPr="008B3BE4">
        <w:rPr>
          <w:rFonts w:ascii="Calibri" w:eastAsia="Times New Roman" w:hAnsi="Calibri" w:cs="Times New Roman"/>
          <w:color w:val="000000"/>
        </w:rPr>
        <w:t xml:space="preserve"> the available </w:t>
      </w:r>
      <w:r w:rsidR="00F85CB2">
        <w:rPr>
          <w:rFonts w:ascii="Calibri" w:eastAsia="Times New Roman" w:hAnsi="Calibri" w:cs="Times New Roman"/>
          <w:color w:val="000000"/>
        </w:rPr>
        <w:t>I</w:t>
      </w:r>
      <w:r w:rsidRPr="008B3BE4">
        <w:rPr>
          <w:rFonts w:ascii="Calibri" w:eastAsia="Times New Roman" w:hAnsi="Calibri" w:cs="Times New Roman"/>
          <w:color w:val="000000"/>
        </w:rPr>
        <w:t>C</w:t>
      </w:r>
      <w:r w:rsidR="00F85CB2">
        <w:rPr>
          <w:rFonts w:ascii="Calibri" w:eastAsia="Times New Roman" w:hAnsi="Calibri" w:cs="Times New Roman"/>
          <w:color w:val="000000"/>
          <w:vertAlign w:val="subscript"/>
        </w:rPr>
        <w:t>25</w:t>
      </w:r>
      <w:r w:rsidRPr="008B3BE4">
        <w:rPr>
          <w:rFonts w:ascii="Calibri" w:eastAsia="Times New Roman" w:hAnsi="Calibri" w:cs="Times New Roman"/>
          <w:color w:val="000000"/>
        </w:rPr>
        <w:t xml:space="preserve"> values for </w:t>
      </w:r>
      <w:r w:rsidR="00F85CB2">
        <w:rPr>
          <w:rFonts w:ascii="Calibri" w:eastAsia="Times New Roman" w:hAnsi="Calibri" w:cs="Times New Roman"/>
          <w:color w:val="000000"/>
        </w:rPr>
        <w:t>vegetative vigor and seedling emergence studies</w:t>
      </w:r>
      <w:r w:rsidR="00CF2225" w:rsidRPr="008B3BE4">
        <w:rPr>
          <w:rFonts w:ascii="Calibri" w:eastAsia="Times New Roman" w:hAnsi="Calibri" w:cs="Times New Roman"/>
          <w:color w:val="000000"/>
        </w:rPr>
        <w:t>.</w:t>
      </w:r>
      <w:r w:rsidRPr="008B3BE4">
        <w:rPr>
          <w:rFonts w:ascii="Calibri" w:eastAsia="Times New Roman" w:hAnsi="Calibri" w:cs="Times New Roman"/>
          <w:color w:val="000000"/>
        </w:rPr>
        <w:t xml:space="preserve">  These data sets are the same as reported in the effects characterization and provide additional data for the formulated products.  Values that were included in the SSD (</w:t>
      </w:r>
      <w:r w:rsidRPr="008B3BE4">
        <w:rPr>
          <w:rFonts w:ascii="Calibri" w:eastAsia="Times New Roman" w:hAnsi="Calibri" w:cs="Times New Roman"/>
          <w:i/>
          <w:color w:val="000000"/>
        </w:rPr>
        <w:t xml:space="preserve">i.e., </w:t>
      </w:r>
      <w:r w:rsidRPr="008B3BE4">
        <w:rPr>
          <w:rFonts w:ascii="Calibri" w:eastAsia="Times New Roman" w:hAnsi="Calibri" w:cs="Times New Roman"/>
          <w:color w:val="000000"/>
        </w:rPr>
        <w:t xml:space="preserve">TGAI) are marked with an *.  </w:t>
      </w:r>
    </w:p>
    <w:p w14:paraId="0B73DD11" w14:textId="77777777" w:rsidR="00113628" w:rsidRPr="008B3BE4" w:rsidRDefault="00113628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  <w:sectPr w:rsidR="00113628" w:rsidRPr="008B3BE4" w:rsidSect="00277450">
          <w:footerReference w:type="default" r:id="rId15"/>
          <w:pgSz w:w="12240" w:h="15840"/>
          <w:pgMar w:top="1440" w:right="1440" w:bottom="1440" w:left="1350" w:header="720" w:footer="720" w:gutter="0"/>
          <w:pgNumType w:start="1"/>
          <w:cols w:space="720"/>
        </w:sectPr>
      </w:pPr>
    </w:p>
    <w:p w14:paraId="01336736" w14:textId="7FEE1914" w:rsidR="009B7083" w:rsidRPr="008B3BE4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lastRenderedPageBreak/>
        <w:t xml:space="preserve">Table </w:t>
      </w:r>
      <w:r w:rsidR="000348FD" w:rsidRPr="008B3BE4">
        <w:rPr>
          <w:rFonts w:eastAsia="Times New Roman" w:cs="Times New Roman"/>
          <w:b/>
          <w:color w:val="000000"/>
        </w:rPr>
        <w:t>1</w:t>
      </w:r>
      <w:r w:rsidR="007F07DF">
        <w:rPr>
          <w:rFonts w:eastAsia="Times New Roman" w:cs="Times New Roman"/>
          <w:b/>
          <w:color w:val="000000"/>
        </w:rPr>
        <w:t>1</w:t>
      </w:r>
      <w:r w:rsidRPr="008B3BE4">
        <w:rPr>
          <w:rFonts w:eastAsia="Times New Roman" w:cs="Times New Roman"/>
          <w:b/>
          <w:color w:val="000000"/>
        </w:rPr>
        <w:t xml:space="preserve">. Available </w:t>
      </w:r>
      <w:r w:rsidR="00170250" w:rsidRPr="008B3BE4">
        <w:rPr>
          <w:rFonts w:eastAsia="Times New Roman" w:cs="Times New Roman"/>
          <w:b/>
          <w:color w:val="000000"/>
        </w:rPr>
        <w:t>effective</w:t>
      </w:r>
      <w:r w:rsidRPr="008B3BE4">
        <w:rPr>
          <w:rFonts w:eastAsia="Times New Roman" w:cs="Times New Roman"/>
          <w:b/>
          <w:color w:val="000000"/>
        </w:rPr>
        <w:t xml:space="preserve"> </w:t>
      </w:r>
      <w:r w:rsidR="00D411AA">
        <w:rPr>
          <w:rFonts w:eastAsia="Times New Roman" w:cs="Times New Roman"/>
          <w:b/>
          <w:color w:val="000000"/>
        </w:rPr>
        <w:t>inhibition</w:t>
      </w:r>
      <w:r w:rsidRPr="008B3BE4">
        <w:rPr>
          <w:rFonts w:eastAsia="Times New Roman" w:cs="Times New Roman"/>
          <w:b/>
          <w:color w:val="000000"/>
        </w:rPr>
        <w:t xml:space="preserve"> concentration (</w:t>
      </w:r>
      <w:r w:rsidR="00D23B18">
        <w:rPr>
          <w:rFonts w:eastAsia="Times New Roman" w:cs="Times New Roman"/>
          <w:b/>
          <w:color w:val="000000"/>
        </w:rPr>
        <w:t>I</w:t>
      </w:r>
      <w:r w:rsidRPr="008B3BE4">
        <w:rPr>
          <w:rFonts w:eastAsia="Times New Roman" w:cs="Times New Roman"/>
          <w:b/>
          <w:color w:val="000000"/>
        </w:rPr>
        <w:t>C</w:t>
      </w:r>
      <w:r w:rsidR="00D23B18">
        <w:rPr>
          <w:rFonts w:eastAsia="Times New Roman" w:cs="Times New Roman"/>
          <w:b/>
          <w:color w:val="000000"/>
          <w:vertAlign w:val="subscript"/>
        </w:rPr>
        <w:t>25</w:t>
      </w:r>
      <w:r w:rsidRPr="008B3BE4">
        <w:rPr>
          <w:rFonts w:eastAsia="Times New Roman" w:cs="Times New Roman"/>
          <w:b/>
          <w:color w:val="000000"/>
        </w:rPr>
        <w:t xml:space="preserve">) data for </w:t>
      </w:r>
      <w:r w:rsidR="00D23B18">
        <w:rPr>
          <w:rFonts w:eastAsia="Times New Roman" w:cs="Times New Roman"/>
          <w:b/>
          <w:color w:val="000000"/>
        </w:rPr>
        <w:t>terrestrial</w:t>
      </w:r>
      <w:r w:rsidR="00170250" w:rsidRPr="008B3BE4">
        <w:rPr>
          <w:rFonts w:eastAsia="Times New Roman" w:cs="Times New Roman"/>
          <w:b/>
          <w:color w:val="000000"/>
        </w:rPr>
        <w:t xml:space="preserve"> plants</w:t>
      </w:r>
      <w:r w:rsidRPr="008B3BE4">
        <w:rPr>
          <w:rFonts w:eastAsia="Times New Roman" w:cs="Times New Roman"/>
          <w:b/>
          <w:color w:val="000000"/>
        </w:rPr>
        <w:t xml:space="preserve"> exposed to </w:t>
      </w:r>
      <w:r w:rsidR="00D03F30">
        <w:rPr>
          <w:rFonts w:eastAsia="Times New Roman" w:cs="Times New Roman"/>
          <w:b/>
          <w:color w:val="000000"/>
        </w:rPr>
        <w:t>propazine</w:t>
      </w:r>
      <w:r w:rsidR="00917B7A" w:rsidRPr="008B3BE4">
        <w:rPr>
          <w:rFonts w:eastAsia="Times New Roman" w:cs="Times New Roman"/>
          <w:b/>
          <w:color w:val="000000"/>
        </w:rPr>
        <w:t>.</w:t>
      </w:r>
    </w:p>
    <w:tbl>
      <w:tblPr>
        <w:tblW w:w="8070" w:type="dxa"/>
        <w:tblLook w:val="04A0" w:firstRow="1" w:lastRow="0" w:firstColumn="1" w:lastColumn="0" w:noHBand="0" w:noVBand="1"/>
      </w:tblPr>
      <w:tblGrid>
        <w:gridCol w:w="1398"/>
        <w:gridCol w:w="1246"/>
        <w:gridCol w:w="1153"/>
        <w:gridCol w:w="960"/>
        <w:gridCol w:w="1246"/>
        <w:gridCol w:w="1153"/>
        <w:gridCol w:w="960"/>
      </w:tblGrid>
      <w:tr w:rsidR="00BC669F" w:rsidRPr="00BC669F" w14:paraId="406B1E80" w14:textId="77777777" w:rsidTr="00FC4F76">
        <w:trPr>
          <w:trHeight w:val="28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66FCCB" w14:textId="37988BA9" w:rsidR="00BC669F" w:rsidRPr="000E4E87" w:rsidRDefault="00BC669F" w:rsidP="00F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88FD6B" w14:textId="23F2D7FD" w:rsidR="00BC669F" w:rsidRPr="000E4E87" w:rsidRDefault="00BC669F" w:rsidP="00F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E87">
              <w:rPr>
                <w:rFonts w:ascii="Calibri" w:eastAsia="Times New Roman" w:hAnsi="Calibri" w:cs="Calibri"/>
                <w:b/>
                <w:bCs/>
                <w:color w:val="000000"/>
              </w:rPr>
              <w:t>Vegetative vigor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111F8" w14:textId="3654C2E0" w:rsidR="00BC669F" w:rsidRPr="000E4E87" w:rsidRDefault="00BC669F" w:rsidP="00F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E87">
              <w:rPr>
                <w:rFonts w:ascii="Calibri" w:eastAsia="Times New Roman" w:hAnsi="Calibri" w:cs="Calibri"/>
                <w:b/>
                <w:bCs/>
                <w:color w:val="000000"/>
              </w:rPr>
              <w:t>Seedling Emergence</w:t>
            </w:r>
          </w:p>
        </w:tc>
      </w:tr>
      <w:tr w:rsidR="00BC669F" w:rsidRPr="00BC669F" w14:paraId="6D906077" w14:textId="77777777" w:rsidTr="00FC4F76">
        <w:trPr>
          <w:trHeight w:val="28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7DF24F" w14:textId="77777777" w:rsidR="00BC669F" w:rsidRPr="000E4E87" w:rsidRDefault="00BC669F" w:rsidP="00F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E87">
              <w:rPr>
                <w:rFonts w:ascii="Calibri" w:eastAsia="Times New Roman" w:hAnsi="Calibri" w:cs="Calibri"/>
                <w:b/>
                <w:bCs/>
                <w:color w:val="000000"/>
              </w:rPr>
              <w:t>Species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C5AA6C" w14:textId="77777777" w:rsidR="00BC669F" w:rsidRPr="000E4E87" w:rsidRDefault="00BC669F" w:rsidP="00F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E87">
              <w:rPr>
                <w:rFonts w:ascii="Calibri" w:eastAsia="Times New Roman" w:hAnsi="Calibri" w:cs="Calibri"/>
                <w:b/>
                <w:bCs/>
                <w:color w:val="000000"/>
              </w:rPr>
              <w:t>Toxicity value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27D663" w14:textId="77777777" w:rsidR="00BC669F" w:rsidRPr="000E4E87" w:rsidRDefault="00BC669F" w:rsidP="00F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E87">
              <w:rPr>
                <w:rFonts w:ascii="Calibri" w:eastAsia="Times New Roman" w:hAnsi="Calibri" w:cs="Calibri"/>
                <w:b/>
                <w:bCs/>
                <w:color w:val="000000"/>
              </w:rPr>
              <w:t>Replicates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58760B" w14:textId="77777777" w:rsidR="00BC669F" w:rsidRPr="000E4E87" w:rsidRDefault="00BC669F" w:rsidP="00F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E87">
              <w:rPr>
                <w:rFonts w:ascii="Calibri" w:eastAsia="Times New Roman" w:hAnsi="Calibri" w:cs="Calibri"/>
                <w:b/>
                <w:bCs/>
                <w:color w:val="000000"/>
              </w:rPr>
              <w:t>ECDF*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B57B49" w14:textId="77777777" w:rsidR="00BC669F" w:rsidRPr="000E4E87" w:rsidRDefault="00BC669F" w:rsidP="00F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E87">
              <w:rPr>
                <w:rFonts w:ascii="Calibri" w:eastAsia="Times New Roman" w:hAnsi="Calibri" w:cs="Calibri"/>
                <w:b/>
                <w:bCs/>
                <w:color w:val="000000"/>
              </w:rPr>
              <w:t>Toxicity value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475997" w14:textId="77777777" w:rsidR="00BC669F" w:rsidRPr="000E4E87" w:rsidRDefault="00BC669F" w:rsidP="00F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E87">
              <w:rPr>
                <w:rFonts w:ascii="Calibri" w:eastAsia="Times New Roman" w:hAnsi="Calibri" w:cs="Calibri"/>
                <w:b/>
                <w:bCs/>
                <w:color w:val="000000"/>
              </w:rPr>
              <w:t>Replicates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44C6ED" w14:textId="77777777" w:rsidR="00BC669F" w:rsidRPr="000E4E87" w:rsidRDefault="00BC669F" w:rsidP="00F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4E87">
              <w:rPr>
                <w:rFonts w:ascii="Calibri" w:eastAsia="Times New Roman" w:hAnsi="Calibri" w:cs="Calibri"/>
                <w:b/>
                <w:bCs/>
                <w:color w:val="000000"/>
              </w:rPr>
              <w:t>ECDF*</w:t>
            </w:r>
          </w:p>
        </w:tc>
      </w:tr>
      <w:tr w:rsidR="00486D22" w:rsidRPr="00BC669F" w14:paraId="1FBAFAF8" w14:textId="77777777" w:rsidTr="00BC669F">
        <w:trPr>
          <w:trHeight w:val="28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A46C" w14:textId="77777777" w:rsidR="00486D22" w:rsidRPr="00BC669F" w:rsidRDefault="00486D22" w:rsidP="00486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Zea mays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25A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ED9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60BE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0.9167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1E8E" w14:textId="53A63046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2.4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1D02" w14:textId="1DFDA59E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8D07" w14:textId="26C762A9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0.9167</w:t>
            </w:r>
          </w:p>
        </w:tc>
      </w:tr>
      <w:tr w:rsidR="00486D22" w:rsidRPr="00BC669F" w14:paraId="4BECCF2F" w14:textId="77777777" w:rsidTr="00BC669F">
        <w:trPr>
          <w:trHeight w:val="57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C320" w14:textId="77777777" w:rsidR="00486D22" w:rsidRPr="00BC669F" w:rsidRDefault="00486D22" w:rsidP="00486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Glycine max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83F5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5F8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7E61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0.8333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F633" w14:textId="5EF17444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0.9</w:t>
            </w:r>
            <w:r w:rsidR="00B75114">
              <w:t>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EDC1" w14:textId="6382DD41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B5E5" w14:textId="2E6F0265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0.8333</w:t>
            </w:r>
          </w:p>
        </w:tc>
      </w:tr>
      <w:tr w:rsidR="00486D22" w:rsidRPr="00BC669F" w14:paraId="78445D5D" w14:textId="77777777" w:rsidTr="00BC669F">
        <w:trPr>
          <w:trHeight w:val="57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125E" w14:textId="77777777" w:rsidR="00486D22" w:rsidRPr="00BC669F" w:rsidRDefault="00486D22" w:rsidP="00486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Allium cepa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740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0.229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79B1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42B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B96F" w14:textId="6B46FE11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0.8</w:t>
            </w:r>
            <w:r w:rsidR="00B75114"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998F" w14:textId="03BDCC6D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F2AB" w14:textId="235829DF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0.7500</w:t>
            </w:r>
          </w:p>
        </w:tc>
      </w:tr>
      <w:tr w:rsidR="00486D22" w:rsidRPr="00BC669F" w14:paraId="1CD26109" w14:textId="77777777" w:rsidTr="00BC669F">
        <w:trPr>
          <w:trHeight w:val="57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16B" w14:textId="77777777" w:rsidR="00486D22" w:rsidRPr="00BC669F" w:rsidRDefault="00486D22" w:rsidP="00486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Raphanus sativus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0CB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0.219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D60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8FB6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0.6667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3246" w14:textId="2BC9BE72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0.370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9CB2" w14:textId="433028CB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1667" w14:textId="2999D9F3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0.6667</w:t>
            </w:r>
          </w:p>
        </w:tc>
      </w:tr>
      <w:tr w:rsidR="00486D22" w:rsidRPr="00BC669F" w14:paraId="46457C0D" w14:textId="77777777" w:rsidTr="00BC669F">
        <w:trPr>
          <w:trHeight w:val="57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543C" w14:textId="77777777" w:rsidR="00486D22" w:rsidRPr="00BC669F" w:rsidRDefault="00486D22" w:rsidP="00486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Lolium perenne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63F4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0.211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F88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C0B7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0.5833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44A" w14:textId="759BE704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0.199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15BC" w14:textId="70AAF59B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81AC" w14:textId="699D20FC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0.5833</w:t>
            </w:r>
          </w:p>
        </w:tc>
      </w:tr>
      <w:tr w:rsidR="00486D22" w:rsidRPr="00BC669F" w14:paraId="48C4FB77" w14:textId="77777777" w:rsidTr="00BC669F">
        <w:trPr>
          <w:trHeight w:val="864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CD05" w14:textId="77777777" w:rsidR="00486D22" w:rsidRPr="00BC669F" w:rsidRDefault="00486D22" w:rsidP="00486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Solanum lycopersicum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1E7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0.151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32C5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B730" w14:textId="07F3BC05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0.5</w:t>
            </w:r>
            <w:r w:rsidR="00925FAB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7D95" w14:textId="78FA68DB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0.172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B278" w14:textId="4F99704E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6A4D" w14:textId="4C763F45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0.5000</w:t>
            </w:r>
          </w:p>
        </w:tc>
      </w:tr>
      <w:tr w:rsidR="00486D22" w:rsidRPr="00BC669F" w14:paraId="69F637CF" w14:textId="77777777" w:rsidTr="00BC669F">
        <w:trPr>
          <w:trHeight w:val="57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E8DC" w14:textId="77777777" w:rsidR="00486D22" w:rsidRPr="00BC669F" w:rsidRDefault="00486D22" w:rsidP="00486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Brassica oleracea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796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0.127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C342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BF26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0.4167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FE88" w14:textId="399582AF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0.108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6632" w14:textId="3AE293C6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6E40" w14:textId="214BD458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0.4167</w:t>
            </w:r>
          </w:p>
        </w:tc>
      </w:tr>
      <w:tr w:rsidR="00486D22" w:rsidRPr="00BC669F" w14:paraId="6E278CF8" w14:textId="77777777" w:rsidTr="00BC669F">
        <w:trPr>
          <w:trHeight w:val="57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E0A2" w14:textId="77777777" w:rsidR="00486D22" w:rsidRPr="00BC669F" w:rsidRDefault="00486D22" w:rsidP="00486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Avena sativa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77EE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71A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FA5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0.3333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6D32" w14:textId="37C3476B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F01B" w14:textId="1A8F0C32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0695" w14:textId="7CD3A16B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0.3333</w:t>
            </w:r>
          </w:p>
        </w:tc>
      </w:tr>
      <w:tr w:rsidR="00486D22" w:rsidRPr="00BC669F" w14:paraId="25C1050D" w14:textId="77777777" w:rsidTr="00BC669F">
        <w:trPr>
          <w:trHeight w:val="57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F642" w14:textId="77777777" w:rsidR="00486D22" w:rsidRPr="00BC669F" w:rsidRDefault="00486D22" w:rsidP="00486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Lactuca sativa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3F09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0.114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F5E5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F973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B7E0" w14:textId="2C687FD9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0.049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D309" w14:textId="217A09ED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EC2" w14:textId="61DB9513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0.2500</w:t>
            </w:r>
          </w:p>
        </w:tc>
      </w:tr>
      <w:tr w:rsidR="00486D22" w:rsidRPr="00BC669F" w14:paraId="1FC0051A" w14:textId="77777777" w:rsidTr="00BC669F">
        <w:trPr>
          <w:trHeight w:val="57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7EC3" w14:textId="77777777" w:rsidR="00486D22" w:rsidRPr="00BC669F" w:rsidRDefault="00486D22" w:rsidP="00486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Cucumis sativus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0422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0.097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91F4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C06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0.1667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665D" w14:textId="7AE8DAB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0.035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E2DD" w14:textId="62C02589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1365" w14:textId="006CF4C8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0.1667</w:t>
            </w:r>
          </w:p>
        </w:tc>
      </w:tr>
      <w:tr w:rsidR="00486D22" w:rsidRPr="00BC669F" w14:paraId="4D9D6F61" w14:textId="77777777" w:rsidTr="00BC669F">
        <w:trPr>
          <w:trHeight w:val="57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038" w14:textId="77777777" w:rsidR="00486D22" w:rsidRPr="00BC669F" w:rsidRDefault="00486D22" w:rsidP="00486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Triticum aestivum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98B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0.0481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1FC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E3E" w14:textId="77777777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669F">
              <w:rPr>
                <w:rFonts w:ascii="Calibri" w:eastAsia="Times New Roman" w:hAnsi="Calibri" w:cs="Calibri"/>
                <w:color w:val="000000"/>
              </w:rPr>
              <w:t>0.0833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675E" w14:textId="30CAF8FA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0.016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48A1" w14:textId="1E93B381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2D45" w14:textId="235A20B9" w:rsidR="00486D22" w:rsidRPr="00BC669F" w:rsidRDefault="00486D22" w:rsidP="00486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0.0833</w:t>
            </w:r>
          </w:p>
        </w:tc>
      </w:tr>
    </w:tbl>
    <w:p w14:paraId="2B37421C" w14:textId="01EFEE56" w:rsidR="00BC669F" w:rsidRDefault="00BC669F" w:rsidP="00BC669F">
      <w:pPr>
        <w:pStyle w:val="Default"/>
        <w:rPr>
          <w:sz w:val="22"/>
          <w:szCs w:val="22"/>
        </w:rPr>
      </w:pPr>
      <w:r>
        <w:rPr>
          <w:rFonts w:eastAsia="Times New Roman" w:cs="Times New Roman"/>
        </w:rPr>
        <w:t>*</w:t>
      </w:r>
      <w:r>
        <w:rPr>
          <w:sz w:val="22"/>
          <w:szCs w:val="22"/>
        </w:rPr>
        <w:t xml:space="preserve">Empirical Cumulative Distribution Function </w:t>
      </w:r>
    </w:p>
    <w:p w14:paraId="1EC6E765" w14:textId="5520AEEC" w:rsidR="009B7083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61E3779D" w14:textId="6E70A0BE" w:rsidR="00DC2ECC" w:rsidRPr="00DC2ECC" w:rsidRDefault="00DC2ECC" w:rsidP="00DC2ECC">
      <w:pPr>
        <w:rPr>
          <w:rFonts w:ascii="Calibri" w:eastAsia="Times New Roman" w:hAnsi="Calibri" w:cs="Times New Roman"/>
        </w:rPr>
      </w:pPr>
    </w:p>
    <w:p w14:paraId="71D389A3" w14:textId="5B5432B7" w:rsidR="00DC2ECC" w:rsidRPr="00DC2ECC" w:rsidRDefault="00DC2ECC" w:rsidP="00DC2ECC">
      <w:pPr>
        <w:rPr>
          <w:rFonts w:ascii="Calibri" w:eastAsia="Times New Roman" w:hAnsi="Calibri" w:cs="Times New Roman"/>
        </w:rPr>
      </w:pPr>
    </w:p>
    <w:p w14:paraId="482A841A" w14:textId="221AA952" w:rsidR="00DC2ECC" w:rsidRPr="00DC2ECC" w:rsidRDefault="00DC2ECC" w:rsidP="00DC2ECC">
      <w:pPr>
        <w:rPr>
          <w:rFonts w:ascii="Calibri" w:eastAsia="Times New Roman" w:hAnsi="Calibri" w:cs="Times New Roman"/>
        </w:rPr>
      </w:pPr>
    </w:p>
    <w:p w14:paraId="73DE7A64" w14:textId="390A32BC" w:rsidR="00DC2ECC" w:rsidRPr="00DC2ECC" w:rsidRDefault="00DC2ECC" w:rsidP="00DC2ECC">
      <w:pPr>
        <w:rPr>
          <w:rFonts w:ascii="Calibri" w:eastAsia="Times New Roman" w:hAnsi="Calibri" w:cs="Times New Roman"/>
        </w:rPr>
      </w:pPr>
    </w:p>
    <w:p w14:paraId="5749190F" w14:textId="2A532838" w:rsidR="00DC2ECC" w:rsidRPr="00DC2ECC" w:rsidRDefault="00DC2ECC" w:rsidP="00DC2ECC">
      <w:pPr>
        <w:rPr>
          <w:rFonts w:ascii="Calibri" w:eastAsia="Times New Roman" w:hAnsi="Calibri" w:cs="Times New Roman"/>
        </w:rPr>
      </w:pPr>
    </w:p>
    <w:p w14:paraId="533AC907" w14:textId="113F05D6" w:rsidR="00DC2ECC" w:rsidRPr="00DC2ECC" w:rsidRDefault="00DC2ECC" w:rsidP="00DC2ECC">
      <w:pPr>
        <w:rPr>
          <w:rFonts w:ascii="Calibri" w:eastAsia="Times New Roman" w:hAnsi="Calibri" w:cs="Times New Roman"/>
        </w:rPr>
      </w:pPr>
    </w:p>
    <w:p w14:paraId="39CF929F" w14:textId="6B38BA39" w:rsidR="00DC2ECC" w:rsidRPr="00DC2ECC" w:rsidRDefault="00DC2ECC" w:rsidP="00DC2ECC">
      <w:pPr>
        <w:rPr>
          <w:rFonts w:ascii="Calibri" w:eastAsia="Times New Roman" w:hAnsi="Calibri" w:cs="Times New Roman"/>
        </w:rPr>
      </w:pPr>
    </w:p>
    <w:p w14:paraId="7A4CFC16" w14:textId="766FE108" w:rsidR="00DC2ECC" w:rsidRPr="00DC2ECC" w:rsidRDefault="00DC2ECC" w:rsidP="00DC2ECC">
      <w:pPr>
        <w:rPr>
          <w:rFonts w:ascii="Calibri" w:eastAsia="Times New Roman" w:hAnsi="Calibri" w:cs="Times New Roman"/>
        </w:rPr>
      </w:pPr>
    </w:p>
    <w:p w14:paraId="3D18F8A7" w14:textId="77777777" w:rsidR="00DC2ECC" w:rsidRPr="00DC2ECC" w:rsidRDefault="00DC2ECC" w:rsidP="00DC2ECC">
      <w:pPr>
        <w:jc w:val="center"/>
        <w:rPr>
          <w:rFonts w:ascii="Calibri" w:eastAsia="Times New Roman" w:hAnsi="Calibri" w:cs="Times New Roman"/>
        </w:rPr>
      </w:pPr>
    </w:p>
    <w:sectPr w:rsidR="00DC2ECC" w:rsidRPr="00DC2ECC" w:rsidSect="00935673">
      <w:pgSz w:w="12240" w:h="15840"/>
      <w:pgMar w:top="1440" w:right="144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74F3" w14:textId="77777777" w:rsidR="00FC4F76" w:rsidRDefault="00FC4F76">
      <w:pPr>
        <w:spacing w:after="0" w:line="240" w:lineRule="auto"/>
      </w:pPr>
      <w:r>
        <w:separator/>
      </w:r>
    </w:p>
  </w:endnote>
  <w:endnote w:type="continuationSeparator" w:id="0">
    <w:p w14:paraId="29CC8EBE" w14:textId="77777777" w:rsidR="00FC4F76" w:rsidRDefault="00FC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3109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5DD3202" w14:textId="15DC421D" w:rsidR="00FC4F76" w:rsidRPr="00DC2ECC" w:rsidRDefault="00FC4F76">
        <w:pPr>
          <w:pStyle w:val="Footer"/>
          <w:jc w:val="center"/>
          <w:rPr>
            <w:rFonts w:asciiTheme="minorHAnsi" w:hAnsiTheme="minorHAnsi" w:cstheme="minorHAnsi"/>
          </w:rPr>
        </w:pPr>
        <w:r w:rsidRPr="00DC2ECC">
          <w:rPr>
            <w:rFonts w:asciiTheme="minorHAnsi" w:hAnsiTheme="minorHAnsi" w:cstheme="minorHAnsi"/>
          </w:rPr>
          <w:fldChar w:fldCharType="begin"/>
        </w:r>
        <w:r w:rsidRPr="00DC2ECC">
          <w:rPr>
            <w:rFonts w:asciiTheme="minorHAnsi" w:hAnsiTheme="minorHAnsi" w:cstheme="minorHAnsi"/>
          </w:rPr>
          <w:instrText xml:space="preserve"> PAGE   \* MERGEFORMAT </w:instrText>
        </w:r>
        <w:r w:rsidRPr="00DC2ECC">
          <w:rPr>
            <w:rFonts w:asciiTheme="minorHAnsi" w:hAnsiTheme="minorHAnsi" w:cstheme="minorHAnsi"/>
          </w:rPr>
          <w:fldChar w:fldCharType="separate"/>
        </w:r>
        <w:r w:rsidRPr="00DC2ECC">
          <w:rPr>
            <w:rFonts w:asciiTheme="minorHAnsi" w:hAnsiTheme="minorHAnsi" w:cstheme="minorHAnsi"/>
            <w:noProof/>
          </w:rPr>
          <w:t>2</w:t>
        </w:r>
        <w:r w:rsidRPr="00DC2ECC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407AE6F" w14:textId="77777777" w:rsidR="00FC4F76" w:rsidRDefault="00FC4F7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BFD3" w14:textId="77777777" w:rsidR="00FC4F76" w:rsidRDefault="00FC4F76">
      <w:pPr>
        <w:spacing w:after="0" w:line="240" w:lineRule="auto"/>
      </w:pPr>
      <w:r>
        <w:separator/>
      </w:r>
    </w:p>
  </w:footnote>
  <w:footnote w:type="continuationSeparator" w:id="0">
    <w:p w14:paraId="3A51BFBF" w14:textId="77777777" w:rsidR="00FC4F76" w:rsidRDefault="00FC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5A76"/>
    <w:multiLevelType w:val="hybridMultilevel"/>
    <w:tmpl w:val="ED4ADB56"/>
    <w:lvl w:ilvl="0" w:tplc="A13E4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623"/>
    <w:multiLevelType w:val="hybridMultilevel"/>
    <w:tmpl w:val="EA3822CC"/>
    <w:lvl w:ilvl="0" w:tplc="4E2438CA">
      <w:start w:val="1"/>
      <w:numFmt w:val="decimal"/>
      <w:pStyle w:val="BEhead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22C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KSpF3IV0IXTPmA37zN701MEBv38pKYf6Q/dxSEbg3/DzlGqiPMGFAFl2OhDwxlQrrBKJceQXR61T+Frl89zjPg==" w:salt="uSyDgWwkSETzkaIGUBwV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83"/>
    <w:rsid w:val="0000136D"/>
    <w:rsid w:val="000062ED"/>
    <w:rsid w:val="00012554"/>
    <w:rsid w:val="000348FD"/>
    <w:rsid w:val="00040649"/>
    <w:rsid w:val="0005013C"/>
    <w:rsid w:val="00057448"/>
    <w:rsid w:val="0006023E"/>
    <w:rsid w:val="000707BA"/>
    <w:rsid w:val="00080AEE"/>
    <w:rsid w:val="000922F9"/>
    <w:rsid w:val="000926C2"/>
    <w:rsid w:val="000A5372"/>
    <w:rsid w:val="000D72FF"/>
    <w:rsid w:val="000E4E87"/>
    <w:rsid w:val="001005F1"/>
    <w:rsid w:val="00113628"/>
    <w:rsid w:val="00114566"/>
    <w:rsid w:val="00135DDF"/>
    <w:rsid w:val="001433EF"/>
    <w:rsid w:val="00150D7F"/>
    <w:rsid w:val="001512E3"/>
    <w:rsid w:val="0015420A"/>
    <w:rsid w:val="001636BE"/>
    <w:rsid w:val="001674C8"/>
    <w:rsid w:val="00170250"/>
    <w:rsid w:val="00191681"/>
    <w:rsid w:val="0019511A"/>
    <w:rsid w:val="001B716C"/>
    <w:rsid w:val="001D0F7E"/>
    <w:rsid w:val="001D19A4"/>
    <w:rsid w:val="001F18F3"/>
    <w:rsid w:val="001F5593"/>
    <w:rsid w:val="001F6B60"/>
    <w:rsid w:val="0020048B"/>
    <w:rsid w:val="00200583"/>
    <w:rsid w:val="00201885"/>
    <w:rsid w:val="00206126"/>
    <w:rsid w:val="00232B53"/>
    <w:rsid w:val="00234626"/>
    <w:rsid w:val="00235D8B"/>
    <w:rsid w:val="00240BFE"/>
    <w:rsid w:val="00242CBF"/>
    <w:rsid w:val="00270340"/>
    <w:rsid w:val="00275339"/>
    <w:rsid w:val="00276A3A"/>
    <w:rsid w:val="00277450"/>
    <w:rsid w:val="002843D9"/>
    <w:rsid w:val="00284C92"/>
    <w:rsid w:val="00290283"/>
    <w:rsid w:val="002A423F"/>
    <w:rsid w:val="002B0AE9"/>
    <w:rsid w:val="002B34D2"/>
    <w:rsid w:val="002B74E1"/>
    <w:rsid w:val="002C0D81"/>
    <w:rsid w:val="002C2D60"/>
    <w:rsid w:val="002C6FE2"/>
    <w:rsid w:val="002E5002"/>
    <w:rsid w:val="002E6B8F"/>
    <w:rsid w:val="002F50D5"/>
    <w:rsid w:val="003000C3"/>
    <w:rsid w:val="00305E08"/>
    <w:rsid w:val="00306357"/>
    <w:rsid w:val="003153E7"/>
    <w:rsid w:val="00321F58"/>
    <w:rsid w:val="00326FC5"/>
    <w:rsid w:val="0035319A"/>
    <w:rsid w:val="0037340D"/>
    <w:rsid w:val="003979C8"/>
    <w:rsid w:val="003A0194"/>
    <w:rsid w:val="003A246D"/>
    <w:rsid w:val="003A30ED"/>
    <w:rsid w:val="003A6951"/>
    <w:rsid w:val="003B0597"/>
    <w:rsid w:val="003B27D7"/>
    <w:rsid w:val="003B3F6F"/>
    <w:rsid w:val="003C0297"/>
    <w:rsid w:val="003C63C5"/>
    <w:rsid w:val="003D3400"/>
    <w:rsid w:val="003D4F1A"/>
    <w:rsid w:val="003F1517"/>
    <w:rsid w:val="003F406D"/>
    <w:rsid w:val="003F59B3"/>
    <w:rsid w:val="003F73BB"/>
    <w:rsid w:val="00401B9C"/>
    <w:rsid w:val="00401C2B"/>
    <w:rsid w:val="00401EA5"/>
    <w:rsid w:val="0040261D"/>
    <w:rsid w:val="0041190D"/>
    <w:rsid w:val="004158DE"/>
    <w:rsid w:val="00416CEE"/>
    <w:rsid w:val="00420E10"/>
    <w:rsid w:val="00422ECD"/>
    <w:rsid w:val="0042705B"/>
    <w:rsid w:val="00436996"/>
    <w:rsid w:val="00437145"/>
    <w:rsid w:val="0044036E"/>
    <w:rsid w:val="00442C85"/>
    <w:rsid w:val="00442DFD"/>
    <w:rsid w:val="004441AD"/>
    <w:rsid w:val="0044529D"/>
    <w:rsid w:val="00486D22"/>
    <w:rsid w:val="004A155A"/>
    <w:rsid w:val="004A3169"/>
    <w:rsid w:val="004C7CD3"/>
    <w:rsid w:val="004D0032"/>
    <w:rsid w:val="004E1F6B"/>
    <w:rsid w:val="004E2F44"/>
    <w:rsid w:val="00506062"/>
    <w:rsid w:val="00527AC6"/>
    <w:rsid w:val="00527CD8"/>
    <w:rsid w:val="00532193"/>
    <w:rsid w:val="00533AE5"/>
    <w:rsid w:val="00540E26"/>
    <w:rsid w:val="00541C4D"/>
    <w:rsid w:val="005450EF"/>
    <w:rsid w:val="005469ED"/>
    <w:rsid w:val="00563C4C"/>
    <w:rsid w:val="00571180"/>
    <w:rsid w:val="00582D80"/>
    <w:rsid w:val="005D5F19"/>
    <w:rsid w:val="005F1319"/>
    <w:rsid w:val="005F5EA5"/>
    <w:rsid w:val="00606D91"/>
    <w:rsid w:val="00610613"/>
    <w:rsid w:val="00613B78"/>
    <w:rsid w:val="00614430"/>
    <w:rsid w:val="006371C7"/>
    <w:rsid w:val="00646B91"/>
    <w:rsid w:val="00650AA3"/>
    <w:rsid w:val="00654062"/>
    <w:rsid w:val="00655D70"/>
    <w:rsid w:val="00671AC6"/>
    <w:rsid w:val="0067331B"/>
    <w:rsid w:val="0068136B"/>
    <w:rsid w:val="00685C9B"/>
    <w:rsid w:val="00687135"/>
    <w:rsid w:val="00696A87"/>
    <w:rsid w:val="00696EFC"/>
    <w:rsid w:val="006D5342"/>
    <w:rsid w:val="006F1437"/>
    <w:rsid w:val="0071324C"/>
    <w:rsid w:val="007232C0"/>
    <w:rsid w:val="00735BDA"/>
    <w:rsid w:val="00742483"/>
    <w:rsid w:val="00765F5C"/>
    <w:rsid w:val="007716B4"/>
    <w:rsid w:val="00780E23"/>
    <w:rsid w:val="007859E3"/>
    <w:rsid w:val="0079561D"/>
    <w:rsid w:val="007B662E"/>
    <w:rsid w:val="007B664D"/>
    <w:rsid w:val="007B71DC"/>
    <w:rsid w:val="007C11E6"/>
    <w:rsid w:val="007F07DF"/>
    <w:rsid w:val="00800A46"/>
    <w:rsid w:val="00806516"/>
    <w:rsid w:val="00806617"/>
    <w:rsid w:val="00807D73"/>
    <w:rsid w:val="0082163B"/>
    <w:rsid w:val="0083085F"/>
    <w:rsid w:val="00833FE1"/>
    <w:rsid w:val="00845E70"/>
    <w:rsid w:val="00867CFF"/>
    <w:rsid w:val="00873A91"/>
    <w:rsid w:val="00897585"/>
    <w:rsid w:val="008B35F9"/>
    <w:rsid w:val="008B3BE4"/>
    <w:rsid w:val="008D46DB"/>
    <w:rsid w:val="008E466D"/>
    <w:rsid w:val="008F48EC"/>
    <w:rsid w:val="009027C2"/>
    <w:rsid w:val="009054B8"/>
    <w:rsid w:val="00911EB6"/>
    <w:rsid w:val="0091631F"/>
    <w:rsid w:val="00917B7A"/>
    <w:rsid w:val="00923AA2"/>
    <w:rsid w:val="00924182"/>
    <w:rsid w:val="00925FAB"/>
    <w:rsid w:val="00927881"/>
    <w:rsid w:val="00935673"/>
    <w:rsid w:val="00935AFD"/>
    <w:rsid w:val="0093602D"/>
    <w:rsid w:val="0096622E"/>
    <w:rsid w:val="00967901"/>
    <w:rsid w:val="009A3D49"/>
    <w:rsid w:val="009B7083"/>
    <w:rsid w:val="009C1E91"/>
    <w:rsid w:val="009C45AE"/>
    <w:rsid w:val="009D13AD"/>
    <w:rsid w:val="009E0783"/>
    <w:rsid w:val="009F172E"/>
    <w:rsid w:val="009F4714"/>
    <w:rsid w:val="009F6409"/>
    <w:rsid w:val="00A1373E"/>
    <w:rsid w:val="00A166E4"/>
    <w:rsid w:val="00A22D06"/>
    <w:rsid w:val="00A26571"/>
    <w:rsid w:val="00A4166F"/>
    <w:rsid w:val="00A423AD"/>
    <w:rsid w:val="00A617F6"/>
    <w:rsid w:val="00A72B60"/>
    <w:rsid w:val="00AA33E4"/>
    <w:rsid w:val="00AB2AB3"/>
    <w:rsid w:val="00AB3DC6"/>
    <w:rsid w:val="00AB5756"/>
    <w:rsid w:val="00AB6172"/>
    <w:rsid w:val="00AE4B90"/>
    <w:rsid w:val="00AF37FA"/>
    <w:rsid w:val="00AF40E3"/>
    <w:rsid w:val="00B123DD"/>
    <w:rsid w:val="00B27313"/>
    <w:rsid w:val="00B36D53"/>
    <w:rsid w:val="00B407BE"/>
    <w:rsid w:val="00B42B68"/>
    <w:rsid w:val="00B475CE"/>
    <w:rsid w:val="00B60EFF"/>
    <w:rsid w:val="00B61AEC"/>
    <w:rsid w:val="00B62778"/>
    <w:rsid w:val="00B65888"/>
    <w:rsid w:val="00B75114"/>
    <w:rsid w:val="00B75AF2"/>
    <w:rsid w:val="00B802DE"/>
    <w:rsid w:val="00BA148F"/>
    <w:rsid w:val="00BA1FF3"/>
    <w:rsid w:val="00BB44D0"/>
    <w:rsid w:val="00BC3A61"/>
    <w:rsid w:val="00BC669F"/>
    <w:rsid w:val="00BD04B3"/>
    <w:rsid w:val="00BD2065"/>
    <w:rsid w:val="00BD3351"/>
    <w:rsid w:val="00C01D33"/>
    <w:rsid w:val="00C209DB"/>
    <w:rsid w:val="00C215B9"/>
    <w:rsid w:val="00C3738C"/>
    <w:rsid w:val="00C417A2"/>
    <w:rsid w:val="00C71181"/>
    <w:rsid w:val="00C86534"/>
    <w:rsid w:val="00C930C8"/>
    <w:rsid w:val="00CA009A"/>
    <w:rsid w:val="00CB283E"/>
    <w:rsid w:val="00CC07D2"/>
    <w:rsid w:val="00CC3A89"/>
    <w:rsid w:val="00CC42C9"/>
    <w:rsid w:val="00CD4D87"/>
    <w:rsid w:val="00CD6B0E"/>
    <w:rsid w:val="00CE30BB"/>
    <w:rsid w:val="00CE4DD3"/>
    <w:rsid w:val="00CF2225"/>
    <w:rsid w:val="00D030C1"/>
    <w:rsid w:val="00D03F30"/>
    <w:rsid w:val="00D159C8"/>
    <w:rsid w:val="00D21742"/>
    <w:rsid w:val="00D23B18"/>
    <w:rsid w:val="00D25148"/>
    <w:rsid w:val="00D40F99"/>
    <w:rsid w:val="00D411AA"/>
    <w:rsid w:val="00D42B10"/>
    <w:rsid w:val="00D47BF8"/>
    <w:rsid w:val="00D52807"/>
    <w:rsid w:val="00D531CC"/>
    <w:rsid w:val="00D73B2E"/>
    <w:rsid w:val="00D747F1"/>
    <w:rsid w:val="00D75782"/>
    <w:rsid w:val="00D833AC"/>
    <w:rsid w:val="00D9696D"/>
    <w:rsid w:val="00DA3905"/>
    <w:rsid w:val="00DC0511"/>
    <w:rsid w:val="00DC2ECC"/>
    <w:rsid w:val="00DC6E8C"/>
    <w:rsid w:val="00DF41D3"/>
    <w:rsid w:val="00DF55F6"/>
    <w:rsid w:val="00E055A0"/>
    <w:rsid w:val="00E10718"/>
    <w:rsid w:val="00E40E11"/>
    <w:rsid w:val="00E55332"/>
    <w:rsid w:val="00E611C6"/>
    <w:rsid w:val="00E6478E"/>
    <w:rsid w:val="00E66D89"/>
    <w:rsid w:val="00E6781C"/>
    <w:rsid w:val="00E73144"/>
    <w:rsid w:val="00E75D22"/>
    <w:rsid w:val="00E806C5"/>
    <w:rsid w:val="00E82B26"/>
    <w:rsid w:val="00EA5C78"/>
    <w:rsid w:val="00EB0D01"/>
    <w:rsid w:val="00EB7275"/>
    <w:rsid w:val="00EC25E8"/>
    <w:rsid w:val="00ED0E82"/>
    <w:rsid w:val="00ED3CDE"/>
    <w:rsid w:val="00EE1F6B"/>
    <w:rsid w:val="00EE6717"/>
    <w:rsid w:val="00EF56BD"/>
    <w:rsid w:val="00EF6587"/>
    <w:rsid w:val="00F0283C"/>
    <w:rsid w:val="00F04F8E"/>
    <w:rsid w:val="00F068CB"/>
    <w:rsid w:val="00F16C06"/>
    <w:rsid w:val="00F24F1D"/>
    <w:rsid w:val="00F41934"/>
    <w:rsid w:val="00F438D5"/>
    <w:rsid w:val="00F54816"/>
    <w:rsid w:val="00F5765F"/>
    <w:rsid w:val="00F746E0"/>
    <w:rsid w:val="00F85CB2"/>
    <w:rsid w:val="00F962B2"/>
    <w:rsid w:val="00FA0105"/>
    <w:rsid w:val="00FA0EC8"/>
    <w:rsid w:val="00FB2E85"/>
    <w:rsid w:val="00FC1E0A"/>
    <w:rsid w:val="00FC4F76"/>
    <w:rsid w:val="00FE0C29"/>
    <w:rsid w:val="00FE6D82"/>
    <w:rsid w:val="07F232AC"/>
    <w:rsid w:val="691F9B07"/>
    <w:rsid w:val="7543B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EB8F"/>
  <w15:docId w15:val="{D77604EE-4B06-4FC1-9C0C-6A86B7E4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F2"/>
  </w:style>
  <w:style w:type="paragraph" w:styleId="Heading1">
    <w:name w:val="heading 1"/>
    <w:basedOn w:val="Normal"/>
    <w:next w:val="Normal"/>
    <w:link w:val="Heading1Char"/>
    <w:rsid w:val="009B7083"/>
    <w:pPr>
      <w:keepNext/>
      <w:keepLines/>
      <w:spacing w:before="480" w:after="120" w:line="276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9B7083"/>
    <w:pPr>
      <w:keepNext/>
      <w:keepLines/>
      <w:spacing w:before="360" w:after="80" w:line="276" w:lineRule="auto"/>
      <w:contextualSpacing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9B7083"/>
    <w:pPr>
      <w:keepNext/>
      <w:keepLines/>
      <w:spacing w:before="280" w:after="80" w:line="276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9B7083"/>
    <w:pPr>
      <w:keepNext/>
      <w:keepLines/>
      <w:spacing w:before="240" w:after="40" w:line="276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9B7083"/>
    <w:pPr>
      <w:keepNext/>
      <w:keepLines/>
      <w:spacing w:before="220" w:after="40" w:line="276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Heading6">
    <w:name w:val="heading 6"/>
    <w:basedOn w:val="Normal"/>
    <w:next w:val="Normal"/>
    <w:link w:val="Heading6Char"/>
    <w:rsid w:val="009B7083"/>
    <w:pPr>
      <w:keepNext/>
      <w:keepLines/>
      <w:spacing w:before="200" w:after="40" w:line="276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083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B7083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B7083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B708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B7083"/>
    <w:rPr>
      <w:rFonts w:ascii="Times New Roman" w:eastAsia="Times New Roman" w:hAnsi="Times New Roman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9B7083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B7083"/>
  </w:style>
  <w:style w:type="paragraph" w:styleId="Title">
    <w:name w:val="Title"/>
    <w:basedOn w:val="Normal"/>
    <w:next w:val="Normal"/>
    <w:link w:val="TitleChar"/>
    <w:rsid w:val="009B7083"/>
    <w:pPr>
      <w:keepNext/>
      <w:keepLines/>
      <w:spacing w:before="480" w:after="120" w:line="276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B7083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9B7083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B7083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8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70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83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83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9B708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0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08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0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08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header">
    <w:name w:val="BE_header"/>
    <w:basedOn w:val="Normal"/>
    <w:link w:val="BEheaderChar"/>
    <w:qFormat/>
    <w:rsid w:val="009C45AE"/>
    <w:pPr>
      <w:numPr>
        <w:numId w:val="3"/>
      </w:numPr>
      <w:spacing w:after="0" w:line="276" w:lineRule="auto"/>
    </w:pPr>
    <w:rPr>
      <w:rFonts w:ascii="Calibri" w:eastAsia="Times New Roman" w:hAnsi="Calibri" w:cs="Times New Roman"/>
      <w:color w:val="4472C4" w:themeColor="accent5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5AE"/>
    <w:pPr>
      <w:ind w:left="720"/>
      <w:contextualSpacing/>
    </w:pPr>
  </w:style>
  <w:style w:type="character" w:customStyle="1" w:styleId="BEheaderChar">
    <w:name w:val="BE_header Char"/>
    <w:basedOn w:val="DefaultParagraphFont"/>
    <w:link w:val="BEheader"/>
    <w:rsid w:val="009C45AE"/>
    <w:rPr>
      <w:rFonts w:ascii="Calibri" w:eastAsia="Times New Roman" w:hAnsi="Calibri" w:cs="Times New Roman"/>
      <w:color w:val="4472C4" w:themeColor="accent5"/>
      <w:sz w:val="24"/>
      <w:szCs w:val="24"/>
    </w:rPr>
  </w:style>
  <w:style w:type="paragraph" w:customStyle="1" w:styleId="Default">
    <w:name w:val="Default"/>
    <w:rsid w:val="00BC6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dk\propazine\ESA%20support%202020\Copy%20of%20propazine%20SSD%20Comparison_TerrPlan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193465275654E-2"/>
          <c:y val="7.3319739923400226E-2"/>
          <c:w val="0.91643853169919509"/>
          <c:h val="0.7574376023140727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Sheet1!$B$1:$B$2</c:f>
              <c:strCache>
                <c:ptCount val="2"/>
                <c:pt idx="0">
                  <c:v>VV</c:v>
                </c:pt>
                <c:pt idx="1">
                  <c:v>HCp</c:v>
                </c:pt>
              </c:strCache>
            </c:strRef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Sheet1!$B$3:$B$100</c:f>
              <c:numCache>
                <c:formatCode>General</c:formatCode>
                <c:ptCount val="98"/>
                <c:pt idx="0">
                  <c:v>4.1799999999999997E-2</c:v>
                </c:pt>
                <c:pt idx="1">
                  <c:v>4.7199999999999999E-2</c:v>
                </c:pt>
                <c:pt idx="2">
                  <c:v>5.1200000000000002E-2</c:v>
                </c:pt>
                <c:pt idx="3">
                  <c:v>5.45E-2</c:v>
                </c:pt>
                <c:pt idx="4">
                  <c:v>5.7500000000000002E-2</c:v>
                </c:pt>
                <c:pt idx="5">
                  <c:v>6.0199999999999997E-2</c:v>
                </c:pt>
                <c:pt idx="6">
                  <c:v>6.2799999999999995E-2</c:v>
                </c:pt>
                <c:pt idx="7">
                  <c:v>6.5199999999999994E-2</c:v>
                </c:pt>
                <c:pt idx="8">
                  <c:v>6.7599999999999993E-2</c:v>
                </c:pt>
                <c:pt idx="9">
                  <c:v>6.9800000000000001E-2</c:v>
                </c:pt>
                <c:pt idx="10">
                  <c:v>7.2099999999999997E-2</c:v>
                </c:pt>
                <c:pt idx="11">
                  <c:v>7.4200000000000002E-2</c:v>
                </c:pt>
                <c:pt idx="12">
                  <c:v>7.6399999999999996E-2</c:v>
                </c:pt>
                <c:pt idx="13">
                  <c:v>7.85E-2</c:v>
                </c:pt>
                <c:pt idx="14">
                  <c:v>8.0600000000000005E-2</c:v>
                </c:pt>
                <c:pt idx="15">
                  <c:v>8.2699999999999996E-2</c:v>
                </c:pt>
                <c:pt idx="16">
                  <c:v>8.48E-2</c:v>
                </c:pt>
                <c:pt idx="17">
                  <c:v>8.6900000000000005E-2</c:v>
                </c:pt>
                <c:pt idx="18">
                  <c:v>8.8999999999999996E-2</c:v>
                </c:pt>
                <c:pt idx="19">
                  <c:v>9.0999999999999998E-2</c:v>
                </c:pt>
                <c:pt idx="20">
                  <c:v>9.3100000000000002E-2</c:v>
                </c:pt>
                <c:pt idx="21">
                  <c:v>9.5299999999999996E-2</c:v>
                </c:pt>
                <c:pt idx="22">
                  <c:v>9.74E-2</c:v>
                </c:pt>
                <c:pt idx="23">
                  <c:v>9.9500000000000005E-2</c:v>
                </c:pt>
                <c:pt idx="24">
                  <c:v>0.1017</c:v>
                </c:pt>
                <c:pt idx="25">
                  <c:v>0.10390000000000001</c:v>
                </c:pt>
                <c:pt idx="26">
                  <c:v>0.1061</c:v>
                </c:pt>
                <c:pt idx="27">
                  <c:v>0.10829999999999999</c:v>
                </c:pt>
                <c:pt idx="28">
                  <c:v>0.1106</c:v>
                </c:pt>
                <c:pt idx="29">
                  <c:v>0.1129</c:v>
                </c:pt>
                <c:pt idx="30">
                  <c:v>0.1152</c:v>
                </c:pt>
                <c:pt idx="31">
                  <c:v>0.1176</c:v>
                </c:pt>
                <c:pt idx="32">
                  <c:v>0.12</c:v>
                </c:pt>
                <c:pt idx="33">
                  <c:v>0.12239999999999999</c:v>
                </c:pt>
                <c:pt idx="34">
                  <c:v>0.1249</c:v>
                </c:pt>
                <c:pt idx="35">
                  <c:v>0.1275</c:v>
                </c:pt>
                <c:pt idx="36">
                  <c:v>0.13</c:v>
                </c:pt>
                <c:pt idx="37">
                  <c:v>0.13270000000000001</c:v>
                </c:pt>
                <c:pt idx="38">
                  <c:v>0.13539999999999999</c:v>
                </c:pt>
                <c:pt idx="39">
                  <c:v>0.13819999999999999</c:v>
                </c:pt>
                <c:pt idx="40">
                  <c:v>0.14099999999999999</c:v>
                </c:pt>
                <c:pt idx="41">
                  <c:v>0.1439</c:v>
                </c:pt>
                <c:pt idx="42">
                  <c:v>0.14680000000000001</c:v>
                </c:pt>
                <c:pt idx="43">
                  <c:v>0.14990000000000001</c:v>
                </c:pt>
                <c:pt idx="44">
                  <c:v>0.153</c:v>
                </c:pt>
                <c:pt idx="45">
                  <c:v>0.15620000000000001</c:v>
                </c:pt>
                <c:pt idx="46">
                  <c:v>0.15939999999999999</c:v>
                </c:pt>
                <c:pt idx="47">
                  <c:v>0.1628</c:v>
                </c:pt>
                <c:pt idx="48">
                  <c:v>0.1663</c:v>
                </c:pt>
                <c:pt idx="49">
                  <c:v>0.1699</c:v>
                </c:pt>
                <c:pt idx="50">
                  <c:v>0.17349999999999999</c:v>
                </c:pt>
                <c:pt idx="51">
                  <c:v>0.17730000000000001</c:v>
                </c:pt>
                <c:pt idx="52">
                  <c:v>0.18129999999999999</c:v>
                </c:pt>
                <c:pt idx="53">
                  <c:v>0.18529999999999999</c:v>
                </c:pt>
                <c:pt idx="54">
                  <c:v>0.1895</c:v>
                </c:pt>
                <c:pt idx="55">
                  <c:v>0.19389999999999999</c:v>
                </c:pt>
                <c:pt idx="56">
                  <c:v>0.19839999999999999</c:v>
                </c:pt>
                <c:pt idx="57">
                  <c:v>0.20300000000000001</c:v>
                </c:pt>
                <c:pt idx="58">
                  <c:v>0.2079</c:v>
                </c:pt>
                <c:pt idx="59">
                  <c:v>0.21290000000000001</c:v>
                </c:pt>
                <c:pt idx="60">
                  <c:v>0.21820000000000001</c:v>
                </c:pt>
                <c:pt idx="61">
                  <c:v>0.22359999999999999</c:v>
                </c:pt>
                <c:pt idx="62">
                  <c:v>0.2293</c:v>
                </c:pt>
                <c:pt idx="63">
                  <c:v>0.23530000000000001</c:v>
                </c:pt>
                <c:pt idx="64">
                  <c:v>0.24149999999999999</c:v>
                </c:pt>
                <c:pt idx="65">
                  <c:v>0.24809999999999999</c:v>
                </c:pt>
                <c:pt idx="66">
                  <c:v>0.25490000000000002</c:v>
                </c:pt>
                <c:pt idx="67">
                  <c:v>0.26219999999999999</c:v>
                </c:pt>
                <c:pt idx="68">
                  <c:v>0.26979999999999998</c:v>
                </c:pt>
                <c:pt idx="69">
                  <c:v>0.27779999999999999</c:v>
                </c:pt>
                <c:pt idx="70">
                  <c:v>0.28620000000000001</c:v>
                </c:pt>
                <c:pt idx="71">
                  <c:v>0.29520000000000002</c:v>
                </c:pt>
                <c:pt idx="72">
                  <c:v>0.30470000000000003</c:v>
                </c:pt>
                <c:pt idx="73">
                  <c:v>0.31490000000000001</c:v>
                </c:pt>
                <c:pt idx="74">
                  <c:v>0.32569999999999999</c:v>
                </c:pt>
                <c:pt idx="75">
                  <c:v>0.33729999999999999</c:v>
                </c:pt>
                <c:pt idx="76">
                  <c:v>0.34970000000000001</c:v>
                </c:pt>
                <c:pt idx="77">
                  <c:v>0.36299999999999999</c:v>
                </c:pt>
                <c:pt idx="78">
                  <c:v>0.37740000000000001</c:v>
                </c:pt>
                <c:pt idx="79">
                  <c:v>0.3931</c:v>
                </c:pt>
                <c:pt idx="80">
                  <c:v>0.41010000000000002</c:v>
                </c:pt>
                <c:pt idx="81">
                  <c:v>0.42870000000000003</c:v>
                </c:pt>
                <c:pt idx="82">
                  <c:v>0.44919999999999999</c:v>
                </c:pt>
                <c:pt idx="83">
                  <c:v>0.4718</c:v>
                </c:pt>
                <c:pt idx="84">
                  <c:v>0.497</c:v>
                </c:pt>
                <c:pt idx="85">
                  <c:v>0.52529999999999999</c:v>
                </c:pt>
                <c:pt idx="86">
                  <c:v>0.55730000000000002</c:v>
                </c:pt>
                <c:pt idx="87">
                  <c:v>0.59370000000000001</c:v>
                </c:pt>
                <c:pt idx="88">
                  <c:v>0.63580000000000003</c:v>
                </c:pt>
                <c:pt idx="89">
                  <c:v>0.68510000000000004</c:v>
                </c:pt>
                <c:pt idx="90">
                  <c:v>0.74360000000000004</c:v>
                </c:pt>
                <c:pt idx="91">
                  <c:v>0.81459999999999999</c:v>
                </c:pt>
                <c:pt idx="92">
                  <c:v>0.90280000000000005</c:v>
                </c:pt>
                <c:pt idx="93">
                  <c:v>1.0159</c:v>
                </c:pt>
                <c:pt idx="94">
                  <c:v>1.1672</c:v>
                </c:pt>
                <c:pt idx="95">
                  <c:v>1.3822000000000001</c:v>
                </c:pt>
                <c:pt idx="96">
                  <c:v>1.7168000000000001</c:v>
                </c:pt>
                <c:pt idx="97">
                  <c:v>2.3266</c:v>
                </c:pt>
              </c:numCache>
            </c:numRef>
          </c:xVal>
          <c:yVal>
            <c:numRef>
              <c:f>Sheet1!$A$3:$A$100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440-4DBE-8B87-FD72A02029D7}"/>
            </c:ext>
          </c:extLst>
        </c:ser>
        <c:ser>
          <c:idx val="3"/>
          <c:order val="1"/>
          <c:tx>
            <c:strRef>
              <c:f>Sheet1!$E$1:$E$2</c:f>
              <c:strCache>
                <c:ptCount val="2"/>
                <c:pt idx="0">
                  <c:v>VV</c:v>
                </c:pt>
                <c:pt idx="1">
                  <c:v>Lower CI</c:v>
                </c:pt>
              </c:strCache>
            </c:strRef>
          </c:tx>
          <c:spPr>
            <a:ln w="25400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Sheet1!$E$3:$E$100</c:f>
              <c:numCache>
                <c:formatCode>General</c:formatCode>
                <c:ptCount val="98"/>
                <c:pt idx="0">
                  <c:v>2.58E-2</c:v>
                </c:pt>
                <c:pt idx="1">
                  <c:v>2.9700000000000001E-2</c:v>
                </c:pt>
                <c:pt idx="2">
                  <c:v>3.2599999999999997E-2</c:v>
                </c:pt>
                <c:pt idx="3">
                  <c:v>3.5299999999999998E-2</c:v>
                </c:pt>
                <c:pt idx="4">
                  <c:v>3.7900000000000003E-2</c:v>
                </c:pt>
                <c:pt idx="5">
                  <c:v>4.0399999999999998E-2</c:v>
                </c:pt>
                <c:pt idx="6">
                  <c:v>4.24E-2</c:v>
                </c:pt>
                <c:pt idx="7">
                  <c:v>4.4699999999999997E-2</c:v>
                </c:pt>
                <c:pt idx="8">
                  <c:v>4.6300000000000001E-2</c:v>
                </c:pt>
                <c:pt idx="9">
                  <c:v>4.7899999999999998E-2</c:v>
                </c:pt>
                <c:pt idx="10">
                  <c:v>4.9500000000000002E-2</c:v>
                </c:pt>
                <c:pt idx="11">
                  <c:v>5.1499999999999997E-2</c:v>
                </c:pt>
                <c:pt idx="12">
                  <c:v>5.2999999999999999E-2</c:v>
                </c:pt>
                <c:pt idx="13">
                  <c:v>5.4699999999999999E-2</c:v>
                </c:pt>
                <c:pt idx="14">
                  <c:v>5.6300000000000003E-2</c:v>
                </c:pt>
                <c:pt idx="15">
                  <c:v>5.7700000000000001E-2</c:v>
                </c:pt>
                <c:pt idx="16">
                  <c:v>5.9299999999999999E-2</c:v>
                </c:pt>
                <c:pt idx="17">
                  <c:v>6.0600000000000001E-2</c:v>
                </c:pt>
                <c:pt idx="18">
                  <c:v>6.1899999999999997E-2</c:v>
                </c:pt>
                <c:pt idx="19">
                  <c:v>6.3299999999999995E-2</c:v>
                </c:pt>
                <c:pt idx="20">
                  <c:v>6.4699999999999994E-2</c:v>
                </c:pt>
                <c:pt idx="21">
                  <c:v>6.6500000000000004E-2</c:v>
                </c:pt>
                <c:pt idx="22">
                  <c:v>6.8000000000000005E-2</c:v>
                </c:pt>
                <c:pt idx="23">
                  <c:v>6.9400000000000003E-2</c:v>
                </c:pt>
                <c:pt idx="24">
                  <c:v>7.0699999999999999E-2</c:v>
                </c:pt>
                <c:pt idx="25">
                  <c:v>7.1999999999999995E-2</c:v>
                </c:pt>
                <c:pt idx="26">
                  <c:v>7.3400000000000007E-2</c:v>
                </c:pt>
                <c:pt idx="27">
                  <c:v>7.4800000000000005E-2</c:v>
                </c:pt>
                <c:pt idx="28">
                  <c:v>7.6200000000000004E-2</c:v>
                </c:pt>
                <c:pt idx="29">
                  <c:v>7.7600000000000002E-2</c:v>
                </c:pt>
                <c:pt idx="30">
                  <c:v>7.8899999999999998E-2</c:v>
                </c:pt>
                <c:pt idx="31">
                  <c:v>0.08</c:v>
                </c:pt>
                <c:pt idx="32">
                  <c:v>8.1100000000000005E-2</c:v>
                </c:pt>
                <c:pt idx="33">
                  <c:v>8.2400000000000001E-2</c:v>
                </c:pt>
                <c:pt idx="34">
                  <c:v>8.3799999999999999E-2</c:v>
                </c:pt>
                <c:pt idx="35">
                  <c:v>8.5000000000000006E-2</c:v>
                </c:pt>
                <c:pt idx="36">
                  <c:v>8.6300000000000002E-2</c:v>
                </c:pt>
                <c:pt idx="37">
                  <c:v>8.7900000000000006E-2</c:v>
                </c:pt>
                <c:pt idx="38">
                  <c:v>8.9599999999999999E-2</c:v>
                </c:pt>
                <c:pt idx="39">
                  <c:v>9.0899999999999995E-2</c:v>
                </c:pt>
                <c:pt idx="40">
                  <c:v>9.2700000000000005E-2</c:v>
                </c:pt>
                <c:pt idx="41">
                  <c:v>9.4100000000000003E-2</c:v>
                </c:pt>
                <c:pt idx="42">
                  <c:v>9.5399999999999999E-2</c:v>
                </c:pt>
                <c:pt idx="43">
                  <c:v>9.7100000000000006E-2</c:v>
                </c:pt>
                <c:pt idx="44">
                  <c:v>9.8799999999999999E-2</c:v>
                </c:pt>
                <c:pt idx="45">
                  <c:v>0.10059999999999999</c:v>
                </c:pt>
                <c:pt idx="46">
                  <c:v>0.1023</c:v>
                </c:pt>
                <c:pt idx="47">
                  <c:v>0.104</c:v>
                </c:pt>
                <c:pt idx="48">
                  <c:v>0.1055</c:v>
                </c:pt>
                <c:pt idx="49">
                  <c:v>0.1072</c:v>
                </c:pt>
                <c:pt idx="50">
                  <c:v>0.1091</c:v>
                </c:pt>
                <c:pt idx="51">
                  <c:v>0.111</c:v>
                </c:pt>
                <c:pt idx="52">
                  <c:v>0.11310000000000001</c:v>
                </c:pt>
                <c:pt idx="53">
                  <c:v>0.115</c:v>
                </c:pt>
                <c:pt idx="54">
                  <c:v>0.1169</c:v>
                </c:pt>
                <c:pt idx="55">
                  <c:v>0.11840000000000001</c:v>
                </c:pt>
                <c:pt idx="56">
                  <c:v>0.12</c:v>
                </c:pt>
                <c:pt idx="57">
                  <c:v>0.12180000000000001</c:v>
                </c:pt>
                <c:pt idx="58">
                  <c:v>0.1237</c:v>
                </c:pt>
                <c:pt idx="59">
                  <c:v>0.12570000000000001</c:v>
                </c:pt>
                <c:pt idx="60">
                  <c:v>0.12740000000000001</c:v>
                </c:pt>
                <c:pt idx="61">
                  <c:v>0.12970000000000001</c:v>
                </c:pt>
                <c:pt idx="62">
                  <c:v>0.13200000000000001</c:v>
                </c:pt>
                <c:pt idx="63">
                  <c:v>0.13420000000000001</c:v>
                </c:pt>
                <c:pt idx="64">
                  <c:v>0.1358</c:v>
                </c:pt>
                <c:pt idx="65">
                  <c:v>0.13739999999999999</c:v>
                </c:pt>
                <c:pt idx="66">
                  <c:v>0.1391</c:v>
                </c:pt>
                <c:pt idx="67">
                  <c:v>0.1419</c:v>
                </c:pt>
                <c:pt idx="68">
                  <c:v>0.14460000000000001</c:v>
                </c:pt>
                <c:pt idx="69">
                  <c:v>0.1474</c:v>
                </c:pt>
                <c:pt idx="70">
                  <c:v>0.15049999999999999</c:v>
                </c:pt>
                <c:pt idx="71">
                  <c:v>0.15429999999999999</c:v>
                </c:pt>
                <c:pt idx="72">
                  <c:v>0.15820000000000001</c:v>
                </c:pt>
                <c:pt idx="73">
                  <c:v>0.16220000000000001</c:v>
                </c:pt>
                <c:pt idx="74">
                  <c:v>0.16569999999999999</c:v>
                </c:pt>
                <c:pt idx="75">
                  <c:v>0.1696</c:v>
                </c:pt>
                <c:pt idx="76">
                  <c:v>0.17269999999999999</c:v>
                </c:pt>
                <c:pt idx="77">
                  <c:v>0.17549999999999999</c:v>
                </c:pt>
                <c:pt idx="78">
                  <c:v>0.1789</c:v>
                </c:pt>
                <c:pt idx="79">
                  <c:v>0.182</c:v>
                </c:pt>
                <c:pt idx="80">
                  <c:v>0.18720000000000001</c:v>
                </c:pt>
                <c:pt idx="81">
                  <c:v>0.19289999999999999</c:v>
                </c:pt>
                <c:pt idx="82">
                  <c:v>0.19819999999999999</c:v>
                </c:pt>
                <c:pt idx="83">
                  <c:v>0.2026</c:v>
                </c:pt>
                <c:pt idx="84">
                  <c:v>0.2094</c:v>
                </c:pt>
                <c:pt idx="85">
                  <c:v>0.21690000000000001</c:v>
                </c:pt>
                <c:pt idx="86">
                  <c:v>0.22559999999999999</c:v>
                </c:pt>
                <c:pt idx="87">
                  <c:v>0.2346</c:v>
                </c:pt>
                <c:pt idx="88">
                  <c:v>0.24329999999999999</c:v>
                </c:pt>
                <c:pt idx="89">
                  <c:v>0.25309999999999999</c:v>
                </c:pt>
                <c:pt idx="90">
                  <c:v>0.2626</c:v>
                </c:pt>
                <c:pt idx="91">
                  <c:v>0.2772</c:v>
                </c:pt>
                <c:pt idx="92">
                  <c:v>0.29320000000000002</c:v>
                </c:pt>
                <c:pt idx="93">
                  <c:v>0.3135</c:v>
                </c:pt>
                <c:pt idx="94">
                  <c:v>0.33779999999999999</c:v>
                </c:pt>
                <c:pt idx="95">
                  <c:v>0.37240000000000001</c:v>
                </c:pt>
                <c:pt idx="96">
                  <c:v>0.42370000000000002</c:v>
                </c:pt>
                <c:pt idx="97">
                  <c:v>0.49440000000000001</c:v>
                </c:pt>
              </c:numCache>
            </c:numRef>
          </c:xVal>
          <c:yVal>
            <c:numRef>
              <c:f>Sheet1!$A$3:$A$100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440-4DBE-8B87-FD72A02029D7}"/>
            </c:ext>
          </c:extLst>
        </c:ser>
        <c:ser>
          <c:idx val="4"/>
          <c:order val="2"/>
          <c:tx>
            <c:strRef>
              <c:f>Sheet1!$F$1:$F$2</c:f>
              <c:strCache>
                <c:ptCount val="2"/>
                <c:pt idx="0">
                  <c:v>VV</c:v>
                </c:pt>
                <c:pt idx="1">
                  <c:v>Upper CI</c:v>
                </c:pt>
              </c:strCache>
            </c:strRef>
          </c:tx>
          <c:spPr>
            <a:ln w="25400" cap="rnd">
              <a:solidFill>
                <a:srgbClr val="FF0000">
                  <a:alpha val="99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Sheet1!$F$3:$F$100</c:f>
              <c:numCache>
                <c:formatCode>General</c:formatCode>
                <c:ptCount val="98"/>
                <c:pt idx="0">
                  <c:v>9.0300000000000005E-2</c:v>
                </c:pt>
                <c:pt idx="1">
                  <c:v>9.64E-2</c:v>
                </c:pt>
                <c:pt idx="2">
                  <c:v>0.1022</c:v>
                </c:pt>
                <c:pt idx="3">
                  <c:v>0.1062</c:v>
                </c:pt>
                <c:pt idx="4">
                  <c:v>0.1101</c:v>
                </c:pt>
                <c:pt idx="5">
                  <c:v>0.113</c:v>
                </c:pt>
                <c:pt idx="6">
                  <c:v>0.1173</c:v>
                </c:pt>
                <c:pt idx="7">
                  <c:v>0.1216</c:v>
                </c:pt>
                <c:pt idx="8">
                  <c:v>0.1255</c:v>
                </c:pt>
                <c:pt idx="9">
                  <c:v>0.1293</c:v>
                </c:pt>
                <c:pt idx="10">
                  <c:v>0.1326</c:v>
                </c:pt>
                <c:pt idx="11">
                  <c:v>0.13550000000000001</c:v>
                </c:pt>
                <c:pt idx="12">
                  <c:v>0.13819999999999999</c:v>
                </c:pt>
                <c:pt idx="13">
                  <c:v>0.14119999999999999</c:v>
                </c:pt>
                <c:pt idx="14">
                  <c:v>0.1439</c:v>
                </c:pt>
                <c:pt idx="15">
                  <c:v>0.1467</c:v>
                </c:pt>
                <c:pt idx="16">
                  <c:v>0.14910000000000001</c:v>
                </c:pt>
                <c:pt idx="17">
                  <c:v>0.15140000000000001</c:v>
                </c:pt>
                <c:pt idx="18">
                  <c:v>0.15570000000000001</c:v>
                </c:pt>
                <c:pt idx="19">
                  <c:v>0.15909999999999999</c:v>
                </c:pt>
                <c:pt idx="20">
                  <c:v>0.16350000000000001</c:v>
                </c:pt>
                <c:pt idx="21">
                  <c:v>0.1658</c:v>
                </c:pt>
                <c:pt idx="22">
                  <c:v>0.1699</c:v>
                </c:pt>
                <c:pt idx="23">
                  <c:v>0.17249999999999999</c:v>
                </c:pt>
                <c:pt idx="24">
                  <c:v>0.17630000000000001</c:v>
                </c:pt>
                <c:pt idx="25">
                  <c:v>0.17899999999999999</c:v>
                </c:pt>
                <c:pt idx="26">
                  <c:v>0.18149999999999999</c:v>
                </c:pt>
                <c:pt idx="27">
                  <c:v>0.1855</c:v>
                </c:pt>
                <c:pt idx="28">
                  <c:v>0.18920000000000001</c:v>
                </c:pt>
                <c:pt idx="29">
                  <c:v>0.1923</c:v>
                </c:pt>
                <c:pt idx="30">
                  <c:v>0.19550000000000001</c:v>
                </c:pt>
                <c:pt idx="31">
                  <c:v>0.20050000000000001</c:v>
                </c:pt>
                <c:pt idx="32">
                  <c:v>0.2049</c:v>
                </c:pt>
                <c:pt idx="33">
                  <c:v>0.2097</c:v>
                </c:pt>
                <c:pt idx="34">
                  <c:v>0.21440000000000001</c:v>
                </c:pt>
                <c:pt idx="35">
                  <c:v>0.21820000000000001</c:v>
                </c:pt>
                <c:pt idx="36">
                  <c:v>0.22209999999999999</c:v>
                </c:pt>
                <c:pt idx="37">
                  <c:v>0.22650000000000001</c:v>
                </c:pt>
                <c:pt idx="38">
                  <c:v>0.23400000000000001</c:v>
                </c:pt>
                <c:pt idx="39">
                  <c:v>0.23949999999999999</c:v>
                </c:pt>
                <c:pt idx="40">
                  <c:v>0.24490000000000001</c:v>
                </c:pt>
                <c:pt idx="41">
                  <c:v>0.25030000000000002</c:v>
                </c:pt>
                <c:pt idx="42">
                  <c:v>0.2545</c:v>
                </c:pt>
                <c:pt idx="43">
                  <c:v>0.2596</c:v>
                </c:pt>
                <c:pt idx="44">
                  <c:v>0.26590000000000003</c:v>
                </c:pt>
                <c:pt idx="45">
                  <c:v>0.27289999999999998</c:v>
                </c:pt>
                <c:pt idx="46">
                  <c:v>0.27839999999999998</c:v>
                </c:pt>
                <c:pt idx="47">
                  <c:v>0.28360000000000002</c:v>
                </c:pt>
                <c:pt idx="48">
                  <c:v>0.28960000000000002</c:v>
                </c:pt>
                <c:pt idx="49">
                  <c:v>0.29770000000000002</c:v>
                </c:pt>
                <c:pt idx="50">
                  <c:v>0.30630000000000002</c:v>
                </c:pt>
                <c:pt idx="51">
                  <c:v>0.31369999999999998</c:v>
                </c:pt>
                <c:pt idx="52">
                  <c:v>0.32150000000000001</c:v>
                </c:pt>
                <c:pt idx="53">
                  <c:v>0.3296</c:v>
                </c:pt>
                <c:pt idx="54">
                  <c:v>0.33979999999999999</c:v>
                </c:pt>
                <c:pt idx="55">
                  <c:v>0.3508</c:v>
                </c:pt>
                <c:pt idx="56">
                  <c:v>0.36049999999999999</c:v>
                </c:pt>
                <c:pt idx="57">
                  <c:v>0.37309999999999999</c:v>
                </c:pt>
                <c:pt idx="58">
                  <c:v>0.38640000000000002</c:v>
                </c:pt>
                <c:pt idx="59">
                  <c:v>0.39479999999999998</c:v>
                </c:pt>
                <c:pt idx="60">
                  <c:v>0.40239999999999998</c:v>
                </c:pt>
                <c:pt idx="61">
                  <c:v>0.4138</c:v>
                </c:pt>
                <c:pt idx="62">
                  <c:v>0.42720000000000002</c:v>
                </c:pt>
                <c:pt idx="63">
                  <c:v>0.43709999999999999</c:v>
                </c:pt>
                <c:pt idx="64">
                  <c:v>0.45729999999999998</c:v>
                </c:pt>
                <c:pt idx="65">
                  <c:v>0.47410000000000002</c:v>
                </c:pt>
                <c:pt idx="66">
                  <c:v>0.48920000000000002</c:v>
                </c:pt>
                <c:pt idx="67">
                  <c:v>0.50529999999999997</c:v>
                </c:pt>
                <c:pt idx="68">
                  <c:v>0.5222</c:v>
                </c:pt>
                <c:pt idx="69">
                  <c:v>0.54210000000000003</c:v>
                </c:pt>
                <c:pt idx="70">
                  <c:v>0.56499999999999995</c:v>
                </c:pt>
                <c:pt idx="71">
                  <c:v>0.58579999999999999</c:v>
                </c:pt>
                <c:pt idx="72">
                  <c:v>0.61040000000000005</c:v>
                </c:pt>
                <c:pt idx="73">
                  <c:v>0.63990000000000002</c:v>
                </c:pt>
                <c:pt idx="74">
                  <c:v>0.66869999999999996</c:v>
                </c:pt>
                <c:pt idx="75">
                  <c:v>0.7016</c:v>
                </c:pt>
                <c:pt idx="76">
                  <c:v>0.73829999999999996</c:v>
                </c:pt>
                <c:pt idx="77">
                  <c:v>0.78039999999999998</c:v>
                </c:pt>
                <c:pt idx="78">
                  <c:v>0.82530000000000003</c:v>
                </c:pt>
                <c:pt idx="79">
                  <c:v>0.87319999999999998</c:v>
                </c:pt>
                <c:pt idx="80">
                  <c:v>0.91510000000000002</c:v>
                </c:pt>
                <c:pt idx="81">
                  <c:v>0.9677</c:v>
                </c:pt>
                <c:pt idx="82">
                  <c:v>1.0308999999999999</c:v>
                </c:pt>
                <c:pt idx="83">
                  <c:v>1.1004</c:v>
                </c:pt>
                <c:pt idx="84">
                  <c:v>1.1837</c:v>
                </c:pt>
                <c:pt idx="85">
                  <c:v>1.2706</c:v>
                </c:pt>
                <c:pt idx="86">
                  <c:v>1.3852</c:v>
                </c:pt>
                <c:pt idx="87">
                  <c:v>1.5012000000000001</c:v>
                </c:pt>
                <c:pt idx="88">
                  <c:v>1.6411</c:v>
                </c:pt>
                <c:pt idx="89">
                  <c:v>1.8308</c:v>
                </c:pt>
                <c:pt idx="90">
                  <c:v>2.0512999999999999</c:v>
                </c:pt>
                <c:pt idx="91">
                  <c:v>2.3052000000000001</c:v>
                </c:pt>
                <c:pt idx="92">
                  <c:v>2.6776</c:v>
                </c:pt>
                <c:pt idx="93">
                  <c:v>3.1636000000000002</c:v>
                </c:pt>
                <c:pt idx="94">
                  <c:v>3.8818999999999999</c:v>
                </c:pt>
                <c:pt idx="95">
                  <c:v>4.9793000000000003</c:v>
                </c:pt>
                <c:pt idx="96">
                  <c:v>6.8533999999999997</c:v>
                </c:pt>
                <c:pt idx="97">
                  <c:v>10.51</c:v>
                </c:pt>
              </c:numCache>
            </c:numRef>
          </c:xVal>
          <c:yVal>
            <c:numRef>
              <c:f>Sheet1!$A$3:$A$100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440-4DBE-8B87-FD72A02029D7}"/>
            </c:ext>
          </c:extLst>
        </c:ser>
        <c:ser>
          <c:idx val="6"/>
          <c:order val="3"/>
          <c:tx>
            <c:strRef>
              <c:f>Sheet1!$H$1:$H$2</c:f>
              <c:strCache>
                <c:ptCount val="2"/>
                <c:pt idx="0">
                  <c:v>SE</c:v>
                </c:pt>
                <c:pt idx="1">
                  <c:v>HCp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Sheet1!$H$3:$H$100</c:f>
              <c:numCache>
                <c:formatCode>General</c:formatCode>
                <c:ptCount val="98"/>
                <c:pt idx="0">
                  <c:v>5.0000000000000001E-3</c:v>
                </c:pt>
                <c:pt idx="1">
                  <c:v>6.4000000000000003E-3</c:v>
                </c:pt>
                <c:pt idx="2">
                  <c:v>7.7000000000000002E-3</c:v>
                </c:pt>
                <c:pt idx="3">
                  <c:v>8.9999999999999993E-3</c:v>
                </c:pt>
                <c:pt idx="4">
                  <c:v>1.04E-2</c:v>
                </c:pt>
                <c:pt idx="5">
                  <c:v>1.18E-2</c:v>
                </c:pt>
                <c:pt idx="6">
                  <c:v>1.32E-2</c:v>
                </c:pt>
                <c:pt idx="7">
                  <c:v>1.47E-2</c:v>
                </c:pt>
                <c:pt idx="8">
                  <c:v>1.6299999999999999E-2</c:v>
                </c:pt>
                <c:pt idx="9">
                  <c:v>1.7899999999999999E-2</c:v>
                </c:pt>
                <c:pt idx="10">
                  <c:v>1.9699999999999999E-2</c:v>
                </c:pt>
                <c:pt idx="11">
                  <c:v>2.1499999999999998E-2</c:v>
                </c:pt>
                <c:pt idx="12">
                  <c:v>2.3300000000000001E-2</c:v>
                </c:pt>
                <c:pt idx="13">
                  <c:v>2.53E-2</c:v>
                </c:pt>
                <c:pt idx="14">
                  <c:v>2.7300000000000001E-2</c:v>
                </c:pt>
                <c:pt idx="15">
                  <c:v>2.9499999999999998E-2</c:v>
                </c:pt>
                <c:pt idx="16">
                  <c:v>3.1699999999999999E-2</c:v>
                </c:pt>
                <c:pt idx="17">
                  <c:v>3.4000000000000002E-2</c:v>
                </c:pt>
                <c:pt idx="18">
                  <c:v>3.6499999999999998E-2</c:v>
                </c:pt>
                <c:pt idx="19">
                  <c:v>3.9E-2</c:v>
                </c:pt>
                <c:pt idx="20">
                  <c:v>4.1599999999999998E-2</c:v>
                </c:pt>
                <c:pt idx="21">
                  <c:v>4.4400000000000002E-2</c:v>
                </c:pt>
                <c:pt idx="22">
                  <c:v>4.7199999999999999E-2</c:v>
                </c:pt>
                <c:pt idx="23">
                  <c:v>5.0200000000000002E-2</c:v>
                </c:pt>
                <c:pt idx="24">
                  <c:v>5.33E-2</c:v>
                </c:pt>
                <c:pt idx="25">
                  <c:v>5.6500000000000002E-2</c:v>
                </c:pt>
                <c:pt idx="26">
                  <c:v>5.9900000000000002E-2</c:v>
                </c:pt>
                <c:pt idx="27">
                  <c:v>6.3399999999999998E-2</c:v>
                </c:pt>
                <c:pt idx="28">
                  <c:v>6.7000000000000004E-2</c:v>
                </c:pt>
                <c:pt idx="29">
                  <c:v>7.0699999999999999E-2</c:v>
                </c:pt>
                <c:pt idx="30">
                  <c:v>7.46E-2</c:v>
                </c:pt>
                <c:pt idx="31">
                  <c:v>7.8700000000000006E-2</c:v>
                </c:pt>
                <c:pt idx="32">
                  <c:v>8.2900000000000001E-2</c:v>
                </c:pt>
                <c:pt idx="33">
                  <c:v>8.72E-2</c:v>
                </c:pt>
                <c:pt idx="34">
                  <c:v>9.1700000000000004E-2</c:v>
                </c:pt>
                <c:pt idx="35">
                  <c:v>9.64E-2</c:v>
                </c:pt>
                <c:pt idx="36">
                  <c:v>0.1012</c:v>
                </c:pt>
                <c:pt idx="37">
                  <c:v>0.10630000000000001</c:v>
                </c:pt>
                <c:pt idx="38">
                  <c:v>0.1115</c:v>
                </c:pt>
                <c:pt idx="39">
                  <c:v>0.1168</c:v>
                </c:pt>
                <c:pt idx="40">
                  <c:v>0.12239999999999999</c:v>
                </c:pt>
                <c:pt idx="41">
                  <c:v>0.12820000000000001</c:v>
                </c:pt>
                <c:pt idx="42">
                  <c:v>0.1341</c:v>
                </c:pt>
                <c:pt idx="43">
                  <c:v>0.14030000000000001</c:v>
                </c:pt>
                <c:pt idx="44">
                  <c:v>0.1467</c:v>
                </c:pt>
                <c:pt idx="45">
                  <c:v>0.1532</c:v>
                </c:pt>
                <c:pt idx="46">
                  <c:v>0.16</c:v>
                </c:pt>
                <c:pt idx="47">
                  <c:v>0.1671</c:v>
                </c:pt>
                <c:pt idx="48">
                  <c:v>0.17430000000000001</c:v>
                </c:pt>
                <c:pt idx="49">
                  <c:v>0.18179999999999999</c:v>
                </c:pt>
                <c:pt idx="50">
                  <c:v>0.18959999999999999</c:v>
                </c:pt>
                <c:pt idx="51">
                  <c:v>0.19789999999999999</c:v>
                </c:pt>
                <c:pt idx="52">
                  <c:v>0.20660000000000001</c:v>
                </c:pt>
                <c:pt idx="53">
                  <c:v>0.2157</c:v>
                </c:pt>
                <c:pt idx="54">
                  <c:v>0.22539999999999999</c:v>
                </c:pt>
                <c:pt idx="55">
                  <c:v>0.23569999999999999</c:v>
                </c:pt>
                <c:pt idx="56">
                  <c:v>0.2465</c:v>
                </c:pt>
                <c:pt idx="57">
                  <c:v>0.25790000000000002</c:v>
                </c:pt>
                <c:pt idx="58">
                  <c:v>0.27010000000000001</c:v>
                </c:pt>
                <c:pt idx="59">
                  <c:v>0.28289999999999998</c:v>
                </c:pt>
                <c:pt idx="60">
                  <c:v>0.29659999999999997</c:v>
                </c:pt>
                <c:pt idx="61">
                  <c:v>0.31109999999999999</c:v>
                </c:pt>
                <c:pt idx="62">
                  <c:v>0.32650000000000001</c:v>
                </c:pt>
                <c:pt idx="63">
                  <c:v>0.34289999999999998</c:v>
                </c:pt>
                <c:pt idx="64">
                  <c:v>0.3604</c:v>
                </c:pt>
                <c:pt idx="65">
                  <c:v>0.379</c:v>
                </c:pt>
                <c:pt idx="66">
                  <c:v>0.39889999999999998</c:v>
                </c:pt>
                <c:pt idx="67">
                  <c:v>0.42020000000000002</c:v>
                </c:pt>
                <c:pt idx="68">
                  <c:v>0.443</c:v>
                </c:pt>
                <c:pt idx="69">
                  <c:v>0.46739999999999998</c:v>
                </c:pt>
                <c:pt idx="70">
                  <c:v>0.49359999999999998</c:v>
                </c:pt>
                <c:pt idx="71">
                  <c:v>0.52180000000000004</c:v>
                </c:pt>
                <c:pt idx="72">
                  <c:v>0.55210000000000004</c:v>
                </c:pt>
                <c:pt idx="73">
                  <c:v>0.58479999999999999</c:v>
                </c:pt>
                <c:pt idx="74">
                  <c:v>0.62009999999999998</c:v>
                </c:pt>
                <c:pt idx="75">
                  <c:v>0.6583</c:v>
                </c:pt>
                <c:pt idx="76">
                  <c:v>0.69979999999999998</c:v>
                </c:pt>
                <c:pt idx="77">
                  <c:v>0.74490000000000001</c:v>
                </c:pt>
                <c:pt idx="78">
                  <c:v>0.79410000000000003</c:v>
                </c:pt>
                <c:pt idx="79">
                  <c:v>0.84770000000000001</c:v>
                </c:pt>
                <c:pt idx="80">
                  <c:v>0.90659999999999996</c:v>
                </c:pt>
                <c:pt idx="81">
                  <c:v>0.97119999999999995</c:v>
                </c:pt>
                <c:pt idx="82">
                  <c:v>1.0425</c:v>
                </c:pt>
                <c:pt idx="83">
                  <c:v>1.1213</c:v>
                </c:pt>
                <c:pt idx="84">
                  <c:v>1.2089000000000001</c:v>
                </c:pt>
                <c:pt idx="85">
                  <c:v>1.3067</c:v>
                </c:pt>
                <c:pt idx="86">
                  <c:v>1.4165000000000001</c:v>
                </c:pt>
                <c:pt idx="87">
                  <c:v>1.5403</c:v>
                </c:pt>
                <c:pt idx="88">
                  <c:v>1.6809000000000001</c:v>
                </c:pt>
                <c:pt idx="89">
                  <c:v>1.8418000000000001</c:v>
                </c:pt>
                <c:pt idx="90">
                  <c:v>2.0276999999999998</c:v>
                </c:pt>
                <c:pt idx="91">
                  <c:v>2.2446000000000002</c:v>
                </c:pt>
                <c:pt idx="92">
                  <c:v>2.5011000000000001</c:v>
                </c:pt>
                <c:pt idx="93">
                  <c:v>2.8094999999999999</c:v>
                </c:pt>
                <c:pt idx="94">
                  <c:v>3.1880999999999999</c:v>
                </c:pt>
                <c:pt idx="95">
                  <c:v>3.6665999999999999</c:v>
                </c:pt>
                <c:pt idx="96">
                  <c:v>4.2972999999999999</c:v>
                </c:pt>
                <c:pt idx="97">
                  <c:v>5.1875999999999998</c:v>
                </c:pt>
              </c:numCache>
            </c:numRef>
          </c:xVal>
          <c:yVal>
            <c:numRef>
              <c:f>Sheet1!$A$3:$A$100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440-4DBE-8B87-FD72A02029D7}"/>
            </c:ext>
          </c:extLst>
        </c:ser>
        <c:ser>
          <c:idx val="9"/>
          <c:order val="4"/>
          <c:tx>
            <c:strRef>
              <c:f>Sheet1!$K$1:$K$2</c:f>
              <c:strCache>
                <c:ptCount val="2"/>
                <c:pt idx="0">
                  <c:v>SE</c:v>
                </c:pt>
                <c:pt idx="1">
                  <c:v>Lower CI</c:v>
                </c:pt>
              </c:strCache>
            </c:strRef>
          </c:tx>
          <c:spPr>
            <a:ln w="25400" cap="rnd">
              <a:solidFill>
                <a:srgbClr val="0070C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Sheet1!$K$3:$K$100</c:f>
              <c:numCache>
                <c:formatCode>0.00E+00</c:formatCode>
                <c:ptCount val="98"/>
                <c:pt idx="0">
                  <c:v>6.8183999999999996E-4</c:v>
                </c:pt>
                <c:pt idx="1">
                  <c:v>9.4107000000000001E-4</c:v>
                </c:pt>
                <c:pt idx="2" formatCode="General">
                  <c:v>1.1999999999999999E-3</c:v>
                </c:pt>
                <c:pt idx="3" formatCode="General">
                  <c:v>1.6000000000000001E-3</c:v>
                </c:pt>
                <c:pt idx="4" formatCode="General">
                  <c:v>1.9E-3</c:v>
                </c:pt>
                <c:pt idx="5" formatCode="General">
                  <c:v>2.3E-3</c:v>
                </c:pt>
                <c:pt idx="6" formatCode="General">
                  <c:v>2.8E-3</c:v>
                </c:pt>
                <c:pt idx="7" formatCode="General">
                  <c:v>3.3E-3</c:v>
                </c:pt>
                <c:pt idx="8" formatCode="General">
                  <c:v>3.7000000000000002E-3</c:v>
                </c:pt>
                <c:pt idx="9" formatCode="General">
                  <c:v>4.3E-3</c:v>
                </c:pt>
                <c:pt idx="10" formatCode="General">
                  <c:v>4.7999999999999996E-3</c:v>
                </c:pt>
                <c:pt idx="11" formatCode="General">
                  <c:v>5.4000000000000003E-3</c:v>
                </c:pt>
                <c:pt idx="12" formatCode="General">
                  <c:v>6.0000000000000001E-3</c:v>
                </c:pt>
                <c:pt idx="13" formatCode="General">
                  <c:v>6.7000000000000002E-3</c:v>
                </c:pt>
                <c:pt idx="14" formatCode="General">
                  <c:v>7.4000000000000003E-3</c:v>
                </c:pt>
                <c:pt idx="15" formatCode="General">
                  <c:v>8.2000000000000007E-3</c:v>
                </c:pt>
                <c:pt idx="16" formatCode="General">
                  <c:v>8.9999999999999993E-3</c:v>
                </c:pt>
                <c:pt idx="17" formatCode="General">
                  <c:v>9.7999999999999997E-3</c:v>
                </c:pt>
                <c:pt idx="18" formatCode="General">
                  <c:v>1.0699999999999999E-2</c:v>
                </c:pt>
                <c:pt idx="19" formatCode="General">
                  <c:v>1.17E-2</c:v>
                </c:pt>
                <c:pt idx="20" formatCode="General">
                  <c:v>1.2800000000000001E-2</c:v>
                </c:pt>
                <c:pt idx="21" formatCode="General">
                  <c:v>1.3899999999999999E-2</c:v>
                </c:pt>
                <c:pt idx="22" formatCode="General">
                  <c:v>1.5100000000000001E-2</c:v>
                </c:pt>
                <c:pt idx="23" formatCode="General">
                  <c:v>1.66E-2</c:v>
                </c:pt>
                <c:pt idx="24" formatCode="General">
                  <c:v>1.77E-2</c:v>
                </c:pt>
                <c:pt idx="25" formatCode="General">
                  <c:v>1.9199999999999998E-2</c:v>
                </c:pt>
                <c:pt idx="26" formatCode="General">
                  <c:v>2.07E-2</c:v>
                </c:pt>
                <c:pt idx="27" formatCode="General">
                  <c:v>2.23E-2</c:v>
                </c:pt>
                <c:pt idx="28" formatCode="General">
                  <c:v>2.3900000000000001E-2</c:v>
                </c:pt>
                <c:pt idx="29" formatCode="General">
                  <c:v>2.5700000000000001E-2</c:v>
                </c:pt>
                <c:pt idx="30" formatCode="General">
                  <c:v>2.75E-2</c:v>
                </c:pt>
                <c:pt idx="31" formatCode="General">
                  <c:v>2.92E-2</c:v>
                </c:pt>
                <c:pt idx="32" formatCode="General">
                  <c:v>3.1300000000000001E-2</c:v>
                </c:pt>
                <c:pt idx="33" formatCode="General">
                  <c:v>3.2899999999999999E-2</c:v>
                </c:pt>
                <c:pt idx="34" formatCode="General">
                  <c:v>3.4599999999999999E-2</c:v>
                </c:pt>
                <c:pt idx="35" formatCode="General">
                  <c:v>3.6400000000000002E-2</c:v>
                </c:pt>
                <c:pt idx="36" formatCode="General">
                  <c:v>3.8199999999999998E-2</c:v>
                </c:pt>
                <c:pt idx="37" formatCode="General">
                  <c:v>4.0099999999999997E-2</c:v>
                </c:pt>
                <c:pt idx="38" formatCode="General">
                  <c:v>4.24E-2</c:v>
                </c:pt>
                <c:pt idx="39" formatCode="General">
                  <c:v>4.4499999999999998E-2</c:v>
                </c:pt>
                <c:pt idx="40" formatCode="General">
                  <c:v>4.6399999999999997E-2</c:v>
                </c:pt>
                <c:pt idx="41" formatCode="General">
                  <c:v>4.8800000000000003E-2</c:v>
                </c:pt>
                <c:pt idx="42" formatCode="General">
                  <c:v>5.1299999999999998E-2</c:v>
                </c:pt>
                <c:pt idx="43" formatCode="General">
                  <c:v>5.3900000000000003E-2</c:v>
                </c:pt>
                <c:pt idx="44" formatCode="General">
                  <c:v>5.6899999999999999E-2</c:v>
                </c:pt>
                <c:pt idx="45" formatCode="General">
                  <c:v>5.9200000000000003E-2</c:v>
                </c:pt>
                <c:pt idx="46" formatCode="General">
                  <c:v>6.1499999999999999E-2</c:v>
                </c:pt>
                <c:pt idx="47" formatCode="General">
                  <c:v>6.4000000000000001E-2</c:v>
                </c:pt>
                <c:pt idx="48" formatCode="General">
                  <c:v>6.6699999999999995E-2</c:v>
                </c:pt>
                <c:pt idx="49" formatCode="General">
                  <c:v>6.9699999999999998E-2</c:v>
                </c:pt>
                <c:pt idx="50" formatCode="General">
                  <c:v>7.2999999999999995E-2</c:v>
                </c:pt>
                <c:pt idx="51" formatCode="General">
                  <c:v>7.6700000000000004E-2</c:v>
                </c:pt>
                <c:pt idx="52" formatCode="General">
                  <c:v>8.0299999999999996E-2</c:v>
                </c:pt>
                <c:pt idx="53" formatCode="General">
                  <c:v>8.3400000000000002E-2</c:v>
                </c:pt>
                <c:pt idx="54" formatCode="General">
                  <c:v>8.8200000000000001E-2</c:v>
                </c:pt>
                <c:pt idx="55" formatCode="General">
                  <c:v>9.3299999999999994E-2</c:v>
                </c:pt>
                <c:pt idx="56" formatCode="General">
                  <c:v>9.5500000000000002E-2</c:v>
                </c:pt>
                <c:pt idx="57" formatCode="General">
                  <c:v>9.9500000000000005E-2</c:v>
                </c:pt>
                <c:pt idx="58" formatCode="General">
                  <c:v>0.1038</c:v>
                </c:pt>
                <c:pt idx="59" formatCode="General">
                  <c:v>0.10929999999999999</c:v>
                </c:pt>
                <c:pt idx="60" formatCode="General">
                  <c:v>0.1142</c:v>
                </c:pt>
                <c:pt idx="61" formatCode="General">
                  <c:v>0.12</c:v>
                </c:pt>
                <c:pt idx="62" formatCode="General">
                  <c:v>0.1249</c:v>
                </c:pt>
                <c:pt idx="63" formatCode="General">
                  <c:v>0.13009999999999999</c:v>
                </c:pt>
                <c:pt idx="64" formatCode="General">
                  <c:v>0.13639999999999999</c:v>
                </c:pt>
                <c:pt idx="65" formatCode="General">
                  <c:v>0.14419999999999999</c:v>
                </c:pt>
                <c:pt idx="66" formatCode="General">
                  <c:v>0.1515</c:v>
                </c:pt>
                <c:pt idx="67" formatCode="General">
                  <c:v>0.16009999999999999</c:v>
                </c:pt>
                <c:pt idx="68" formatCode="General">
                  <c:v>0.1694</c:v>
                </c:pt>
                <c:pt idx="69" formatCode="General">
                  <c:v>0.17810000000000001</c:v>
                </c:pt>
                <c:pt idx="70" formatCode="General">
                  <c:v>0.18609999999999999</c:v>
                </c:pt>
                <c:pt idx="71" formatCode="General">
                  <c:v>0.1961</c:v>
                </c:pt>
                <c:pt idx="72" formatCode="General">
                  <c:v>0.20480000000000001</c:v>
                </c:pt>
                <c:pt idx="73" formatCode="General">
                  <c:v>0.2167</c:v>
                </c:pt>
                <c:pt idx="74" formatCode="General">
                  <c:v>0.2296</c:v>
                </c:pt>
                <c:pt idx="75" formatCode="General">
                  <c:v>0.24349999999999999</c:v>
                </c:pt>
                <c:pt idx="76" formatCode="General">
                  <c:v>0.25850000000000001</c:v>
                </c:pt>
                <c:pt idx="77" formatCode="General">
                  <c:v>0.27260000000000001</c:v>
                </c:pt>
                <c:pt idx="78" formatCode="General">
                  <c:v>0.28760000000000002</c:v>
                </c:pt>
                <c:pt idx="79" formatCode="General">
                  <c:v>0.30220000000000002</c:v>
                </c:pt>
                <c:pt idx="80" formatCode="General">
                  <c:v>0.31669999999999998</c:v>
                </c:pt>
                <c:pt idx="81" formatCode="General">
                  <c:v>0.33679999999999999</c:v>
                </c:pt>
                <c:pt idx="82" formatCode="General">
                  <c:v>0.35599999999999998</c:v>
                </c:pt>
                <c:pt idx="83" formatCode="General">
                  <c:v>0.377</c:v>
                </c:pt>
                <c:pt idx="84" formatCode="General">
                  <c:v>0.4017</c:v>
                </c:pt>
                <c:pt idx="85" formatCode="General">
                  <c:v>0.43130000000000002</c:v>
                </c:pt>
                <c:pt idx="86" formatCode="General">
                  <c:v>0.46550000000000002</c:v>
                </c:pt>
                <c:pt idx="87" formatCode="General">
                  <c:v>0.49919999999999998</c:v>
                </c:pt>
                <c:pt idx="88" formatCode="General">
                  <c:v>0.54279999999999995</c:v>
                </c:pt>
                <c:pt idx="89" formatCode="General">
                  <c:v>0.59</c:v>
                </c:pt>
                <c:pt idx="90" formatCode="General">
                  <c:v>0.63460000000000005</c:v>
                </c:pt>
                <c:pt idx="91" formatCode="General">
                  <c:v>0.69799999999999995</c:v>
                </c:pt>
                <c:pt idx="92" formatCode="General">
                  <c:v>0.74739999999999995</c:v>
                </c:pt>
                <c:pt idx="93" formatCode="General">
                  <c:v>0.81579999999999997</c:v>
                </c:pt>
                <c:pt idx="94" formatCode="General">
                  <c:v>0.9012</c:v>
                </c:pt>
                <c:pt idx="95" formatCode="General">
                  <c:v>0.98750000000000004</c:v>
                </c:pt>
                <c:pt idx="96" formatCode="General">
                  <c:v>1.0954999999999999</c:v>
                </c:pt>
                <c:pt idx="97" formatCode="General">
                  <c:v>1.2633000000000001</c:v>
                </c:pt>
              </c:numCache>
            </c:numRef>
          </c:xVal>
          <c:yVal>
            <c:numRef>
              <c:f>Sheet1!$A$3:$A$100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440-4DBE-8B87-FD72A02029D7}"/>
            </c:ext>
          </c:extLst>
        </c:ser>
        <c:ser>
          <c:idx val="10"/>
          <c:order val="5"/>
          <c:tx>
            <c:strRef>
              <c:f>Sheet1!$L$1:$L$2</c:f>
              <c:strCache>
                <c:ptCount val="2"/>
                <c:pt idx="0">
                  <c:v>SE</c:v>
                </c:pt>
                <c:pt idx="1">
                  <c:v>Upper CI</c:v>
                </c:pt>
              </c:strCache>
            </c:strRef>
          </c:tx>
          <c:spPr>
            <a:ln w="25400" cap="rnd">
              <a:solidFill>
                <a:srgbClr val="0070C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Sheet1!$L$3:$L$100</c:f>
              <c:numCache>
                <c:formatCode>General</c:formatCode>
                <c:ptCount val="98"/>
                <c:pt idx="0">
                  <c:v>2.6499999999999999E-2</c:v>
                </c:pt>
                <c:pt idx="1">
                  <c:v>3.09E-2</c:v>
                </c:pt>
                <c:pt idx="2">
                  <c:v>3.5099999999999999E-2</c:v>
                </c:pt>
                <c:pt idx="3">
                  <c:v>3.9800000000000002E-2</c:v>
                </c:pt>
                <c:pt idx="4">
                  <c:v>4.4699999999999997E-2</c:v>
                </c:pt>
                <c:pt idx="5">
                  <c:v>4.99E-2</c:v>
                </c:pt>
                <c:pt idx="6">
                  <c:v>5.5100000000000003E-2</c:v>
                </c:pt>
                <c:pt idx="7">
                  <c:v>6.0400000000000002E-2</c:v>
                </c:pt>
                <c:pt idx="8">
                  <c:v>6.5799999999999997E-2</c:v>
                </c:pt>
                <c:pt idx="9">
                  <c:v>6.9599999999999995E-2</c:v>
                </c:pt>
                <c:pt idx="10">
                  <c:v>7.2800000000000004E-2</c:v>
                </c:pt>
                <c:pt idx="11">
                  <c:v>7.9100000000000004E-2</c:v>
                </c:pt>
                <c:pt idx="12">
                  <c:v>8.5199999999999998E-2</c:v>
                </c:pt>
                <c:pt idx="13">
                  <c:v>8.9599999999999999E-2</c:v>
                </c:pt>
                <c:pt idx="14">
                  <c:v>9.5399999999999999E-2</c:v>
                </c:pt>
                <c:pt idx="15">
                  <c:v>9.8699999999999996E-2</c:v>
                </c:pt>
                <c:pt idx="16">
                  <c:v>0.1042</c:v>
                </c:pt>
                <c:pt idx="17">
                  <c:v>0.1118</c:v>
                </c:pt>
                <c:pt idx="18">
                  <c:v>0.1192</c:v>
                </c:pt>
                <c:pt idx="19">
                  <c:v>0.126</c:v>
                </c:pt>
                <c:pt idx="20">
                  <c:v>0.1348</c:v>
                </c:pt>
                <c:pt idx="21">
                  <c:v>0.14299999999999999</c:v>
                </c:pt>
                <c:pt idx="22">
                  <c:v>0.1515</c:v>
                </c:pt>
                <c:pt idx="23">
                  <c:v>0.15970000000000001</c:v>
                </c:pt>
                <c:pt idx="24">
                  <c:v>0.16830000000000001</c:v>
                </c:pt>
                <c:pt idx="25">
                  <c:v>0.17580000000000001</c:v>
                </c:pt>
                <c:pt idx="26">
                  <c:v>0.1835</c:v>
                </c:pt>
                <c:pt idx="27">
                  <c:v>0.19439999999999999</c:v>
                </c:pt>
                <c:pt idx="28">
                  <c:v>0.20280000000000001</c:v>
                </c:pt>
                <c:pt idx="29">
                  <c:v>0.2145</c:v>
                </c:pt>
                <c:pt idx="30">
                  <c:v>0.22600000000000001</c:v>
                </c:pt>
                <c:pt idx="31">
                  <c:v>0.23649999999999999</c:v>
                </c:pt>
                <c:pt idx="32">
                  <c:v>0.2495</c:v>
                </c:pt>
                <c:pt idx="33">
                  <c:v>0.26229999999999998</c:v>
                </c:pt>
                <c:pt idx="34">
                  <c:v>0.27029999999999998</c:v>
                </c:pt>
                <c:pt idx="35">
                  <c:v>0.28160000000000002</c:v>
                </c:pt>
                <c:pt idx="36">
                  <c:v>0.29370000000000002</c:v>
                </c:pt>
                <c:pt idx="37">
                  <c:v>0.30790000000000001</c:v>
                </c:pt>
                <c:pt idx="38">
                  <c:v>0.32419999999999999</c:v>
                </c:pt>
                <c:pt idx="39">
                  <c:v>0.34139999999999998</c:v>
                </c:pt>
                <c:pt idx="40">
                  <c:v>0.3599</c:v>
                </c:pt>
                <c:pt idx="41">
                  <c:v>0.37709999999999999</c:v>
                </c:pt>
                <c:pt idx="42">
                  <c:v>0.39439999999999997</c:v>
                </c:pt>
                <c:pt idx="43">
                  <c:v>0.4098</c:v>
                </c:pt>
                <c:pt idx="44">
                  <c:v>0.42549999999999999</c:v>
                </c:pt>
                <c:pt idx="45">
                  <c:v>0.44169999999999998</c:v>
                </c:pt>
                <c:pt idx="46">
                  <c:v>0.46379999999999999</c:v>
                </c:pt>
                <c:pt idx="47">
                  <c:v>0.48980000000000001</c:v>
                </c:pt>
                <c:pt idx="48">
                  <c:v>0.51739999999999997</c:v>
                </c:pt>
                <c:pt idx="49">
                  <c:v>0.5302</c:v>
                </c:pt>
                <c:pt idx="50">
                  <c:v>0.55100000000000005</c:v>
                </c:pt>
                <c:pt idx="51">
                  <c:v>0.57320000000000004</c:v>
                </c:pt>
                <c:pt idx="52">
                  <c:v>0.59240000000000004</c:v>
                </c:pt>
                <c:pt idx="53">
                  <c:v>0.61829999999999996</c:v>
                </c:pt>
                <c:pt idx="54">
                  <c:v>0.64690000000000003</c:v>
                </c:pt>
                <c:pt idx="55">
                  <c:v>0.67420000000000002</c:v>
                </c:pt>
                <c:pt idx="56">
                  <c:v>0.70289999999999997</c:v>
                </c:pt>
                <c:pt idx="57">
                  <c:v>0.74</c:v>
                </c:pt>
                <c:pt idx="58">
                  <c:v>0.76519999999999999</c:v>
                </c:pt>
                <c:pt idx="59">
                  <c:v>0.79900000000000004</c:v>
                </c:pt>
                <c:pt idx="60">
                  <c:v>0.84799999999999998</c:v>
                </c:pt>
                <c:pt idx="61">
                  <c:v>0.90269999999999995</c:v>
                </c:pt>
                <c:pt idx="62">
                  <c:v>0.96109999999999995</c:v>
                </c:pt>
                <c:pt idx="63">
                  <c:v>1.0125999999999999</c:v>
                </c:pt>
                <c:pt idx="64">
                  <c:v>1.0676000000000001</c:v>
                </c:pt>
                <c:pt idx="65">
                  <c:v>1.1389</c:v>
                </c:pt>
                <c:pt idx="66">
                  <c:v>1.2181</c:v>
                </c:pt>
                <c:pt idx="67">
                  <c:v>1.2850999999999999</c:v>
                </c:pt>
                <c:pt idx="68">
                  <c:v>1.3582000000000001</c:v>
                </c:pt>
                <c:pt idx="69">
                  <c:v>1.4493</c:v>
                </c:pt>
                <c:pt idx="70">
                  <c:v>1.5510999999999999</c:v>
                </c:pt>
                <c:pt idx="71">
                  <c:v>1.6553</c:v>
                </c:pt>
                <c:pt idx="72">
                  <c:v>1.7786999999999999</c:v>
                </c:pt>
                <c:pt idx="73">
                  <c:v>1.8783000000000001</c:v>
                </c:pt>
                <c:pt idx="74">
                  <c:v>1.9904999999999999</c:v>
                </c:pt>
                <c:pt idx="75">
                  <c:v>2.1355</c:v>
                </c:pt>
                <c:pt idx="76">
                  <c:v>2.2904</c:v>
                </c:pt>
                <c:pt idx="77">
                  <c:v>2.4691999999999998</c:v>
                </c:pt>
                <c:pt idx="78">
                  <c:v>2.6694</c:v>
                </c:pt>
                <c:pt idx="79">
                  <c:v>2.8773</c:v>
                </c:pt>
                <c:pt idx="80">
                  <c:v>3.1355</c:v>
                </c:pt>
                <c:pt idx="81">
                  <c:v>3.4441999999999999</c:v>
                </c:pt>
                <c:pt idx="82">
                  <c:v>3.7745000000000002</c:v>
                </c:pt>
                <c:pt idx="83">
                  <c:v>4.1811999999999996</c:v>
                </c:pt>
                <c:pt idx="84">
                  <c:v>4.6010999999999997</c:v>
                </c:pt>
                <c:pt idx="85">
                  <c:v>5.0795000000000003</c:v>
                </c:pt>
                <c:pt idx="86">
                  <c:v>5.6280000000000001</c:v>
                </c:pt>
                <c:pt idx="87">
                  <c:v>6.319</c:v>
                </c:pt>
                <c:pt idx="88">
                  <c:v>7.0483000000000002</c:v>
                </c:pt>
                <c:pt idx="89">
                  <c:v>7.9930000000000003</c:v>
                </c:pt>
                <c:pt idx="90">
                  <c:v>9.1152999999999995</c:v>
                </c:pt>
                <c:pt idx="91">
                  <c:v>10.38</c:v>
                </c:pt>
                <c:pt idx="92">
                  <c:v>11.9816</c:v>
                </c:pt>
                <c:pt idx="93">
                  <c:v>14.2394</c:v>
                </c:pt>
                <c:pt idx="94">
                  <c:v>16.571000000000002</c:v>
                </c:pt>
                <c:pt idx="95">
                  <c:v>19.792300000000001</c:v>
                </c:pt>
                <c:pt idx="96">
                  <c:v>24.890899999999998</c:v>
                </c:pt>
                <c:pt idx="97">
                  <c:v>33.214199999999998</c:v>
                </c:pt>
              </c:numCache>
            </c:numRef>
          </c:xVal>
          <c:yVal>
            <c:numRef>
              <c:f>Sheet1!$A$3:$A$100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440-4DBE-8B87-FD72A02029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7422448"/>
        <c:axId val="1297429336"/>
        <c:extLst/>
      </c:scatterChart>
      <c:valAx>
        <c:axId val="1297422448"/>
        <c:scaling>
          <c:logBase val="10"/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429336"/>
        <c:crosses val="autoZero"/>
        <c:crossBetween val="midCat"/>
      </c:valAx>
      <c:valAx>
        <c:axId val="12974293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4224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2018-03-15T19:13:04+00:00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a5d1ca4e-0a3f-4119-b619-e20b93ebd1aa">
      <UserInfo>
        <DisplayName>Garber, Kristina</DisplayName>
        <AccountId>815</AccountId>
        <AccountType/>
      </UserInfo>
    </SharedWithUsers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F295-CE3D-43DE-9F44-3A29A00FA21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1568028-DBA5-495D-866D-E36F59F51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F128D-70D7-4187-9A5D-011952538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B60D1-FD99-4590-A0D2-EE630592A2B4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.v3"/>
    <ds:schemaRef ds:uri="http://schemas.microsoft.com/office/infopath/2007/PartnerControls"/>
    <ds:schemaRef ds:uri="http://schemas.microsoft.com/office/2006/documentManagement/types"/>
    <ds:schemaRef ds:uri="1b69afd8-9bdb-481b-b26a-06cbd17fa30c"/>
    <ds:schemaRef ds:uri="http://schemas.microsoft.com/sharepoint/v3/fields"/>
    <ds:schemaRef ds:uri="a5d1ca4e-0a3f-4119-b619-e20b93ebd1aa"/>
    <ds:schemaRef ds:uri="4ffa91fb-a0ff-4ac5-b2db-65c790d184a4"/>
    <ds:schemaRef ds:uri="http://schemas.microsoft.com/sharepoint/v3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9596F0F-D0A5-4356-9E1D-61ACF184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1445</Words>
  <Characters>8240</Characters>
  <Application>Microsoft Office Word</Application>
  <DocSecurity>10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Louie-Juzwiak, Rosanna</cp:lastModifiedBy>
  <cp:revision>3</cp:revision>
  <dcterms:created xsi:type="dcterms:W3CDTF">2020-10-08T09:38:00Z</dcterms:created>
  <dcterms:modified xsi:type="dcterms:W3CDTF">2020-10-08T09:43:00Z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0x010100468ED9461BD0F242A21E59CB3747CA89</vt:lpwstr>
  </property>
  <property fmtid="{D5CDD505-2E9C-101B-9397-08002B2CF9AE}" pid="4" name="EPA Subject">
    <vt:lpwstr/>
  </property>
  <property fmtid="{D5CDD505-2E9C-101B-9397-08002B2CF9AE}" pid="5" name="Document Type">
    <vt:lpwstr/>
  </property>
</Properties>
</file>