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0305" w14:textId="187102F4" w:rsidR="00BF5A60" w:rsidRPr="000730F1" w:rsidRDefault="000730F1" w:rsidP="00BF5A60">
      <w:pPr>
        <w:pStyle w:val="Heading1"/>
        <w:rPr>
          <w:rFonts w:asciiTheme="minorHAnsi" w:hAnsiTheme="minorHAnsi" w:cstheme="minorHAnsi"/>
          <w:b/>
          <w:bCs/>
          <w:color w:val="4472C4" w:themeColor="accent1"/>
        </w:rPr>
      </w:pPr>
      <w:r w:rsidRPr="000730F1">
        <w:rPr>
          <w:rFonts w:asciiTheme="minorHAnsi" w:hAnsiTheme="minorHAnsi" w:cstheme="minorHAnsi"/>
          <w:b/>
          <w:bCs/>
          <w:color w:val="4472C4" w:themeColor="accent1"/>
        </w:rPr>
        <w:t xml:space="preserve">APPENDIX </w:t>
      </w:r>
      <w:r w:rsidR="00BF5A60" w:rsidRPr="000730F1">
        <w:rPr>
          <w:rFonts w:asciiTheme="minorHAnsi" w:hAnsiTheme="minorHAnsi" w:cstheme="minorHAnsi"/>
          <w:b/>
          <w:bCs/>
          <w:color w:val="4472C4" w:themeColor="accent1"/>
        </w:rPr>
        <w:t xml:space="preserve">2-3. Open Literature Review Summaries for </w:t>
      </w:r>
      <w:r w:rsidR="00B96BF9" w:rsidRPr="000730F1">
        <w:rPr>
          <w:rFonts w:asciiTheme="minorHAnsi" w:hAnsiTheme="minorHAnsi" w:cstheme="minorHAnsi"/>
          <w:b/>
          <w:bCs/>
          <w:color w:val="4472C4" w:themeColor="accent1"/>
        </w:rPr>
        <w:t>Prop</w:t>
      </w:r>
      <w:r w:rsidR="00BF5A60" w:rsidRPr="000730F1">
        <w:rPr>
          <w:rFonts w:asciiTheme="minorHAnsi" w:hAnsiTheme="minorHAnsi" w:cstheme="minorHAnsi"/>
          <w:b/>
          <w:bCs/>
          <w:color w:val="4472C4" w:themeColor="accent1"/>
        </w:rPr>
        <w:t>azine</w:t>
      </w:r>
    </w:p>
    <w:p w14:paraId="147B467C" w14:textId="77777777" w:rsidR="00BF5A60" w:rsidRDefault="00BF5A60" w:rsidP="00730432">
      <w:pPr>
        <w:outlineLvl w:val="2"/>
        <w:rPr>
          <w:rFonts w:asciiTheme="minorHAnsi" w:hAnsiTheme="minorHAnsi" w:cstheme="minorBidi"/>
          <w:b/>
          <w:bCs/>
          <w:color w:val="000000"/>
          <w:sz w:val="22"/>
          <w:szCs w:val="22"/>
          <w:u w:val="single"/>
          <w:lang w:val="en"/>
        </w:rPr>
      </w:pPr>
      <w:bookmarkStart w:id="0" w:name="_GoBack"/>
      <w:bookmarkEnd w:id="0"/>
    </w:p>
    <w:p w14:paraId="6F747882" w14:textId="77777777" w:rsidR="00BF5A60" w:rsidRDefault="00BF5A60" w:rsidP="00730432">
      <w:pPr>
        <w:outlineLvl w:val="2"/>
        <w:rPr>
          <w:rFonts w:asciiTheme="minorHAnsi" w:hAnsiTheme="minorHAnsi" w:cstheme="minorBidi"/>
          <w:b/>
          <w:bCs/>
          <w:color w:val="000000"/>
          <w:sz w:val="22"/>
          <w:szCs w:val="22"/>
          <w:u w:val="single"/>
          <w:lang w:val="en"/>
        </w:rPr>
      </w:pPr>
    </w:p>
    <w:p w14:paraId="399BBBC2" w14:textId="584BCFEC" w:rsidR="00730432" w:rsidRPr="00C32591" w:rsidRDefault="00730432" w:rsidP="00730432">
      <w:pPr>
        <w:outlineLvl w:val="2"/>
        <w:rPr>
          <w:rFonts w:asciiTheme="minorHAnsi" w:hAnsiTheme="minorHAnsi" w:cstheme="minorBidi"/>
          <w:b/>
          <w:bCs/>
          <w:color w:val="000000"/>
          <w:sz w:val="22"/>
          <w:szCs w:val="22"/>
          <w:u w:val="single"/>
          <w:lang w:val="en"/>
        </w:rPr>
      </w:pPr>
      <w:r w:rsidRPr="00C32591">
        <w:rPr>
          <w:rFonts w:asciiTheme="minorHAnsi" w:hAnsiTheme="minorHAnsi" w:cstheme="minorBidi"/>
          <w:b/>
          <w:bCs/>
          <w:color w:val="000000"/>
          <w:sz w:val="22"/>
          <w:szCs w:val="22"/>
          <w:u w:val="single"/>
          <w:lang w:val="en"/>
        </w:rPr>
        <w:t>Open Literature Review Summary</w:t>
      </w:r>
    </w:p>
    <w:p w14:paraId="267EC4B0" w14:textId="77777777" w:rsidR="00730432" w:rsidRPr="00C32591" w:rsidRDefault="00730432" w:rsidP="00730432">
      <w:pPr>
        <w:tabs>
          <w:tab w:val="left" w:pos="-1080"/>
          <w:tab w:val="left" w:pos="-720"/>
          <w:tab w:val="left" w:pos="0"/>
          <w:tab w:val="left" w:pos="3420"/>
        </w:tabs>
        <w:jc w:val="both"/>
        <w:rPr>
          <w:rFonts w:asciiTheme="minorHAnsi" w:eastAsiaTheme="minorHAnsi" w:hAnsiTheme="minorHAnsi" w:cstheme="minorHAnsi"/>
          <w:b/>
          <w:sz w:val="22"/>
          <w:szCs w:val="22"/>
        </w:rPr>
      </w:pPr>
    </w:p>
    <w:p w14:paraId="5119975F" w14:textId="278691D0"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ECOTOX Record Number and Citation:  </w:t>
      </w:r>
      <w:r w:rsidRPr="00C32591">
        <w:rPr>
          <w:rFonts w:asciiTheme="minorHAnsi" w:eastAsiaTheme="minorEastAsia" w:hAnsiTheme="minorHAnsi" w:cstheme="minorBidi"/>
          <w:sz w:val="22"/>
          <w:szCs w:val="22"/>
        </w:rPr>
        <w:t>E178499</w:t>
      </w:r>
    </w:p>
    <w:p w14:paraId="36A1FA85" w14:textId="77B46E14"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Saka M; Tada N; Kamata Y. 2018. Chronic Toxicity of 1,3,5-Triazine Herbicides in the Postembryonic Development of the Western Clawed Frog Silurana tropicalis Ecotoxicol. Environ. Saf. 147: 373-381</w:t>
      </w:r>
    </w:p>
    <w:p w14:paraId="0E0F4A55"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sz w:val="22"/>
          <w:szCs w:val="22"/>
        </w:rPr>
      </w:pPr>
    </w:p>
    <w:p w14:paraId="7F148EC3" w14:textId="0AE53F0A"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Purpose of Review:  </w:t>
      </w:r>
      <w:r w:rsidRPr="00C32591">
        <w:rPr>
          <w:rFonts w:asciiTheme="minorHAnsi" w:eastAsiaTheme="minorEastAsia" w:hAnsiTheme="minorHAnsi" w:cstheme="minorBidi"/>
          <w:sz w:val="22"/>
          <w:szCs w:val="22"/>
        </w:rPr>
        <w:t>ESA Biological Evaluation</w:t>
      </w:r>
      <w:r w:rsidR="0078563E" w:rsidRPr="00C32591">
        <w:rPr>
          <w:rFonts w:asciiTheme="minorHAnsi" w:eastAsiaTheme="minorEastAsia" w:hAnsiTheme="minorHAnsi" w:cstheme="minorBidi"/>
          <w:sz w:val="22"/>
          <w:szCs w:val="22"/>
        </w:rPr>
        <w:t xml:space="preserve"> (atrazine, simazine and propazine)</w:t>
      </w:r>
    </w:p>
    <w:p w14:paraId="52B5D5DC"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24DA3F0D" w14:textId="77777777"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 xml:space="preserve">Date of Review:  </w:t>
      </w:r>
      <w:r w:rsidRPr="00C32591">
        <w:rPr>
          <w:rFonts w:asciiTheme="minorHAnsi" w:eastAsiaTheme="minorEastAsia" w:hAnsiTheme="minorHAnsi" w:cstheme="minorBidi"/>
          <w:sz w:val="22"/>
          <w:szCs w:val="22"/>
        </w:rPr>
        <w:t>07/13/2020</w:t>
      </w:r>
    </w:p>
    <w:p w14:paraId="63B19F4D"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3039350D" w14:textId="77777777" w:rsidR="00991280" w:rsidRPr="00C32591" w:rsidRDefault="00991280" w:rsidP="00991280">
      <w:pPr>
        <w:tabs>
          <w:tab w:val="left" w:pos="-1080"/>
          <w:tab w:val="left" w:pos="-720"/>
          <w:tab w:val="left" w:pos="0"/>
          <w:tab w:val="left" w:pos="3420"/>
        </w:tabs>
        <w:jc w:val="both"/>
        <w:rPr>
          <w:rFonts w:asciiTheme="minorHAnsi" w:eastAsiaTheme="minorEastAsia" w:hAnsiTheme="minorHAnsi" w:cstheme="minorBidi"/>
          <w:b/>
          <w:bCs/>
          <w:sz w:val="22"/>
          <w:szCs w:val="22"/>
        </w:rPr>
      </w:pPr>
      <w:r w:rsidRPr="00C32591">
        <w:rPr>
          <w:rFonts w:asciiTheme="minorHAnsi" w:eastAsiaTheme="minorEastAsia" w:hAnsiTheme="minorHAnsi" w:cstheme="minorBidi"/>
          <w:b/>
          <w:bCs/>
          <w:sz w:val="22"/>
          <w:szCs w:val="22"/>
        </w:rPr>
        <w:t xml:space="preserve">Summary of Methodology/Study Findings:  </w:t>
      </w:r>
    </w:p>
    <w:p w14:paraId="1DB4F2AA" w14:textId="77777777" w:rsidR="00991280" w:rsidRPr="00C32591" w:rsidRDefault="00991280" w:rsidP="00991280">
      <w:pPr>
        <w:tabs>
          <w:tab w:val="left" w:pos="-1080"/>
          <w:tab w:val="left" w:pos="-720"/>
          <w:tab w:val="left" w:pos="0"/>
          <w:tab w:val="left" w:pos="3420"/>
        </w:tabs>
        <w:jc w:val="both"/>
        <w:rPr>
          <w:rFonts w:asciiTheme="minorHAnsi" w:eastAsiaTheme="minorHAnsi" w:hAnsiTheme="minorHAnsi" w:cstheme="minorHAnsi"/>
          <w:b/>
          <w:sz w:val="22"/>
          <w:szCs w:val="22"/>
        </w:rPr>
      </w:pPr>
    </w:p>
    <w:p w14:paraId="32AC7067" w14:textId="4D0AC4FB" w:rsidR="0078563E" w:rsidRPr="00C32591" w:rsidRDefault="0078563E"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Saka</w:t>
      </w:r>
      <w:r w:rsidR="00991280" w:rsidRPr="00C32591">
        <w:rPr>
          <w:rFonts w:asciiTheme="minorHAnsi" w:eastAsiaTheme="minorEastAsia" w:hAnsiTheme="minorHAnsi" w:cstheme="minorBidi"/>
          <w:sz w:val="22"/>
          <w:szCs w:val="22"/>
        </w:rPr>
        <w:t xml:space="preserve"> </w:t>
      </w:r>
      <w:r w:rsidR="00991280" w:rsidRPr="00C32591">
        <w:rPr>
          <w:rFonts w:asciiTheme="minorHAnsi" w:eastAsiaTheme="minorEastAsia" w:hAnsiTheme="minorHAnsi" w:cstheme="minorBidi"/>
          <w:i/>
          <w:iCs/>
          <w:sz w:val="22"/>
          <w:szCs w:val="22"/>
        </w:rPr>
        <w:t>et al</w:t>
      </w:r>
      <w:r w:rsidR="00991280" w:rsidRPr="00C32591">
        <w:rPr>
          <w:rFonts w:asciiTheme="minorHAnsi" w:eastAsiaTheme="minorEastAsia" w:hAnsiTheme="minorHAnsi" w:cstheme="minorBidi"/>
          <w:sz w:val="22"/>
          <w:szCs w:val="22"/>
        </w:rPr>
        <w:t>. (201</w:t>
      </w:r>
      <w:r w:rsidRPr="00C32591">
        <w:rPr>
          <w:rFonts w:asciiTheme="minorHAnsi" w:eastAsiaTheme="minorEastAsia" w:hAnsiTheme="minorHAnsi" w:cstheme="minorBidi"/>
          <w:sz w:val="22"/>
          <w:szCs w:val="22"/>
        </w:rPr>
        <w:t>8</w:t>
      </w:r>
      <w:r w:rsidR="00991280" w:rsidRPr="00C32591">
        <w:rPr>
          <w:rFonts w:asciiTheme="minorHAnsi" w:eastAsiaTheme="minorEastAsia" w:hAnsiTheme="minorHAnsi" w:cstheme="minorBidi"/>
          <w:sz w:val="22"/>
          <w:szCs w:val="22"/>
        </w:rPr>
        <w:t xml:space="preserve">) </w:t>
      </w:r>
      <w:r w:rsidR="00123ABF" w:rsidRPr="00C32591">
        <w:rPr>
          <w:rFonts w:asciiTheme="minorHAnsi" w:eastAsiaTheme="minorEastAsia" w:hAnsiTheme="minorHAnsi" w:cstheme="minorBidi"/>
          <w:sz w:val="22"/>
          <w:szCs w:val="22"/>
        </w:rPr>
        <w:t>exposed amphibian tadpoles (</w:t>
      </w:r>
      <w:r w:rsidR="00123ABF" w:rsidRPr="00C32591">
        <w:rPr>
          <w:rFonts w:asciiTheme="minorHAnsi" w:eastAsiaTheme="minorEastAsia" w:hAnsiTheme="minorHAnsi" w:cstheme="minorBidi"/>
          <w:i/>
          <w:iCs/>
          <w:sz w:val="22"/>
          <w:szCs w:val="22"/>
        </w:rPr>
        <w:t>Silurana tropicalis</w:t>
      </w:r>
      <w:r w:rsidR="00123ABF" w:rsidRPr="00C32591">
        <w:rPr>
          <w:rFonts w:asciiTheme="minorHAnsi" w:eastAsiaTheme="minorEastAsia" w:hAnsiTheme="minorHAnsi" w:cstheme="minorBidi"/>
          <w:sz w:val="22"/>
          <w:szCs w:val="22"/>
        </w:rPr>
        <w:t>) to seven 1,3,5- triazine (s-triazine) herbicides (ametryn, prometryn, dimethametryn, simazine, atrazine, propazine, and cyanazine). tadpoles were exposed to each s-triazine at 2 concentrations between 1/1000 and 1/10 of the 96-h acute toxicity values, until all tadpoles in the control group reached either the late prometamorphic stages or the initial stage of metamorphic climax. LC50 values were determined in the acute phase of the test and chronic toxicity tests focused on morphometric, gravimetric, and thyroid-histological endpoints.</w:t>
      </w:r>
      <w:r w:rsidR="00A15DC8" w:rsidRPr="00C32591">
        <w:rPr>
          <w:rFonts w:asciiTheme="minorHAnsi" w:eastAsiaTheme="minorEastAsia" w:hAnsiTheme="minorHAnsi" w:cstheme="minorBidi"/>
          <w:sz w:val="22"/>
          <w:szCs w:val="22"/>
        </w:rPr>
        <w:t xml:space="preserve"> </w:t>
      </w:r>
    </w:p>
    <w:p w14:paraId="0768E5F9" w14:textId="31B991FA"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3721E768" w14:textId="003E8F33"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i/>
          <w:iCs/>
          <w:sz w:val="22"/>
          <w:szCs w:val="22"/>
        </w:rPr>
      </w:pPr>
      <w:r w:rsidRPr="00C32591">
        <w:rPr>
          <w:rFonts w:asciiTheme="minorHAnsi" w:eastAsiaTheme="minorEastAsia" w:hAnsiTheme="minorHAnsi" w:cstheme="minorBidi"/>
          <w:i/>
          <w:iCs/>
          <w:sz w:val="22"/>
          <w:szCs w:val="22"/>
        </w:rPr>
        <w:t>Acute toxicity testing</w:t>
      </w:r>
    </w:p>
    <w:p w14:paraId="678BDEBA" w14:textId="44EDA08E"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96-h acute toxicity tests were performed following the test protocol (semi-static regime with water renewal at 24-h intervals). Each test consisted of a control and 5–7 test concentrations in a geometric series with a factor of 101/4 within the following range: 1.00–10.0, 2.60–26.0, 0.520–5.20, for simazine, atrazine and propazine, respectively. Each group was comprised of 10 tadpoles that were placed individually into a glass beaker with 100 mL of the test solution. During the test, the tadpoles were kept</w:t>
      </w:r>
    </w:p>
    <w:p w14:paraId="06238789" w14:textId="25C27129"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at 25±1 °C under a consistent photoperiod (12-h light/12-h dark) without feeding or additional aeration.</w:t>
      </w:r>
    </w:p>
    <w:p w14:paraId="2F7C05CE" w14:textId="44200BC5"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1C704C5A" w14:textId="5D7D0F7F"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Acute toxicity results are shown in Table 1 below. Results indicated 96-hr LC</w:t>
      </w:r>
      <w:r w:rsidRPr="00C32591">
        <w:rPr>
          <w:rFonts w:asciiTheme="minorHAnsi" w:eastAsiaTheme="minorEastAsia" w:hAnsiTheme="minorHAnsi" w:cstheme="minorBidi"/>
          <w:sz w:val="22"/>
          <w:szCs w:val="22"/>
          <w:vertAlign w:val="subscript"/>
        </w:rPr>
        <w:t>50</w:t>
      </w:r>
      <w:r w:rsidRPr="00C32591">
        <w:rPr>
          <w:rFonts w:asciiTheme="minorHAnsi" w:eastAsiaTheme="minorEastAsia" w:hAnsiTheme="minorHAnsi" w:cstheme="minorBidi"/>
          <w:sz w:val="22"/>
          <w:szCs w:val="22"/>
        </w:rPr>
        <w:t xml:space="preserve"> values of 9.62 mg/L for atrazine, 7.55 mg/L for simazine and &gt;5.2 mg/L for propazine. These results were used to determine the range of concentrations to use in the chronic toxicity tests.</w:t>
      </w:r>
    </w:p>
    <w:p w14:paraId="0AA470DF" w14:textId="618AD980"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26C6F013" w14:textId="6D1A940E"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noProof/>
          <w:sz w:val="22"/>
          <w:szCs w:val="22"/>
        </w:rPr>
        <w:drawing>
          <wp:inline distT="0" distB="0" distL="0" distR="0" wp14:anchorId="2FAEBF3E" wp14:editId="69BD2B78">
            <wp:extent cx="5829300" cy="1375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9175" cy="1384523"/>
                    </a:xfrm>
                    <a:prstGeom prst="rect">
                      <a:avLst/>
                    </a:prstGeom>
                  </pic:spPr>
                </pic:pic>
              </a:graphicData>
            </a:graphic>
          </wp:inline>
        </w:drawing>
      </w:r>
    </w:p>
    <w:p w14:paraId="210DF9DA" w14:textId="1B3F4169" w:rsidR="00123ABF"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64BD23D9" w14:textId="47151958" w:rsidR="00CE733F" w:rsidRDefault="00CE733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0F7A12D3" w14:textId="77777777" w:rsidR="00CE733F" w:rsidRPr="00C32591" w:rsidRDefault="00CE733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60B78F8D" w14:textId="7D0B07D5"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77E4A432" w14:textId="0C1BE8E6"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i/>
          <w:iCs/>
          <w:sz w:val="22"/>
          <w:szCs w:val="22"/>
        </w:rPr>
      </w:pPr>
      <w:r w:rsidRPr="00C32591">
        <w:rPr>
          <w:rFonts w:asciiTheme="minorHAnsi" w:eastAsiaTheme="minorEastAsia" w:hAnsiTheme="minorHAnsi" w:cstheme="minorBidi"/>
          <w:i/>
          <w:iCs/>
          <w:sz w:val="22"/>
          <w:szCs w:val="22"/>
        </w:rPr>
        <w:lastRenderedPageBreak/>
        <w:t>Chronic toxicity testing</w:t>
      </w:r>
    </w:p>
    <w:p w14:paraId="2B3880FF" w14:textId="77777777" w:rsidR="00123ABF" w:rsidRPr="00C32591" w:rsidRDefault="00123ABF" w:rsidP="00123ABF">
      <w:pPr>
        <w:tabs>
          <w:tab w:val="left" w:pos="-1080"/>
          <w:tab w:val="left" w:pos="-720"/>
          <w:tab w:val="left" w:pos="0"/>
          <w:tab w:val="left" w:pos="3420"/>
        </w:tabs>
        <w:jc w:val="both"/>
        <w:rPr>
          <w:rFonts w:asciiTheme="minorHAnsi" w:eastAsiaTheme="minorEastAsia" w:hAnsiTheme="minorHAnsi" w:cstheme="minorBidi"/>
          <w:sz w:val="22"/>
          <w:szCs w:val="22"/>
        </w:rPr>
      </w:pPr>
    </w:p>
    <w:p w14:paraId="5BB77553" w14:textId="1921423A" w:rsidR="00FD7EF9" w:rsidRPr="00C32591" w:rsidRDefault="00FD7EF9" w:rsidP="00A15DC8">
      <w:pPr>
        <w:tabs>
          <w:tab w:val="left" w:pos="-1080"/>
          <w:tab w:val="left" w:pos="-720"/>
          <w:tab w:val="left" w:pos="0"/>
          <w:tab w:val="left" w:pos="3420"/>
        </w:tabs>
        <w:jc w:val="both"/>
        <w:rPr>
          <w:rFonts w:asciiTheme="minorHAnsi" w:eastAsiaTheme="minorEastAsia" w:hAnsiTheme="minorHAnsi" w:cstheme="minorBidi"/>
          <w:sz w:val="22"/>
          <w:szCs w:val="22"/>
        </w:rPr>
      </w:pPr>
      <w:r w:rsidRPr="00C32591">
        <w:rPr>
          <w:rFonts w:asciiTheme="minorHAnsi" w:eastAsiaTheme="minorEastAsia" w:hAnsiTheme="minorHAnsi" w:cstheme="minorBidi"/>
          <w:sz w:val="22"/>
          <w:szCs w:val="22"/>
        </w:rPr>
        <w:t>During the chronic toxicity tests, tadpoles (</w:t>
      </w:r>
      <w:r w:rsidRPr="00C32591">
        <w:rPr>
          <w:rFonts w:asciiTheme="minorHAnsi" w:eastAsiaTheme="minorEastAsia" w:hAnsiTheme="minorHAnsi" w:cstheme="minorBidi"/>
          <w:i/>
          <w:iCs/>
          <w:sz w:val="22"/>
          <w:szCs w:val="22"/>
        </w:rPr>
        <w:t>Silurana tropicalis</w:t>
      </w:r>
      <w:r w:rsidRPr="00C32591">
        <w:rPr>
          <w:rFonts w:asciiTheme="minorHAnsi" w:eastAsiaTheme="minorEastAsia" w:hAnsiTheme="minorHAnsi" w:cstheme="minorBidi"/>
          <w:sz w:val="22"/>
          <w:szCs w:val="22"/>
        </w:rPr>
        <w:t>) were exposed to 2 concentrations equivalent to approximately 1/100 and 1/10 of the LC</w:t>
      </w:r>
      <w:r w:rsidRPr="00C32591">
        <w:rPr>
          <w:rFonts w:asciiTheme="minorHAnsi" w:eastAsiaTheme="minorEastAsia" w:hAnsiTheme="minorHAnsi" w:cstheme="minorBidi"/>
          <w:sz w:val="22"/>
          <w:szCs w:val="22"/>
          <w:vertAlign w:val="subscript"/>
        </w:rPr>
        <w:t>50</w:t>
      </w:r>
      <w:r w:rsidRPr="00C32591">
        <w:rPr>
          <w:rFonts w:asciiTheme="minorHAnsi" w:eastAsiaTheme="minorEastAsia" w:hAnsiTheme="minorHAnsi" w:cstheme="minorBidi"/>
          <w:sz w:val="22"/>
          <w:szCs w:val="22"/>
        </w:rPr>
        <w:t xml:space="preserve"> (atrazine: 100 and 1000 ug/L, simazine: 80 and 800 ug/L, propazine: 100 and 1000 ug/L). In the</w:t>
      </w:r>
      <w:r w:rsidR="00FF1BDB" w:rsidRPr="00C32591">
        <w:rPr>
          <w:rFonts w:asciiTheme="minorHAnsi" w:eastAsiaTheme="minorEastAsia" w:hAnsiTheme="minorHAnsi" w:cstheme="minorBidi"/>
          <w:sz w:val="22"/>
          <w:szCs w:val="22"/>
        </w:rPr>
        <w:t xml:space="preserve"> higher</w:t>
      </w:r>
      <w:r w:rsidRPr="00C32591">
        <w:rPr>
          <w:rFonts w:asciiTheme="minorHAnsi" w:eastAsiaTheme="minorEastAsia" w:hAnsiTheme="minorHAnsi" w:cstheme="minorBidi"/>
          <w:sz w:val="22"/>
          <w:szCs w:val="22"/>
        </w:rPr>
        <w:t xml:space="preserve"> </w:t>
      </w:r>
      <w:r w:rsidR="00FF1BDB" w:rsidRPr="00C32591">
        <w:rPr>
          <w:rFonts w:asciiTheme="minorHAnsi" w:eastAsiaTheme="minorEastAsia" w:hAnsiTheme="minorHAnsi" w:cstheme="minorBidi"/>
          <w:sz w:val="22"/>
          <w:szCs w:val="22"/>
        </w:rPr>
        <w:t xml:space="preserve">test </w:t>
      </w:r>
      <w:r w:rsidRPr="00C32591">
        <w:rPr>
          <w:rFonts w:asciiTheme="minorHAnsi" w:eastAsiaTheme="minorEastAsia" w:hAnsiTheme="minorHAnsi" w:cstheme="minorBidi"/>
          <w:sz w:val="22"/>
          <w:szCs w:val="22"/>
        </w:rPr>
        <w:t xml:space="preserve">concentration groups for atrazine and propazine, mortality </w:t>
      </w:r>
      <w:r w:rsidR="00FF1BDB" w:rsidRPr="00C32591">
        <w:rPr>
          <w:rFonts w:asciiTheme="minorHAnsi" w:eastAsiaTheme="minorEastAsia" w:hAnsiTheme="minorHAnsi" w:cstheme="minorBidi"/>
          <w:sz w:val="22"/>
          <w:szCs w:val="22"/>
        </w:rPr>
        <w:t>was</w:t>
      </w:r>
      <w:r w:rsidRPr="00C32591">
        <w:rPr>
          <w:rFonts w:asciiTheme="minorHAnsi" w:eastAsiaTheme="minorEastAsia" w:hAnsiTheme="minorHAnsi" w:cstheme="minorBidi"/>
          <w:sz w:val="22"/>
          <w:szCs w:val="22"/>
        </w:rPr>
        <w:t xml:space="preserve"> noted. </w:t>
      </w:r>
      <w:r w:rsidR="00A15DC8" w:rsidRPr="00C32591">
        <w:rPr>
          <w:rFonts w:asciiTheme="minorHAnsi" w:eastAsiaTheme="minorEastAsia" w:hAnsiTheme="minorHAnsi" w:cstheme="minorBidi"/>
          <w:sz w:val="22"/>
          <w:szCs w:val="22"/>
        </w:rPr>
        <w:t>Measured test concentrations were in the following ranges for low and high test values for each chemical: 78.9–86.1 ug/L and 804 – 857 ug/L (simazine), 101-108 ug/L and 996 – 1,050 ug/L (atrazine), 99.4 - 104 ug/L and 983 - 1090 ug/L (propazine),</w:t>
      </w:r>
      <w:r w:rsidRPr="00C32591">
        <w:rPr>
          <w:rFonts w:asciiTheme="minorHAnsi" w:eastAsiaTheme="minorEastAsia" w:hAnsiTheme="minorHAnsi" w:cstheme="minorBidi"/>
          <w:sz w:val="22"/>
          <w:szCs w:val="22"/>
        </w:rPr>
        <w:t xml:space="preserve"> </w:t>
      </w:r>
      <w:r w:rsidR="00FF1BDB" w:rsidRPr="00C32591">
        <w:rPr>
          <w:rFonts w:asciiTheme="minorHAnsi" w:eastAsiaTheme="minorEastAsia" w:hAnsiTheme="minorHAnsi" w:cstheme="minorBidi"/>
          <w:sz w:val="22"/>
          <w:szCs w:val="22"/>
        </w:rPr>
        <w:t xml:space="preserve">Mortality at test termination was 26.7% (8/30) for atrazine and 46.7% (14/30) for propazine. </w:t>
      </w:r>
      <w:r w:rsidR="004D7466" w:rsidRPr="00C32591">
        <w:rPr>
          <w:rFonts w:asciiTheme="minorHAnsi" w:eastAsiaTheme="minorEastAsia" w:hAnsiTheme="minorHAnsi" w:cstheme="minorBidi"/>
          <w:sz w:val="22"/>
          <w:szCs w:val="22"/>
        </w:rPr>
        <w:t>Statistically significant d</w:t>
      </w:r>
      <w:r w:rsidR="00FF1BDB" w:rsidRPr="00C32591">
        <w:rPr>
          <w:rFonts w:asciiTheme="minorHAnsi" w:eastAsiaTheme="minorEastAsia" w:hAnsiTheme="minorHAnsi" w:cstheme="minorBidi"/>
          <w:sz w:val="22"/>
          <w:szCs w:val="22"/>
        </w:rPr>
        <w:t xml:space="preserve">evelopmental effects were noted in atrazine and propazine in both test concentration groups and in simazine for the higher test concentration group only. </w:t>
      </w:r>
      <w:r w:rsidR="004D7466" w:rsidRPr="00C32591">
        <w:rPr>
          <w:rFonts w:asciiTheme="minorHAnsi" w:eastAsiaTheme="minorEastAsia" w:hAnsiTheme="minorHAnsi" w:cstheme="minorBidi"/>
          <w:sz w:val="22"/>
          <w:szCs w:val="22"/>
        </w:rPr>
        <w:t>Developmental changes included delay in developmental stage reached, hind limb length, ratio of hindlimb length to body length and thyroid gland size. A significant decrease in total body length and body mass were noted at the highest test concentration in all 3 chemicals and significant increase in the degree of scoliosis present in atrazine and simazine.</w:t>
      </w:r>
    </w:p>
    <w:p w14:paraId="3A5B614C" w14:textId="77777777" w:rsidR="000C2E4B" w:rsidRPr="00C32591" w:rsidRDefault="000C2E4B" w:rsidP="00991280">
      <w:pPr>
        <w:tabs>
          <w:tab w:val="left" w:pos="-1080"/>
          <w:tab w:val="left" w:pos="-720"/>
          <w:tab w:val="left" w:pos="0"/>
          <w:tab w:val="left" w:pos="3420"/>
        </w:tabs>
        <w:jc w:val="both"/>
        <w:rPr>
          <w:rFonts w:asciiTheme="minorHAnsi" w:eastAsiaTheme="minorEastAsia" w:hAnsiTheme="minorHAnsi" w:cstheme="minorBidi"/>
          <w:sz w:val="22"/>
          <w:szCs w:val="22"/>
        </w:rPr>
      </w:pPr>
    </w:p>
    <w:p w14:paraId="2AB4C1BA" w14:textId="77777777" w:rsidR="008F13E9" w:rsidRPr="00C32591" w:rsidRDefault="008F13E9" w:rsidP="008F13E9">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Description of Use in Document</w:t>
      </w:r>
      <w:r w:rsidRPr="00C32591">
        <w:rPr>
          <w:rFonts w:asciiTheme="minorHAnsi" w:eastAsiaTheme="minorEastAsia" w:hAnsiTheme="minorHAnsi" w:cstheme="minorBidi"/>
          <w:sz w:val="22"/>
          <w:szCs w:val="22"/>
        </w:rPr>
        <w:t>:  Quantitative for inclusion in data arrays and consideration as potential threshold values for risk estimation</w:t>
      </w:r>
    </w:p>
    <w:p w14:paraId="7378BB95" w14:textId="77777777" w:rsidR="008F13E9" w:rsidRPr="00C32591" w:rsidRDefault="008F13E9" w:rsidP="008F13E9">
      <w:pPr>
        <w:jc w:val="both"/>
        <w:rPr>
          <w:rFonts w:asciiTheme="minorHAnsi" w:eastAsiaTheme="minorHAnsi" w:hAnsiTheme="minorHAnsi" w:cstheme="minorHAnsi"/>
          <w:sz w:val="22"/>
          <w:szCs w:val="22"/>
        </w:rPr>
      </w:pPr>
    </w:p>
    <w:p w14:paraId="79C13A1D" w14:textId="15A9E169" w:rsidR="008F13E9" w:rsidRPr="00C32591" w:rsidRDefault="008F13E9" w:rsidP="008F13E9">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Rationale for Use:</w:t>
      </w:r>
      <w:r w:rsidRPr="00C32591">
        <w:rPr>
          <w:rFonts w:asciiTheme="minorHAnsi" w:eastAsiaTheme="minorEastAsia" w:hAnsiTheme="minorHAnsi" w:cstheme="minorBidi"/>
          <w:sz w:val="22"/>
          <w:szCs w:val="22"/>
        </w:rPr>
        <w:t xml:space="preserve"> Study provides useful information on the sensitivity of aquatic-phase amphibians to atrazine, simazine and propazine. The LD50/NOAEL/LOAEL/MATC values from this study may serve as a source of threshold values for direct and indirect effects.</w:t>
      </w:r>
    </w:p>
    <w:p w14:paraId="042B0E96" w14:textId="77777777" w:rsidR="00991280" w:rsidRPr="00C32591" w:rsidRDefault="00991280" w:rsidP="00991280">
      <w:pPr>
        <w:jc w:val="both"/>
        <w:rPr>
          <w:rFonts w:asciiTheme="minorHAnsi" w:eastAsiaTheme="minorHAnsi" w:hAnsiTheme="minorHAnsi" w:cstheme="minorHAnsi"/>
          <w:sz w:val="22"/>
          <w:szCs w:val="22"/>
          <w:highlight w:val="yellow"/>
        </w:rPr>
      </w:pPr>
    </w:p>
    <w:p w14:paraId="02DB4FF6" w14:textId="29F78E77" w:rsidR="00991280" w:rsidRPr="00C32591" w:rsidRDefault="00991280" w:rsidP="00991280">
      <w:pPr>
        <w:tabs>
          <w:tab w:val="left" w:pos="-1080"/>
          <w:tab w:val="left" w:pos="-720"/>
          <w:tab w:val="left" w:pos="0"/>
          <w:tab w:val="left" w:pos="3420"/>
        </w:tabs>
        <w:rPr>
          <w:rFonts w:asciiTheme="minorHAnsi" w:eastAsiaTheme="minorEastAsia" w:hAnsiTheme="minorHAnsi" w:cstheme="minorBidi"/>
          <w:b/>
          <w:bCs/>
          <w:color w:val="FF0000"/>
          <w:sz w:val="22"/>
          <w:szCs w:val="22"/>
        </w:rPr>
      </w:pPr>
      <w:r w:rsidRPr="00C32591">
        <w:rPr>
          <w:rFonts w:asciiTheme="minorHAnsi" w:eastAsiaTheme="minorEastAsia" w:hAnsiTheme="minorHAnsi" w:cstheme="minorBidi"/>
          <w:b/>
          <w:bCs/>
          <w:sz w:val="22"/>
          <w:szCs w:val="22"/>
        </w:rPr>
        <w:t xml:space="preserve">Limitations of Study:  </w:t>
      </w:r>
      <w:r w:rsidRPr="00C32591">
        <w:rPr>
          <w:rFonts w:asciiTheme="minorHAnsi" w:eastAsiaTheme="minorEastAsia" w:hAnsiTheme="minorHAnsi" w:cstheme="minorBidi"/>
          <w:sz w:val="22"/>
          <w:szCs w:val="22"/>
        </w:rPr>
        <w:t>No raw data was presented. Data on metamorphosis changes were presented graphically and in text (mean and SD shown in graphs</w:t>
      </w:r>
      <w:r w:rsidR="00C32591" w:rsidRPr="00C32591">
        <w:rPr>
          <w:rFonts w:asciiTheme="minorHAnsi" w:eastAsiaTheme="minorEastAsia" w:hAnsiTheme="minorHAnsi" w:cstheme="minorBidi"/>
          <w:sz w:val="22"/>
          <w:szCs w:val="22"/>
        </w:rPr>
        <w:t>;</w:t>
      </w:r>
      <w:r w:rsidRPr="00C32591">
        <w:rPr>
          <w:rFonts w:asciiTheme="minorHAnsi" w:eastAsiaTheme="minorEastAsia" w:hAnsiTheme="minorHAnsi" w:cstheme="minorBidi"/>
          <w:sz w:val="22"/>
          <w:szCs w:val="22"/>
        </w:rPr>
        <w:t xml:space="preserve"> no tabulated data presented). </w:t>
      </w:r>
    </w:p>
    <w:p w14:paraId="32973E13" w14:textId="77777777" w:rsidR="00991280" w:rsidRPr="00C32591" w:rsidRDefault="00991280" w:rsidP="00991280">
      <w:pPr>
        <w:jc w:val="both"/>
        <w:rPr>
          <w:rFonts w:asciiTheme="minorHAnsi" w:eastAsiaTheme="minorHAnsi" w:hAnsiTheme="minorHAnsi" w:cstheme="minorHAnsi"/>
          <w:sz w:val="22"/>
          <w:szCs w:val="22"/>
          <w:highlight w:val="yellow"/>
        </w:rPr>
      </w:pPr>
    </w:p>
    <w:p w14:paraId="4B373680" w14:textId="50A5DA7A" w:rsidR="00D34A10" w:rsidRPr="00C32591" w:rsidRDefault="008F13E9" w:rsidP="00D34A10">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Primary Reviewer</w:t>
      </w:r>
      <w:r w:rsidRPr="00C32591">
        <w:rPr>
          <w:rFonts w:asciiTheme="minorHAnsi" w:eastAsiaTheme="minorEastAsia" w:hAnsiTheme="minorHAnsi" w:cstheme="minorBidi"/>
          <w:sz w:val="22"/>
          <w:szCs w:val="22"/>
        </w:rPr>
        <w:t>: Colleen M. Rossmeisl, DVM</w:t>
      </w:r>
      <w:r w:rsidR="00D34A10" w:rsidRPr="00C32591">
        <w:rPr>
          <w:rFonts w:ascii="Calibri" w:hAnsi="Calibri" w:cs="Calibri"/>
          <w:color w:val="000000"/>
          <w:sz w:val="22"/>
          <w:szCs w:val="22"/>
        </w:rPr>
        <w:t>, Senior Biologist, OPP/EFED/ERB3</w:t>
      </w:r>
    </w:p>
    <w:p w14:paraId="66A986E3" w14:textId="05BB5EBA" w:rsidR="00991280" w:rsidRPr="00C32591" w:rsidRDefault="008F13E9" w:rsidP="00991280">
      <w:pPr>
        <w:jc w:val="both"/>
        <w:rPr>
          <w:rFonts w:asciiTheme="minorHAnsi" w:eastAsiaTheme="minorHAnsi" w:hAnsiTheme="minorHAnsi" w:cstheme="minorHAnsi"/>
          <w:sz w:val="22"/>
          <w:szCs w:val="22"/>
        </w:rPr>
      </w:pPr>
      <w:r w:rsidRPr="00C32591">
        <w:rPr>
          <w:rFonts w:asciiTheme="minorHAnsi" w:eastAsiaTheme="minorEastAsia" w:hAnsiTheme="minorHAnsi" w:cstheme="minorBidi"/>
          <w:sz w:val="22"/>
          <w:szCs w:val="22"/>
          <w:highlight w:val="yellow"/>
        </w:rPr>
        <w:t xml:space="preserve"> </w:t>
      </w:r>
    </w:p>
    <w:p w14:paraId="10A8A795" w14:textId="002DC856" w:rsidR="00991280" w:rsidRPr="00C32591" w:rsidRDefault="00991280" w:rsidP="00991280">
      <w:pPr>
        <w:jc w:val="both"/>
        <w:rPr>
          <w:rFonts w:asciiTheme="minorHAnsi" w:eastAsiaTheme="minorEastAsia" w:hAnsiTheme="minorHAnsi" w:cstheme="minorBidi"/>
          <w:sz w:val="22"/>
          <w:szCs w:val="22"/>
        </w:rPr>
      </w:pPr>
      <w:r w:rsidRPr="00C32591">
        <w:rPr>
          <w:rFonts w:asciiTheme="minorHAnsi" w:eastAsiaTheme="minorEastAsia" w:hAnsiTheme="minorHAnsi" w:cstheme="minorBidi"/>
          <w:b/>
          <w:bCs/>
          <w:sz w:val="22"/>
          <w:szCs w:val="22"/>
        </w:rPr>
        <w:t>Secondary Reviewer:</w:t>
      </w:r>
      <w:r w:rsidRPr="00C32591">
        <w:rPr>
          <w:rFonts w:asciiTheme="minorHAnsi" w:eastAsiaTheme="minorEastAsia" w:hAnsiTheme="minorHAnsi" w:cstheme="minorBidi"/>
          <w:sz w:val="22"/>
          <w:szCs w:val="22"/>
        </w:rPr>
        <w:t xml:space="preserve"> </w:t>
      </w:r>
      <w:r w:rsidR="00B4729D" w:rsidRPr="00C32591">
        <w:rPr>
          <w:rFonts w:ascii="Calibri" w:hAnsi="Calibri" w:cs="Calibri"/>
          <w:color w:val="000000"/>
          <w:sz w:val="22"/>
          <w:szCs w:val="22"/>
        </w:rPr>
        <w:t>Elizabeth Donovan, Senior Biologist, OPP/EFED/ERB3</w:t>
      </w:r>
    </w:p>
    <w:p w14:paraId="3131AEEF" w14:textId="77777777" w:rsidR="00991280" w:rsidRPr="00C32591" w:rsidRDefault="00991280" w:rsidP="00991280">
      <w:pPr>
        <w:jc w:val="both"/>
        <w:rPr>
          <w:rFonts w:asciiTheme="minorHAnsi" w:eastAsiaTheme="minorEastAsia" w:hAnsiTheme="minorHAnsi" w:cstheme="minorBidi"/>
          <w:sz w:val="22"/>
          <w:szCs w:val="22"/>
        </w:rPr>
      </w:pPr>
    </w:p>
    <w:p w14:paraId="6BB217A5" w14:textId="77777777" w:rsidR="004E22AC" w:rsidRPr="00C32591" w:rsidRDefault="004E22AC" w:rsidP="00730432">
      <w:pPr>
        <w:jc w:val="both"/>
        <w:rPr>
          <w:rFonts w:asciiTheme="minorHAnsi" w:eastAsiaTheme="minorEastAsia" w:hAnsiTheme="minorHAnsi" w:cstheme="minorBidi"/>
          <w:sz w:val="22"/>
          <w:szCs w:val="22"/>
        </w:rPr>
      </w:pPr>
    </w:p>
    <w:sectPr w:rsidR="004E22AC" w:rsidRPr="00C3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cryptProviderType="rsaAES" w:cryptAlgorithmClass="hash" w:cryptAlgorithmType="typeAny" w:cryptAlgorithmSid="14" w:cryptSpinCount="100000" w:hash="dQJjgSMARj6fynesOZMZdel9DazRoAYUcnwW3aVVkE1sXTOWnTfrNYX7NPKx4qiTkz2EadRZhWrooK3H775agg==" w:salt="bXkealAfBlAbgO7tD7vM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32"/>
    <w:rsid w:val="00013D09"/>
    <w:rsid w:val="000571B9"/>
    <w:rsid w:val="000730F1"/>
    <w:rsid w:val="000C2E4B"/>
    <w:rsid w:val="00123ABF"/>
    <w:rsid w:val="001B207F"/>
    <w:rsid w:val="002F0B46"/>
    <w:rsid w:val="00355562"/>
    <w:rsid w:val="003B2BB3"/>
    <w:rsid w:val="00465247"/>
    <w:rsid w:val="004D7466"/>
    <w:rsid w:val="004E22AC"/>
    <w:rsid w:val="004E715D"/>
    <w:rsid w:val="004F7B24"/>
    <w:rsid w:val="005046AB"/>
    <w:rsid w:val="00647AC8"/>
    <w:rsid w:val="006A09BD"/>
    <w:rsid w:val="00730432"/>
    <w:rsid w:val="007579AB"/>
    <w:rsid w:val="0077793B"/>
    <w:rsid w:val="0078563E"/>
    <w:rsid w:val="00894FEE"/>
    <w:rsid w:val="008D3C41"/>
    <w:rsid w:val="008F13E9"/>
    <w:rsid w:val="00991280"/>
    <w:rsid w:val="009B2946"/>
    <w:rsid w:val="009E2056"/>
    <w:rsid w:val="00A15DC8"/>
    <w:rsid w:val="00A8428F"/>
    <w:rsid w:val="00AD140B"/>
    <w:rsid w:val="00B4729D"/>
    <w:rsid w:val="00B73250"/>
    <w:rsid w:val="00B96BF9"/>
    <w:rsid w:val="00BF5A60"/>
    <w:rsid w:val="00C16363"/>
    <w:rsid w:val="00C32591"/>
    <w:rsid w:val="00CE733F"/>
    <w:rsid w:val="00D34A10"/>
    <w:rsid w:val="00FD7EF9"/>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9B37"/>
  <w15:chartTrackingRefBased/>
  <w15:docId w15:val="{1E0521C3-671B-43EC-85CB-2F74146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5A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6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F5A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2020-10-08T19:56:19+00:00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A90A0-A9D3-4F21-B803-5DBB32CD731E}">
  <ds:schemaRefs>
    <ds:schemaRef ds:uri="http://purl.org/dc/elements/1.1/"/>
    <ds:schemaRef ds:uri="http://schemas.microsoft.com/office/infopath/2007/PartnerControls"/>
    <ds:schemaRef ds:uri="a5d1ca4e-0a3f-4119-b619-e20b93ebd1aa"/>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1b69afd8-9bdb-481b-b26a-06cbd17fa30c"/>
    <ds:schemaRef ds:uri="http://schemas.microsoft.com/sharepoint/v3/fields"/>
    <ds:schemaRef ds:uri="http://schemas.microsoft.com/sharepoint.v3"/>
    <ds:schemaRef ds:uri="4ffa91fb-a0ff-4ac5-b2db-65c790d184a4"/>
    <ds:schemaRef ds:uri="http://schemas.microsoft.com/sharepoint/v3"/>
    <ds:schemaRef ds:uri="http://purl.org/dc/terms/"/>
  </ds:schemaRefs>
</ds:datastoreItem>
</file>

<file path=customXml/itemProps2.xml><?xml version="1.0" encoding="utf-8"?>
<ds:datastoreItem xmlns:ds="http://schemas.openxmlformats.org/officeDocument/2006/customXml" ds:itemID="{BB4AF70F-A9DE-4232-9913-C3A0302B4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8FF15-7E9F-46B3-87E4-162D0554085A}">
  <ds:schemaRefs>
    <ds:schemaRef ds:uri="Microsoft.SharePoint.Taxonomy.ContentTypeSync"/>
  </ds:schemaRefs>
</ds:datastoreItem>
</file>

<file path=customXml/itemProps4.xml><?xml version="1.0" encoding="utf-8"?>
<ds:datastoreItem xmlns:ds="http://schemas.openxmlformats.org/officeDocument/2006/customXml" ds:itemID="{F88DCA4A-9B5D-462E-B3B3-7434D9988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14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Louie-Juzwiak, Rosanna</dc:creator>
  <cp:keywords/>
  <dc:description/>
  <cp:lastModifiedBy>Louie-Juzwiak, Rosanna</cp:lastModifiedBy>
  <cp:revision>2</cp:revision>
  <dcterms:created xsi:type="dcterms:W3CDTF">2020-10-19T17:47:00Z</dcterms:created>
  <dcterms:modified xsi:type="dcterms:W3CDTF">2020-10-19T17:47:00Z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