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C5AD" w14:textId="652CEAB3" w:rsidR="00396A1A" w:rsidRPr="001D3C8A" w:rsidRDefault="00E227A6" w:rsidP="001D3C8A">
      <w:pPr>
        <w:pStyle w:val="BETitle"/>
      </w:pPr>
      <w:r>
        <w:t xml:space="preserve">APPENDIX </w:t>
      </w:r>
      <w:r w:rsidR="00692376">
        <w:t>3-3</w:t>
      </w:r>
      <w:r w:rsidR="000675B9">
        <w:t>.</w:t>
      </w:r>
      <w:r w:rsidR="00E36BA9" w:rsidRPr="00FC3DD1">
        <w:t xml:space="preserve"> </w:t>
      </w:r>
      <w:r w:rsidR="00B17F58">
        <w:t xml:space="preserve">Thiamethoxam </w:t>
      </w:r>
      <w:r w:rsidR="00692376">
        <w:t>Open Literature Monitoring Data</w:t>
      </w:r>
    </w:p>
    <w:p w14:paraId="0717B1D1" w14:textId="77777777" w:rsidR="00DE7330" w:rsidRDefault="00DE7330" w:rsidP="00DE7330">
      <w:pPr>
        <w:pStyle w:val="TableofFigures"/>
        <w:spacing w:after="200"/>
        <w:rPr>
          <w:rFonts w:ascii="Calibri Light" w:hAnsi="Calibri Light" w:cs="Calibri Light"/>
          <w:color w:val="4472C4"/>
          <w:spacing w:val="-10"/>
          <w:sz w:val="32"/>
          <w:szCs w:val="32"/>
        </w:rPr>
      </w:pPr>
      <w:r>
        <w:rPr>
          <w:rFonts w:ascii="Calibri Light" w:hAnsi="Calibri Light" w:cs="Calibri Light"/>
          <w:b/>
          <w:bCs/>
          <w:color w:val="4472C4"/>
          <w:spacing w:val="-10"/>
          <w:sz w:val="32"/>
          <w:szCs w:val="32"/>
        </w:rPr>
        <w:t>Tables</w:t>
      </w:r>
    </w:p>
    <w:p w14:paraId="092FBEA9" w14:textId="1FD0072B" w:rsidR="00DE7330" w:rsidRDefault="00DE7330">
      <w:pPr>
        <w:pStyle w:val="TableofFigures"/>
        <w:tabs>
          <w:tab w:val="right" w:leader="dot" w:pos="9350"/>
        </w:tabs>
        <w:rPr>
          <w:noProof/>
        </w:rPr>
      </w:pPr>
      <w:r>
        <w:fldChar w:fldCharType="begin"/>
      </w:r>
      <w:r>
        <w:instrText xml:space="preserve"> TOC \h \z \c "Table" </w:instrText>
      </w:r>
      <w:r>
        <w:fldChar w:fldCharType="separate"/>
      </w:r>
      <w:hyperlink w:anchor="_Toc80106060" w:history="1">
        <w:r w:rsidRPr="00D26DBA">
          <w:rPr>
            <w:rStyle w:val="Hyperlink"/>
            <w:noProof/>
          </w:rPr>
          <w:t>Table 1. Summary statistics for neonicotinoids measured in southwestern Ontario surface waters</w:t>
        </w:r>
        <w:r>
          <w:rPr>
            <w:noProof/>
            <w:webHidden/>
          </w:rPr>
          <w:tab/>
        </w:r>
        <w:r>
          <w:rPr>
            <w:noProof/>
            <w:webHidden/>
          </w:rPr>
          <w:fldChar w:fldCharType="begin"/>
        </w:r>
        <w:r>
          <w:rPr>
            <w:noProof/>
            <w:webHidden/>
          </w:rPr>
          <w:instrText xml:space="preserve"> PAGEREF _Toc80106060 \h </w:instrText>
        </w:r>
        <w:r>
          <w:rPr>
            <w:noProof/>
            <w:webHidden/>
          </w:rPr>
        </w:r>
        <w:r>
          <w:rPr>
            <w:noProof/>
            <w:webHidden/>
          </w:rPr>
          <w:fldChar w:fldCharType="separate"/>
        </w:r>
        <w:r>
          <w:rPr>
            <w:noProof/>
            <w:webHidden/>
          </w:rPr>
          <w:t>3</w:t>
        </w:r>
        <w:r>
          <w:rPr>
            <w:noProof/>
            <w:webHidden/>
          </w:rPr>
          <w:fldChar w:fldCharType="end"/>
        </w:r>
      </w:hyperlink>
    </w:p>
    <w:p w14:paraId="07B21531" w14:textId="2F6583D2" w:rsidR="00DE7330" w:rsidRDefault="00827576">
      <w:pPr>
        <w:pStyle w:val="TableofFigures"/>
        <w:tabs>
          <w:tab w:val="right" w:leader="dot" w:pos="9350"/>
        </w:tabs>
        <w:rPr>
          <w:noProof/>
        </w:rPr>
      </w:pPr>
      <w:hyperlink w:anchor="_Toc80106061" w:history="1">
        <w:r w:rsidR="00DE7330" w:rsidRPr="00D26DBA">
          <w:rPr>
            <w:rStyle w:val="Hyperlink"/>
            <w:noProof/>
          </w:rPr>
          <w:t>Table 2. Neonicotinoid concentrations in Canadian prairie wetlands</w:t>
        </w:r>
        <w:r w:rsidR="00DE7330">
          <w:rPr>
            <w:noProof/>
            <w:webHidden/>
          </w:rPr>
          <w:tab/>
        </w:r>
        <w:r w:rsidR="00DE7330">
          <w:rPr>
            <w:noProof/>
            <w:webHidden/>
          </w:rPr>
          <w:fldChar w:fldCharType="begin"/>
        </w:r>
        <w:r w:rsidR="00DE7330">
          <w:rPr>
            <w:noProof/>
            <w:webHidden/>
          </w:rPr>
          <w:instrText xml:space="preserve"> PAGEREF _Toc80106061 \h </w:instrText>
        </w:r>
        <w:r w:rsidR="00DE7330">
          <w:rPr>
            <w:noProof/>
            <w:webHidden/>
          </w:rPr>
        </w:r>
        <w:r w:rsidR="00DE7330">
          <w:rPr>
            <w:noProof/>
            <w:webHidden/>
          </w:rPr>
          <w:fldChar w:fldCharType="separate"/>
        </w:r>
        <w:r w:rsidR="00DE7330">
          <w:rPr>
            <w:noProof/>
            <w:webHidden/>
          </w:rPr>
          <w:t>6</w:t>
        </w:r>
        <w:r w:rsidR="00DE7330">
          <w:rPr>
            <w:noProof/>
            <w:webHidden/>
          </w:rPr>
          <w:fldChar w:fldCharType="end"/>
        </w:r>
      </w:hyperlink>
    </w:p>
    <w:p w14:paraId="55E3AA54" w14:textId="247F7FB4" w:rsidR="00DE7330" w:rsidRDefault="00827576">
      <w:pPr>
        <w:pStyle w:val="TableofFigures"/>
        <w:tabs>
          <w:tab w:val="right" w:leader="dot" w:pos="9350"/>
        </w:tabs>
        <w:rPr>
          <w:noProof/>
        </w:rPr>
      </w:pPr>
      <w:hyperlink w:anchor="_Toc80106062" w:history="1">
        <w:r w:rsidR="00DE7330" w:rsidRPr="00D26DBA">
          <w:rPr>
            <w:rStyle w:val="Hyperlink"/>
            <w:noProof/>
          </w:rPr>
          <w:t>Table 3. Summary of reported surface and ground water concentrations of thiamethoxam and clothianidin</w:t>
        </w:r>
        <w:r w:rsidR="00DE7330">
          <w:rPr>
            <w:noProof/>
            <w:webHidden/>
          </w:rPr>
          <w:tab/>
        </w:r>
        <w:r w:rsidR="00DE7330">
          <w:rPr>
            <w:noProof/>
            <w:webHidden/>
          </w:rPr>
          <w:fldChar w:fldCharType="begin"/>
        </w:r>
        <w:r w:rsidR="00DE7330">
          <w:rPr>
            <w:noProof/>
            <w:webHidden/>
          </w:rPr>
          <w:instrText xml:space="preserve"> PAGEREF _Toc80106062 \h </w:instrText>
        </w:r>
        <w:r w:rsidR="00DE7330">
          <w:rPr>
            <w:noProof/>
            <w:webHidden/>
          </w:rPr>
        </w:r>
        <w:r w:rsidR="00DE7330">
          <w:rPr>
            <w:noProof/>
            <w:webHidden/>
          </w:rPr>
          <w:fldChar w:fldCharType="separate"/>
        </w:r>
        <w:r w:rsidR="00DE7330">
          <w:rPr>
            <w:noProof/>
            <w:webHidden/>
          </w:rPr>
          <w:t>8</w:t>
        </w:r>
        <w:r w:rsidR="00DE7330">
          <w:rPr>
            <w:noProof/>
            <w:webHidden/>
          </w:rPr>
          <w:fldChar w:fldCharType="end"/>
        </w:r>
      </w:hyperlink>
    </w:p>
    <w:p w14:paraId="46A99140" w14:textId="1A0A34D4" w:rsidR="00DE7330" w:rsidRDefault="00DE7330" w:rsidP="00DE7330">
      <w:pPr>
        <w:tabs>
          <w:tab w:val="left" w:pos="-720"/>
          <w:tab w:val="left" w:pos="0"/>
          <w:tab w:val="left" w:pos="720"/>
          <w:tab w:val="left" w:pos="1440"/>
          <w:tab w:val="left" w:pos="2160"/>
          <w:tab w:val="left" w:pos="2880"/>
          <w:tab w:val="left" w:pos="3600"/>
          <w:tab w:val="left" w:pos="4320"/>
        </w:tabs>
        <w:spacing w:after="0"/>
      </w:pPr>
      <w:r>
        <w:fldChar w:fldCharType="end"/>
      </w:r>
    </w:p>
    <w:p w14:paraId="658D5013" w14:textId="37800E18" w:rsidR="00B57970" w:rsidRPr="00951E80" w:rsidRDefault="00B57970" w:rsidP="003D19E9">
      <w:pPr>
        <w:tabs>
          <w:tab w:val="left" w:pos="-720"/>
          <w:tab w:val="left" w:pos="0"/>
          <w:tab w:val="left" w:pos="720"/>
          <w:tab w:val="left" w:pos="1440"/>
          <w:tab w:val="left" w:pos="2160"/>
          <w:tab w:val="left" w:pos="2880"/>
          <w:tab w:val="left" w:pos="3600"/>
          <w:tab w:val="left" w:pos="4320"/>
        </w:tabs>
      </w:pPr>
      <w:r w:rsidRPr="00726A88">
        <w:t xml:space="preserve">The following </w:t>
      </w:r>
      <w:r w:rsidRPr="00951E80">
        <w:t xml:space="preserve">open literature information was available </w:t>
      </w:r>
      <w:r w:rsidR="00326509">
        <w:t xml:space="preserve">from </w:t>
      </w:r>
      <w:r w:rsidR="00326509" w:rsidRPr="2175F442">
        <w:rPr>
          <w:color w:val="000000" w:themeColor="text1"/>
        </w:rPr>
        <w:t>the Preliminary Aquatic and Non-Pollinator Terrestrial Risk Assessment to Support Registration Review</w:t>
      </w:r>
      <w:r w:rsidR="00E62AD2">
        <w:t xml:space="preserve"> (USEPA, 2017)</w:t>
      </w:r>
      <w:r w:rsidR="00326509" w:rsidRPr="2175F442">
        <w:rPr>
          <w:color w:val="000000" w:themeColor="text1"/>
        </w:rPr>
        <w:t xml:space="preserve"> and addendum</w:t>
      </w:r>
      <w:r w:rsidR="00E62AD2">
        <w:t xml:space="preserve"> (USEPA, 2020)</w:t>
      </w:r>
      <w:r w:rsidR="00326509" w:rsidRPr="2175F442">
        <w:rPr>
          <w:color w:val="000000" w:themeColor="text1"/>
        </w:rPr>
        <w:t>, unless otherwise note</w:t>
      </w:r>
      <w:r w:rsidR="00326509" w:rsidRPr="00E7221A">
        <w:t>d</w:t>
      </w:r>
      <w:r w:rsidR="00326509" w:rsidRPr="00E7221A">
        <w:rPr>
          <w:rFonts w:ascii="Calibri" w:eastAsia="Calibri" w:hAnsi="Calibri" w:cs="Calibri"/>
        </w:rPr>
        <w:t>.</w:t>
      </w:r>
      <w:r w:rsidRPr="00951E80">
        <w:t xml:space="preserve">  Detected thiamethoxam concentrations </w:t>
      </w:r>
      <w:r w:rsidR="00204262">
        <w:t xml:space="preserve">in surface waters </w:t>
      </w:r>
      <w:r w:rsidRPr="00951E80">
        <w:t xml:space="preserve">vary and are typically within an order of magnitude of the estimated environmental concentrations </w:t>
      </w:r>
      <w:r w:rsidR="00FD568C">
        <w:t xml:space="preserve">(EEC) </w:t>
      </w:r>
      <w:r w:rsidRPr="00951E80">
        <w:t xml:space="preserve">modeled in this </w:t>
      </w:r>
      <w:r w:rsidR="00204262">
        <w:t>BE</w:t>
      </w:r>
      <w:r w:rsidR="002C3F7E">
        <w:t>.</w:t>
      </w:r>
    </w:p>
    <w:p w14:paraId="0715A4A0" w14:textId="04D8E3BF" w:rsidR="00B57970" w:rsidRPr="00690EB0" w:rsidRDefault="00B57970" w:rsidP="00B57970">
      <w:r w:rsidRPr="009E534F">
        <w:rPr>
          <w:b/>
        </w:rPr>
        <w:t xml:space="preserve">Hladik </w:t>
      </w:r>
      <w:r w:rsidRPr="009E534F">
        <w:rPr>
          <w:b/>
          <w:i/>
        </w:rPr>
        <w:t>et al</w:t>
      </w:r>
      <w:r w:rsidR="00FD568C">
        <w:rPr>
          <w:b/>
          <w:i/>
        </w:rPr>
        <w:t>.</w:t>
      </w:r>
      <w:r w:rsidRPr="009E534F">
        <w:rPr>
          <w:b/>
        </w:rPr>
        <w:t xml:space="preserve"> (2014)</w:t>
      </w:r>
      <w:r w:rsidRPr="00690EB0">
        <w:t xml:space="preserve"> investigated an area of intense corn and soybean production in the Midwestern United States to evaluate neonicotinoid presence in surface water.  Study authors reported high agricultural use of neonicotinoids via both seed treatments and other forms of application occur</w:t>
      </w:r>
      <w:r w:rsidR="00FD568C">
        <w:t>ing</w:t>
      </w:r>
      <w:r w:rsidRPr="00690EB0">
        <w:t xml:space="preserve"> in this region.  Water samples were collected from nine stream sites (eight in Iowa and one in Nebraska, basin areas spanning 521 to 836,000 km</w:t>
      </w:r>
      <w:r w:rsidRPr="009E534F">
        <w:rPr>
          <w:vertAlign w:val="superscript"/>
        </w:rPr>
        <w:t>2</w:t>
      </w:r>
      <w:r w:rsidRPr="00690EB0">
        <w:t xml:space="preserve">) during the 2013 growing season (3/9/2013 to 11/1/2013).  Reported </w:t>
      </w:r>
      <w:r w:rsidR="004032FF">
        <w:t>t</w:t>
      </w:r>
      <w:r w:rsidR="004032FF" w:rsidRPr="00690EB0">
        <w:t xml:space="preserve">hiamethoxam concentrations ranged from non-detect to 185 ng/L, with a median value </w:t>
      </w:r>
      <w:r w:rsidR="004032FF">
        <w:t xml:space="preserve">of </w:t>
      </w:r>
      <w:r w:rsidR="004032FF" w:rsidRPr="00690EB0">
        <w:t xml:space="preserve">&lt;2 ng/L (n=79, number of non-detects = 42). </w:t>
      </w:r>
      <w:r w:rsidR="004032FF">
        <w:t xml:space="preserve"> Cl</w:t>
      </w:r>
      <w:r w:rsidRPr="00690EB0">
        <w:t>othianidin concentrations ranged from non-detect to 257 ng/L, with a median value of 8.2 ng/L (n=79, number of non-detects = 20).  Clothianidin and thiamethoxam were detected at all nine sites sampled.  Study authors reported temporal patterns in concentrations associated with rainfall events during crop planting, suggesting seed treatments as the likely source of the neonicotinoids.</w:t>
      </w:r>
    </w:p>
    <w:p w14:paraId="64594F16" w14:textId="35E7ABA8" w:rsidR="00B57970" w:rsidRPr="00690EB0" w:rsidRDefault="00B57970" w:rsidP="00B57970">
      <w:r w:rsidRPr="00690EB0">
        <w:t xml:space="preserve">According to </w:t>
      </w:r>
      <w:r w:rsidRPr="009E534F">
        <w:rPr>
          <w:b/>
        </w:rPr>
        <w:t>Raina-Fulton, R. (2016)</w:t>
      </w:r>
      <w:r w:rsidRPr="00690EB0">
        <w:t>, neonicotinoids have been detected in 63% of the 48 streams sampled across the United States with clothianidin having a detection frequency of 24% (maximum 66 ng/L), thiamethoxam having a detection frequency of 21% (maximum 190 ng/L</w:t>
      </w:r>
      <w:r w:rsidR="003C57AE">
        <w:t>;</w:t>
      </w:r>
      <w:r w:rsidR="003C57AE" w:rsidRPr="003C57AE">
        <w:rPr>
          <w:bCs/>
        </w:rPr>
        <w:t xml:space="preserve"> Hladik </w:t>
      </w:r>
      <w:r w:rsidR="003C57AE" w:rsidRPr="003C57AE">
        <w:rPr>
          <w:bCs/>
          <w:i/>
        </w:rPr>
        <w:t>et al</w:t>
      </w:r>
      <w:r w:rsidR="00293E71">
        <w:rPr>
          <w:bCs/>
          <w:i/>
        </w:rPr>
        <w:t>.</w:t>
      </w:r>
      <w:r w:rsidR="003C57AE" w:rsidRPr="003C57AE">
        <w:rPr>
          <w:bCs/>
        </w:rPr>
        <w:t xml:space="preserve"> (2016)</w:t>
      </w:r>
      <w:r w:rsidRPr="003C57AE">
        <w:rPr>
          <w:bCs/>
        </w:rPr>
        <w:t>.</w:t>
      </w:r>
      <w:r w:rsidRPr="00690EB0">
        <w:t xml:space="preserve">  Clothianidin and thiamethoxam concentrations in surface water were positively correlated with land use in cultivated crops and imidacloprid was positively correlated with urban area</w:t>
      </w:r>
      <w:r w:rsidR="00293E71">
        <w:t>s</w:t>
      </w:r>
      <w:r w:rsidRPr="00690EB0">
        <w:t xml:space="preserve"> within the water basin.  Precipitation was identified as an important driver for neonicotinoid transport in the environm</w:t>
      </w:r>
      <w:r>
        <w:t>ent following periods of use</w:t>
      </w:r>
      <w:r w:rsidR="003C57AE" w:rsidRPr="003C57AE">
        <w:t xml:space="preserve"> (</w:t>
      </w:r>
      <w:r w:rsidR="003C57AE" w:rsidRPr="003C57AE">
        <w:rPr>
          <w:bCs/>
        </w:rPr>
        <w:t xml:space="preserve">Hladik </w:t>
      </w:r>
      <w:r w:rsidR="003C57AE" w:rsidRPr="003C57AE">
        <w:rPr>
          <w:bCs/>
          <w:i/>
        </w:rPr>
        <w:t>et al</w:t>
      </w:r>
      <w:r w:rsidR="00293E71">
        <w:rPr>
          <w:bCs/>
          <w:i/>
        </w:rPr>
        <w:t>.</w:t>
      </w:r>
      <w:r w:rsidR="003C57AE">
        <w:rPr>
          <w:bCs/>
        </w:rPr>
        <w:t xml:space="preserve">, </w:t>
      </w:r>
      <w:r w:rsidR="003C57AE" w:rsidRPr="003C57AE">
        <w:rPr>
          <w:bCs/>
        </w:rPr>
        <w:t>2016)</w:t>
      </w:r>
      <w:r w:rsidRPr="00690EB0">
        <w:t>.  In maize producing counties of southwestern Ontario in Canada, 100% of 76 samples collected had clothianidin and 98.7% had thiamethoxam with mean concentrations of clothianidin and thiamethoxam at 2,280 and 1,130 ng/L, respectively (maximum 43,600 an</w:t>
      </w:r>
      <w:r>
        <w:t>d 16,500 ng/L, respectively</w:t>
      </w:r>
      <w:r w:rsidR="003C57AE">
        <w:t>; Schaafsma</w:t>
      </w:r>
      <w:r w:rsidR="003C57AE" w:rsidRPr="003C57AE">
        <w:rPr>
          <w:bCs/>
        </w:rPr>
        <w:t xml:space="preserve"> </w:t>
      </w:r>
      <w:r w:rsidR="003C57AE" w:rsidRPr="003C57AE">
        <w:rPr>
          <w:bCs/>
          <w:i/>
        </w:rPr>
        <w:t>et al</w:t>
      </w:r>
      <w:r w:rsidR="00293E71">
        <w:rPr>
          <w:bCs/>
          <w:i/>
        </w:rPr>
        <w:t>.</w:t>
      </w:r>
      <w:r w:rsidR="003C57AE">
        <w:rPr>
          <w:bCs/>
        </w:rPr>
        <w:t xml:space="preserve">, </w:t>
      </w:r>
      <w:r w:rsidR="003C57AE" w:rsidRPr="003C57AE">
        <w:rPr>
          <w:bCs/>
        </w:rPr>
        <w:t>201</w:t>
      </w:r>
      <w:r w:rsidR="003C57AE">
        <w:rPr>
          <w:bCs/>
        </w:rPr>
        <w:t>5</w:t>
      </w:r>
      <w:r>
        <w:t>)</w:t>
      </w:r>
      <w:r w:rsidRPr="00690EB0">
        <w:t xml:space="preserve">.  </w:t>
      </w:r>
      <w:r w:rsidR="006F2014" w:rsidRPr="00690EB0">
        <w:t xml:space="preserve">The highest concentrations in </w:t>
      </w:r>
      <w:r w:rsidR="00293E71">
        <w:t xml:space="preserve">the </w:t>
      </w:r>
      <w:r w:rsidR="006F2014" w:rsidRPr="00690EB0">
        <w:t xml:space="preserve">field occurred in a puddle with </w:t>
      </w:r>
      <w:r w:rsidR="00293E71">
        <w:t xml:space="preserve">a </w:t>
      </w:r>
      <w:r w:rsidR="006F2014" w:rsidRPr="00690EB0">
        <w:t>total concentration of neonicotinoid insecticides (clothianidin and thiamethoxam) of 44,380 ng/L as compared to outside the treated seed field in puddle, ditch and drain concentrations at 17</w:t>
      </w:r>
      <w:r w:rsidR="006F2014">
        <w:t>,830, 12,250, and 6,210 ng/L</w:t>
      </w:r>
      <w:r w:rsidR="003C57AE">
        <w:t>; Schaafsma</w:t>
      </w:r>
      <w:r w:rsidR="003C57AE" w:rsidRPr="003C57AE">
        <w:rPr>
          <w:bCs/>
        </w:rPr>
        <w:t xml:space="preserve"> </w:t>
      </w:r>
      <w:r w:rsidR="003C57AE" w:rsidRPr="003C57AE">
        <w:rPr>
          <w:bCs/>
          <w:i/>
        </w:rPr>
        <w:t>et al</w:t>
      </w:r>
      <w:r w:rsidR="00293E71">
        <w:rPr>
          <w:bCs/>
          <w:i/>
        </w:rPr>
        <w:t>.</w:t>
      </w:r>
      <w:r w:rsidR="003C57AE">
        <w:rPr>
          <w:bCs/>
        </w:rPr>
        <w:t xml:space="preserve">, </w:t>
      </w:r>
      <w:r w:rsidR="003C57AE" w:rsidRPr="003C57AE">
        <w:rPr>
          <w:bCs/>
        </w:rPr>
        <w:t>201</w:t>
      </w:r>
      <w:r w:rsidR="003C57AE">
        <w:rPr>
          <w:bCs/>
        </w:rPr>
        <w:t>5</w:t>
      </w:r>
      <w:r w:rsidR="003C57AE">
        <w:t>)</w:t>
      </w:r>
      <w:r w:rsidR="006F2014" w:rsidRPr="00690EB0">
        <w:t>.  Total concentration</w:t>
      </w:r>
      <w:r w:rsidR="00293E71">
        <w:t>s</w:t>
      </w:r>
      <w:r w:rsidR="006F2014" w:rsidRPr="00690EB0">
        <w:t xml:space="preserve"> of neonicotinoids were 4.6 and 5.9 times higher in week 1-3 and 4-5 after planting with treated corn seed as compared to 1-2 weeks before planting and returned to similar concentrations of neonicotinoids to</w:t>
      </w:r>
      <w:r w:rsidR="006F2014">
        <w:t xml:space="preserve"> before planting by week 6-7</w:t>
      </w:r>
      <w:r w:rsidR="003C57AE" w:rsidRPr="003C57AE">
        <w:rPr>
          <w:sz w:val="24"/>
          <w:szCs w:val="24"/>
        </w:rPr>
        <w:t xml:space="preserve">; </w:t>
      </w:r>
      <w:r w:rsidR="003C57AE">
        <w:t>Schaafsma</w:t>
      </w:r>
      <w:r w:rsidR="003C57AE" w:rsidRPr="003C57AE">
        <w:rPr>
          <w:bCs/>
        </w:rPr>
        <w:t xml:space="preserve"> </w:t>
      </w:r>
      <w:r w:rsidR="003C57AE" w:rsidRPr="003C57AE">
        <w:rPr>
          <w:bCs/>
          <w:i/>
        </w:rPr>
        <w:t>et al</w:t>
      </w:r>
      <w:r w:rsidR="00293E71">
        <w:rPr>
          <w:bCs/>
          <w:i/>
        </w:rPr>
        <w:t>.</w:t>
      </w:r>
      <w:r w:rsidR="003C57AE">
        <w:rPr>
          <w:bCs/>
        </w:rPr>
        <w:t xml:space="preserve">, </w:t>
      </w:r>
      <w:r w:rsidR="003C57AE" w:rsidRPr="003C57AE">
        <w:rPr>
          <w:bCs/>
        </w:rPr>
        <w:t>201</w:t>
      </w:r>
      <w:r w:rsidR="003C57AE">
        <w:rPr>
          <w:bCs/>
        </w:rPr>
        <w:t>5</w:t>
      </w:r>
      <w:r w:rsidR="003C57AE">
        <w:t>)</w:t>
      </w:r>
      <w:r w:rsidR="006F2014" w:rsidRPr="00690EB0">
        <w:t xml:space="preserve">. In water from Canadian prairie wetlands of central Saskatchewan (located within a region of high neonicotinoid seed treatment use for wheat and canola) the highest detection frequency (62%) and highest concentrations of neonicotinoids (maximum 3,110 </w:t>
      </w:r>
      <w:r w:rsidR="006F2014" w:rsidRPr="00690EB0">
        <w:lastRenderedPageBreak/>
        <w:t>ng/L, mean 76.8 ng/L) occurred in summer with clothianid</w:t>
      </w:r>
      <w:r w:rsidR="006F2014">
        <w:t xml:space="preserve">in </w:t>
      </w:r>
      <w:r w:rsidR="00293E71">
        <w:t xml:space="preserve">concentrations </w:t>
      </w:r>
      <w:r w:rsidR="006F2014">
        <w:t xml:space="preserve">greater than </w:t>
      </w:r>
      <w:r w:rsidR="00293E71">
        <w:t xml:space="preserve">those of </w:t>
      </w:r>
      <w:r w:rsidR="006F2014">
        <w:t>thiamethoxam</w:t>
      </w:r>
      <w:r w:rsidR="003C57AE">
        <w:t xml:space="preserve"> (Main</w:t>
      </w:r>
      <w:r w:rsidR="003C57AE" w:rsidRPr="003C57AE">
        <w:rPr>
          <w:bCs/>
        </w:rPr>
        <w:t xml:space="preserve"> </w:t>
      </w:r>
      <w:r w:rsidR="003C57AE" w:rsidRPr="003C57AE">
        <w:rPr>
          <w:bCs/>
          <w:i/>
        </w:rPr>
        <w:t>et al</w:t>
      </w:r>
      <w:r w:rsidR="00293E71">
        <w:rPr>
          <w:bCs/>
          <w:i/>
        </w:rPr>
        <w:t>.</w:t>
      </w:r>
      <w:r w:rsidR="003C57AE">
        <w:rPr>
          <w:bCs/>
        </w:rPr>
        <w:t xml:space="preserve">, </w:t>
      </w:r>
      <w:r w:rsidR="003C57AE" w:rsidRPr="003C57AE">
        <w:rPr>
          <w:bCs/>
        </w:rPr>
        <w:t>201</w:t>
      </w:r>
      <w:r w:rsidR="003C57AE">
        <w:rPr>
          <w:bCs/>
        </w:rPr>
        <w:t>5</w:t>
      </w:r>
      <w:r w:rsidR="003C57AE">
        <w:t>)</w:t>
      </w:r>
      <w:r w:rsidR="006F2014" w:rsidRPr="00690EB0">
        <w:t>. Other areas with soil-applied neonicotinoids (thiamethoxam, clothianidin and imidacloprid) for potato production have detected thiamethoxam and clothianidin at 210 to 3,340 ng/L (average 620 ng/L) and 260-3,340 ng/L (average 790 ng/L) in ground water with the highest frequency of detection for thiamethoxam (during 2008-2012) sugges</w:t>
      </w:r>
      <w:r w:rsidR="006F2014">
        <w:t>ting high leaching potential</w:t>
      </w:r>
      <w:r w:rsidR="00D147FC">
        <w:rPr>
          <w:sz w:val="24"/>
          <w:szCs w:val="24"/>
          <w:vertAlign w:val="superscript"/>
        </w:rPr>
        <w:t xml:space="preserve"> </w:t>
      </w:r>
      <w:r w:rsidR="00D147FC">
        <w:t>(Huseth</w:t>
      </w:r>
      <w:r w:rsidR="00D147FC" w:rsidRPr="003C57AE">
        <w:rPr>
          <w:bCs/>
        </w:rPr>
        <w:t xml:space="preserve"> </w:t>
      </w:r>
      <w:r w:rsidR="00D147FC" w:rsidRPr="003C57AE">
        <w:rPr>
          <w:bCs/>
          <w:i/>
        </w:rPr>
        <w:t>et al</w:t>
      </w:r>
      <w:r w:rsidR="00293E71">
        <w:rPr>
          <w:bCs/>
          <w:i/>
        </w:rPr>
        <w:t>.</w:t>
      </w:r>
      <w:r w:rsidR="00D147FC">
        <w:rPr>
          <w:bCs/>
        </w:rPr>
        <w:t xml:space="preserve">, </w:t>
      </w:r>
      <w:r w:rsidR="00D147FC" w:rsidRPr="003C57AE">
        <w:rPr>
          <w:bCs/>
        </w:rPr>
        <w:t>201</w:t>
      </w:r>
      <w:r w:rsidR="00D147FC">
        <w:rPr>
          <w:bCs/>
        </w:rPr>
        <w:t>4</w:t>
      </w:r>
      <w:r w:rsidR="00D147FC">
        <w:t>)</w:t>
      </w:r>
      <w:r w:rsidR="00D147FC" w:rsidRPr="00690EB0">
        <w:t>.</w:t>
      </w:r>
      <w:r w:rsidR="001E3A7C">
        <w:t xml:space="preserve"> </w:t>
      </w:r>
      <w:r w:rsidR="006F2014" w:rsidRPr="00690EB0">
        <w:t xml:space="preserve">In addition, cycling of contaminated ground water due to use of </w:t>
      </w:r>
      <w:r w:rsidR="00D7793E" w:rsidRPr="00690EB0">
        <w:t>high-capacity</w:t>
      </w:r>
      <w:r w:rsidR="006F2014" w:rsidRPr="00690EB0">
        <w:t xml:space="preserve"> irrigation wells occurred.</w:t>
      </w:r>
    </w:p>
    <w:p w14:paraId="02C0351C" w14:textId="5C10761C" w:rsidR="00B57970" w:rsidRPr="00690EB0" w:rsidRDefault="00B57970" w:rsidP="003D19E9">
      <w:r w:rsidRPr="00514699">
        <w:rPr>
          <w:b/>
        </w:rPr>
        <w:t xml:space="preserve">Struger </w:t>
      </w:r>
      <w:r w:rsidRPr="00514699">
        <w:rPr>
          <w:b/>
          <w:i/>
        </w:rPr>
        <w:t>et al</w:t>
      </w:r>
      <w:r w:rsidRPr="00514699">
        <w:rPr>
          <w:b/>
        </w:rPr>
        <w:t xml:space="preserve"> (2017)</w:t>
      </w:r>
      <w:r w:rsidRPr="00690EB0">
        <w:t xml:space="preserve"> conducted a wide scale investigation of neonicotinoid insecticides used across the range of agricultural activities from fifteen surface water sites in southern Ontario.  The fifteen sites consisted of nine streams near agricultural areas (drainage area &lt;100 km</w:t>
      </w:r>
      <w:r w:rsidRPr="00514699">
        <w:rPr>
          <w:vertAlign w:val="superscript"/>
        </w:rPr>
        <w:t>2</w:t>
      </w:r>
      <w:r w:rsidRPr="00690EB0">
        <w:t>), and six larger streams/rivers (drainage area &gt;100 km</w:t>
      </w:r>
      <w:r w:rsidRPr="00514699">
        <w:rPr>
          <w:vertAlign w:val="superscript"/>
        </w:rPr>
        <w:t>2</w:t>
      </w:r>
      <w:r w:rsidRPr="00690EB0">
        <w:t xml:space="preserve">).  The stream sites reflected a range of agricultural activities including row crops, fruits and vegetables, orchards and grapes, greenhouses, ornamental nurseries, and turf.  The sites also included an urban stream (Indian Creek) and a reference stream (Spring Creek) located adjacent to a national park removed from agricultural activities. All neonicotinoid insecticide concentrations in samples from Spring Creek were below the method detection limits (1.76 ng/L for clothianidin and 1.39 ng/L for thiamethoxam). Seventeen precipitation samples in total were collected between May and October 2013 at Bear Creek in southern Ontario. Bi-monthly integrated precipitation samples were collected using a MIC-B-wet-only automated precipitation sampler. Concentrations for clothianidin and thiamethoxam are presented in </w:t>
      </w:r>
      <w:r w:rsidRPr="00514699">
        <w:rPr>
          <w:b/>
        </w:rPr>
        <w:t>Table 1</w:t>
      </w:r>
      <w:r w:rsidRPr="00690EB0">
        <w:t xml:space="preserve">.  Clothianidin concentrations ranged from non-detect to 399 ng/L in surface water, while thiamethoxam ranged from non-detect to 1340 ng/L.  Neonicotinoids were rarely detected in precipitation at Bear Creek in 2013; most detections were during the period of 14-31 May 2013.  Concentrations in precipitation of thiamethoxam and clothianidin on May 14th, 2013 were 114 ng/L and 120 ng/L, respectively. The study authors speculated that the detections may have been the result of drift of dust generated during application on row </w:t>
      </w:r>
      <w:r w:rsidR="00B951B7" w:rsidRPr="00690EB0">
        <w:t>crops or</w:t>
      </w:r>
      <w:r w:rsidRPr="00690EB0">
        <w:t xml:space="preserve"> planting of treated seeds during the spring planting period, as the Bear Creek site is in proximity to the Lebo Drain and Sturgeon Creek stations, both of which are characterized by greater than 60% row crop agriculture. Using statistical analysis, study authors investigated the correlation of individual compounds with land use and assessed the relationship between neonicotinoid occurrence and hydrologic parameters in calibrated water courses. Of the five neonicotinoids studied, clothianidin and thiamethoxam exhibited detection rates above 90% at over half the sites sampled over a three-year period (2012-2014). For some watersheds, study authors found correlations between the occurrence of neonicotinoids and precipitation and/or stream discharge. Some watersheds exhibited seasonal maxima in concentrations of neonicotinoids in spring and fall, particularly for those areas where row crop agriculture is predominant;</w:t>
      </w:r>
      <w:r w:rsidR="00B74A7B">
        <w:t xml:space="preserve"> </w:t>
      </w:r>
      <w:r w:rsidRPr="00690EB0">
        <w:t>these seasonal patterns were absent in some areas characterized by a broad range of agricultural activities.</w:t>
      </w:r>
    </w:p>
    <w:p w14:paraId="22C2381C" w14:textId="4F8AB303" w:rsidR="00B57970" w:rsidRPr="00DE7330" w:rsidRDefault="00B57970" w:rsidP="00DE7330">
      <w:pPr>
        <w:pStyle w:val="Caption"/>
        <w:keepNext/>
        <w:keepLines/>
        <w:spacing w:after="0"/>
        <w:rPr>
          <w:b w:val="0"/>
          <w:smallCaps w:val="0"/>
          <w:color w:val="auto"/>
        </w:rPr>
      </w:pPr>
      <w:bookmarkStart w:id="0" w:name="_Toc80106060"/>
      <w:r w:rsidRPr="00DE7330">
        <w:rPr>
          <w:smallCaps w:val="0"/>
          <w:color w:val="auto"/>
        </w:rPr>
        <w:lastRenderedPageBreak/>
        <w:t>Table</w:t>
      </w:r>
      <w:r w:rsidR="00DE7330" w:rsidRPr="00DE7330">
        <w:rPr>
          <w:smallCaps w:val="0"/>
          <w:color w:val="auto"/>
        </w:rPr>
        <w:t xml:space="preserve"> </w:t>
      </w:r>
      <w:r w:rsidR="00DE7330" w:rsidRPr="00DE7330">
        <w:rPr>
          <w:smallCaps w:val="0"/>
          <w:color w:val="auto"/>
        </w:rPr>
        <w:fldChar w:fldCharType="begin"/>
      </w:r>
      <w:r w:rsidR="00DE7330" w:rsidRPr="00DE7330">
        <w:rPr>
          <w:smallCaps w:val="0"/>
          <w:color w:val="auto"/>
        </w:rPr>
        <w:instrText xml:space="preserve"> SEQ Table \* ARABIC </w:instrText>
      </w:r>
      <w:r w:rsidR="00DE7330" w:rsidRPr="00DE7330">
        <w:rPr>
          <w:smallCaps w:val="0"/>
          <w:color w:val="auto"/>
        </w:rPr>
        <w:fldChar w:fldCharType="separate"/>
      </w:r>
      <w:r w:rsidR="00DE7330">
        <w:rPr>
          <w:smallCaps w:val="0"/>
          <w:noProof/>
          <w:color w:val="auto"/>
        </w:rPr>
        <w:t>1</w:t>
      </w:r>
      <w:r w:rsidR="00DE7330" w:rsidRPr="00DE7330">
        <w:rPr>
          <w:smallCaps w:val="0"/>
          <w:color w:val="auto"/>
        </w:rPr>
        <w:fldChar w:fldCharType="end"/>
      </w:r>
      <w:r w:rsidRPr="00DE7330">
        <w:rPr>
          <w:smallCaps w:val="0"/>
          <w:color w:val="auto"/>
        </w:rPr>
        <w:t>. Summary statistics for neonicotinoids measured in southwestern Ontario surface waters</w:t>
      </w:r>
      <w:r w:rsidR="00B74A7B" w:rsidRPr="00DE7330">
        <w:rPr>
          <w:rStyle w:val="FootnoteReference"/>
          <w:smallCaps w:val="0"/>
          <w:color w:val="auto"/>
        </w:rPr>
        <w:footnoteReference w:id="2"/>
      </w:r>
      <w:bookmarkEnd w:id="0"/>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30"/>
        <w:gridCol w:w="1272"/>
        <w:gridCol w:w="1000"/>
        <w:gridCol w:w="1240"/>
        <w:gridCol w:w="823"/>
        <w:gridCol w:w="1557"/>
        <w:gridCol w:w="1200"/>
      </w:tblGrid>
      <w:tr w:rsidR="00B57970" w:rsidRPr="00690EB0" w14:paraId="30593DE5" w14:textId="77777777" w:rsidTr="002A1187">
        <w:trPr>
          <w:cantSplit/>
          <w:trHeight w:val="70"/>
          <w:tblHeader/>
          <w:jc w:val="center"/>
        </w:trPr>
        <w:tc>
          <w:tcPr>
            <w:tcW w:w="1795" w:type="dxa"/>
            <w:shd w:val="clear" w:color="auto" w:fill="D9D9D9" w:themeFill="background1" w:themeFillShade="D9"/>
            <w:noWrap/>
            <w:vAlign w:val="center"/>
            <w:hideMark/>
          </w:tcPr>
          <w:p w14:paraId="0FEF41D9" w14:textId="77777777" w:rsidR="00B57970" w:rsidRPr="00EB6F20" w:rsidRDefault="00B57970" w:rsidP="00DE7330">
            <w:pPr>
              <w:pStyle w:val="NoSpacing"/>
              <w:keepNext/>
              <w:keepLines/>
              <w:jc w:val="center"/>
              <w:rPr>
                <w:b/>
                <w:sz w:val="20"/>
                <w:szCs w:val="20"/>
              </w:rPr>
            </w:pPr>
            <w:r w:rsidRPr="00EB6F20">
              <w:rPr>
                <w:b/>
                <w:sz w:val="20"/>
                <w:szCs w:val="20"/>
              </w:rPr>
              <w:t>Site</w:t>
            </w:r>
          </w:p>
        </w:tc>
        <w:tc>
          <w:tcPr>
            <w:tcW w:w="530" w:type="dxa"/>
            <w:shd w:val="clear" w:color="auto" w:fill="D9D9D9" w:themeFill="background1" w:themeFillShade="D9"/>
            <w:noWrap/>
            <w:vAlign w:val="center"/>
            <w:hideMark/>
          </w:tcPr>
          <w:p w14:paraId="68BDEABC" w14:textId="77777777" w:rsidR="00B57970" w:rsidRPr="00EB6F20" w:rsidRDefault="00B57970" w:rsidP="00DE7330">
            <w:pPr>
              <w:pStyle w:val="NoSpacing"/>
              <w:keepNext/>
              <w:keepLines/>
              <w:jc w:val="center"/>
              <w:rPr>
                <w:b/>
                <w:sz w:val="20"/>
                <w:szCs w:val="20"/>
              </w:rPr>
            </w:pPr>
            <w:r w:rsidRPr="00EB6F20">
              <w:rPr>
                <w:b/>
                <w:sz w:val="20"/>
                <w:szCs w:val="20"/>
              </w:rPr>
              <w:t>N</w:t>
            </w:r>
          </w:p>
        </w:tc>
        <w:tc>
          <w:tcPr>
            <w:tcW w:w="1272" w:type="dxa"/>
            <w:shd w:val="clear" w:color="auto" w:fill="D9D9D9" w:themeFill="background1" w:themeFillShade="D9"/>
            <w:vAlign w:val="center"/>
            <w:hideMark/>
          </w:tcPr>
          <w:p w14:paraId="58E32462" w14:textId="77777777" w:rsidR="00B57970" w:rsidRPr="00EB6F20" w:rsidRDefault="00B57970" w:rsidP="00DE7330">
            <w:pPr>
              <w:pStyle w:val="NoSpacing"/>
              <w:keepNext/>
              <w:keepLines/>
              <w:jc w:val="center"/>
              <w:rPr>
                <w:b/>
                <w:sz w:val="20"/>
                <w:szCs w:val="20"/>
              </w:rPr>
            </w:pPr>
            <w:r w:rsidRPr="00EB6F20">
              <w:rPr>
                <w:b/>
                <w:sz w:val="20"/>
                <w:szCs w:val="20"/>
              </w:rPr>
              <w:t>N</w:t>
            </w:r>
            <w:r>
              <w:br/>
            </w:r>
            <w:r w:rsidRPr="00EB6F20">
              <w:rPr>
                <w:b/>
                <w:sz w:val="20"/>
                <w:szCs w:val="20"/>
              </w:rPr>
              <w:t>(non-detect)</w:t>
            </w:r>
          </w:p>
        </w:tc>
        <w:tc>
          <w:tcPr>
            <w:tcW w:w="1000" w:type="dxa"/>
            <w:shd w:val="clear" w:color="auto" w:fill="D9D9D9" w:themeFill="background1" w:themeFillShade="D9"/>
            <w:vAlign w:val="center"/>
            <w:hideMark/>
          </w:tcPr>
          <w:p w14:paraId="1CF7A7A2" w14:textId="77777777" w:rsidR="00B57970" w:rsidRPr="00EB6F20" w:rsidRDefault="00B57970" w:rsidP="00DE7330">
            <w:pPr>
              <w:pStyle w:val="NoSpacing"/>
              <w:keepNext/>
              <w:keepLines/>
              <w:jc w:val="center"/>
              <w:rPr>
                <w:b/>
                <w:sz w:val="20"/>
                <w:szCs w:val="20"/>
              </w:rPr>
            </w:pPr>
            <w:r w:rsidRPr="00EB6F20">
              <w:rPr>
                <w:b/>
                <w:sz w:val="20"/>
                <w:szCs w:val="20"/>
              </w:rPr>
              <w:t>Median</w:t>
            </w:r>
            <w:r>
              <w:br/>
            </w:r>
            <w:r w:rsidRPr="00EB6F20">
              <w:rPr>
                <w:b/>
                <w:sz w:val="20"/>
                <w:szCs w:val="20"/>
              </w:rPr>
              <w:t>(ng/L)</w:t>
            </w:r>
          </w:p>
        </w:tc>
        <w:tc>
          <w:tcPr>
            <w:tcW w:w="1240" w:type="dxa"/>
            <w:shd w:val="clear" w:color="auto" w:fill="D9D9D9" w:themeFill="background1" w:themeFillShade="D9"/>
            <w:vAlign w:val="center"/>
            <w:hideMark/>
          </w:tcPr>
          <w:p w14:paraId="63E6B822" w14:textId="77777777" w:rsidR="00B57970" w:rsidRPr="00EB6F20" w:rsidRDefault="00B57970" w:rsidP="00DE7330">
            <w:pPr>
              <w:pStyle w:val="NoSpacing"/>
              <w:keepNext/>
              <w:keepLines/>
              <w:jc w:val="center"/>
              <w:rPr>
                <w:b/>
                <w:sz w:val="20"/>
                <w:szCs w:val="20"/>
              </w:rPr>
            </w:pPr>
            <w:r w:rsidRPr="00EB6F20">
              <w:rPr>
                <w:b/>
                <w:sz w:val="20"/>
                <w:szCs w:val="20"/>
              </w:rPr>
              <w:t>Mean</w:t>
            </w:r>
            <w:r>
              <w:br/>
            </w:r>
            <w:r w:rsidRPr="00EB6F20">
              <w:rPr>
                <w:b/>
                <w:sz w:val="20"/>
                <w:szCs w:val="20"/>
              </w:rPr>
              <w:t>(ng/L)</w:t>
            </w:r>
          </w:p>
        </w:tc>
        <w:tc>
          <w:tcPr>
            <w:tcW w:w="823" w:type="dxa"/>
            <w:shd w:val="clear" w:color="auto" w:fill="D9D9D9" w:themeFill="background1" w:themeFillShade="D9"/>
            <w:noWrap/>
            <w:vAlign w:val="center"/>
            <w:hideMark/>
          </w:tcPr>
          <w:p w14:paraId="2532D8BB" w14:textId="77777777" w:rsidR="00B57970" w:rsidRPr="00EB6F20" w:rsidRDefault="00B57970" w:rsidP="00DE7330">
            <w:pPr>
              <w:pStyle w:val="NoSpacing"/>
              <w:keepNext/>
              <w:keepLines/>
              <w:jc w:val="center"/>
              <w:rPr>
                <w:b/>
                <w:sz w:val="20"/>
                <w:szCs w:val="20"/>
              </w:rPr>
            </w:pPr>
            <w:r w:rsidRPr="00EB6F20">
              <w:rPr>
                <w:b/>
                <w:sz w:val="20"/>
                <w:szCs w:val="20"/>
              </w:rPr>
              <w:t>Stdev</w:t>
            </w:r>
          </w:p>
        </w:tc>
        <w:tc>
          <w:tcPr>
            <w:tcW w:w="1557" w:type="dxa"/>
            <w:shd w:val="clear" w:color="auto" w:fill="D9D9D9" w:themeFill="background1" w:themeFillShade="D9"/>
            <w:vAlign w:val="center"/>
            <w:hideMark/>
          </w:tcPr>
          <w:p w14:paraId="2AB13263" w14:textId="77777777" w:rsidR="00B57970" w:rsidRPr="00EB6F20" w:rsidRDefault="00B57970" w:rsidP="00DE7330">
            <w:pPr>
              <w:pStyle w:val="NoSpacing"/>
              <w:keepNext/>
              <w:keepLines/>
              <w:jc w:val="center"/>
              <w:rPr>
                <w:b/>
                <w:sz w:val="20"/>
                <w:szCs w:val="20"/>
              </w:rPr>
            </w:pPr>
            <w:r w:rsidRPr="00EB6F20">
              <w:rPr>
                <w:b/>
                <w:sz w:val="20"/>
                <w:szCs w:val="20"/>
              </w:rPr>
              <w:t>Detection Frequency (%)</w:t>
            </w:r>
          </w:p>
        </w:tc>
        <w:tc>
          <w:tcPr>
            <w:tcW w:w="1200" w:type="dxa"/>
            <w:shd w:val="clear" w:color="auto" w:fill="D9D9D9" w:themeFill="background1" w:themeFillShade="D9"/>
            <w:vAlign w:val="center"/>
            <w:hideMark/>
          </w:tcPr>
          <w:p w14:paraId="6AE6B922" w14:textId="77777777" w:rsidR="00B57970" w:rsidRPr="00EB6F20" w:rsidRDefault="00B57970" w:rsidP="00DE7330">
            <w:pPr>
              <w:pStyle w:val="NoSpacing"/>
              <w:keepNext/>
              <w:keepLines/>
              <w:jc w:val="center"/>
              <w:rPr>
                <w:b/>
                <w:sz w:val="20"/>
                <w:szCs w:val="20"/>
              </w:rPr>
            </w:pPr>
            <w:r w:rsidRPr="00EB6F20">
              <w:rPr>
                <w:b/>
                <w:sz w:val="20"/>
                <w:szCs w:val="20"/>
              </w:rPr>
              <w:t>Maximum</w:t>
            </w:r>
            <w:r>
              <w:br/>
            </w:r>
            <w:r w:rsidRPr="00EB6F20">
              <w:rPr>
                <w:b/>
                <w:sz w:val="20"/>
                <w:szCs w:val="20"/>
              </w:rPr>
              <w:t>(ng/L)</w:t>
            </w:r>
          </w:p>
        </w:tc>
      </w:tr>
      <w:tr w:rsidR="00B57970" w:rsidRPr="00690EB0" w14:paraId="55AF93F5" w14:textId="77777777" w:rsidTr="00B57970">
        <w:trPr>
          <w:trHeight w:val="300"/>
          <w:jc w:val="center"/>
        </w:trPr>
        <w:tc>
          <w:tcPr>
            <w:tcW w:w="9417" w:type="dxa"/>
            <w:gridSpan w:val="8"/>
            <w:shd w:val="clear" w:color="auto" w:fill="D9D9D9" w:themeFill="background1" w:themeFillShade="D9"/>
          </w:tcPr>
          <w:p w14:paraId="6AA84D6F" w14:textId="77777777" w:rsidR="00B57970" w:rsidRPr="00EB6F20" w:rsidRDefault="00B57970" w:rsidP="00DE7330">
            <w:pPr>
              <w:pStyle w:val="NoSpacing"/>
              <w:keepNext/>
              <w:keepLines/>
              <w:jc w:val="center"/>
              <w:rPr>
                <w:b/>
                <w:sz w:val="20"/>
                <w:szCs w:val="20"/>
              </w:rPr>
            </w:pPr>
            <w:r w:rsidRPr="00EB6F20">
              <w:rPr>
                <w:b/>
                <w:sz w:val="20"/>
                <w:szCs w:val="20"/>
              </w:rPr>
              <w:t>Clothianidin</w:t>
            </w:r>
          </w:p>
        </w:tc>
      </w:tr>
      <w:tr w:rsidR="00B57970" w:rsidRPr="00690EB0" w14:paraId="58E3EBCC" w14:textId="77777777" w:rsidTr="00865C6E">
        <w:trPr>
          <w:trHeight w:val="300"/>
          <w:jc w:val="center"/>
        </w:trPr>
        <w:tc>
          <w:tcPr>
            <w:tcW w:w="1795" w:type="dxa"/>
            <w:shd w:val="clear" w:color="auto" w:fill="auto"/>
            <w:noWrap/>
            <w:vAlign w:val="bottom"/>
            <w:hideMark/>
          </w:tcPr>
          <w:p w14:paraId="4BCC08C7" w14:textId="77777777" w:rsidR="00B57970" w:rsidRPr="00690EB0" w:rsidRDefault="00B57970" w:rsidP="00DE7330">
            <w:pPr>
              <w:pStyle w:val="NoSpacing"/>
              <w:keepNext/>
              <w:keepLines/>
              <w:rPr>
                <w:sz w:val="20"/>
                <w:szCs w:val="20"/>
              </w:rPr>
            </w:pPr>
            <w:r w:rsidRPr="00690EB0">
              <w:rPr>
                <w:sz w:val="20"/>
                <w:szCs w:val="20"/>
              </w:rPr>
              <w:t>Twenty Mile Creek</w:t>
            </w:r>
          </w:p>
        </w:tc>
        <w:tc>
          <w:tcPr>
            <w:tcW w:w="530" w:type="dxa"/>
            <w:shd w:val="clear" w:color="auto" w:fill="auto"/>
            <w:noWrap/>
            <w:vAlign w:val="bottom"/>
            <w:hideMark/>
          </w:tcPr>
          <w:p w14:paraId="6D798DE9" w14:textId="77777777" w:rsidR="00B57970" w:rsidRPr="00690EB0" w:rsidRDefault="00B57970" w:rsidP="00DE7330">
            <w:pPr>
              <w:pStyle w:val="NoSpacing"/>
              <w:keepNext/>
              <w:keepLines/>
              <w:rPr>
                <w:sz w:val="20"/>
                <w:szCs w:val="20"/>
              </w:rPr>
            </w:pPr>
            <w:r w:rsidRPr="00690EB0">
              <w:rPr>
                <w:sz w:val="20"/>
                <w:szCs w:val="20"/>
              </w:rPr>
              <w:t>36</w:t>
            </w:r>
          </w:p>
        </w:tc>
        <w:tc>
          <w:tcPr>
            <w:tcW w:w="1272" w:type="dxa"/>
            <w:shd w:val="clear" w:color="auto" w:fill="auto"/>
            <w:noWrap/>
            <w:vAlign w:val="bottom"/>
            <w:hideMark/>
          </w:tcPr>
          <w:p w14:paraId="6B4618C1" w14:textId="77777777" w:rsidR="00B57970" w:rsidRPr="00690EB0" w:rsidRDefault="00B57970" w:rsidP="00DE7330">
            <w:pPr>
              <w:pStyle w:val="NoSpacing"/>
              <w:keepNext/>
              <w:keepLines/>
              <w:rPr>
                <w:sz w:val="20"/>
                <w:szCs w:val="20"/>
              </w:rPr>
            </w:pPr>
            <w:r w:rsidRPr="00690EB0">
              <w:rPr>
                <w:sz w:val="20"/>
                <w:szCs w:val="20"/>
              </w:rPr>
              <w:t>0</w:t>
            </w:r>
          </w:p>
        </w:tc>
        <w:tc>
          <w:tcPr>
            <w:tcW w:w="1000" w:type="dxa"/>
            <w:shd w:val="clear" w:color="auto" w:fill="auto"/>
            <w:noWrap/>
            <w:vAlign w:val="bottom"/>
            <w:hideMark/>
          </w:tcPr>
          <w:p w14:paraId="7B30A0B7" w14:textId="77777777" w:rsidR="00B57970" w:rsidRPr="00690EB0" w:rsidRDefault="00B57970" w:rsidP="00DE7330">
            <w:pPr>
              <w:pStyle w:val="NoSpacing"/>
              <w:keepNext/>
              <w:keepLines/>
              <w:rPr>
                <w:sz w:val="20"/>
                <w:szCs w:val="20"/>
              </w:rPr>
            </w:pPr>
            <w:r w:rsidRPr="00690EB0">
              <w:rPr>
                <w:sz w:val="20"/>
                <w:szCs w:val="20"/>
              </w:rPr>
              <w:t>22.1</w:t>
            </w:r>
          </w:p>
        </w:tc>
        <w:tc>
          <w:tcPr>
            <w:tcW w:w="1240" w:type="dxa"/>
            <w:shd w:val="clear" w:color="auto" w:fill="auto"/>
            <w:noWrap/>
            <w:vAlign w:val="bottom"/>
            <w:hideMark/>
          </w:tcPr>
          <w:p w14:paraId="13928F62" w14:textId="77777777" w:rsidR="00B57970" w:rsidRPr="00690EB0" w:rsidRDefault="00B57970" w:rsidP="00DE7330">
            <w:pPr>
              <w:pStyle w:val="NoSpacing"/>
              <w:keepNext/>
              <w:keepLines/>
              <w:rPr>
                <w:sz w:val="20"/>
                <w:szCs w:val="20"/>
              </w:rPr>
            </w:pPr>
            <w:r w:rsidRPr="00690EB0">
              <w:rPr>
                <w:sz w:val="20"/>
                <w:szCs w:val="20"/>
              </w:rPr>
              <w:t>31.6</w:t>
            </w:r>
          </w:p>
        </w:tc>
        <w:tc>
          <w:tcPr>
            <w:tcW w:w="823" w:type="dxa"/>
            <w:shd w:val="clear" w:color="auto" w:fill="auto"/>
            <w:noWrap/>
            <w:vAlign w:val="bottom"/>
            <w:hideMark/>
          </w:tcPr>
          <w:p w14:paraId="789362AA" w14:textId="77777777" w:rsidR="00B57970" w:rsidRPr="00690EB0" w:rsidRDefault="00B57970" w:rsidP="00DE7330">
            <w:pPr>
              <w:pStyle w:val="NoSpacing"/>
              <w:keepNext/>
              <w:keepLines/>
              <w:rPr>
                <w:sz w:val="20"/>
                <w:szCs w:val="20"/>
              </w:rPr>
            </w:pPr>
            <w:r w:rsidRPr="00690EB0">
              <w:rPr>
                <w:sz w:val="20"/>
                <w:szCs w:val="20"/>
              </w:rPr>
              <w:t>27.6</w:t>
            </w:r>
          </w:p>
        </w:tc>
        <w:tc>
          <w:tcPr>
            <w:tcW w:w="1557" w:type="dxa"/>
            <w:shd w:val="clear" w:color="auto" w:fill="auto"/>
            <w:noWrap/>
            <w:vAlign w:val="bottom"/>
            <w:hideMark/>
          </w:tcPr>
          <w:p w14:paraId="493CF936" w14:textId="77777777" w:rsidR="00B57970" w:rsidRPr="00690EB0" w:rsidRDefault="00B57970" w:rsidP="00DE7330">
            <w:pPr>
              <w:pStyle w:val="NoSpacing"/>
              <w:keepNext/>
              <w:keepLines/>
              <w:rPr>
                <w:sz w:val="20"/>
                <w:szCs w:val="20"/>
              </w:rPr>
            </w:pPr>
            <w:r w:rsidRPr="00690EB0">
              <w:rPr>
                <w:sz w:val="20"/>
                <w:szCs w:val="20"/>
              </w:rPr>
              <w:t>100.0%</w:t>
            </w:r>
          </w:p>
        </w:tc>
        <w:tc>
          <w:tcPr>
            <w:tcW w:w="1200" w:type="dxa"/>
            <w:shd w:val="clear" w:color="auto" w:fill="auto"/>
            <w:noWrap/>
            <w:vAlign w:val="bottom"/>
            <w:hideMark/>
          </w:tcPr>
          <w:p w14:paraId="4331645C" w14:textId="77777777" w:rsidR="00B57970" w:rsidRPr="00690EB0" w:rsidRDefault="00B57970" w:rsidP="00DE7330">
            <w:pPr>
              <w:pStyle w:val="NoSpacing"/>
              <w:keepNext/>
              <w:keepLines/>
              <w:rPr>
                <w:sz w:val="20"/>
                <w:szCs w:val="20"/>
              </w:rPr>
            </w:pPr>
            <w:r w:rsidRPr="00690EB0">
              <w:rPr>
                <w:sz w:val="20"/>
                <w:szCs w:val="20"/>
              </w:rPr>
              <w:t>133</w:t>
            </w:r>
          </w:p>
        </w:tc>
      </w:tr>
      <w:tr w:rsidR="00B57970" w:rsidRPr="00690EB0" w14:paraId="7F01A3CD" w14:textId="77777777" w:rsidTr="00865C6E">
        <w:trPr>
          <w:trHeight w:val="300"/>
          <w:jc w:val="center"/>
        </w:trPr>
        <w:tc>
          <w:tcPr>
            <w:tcW w:w="1795" w:type="dxa"/>
            <w:shd w:val="clear" w:color="auto" w:fill="auto"/>
            <w:noWrap/>
            <w:vAlign w:val="bottom"/>
            <w:hideMark/>
          </w:tcPr>
          <w:p w14:paraId="3AD9CACD" w14:textId="77777777" w:rsidR="00B57970" w:rsidRPr="00690EB0" w:rsidRDefault="00B57970" w:rsidP="00DE7330">
            <w:pPr>
              <w:pStyle w:val="NoSpacing"/>
              <w:keepNext/>
              <w:keepLines/>
              <w:rPr>
                <w:sz w:val="20"/>
                <w:szCs w:val="20"/>
              </w:rPr>
            </w:pPr>
            <w:r w:rsidRPr="00690EB0">
              <w:rPr>
                <w:sz w:val="20"/>
                <w:szCs w:val="20"/>
              </w:rPr>
              <w:t>Two Mile Creek</w:t>
            </w:r>
          </w:p>
        </w:tc>
        <w:tc>
          <w:tcPr>
            <w:tcW w:w="530" w:type="dxa"/>
            <w:shd w:val="clear" w:color="auto" w:fill="auto"/>
            <w:noWrap/>
            <w:vAlign w:val="bottom"/>
            <w:hideMark/>
          </w:tcPr>
          <w:p w14:paraId="5045DE35" w14:textId="77777777" w:rsidR="00B57970" w:rsidRPr="00690EB0" w:rsidRDefault="00B57970" w:rsidP="00DE7330">
            <w:pPr>
              <w:pStyle w:val="NoSpacing"/>
              <w:keepNext/>
              <w:keepLines/>
              <w:rPr>
                <w:sz w:val="20"/>
                <w:szCs w:val="20"/>
              </w:rPr>
            </w:pPr>
            <w:r w:rsidRPr="00690EB0">
              <w:rPr>
                <w:sz w:val="20"/>
                <w:szCs w:val="20"/>
              </w:rPr>
              <w:t>42</w:t>
            </w:r>
          </w:p>
        </w:tc>
        <w:tc>
          <w:tcPr>
            <w:tcW w:w="1272" w:type="dxa"/>
            <w:shd w:val="clear" w:color="auto" w:fill="auto"/>
            <w:noWrap/>
            <w:vAlign w:val="bottom"/>
            <w:hideMark/>
          </w:tcPr>
          <w:p w14:paraId="236A78E3" w14:textId="77777777" w:rsidR="00B57970" w:rsidRPr="00690EB0" w:rsidRDefault="00B57970" w:rsidP="00DE7330">
            <w:pPr>
              <w:pStyle w:val="NoSpacing"/>
              <w:keepNext/>
              <w:keepLines/>
              <w:rPr>
                <w:sz w:val="20"/>
                <w:szCs w:val="20"/>
              </w:rPr>
            </w:pPr>
            <w:r w:rsidRPr="00690EB0">
              <w:rPr>
                <w:sz w:val="20"/>
                <w:szCs w:val="20"/>
              </w:rPr>
              <w:t>28</w:t>
            </w:r>
          </w:p>
        </w:tc>
        <w:tc>
          <w:tcPr>
            <w:tcW w:w="1000" w:type="dxa"/>
            <w:shd w:val="clear" w:color="auto" w:fill="auto"/>
            <w:noWrap/>
            <w:vAlign w:val="bottom"/>
            <w:hideMark/>
          </w:tcPr>
          <w:p w14:paraId="46AC69F1" w14:textId="77777777" w:rsidR="00B57970" w:rsidRPr="00690EB0" w:rsidRDefault="00B57970" w:rsidP="00DE7330">
            <w:pPr>
              <w:pStyle w:val="NoSpacing"/>
              <w:keepNext/>
              <w:keepLines/>
              <w:rPr>
                <w:sz w:val="20"/>
                <w:szCs w:val="20"/>
              </w:rPr>
            </w:pPr>
            <w:r w:rsidRPr="00690EB0">
              <w:rPr>
                <w:sz w:val="20"/>
                <w:szCs w:val="20"/>
              </w:rPr>
              <w:t>&lt;1.76</w:t>
            </w:r>
          </w:p>
        </w:tc>
        <w:tc>
          <w:tcPr>
            <w:tcW w:w="1240" w:type="dxa"/>
            <w:shd w:val="clear" w:color="auto" w:fill="auto"/>
            <w:noWrap/>
            <w:vAlign w:val="bottom"/>
            <w:hideMark/>
          </w:tcPr>
          <w:p w14:paraId="5F691558" w14:textId="77777777" w:rsidR="00B57970" w:rsidRPr="00690EB0" w:rsidRDefault="00B57970" w:rsidP="00DE7330">
            <w:pPr>
              <w:pStyle w:val="NoSpacing"/>
              <w:keepNext/>
              <w:keepLines/>
              <w:rPr>
                <w:sz w:val="20"/>
                <w:szCs w:val="20"/>
              </w:rPr>
            </w:pPr>
            <w:r w:rsidRPr="00690EB0">
              <w:rPr>
                <w:sz w:val="20"/>
                <w:szCs w:val="20"/>
              </w:rPr>
              <w:t>13.8</w:t>
            </w:r>
          </w:p>
        </w:tc>
        <w:tc>
          <w:tcPr>
            <w:tcW w:w="823" w:type="dxa"/>
            <w:shd w:val="clear" w:color="auto" w:fill="auto"/>
            <w:noWrap/>
            <w:vAlign w:val="bottom"/>
            <w:hideMark/>
          </w:tcPr>
          <w:p w14:paraId="5D64C628" w14:textId="77777777" w:rsidR="00B57970" w:rsidRPr="00690EB0" w:rsidRDefault="00B57970" w:rsidP="00DE7330">
            <w:pPr>
              <w:pStyle w:val="NoSpacing"/>
              <w:keepNext/>
              <w:keepLines/>
              <w:rPr>
                <w:sz w:val="20"/>
                <w:szCs w:val="20"/>
              </w:rPr>
            </w:pPr>
            <w:r w:rsidRPr="00690EB0">
              <w:rPr>
                <w:sz w:val="20"/>
                <w:szCs w:val="20"/>
              </w:rPr>
              <w:t>63.3</w:t>
            </w:r>
          </w:p>
        </w:tc>
        <w:tc>
          <w:tcPr>
            <w:tcW w:w="1557" w:type="dxa"/>
            <w:shd w:val="clear" w:color="auto" w:fill="auto"/>
            <w:noWrap/>
            <w:vAlign w:val="bottom"/>
            <w:hideMark/>
          </w:tcPr>
          <w:p w14:paraId="7E12C9AA" w14:textId="77777777" w:rsidR="00B57970" w:rsidRPr="00690EB0" w:rsidRDefault="00B57970" w:rsidP="00DE7330">
            <w:pPr>
              <w:pStyle w:val="NoSpacing"/>
              <w:keepNext/>
              <w:keepLines/>
              <w:rPr>
                <w:sz w:val="20"/>
                <w:szCs w:val="20"/>
              </w:rPr>
            </w:pPr>
            <w:r w:rsidRPr="00690EB0">
              <w:rPr>
                <w:sz w:val="20"/>
                <w:szCs w:val="20"/>
              </w:rPr>
              <w:t>33.3%</w:t>
            </w:r>
          </w:p>
        </w:tc>
        <w:tc>
          <w:tcPr>
            <w:tcW w:w="1200" w:type="dxa"/>
            <w:shd w:val="clear" w:color="auto" w:fill="auto"/>
            <w:noWrap/>
            <w:vAlign w:val="bottom"/>
            <w:hideMark/>
          </w:tcPr>
          <w:p w14:paraId="31CF767F" w14:textId="77777777" w:rsidR="00B57970" w:rsidRPr="00690EB0" w:rsidRDefault="00B57970" w:rsidP="00DE7330">
            <w:pPr>
              <w:pStyle w:val="NoSpacing"/>
              <w:keepNext/>
              <w:keepLines/>
              <w:rPr>
                <w:sz w:val="20"/>
                <w:szCs w:val="20"/>
              </w:rPr>
            </w:pPr>
            <w:r w:rsidRPr="00690EB0">
              <w:rPr>
                <w:sz w:val="20"/>
                <w:szCs w:val="20"/>
              </w:rPr>
              <w:t>399</w:t>
            </w:r>
          </w:p>
        </w:tc>
      </w:tr>
      <w:tr w:rsidR="00B57970" w:rsidRPr="00690EB0" w14:paraId="4FF98BE6" w14:textId="77777777" w:rsidTr="00865C6E">
        <w:trPr>
          <w:trHeight w:val="300"/>
          <w:jc w:val="center"/>
        </w:trPr>
        <w:tc>
          <w:tcPr>
            <w:tcW w:w="1795" w:type="dxa"/>
            <w:shd w:val="clear" w:color="auto" w:fill="auto"/>
            <w:noWrap/>
            <w:vAlign w:val="bottom"/>
            <w:hideMark/>
          </w:tcPr>
          <w:p w14:paraId="7CF5DC1E" w14:textId="77777777" w:rsidR="00B57970" w:rsidRPr="00690EB0" w:rsidRDefault="00B57970" w:rsidP="00B57970">
            <w:pPr>
              <w:pStyle w:val="NoSpacing"/>
              <w:rPr>
                <w:sz w:val="20"/>
                <w:szCs w:val="20"/>
              </w:rPr>
            </w:pPr>
            <w:r w:rsidRPr="00690EB0">
              <w:rPr>
                <w:sz w:val="20"/>
                <w:szCs w:val="20"/>
              </w:rPr>
              <w:t>Four Mile Creek</w:t>
            </w:r>
          </w:p>
        </w:tc>
        <w:tc>
          <w:tcPr>
            <w:tcW w:w="530" w:type="dxa"/>
            <w:shd w:val="clear" w:color="auto" w:fill="auto"/>
            <w:noWrap/>
            <w:vAlign w:val="bottom"/>
            <w:hideMark/>
          </w:tcPr>
          <w:p w14:paraId="7F0A536B" w14:textId="77777777" w:rsidR="00B57970" w:rsidRPr="00690EB0" w:rsidRDefault="00B57970" w:rsidP="00B57970">
            <w:pPr>
              <w:pStyle w:val="NoSpacing"/>
              <w:rPr>
                <w:sz w:val="20"/>
                <w:szCs w:val="20"/>
              </w:rPr>
            </w:pPr>
            <w:r w:rsidRPr="00690EB0">
              <w:rPr>
                <w:sz w:val="20"/>
                <w:szCs w:val="20"/>
              </w:rPr>
              <w:t>41</w:t>
            </w:r>
          </w:p>
        </w:tc>
        <w:tc>
          <w:tcPr>
            <w:tcW w:w="1272" w:type="dxa"/>
            <w:shd w:val="clear" w:color="auto" w:fill="auto"/>
            <w:noWrap/>
            <w:vAlign w:val="bottom"/>
            <w:hideMark/>
          </w:tcPr>
          <w:p w14:paraId="4A2F3F0F" w14:textId="77777777" w:rsidR="00B57970" w:rsidRPr="00690EB0" w:rsidRDefault="00B57970" w:rsidP="00B57970">
            <w:pPr>
              <w:pStyle w:val="NoSpacing"/>
              <w:rPr>
                <w:sz w:val="20"/>
                <w:szCs w:val="20"/>
              </w:rPr>
            </w:pPr>
            <w:r w:rsidRPr="00690EB0">
              <w:rPr>
                <w:sz w:val="20"/>
                <w:szCs w:val="20"/>
              </w:rPr>
              <w:t>6</w:t>
            </w:r>
          </w:p>
        </w:tc>
        <w:tc>
          <w:tcPr>
            <w:tcW w:w="1000" w:type="dxa"/>
            <w:shd w:val="clear" w:color="auto" w:fill="auto"/>
            <w:noWrap/>
            <w:vAlign w:val="bottom"/>
            <w:hideMark/>
          </w:tcPr>
          <w:p w14:paraId="119300C9" w14:textId="77777777" w:rsidR="00B57970" w:rsidRPr="00690EB0" w:rsidRDefault="00B57970" w:rsidP="00B57970">
            <w:pPr>
              <w:pStyle w:val="NoSpacing"/>
              <w:rPr>
                <w:sz w:val="20"/>
                <w:szCs w:val="20"/>
              </w:rPr>
            </w:pPr>
            <w:r w:rsidRPr="00690EB0">
              <w:rPr>
                <w:sz w:val="20"/>
                <w:szCs w:val="20"/>
              </w:rPr>
              <w:t>4.01</w:t>
            </w:r>
          </w:p>
        </w:tc>
        <w:tc>
          <w:tcPr>
            <w:tcW w:w="1240" w:type="dxa"/>
            <w:shd w:val="clear" w:color="auto" w:fill="auto"/>
            <w:noWrap/>
            <w:vAlign w:val="bottom"/>
            <w:hideMark/>
          </w:tcPr>
          <w:p w14:paraId="4F91ECCB" w14:textId="77777777" w:rsidR="00B57970" w:rsidRPr="00690EB0" w:rsidRDefault="00B57970" w:rsidP="00B57970">
            <w:pPr>
              <w:pStyle w:val="NoSpacing"/>
              <w:rPr>
                <w:sz w:val="20"/>
                <w:szCs w:val="20"/>
              </w:rPr>
            </w:pPr>
            <w:r w:rsidRPr="00690EB0">
              <w:rPr>
                <w:sz w:val="20"/>
                <w:szCs w:val="20"/>
              </w:rPr>
              <w:t>13.3</w:t>
            </w:r>
          </w:p>
        </w:tc>
        <w:tc>
          <w:tcPr>
            <w:tcW w:w="823" w:type="dxa"/>
            <w:shd w:val="clear" w:color="auto" w:fill="auto"/>
            <w:noWrap/>
            <w:vAlign w:val="bottom"/>
            <w:hideMark/>
          </w:tcPr>
          <w:p w14:paraId="2C36166B" w14:textId="77777777" w:rsidR="00B57970" w:rsidRPr="00690EB0" w:rsidRDefault="00B57970" w:rsidP="00B57970">
            <w:pPr>
              <w:pStyle w:val="NoSpacing"/>
              <w:rPr>
                <w:sz w:val="20"/>
                <w:szCs w:val="20"/>
              </w:rPr>
            </w:pPr>
            <w:r w:rsidRPr="00690EB0">
              <w:rPr>
                <w:sz w:val="20"/>
                <w:szCs w:val="20"/>
              </w:rPr>
              <w:t>32.9</w:t>
            </w:r>
          </w:p>
        </w:tc>
        <w:tc>
          <w:tcPr>
            <w:tcW w:w="1557" w:type="dxa"/>
            <w:shd w:val="clear" w:color="auto" w:fill="auto"/>
            <w:noWrap/>
            <w:vAlign w:val="bottom"/>
            <w:hideMark/>
          </w:tcPr>
          <w:p w14:paraId="3206C536" w14:textId="77777777" w:rsidR="00B57970" w:rsidRPr="00690EB0" w:rsidRDefault="00B57970" w:rsidP="00B57970">
            <w:pPr>
              <w:pStyle w:val="NoSpacing"/>
              <w:rPr>
                <w:sz w:val="20"/>
                <w:szCs w:val="20"/>
              </w:rPr>
            </w:pPr>
            <w:r w:rsidRPr="00690EB0">
              <w:rPr>
                <w:sz w:val="20"/>
                <w:szCs w:val="20"/>
              </w:rPr>
              <w:t>85.4%</w:t>
            </w:r>
          </w:p>
        </w:tc>
        <w:tc>
          <w:tcPr>
            <w:tcW w:w="1200" w:type="dxa"/>
            <w:shd w:val="clear" w:color="auto" w:fill="auto"/>
            <w:noWrap/>
            <w:vAlign w:val="bottom"/>
            <w:hideMark/>
          </w:tcPr>
          <w:p w14:paraId="48C88740" w14:textId="77777777" w:rsidR="00B57970" w:rsidRPr="00690EB0" w:rsidRDefault="00B57970" w:rsidP="00B57970">
            <w:pPr>
              <w:pStyle w:val="NoSpacing"/>
              <w:rPr>
                <w:sz w:val="20"/>
                <w:szCs w:val="20"/>
              </w:rPr>
            </w:pPr>
            <w:r w:rsidRPr="00690EB0">
              <w:rPr>
                <w:sz w:val="20"/>
                <w:szCs w:val="20"/>
              </w:rPr>
              <w:t>177</w:t>
            </w:r>
          </w:p>
        </w:tc>
      </w:tr>
      <w:tr w:rsidR="00B57970" w:rsidRPr="00690EB0" w14:paraId="6199B641" w14:textId="77777777" w:rsidTr="00865C6E">
        <w:trPr>
          <w:trHeight w:val="300"/>
          <w:jc w:val="center"/>
        </w:trPr>
        <w:tc>
          <w:tcPr>
            <w:tcW w:w="1795" w:type="dxa"/>
            <w:shd w:val="clear" w:color="auto" w:fill="auto"/>
            <w:noWrap/>
            <w:vAlign w:val="bottom"/>
            <w:hideMark/>
          </w:tcPr>
          <w:p w14:paraId="3378D4BE" w14:textId="77777777" w:rsidR="00B57970" w:rsidRPr="00690EB0" w:rsidRDefault="00B57970" w:rsidP="00B57970">
            <w:pPr>
              <w:pStyle w:val="NoSpacing"/>
              <w:rPr>
                <w:sz w:val="20"/>
                <w:szCs w:val="20"/>
              </w:rPr>
            </w:pPr>
            <w:r w:rsidRPr="00690EB0">
              <w:rPr>
                <w:sz w:val="20"/>
                <w:szCs w:val="20"/>
              </w:rPr>
              <w:t>Big Creek</w:t>
            </w:r>
          </w:p>
        </w:tc>
        <w:tc>
          <w:tcPr>
            <w:tcW w:w="530" w:type="dxa"/>
            <w:shd w:val="clear" w:color="auto" w:fill="auto"/>
            <w:noWrap/>
            <w:vAlign w:val="bottom"/>
            <w:hideMark/>
          </w:tcPr>
          <w:p w14:paraId="3D863CDD" w14:textId="77777777" w:rsidR="00B57970" w:rsidRPr="00690EB0" w:rsidRDefault="00B57970" w:rsidP="00B57970">
            <w:pPr>
              <w:pStyle w:val="NoSpacing"/>
              <w:rPr>
                <w:sz w:val="20"/>
                <w:szCs w:val="20"/>
              </w:rPr>
            </w:pPr>
            <w:r w:rsidRPr="00690EB0">
              <w:rPr>
                <w:sz w:val="20"/>
                <w:szCs w:val="20"/>
              </w:rPr>
              <w:t>14</w:t>
            </w:r>
          </w:p>
        </w:tc>
        <w:tc>
          <w:tcPr>
            <w:tcW w:w="1272" w:type="dxa"/>
            <w:shd w:val="clear" w:color="auto" w:fill="auto"/>
            <w:noWrap/>
            <w:vAlign w:val="bottom"/>
            <w:hideMark/>
          </w:tcPr>
          <w:p w14:paraId="61D9BAD5" w14:textId="77777777" w:rsidR="00B57970" w:rsidRPr="00690EB0" w:rsidRDefault="00B57970" w:rsidP="00B57970">
            <w:pPr>
              <w:pStyle w:val="NoSpacing"/>
              <w:rPr>
                <w:sz w:val="20"/>
                <w:szCs w:val="20"/>
              </w:rPr>
            </w:pPr>
            <w:r w:rsidRPr="00690EB0">
              <w:rPr>
                <w:sz w:val="20"/>
                <w:szCs w:val="20"/>
              </w:rPr>
              <w:t>8</w:t>
            </w:r>
          </w:p>
        </w:tc>
        <w:tc>
          <w:tcPr>
            <w:tcW w:w="1000" w:type="dxa"/>
            <w:shd w:val="clear" w:color="auto" w:fill="auto"/>
            <w:noWrap/>
            <w:vAlign w:val="bottom"/>
            <w:hideMark/>
          </w:tcPr>
          <w:p w14:paraId="78E16155" w14:textId="77777777" w:rsidR="00B57970" w:rsidRPr="00690EB0" w:rsidRDefault="00B57970" w:rsidP="00B57970">
            <w:pPr>
              <w:pStyle w:val="NoSpacing"/>
              <w:rPr>
                <w:sz w:val="20"/>
                <w:szCs w:val="20"/>
              </w:rPr>
            </w:pPr>
            <w:r w:rsidRPr="00690EB0">
              <w:rPr>
                <w:sz w:val="20"/>
                <w:szCs w:val="20"/>
              </w:rPr>
              <w:t>&lt;1.76</w:t>
            </w:r>
          </w:p>
        </w:tc>
        <w:tc>
          <w:tcPr>
            <w:tcW w:w="1240" w:type="dxa"/>
            <w:shd w:val="clear" w:color="auto" w:fill="auto"/>
            <w:noWrap/>
            <w:vAlign w:val="bottom"/>
            <w:hideMark/>
          </w:tcPr>
          <w:p w14:paraId="795FDF8E" w14:textId="77777777" w:rsidR="00B57970" w:rsidRPr="00690EB0" w:rsidRDefault="00B57970" w:rsidP="00B57970">
            <w:pPr>
              <w:pStyle w:val="NoSpacing"/>
              <w:rPr>
                <w:sz w:val="20"/>
                <w:szCs w:val="20"/>
              </w:rPr>
            </w:pPr>
            <w:r w:rsidRPr="00690EB0">
              <w:rPr>
                <w:sz w:val="20"/>
                <w:szCs w:val="20"/>
              </w:rPr>
              <w:t>4.19</w:t>
            </w:r>
          </w:p>
        </w:tc>
        <w:tc>
          <w:tcPr>
            <w:tcW w:w="823" w:type="dxa"/>
            <w:shd w:val="clear" w:color="auto" w:fill="auto"/>
            <w:noWrap/>
            <w:vAlign w:val="bottom"/>
            <w:hideMark/>
          </w:tcPr>
          <w:p w14:paraId="6E103728" w14:textId="77777777" w:rsidR="00B57970" w:rsidRPr="00690EB0" w:rsidRDefault="00B57970" w:rsidP="00B57970">
            <w:pPr>
              <w:pStyle w:val="NoSpacing"/>
              <w:rPr>
                <w:sz w:val="20"/>
                <w:szCs w:val="20"/>
              </w:rPr>
            </w:pPr>
            <w:r w:rsidRPr="00690EB0">
              <w:rPr>
                <w:sz w:val="20"/>
                <w:szCs w:val="20"/>
              </w:rPr>
              <w:t>8.67</w:t>
            </w:r>
          </w:p>
        </w:tc>
        <w:tc>
          <w:tcPr>
            <w:tcW w:w="1557" w:type="dxa"/>
            <w:shd w:val="clear" w:color="auto" w:fill="auto"/>
            <w:noWrap/>
            <w:vAlign w:val="bottom"/>
            <w:hideMark/>
          </w:tcPr>
          <w:p w14:paraId="7F20DB02" w14:textId="77777777" w:rsidR="00B57970" w:rsidRPr="00690EB0" w:rsidRDefault="00B57970" w:rsidP="00B57970">
            <w:pPr>
              <w:pStyle w:val="NoSpacing"/>
              <w:rPr>
                <w:sz w:val="20"/>
                <w:szCs w:val="20"/>
              </w:rPr>
            </w:pPr>
            <w:r w:rsidRPr="00690EB0">
              <w:rPr>
                <w:sz w:val="20"/>
                <w:szCs w:val="20"/>
              </w:rPr>
              <w:t>42.9%</w:t>
            </w:r>
          </w:p>
        </w:tc>
        <w:tc>
          <w:tcPr>
            <w:tcW w:w="1200" w:type="dxa"/>
            <w:shd w:val="clear" w:color="auto" w:fill="auto"/>
            <w:noWrap/>
            <w:vAlign w:val="bottom"/>
            <w:hideMark/>
          </w:tcPr>
          <w:p w14:paraId="2A7EE812" w14:textId="77777777" w:rsidR="00B57970" w:rsidRPr="00690EB0" w:rsidRDefault="00B57970" w:rsidP="00B57970">
            <w:pPr>
              <w:pStyle w:val="NoSpacing"/>
              <w:rPr>
                <w:sz w:val="20"/>
                <w:szCs w:val="20"/>
              </w:rPr>
            </w:pPr>
            <w:r w:rsidRPr="00690EB0">
              <w:rPr>
                <w:sz w:val="20"/>
                <w:szCs w:val="20"/>
              </w:rPr>
              <w:t>32.7</w:t>
            </w:r>
          </w:p>
        </w:tc>
      </w:tr>
      <w:tr w:rsidR="00B57970" w:rsidRPr="00690EB0" w14:paraId="4D5EF2D0" w14:textId="77777777" w:rsidTr="00865C6E">
        <w:trPr>
          <w:trHeight w:val="300"/>
          <w:jc w:val="center"/>
        </w:trPr>
        <w:tc>
          <w:tcPr>
            <w:tcW w:w="1795" w:type="dxa"/>
            <w:shd w:val="clear" w:color="auto" w:fill="auto"/>
            <w:noWrap/>
            <w:vAlign w:val="bottom"/>
            <w:hideMark/>
          </w:tcPr>
          <w:p w14:paraId="60F1D2E6" w14:textId="77777777" w:rsidR="00B57970" w:rsidRPr="00690EB0" w:rsidRDefault="00B57970" w:rsidP="00B57970">
            <w:pPr>
              <w:pStyle w:val="NoSpacing"/>
              <w:rPr>
                <w:sz w:val="20"/>
                <w:szCs w:val="20"/>
              </w:rPr>
            </w:pPr>
            <w:r w:rsidRPr="00690EB0">
              <w:rPr>
                <w:sz w:val="20"/>
                <w:szCs w:val="20"/>
              </w:rPr>
              <w:t>West Holland River</w:t>
            </w:r>
          </w:p>
        </w:tc>
        <w:tc>
          <w:tcPr>
            <w:tcW w:w="530" w:type="dxa"/>
            <w:shd w:val="clear" w:color="auto" w:fill="auto"/>
            <w:noWrap/>
            <w:vAlign w:val="bottom"/>
            <w:hideMark/>
          </w:tcPr>
          <w:p w14:paraId="3834A1FD" w14:textId="77777777" w:rsidR="00B57970" w:rsidRPr="00690EB0" w:rsidRDefault="00B57970" w:rsidP="00B57970">
            <w:pPr>
              <w:pStyle w:val="NoSpacing"/>
              <w:rPr>
                <w:sz w:val="20"/>
                <w:szCs w:val="20"/>
              </w:rPr>
            </w:pPr>
            <w:r w:rsidRPr="00690EB0">
              <w:rPr>
                <w:sz w:val="20"/>
                <w:szCs w:val="20"/>
              </w:rPr>
              <w:t>13</w:t>
            </w:r>
          </w:p>
        </w:tc>
        <w:tc>
          <w:tcPr>
            <w:tcW w:w="1272" w:type="dxa"/>
            <w:shd w:val="clear" w:color="auto" w:fill="auto"/>
            <w:noWrap/>
            <w:vAlign w:val="bottom"/>
            <w:hideMark/>
          </w:tcPr>
          <w:p w14:paraId="563737FB" w14:textId="77777777" w:rsidR="00B57970" w:rsidRPr="00690EB0" w:rsidRDefault="00B57970" w:rsidP="00B57970">
            <w:pPr>
              <w:pStyle w:val="NoSpacing"/>
              <w:rPr>
                <w:sz w:val="20"/>
                <w:szCs w:val="20"/>
              </w:rPr>
            </w:pPr>
            <w:r w:rsidRPr="00690EB0">
              <w:rPr>
                <w:sz w:val="20"/>
                <w:szCs w:val="20"/>
              </w:rPr>
              <w:t>1</w:t>
            </w:r>
          </w:p>
        </w:tc>
        <w:tc>
          <w:tcPr>
            <w:tcW w:w="1000" w:type="dxa"/>
            <w:shd w:val="clear" w:color="auto" w:fill="auto"/>
            <w:noWrap/>
            <w:vAlign w:val="bottom"/>
            <w:hideMark/>
          </w:tcPr>
          <w:p w14:paraId="1F6B868E" w14:textId="77777777" w:rsidR="00B57970" w:rsidRPr="00690EB0" w:rsidRDefault="00B57970" w:rsidP="00B57970">
            <w:pPr>
              <w:pStyle w:val="NoSpacing"/>
              <w:rPr>
                <w:sz w:val="20"/>
                <w:szCs w:val="20"/>
              </w:rPr>
            </w:pPr>
            <w:r w:rsidRPr="00690EB0">
              <w:rPr>
                <w:sz w:val="20"/>
                <w:szCs w:val="20"/>
              </w:rPr>
              <w:t>6.7</w:t>
            </w:r>
          </w:p>
        </w:tc>
        <w:tc>
          <w:tcPr>
            <w:tcW w:w="1240" w:type="dxa"/>
            <w:shd w:val="clear" w:color="auto" w:fill="auto"/>
            <w:noWrap/>
            <w:vAlign w:val="bottom"/>
            <w:hideMark/>
          </w:tcPr>
          <w:p w14:paraId="7B15BE6A" w14:textId="77777777" w:rsidR="00B57970" w:rsidRPr="00690EB0" w:rsidRDefault="00B57970" w:rsidP="00B57970">
            <w:pPr>
              <w:pStyle w:val="NoSpacing"/>
              <w:rPr>
                <w:sz w:val="20"/>
                <w:szCs w:val="20"/>
              </w:rPr>
            </w:pPr>
            <w:r w:rsidRPr="00690EB0">
              <w:rPr>
                <w:sz w:val="20"/>
                <w:szCs w:val="20"/>
              </w:rPr>
              <w:t>7.78</w:t>
            </w:r>
          </w:p>
        </w:tc>
        <w:tc>
          <w:tcPr>
            <w:tcW w:w="823" w:type="dxa"/>
            <w:shd w:val="clear" w:color="auto" w:fill="auto"/>
            <w:noWrap/>
            <w:vAlign w:val="bottom"/>
            <w:hideMark/>
          </w:tcPr>
          <w:p w14:paraId="0C36D7A1" w14:textId="77777777" w:rsidR="00B57970" w:rsidRPr="00690EB0" w:rsidRDefault="00B57970" w:rsidP="00B57970">
            <w:pPr>
              <w:pStyle w:val="NoSpacing"/>
              <w:rPr>
                <w:sz w:val="20"/>
                <w:szCs w:val="20"/>
              </w:rPr>
            </w:pPr>
            <w:r w:rsidRPr="00690EB0">
              <w:rPr>
                <w:sz w:val="20"/>
                <w:szCs w:val="20"/>
              </w:rPr>
              <w:t>5.44</w:t>
            </w:r>
          </w:p>
        </w:tc>
        <w:tc>
          <w:tcPr>
            <w:tcW w:w="1557" w:type="dxa"/>
            <w:shd w:val="clear" w:color="auto" w:fill="auto"/>
            <w:noWrap/>
            <w:vAlign w:val="bottom"/>
            <w:hideMark/>
          </w:tcPr>
          <w:p w14:paraId="2EFAFD5A" w14:textId="77777777" w:rsidR="00B57970" w:rsidRPr="00690EB0" w:rsidRDefault="00B57970" w:rsidP="00B57970">
            <w:pPr>
              <w:pStyle w:val="NoSpacing"/>
              <w:rPr>
                <w:sz w:val="20"/>
                <w:szCs w:val="20"/>
              </w:rPr>
            </w:pPr>
            <w:r w:rsidRPr="00690EB0">
              <w:rPr>
                <w:sz w:val="20"/>
                <w:szCs w:val="20"/>
              </w:rPr>
              <w:t>92.3%</w:t>
            </w:r>
          </w:p>
        </w:tc>
        <w:tc>
          <w:tcPr>
            <w:tcW w:w="1200" w:type="dxa"/>
            <w:shd w:val="clear" w:color="auto" w:fill="auto"/>
            <w:noWrap/>
            <w:vAlign w:val="bottom"/>
            <w:hideMark/>
          </w:tcPr>
          <w:p w14:paraId="6DD63292" w14:textId="77777777" w:rsidR="00B57970" w:rsidRPr="00690EB0" w:rsidRDefault="00B57970" w:rsidP="00B57970">
            <w:pPr>
              <w:pStyle w:val="NoSpacing"/>
              <w:rPr>
                <w:sz w:val="20"/>
                <w:szCs w:val="20"/>
              </w:rPr>
            </w:pPr>
            <w:r w:rsidRPr="00690EB0">
              <w:rPr>
                <w:sz w:val="20"/>
                <w:szCs w:val="20"/>
              </w:rPr>
              <w:t>19.1</w:t>
            </w:r>
          </w:p>
        </w:tc>
      </w:tr>
      <w:tr w:rsidR="00B57970" w:rsidRPr="00690EB0" w14:paraId="50DBE328" w14:textId="77777777" w:rsidTr="00865C6E">
        <w:trPr>
          <w:trHeight w:val="300"/>
          <w:jc w:val="center"/>
        </w:trPr>
        <w:tc>
          <w:tcPr>
            <w:tcW w:w="1795" w:type="dxa"/>
            <w:shd w:val="clear" w:color="auto" w:fill="auto"/>
            <w:noWrap/>
            <w:vAlign w:val="bottom"/>
            <w:hideMark/>
          </w:tcPr>
          <w:p w14:paraId="4E96056E" w14:textId="77777777" w:rsidR="00B57970" w:rsidRPr="00690EB0" w:rsidRDefault="00B57970" w:rsidP="00B57970">
            <w:pPr>
              <w:pStyle w:val="NoSpacing"/>
              <w:rPr>
                <w:sz w:val="20"/>
                <w:szCs w:val="20"/>
              </w:rPr>
            </w:pPr>
            <w:r w:rsidRPr="00690EB0">
              <w:rPr>
                <w:sz w:val="20"/>
                <w:szCs w:val="20"/>
              </w:rPr>
              <w:t>Indian Creek</w:t>
            </w:r>
          </w:p>
        </w:tc>
        <w:tc>
          <w:tcPr>
            <w:tcW w:w="530" w:type="dxa"/>
            <w:shd w:val="clear" w:color="auto" w:fill="auto"/>
            <w:noWrap/>
            <w:vAlign w:val="bottom"/>
            <w:hideMark/>
          </w:tcPr>
          <w:p w14:paraId="6C5B2E11" w14:textId="77777777" w:rsidR="00B57970" w:rsidRPr="00690EB0" w:rsidRDefault="00B57970" w:rsidP="00B57970">
            <w:pPr>
              <w:pStyle w:val="NoSpacing"/>
              <w:rPr>
                <w:sz w:val="20"/>
                <w:szCs w:val="20"/>
              </w:rPr>
            </w:pPr>
            <w:r w:rsidRPr="00690EB0">
              <w:rPr>
                <w:sz w:val="20"/>
                <w:szCs w:val="20"/>
              </w:rPr>
              <w:t>35</w:t>
            </w:r>
          </w:p>
        </w:tc>
        <w:tc>
          <w:tcPr>
            <w:tcW w:w="1272" w:type="dxa"/>
            <w:shd w:val="clear" w:color="auto" w:fill="auto"/>
            <w:noWrap/>
            <w:vAlign w:val="bottom"/>
            <w:hideMark/>
          </w:tcPr>
          <w:p w14:paraId="01032B9B" w14:textId="77777777" w:rsidR="00B57970" w:rsidRPr="00690EB0" w:rsidRDefault="00B57970" w:rsidP="00B57970">
            <w:pPr>
              <w:pStyle w:val="NoSpacing"/>
              <w:rPr>
                <w:sz w:val="20"/>
                <w:szCs w:val="20"/>
              </w:rPr>
            </w:pPr>
            <w:r w:rsidRPr="00690EB0">
              <w:rPr>
                <w:sz w:val="20"/>
                <w:szCs w:val="20"/>
              </w:rPr>
              <w:t>27</w:t>
            </w:r>
          </w:p>
        </w:tc>
        <w:tc>
          <w:tcPr>
            <w:tcW w:w="1000" w:type="dxa"/>
            <w:shd w:val="clear" w:color="auto" w:fill="auto"/>
            <w:noWrap/>
            <w:vAlign w:val="bottom"/>
            <w:hideMark/>
          </w:tcPr>
          <w:p w14:paraId="71AC7C4C" w14:textId="77777777" w:rsidR="00B57970" w:rsidRPr="00690EB0" w:rsidRDefault="00B57970" w:rsidP="00B57970">
            <w:pPr>
              <w:pStyle w:val="NoSpacing"/>
              <w:rPr>
                <w:sz w:val="20"/>
                <w:szCs w:val="20"/>
              </w:rPr>
            </w:pPr>
            <w:r w:rsidRPr="00690EB0">
              <w:rPr>
                <w:sz w:val="20"/>
                <w:szCs w:val="20"/>
              </w:rPr>
              <w:t>&lt;1.76</w:t>
            </w:r>
          </w:p>
        </w:tc>
        <w:tc>
          <w:tcPr>
            <w:tcW w:w="1240" w:type="dxa"/>
            <w:shd w:val="clear" w:color="auto" w:fill="auto"/>
            <w:noWrap/>
            <w:vAlign w:val="bottom"/>
            <w:hideMark/>
          </w:tcPr>
          <w:p w14:paraId="01296926" w14:textId="77777777" w:rsidR="00B57970" w:rsidRPr="00690EB0" w:rsidRDefault="00B57970" w:rsidP="00B57970">
            <w:pPr>
              <w:pStyle w:val="NoSpacing"/>
              <w:rPr>
                <w:sz w:val="20"/>
                <w:szCs w:val="20"/>
              </w:rPr>
            </w:pPr>
            <w:r w:rsidRPr="00690EB0">
              <w:rPr>
                <w:sz w:val="20"/>
                <w:szCs w:val="20"/>
              </w:rPr>
              <w:t>2.65</w:t>
            </w:r>
          </w:p>
        </w:tc>
        <w:tc>
          <w:tcPr>
            <w:tcW w:w="823" w:type="dxa"/>
            <w:shd w:val="clear" w:color="auto" w:fill="auto"/>
            <w:noWrap/>
            <w:vAlign w:val="bottom"/>
            <w:hideMark/>
          </w:tcPr>
          <w:p w14:paraId="2CB38749" w14:textId="77777777" w:rsidR="00B57970" w:rsidRPr="00690EB0" w:rsidRDefault="00B57970" w:rsidP="00B57970">
            <w:pPr>
              <w:pStyle w:val="NoSpacing"/>
              <w:rPr>
                <w:sz w:val="20"/>
                <w:szCs w:val="20"/>
              </w:rPr>
            </w:pPr>
            <w:r w:rsidRPr="00690EB0">
              <w:rPr>
                <w:sz w:val="20"/>
                <w:szCs w:val="20"/>
              </w:rPr>
              <w:t>1.75</w:t>
            </w:r>
          </w:p>
        </w:tc>
        <w:tc>
          <w:tcPr>
            <w:tcW w:w="1557" w:type="dxa"/>
            <w:shd w:val="clear" w:color="auto" w:fill="auto"/>
            <w:noWrap/>
            <w:vAlign w:val="bottom"/>
            <w:hideMark/>
          </w:tcPr>
          <w:p w14:paraId="7E59C300" w14:textId="77777777" w:rsidR="00B57970" w:rsidRPr="00690EB0" w:rsidRDefault="00B57970" w:rsidP="00B57970">
            <w:pPr>
              <w:pStyle w:val="NoSpacing"/>
              <w:rPr>
                <w:sz w:val="20"/>
                <w:szCs w:val="20"/>
              </w:rPr>
            </w:pPr>
            <w:r w:rsidRPr="00690EB0">
              <w:rPr>
                <w:sz w:val="20"/>
                <w:szCs w:val="20"/>
              </w:rPr>
              <w:t>22.9%</w:t>
            </w:r>
          </w:p>
        </w:tc>
        <w:tc>
          <w:tcPr>
            <w:tcW w:w="1200" w:type="dxa"/>
            <w:shd w:val="clear" w:color="auto" w:fill="auto"/>
            <w:noWrap/>
            <w:vAlign w:val="bottom"/>
            <w:hideMark/>
          </w:tcPr>
          <w:p w14:paraId="549AC747" w14:textId="77777777" w:rsidR="00B57970" w:rsidRPr="00690EB0" w:rsidRDefault="00B57970" w:rsidP="00B57970">
            <w:pPr>
              <w:pStyle w:val="NoSpacing"/>
              <w:rPr>
                <w:sz w:val="20"/>
                <w:szCs w:val="20"/>
              </w:rPr>
            </w:pPr>
            <w:r w:rsidRPr="00690EB0">
              <w:rPr>
                <w:sz w:val="20"/>
                <w:szCs w:val="20"/>
              </w:rPr>
              <w:t>9.07</w:t>
            </w:r>
          </w:p>
        </w:tc>
      </w:tr>
      <w:tr w:rsidR="00B57970" w:rsidRPr="00690EB0" w14:paraId="79C2C1E2" w14:textId="77777777" w:rsidTr="00865C6E">
        <w:trPr>
          <w:trHeight w:val="300"/>
          <w:jc w:val="center"/>
        </w:trPr>
        <w:tc>
          <w:tcPr>
            <w:tcW w:w="1795" w:type="dxa"/>
            <w:shd w:val="clear" w:color="auto" w:fill="auto"/>
            <w:noWrap/>
            <w:vAlign w:val="bottom"/>
            <w:hideMark/>
          </w:tcPr>
          <w:p w14:paraId="1EA652BF" w14:textId="77777777" w:rsidR="00B57970" w:rsidRPr="00690EB0" w:rsidRDefault="00B57970" w:rsidP="00B57970">
            <w:pPr>
              <w:pStyle w:val="NoSpacing"/>
              <w:rPr>
                <w:sz w:val="20"/>
                <w:szCs w:val="20"/>
              </w:rPr>
            </w:pPr>
            <w:r w:rsidRPr="00690EB0">
              <w:rPr>
                <w:sz w:val="20"/>
                <w:szCs w:val="20"/>
              </w:rPr>
              <w:t>Innisfil Creek</w:t>
            </w:r>
          </w:p>
        </w:tc>
        <w:tc>
          <w:tcPr>
            <w:tcW w:w="530" w:type="dxa"/>
            <w:shd w:val="clear" w:color="auto" w:fill="auto"/>
            <w:noWrap/>
            <w:vAlign w:val="bottom"/>
            <w:hideMark/>
          </w:tcPr>
          <w:p w14:paraId="6DC11B5D" w14:textId="77777777" w:rsidR="00B57970" w:rsidRPr="00690EB0" w:rsidRDefault="00B57970" w:rsidP="00B57970">
            <w:pPr>
              <w:pStyle w:val="NoSpacing"/>
              <w:rPr>
                <w:sz w:val="20"/>
                <w:szCs w:val="20"/>
              </w:rPr>
            </w:pPr>
            <w:r w:rsidRPr="00690EB0">
              <w:rPr>
                <w:sz w:val="20"/>
                <w:szCs w:val="20"/>
              </w:rPr>
              <w:t>26</w:t>
            </w:r>
          </w:p>
        </w:tc>
        <w:tc>
          <w:tcPr>
            <w:tcW w:w="1272" w:type="dxa"/>
            <w:shd w:val="clear" w:color="auto" w:fill="auto"/>
            <w:noWrap/>
            <w:vAlign w:val="bottom"/>
            <w:hideMark/>
          </w:tcPr>
          <w:p w14:paraId="24439E8C" w14:textId="77777777" w:rsidR="00B57970" w:rsidRPr="00690EB0" w:rsidRDefault="00B57970" w:rsidP="00B57970">
            <w:pPr>
              <w:pStyle w:val="NoSpacing"/>
              <w:rPr>
                <w:sz w:val="20"/>
                <w:szCs w:val="20"/>
              </w:rPr>
            </w:pPr>
            <w:r w:rsidRPr="00690EB0">
              <w:rPr>
                <w:sz w:val="20"/>
                <w:szCs w:val="20"/>
              </w:rPr>
              <w:t>2</w:t>
            </w:r>
          </w:p>
        </w:tc>
        <w:tc>
          <w:tcPr>
            <w:tcW w:w="1000" w:type="dxa"/>
            <w:shd w:val="clear" w:color="auto" w:fill="auto"/>
            <w:noWrap/>
            <w:vAlign w:val="bottom"/>
            <w:hideMark/>
          </w:tcPr>
          <w:p w14:paraId="512619BB" w14:textId="77777777" w:rsidR="00B57970" w:rsidRPr="00690EB0" w:rsidRDefault="00B57970" w:rsidP="00B57970">
            <w:pPr>
              <w:pStyle w:val="NoSpacing"/>
              <w:rPr>
                <w:sz w:val="20"/>
                <w:szCs w:val="20"/>
              </w:rPr>
            </w:pPr>
            <w:r w:rsidRPr="00690EB0">
              <w:rPr>
                <w:sz w:val="20"/>
                <w:szCs w:val="20"/>
              </w:rPr>
              <w:t>4.83</w:t>
            </w:r>
          </w:p>
        </w:tc>
        <w:tc>
          <w:tcPr>
            <w:tcW w:w="1240" w:type="dxa"/>
            <w:shd w:val="clear" w:color="auto" w:fill="auto"/>
            <w:noWrap/>
            <w:vAlign w:val="bottom"/>
            <w:hideMark/>
          </w:tcPr>
          <w:p w14:paraId="3DB5EF9A" w14:textId="77777777" w:rsidR="00B57970" w:rsidRPr="00690EB0" w:rsidRDefault="00B57970" w:rsidP="00B57970">
            <w:pPr>
              <w:pStyle w:val="NoSpacing"/>
              <w:rPr>
                <w:sz w:val="20"/>
                <w:szCs w:val="20"/>
              </w:rPr>
            </w:pPr>
            <w:r w:rsidRPr="00690EB0">
              <w:rPr>
                <w:sz w:val="20"/>
                <w:szCs w:val="20"/>
              </w:rPr>
              <w:t>7.28</w:t>
            </w:r>
          </w:p>
        </w:tc>
        <w:tc>
          <w:tcPr>
            <w:tcW w:w="823" w:type="dxa"/>
            <w:shd w:val="clear" w:color="auto" w:fill="auto"/>
            <w:noWrap/>
            <w:vAlign w:val="bottom"/>
            <w:hideMark/>
          </w:tcPr>
          <w:p w14:paraId="07B5CA87" w14:textId="77777777" w:rsidR="00B57970" w:rsidRPr="00690EB0" w:rsidRDefault="00B57970" w:rsidP="00B57970">
            <w:pPr>
              <w:pStyle w:val="NoSpacing"/>
              <w:rPr>
                <w:sz w:val="20"/>
                <w:szCs w:val="20"/>
              </w:rPr>
            </w:pPr>
            <w:r w:rsidRPr="00690EB0">
              <w:rPr>
                <w:sz w:val="20"/>
                <w:szCs w:val="20"/>
              </w:rPr>
              <w:t>8.11</w:t>
            </w:r>
          </w:p>
        </w:tc>
        <w:tc>
          <w:tcPr>
            <w:tcW w:w="1557" w:type="dxa"/>
            <w:shd w:val="clear" w:color="auto" w:fill="auto"/>
            <w:noWrap/>
            <w:vAlign w:val="bottom"/>
            <w:hideMark/>
          </w:tcPr>
          <w:p w14:paraId="64275FE1" w14:textId="77777777" w:rsidR="00B57970" w:rsidRPr="00690EB0" w:rsidRDefault="00B57970" w:rsidP="00B57970">
            <w:pPr>
              <w:pStyle w:val="NoSpacing"/>
              <w:rPr>
                <w:sz w:val="20"/>
                <w:szCs w:val="20"/>
              </w:rPr>
            </w:pPr>
            <w:r w:rsidRPr="00690EB0">
              <w:rPr>
                <w:sz w:val="20"/>
                <w:szCs w:val="20"/>
              </w:rPr>
              <w:t>92.3%</w:t>
            </w:r>
          </w:p>
        </w:tc>
        <w:tc>
          <w:tcPr>
            <w:tcW w:w="1200" w:type="dxa"/>
            <w:shd w:val="clear" w:color="auto" w:fill="auto"/>
            <w:noWrap/>
            <w:vAlign w:val="bottom"/>
            <w:hideMark/>
          </w:tcPr>
          <w:p w14:paraId="5596157A" w14:textId="77777777" w:rsidR="00B57970" w:rsidRPr="00690EB0" w:rsidRDefault="00B57970" w:rsidP="00B57970">
            <w:pPr>
              <w:pStyle w:val="NoSpacing"/>
              <w:rPr>
                <w:sz w:val="20"/>
                <w:szCs w:val="20"/>
              </w:rPr>
            </w:pPr>
            <w:r w:rsidRPr="00690EB0">
              <w:rPr>
                <w:sz w:val="20"/>
                <w:szCs w:val="20"/>
              </w:rPr>
              <w:t>42.8</w:t>
            </w:r>
          </w:p>
        </w:tc>
      </w:tr>
      <w:tr w:rsidR="00B57970" w:rsidRPr="00690EB0" w14:paraId="18B2E7E8" w14:textId="77777777" w:rsidTr="00865C6E">
        <w:trPr>
          <w:trHeight w:val="300"/>
          <w:jc w:val="center"/>
        </w:trPr>
        <w:tc>
          <w:tcPr>
            <w:tcW w:w="1795" w:type="dxa"/>
            <w:shd w:val="clear" w:color="auto" w:fill="auto"/>
            <w:noWrap/>
            <w:vAlign w:val="bottom"/>
            <w:hideMark/>
          </w:tcPr>
          <w:p w14:paraId="3F94EFC4" w14:textId="77777777" w:rsidR="00B57970" w:rsidRPr="00690EB0" w:rsidRDefault="00B57970" w:rsidP="00B57970">
            <w:pPr>
              <w:pStyle w:val="NoSpacing"/>
              <w:rPr>
                <w:sz w:val="20"/>
                <w:szCs w:val="20"/>
              </w:rPr>
            </w:pPr>
            <w:r w:rsidRPr="00690EB0">
              <w:rPr>
                <w:sz w:val="20"/>
                <w:szCs w:val="20"/>
              </w:rPr>
              <w:t>Lebo Drain</w:t>
            </w:r>
          </w:p>
        </w:tc>
        <w:tc>
          <w:tcPr>
            <w:tcW w:w="530" w:type="dxa"/>
            <w:shd w:val="clear" w:color="auto" w:fill="auto"/>
            <w:noWrap/>
            <w:vAlign w:val="bottom"/>
            <w:hideMark/>
          </w:tcPr>
          <w:p w14:paraId="4FBF0500" w14:textId="77777777" w:rsidR="00B57970" w:rsidRPr="00690EB0" w:rsidRDefault="00B57970" w:rsidP="00B57970">
            <w:pPr>
              <w:pStyle w:val="NoSpacing"/>
              <w:rPr>
                <w:sz w:val="20"/>
                <w:szCs w:val="20"/>
              </w:rPr>
            </w:pPr>
            <w:r w:rsidRPr="00690EB0">
              <w:rPr>
                <w:sz w:val="20"/>
                <w:szCs w:val="20"/>
              </w:rPr>
              <w:t>27</w:t>
            </w:r>
          </w:p>
        </w:tc>
        <w:tc>
          <w:tcPr>
            <w:tcW w:w="1272" w:type="dxa"/>
            <w:shd w:val="clear" w:color="auto" w:fill="auto"/>
            <w:noWrap/>
            <w:vAlign w:val="bottom"/>
            <w:hideMark/>
          </w:tcPr>
          <w:p w14:paraId="6E2F9FD2" w14:textId="77777777" w:rsidR="00B57970" w:rsidRPr="00690EB0" w:rsidRDefault="00B57970" w:rsidP="00B57970">
            <w:pPr>
              <w:pStyle w:val="NoSpacing"/>
              <w:rPr>
                <w:sz w:val="20"/>
                <w:szCs w:val="20"/>
              </w:rPr>
            </w:pPr>
            <w:r w:rsidRPr="00690EB0">
              <w:rPr>
                <w:sz w:val="20"/>
                <w:szCs w:val="20"/>
              </w:rPr>
              <w:t>0</w:t>
            </w:r>
          </w:p>
        </w:tc>
        <w:tc>
          <w:tcPr>
            <w:tcW w:w="1000" w:type="dxa"/>
            <w:shd w:val="clear" w:color="auto" w:fill="auto"/>
            <w:noWrap/>
            <w:vAlign w:val="bottom"/>
            <w:hideMark/>
          </w:tcPr>
          <w:p w14:paraId="34133ECA" w14:textId="77777777" w:rsidR="00B57970" w:rsidRPr="00690EB0" w:rsidRDefault="00B57970" w:rsidP="00B57970">
            <w:pPr>
              <w:pStyle w:val="NoSpacing"/>
              <w:rPr>
                <w:sz w:val="20"/>
                <w:szCs w:val="20"/>
              </w:rPr>
            </w:pPr>
            <w:r w:rsidRPr="00690EB0">
              <w:rPr>
                <w:sz w:val="20"/>
                <w:szCs w:val="20"/>
              </w:rPr>
              <w:t>31.4</w:t>
            </w:r>
          </w:p>
        </w:tc>
        <w:tc>
          <w:tcPr>
            <w:tcW w:w="1240" w:type="dxa"/>
            <w:shd w:val="clear" w:color="auto" w:fill="auto"/>
            <w:noWrap/>
            <w:vAlign w:val="bottom"/>
            <w:hideMark/>
          </w:tcPr>
          <w:p w14:paraId="615C9CD4" w14:textId="77777777" w:rsidR="00B57970" w:rsidRPr="00690EB0" w:rsidRDefault="00B57970" w:rsidP="00B57970">
            <w:pPr>
              <w:pStyle w:val="NoSpacing"/>
              <w:rPr>
                <w:sz w:val="20"/>
                <w:szCs w:val="20"/>
              </w:rPr>
            </w:pPr>
            <w:r w:rsidRPr="00690EB0">
              <w:rPr>
                <w:sz w:val="20"/>
                <w:szCs w:val="20"/>
              </w:rPr>
              <w:t>41.8</w:t>
            </w:r>
          </w:p>
        </w:tc>
        <w:tc>
          <w:tcPr>
            <w:tcW w:w="823" w:type="dxa"/>
            <w:shd w:val="clear" w:color="auto" w:fill="auto"/>
            <w:noWrap/>
            <w:vAlign w:val="bottom"/>
            <w:hideMark/>
          </w:tcPr>
          <w:p w14:paraId="38F95BDD" w14:textId="77777777" w:rsidR="00B57970" w:rsidRPr="00690EB0" w:rsidRDefault="00B57970" w:rsidP="00B57970">
            <w:pPr>
              <w:pStyle w:val="NoSpacing"/>
              <w:rPr>
                <w:sz w:val="20"/>
                <w:szCs w:val="20"/>
              </w:rPr>
            </w:pPr>
            <w:r w:rsidRPr="00690EB0">
              <w:rPr>
                <w:sz w:val="20"/>
                <w:szCs w:val="20"/>
              </w:rPr>
              <w:t>27.3</w:t>
            </w:r>
          </w:p>
        </w:tc>
        <w:tc>
          <w:tcPr>
            <w:tcW w:w="1557" w:type="dxa"/>
            <w:shd w:val="clear" w:color="auto" w:fill="auto"/>
            <w:noWrap/>
            <w:vAlign w:val="bottom"/>
            <w:hideMark/>
          </w:tcPr>
          <w:p w14:paraId="514607DF" w14:textId="77777777" w:rsidR="00B57970" w:rsidRPr="00690EB0" w:rsidRDefault="00B57970" w:rsidP="00B57970">
            <w:pPr>
              <w:pStyle w:val="NoSpacing"/>
              <w:rPr>
                <w:sz w:val="20"/>
                <w:szCs w:val="20"/>
              </w:rPr>
            </w:pPr>
            <w:r w:rsidRPr="00690EB0">
              <w:rPr>
                <w:sz w:val="20"/>
                <w:szCs w:val="20"/>
              </w:rPr>
              <w:t>100.0%</w:t>
            </w:r>
          </w:p>
        </w:tc>
        <w:tc>
          <w:tcPr>
            <w:tcW w:w="1200" w:type="dxa"/>
            <w:shd w:val="clear" w:color="auto" w:fill="auto"/>
            <w:noWrap/>
            <w:vAlign w:val="bottom"/>
            <w:hideMark/>
          </w:tcPr>
          <w:p w14:paraId="06A8E702" w14:textId="77777777" w:rsidR="00B57970" w:rsidRPr="00690EB0" w:rsidRDefault="00B57970" w:rsidP="00B57970">
            <w:pPr>
              <w:pStyle w:val="NoSpacing"/>
              <w:rPr>
                <w:sz w:val="20"/>
                <w:szCs w:val="20"/>
              </w:rPr>
            </w:pPr>
            <w:r w:rsidRPr="00690EB0">
              <w:rPr>
                <w:sz w:val="20"/>
                <w:szCs w:val="20"/>
              </w:rPr>
              <w:t>125</w:t>
            </w:r>
          </w:p>
        </w:tc>
      </w:tr>
      <w:tr w:rsidR="00B57970" w:rsidRPr="00690EB0" w14:paraId="6596E825" w14:textId="77777777" w:rsidTr="00865C6E">
        <w:trPr>
          <w:trHeight w:val="300"/>
          <w:jc w:val="center"/>
        </w:trPr>
        <w:tc>
          <w:tcPr>
            <w:tcW w:w="1795" w:type="dxa"/>
            <w:shd w:val="clear" w:color="auto" w:fill="auto"/>
            <w:noWrap/>
            <w:vAlign w:val="bottom"/>
            <w:hideMark/>
          </w:tcPr>
          <w:p w14:paraId="22778141" w14:textId="77777777" w:rsidR="00B57970" w:rsidRPr="00690EB0" w:rsidRDefault="00B57970" w:rsidP="00B57970">
            <w:pPr>
              <w:pStyle w:val="NoSpacing"/>
              <w:rPr>
                <w:sz w:val="20"/>
                <w:szCs w:val="20"/>
              </w:rPr>
            </w:pPr>
            <w:r w:rsidRPr="00690EB0">
              <w:rPr>
                <w:sz w:val="20"/>
                <w:szCs w:val="20"/>
              </w:rPr>
              <w:t>Nissouri Creek</w:t>
            </w:r>
          </w:p>
        </w:tc>
        <w:tc>
          <w:tcPr>
            <w:tcW w:w="530" w:type="dxa"/>
            <w:shd w:val="clear" w:color="auto" w:fill="auto"/>
            <w:noWrap/>
            <w:vAlign w:val="bottom"/>
            <w:hideMark/>
          </w:tcPr>
          <w:p w14:paraId="5DA66983" w14:textId="77777777" w:rsidR="00B57970" w:rsidRPr="00690EB0" w:rsidRDefault="00B57970" w:rsidP="00B57970">
            <w:pPr>
              <w:pStyle w:val="NoSpacing"/>
              <w:rPr>
                <w:sz w:val="20"/>
                <w:szCs w:val="20"/>
              </w:rPr>
            </w:pPr>
            <w:r w:rsidRPr="00690EB0">
              <w:rPr>
                <w:sz w:val="20"/>
                <w:szCs w:val="20"/>
              </w:rPr>
              <w:t>12</w:t>
            </w:r>
          </w:p>
        </w:tc>
        <w:tc>
          <w:tcPr>
            <w:tcW w:w="1272" w:type="dxa"/>
            <w:shd w:val="clear" w:color="auto" w:fill="auto"/>
            <w:noWrap/>
            <w:vAlign w:val="bottom"/>
            <w:hideMark/>
          </w:tcPr>
          <w:p w14:paraId="542AAAB1" w14:textId="77777777" w:rsidR="00B57970" w:rsidRPr="00690EB0" w:rsidRDefault="00B57970" w:rsidP="00B57970">
            <w:pPr>
              <w:pStyle w:val="NoSpacing"/>
              <w:rPr>
                <w:sz w:val="20"/>
                <w:szCs w:val="20"/>
              </w:rPr>
            </w:pPr>
            <w:r w:rsidRPr="00690EB0">
              <w:rPr>
                <w:sz w:val="20"/>
                <w:szCs w:val="20"/>
              </w:rPr>
              <w:t>0</w:t>
            </w:r>
          </w:p>
        </w:tc>
        <w:tc>
          <w:tcPr>
            <w:tcW w:w="1000" w:type="dxa"/>
            <w:shd w:val="clear" w:color="auto" w:fill="auto"/>
            <w:noWrap/>
            <w:vAlign w:val="bottom"/>
            <w:hideMark/>
          </w:tcPr>
          <w:p w14:paraId="03E33BEB" w14:textId="77777777" w:rsidR="00B57970" w:rsidRPr="00690EB0" w:rsidRDefault="00B57970" w:rsidP="00B57970">
            <w:pPr>
              <w:pStyle w:val="NoSpacing"/>
              <w:rPr>
                <w:sz w:val="20"/>
                <w:szCs w:val="20"/>
              </w:rPr>
            </w:pPr>
            <w:r w:rsidRPr="00690EB0">
              <w:rPr>
                <w:sz w:val="20"/>
                <w:szCs w:val="20"/>
              </w:rPr>
              <w:t>11.6</w:t>
            </w:r>
          </w:p>
        </w:tc>
        <w:tc>
          <w:tcPr>
            <w:tcW w:w="1240" w:type="dxa"/>
            <w:shd w:val="clear" w:color="auto" w:fill="auto"/>
            <w:noWrap/>
            <w:vAlign w:val="bottom"/>
            <w:hideMark/>
          </w:tcPr>
          <w:p w14:paraId="3F7E6443" w14:textId="77777777" w:rsidR="00B57970" w:rsidRPr="00690EB0" w:rsidRDefault="00B57970" w:rsidP="00B57970">
            <w:pPr>
              <w:pStyle w:val="NoSpacing"/>
              <w:rPr>
                <w:sz w:val="20"/>
                <w:szCs w:val="20"/>
              </w:rPr>
            </w:pPr>
            <w:r w:rsidRPr="00690EB0">
              <w:rPr>
                <w:sz w:val="20"/>
                <w:szCs w:val="20"/>
              </w:rPr>
              <w:t>22.8</w:t>
            </w:r>
          </w:p>
        </w:tc>
        <w:tc>
          <w:tcPr>
            <w:tcW w:w="823" w:type="dxa"/>
            <w:shd w:val="clear" w:color="auto" w:fill="auto"/>
            <w:noWrap/>
            <w:vAlign w:val="bottom"/>
            <w:hideMark/>
          </w:tcPr>
          <w:p w14:paraId="6ED93986" w14:textId="77777777" w:rsidR="00B57970" w:rsidRPr="00690EB0" w:rsidRDefault="00B57970" w:rsidP="00B57970">
            <w:pPr>
              <w:pStyle w:val="NoSpacing"/>
              <w:rPr>
                <w:sz w:val="20"/>
                <w:szCs w:val="20"/>
              </w:rPr>
            </w:pPr>
            <w:r w:rsidRPr="00690EB0">
              <w:rPr>
                <w:sz w:val="20"/>
                <w:szCs w:val="20"/>
              </w:rPr>
              <w:t>27.6</w:t>
            </w:r>
          </w:p>
        </w:tc>
        <w:tc>
          <w:tcPr>
            <w:tcW w:w="1557" w:type="dxa"/>
            <w:shd w:val="clear" w:color="auto" w:fill="auto"/>
            <w:noWrap/>
            <w:vAlign w:val="bottom"/>
            <w:hideMark/>
          </w:tcPr>
          <w:p w14:paraId="1E80CC0F" w14:textId="77777777" w:rsidR="00B57970" w:rsidRPr="00690EB0" w:rsidRDefault="00B57970" w:rsidP="00B57970">
            <w:pPr>
              <w:pStyle w:val="NoSpacing"/>
              <w:rPr>
                <w:sz w:val="20"/>
                <w:szCs w:val="20"/>
              </w:rPr>
            </w:pPr>
            <w:r w:rsidRPr="00690EB0">
              <w:rPr>
                <w:sz w:val="20"/>
                <w:szCs w:val="20"/>
              </w:rPr>
              <w:t>100.0%</w:t>
            </w:r>
          </w:p>
        </w:tc>
        <w:tc>
          <w:tcPr>
            <w:tcW w:w="1200" w:type="dxa"/>
            <w:shd w:val="clear" w:color="auto" w:fill="auto"/>
            <w:noWrap/>
            <w:vAlign w:val="bottom"/>
            <w:hideMark/>
          </w:tcPr>
          <w:p w14:paraId="4E211106" w14:textId="77777777" w:rsidR="00B57970" w:rsidRPr="00690EB0" w:rsidRDefault="00B57970" w:rsidP="00B57970">
            <w:pPr>
              <w:pStyle w:val="NoSpacing"/>
              <w:rPr>
                <w:sz w:val="20"/>
                <w:szCs w:val="20"/>
              </w:rPr>
            </w:pPr>
            <w:r w:rsidRPr="00690EB0">
              <w:rPr>
                <w:sz w:val="20"/>
                <w:szCs w:val="20"/>
              </w:rPr>
              <w:t>104</w:t>
            </w:r>
          </w:p>
        </w:tc>
      </w:tr>
      <w:tr w:rsidR="00B57970" w:rsidRPr="00690EB0" w14:paraId="29BA377E" w14:textId="77777777" w:rsidTr="00865C6E">
        <w:trPr>
          <w:trHeight w:val="300"/>
          <w:jc w:val="center"/>
        </w:trPr>
        <w:tc>
          <w:tcPr>
            <w:tcW w:w="1795" w:type="dxa"/>
            <w:shd w:val="clear" w:color="auto" w:fill="auto"/>
            <w:noWrap/>
            <w:vAlign w:val="bottom"/>
            <w:hideMark/>
          </w:tcPr>
          <w:p w14:paraId="6954D2E4" w14:textId="77777777" w:rsidR="00B57970" w:rsidRPr="00690EB0" w:rsidRDefault="00B57970" w:rsidP="00B57970">
            <w:pPr>
              <w:pStyle w:val="NoSpacing"/>
              <w:rPr>
                <w:sz w:val="20"/>
                <w:szCs w:val="20"/>
              </w:rPr>
            </w:pPr>
            <w:r w:rsidRPr="00690EB0">
              <w:rPr>
                <w:sz w:val="20"/>
                <w:szCs w:val="20"/>
              </w:rPr>
              <w:t>Nottawasaga River</w:t>
            </w:r>
          </w:p>
        </w:tc>
        <w:tc>
          <w:tcPr>
            <w:tcW w:w="530" w:type="dxa"/>
            <w:shd w:val="clear" w:color="auto" w:fill="auto"/>
            <w:noWrap/>
            <w:vAlign w:val="bottom"/>
            <w:hideMark/>
          </w:tcPr>
          <w:p w14:paraId="762B73E7" w14:textId="77777777" w:rsidR="00B57970" w:rsidRPr="00690EB0" w:rsidRDefault="00B57970" w:rsidP="00B57970">
            <w:pPr>
              <w:pStyle w:val="NoSpacing"/>
              <w:rPr>
                <w:sz w:val="20"/>
                <w:szCs w:val="20"/>
              </w:rPr>
            </w:pPr>
            <w:r w:rsidRPr="00690EB0">
              <w:rPr>
                <w:sz w:val="20"/>
                <w:szCs w:val="20"/>
              </w:rPr>
              <w:t>26</w:t>
            </w:r>
          </w:p>
        </w:tc>
        <w:tc>
          <w:tcPr>
            <w:tcW w:w="1272" w:type="dxa"/>
            <w:shd w:val="clear" w:color="auto" w:fill="auto"/>
            <w:noWrap/>
            <w:vAlign w:val="bottom"/>
            <w:hideMark/>
          </w:tcPr>
          <w:p w14:paraId="7C0A6784" w14:textId="77777777" w:rsidR="00B57970" w:rsidRPr="00690EB0" w:rsidRDefault="00B57970" w:rsidP="00B57970">
            <w:pPr>
              <w:pStyle w:val="NoSpacing"/>
              <w:rPr>
                <w:sz w:val="20"/>
                <w:szCs w:val="20"/>
              </w:rPr>
            </w:pPr>
            <w:r w:rsidRPr="00690EB0">
              <w:rPr>
                <w:sz w:val="20"/>
                <w:szCs w:val="20"/>
              </w:rPr>
              <w:t>5</w:t>
            </w:r>
          </w:p>
        </w:tc>
        <w:tc>
          <w:tcPr>
            <w:tcW w:w="1000" w:type="dxa"/>
            <w:shd w:val="clear" w:color="auto" w:fill="auto"/>
            <w:noWrap/>
            <w:vAlign w:val="bottom"/>
            <w:hideMark/>
          </w:tcPr>
          <w:p w14:paraId="363223DF" w14:textId="77777777" w:rsidR="00B57970" w:rsidRPr="00690EB0" w:rsidRDefault="00B57970" w:rsidP="00B57970">
            <w:pPr>
              <w:pStyle w:val="NoSpacing"/>
              <w:rPr>
                <w:sz w:val="20"/>
                <w:szCs w:val="20"/>
              </w:rPr>
            </w:pPr>
            <w:r w:rsidRPr="00690EB0">
              <w:rPr>
                <w:sz w:val="20"/>
                <w:szCs w:val="20"/>
              </w:rPr>
              <w:t>7.28</w:t>
            </w:r>
          </w:p>
        </w:tc>
        <w:tc>
          <w:tcPr>
            <w:tcW w:w="1240" w:type="dxa"/>
            <w:shd w:val="clear" w:color="auto" w:fill="auto"/>
            <w:noWrap/>
            <w:vAlign w:val="bottom"/>
            <w:hideMark/>
          </w:tcPr>
          <w:p w14:paraId="3C96F1A9" w14:textId="77777777" w:rsidR="00B57970" w:rsidRPr="00690EB0" w:rsidRDefault="00B57970" w:rsidP="00B57970">
            <w:pPr>
              <w:pStyle w:val="NoSpacing"/>
              <w:rPr>
                <w:sz w:val="20"/>
                <w:szCs w:val="20"/>
              </w:rPr>
            </w:pPr>
            <w:r w:rsidRPr="00690EB0">
              <w:rPr>
                <w:sz w:val="20"/>
                <w:szCs w:val="20"/>
              </w:rPr>
              <w:t>11.1</w:t>
            </w:r>
          </w:p>
        </w:tc>
        <w:tc>
          <w:tcPr>
            <w:tcW w:w="823" w:type="dxa"/>
            <w:shd w:val="clear" w:color="auto" w:fill="auto"/>
            <w:noWrap/>
            <w:vAlign w:val="bottom"/>
            <w:hideMark/>
          </w:tcPr>
          <w:p w14:paraId="05C1BD76" w14:textId="77777777" w:rsidR="00B57970" w:rsidRPr="00690EB0" w:rsidRDefault="00B57970" w:rsidP="00B57970">
            <w:pPr>
              <w:pStyle w:val="NoSpacing"/>
              <w:rPr>
                <w:sz w:val="20"/>
                <w:szCs w:val="20"/>
              </w:rPr>
            </w:pPr>
            <w:r w:rsidRPr="00690EB0">
              <w:rPr>
                <w:sz w:val="20"/>
                <w:szCs w:val="20"/>
              </w:rPr>
              <w:t>11.2</w:t>
            </w:r>
          </w:p>
        </w:tc>
        <w:tc>
          <w:tcPr>
            <w:tcW w:w="1557" w:type="dxa"/>
            <w:shd w:val="clear" w:color="auto" w:fill="auto"/>
            <w:noWrap/>
            <w:vAlign w:val="bottom"/>
            <w:hideMark/>
          </w:tcPr>
          <w:p w14:paraId="748DFBE8" w14:textId="77777777" w:rsidR="00B57970" w:rsidRPr="00690EB0" w:rsidRDefault="00B57970" w:rsidP="00B57970">
            <w:pPr>
              <w:pStyle w:val="NoSpacing"/>
              <w:rPr>
                <w:sz w:val="20"/>
                <w:szCs w:val="20"/>
              </w:rPr>
            </w:pPr>
            <w:r w:rsidRPr="00690EB0">
              <w:rPr>
                <w:sz w:val="20"/>
                <w:szCs w:val="20"/>
              </w:rPr>
              <w:t>80.8%</w:t>
            </w:r>
          </w:p>
        </w:tc>
        <w:tc>
          <w:tcPr>
            <w:tcW w:w="1200" w:type="dxa"/>
            <w:shd w:val="clear" w:color="auto" w:fill="auto"/>
            <w:noWrap/>
            <w:vAlign w:val="bottom"/>
            <w:hideMark/>
          </w:tcPr>
          <w:p w14:paraId="0605DB49" w14:textId="77777777" w:rsidR="00B57970" w:rsidRPr="00690EB0" w:rsidRDefault="00B57970" w:rsidP="00B57970">
            <w:pPr>
              <w:pStyle w:val="NoSpacing"/>
              <w:rPr>
                <w:sz w:val="20"/>
                <w:szCs w:val="20"/>
              </w:rPr>
            </w:pPr>
            <w:r w:rsidRPr="00690EB0">
              <w:rPr>
                <w:sz w:val="20"/>
                <w:szCs w:val="20"/>
              </w:rPr>
              <w:t>50.7</w:t>
            </w:r>
          </w:p>
        </w:tc>
      </w:tr>
      <w:tr w:rsidR="00B57970" w:rsidRPr="00690EB0" w14:paraId="41A2301E" w14:textId="77777777" w:rsidTr="00865C6E">
        <w:trPr>
          <w:trHeight w:val="300"/>
          <w:jc w:val="center"/>
        </w:trPr>
        <w:tc>
          <w:tcPr>
            <w:tcW w:w="1795" w:type="dxa"/>
            <w:shd w:val="clear" w:color="auto" w:fill="auto"/>
            <w:noWrap/>
            <w:vAlign w:val="bottom"/>
            <w:hideMark/>
          </w:tcPr>
          <w:p w14:paraId="67EFAA8C" w14:textId="77777777" w:rsidR="00B57970" w:rsidRPr="00690EB0" w:rsidRDefault="00B57970" w:rsidP="00B57970">
            <w:pPr>
              <w:pStyle w:val="NoSpacing"/>
              <w:rPr>
                <w:sz w:val="20"/>
                <w:szCs w:val="20"/>
              </w:rPr>
            </w:pPr>
            <w:r w:rsidRPr="00690EB0">
              <w:rPr>
                <w:sz w:val="20"/>
                <w:szCs w:val="20"/>
              </w:rPr>
              <w:t>Spring Creek</w:t>
            </w:r>
          </w:p>
        </w:tc>
        <w:tc>
          <w:tcPr>
            <w:tcW w:w="530" w:type="dxa"/>
            <w:shd w:val="clear" w:color="auto" w:fill="auto"/>
            <w:noWrap/>
            <w:vAlign w:val="bottom"/>
            <w:hideMark/>
          </w:tcPr>
          <w:p w14:paraId="706EAB87" w14:textId="77777777" w:rsidR="00B57970" w:rsidRPr="00690EB0" w:rsidRDefault="00B57970" w:rsidP="00B57970">
            <w:pPr>
              <w:pStyle w:val="NoSpacing"/>
              <w:rPr>
                <w:sz w:val="20"/>
                <w:szCs w:val="20"/>
              </w:rPr>
            </w:pPr>
            <w:r w:rsidRPr="00690EB0">
              <w:rPr>
                <w:sz w:val="20"/>
                <w:szCs w:val="20"/>
              </w:rPr>
              <w:t>18</w:t>
            </w:r>
          </w:p>
        </w:tc>
        <w:tc>
          <w:tcPr>
            <w:tcW w:w="1272" w:type="dxa"/>
            <w:shd w:val="clear" w:color="auto" w:fill="auto"/>
            <w:noWrap/>
            <w:vAlign w:val="bottom"/>
            <w:hideMark/>
          </w:tcPr>
          <w:p w14:paraId="60B73EBF" w14:textId="77777777" w:rsidR="00B57970" w:rsidRPr="00690EB0" w:rsidRDefault="00B57970" w:rsidP="00B57970">
            <w:pPr>
              <w:pStyle w:val="NoSpacing"/>
              <w:rPr>
                <w:sz w:val="20"/>
                <w:szCs w:val="20"/>
              </w:rPr>
            </w:pPr>
            <w:r w:rsidRPr="00690EB0">
              <w:rPr>
                <w:sz w:val="20"/>
                <w:szCs w:val="20"/>
              </w:rPr>
              <w:t>18</w:t>
            </w:r>
          </w:p>
        </w:tc>
        <w:tc>
          <w:tcPr>
            <w:tcW w:w="1000" w:type="dxa"/>
            <w:shd w:val="clear" w:color="auto" w:fill="auto"/>
            <w:noWrap/>
            <w:vAlign w:val="bottom"/>
            <w:hideMark/>
          </w:tcPr>
          <w:p w14:paraId="70EF0405" w14:textId="77777777" w:rsidR="00B57970" w:rsidRPr="00690EB0" w:rsidRDefault="00B57970" w:rsidP="00B57970">
            <w:pPr>
              <w:pStyle w:val="NoSpacing"/>
              <w:rPr>
                <w:sz w:val="20"/>
                <w:szCs w:val="20"/>
              </w:rPr>
            </w:pPr>
            <w:r w:rsidRPr="00690EB0">
              <w:rPr>
                <w:sz w:val="20"/>
                <w:szCs w:val="20"/>
              </w:rPr>
              <w:t>&lt;1.76</w:t>
            </w:r>
          </w:p>
        </w:tc>
        <w:tc>
          <w:tcPr>
            <w:tcW w:w="1240" w:type="dxa"/>
            <w:shd w:val="clear" w:color="auto" w:fill="auto"/>
            <w:noWrap/>
            <w:vAlign w:val="bottom"/>
            <w:hideMark/>
          </w:tcPr>
          <w:p w14:paraId="1C7A1D78" w14:textId="77777777" w:rsidR="00B57970" w:rsidRPr="00690EB0" w:rsidRDefault="00B57970" w:rsidP="00B57970">
            <w:pPr>
              <w:pStyle w:val="NoSpacing"/>
              <w:rPr>
                <w:sz w:val="20"/>
                <w:szCs w:val="20"/>
              </w:rPr>
            </w:pPr>
            <w:r w:rsidRPr="00690EB0">
              <w:rPr>
                <w:sz w:val="20"/>
                <w:szCs w:val="20"/>
              </w:rPr>
              <w:t>-</w:t>
            </w:r>
          </w:p>
        </w:tc>
        <w:tc>
          <w:tcPr>
            <w:tcW w:w="823" w:type="dxa"/>
            <w:shd w:val="clear" w:color="auto" w:fill="auto"/>
            <w:noWrap/>
            <w:vAlign w:val="bottom"/>
            <w:hideMark/>
          </w:tcPr>
          <w:p w14:paraId="13C93C91" w14:textId="77777777" w:rsidR="00B57970" w:rsidRPr="00690EB0" w:rsidRDefault="00B57970" w:rsidP="00B57970">
            <w:pPr>
              <w:pStyle w:val="NoSpacing"/>
              <w:rPr>
                <w:sz w:val="20"/>
                <w:szCs w:val="20"/>
              </w:rPr>
            </w:pPr>
            <w:r w:rsidRPr="00690EB0">
              <w:rPr>
                <w:sz w:val="20"/>
                <w:szCs w:val="20"/>
              </w:rPr>
              <w:t>-</w:t>
            </w:r>
          </w:p>
        </w:tc>
        <w:tc>
          <w:tcPr>
            <w:tcW w:w="1557" w:type="dxa"/>
            <w:shd w:val="clear" w:color="auto" w:fill="auto"/>
            <w:noWrap/>
            <w:vAlign w:val="bottom"/>
            <w:hideMark/>
          </w:tcPr>
          <w:p w14:paraId="2A255474" w14:textId="77777777" w:rsidR="00B57970" w:rsidRPr="00690EB0" w:rsidRDefault="00B57970" w:rsidP="00B57970">
            <w:pPr>
              <w:pStyle w:val="NoSpacing"/>
              <w:rPr>
                <w:sz w:val="20"/>
                <w:szCs w:val="20"/>
              </w:rPr>
            </w:pPr>
            <w:r w:rsidRPr="00690EB0">
              <w:rPr>
                <w:sz w:val="20"/>
                <w:szCs w:val="20"/>
              </w:rPr>
              <w:t>0.0%</w:t>
            </w:r>
          </w:p>
        </w:tc>
        <w:tc>
          <w:tcPr>
            <w:tcW w:w="1200" w:type="dxa"/>
            <w:shd w:val="clear" w:color="auto" w:fill="auto"/>
            <w:noWrap/>
            <w:vAlign w:val="bottom"/>
            <w:hideMark/>
          </w:tcPr>
          <w:p w14:paraId="7525AE72" w14:textId="77777777" w:rsidR="00B57970" w:rsidRPr="00690EB0" w:rsidRDefault="00B57970" w:rsidP="00B57970">
            <w:pPr>
              <w:pStyle w:val="NoSpacing"/>
              <w:rPr>
                <w:sz w:val="20"/>
                <w:szCs w:val="20"/>
              </w:rPr>
            </w:pPr>
            <w:r w:rsidRPr="00690EB0">
              <w:rPr>
                <w:sz w:val="20"/>
                <w:szCs w:val="20"/>
              </w:rPr>
              <w:t>&lt;1.76</w:t>
            </w:r>
          </w:p>
        </w:tc>
      </w:tr>
      <w:tr w:rsidR="00B57970" w:rsidRPr="00690EB0" w14:paraId="5372EE59" w14:textId="77777777" w:rsidTr="00865C6E">
        <w:trPr>
          <w:trHeight w:val="300"/>
          <w:jc w:val="center"/>
        </w:trPr>
        <w:tc>
          <w:tcPr>
            <w:tcW w:w="1795" w:type="dxa"/>
            <w:shd w:val="clear" w:color="auto" w:fill="auto"/>
            <w:noWrap/>
            <w:vAlign w:val="bottom"/>
            <w:hideMark/>
          </w:tcPr>
          <w:p w14:paraId="061CCD89" w14:textId="77777777" w:rsidR="00B57970" w:rsidRPr="00690EB0" w:rsidRDefault="00B57970" w:rsidP="00B57970">
            <w:pPr>
              <w:pStyle w:val="NoSpacing"/>
              <w:rPr>
                <w:sz w:val="20"/>
                <w:szCs w:val="20"/>
              </w:rPr>
            </w:pPr>
            <w:r w:rsidRPr="00690EB0">
              <w:rPr>
                <w:sz w:val="20"/>
                <w:szCs w:val="20"/>
              </w:rPr>
              <w:t>Sturgeon Creek</w:t>
            </w:r>
          </w:p>
        </w:tc>
        <w:tc>
          <w:tcPr>
            <w:tcW w:w="530" w:type="dxa"/>
            <w:shd w:val="clear" w:color="auto" w:fill="auto"/>
            <w:noWrap/>
            <w:vAlign w:val="bottom"/>
            <w:hideMark/>
          </w:tcPr>
          <w:p w14:paraId="1A05C40F" w14:textId="77777777" w:rsidR="00B57970" w:rsidRPr="00690EB0" w:rsidRDefault="00B57970" w:rsidP="00B57970">
            <w:pPr>
              <w:pStyle w:val="NoSpacing"/>
              <w:rPr>
                <w:sz w:val="20"/>
                <w:szCs w:val="20"/>
              </w:rPr>
            </w:pPr>
            <w:r w:rsidRPr="00690EB0">
              <w:rPr>
                <w:sz w:val="20"/>
                <w:szCs w:val="20"/>
              </w:rPr>
              <w:t>39</w:t>
            </w:r>
          </w:p>
        </w:tc>
        <w:tc>
          <w:tcPr>
            <w:tcW w:w="1272" w:type="dxa"/>
            <w:shd w:val="clear" w:color="auto" w:fill="auto"/>
            <w:noWrap/>
            <w:vAlign w:val="bottom"/>
            <w:hideMark/>
          </w:tcPr>
          <w:p w14:paraId="6A3F2B45" w14:textId="77777777" w:rsidR="00B57970" w:rsidRPr="00690EB0" w:rsidRDefault="00B57970" w:rsidP="00B57970">
            <w:pPr>
              <w:pStyle w:val="NoSpacing"/>
              <w:rPr>
                <w:sz w:val="20"/>
                <w:szCs w:val="20"/>
              </w:rPr>
            </w:pPr>
            <w:r w:rsidRPr="00690EB0">
              <w:rPr>
                <w:sz w:val="20"/>
                <w:szCs w:val="20"/>
              </w:rPr>
              <w:t>8</w:t>
            </w:r>
          </w:p>
        </w:tc>
        <w:tc>
          <w:tcPr>
            <w:tcW w:w="1000" w:type="dxa"/>
            <w:shd w:val="clear" w:color="auto" w:fill="auto"/>
            <w:noWrap/>
            <w:vAlign w:val="bottom"/>
            <w:hideMark/>
          </w:tcPr>
          <w:p w14:paraId="146BDC46" w14:textId="77777777" w:rsidR="00B57970" w:rsidRPr="00690EB0" w:rsidRDefault="00B57970" w:rsidP="00B57970">
            <w:pPr>
              <w:pStyle w:val="NoSpacing"/>
              <w:rPr>
                <w:sz w:val="20"/>
                <w:szCs w:val="20"/>
              </w:rPr>
            </w:pPr>
            <w:r w:rsidRPr="00690EB0">
              <w:rPr>
                <w:sz w:val="20"/>
                <w:szCs w:val="20"/>
              </w:rPr>
              <w:t>3.81</w:t>
            </w:r>
          </w:p>
        </w:tc>
        <w:tc>
          <w:tcPr>
            <w:tcW w:w="1240" w:type="dxa"/>
            <w:shd w:val="clear" w:color="auto" w:fill="auto"/>
            <w:noWrap/>
            <w:vAlign w:val="bottom"/>
            <w:hideMark/>
          </w:tcPr>
          <w:p w14:paraId="08EE139E" w14:textId="77777777" w:rsidR="00B57970" w:rsidRPr="00690EB0" w:rsidRDefault="00B57970" w:rsidP="00B57970">
            <w:pPr>
              <w:pStyle w:val="NoSpacing"/>
              <w:rPr>
                <w:sz w:val="20"/>
                <w:szCs w:val="20"/>
              </w:rPr>
            </w:pPr>
            <w:r w:rsidRPr="00690EB0">
              <w:rPr>
                <w:sz w:val="20"/>
                <w:szCs w:val="20"/>
              </w:rPr>
              <w:t>5.17</w:t>
            </w:r>
          </w:p>
        </w:tc>
        <w:tc>
          <w:tcPr>
            <w:tcW w:w="823" w:type="dxa"/>
            <w:shd w:val="clear" w:color="auto" w:fill="auto"/>
            <w:noWrap/>
            <w:vAlign w:val="bottom"/>
            <w:hideMark/>
          </w:tcPr>
          <w:p w14:paraId="307351FE" w14:textId="77777777" w:rsidR="00B57970" w:rsidRPr="00690EB0" w:rsidRDefault="00B57970" w:rsidP="00B57970">
            <w:pPr>
              <w:pStyle w:val="NoSpacing"/>
              <w:rPr>
                <w:sz w:val="20"/>
                <w:szCs w:val="20"/>
              </w:rPr>
            </w:pPr>
            <w:r w:rsidRPr="00690EB0">
              <w:rPr>
                <w:sz w:val="20"/>
                <w:szCs w:val="20"/>
              </w:rPr>
              <w:t>5.05</w:t>
            </w:r>
          </w:p>
        </w:tc>
        <w:tc>
          <w:tcPr>
            <w:tcW w:w="1557" w:type="dxa"/>
            <w:shd w:val="clear" w:color="auto" w:fill="auto"/>
            <w:noWrap/>
            <w:vAlign w:val="bottom"/>
            <w:hideMark/>
          </w:tcPr>
          <w:p w14:paraId="531D3C96" w14:textId="77777777" w:rsidR="00B57970" w:rsidRPr="00690EB0" w:rsidRDefault="00B57970" w:rsidP="00B57970">
            <w:pPr>
              <w:pStyle w:val="NoSpacing"/>
              <w:rPr>
                <w:sz w:val="20"/>
                <w:szCs w:val="20"/>
              </w:rPr>
            </w:pPr>
            <w:r w:rsidRPr="00690EB0">
              <w:rPr>
                <w:sz w:val="20"/>
                <w:szCs w:val="20"/>
              </w:rPr>
              <w:t>79.5%</w:t>
            </w:r>
          </w:p>
        </w:tc>
        <w:tc>
          <w:tcPr>
            <w:tcW w:w="1200" w:type="dxa"/>
            <w:shd w:val="clear" w:color="auto" w:fill="auto"/>
            <w:noWrap/>
            <w:vAlign w:val="bottom"/>
            <w:hideMark/>
          </w:tcPr>
          <w:p w14:paraId="23AA32FE" w14:textId="77777777" w:rsidR="00B57970" w:rsidRPr="00690EB0" w:rsidRDefault="00B57970" w:rsidP="00B57970">
            <w:pPr>
              <w:pStyle w:val="NoSpacing"/>
              <w:rPr>
                <w:sz w:val="20"/>
                <w:szCs w:val="20"/>
              </w:rPr>
            </w:pPr>
            <w:r w:rsidRPr="00690EB0">
              <w:rPr>
                <w:sz w:val="20"/>
                <w:szCs w:val="20"/>
              </w:rPr>
              <w:t>27.7</w:t>
            </w:r>
          </w:p>
        </w:tc>
      </w:tr>
      <w:tr w:rsidR="00B57970" w:rsidRPr="00690EB0" w14:paraId="0B998F63" w14:textId="77777777" w:rsidTr="00865C6E">
        <w:trPr>
          <w:trHeight w:val="300"/>
          <w:jc w:val="center"/>
        </w:trPr>
        <w:tc>
          <w:tcPr>
            <w:tcW w:w="1795" w:type="dxa"/>
            <w:shd w:val="clear" w:color="auto" w:fill="auto"/>
            <w:noWrap/>
            <w:vAlign w:val="bottom"/>
            <w:hideMark/>
          </w:tcPr>
          <w:p w14:paraId="7B2EAF62" w14:textId="77777777" w:rsidR="00B57970" w:rsidRPr="00690EB0" w:rsidRDefault="00B57970" w:rsidP="00B57970">
            <w:pPr>
              <w:pStyle w:val="NoSpacing"/>
              <w:rPr>
                <w:sz w:val="20"/>
                <w:szCs w:val="20"/>
              </w:rPr>
            </w:pPr>
            <w:r w:rsidRPr="00690EB0">
              <w:rPr>
                <w:sz w:val="20"/>
                <w:szCs w:val="20"/>
              </w:rPr>
              <w:t>Sydenham River</w:t>
            </w:r>
          </w:p>
        </w:tc>
        <w:tc>
          <w:tcPr>
            <w:tcW w:w="530" w:type="dxa"/>
            <w:shd w:val="clear" w:color="auto" w:fill="auto"/>
            <w:noWrap/>
            <w:vAlign w:val="bottom"/>
            <w:hideMark/>
          </w:tcPr>
          <w:p w14:paraId="490B47C0" w14:textId="77777777" w:rsidR="00B57970" w:rsidRPr="00690EB0" w:rsidRDefault="00B57970" w:rsidP="00B57970">
            <w:pPr>
              <w:pStyle w:val="NoSpacing"/>
              <w:rPr>
                <w:sz w:val="20"/>
                <w:szCs w:val="20"/>
              </w:rPr>
            </w:pPr>
            <w:r w:rsidRPr="00690EB0">
              <w:rPr>
                <w:sz w:val="20"/>
                <w:szCs w:val="20"/>
              </w:rPr>
              <w:t>42</w:t>
            </w:r>
          </w:p>
        </w:tc>
        <w:tc>
          <w:tcPr>
            <w:tcW w:w="1272" w:type="dxa"/>
            <w:shd w:val="clear" w:color="auto" w:fill="auto"/>
            <w:noWrap/>
            <w:vAlign w:val="bottom"/>
            <w:hideMark/>
          </w:tcPr>
          <w:p w14:paraId="50CC620C" w14:textId="77777777" w:rsidR="00B57970" w:rsidRPr="00690EB0" w:rsidRDefault="00B57970" w:rsidP="00B57970">
            <w:pPr>
              <w:pStyle w:val="NoSpacing"/>
              <w:rPr>
                <w:sz w:val="20"/>
                <w:szCs w:val="20"/>
              </w:rPr>
            </w:pPr>
            <w:r w:rsidRPr="00690EB0">
              <w:rPr>
                <w:sz w:val="20"/>
                <w:szCs w:val="20"/>
              </w:rPr>
              <w:t>0</w:t>
            </w:r>
          </w:p>
        </w:tc>
        <w:tc>
          <w:tcPr>
            <w:tcW w:w="1000" w:type="dxa"/>
            <w:shd w:val="clear" w:color="auto" w:fill="auto"/>
            <w:noWrap/>
            <w:vAlign w:val="bottom"/>
            <w:hideMark/>
          </w:tcPr>
          <w:p w14:paraId="4BDA4345" w14:textId="77777777" w:rsidR="00B57970" w:rsidRPr="00690EB0" w:rsidRDefault="00B57970" w:rsidP="00B57970">
            <w:pPr>
              <w:pStyle w:val="NoSpacing"/>
              <w:rPr>
                <w:sz w:val="20"/>
                <w:szCs w:val="20"/>
              </w:rPr>
            </w:pPr>
            <w:r w:rsidRPr="00690EB0">
              <w:rPr>
                <w:sz w:val="20"/>
                <w:szCs w:val="20"/>
              </w:rPr>
              <w:t>18</w:t>
            </w:r>
          </w:p>
        </w:tc>
        <w:tc>
          <w:tcPr>
            <w:tcW w:w="1240" w:type="dxa"/>
            <w:shd w:val="clear" w:color="auto" w:fill="auto"/>
            <w:noWrap/>
            <w:vAlign w:val="bottom"/>
            <w:hideMark/>
          </w:tcPr>
          <w:p w14:paraId="0F5390E6" w14:textId="77777777" w:rsidR="00B57970" w:rsidRPr="00690EB0" w:rsidRDefault="00B57970" w:rsidP="00B57970">
            <w:pPr>
              <w:pStyle w:val="NoSpacing"/>
              <w:rPr>
                <w:sz w:val="20"/>
                <w:szCs w:val="20"/>
              </w:rPr>
            </w:pPr>
            <w:r w:rsidRPr="00690EB0">
              <w:rPr>
                <w:sz w:val="20"/>
                <w:szCs w:val="20"/>
              </w:rPr>
              <w:t>28.7</w:t>
            </w:r>
          </w:p>
        </w:tc>
        <w:tc>
          <w:tcPr>
            <w:tcW w:w="823" w:type="dxa"/>
            <w:shd w:val="clear" w:color="auto" w:fill="auto"/>
            <w:noWrap/>
            <w:vAlign w:val="bottom"/>
            <w:hideMark/>
          </w:tcPr>
          <w:p w14:paraId="13EA9170" w14:textId="77777777" w:rsidR="00B57970" w:rsidRPr="00690EB0" w:rsidRDefault="00B57970" w:rsidP="00B57970">
            <w:pPr>
              <w:pStyle w:val="NoSpacing"/>
              <w:rPr>
                <w:sz w:val="20"/>
                <w:szCs w:val="20"/>
              </w:rPr>
            </w:pPr>
            <w:r w:rsidRPr="00690EB0">
              <w:rPr>
                <w:sz w:val="20"/>
                <w:szCs w:val="20"/>
              </w:rPr>
              <w:t>32</w:t>
            </w:r>
          </w:p>
        </w:tc>
        <w:tc>
          <w:tcPr>
            <w:tcW w:w="1557" w:type="dxa"/>
            <w:shd w:val="clear" w:color="auto" w:fill="auto"/>
            <w:noWrap/>
            <w:vAlign w:val="bottom"/>
            <w:hideMark/>
          </w:tcPr>
          <w:p w14:paraId="28DA2CE9" w14:textId="77777777" w:rsidR="00B57970" w:rsidRPr="00690EB0" w:rsidRDefault="00B57970" w:rsidP="00B57970">
            <w:pPr>
              <w:pStyle w:val="NoSpacing"/>
              <w:rPr>
                <w:sz w:val="20"/>
                <w:szCs w:val="20"/>
              </w:rPr>
            </w:pPr>
            <w:r w:rsidRPr="00690EB0">
              <w:rPr>
                <w:sz w:val="20"/>
                <w:szCs w:val="20"/>
              </w:rPr>
              <w:t>100.0%</w:t>
            </w:r>
          </w:p>
        </w:tc>
        <w:tc>
          <w:tcPr>
            <w:tcW w:w="1200" w:type="dxa"/>
            <w:shd w:val="clear" w:color="auto" w:fill="auto"/>
            <w:noWrap/>
            <w:vAlign w:val="bottom"/>
            <w:hideMark/>
          </w:tcPr>
          <w:p w14:paraId="54F9BB76" w14:textId="77777777" w:rsidR="00B57970" w:rsidRPr="00690EB0" w:rsidRDefault="00B57970" w:rsidP="00B57970">
            <w:pPr>
              <w:pStyle w:val="NoSpacing"/>
              <w:rPr>
                <w:sz w:val="20"/>
                <w:szCs w:val="20"/>
              </w:rPr>
            </w:pPr>
            <w:r w:rsidRPr="00690EB0">
              <w:rPr>
                <w:sz w:val="20"/>
                <w:szCs w:val="20"/>
              </w:rPr>
              <w:t>182</w:t>
            </w:r>
          </w:p>
        </w:tc>
      </w:tr>
      <w:tr w:rsidR="00B57970" w:rsidRPr="00690EB0" w14:paraId="623F102C" w14:textId="77777777" w:rsidTr="00865C6E">
        <w:trPr>
          <w:trHeight w:val="300"/>
          <w:jc w:val="center"/>
        </w:trPr>
        <w:tc>
          <w:tcPr>
            <w:tcW w:w="1795" w:type="dxa"/>
            <w:shd w:val="clear" w:color="auto" w:fill="auto"/>
            <w:noWrap/>
            <w:vAlign w:val="bottom"/>
            <w:hideMark/>
          </w:tcPr>
          <w:p w14:paraId="1D1E8390" w14:textId="77777777" w:rsidR="00B57970" w:rsidRPr="00690EB0" w:rsidRDefault="00B57970" w:rsidP="00B57970">
            <w:pPr>
              <w:pStyle w:val="NoSpacing"/>
              <w:rPr>
                <w:sz w:val="20"/>
                <w:szCs w:val="20"/>
              </w:rPr>
            </w:pPr>
            <w:r w:rsidRPr="00690EB0">
              <w:rPr>
                <w:sz w:val="20"/>
                <w:szCs w:val="20"/>
              </w:rPr>
              <w:t>Thames River</w:t>
            </w:r>
          </w:p>
        </w:tc>
        <w:tc>
          <w:tcPr>
            <w:tcW w:w="530" w:type="dxa"/>
            <w:shd w:val="clear" w:color="auto" w:fill="auto"/>
            <w:noWrap/>
            <w:vAlign w:val="bottom"/>
            <w:hideMark/>
          </w:tcPr>
          <w:p w14:paraId="36A9E070" w14:textId="77777777" w:rsidR="00B57970" w:rsidRPr="00690EB0" w:rsidRDefault="00B57970" w:rsidP="00B57970">
            <w:pPr>
              <w:pStyle w:val="NoSpacing"/>
              <w:rPr>
                <w:sz w:val="20"/>
                <w:szCs w:val="20"/>
              </w:rPr>
            </w:pPr>
            <w:r w:rsidRPr="00690EB0">
              <w:rPr>
                <w:sz w:val="20"/>
                <w:szCs w:val="20"/>
              </w:rPr>
              <w:t>30</w:t>
            </w:r>
          </w:p>
        </w:tc>
        <w:tc>
          <w:tcPr>
            <w:tcW w:w="1272" w:type="dxa"/>
            <w:shd w:val="clear" w:color="auto" w:fill="auto"/>
            <w:noWrap/>
            <w:vAlign w:val="bottom"/>
            <w:hideMark/>
          </w:tcPr>
          <w:p w14:paraId="2E13FA36" w14:textId="77777777" w:rsidR="00B57970" w:rsidRPr="00690EB0" w:rsidRDefault="00B57970" w:rsidP="00B57970">
            <w:pPr>
              <w:pStyle w:val="NoSpacing"/>
              <w:rPr>
                <w:sz w:val="20"/>
                <w:szCs w:val="20"/>
              </w:rPr>
            </w:pPr>
            <w:r w:rsidRPr="00690EB0">
              <w:rPr>
                <w:sz w:val="20"/>
                <w:szCs w:val="20"/>
              </w:rPr>
              <w:t>0</w:t>
            </w:r>
          </w:p>
        </w:tc>
        <w:tc>
          <w:tcPr>
            <w:tcW w:w="1000" w:type="dxa"/>
            <w:shd w:val="clear" w:color="auto" w:fill="auto"/>
            <w:noWrap/>
            <w:vAlign w:val="bottom"/>
            <w:hideMark/>
          </w:tcPr>
          <w:p w14:paraId="4F72B512" w14:textId="77777777" w:rsidR="00B57970" w:rsidRPr="00690EB0" w:rsidRDefault="00B57970" w:rsidP="00B57970">
            <w:pPr>
              <w:pStyle w:val="NoSpacing"/>
              <w:rPr>
                <w:sz w:val="20"/>
                <w:szCs w:val="20"/>
              </w:rPr>
            </w:pPr>
            <w:r w:rsidRPr="00690EB0">
              <w:rPr>
                <w:sz w:val="20"/>
                <w:szCs w:val="20"/>
              </w:rPr>
              <w:t>11.7</w:t>
            </w:r>
          </w:p>
        </w:tc>
        <w:tc>
          <w:tcPr>
            <w:tcW w:w="1240" w:type="dxa"/>
            <w:shd w:val="clear" w:color="auto" w:fill="auto"/>
            <w:noWrap/>
            <w:vAlign w:val="bottom"/>
            <w:hideMark/>
          </w:tcPr>
          <w:p w14:paraId="7E994A01" w14:textId="77777777" w:rsidR="00B57970" w:rsidRPr="00690EB0" w:rsidRDefault="00B57970" w:rsidP="00B57970">
            <w:pPr>
              <w:pStyle w:val="NoSpacing"/>
              <w:rPr>
                <w:sz w:val="20"/>
                <w:szCs w:val="20"/>
              </w:rPr>
            </w:pPr>
            <w:r w:rsidRPr="00690EB0">
              <w:rPr>
                <w:sz w:val="20"/>
                <w:szCs w:val="20"/>
              </w:rPr>
              <w:t>17.5</w:t>
            </w:r>
          </w:p>
        </w:tc>
        <w:tc>
          <w:tcPr>
            <w:tcW w:w="823" w:type="dxa"/>
            <w:shd w:val="clear" w:color="auto" w:fill="auto"/>
            <w:noWrap/>
            <w:vAlign w:val="bottom"/>
            <w:hideMark/>
          </w:tcPr>
          <w:p w14:paraId="59B8F9BB" w14:textId="77777777" w:rsidR="00B57970" w:rsidRPr="00690EB0" w:rsidRDefault="00B57970" w:rsidP="00B57970">
            <w:pPr>
              <w:pStyle w:val="NoSpacing"/>
              <w:rPr>
                <w:sz w:val="20"/>
                <w:szCs w:val="20"/>
              </w:rPr>
            </w:pPr>
            <w:r w:rsidRPr="00690EB0">
              <w:rPr>
                <w:sz w:val="20"/>
                <w:szCs w:val="20"/>
              </w:rPr>
              <w:t>16</w:t>
            </w:r>
          </w:p>
        </w:tc>
        <w:tc>
          <w:tcPr>
            <w:tcW w:w="1557" w:type="dxa"/>
            <w:shd w:val="clear" w:color="auto" w:fill="auto"/>
            <w:noWrap/>
            <w:vAlign w:val="bottom"/>
            <w:hideMark/>
          </w:tcPr>
          <w:p w14:paraId="28514E08" w14:textId="77777777" w:rsidR="00B57970" w:rsidRPr="00690EB0" w:rsidRDefault="00B57970" w:rsidP="00B57970">
            <w:pPr>
              <w:pStyle w:val="NoSpacing"/>
              <w:rPr>
                <w:sz w:val="20"/>
                <w:szCs w:val="20"/>
              </w:rPr>
            </w:pPr>
            <w:r w:rsidRPr="00690EB0">
              <w:rPr>
                <w:sz w:val="20"/>
                <w:szCs w:val="20"/>
              </w:rPr>
              <w:t>100.0%</w:t>
            </w:r>
          </w:p>
        </w:tc>
        <w:tc>
          <w:tcPr>
            <w:tcW w:w="1200" w:type="dxa"/>
            <w:shd w:val="clear" w:color="auto" w:fill="auto"/>
            <w:noWrap/>
            <w:vAlign w:val="bottom"/>
            <w:hideMark/>
          </w:tcPr>
          <w:p w14:paraId="522B4D3D" w14:textId="77777777" w:rsidR="00B57970" w:rsidRPr="00690EB0" w:rsidRDefault="00B57970" w:rsidP="00B57970">
            <w:pPr>
              <w:pStyle w:val="NoSpacing"/>
              <w:rPr>
                <w:sz w:val="20"/>
                <w:szCs w:val="20"/>
              </w:rPr>
            </w:pPr>
            <w:r w:rsidRPr="00690EB0">
              <w:rPr>
                <w:sz w:val="20"/>
                <w:szCs w:val="20"/>
              </w:rPr>
              <w:t>61.1</w:t>
            </w:r>
          </w:p>
        </w:tc>
      </w:tr>
      <w:tr w:rsidR="00B57970" w:rsidRPr="00690EB0" w14:paraId="6547B94D" w14:textId="77777777" w:rsidTr="00865C6E">
        <w:trPr>
          <w:trHeight w:val="300"/>
          <w:jc w:val="center"/>
        </w:trPr>
        <w:tc>
          <w:tcPr>
            <w:tcW w:w="1795" w:type="dxa"/>
            <w:shd w:val="clear" w:color="auto" w:fill="auto"/>
            <w:noWrap/>
            <w:vAlign w:val="bottom"/>
            <w:hideMark/>
          </w:tcPr>
          <w:p w14:paraId="285C6138" w14:textId="77777777" w:rsidR="00B57970" w:rsidRPr="00690EB0" w:rsidRDefault="00B57970" w:rsidP="00B57970">
            <w:pPr>
              <w:pStyle w:val="NoSpacing"/>
              <w:rPr>
                <w:sz w:val="20"/>
                <w:szCs w:val="20"/>
              </w:rPr>
            </w:pPr>
            <w:r w:rsidRPr="00690EB0">
              <w:rPr>
                <w:sz w:val="20"/>
                <w:szCs w:val="20"/>
              </w:rPr>
              <w:t>Prudhomme Creek</w:t>
            </w:r>
          </w:p>
        </w:tc>
        <w:tc>
          <w:tcPr>
            <w:tcW w:w="530" w:type="dxa"/>
            <w:shd w:val="clear" w:color="auto" w:fill="auto"/>
            <w:noWrap/>
            <w:vAlign w:val="bottom"/>
            <w:hideMark/>
          </w:tcPr>
          <w:p w14:paraId="7B0A7722" w14:textId="77777777" w:rsidR="00B57970" w:rsidRPr="00690EB0" w:rsidRDefault="00B57970" w:rsidP="00B57970">
            <w:pPr>
              <w:pStyle w:val="NoSpacing"/>
              <w:rPr>
                <w:sz w:val="20"/>
                <w:szCs w:val="20"/>
              </w:rPr>
            </w:pPr>
            <w:r w:rsidRPr="00690EB0">
              <w:rPr>
                <w:sz w:val="20"/>
                <w:szCs w:val="20"/>
              </w:rPr>
              <w:t>39</w:t>
            </w:r>
          </w:p>
        </w:tc>
        <w:tc>
          <w:tcPr>
            <w:tcW w:w="1272" w:type="dxa"/>
            <w:shd w:val="clear" w:color="auto" w:fill="auto"/>
            <w:noWrap/>
            <w:vAlign w:val="bottom"/>
            <w:hideMark/>
          </w:tcPr>
          <w:p w14:paraId="5B8952BA" w14:textId="77777777" w:rsidR="00B57970" w:rsidRPr="00690EB0" w:rsidRDefault="00B57970" w:rsidP="00B57970">
            <w:pPr>
              <w:pStyle w:val="NoSpacing"/>
              <w:rPr>
                <w:sz w:val="20"/>
                <w:szCs w:val="20"/>
              </w:rPr>
            </w:pPr>
            <w:r w:rsidRPr="00690EB0">
              <w:rPr>
                <w:sz w:val="20"/>
                <w:szCs w:val="20"/>
              </w:rPr>
              <w:t>2</w:t>
            </w:r>
          </w:p>
        </w:tc>
        <w:tc>
          <w:tcPr>
            <w:tcW w:w="1000" w:type="dxa"/>
            <w:shd w:val="clear" w:color="auto" w:fill="auto"/>
            <w:noWrap/>
            <w:vAlign w:val="bottom"/>
            <w:hideMark/>
          </w:tcPr>
          <w:p w14:paraId="3E37A1AE" w14:textId="77777777" w:rsidR="00B57970" w:rsidRPr="00690EB0" w:rsidRDefault="00B57970" w:rsidP="00B57970">
            <w:pPr>
              <w:pStyle w:val="NoSpacing"/>
              <w:rPr>
                <w:sz w:val="20"/>
                <w:szCs w:val="20"/>
              </w:rPr>
            </w:pPr>
            <w:r w:rsidRPr="00690EB0">
              <w:rPr>
                <w:sz w:val="20"/>
                <w:szCs w:val="20"/>
              </w:rPr>
              <w:t>7.66</w:t>
            </w:r>
          </w:p>
        </w:tc>
        <w:tc>
          <w:tcPr>
            <w:tcW w:w="1240" w:type="dxa"/>
            <w:shd w:val="clear" w:color="auto" w:fill="auto"/>
            <w:noWrap/>
            <w:vAlign w:val="bottom"/>
            <w:hideMark/>
          </w:tcPr>
          <w:p w14:paraId="77427091" w14:textId="77777777" w:rsidR="00B57970" w:rsidRPr="00690EB0" w:rsidRDefault="00B57970" w:rsidP="00B57970">
            <w:pPr>
              <w:pStyle w:val="NoSpacing"/>
              <w:rPr>
                <w:sz w:val="20"/>
                <w:szCs w:val="20"/>
              </w:rPr>
            </w:pPr>
            <w:r w:rsidRPr="00690EB0">
              <w:rPr>
                <w:sz w:val="20"/>
                <w:szCs w:val="20"/>
              </w:rPr>
              <w:t>22.3</w:t>
            </w:r>
          </w:p>
        </w:tc>
        <w:tc>
          <w:tcPr>
            <w:tcW w:w="823" w:type="dxa"/>
            <w:shd w:val="clear" w:color="auto" w:fill="auto"/>
            <w:noWrap/>
            <w:vAlign w:val="bottom"/>
            <w:hideMark/>
          </w:tcPr>
          <w:p w14:paraId="4AE55B25" w14:textId="77777777" w:rsidR="00B57970" w:rsidRPr="00690EB0" w:rsidRDefault="00B57970" w:rsidP="00B57970">
            <w:pPr>
              <w:pStyle w:val="NoSpacing"/>
              <w:rPr>
                <w:sz w:val="20"/>
                <w:szCs w:val="20"/>
              </w:rPr>
            </w:pPr>
            <w:r w:rsidRPr="00690EB0">
              <w:rPr>
                <w:sz w:val="20"/>
                <w:szCs w:val="20"/>
              </w:rPr>
              <w:t>32.6</w:t>
            </w:r>
          </w:p>
        </w:tc>
        <w:tc>
          <w:tcPr>
            <w:tcW w:w="1557" w:type="dxa"/>
            <w:shd w:val="clear" w:color="auto" w:fill="auto"/>
            <w:noWrap/>
            <w:vAlign w:val="bottom"/>
            <w:hideMark/>
          </w:tcPr>
          <w:p w14:paraId="5BE666A4" w14:textId="77777777" w:rsidR="00B57970" w:rsidRPr="00690EB0" w:rsidRDefault="00B57970" w:rsidP="00B57970">
            <w:pPr>
              <w:pStyle w:val="NoSpacing"/>
              <w:rPr>
                <w:sz w:val="20"/>
                <w:szCs w:val="20"/>
              </w:rPr>
            </w:pPr>
            <w:r w:rsidRPr="00690EB0">
              <w:rPr>
                <w:sz w:val="20"/>
                <w:szCs w:val="20"/>
              </w:rPr>
              <w:t>94.9%</w:t>
            </w:r>
          </w:p>
        </w:tc>
        <w:tc>
          <w:tcPr>
            <w:tcW w:w="1200" w:type="dxa"/>
            <w:shd w:val="clear" w:color="auto" w:fill="auto"/>
            <w:noWrap/>
            <w:vAlign w:val="bottom"/>
            <w:hideMark/>
          </w:tcPr>
          <w:p w14:paraId="30FC975E" w14:textId="77777777" w:rsidR="00B57970" w:rsidRPr="00690EB0" w:rsidRDefault="00B57970" w:rsidP="00B57970">
            <w:pPr>
              <w:pStyle w:val="NoSpacing"/>
              <w:rPr>
                <w:sz w:val="20"/>
                <w:szCs w:val="20"/>
              </w:rPr>
            </w:pPr>
            <w:r w:rsidRPr="00690EB0">
              <w:rPr>
                <w:sz w:val="20"/>
                <w:szCs w:val="20"/>
              </w:rPr>
              <w:t>132</w:t>
            </w:r>
          </w:p>
        </w:tc>
      </w:tr>
      <w:tr w:rsidR="00B57970" w:rsidRPr="00690EB0" w14:paraId="16E91853" w14:textId="77777777" w:rsidTr="00B57970">
        <w:trPr>
          <w:trHeight w:val="300"/>
          <w:jc w:val="center"/>
        </w:trPr>
        <w:tc>
          <w:tcPr>
            <w:tcW w:w="9417" w:type="dxa"/>
            <w:gridSpan w:val="8"/>
            <w:shd w:val="clear" w:color="auto" w:fill="D9D9D9" w:themeFill="background1" w:themeFillShade="D9"/>
          </w:tcPr>
          <w:p w14:paraId="0B9CBC1B" w14:textId="77777777" w:rsidR="00B57970" w:rsidRPr="00EB6F20" w:rsidRDefault="00B57970" w:rsidP="00B57970">
            <w:pPr>
              <w:pStyle w:val="NoSpacing"/>
              <w:jc w:val="center"/>
              <w:rPr>
                <w:b/>
                <w:sz w:val="20"/>
                <w:szCs w:val="20"/>
              </w:rPr>
            </w:pPr>
            <w:r w:rsidRPr="00EB6F20">
              <w:rPr>
                <w:b/>
                <w:sz w:val="20"/>
                <w:szCs w:val="20"/>
              </w:rPr>
              <w:t>Thiamethoxam</w:t>
            </w:r>
          </w:p>
        </w:tc>
      </w:tr>
      <w:tr w:rsidR="00B57970" w:rsidRPr="00690EB0" w14:paraId="4FE9E9DB" w14:textId="77777777" w:rsidTr="00865C6E">
        <w:trPr>
          <w:trHeight w:val="300"/>
          <w:jc w:val="center"/>
        </w:trPr>
        <w:tc>
          <w:tcPr>
            <w:tcW w:w="1795" w:type="dxa"/>
            <w:shd w:val="clear" w:color="auto" w:fill="auto"/>
            <w:noWrap/>
            <w:vAlign w:val="bottom"/>
          </w:tcPr>
          <w:p w14:paraId="0756EAB1" w14:textId="77777777" w:rsidR="00B57970" w:rsidRPr="00690EB0" w:rsidRDefault="00B57970" w:rsidP="00B57970">
            <w:pPr>
              <w:pStyle w:val="NoSpacing"/>
              <w:rPr>
                <w:sz w:val="20"/>
                <w:szCs w:val="20"/>
              </w:rPr>
            </w:pPr>
            <w:r w:rsidRPr="00690EB0">
              <w:rPr>
                <w:sz w:val="20"/>
                <w:szCs w:val="20"/>
              </w:rPr>
              <w:t>Twenty Mile Creek</w:t>
            </w:r>
          </w:p>
        </w:tc>
        <w:tc>
          <w:tcPr>
            <w:tcW w:w="530" w:type="dxa"/>
            <w:shd w:val="clear" w:color="auto" w:fill="auto"/>
            <w:noWrap/>
            <w:vAlign w:val="bottom"/>
          </w:tcPr>
          <w:p w14:paraId="2C76472B" w14:textId="77777777" w:rsidR="00B57970" w:rsidRPr="00690EB0" w:rsidRDefault="00B57970" w:rsidP="00B57970">
            <w:pPr>
              <w:pStyle w:val="NoSpacing"/>
              <w:rPr>
                <w:sz w:val="20"/>
                <w:szCs w:val="20"/>
              </w:rPr>
            </w:pPr>
            <w:r w:rsidRPr="00690EB0">
              <w:rPr>
                <w:sz w:val="20"/>
                <w:szCs w:val="20"/>
              </w:rPr>
              <w:t>36</w:t>
            </w:r>
          </w:p>
        </w:tc>
        <w:tc>
          <w:tcPr>
            <w:tcW w:w="1272" w:type="dxa"/>
            <w:shd w:val="clear" w:color="auto" w:fill="auto"/>
            <w:noWrap/>
            <w:vAlign w:val="bottom"/>
          </w:tcPr>
          <w:p w14:paraId="5094FF4E" w14:textId="77777777" w:rsidR="00B57970" w:rsidRPr="00690EB0" w:rsidRDefault="00B57970" w:rsidP="00B57970">
            <w:pPr>
              <w:pStyle w:val="NoSpacing"/>
              <w:rPr>
                <w:sz w:val="20"/>
                <w:szCs w:val="20"/>
              </w:rPr>
            </w:pPr>
            <w:r w:rsidRPr="00690EB0">
              <w:rPr>
                <w:sz w:val="20"/>
                <w:szCs w:val="20"/>
              </w:rPr>
              <w:t>0</w:t>
            </w:r>
          </w:p>
        </w:tc>
        <w:tc>
          <w:tcPr>
            <w:tcW w:w="1000" w:type="dxa"/>
            <w:shd w:val="clear" w:color="auto" w:fill="auto"/>
            <w:noWrap/>
            <w:vAlign w:val="bottom"/>
          </w:tcPr>
          <w:p w14:paraId="7F13467F" w14:textId="77777777" w:rsidR="00B57970" w:rsidRPr="00690EB0" w:rsidRDefault="00B57970" w:rsidP="00B57970">
            <w:pPr>
              <w:pStyle w:val="NoSpacing"/>
              <w:rPr>
                <w:sz w:val="20"/>
                <w:szCs w:val="20"/>
              </w:rPr>
            </w:pPr>
            <w:r w:rsidRPr="00690EB0">
              <w:rPr>
                <w:sz w:val="20"/>
                <w:szCs w:val="20"/>
              </w:rPr>
              <w:t>50.4</w:t>
            </w:r>
          </w:p>
        </w:tc>
        <w:tc>
          <w:tcPr>
            <w:tcW w:w="1240" w:type="dxa"/>
            <w:shd w:val="clear" w:color="auto" w:fill="auto"/>
            <w:noWrap/>
            <w:vAlign w:val="bottom"/>
          </w:tcPr>
          <w:p w14:paraId="21847D4F" w14:textId="77777777" w:rsidR="00B57970" w:rsidRPr="00690EB0" w:rsidRDefault="00B57970" w:rsidP="00B57970">
            <w:pPr>
              <w:pStyle w:val="NoSpacing"/>
              <w:rPr>
                <w:sz w:val="20"/>
                <w:szCs w:val="20"/>
              </w:rPr>
            </w:pPr>
            <w:r w:rsidRPr="00690EB0">
              <w:rPr>
                <w:sz w:val="20"/>
                <w:szCs w:val="20"/>
              </w:rPr>
              <w:t>172</w:t>
            </w:r>
          </w:p>
        </w:tc>
        <w:tc>
          <w:tcPr>
            <w:tcW w:w="823" w:type="dxa"/>
            <w:shd w:val="clear" w:color="auto" w:fill="auto"/>
            <w:noWrap/>
            <w:vAlign w:val="bottom"/>
          </w:tcPr>
          <w:p w14:paraId="72C80D3F" w14:textId="77777777" w:rsidR="00B57970" w:rsidRPr="00690EB0" w:rsidRDefault="00B57970" w:rsidP="00B57970">
            <w:pPr>
              <w:pStyle w:val="NoSpacing"/>
              <w:rPr>
                <w:sz w:val="20"/>
                <w:szCs w:val="20"/>
              </w:rPr>
            </w:pPr>
            <w:r w:rsidRPr="00690EB0">
              <w:rPr>
                <w:sz w:val="20"/>
                <w:szCs w:val="20"/>
              </w:rPr>
              <w:t>266</w:t>
            </w:r>
          </w:p>
        </w:tc>
        <w:tc>
          <w:tcPr>
            <w:tcW w:w="1557" w:type="dxa"/>
            <w:shd w:val="clear" w:color="auto" w:fill="auto"/>
            <w:noWrap/>
            <w:vAlign w:val="bottom"/>
          </w:tcPr>
          <w:p w14:paraId="7FB12A03" w14:textId="77777777" w:rsidR="00B57970" w:rsidRPr="00690EB0" w:rsidRDefault="00B57970" w:rsidP="00B57970">
            <w:pPr>
              <w:pStyle w:val="NoSpacing"/>
              <w:rPr>
                <w:sz w:val="20"/>
                <w:szCs w:val="20"/>
              </w:rPr>
            </w:pPr>
            <w:r w:rsidRPr="00690EB0">
              <w:rPr>
                <w:sz w:val="20"/>
                <w:szCs w:val="20"/>
              </w:rPr>
              <w:t>100.0%</w:t>
            </w:r>
          </w:p>
        </w:tc>
        <w:tc>
          <w:tcPr>
            <w:tcW w:w="1200" w:type="dxa"/>
            <w:shd w:val="clear" w:color="auto" w:fill="auto"/>
            <w:noWrap/>
            <w:vAlign w:val="bottom"/>
          </w:tcPr>
          <w:p w14:paraId="4AA5A64E" w14:textId="77777777" w:rsidR="00B57970" w:rsidRPr="00690EB0" w:rsidRDefault="00B57970" w:rsidP="00B57970">
            <w:pPr>
              <w:pStyle w:val="NoSpacing"/>
              <w:rPr>
                <w:sz w:val="20"/>
                <w:szCs w:val="20"/>
              </w:rPr>
            </w:pPr>
            <w:r w:rsidRPr="00690EB0">
              <w:rPr>
                <w:sz w:val="20"/>
                <w:szCs w:val="20"/>
              </w:rPr>
              <w:t>1340</w:t>
            </w:r>
          </w:p>
        </w:tc>
      </w:tr>
      <w:tr w:rsidR="00B57970" w:rsidRPr="00690EB0" w14:paraId="0AF71AD9" w14:textId="77777777" w:rsidTr="00865C6E">
        <w:trPr>
          <w:trHeight w:val="300"/>
          <w:jc w:val="center"/>
        </w:trPr>
        <w:tc>
          <w:tcPr>
            <w:tcW w:w="1795" w:type="dxa"/>
            <w:shd w:val="clear" w:color="auto" w:fill="auto"/>
            <w:noWrap/>
            <w:vAlign w:val="bottom"/>
          </w:tcPr>
          <w:p w14:paraId="5BBD697F" w14:textId="77777777" w:rsidR="00B57970" w:rsidRPr="00690EB0" w:rsidRDefault="00B57970" w:rsidP="00B57970">
            <w:pPr>
              <w:pStyle w:val="NoSpacing"/>
              <w:rPr>
                <w:sz w:val="20"/>
                <w:szCs w:val="20"/>
              </w:rPr>
            </w:pPr>
            <w:r w:rsidRPr="00690EB0">
              <w:rPr>
                <w:sz w:val="20"/>
                <w:szCs w:val="20"/>
              </w:rPr>
              <w:t>Two Mile Creek</w:t>
            </w:r>
          </w:p>
        </w:tc>
        <w:tc>
          <w:tcPr>
            <w:tcW w:w="530" w:type="dxa"/>
            <w:shd w:val="clear" w:color="auto" w:fill="auto"/>
            <w:noWrap/>
            <w:vAlign w:val="bottom"/>
          </w:tcPr>
          <w:p w14:paraId="0C851F68" w14:textId="77777777" w:rsidR="00B57970" w:rsidRPr="00690EB0" w:rsidRDefault="00B57970" w:rsidP="00B57970">
            <w:pPr>
              <w:pStyle w:val="NoSpacing"/>
              <w:rPr>
                <w:sz w:val="20"/>
                <w:szCs w:val="20"/>
              </w:rPr>
            </w:pPr>
            <w:r w:rsidRPr="00690EB0">
              <w:rPr>
                <w:sz w:val="20"/>
                <w:szCs w:val="20"/>
              </w:rPr>
              <w:t>42</w:t>
            </w:r>
          </w:p>
        </w:tc>
        <w:tc>
          <w:tcPr>
            <w:tcW w:w="1272" w:type="dxa"/>
            <w:shd w:val="clear" w:color="auto" w:fill="auto"/>
            <w:noWrap/>
            <w:vAlign w:val="bottom"/>
          </w:tcPr>
          <w:p w14:paraId="6A128C54" w14:textId="77777777" w:rsidR="00B57970" w:rsidRPr="00690EB0" w:rsidRDefault="00B57970" w:rsidP="00B57970">
            <w:pPr>
              <w:pStyle w:val="NoSpacing"/>
              <w:rPr>
                <w:sz w:val="20"/>
                <w:szCs w:val="20"/>
              </w:rPr>
            </w:pPr>
            <w:r w:rsidRPr="00690EB0">
              <w:rPr>
                <w:sz w:val="20"/>
                <w:szCs w:val="20"/>
              </w:rPr>
              <w:t>26</w:t>
            </w:r>
          </w:p>
        </w:tc>
        <w:tc>
          <w:tcPr>
            <w:tcW w:w="1000" w:type="dxa"/>
            <w:shd w:val="clear" w:color="auto" w:fill="auto"/>
            <w:noWrap/>
            <w:vAlign w:val="bottom"/>
          </w:tcPr>
          <w:p w14:paraId="649E7184" w14:textId="77777777" w:rsidR="00B57970" w:rsidRPr="00690EB0" w:rsidRDefault="00B57970" w:rsidP="00B57970">
            <w:pPr>
              <w:pStyle w:val="NoSpacing"/>
              <w:rPr>
                <w:sz w:val="20"/>
                <w:szCs w:val="20"/>
              </w:rPr>
            </w:pPr>
            <w:r w:rsidRPr="00690EB0">
              <w:rPr>
                <w:sz w:val="20"/>
                <w:szCs w:val="20"/>
              </w:rPr>
              <w:t>&lt;1.39</w:t>
            </w:r>
          </w:p>
        </w:tc>
        <w:tc>
          <w:tcPr>
            <w:tcW w:w="1240" w:type="dxa"/>
            <w:shd w:val="clear" w:color="auto" w:fill="auto"/>
            <w:noWrap/>
            <w:vAlign w:val="bottom"/>
          </w:tcPr>
          <w:p w14:paraId="2D75D096" w14:textId="77777777" w:rsidR="00B57970" w:rsidRPr="00690EB0" w:rsidRDefault="00B57970" w:rsidP="00B57970">
            <w:pPr>
              <w:pStyle w:val="NoSpacing"/>
              <w:rPr>
                <w:sz w:val="20"/>
                <w:szCs w:val="20"/>
              </w:rPr>
            </w:pPr>
            <w:r w:rsidRPr="00690EB0">
              <w:rPr>
                <w:sz w:val="20"/>
                <w:szCs w:val="20"/>
              </w:rPr>
              <w:t>5.79</w:t>
            </w:r>
          </w:p>
        </w:tc>
        <w:tc>
          <w:tcPr>
            <w:tcW w:w="823" w:type="dxa"/>
            <w:shd w:val="clear" w:color="auto" w:fill="auto"/>
            <w:noWrap/>
            <w:vAlign w:val="bottom"/>
          </w:tcPr>
          <w:p w14:paraId="1BCFD918" w14:textId="77777777" w:rsidR="00B57970" w:rsidRPr="00690EB0" w:rsidRDefault="00B57970" w:rsidP="00B57970">
            <w:pPr>
              <w:pStyle w:val="NoSpacing"/>
              <w:rPr>
                <w:sz w:val="20"/>
                <w:szCs w:val="20"/>
              </w:rPr>
            </w:pPr>
            <w:r w:rsidRPr="00690EB0">
              <w:rPr>
                <w:sz w:val="20"/>
                <w:szCs w:val="20"/>
              </w:rPr>
              <w:t>6.75</w:t>
            </w:r>
          </w:p>
        </w:tc>
        <w:tc>
          <w:tcPr>
            <w:tcW w:w="1557" w:type="dxa"/>
            <w:shd w:val="clear" w:color="auto" w:fill="auto"/>
            <w:noWrap/>
            <w:vAlign w:val="bottom"/>
          </w:tcPr>
          <w:p w14:paraId="0FC835F4" w14:textId="77777777" w:rsidR="00B57970" w:rsidRPr="00690EB0" w:rsidRDefault="00B57970" w:rsidP="00B57970">
            <w:pPr>
              <w:pStyle w:val="NoSpacing"/>
              <w:rPr>
                <w:sz w:val="20"/>
                <w:szCs w:val="20"/>
              </w:rPr>
            </w:pPr>
            <w:r w:rsidRPr="00690EB0">
              <w:rPr>
                <w:sz w:val="20"/>
                <w:szCs w:val="20"/>
              </w:rPr>
              <w:t>38.1%</w:t>
            </w:r>
          </w:p>
        </w:tc>
        <w:tc>
          <w:tcPr>
            <w:tcW w:w="1200" w:type="dxa"/>
            <w:shd w:val="clear" w:color="auto" w:fill="auto"/>
            <w:noWrap/>
            <w:vAlign w:val="bottom"/>
          </w:tcPr>
          <w:p w14:paraId="0ECA8904" w14:textId="77777777" w:rsidR="00B57970" w:rsidRPr="00690EB0" w:rsidRDefault="00B57970" w:rsidP="00B57970">
            <w:pPr>
              <w:pStyle w:val="NoSpacing"/>
              <w:rPr>
                <w:sz w:val="20"/>
                <w:szCs w:val="20"/>
              </w:rPr>
            </w:pPr>
            <w:r w:rsidRPr="00690EB0">
              <w:rPr>
                <w:sz w:val="20"/>
                <w:szCs w:val="20"/>
              </w:rPr>
              <w:t>25.1</w:t>
            </w:r>
          </w:p>
        </w:tc>
      </w:tr>
      <w:tr w:rsidR="00B57970" w:rsidRPr="00690EB0" w14:paraId="1C4D729D" w14:textId="77777777" w:rsidTr="00865C6E">
        <w:trPr>
          <w:trHeight w:val="300"/>
          <w:jc w:val="center"/>
        </w:trPr>
        <w:tc>
          <w:tcPr>
            <w:tcW w:w="1795" w:type="dxa"/>
            <w:shd w:val="clear" w:color="auto" w:fill="auto"/>
            <w:noWrap/>
            <w:vAlign w:val="bottom"/>
          </w:tcPr>
          <w:p w14:paraId="44CDB9BE" w14:textId="77777777" w:rsidR="00B57970" w:rsidRPr="00690EB0" w:rsidRDefault="00B57970" w:rsidP="00B57970">
            <w:pPr>
              <w:pStyle w:val="NoSpacing"/>
              <w:rPr>
                <w:sz w:val="20"/>
                <w:szCs w:val="20"/>
              </w:rPr>
            </w:pPr>
            <w:r w:rsidRPr="00690EB0">
              <w:rPr>
                <w:sz w:val="20"/>
                <w:szCs w:val="20"/>
              </w:rPr>
              <w:t>Four Mile Creek</w:t>
            </w:r>
          </w:p>
        </w:tc>
        <w:tc>
          <w:tcPr>
            <w:tcW w:w="530" w:type="dxa"/>
            <w:shd w:val="clear" w:color="auto" w:fill="auto"/>
            <w:noWrap/>
            <w:vAlign w:val="bottom"/>
          </w:tcPr>
          <w:p w14:paraId="235B8FBB" w14:textId="77777777" w:rsidR="00B57970" w:rsidRPr="00690EB0" w:rsidRDefault="00B57970" w:rsidP="00B57970">
            <w:pPr>
              <w:pStyle w:val="NoSpacing"/>
              <w:rPr>
                <w:sz w:val="20"/>
                <w:szCs w:val="20"/>
              </w:rPr>
            </w:pPr>
            <w:r w:rsidRPr="00690EB0">
              <w:rPr>
                <w:sz w:val="20"/>
                <w:szCs w:val="20"/>
              </w:rPr>
              <w:t>41</w:t>
            </w:r>
          </w:p>
        </w:tc>
        <w:tc>
          <w:tcPr>
            <w:tcW w:w="1272" w:type="dxa"/>
            <w:shd w:val="clear" w:color="auto" w:fill="auto"/>
            <w:noWrap/>
            <w:vAlign w:val="bottom"/>
          </w:tcPr>
          <w:p w14:paraId="0AA5CD62" w14:textId="77777777" w:rsidR="00B57970" w:rsidRPr="00690EB0" w:rsidRDefault="00B57970" w:rsidP="00B57970">
            <w:pPr>
              <w:pStyle w:val="NoSpacing"/>
              <w:rPr>
                <w:sz w:val="20"/>
                <w:szCs w:val="20"/>
              </w:rPr>
            </w:pPr>
            <w:r w:rsidRPr="00690EB0">
              <w:rPr>
                <w:sz w:val="20"/>
                <w:szCs w:val="20"/>
              </w:rPr>
              <w:t>15</w:t>
            </w:r>
          </w:p>
        </w:tc>
        <w:tc>
          <w:tcPr>
            <w:tcW w:w="1000" w:type="dxa"/>
            <w:shd w:val="clear" w:color="auto" w:fill="auto"/>
            <w:noWrap/>
            <w:vAlign w:val="bottom"/>
          </w:tcPr>
          <w:p w14:paraId="15C4D0EA" w14:textId="77777777" w:rsidR="00B57970" w:rsidRPr="00690EB0" w:rsidRDefault="00B57970" w:rsidP="00B57970">
            <w:pPr>
              <w:pStyle w:val="NoSpacing"/>
              <w:rPr>
                <w:sz w:val="20"/>
                <w:szCs w:val="20"/>
              </w:rPr>
            </w:pPr>
            <w:r w:rsidRPr="00690EB0">
              <w:rPr>
                <w:sz w:val="20"/>
                <w:szCs w:val="20"/>
              </w:rPr>
              <w:t>4.01</w:t>
            </w:r>
          </w:p>
        </w:tc>
        <w:tc>
          <w:tcPr>
            <w:tcW w:w="1240" w:type="dxa"/>
            <w:shd w:val="clear" w:color="auto" w:fill="auto"/>
            <w:noWrap/>
            <w:vAlign w:val="bottom"/>
          </w:tcPr>
          <w:p w14:paraId="3A8F7035" w14:textId="77777777" w:rsidR="00B57970" w:rsidRPr="00690EB0" w:rsidRDefault="00B57970" w:rsidP="00B57970">
            <w:pPr>
              <w:pStyle w:val="NoSpacing"/>
              <w:rPr>
                <w:sz w:val="20"/>
                <w:szCs w:val="20"/>
              </w:rPr>
            </w:pPr>
            <w:r w:rsidRPr="00690EB0">
              <w:rPr>
                <w:sz w:val="20"/>
                <w:szCs w:val="20"/>
              </w:rPr>
              <w:t>17.8</w:t>
            </w:r>
          </w:p>
        </w:tc>
        <w:tc>
          <w:tcPr>
            <w:tcW w:w="823" w:type="dxa"/>
            <w:shd w:val="clear" w:color="auto" w:fill="auto"/>
            <w:noWrap/>
            <w:vAlign w:val="bottom"/>
          </w:tcPr>
          <w:p w14:paraId="2BD07ADF" w14:textId="77777777" w:rsidR="00B57970" w:rsidRPr="00690EB0" w:rsidRDefault="00B57970" w:rsidP="00B57970">
            <w:pPr>
              <w:pStyle w:val="NoSpacing"/>
              <w:rPr>
                <w:sz w:val="20"/>
                <w:szCs w:val="20"/>
              </w:rPr>
            </w:pPr>
            <w:r w:rsidRPr="00690EB0">
              <w:rPr>
                <w:sz w:val="20"/>
                <w:szCs w:val="20"/>
              </w:rPr>
              <w:t>30</w:t>
            </w:r>
          </w:p>
        </w:tc>
        <w:tc>
          <w:tcPr>
            <w:tcW w:w="1557" w:type="dxa"/>
            <w:shd w:val="clear" w:color="auto" w:fill="auto"/>
            <w:noWrap/>
            <w:vAlign w:val="bottom"/>
          </w:tcPr>
          <w:p w14:paraId="780679C7" w14:textId="77777777" w:rsidR="00B57970" w:rsidRPr="00690EB0" w:rsidRDefault="00B57970" w:rsidP="00B57970">
            <w:pPr>
              <w:pStyle w:val="NoSpacing"/>
              <w:rPr>
                <w:sz w:val="20"/>
                <w:szCs w:val="20"/>
              </w:rPr>
            </w:pPr>
            <w:r w:rsidRPr="00690EB0">
              <w:rPr>
                <w:sz w:val="20"/>
                <w:szCs w:val="20"/>
              </w:rPr>
              <w:t>63.4%</w:t>
            </w:r>
          </w:p>
        </w:tc>
        <w:tc>
          <w:tcPr>
            <w:tcW w:w="1200" w:type="dxa"/>
            <w:shd w:val="clear" w:color="auto" w:fill="auto"/>
            <w:noWrap/>
            <w:vAlign w:val="bottom"/>
          </w:tcPr>
          <w:p w14:paraId="2B7AAD0C" w14:textId="77777777" w:rsidR="00B57970" w:rsidRPr="00690EB0" w:rsidRDefault="00B57970" w:rsidP="00B57970">
            <w:pPr>
              <w:pStyle w:val="NoSpacing"/>
              <w:rPr>
                <w:sz w:val="20"/>
                <w:szCs w:val="20"/>
              </w:rPr>
            </w:pPr>
            <w:r w:rsidRPr="00690EB0">
              <w:rPr>
                <w:sz w:val="20"/>
                <w:szCs w:val="20"/>
              </w:rPr>
              <w:t>123</w:t>
            </w:r>
          </w:p>
        </w:tc>
      </w:tr>
      <w:tr w:rsidR="00B57970" w:rsidRPr="00690EB0" w14:paraId="15D47E39" w14:textId="77777777" w:rsidTr="00865C6E">
        <w:trPr>
          <w:trHeight w:val="300"/>
          <w:jc w:val="center"/>
        </w:trPr>
        <w:tc>
          <w:tcPr>
            <w:tcW w:w="1795" w:type="dxa"/>
            <w:shd w:val="clear" w:color="auto" w:fill="auto"/>
            <w:noWrap/>
            <w:vAlign w:val="bottom"/>
          </w:tcPr>
          <w:p w14:paraId="6232AEED" w14:textId="77777777" w:rsidR="00B57970" w:rsidRPr="00690EB0" w:rsidRDefault="00B57970" w:rsidP="00B57970">
            <w:pPr>
              <w:pStyle w:val="NoSpacing"/>
              <w:rPr>
                <w:sz w:val="20"/>
                <w:szCs w:val="20"/>
              </w:rPr>
            </w:pPr>
            <w:r w:rsidRPr="00690EB0">
              <w:rPr>
                <w:sz w:val="20"/>
                <w:szCs w:val="20"/>
              </w:rPr>
              <w:t>Big Creek</w:t>
            </w:r>
          </w:p>
        </w:tc>
        <w:tc>
          <w:tcPr>
            <w:tcW w:w="530" w:type="dxa"/>
            <w:shd w:val="clear" w:color="auto" w:fill="auto"/>
            <w:noWrap/>
            <w:vAlign w:val="bottom"/>
          </w:tcPr>
          <w:p w14:paraId="4D6D9549" w14:textId="77777777" w:rsidR="00B57970" w:rsidRPr="00690EB0" w:rsidRDefault="00B57970" w:rsidP="00B57970">
            <w:pPr>
              <w:pStyle w:val="NoSpacing"/>
              <w:rPr>
                <w:sz w:val="20"/>
                <w:szCs w:val="20"/>
              </w:rPr>
            </w:pPr>
            <w:r w:rsidRPr="00690EB0">
              <w:rPr>
                <w:sz w:val="20"/>
                <w:szCs w:val="20"/>
              </w:rPr>
              <w:t>14</w:t>
            </w:r>
          </w:p>
        </w:tc>
        <w:tc>
          <w:tcPr>
            <w:tcW w:w="1272" w:type="dxa"/>
            <w:shd w:val="clear" w:color="auto" w:fill="auto"/>
            <w:noWrap/>
            <w:vAlign w:val="bottom"/>
          </w:tcPr>
          <w:p w14:paraId="0004ED89" w14:textId="77777777" w:rsidR="00B57970" w:rsidRPr="00690EB0" w:rsidRDefault="00B57970" w:rsidP="00B57970">
            <w:pPr>
              <w:pStyle w:val="NoSpacing"/>
              <w:rPr>
                <w:sz w:val="20"/>
                <w:szCs w:val="20"/>
              </w:rPr>
            </w:pPr>
            <w:r w:rsidRPr="00690EB0">
              <w:rPr>
                <w:sz w:val="20"/>
                <w:szCs w:val="20"/>
              </w:rPr>
              <w:t>8</w:t>
            </w:r>
          </w:p>
        </w:tc>
        <w:tc>
          <w:tcPr>
            <w:tcW w:w="1000" w:type="dxa"/>
            <w:shd w:val="clear" w:color="auto" w:fill="auto"/>
            <w:noWrap/>
            <w:vAlign w:val="bottom"/>
          </w:tcPr>
          <w:p w14:paraId="58195658" w14:textId="77777777" w:rsidR="00B57970" w:rsidRPr="00690EB0" w:rsidRDefault="00B57970" w:rsidP="00B57970">
            <w:pPr>
              <w:pStyle w:val="NoSpacing"/>
              <w:rPr>
                <w:sz w:val="20"/>
                <w:szCs w:val="20"/>
              </w:rPr>
            </w:pPr>
            <w:r w:rsidRPr="00690EB0">
              <w:rPr>
                <w:sz w:val="20"/>
                <w:szCs w:val="20"/>
              </w:rPr>
              <w:t>&lt;1.39</w:t>
            </w:r>
          </w:p>
        </w:tc>
        <w:tc>
          <w:tcPr>
            <w:tcW w:w="1240" w:type="dxa"/>
            <w:shd w:val="clear" w:color="auto" w:fill="auto"/>
            <w:noWrap/>
            <w:vAlign w:val="bottom"/>
          </w:tcPr>
          <w:p w14:paraId="5F1242F0" w14:textId="77777777" w:rsidR="00B57970" w:rsidRPr="00690EB0" w:rsidRDefault="00B57970" w:rsidP="00B57970">
            <w:pPr>
              <w:pStyle w:val="NoSpacing"/>
              <w:rPr>
                <w:sz w:val="20"/>
                <w:szCs w:val="20"/>
              </w:rPr>
            </w:pPr>
            <w:r w:rsidRPr="00690EB0">
              <w:rPr>
                <w:sz w:val="20"/>
                <w:szCs w:val="20"/>
              </w:rPr>
              <w:t>4.69</w:t>
            </w:r>
          </w:p>
        </w:tc>
        <w:tc>
          <w:tcPr>
            <w:tcW w:w="823" w:type="dxa"/>
            <w:shd w:val="clear" w:color="auto" w:fill="auto"/>
            <w:noWrap/>
            <w:vAlign w:val="bottom"/>
          </w:tcPr>
          <w:p w14:paraId="5A9ED823" w14:textId="77777777" w:rsidR="00B57970" w:rsidRPr="00690EB0" w:rsidRDefault="00B57970" w:rsidP="00B57970">
            <w:pPr>
              <w:pStyle w:val="NoSpacing"/>
              <w:rPr>
                <w:sz w:val="20"/>
                <w:szCs w:val="20"/>
              </w:rPr>
            </w:pPr>
            <w:r w:rsidRPr="00690EB0">
              <w:rPr>
                <w:sz w:val="20"/>
                <w:szCs w:val="20"/>
              </w:rPr>
              <w:t>11.2</w:t>
            </w:r>
          </w:p>
        </w:tc>
        <w:tc>
          <w:tcPr>
            <w:tcW w:w="1557" w:type="dxa"/>
            <w:shd w:val="clear" w:color="auto" w:fill="auto"/>
            <w:noWrap/>
            <w:vAlign w:val="bottom"/>
          </w:tcPr>
          <w:p w14:paraId="1AD6A696" w14:textId="77777777" w:rsidR="00B57970" w:rsidRPr="00690EB0" w:rsidRDefault="00B57970" w:rsidP="00B57970">
            <w:pPr>
              <w:pStyle w:val="NoSpacing"/>
              <w:rPr>
                <w:sz w:val="20"/>
                <w:szCs w:val="20"/>
              </w:rPr>
            </w:pPr>
            <w:r w:rsidRPr="00690EB0">
              <w:rPr>
                <w:sz w:val="20"/>
                <w:szCs w:val="20"/>
              </w:rPr>
              <w:t>42.9%</w:t>
            </w:r>
          </w:p>
        </w:tc>
        <w:tc>
          <w:tcPr>
            <w:tcW w:w="1200" w:type="dxa"/>
            <w:shd w:val="clear" w:color="auto" w:fill="auto"/>
            <w:noWrap/>
            <w:vAlign w:val="bottom"/>
          </w:tcPr>
          <w:p w14:paraId="37C1833D" w14:textId="77777777" w:rsidR="00B57970" w:rsidRPr="00690EB0" w:rsidRDefault="00B57970" w:rsidP="00B57970">
            <w:pPr>
              <w:pStyle w:val="NoSpacing"/>
              <w:rPr>
                <w:sz w:val="20"/>
                <w:szCs w:val="20"/>
              </w:rPr>
            </w:pPr>
            <w:r w:rsidRPr="00690EB0">
              <w:rPr>
                <w:sz w:val="20"/>
                <w:szCs w:val="20"/>
              </w:rPr>
              <w:t>41.5</w:t>
            </w:r>
          </w:p>
        </w:tc>
      </w:tr>
      <w:tr w:rsidR="00B57970" w:rsidRPr="00690EB0" w14:paraId="0FA6AF0C" w14:textId="77777777" w:rsidTr="00865C6E">
        <w:trPr>
          <w:trHeight w:val="300"/>
          <w:jc w:val="center"/>
        </w:trPr>
        <w:tc>
          <w:tcPr>
            <w:tcW w:w="1795" w:type="dxa"/>
            <w:shd w:val="clear" w:color="auto" w:fill="auto"/>
            <w:noWrap/>
            <w:vAlign w:val="bottom"/>
          </w:tcPr>
          <w:p w14:paraId="13FB19FD" w14:textId="77777777" w:rsidR="00B57970" w:rsidRPr="00690EB0" w:rsidRDefault="00B57970" w:rsidP="00B57970">
            <w:pPr>
              <w:pStyle w:val="NoSpacing"/>
              <w:rPr>
                <w:sz w:val="20"/>
                <w:szCs w:val="20"/>
              </w:rPr>
            </w:pPr>
            <w:r w:rsidRPr="00690EB0">
              <w:rPr>
                <w:sz w:val="20"/>
                <w:szCs w:val="20"/>
              </w:rPr>
              <w:t>West Holland River</w:t>
            </w:r>
          </w:p>
        </w:tc>
        <w:tc>
          <w:tcPr>
            <w:tcW w:w="530" w:type="dxa"/>
            <w:shd w:val="clear" w:color="auto" w:fill="auto"/>
            <w:noWrap/>
            <w:vAlign w:val="bottom"/>
          </w:tcPr>
          <w:p w14:paraId="2320CB1D" w14:textId="77777777" w:rsidR="00B57970" w:rsidRPr="00690EB0" w:rsidRDefault="00B57970" w:rsidP="00B57970">
            <w:pPr>
              <w:pStyle w:val="NoSpacing"/>
              <w:rPr>
                <w:sz w:val="20"/>
                <w:szCs w:val="20"/>
              </w:rPr>
            </w:pPr>
            <w:r w:rsidRPr="00690EB0">
              <w:rPr>
                <w:sz w:val="20"/>
                <w:szCs w:val="20"/>
              </w:rPr>
              <w:t>13</w:t>
            </w:r>
          </w:p>
        </w:tc>
        <w:tc>
          <w:tcPr>
            <w:tcW w:w="1272" w:type="dxa"/>
            <w:shd w:val="clear" w:color="auto" w:fill="auto"/>
            <w:noWrap/>
            <w:vAlign w:val="bottom"/>
          </w:tcPr>
          <w:p w14:paraId="3C1CE6F6" w14:textId="77777777" w:rsidR="00B57970" w:rsidRPr="00690EB0" w:rsidRDefault="00B57970" w:rsidP="00B57970">
            <w:pPr>
              <w:pStyle w:val="NoSpacing"/>
              <w:rPr>
                <w:sz w:val="20"/>
                <w:szCs w:val="20"/>
              </w:rPr>
            </w:pPr>
            <w:r w:rsidRPr="00690EB0">
              <w:rPr>
                <w:sz w:val="20"/>
                <w:szCs w:val="20"/>
              </w:rPr>
              <w:t>0</w:t>
            </w:r>
          </w:p>
        </w:tc>
        <w:tc>
          <w:tcPr>
            <w:tcW w:w="1000" w:type="dxa"/>
            <w:shd w:val="clear" w:color="auto" w:fill="auto"/>
            <w:noWrap/>
            <w:vAlign w:val="bottom"/>
          </w:tcPr>
          <w:p w14:paraId="3BD53386" w14:textId="77777777" w:rsidR="00B57970" w:rsidRPr="00690EB0" w:rsidRDefault="00B57970" w:rsidP="00B57970">
            <w:pPr>
              <w:pStyle w:val="NoSpacing"/>
              <w:rPr>
                <w:sz w:val="20"/>
                <w:szCs w:val="20"/>
              </w:rPr>
            </w:pPr>
            <w:r w:rsidRPr="00690EB0">
              <w:rPr>
                <w:sz w:val="20"/>
                <w:szCs w:val="20"/>
              </w:rPr>
              <w:t>16.3</w:t>
            </w:r>
          </w:p>
        </w:tc>
        <w:tc>
          <w:tcPr>
            <w:tcW w:w="1240" w:type="dxa"/>
            <w:shd w:val="clear" w:color="auto" w:fill="auto"/>
            <w:noWrap/>
            <w:vAlign w:val="bottom"/>
          </w:tcPr>
          <w:p w14:paraId="7D267271" w14:textId="77777777" w:rsidR="00B57970" w:rsidRPr="00690EB0" w:rsidRDefault="00B57970" w:rsidP="00B57970">
            <w:pPr>
              <w:pStyle w:val="NoSpacing"/>
              <w:rPr>
                <w:sz w:val="20"/>
                <w:szCs w:val="20"/>
              </w:rPr>
            </w:pPr>
            <w:r w:rsidRPr="00690EB0">
              <w:rPr>
                <w:sz w:val="20"/>
                <w:szCs w:val="20"/>
              </w:rPr>
              <w:t>21.2</w:t>
            </w:r>
          </w:p>
        </w:tc>
        <w:tc>
          <w:tcPr>
            <w:tcW w:w="823" w:type="dxa"/>
            <w:shd w:val="clear" w:color="auto" w:fill="auto"/>
            <w:noWrap/>
            <w:vAlign w:val="bottom"/>
          </w:tcPr>
          <w:p w14:paraId="4701664A" w14:textId="77777777" w:rsidR="00B57970" w:rsidRPr="00690EB0" w:rsidRDefault="00B57970" w:rsidP="00B57970">
            <w:pPr>
              <w:pStyle w:val="NoSpacing"/>
              <w:rPr>
                <w:sz w:val="20"/>
                <w:szCs w:val="20"/>
              </w:rPr>
            </w:pPr>
            <w:r w:rsidRPr="00690EB0">
              <w:rPr>
                <w:sz w:val="20"/>
                <w:szCs w:val="20"/>
              </w:rPr>
              <w:t>22.3</w:t>
            </w:r>
          </w:p>
        </w:tc>
        <w:tc>
          <w:tcPr>
            <w:tcW w:w="1557" w:type="dxa"/>
            <w:shd w:val="clear" w:color="auto" w:fill="auto"/>
            <w:noWrap/>
            <w:vAlign w:val="bottom"/>
          </w:tcPr>
          <w:p w14:paraId="1BBE0DDC" w14:textId="77777777" w:rsidR="00B57970" w:rsidRPr="00690EB0" w:rsidRDefault="00B57970" w:rsidP="00B57970">
            <w:pPr>
              <w:pStyle w:val="NoSpacing"/>
              <w:rPr>
                <w:sz w:val="20"/>
                <w:szCs w:val="20"/>
              </w:rPr>
            </w:pPr>
            <w:r w:rsidRPr="00690EB0">
              <w:rPr>
                <w:sz w:val="20"/>
                <w:szCs w:val="20"/>
              </w:rPr>
              <w:t>100.0%</w:t>
            </w:r>
          </w:p>
        </w:tc>
        <w:tc>
          <w:tcPr>
            <w:tcW w:w="1200" w:type="dxa"/>
            <w:shd w:val="clear" w:color="auto" w:fill="auto"/>
            <w:noWrap/>
            <w:vAlign w:val="bottom"/>
          </w:tcPr>
          <w:p w14:paraId="652676C1" w14:textId="77777777" w:rsidR="00B57970" w:rsidRPr="00690EB0" w:rsidRDefault="00B57970" w:rsidP="00B57970">
            <w:pPr>
              <w:pStyle w:val="NoSpacing"/>
              <w:rPr>
                <w:sz w:val="20"/>
                <w:szCs w:val="20"/>
              </w:rPr>
            </w:pPr>
            <w:r w:rsidRPr="00690EB0">
              <w:rPr>
                <w:sz w:val="20"/>
                <w:szCs w:val="20"/>
              </w:rPr>
              <w:t>79.4</w:t>
            </w:r>
          </w:p>
        </w:tc>
      </w:tr>
      <w:tr w:rsidR="00B57970" w:rsidRPr="00690EB0" w14:paraId="43A9E312" w14:textId="77777777" w:rsidTr="00865C6E">
        <w:trPr>
          <w:trHeight w:val="300"/>
          <w:jc w:val="center"/>
        </w:trPr>
        <w:tc>
          <w:tcPr>
            <w:tcW w:w="1795" w:type="dxa"/>
            <w:shd w:val="clear" w:color="auto" w:fill="auto"/>
            <w:noWrap/>
            <w:vAlign w:val="bottom"/>
          </w:tcPr>
          <w:p w14:paraId="0896062D" w14:textId="77777777" w:rsidR="00B57970" w:rsidRPr="00690EB0" w:rsidRDefault="00B57970" w:rsidP="00B57970">
            <w:pPr>
              <w:pStyle w:val="NoSpacing"/>
              <w:rPr>
                <w:sz w:val="20"/>
                <w:szCs w:val="20"/>
              </w:rPr>
            </w:pPr>
            <w:r w:rsidRPr="00690EB0">
              <w:rPr>
                <w:sz w:val="20"/>
                <w:szCs w:val="20"/>
              </w:rPr>
              <w:t>Indian Creek</w:t>
            </w:r>
          </w:p>
        </w:tc>
        <w:tc>
          <w:tcPr>
            <w:tcW w:w="530" w:type="dxa"/>
            <w:shd w:val="clear" w:color="auto" w:fill="auto"/>
            <w:noWrap/>
            <w:vAlign w:val="bottom"/>
          </w:tcPr>
          <w:p w14:paraId="7E77A344" w14:textId="77777777" w:rsidR="00B57970" w:rsidRPr="00690EB0" w:rsidRDefault="00B57970" w:rsidP="00B57970">
            <w:pPr>
              <w:pStyle w:val="NoSpacing"/>
              <w:rPr>
                <w:sz w:val="20"/>
                <w:szCs w:val="20"/>
              </w:rPr>
            </w:pPr>
            <w:r w:rsidRPr="00690EB0">
              <w:rPr>
                <w:sz w:val="20"/>
                <w:szCs w:val="20"/>
              </w:rPr>
              <w:t>35</w:t>
            </w:r>
          </w:p>
        </w:tc>
        <w:tc>
          <w:tcPr>
            <w:tcW w:w="1272" w:type="dxa"/>
            <w:shd w:val="clear" w:color="auto" w:fill="auto"/>
            <w:noWrap/>
            <w:vAlign w:val="bottom"/>
          </w:tcPr>
          <w:p w14:paraId="4EBF6D60" w14:textId="77777777" w:rsidR="00B57970" w:rsidRPr="00690EB0" w:rsidRDefault="00B57970" w:rsidP="00B57970">
            <w:pPr>
              <w:pStyle w:val="NoSpacing"/>
              <w:rPr>
                <w:sz w:val="20"/>
                <w:szCs w:val="20"/>
              </w:rPr>
            </w:pPr>
            <w:r w:rsidRPr="00690EB0">
              <w:rPr>
                <w:sz w:val="20"/>
                <w:szCs w:val="20"/>
              </w:rPr>
              <w:t>25</w:t>
            </w:r>
          </w:p>
        </w:tc>
        <w:tc>
          <w:tcPr>
            <w:tcW w:w="1000" w:type="dxa"/>
            <w:shd w:val="clear" w:color="auto" w:fill="auto"/>
            <w:noWrap/>
            <w:vAlign w:val="bottom"/>
          </w:tcPr>
          <w:p w14:paraId="20D3D784" w14:textId="77777777" w:rsidR="00B57970" w:rsidRPr="00690EB0" w:rsidRDefault="00B57970" w:rsidP="00B57970">
            <w:pPr>
              <w:pStyle w:val="NoSpacing"/>
              <w:rPr>
                <w:sz w:val="20"/>
                <w:szCs w:val="20"/>
              </w:rPr>
            </w:pPr>
            <w:r w:rsidRPr="00690EB0">
              <w:rPr>
                <w:sz w:val="20"/>
                <w:szCs w:val="20"/>
              </w:rPr>
              <w:t>&lt;1.39</w:t>
            </w:r>
          </w:p>
        </w:tc>
        <w:tc>
          <w:tcPr>
            <w:tcW w:w="1240" w:type="dxa"/>
            <w:shd w:val="clear" w:color="auto" w:fill="auto"/>
            <w:noWrap/>
            <w:vAlign w:val="bottom"/>
          </w:tcPr>
          <w:p w14:paraId="79FF9C0C" w14:textId="77777777" w:rsidR="00B57970" w:rsidRPr="00690EB0" w:rsidRDefault="00B57970" w:rsidP="00B57970">
            <w:pPr>
              <w:pStyle w:val="NoSpacing"/>
              <w:rPr>
                <w:sz w:val="20"/>
                <w:szCs w:val="20"/>
              </w:rPr>
            </w:pPr>
            <w:r w:rsidRPr="00690EB0">
              <w:rPr>
                <w:sz w:val="20"/>
                <w:szCs w:val="20"/>
              </w:rPr>
              <w:t>7.11</w:t>
            </w:r>
          </w:p>
        </w:tc>
        <w:tc>
          <w:tcPr>
            <w:tcW w:w="823" w:type="dxa"/>
            <w:shd w:val="clear" w:color="auto" w:fill="auto"/>
            <w:noWrap/>
            <w:vAlign w:val="bottom"/>
          </w:tcPr>
          <w:p w14:paraId="5E1261EF" w14:textId="77777777" w:rsidR="00B57970" w:rsidRPr="00690EB0" w:rsidRDefault="00B57970" w:rsidP="00B57970">
            <w:pPr>
              <w:pStyle w:val="NoSpacing"/>
              <w:rPr>
                <w:sz w:val="20"/>
                <w:szCs w:val="20"/>
              </w:rPr>
            </w:pPr>
            <w:r w:rsidRPr="00690EB0">
              <w:rPr>
                <w:sz w:val="20"/>
                <w:szCs w:val="20"/>
              </w:rPr>
              <w:t>31.5</w:t>
            </w:r>
          </w:p>
        </w:tc>
        <w:tc>
          <w:tcPr>
            <w:tcW w:w="1557" w:type="dxa"/>
            <w:shd w:val="clear" w:color="auto" w:fill="auto"/>
            <w:noWrap/>
            <w:vAlign w:val="bottom"/>
          </w:tcPr>
          <w:p w14:paraId="0243E51F" w14:textId="77777777" w:rsidR="00B57970" w:rsidRPr="00690EB0" w:rsidRDefault="00B57970" w:rsidP="00B57970">
            <w:pPr>
              <w:pStyle w:val="NoSpacing"/>
              <w:rPr>
                <w:sz w:val="20"/>
                <w:szCs w:val="20"/>
              </w:rPr>
            </w:pPr>
            <w:r w:rsidRPr="00690EB0">
              <w:rPr>
                <w:sz w:val="20"/>
                <w:szCs w:val="20"/>
              </w:rPr>
              <w:t>28.6%</w:t>
            </w:r>
          </w:p>
        </w:tc>
        <w:tc>
          <w:tcPr>
            <w:tcW w:w="1200" w:type="dxa"/>
            <w:shd w:val="clear" w:color="auto" w:fill="auto"/>
            <w:noWrap/>
            <w:vAlign w:val="bottom"/>
          </w:tcPr>
          <w:p w14:paraId="01B97AD5" w14:textId="77777777" w:rsidR="00B57970" w:rsidRPr="00690EB0" w:rsidRDefault="00B57970" w:rsidP="00B57970">
            <w:pPr>
              <w:pStyle w:val="NoSpacing"/>
              <w:rPr>
                <w:sz w:val="20"/>
                <w:szCs w:val="20"/>
              </w:rPr>
            </w:pPr>
            <w:r w:rsidRPr="00690EB0">
              <w:rPr>
                <w:sz w:val="20"/>
                <w:szCs w:val="20"/>
              </w:rPr>
              <w:t>181</w:t>
            </w:r>
          </w:p>
        </w:tc>
      </w:tr>
      <w:tr w:rsidR="00B57970" w:rsidRPr="00690EB0" w14:paraId="0808D1B8" w14:textId="77777777" w:rsidTr="00865C6E">
        <w:trPr>
          <w:trHeight w:val="300"/>
          <w:jc w:val="center"/>
        </w:trPr>
        <w:tc>
          <w:tcPr>
            <w:tcW w:w="1795" w:type="dxa"/>
            <w:shd w:val="clear" w:color="auto" w:fill="auto"/>
            <w:noWrap/>
            <w:vAlign w:val="bottom"/>
          </w:tcPr>
          <w:p w14:paraId="67790206" w14:textId="77777777" w:rsidR="00B57970" w:rsidRPr="00690EB0" w:rsidRDefault="00B57970" w:rsidP="00B57970">
            <w:pPr>
              <w:pStyle w:val="NoSpacing"/>
              <w:rPr>
                <w:sz w:val="20"/>
                <w:szCs w:val="20"/>
              </w:rPr>
            </w:pPr>
            <w:r w:rsidRPr="00690EB0">
              <w:rPr>
                <w:sz w:val="20"/>
                <w:szCs w:val="20"/>
              </w:rPr>
              <w:t>Innisfil Creek</w:t>
            </w:r>
          </w:p>
        </w:tc>
        <w:tc>
          <w:tcPr>
            <w:tcW w:w="530" w:type="dxa"/>
            <w:shd w:val="clear" w:color="auto" w:fill="auto"/>
            <w:noWrap/>
            <w:vAlign w:val="bottom"/>
          </w:tcPr>
          <w:p w14:paraId="284F863C" w14:textId="77777777" w:rsidR="00B57970" w:rsidRPr="00690EB0" w:rsidRDefault="00B57970" w:rsidP="00B57970">
            <w:pPr>
              <w:pStyle w:val="NoSpacing"/>
              <w:rPr>
                <w:sz w:val="20"/>
                <w:szCs w:val="20"/>
              </w:rPr>
            </w:pPr>
            <w:r w:rsidRPr="00690EB0">
              <w:rPr>
                <w:sz w:val="20"/>
                <w:szCs w:val="20"/>
              </w:rPr>
              <w:t>26</w:t>
            </w:r>
          </w:p>
        </w:tc>
        <w:tc>
          <w:tcPr>
            <w:tcW w:w="1272" w:type="dxa"/>
            <w:shd w:val="clear" w:color="auto" w:fill="auto"/>
            <w:noWrap/>
            <w:vAlign w:val="bottom"/>
          </w:tcPr>
          <w:p w14:paraId="0DDD6E69" w14:textId="77777777" w:rsidR="00B57970" w:rsidRPr="00690EB0" w:rsidRDefault="00B57970" w:rsidP="00B57970">
            <w:pPr>
              <w:pStyle w:val="NoSpacing"/>
              <w:rPr>
                <w:sz w:val="20"/>
                <w:szCs w:val="20"/>
              </w:rPr>
            </w:pPr>
            <w:r w:rsidRPr="00690EB0">
              <w:rPr>
                <w:sz w:val="20"/>
                <w:szCs w:val="20"/>
              </w:rPr>
              <w:t>0</w:t>
            </w:r>
          </w:p>
        </w:tc>
        <w:tc>
          <w:tcPr>
            <w:tcW w:w="1000" w:type="dxa"/>
            <w:shd w:val="clear" w:color="auto" w:fill="auto"/>
            <w:noWrap/>
            <w:vAlign w:val="bottom"/>
          </w:tcPr>
          <w:p w14:paraId="02E177FB" w14:textId="77777777" w:rsidR="00B57970" w:rsidRPr="00690EB0" w:rsidRDefault="00B57970" w:rsidP="00B57970">
            <w:pPr>
              <w:pStyle w:val="NoSpacing"/>
              <w:rPr>
                <w:sz w:val="20"/>
                <w:szCs w:val="20"/>
              </w:rPr>
            </w:pPr>
            <w:r w:rsidRPr="00690EB0">
              <w:rPr>
                <w:sz w:val="20"/>
                <w:szCs w:val="20"/>
              </w:rPr>
              <w:t>9.06</w:t>
            </w:r>
          </w:p>
        </w:tc>
        <w:tc>
          <w:tcPr>
            <w:tcW w:w="1240" w:type="dxa"/>
            <w:shd w:val="clear" w:color="auto" w:fill="auto"/>
            <w:noWrap/>
            <w:vAlign w:val="bottom"/>
          </w:tcPr>
          <w:p w14:paraId="1EC496C0" w14:textId="77777777" w:rsidR="00B57970" w:rsidRPr="00690EB0" w:rsidRDefault="00B57970" w:rsidP="00B57970">
            <w:pPr>
              <w:pStyle w:val="NoSpacing"/>
              <w:rPr>
                <w:sz w:val="20"/>
                <w:szCs w:val="20"/>
              </w:rPr>
            </w:pPr>
            <w:r w:rsidRPr="00690EB0">
              <w:rPr>
                <w:sz w:val="20"/>
                <w:szCs w:val="20"/>
              </w:rPr>
              <w:t>20.1</w:t>
            </w:r>
          </w:p>
        </w:tc>
        <w:tc>
          <w:tcPr>
            <w:tcW w:w="823" w:type="dxa"/>
            <w:shd w:val="clear" w:color="auto" w:fill="auto"/>
            <w:noWrap/>
            <w:vAlign w:val="bottom"/>
          </w:tcPr>
          <w:p w14:paraId="76D810ED" w14:textId="77777777" w:rsidR="00B57970" w:rsidRPr="00690EB0" w:rsidRDefault="00B57970" w:rsidP="00B57970">
            <w:pPr>
              <w:pStyle w:val="NoSpacing"/>
              <w:rPr>
                <w:sz w:val="20"/>
                <w:szCs w:val="20"/>
              </w:rPr>
            </w:pPr>
            <w:r w:rsidRPr="00690EB0">
              <w:rPr>
                <w:sz w:val="20"/>
                <w:szCs w:val="20"/>
              </w:rPr>
              <w:t>32.9</w:t>
            </w:r>
          </w:p>
        </w:tc>
        <w:tc>
          <w:tcPr>
            <w:tcW w:w="1557" w:type="dxa"/>
            <w:shd w:val="clear" w:color="auto" w:fill="auto"/>
            <w:noWrap/>
            <w:vAlign w:val="bottom"/>
          </w:tcPr>
          <w:p w14:paraId="5A0E4863" w14:textId="77777777" w:rsidR="00B57970" w:rsidRPr="00690EB0" w:rsidRDefault="00B57970" w:rsidP="00B57970">
            <w:pPr>
              <w:pStyle w:val="NoSpacing"/>
              <w:rPr>
                <w:sz w:val="20"/>
                <w:szCs w:val="20"/>
              </w:rPr>
            </w:pPr>
            <w:r w:rsidRPr="00690EB0">
              <w:rPr>
                <w:sz w:val="20"/>
                <w:szCs w:val="20"/>
              </w:rPr>
              <w:t>100.0%</w:t>
            </w:r>
          </w:p>
        </w:tc>
        <w:tc>
          <w:tcPr>
            <w:tcW w:w="1200" w:type="dxa"/>
            <w:shd w:val="clear" w:color="auto" w:fill="auto"/>
            <w:noWrap/>
            <w:vAlign w:val="bottom"/>
          </w:tcPr>
          <w:p w14:paraId="70FBD434" w14:textId="77777777" w:rsidR="00B57970" w:rsidRPr="00690EB0" w:rsidRDefault="00B57970" w:rsidP="00B57970">
            <w:pPr>
              <w:pStyle w:val="NoSpacing"/>
              <w:rPr>
                <w:sz w:val="20"/>
                <w:szCs w:val="20"/>
              </w:rPr>
            </w:pPr>
            <w:r w:rsidRPr="00690EB0">
              <w:rPr>
                <w:sz w:val="20"/>
                <w:szCs w:val="20"/>
              </w:rPr>
              <w:t>137</w:t>
            </w:r>
          </w:p>
        </w:tc>
      </w:tr>
      <w:tr w:rsidR="00B57970" w:rsidRPr="00690EB0" w14:paraId="75CC62A6" w14:textId="77777777" w:rsidTr="00865C6E">
        <w:trPr>
          <w:trHeight w:val="300"/>
          <w:jc w:val="center"/>
        </w:trPr>
        <w:tc>
          <w:tcPr>
            <w:tcW w:w="1795" w:type="dxa"/>
            <w:shd w:val="clear" w:color="auto" w:fill="auto"/>
            <w:noWrap/>
            <w:vAlign w:val="bottom"/>
          </w:tcPr>
          <w:p w14:paraId="55623903" w14:textId="77777777" w:rsidR="00B57970" w:rsidRPr="00690EB0" w:rsidRDefault="00B57970" w:rsidP="00B57970">
            <w:pPr>
              <w:pStyle w:val="NoSpacing"/>
              <w:rPr>
                <w:sz w:val="20"/>
                <w:szCs w:val="20"/>
              </w:rPr>
            </w:pPr>
            <w:r w:rsidRPr="00690EB0">
              <w:rPr>
                <w:sz w:val="20"/>
                <w:szCs w:val="20"/>
              </w:rPr>
              <w:t>Lebo Drain</w:t>
            </w:r>
          </w:p>
        </w:tc>
        <w:tc>
          <w:tcPr>
            <w:tcW w:w="530" w:type="dxa"/>
            <w:shd w:val="clear" w:color="auto" w:fill="auto"/>
            <w:noWrap/>
            <w:vAlign w:val="bottom"/>
          </w:tcPr>
          <w:p w14:paraId="343218A2" w14:textId="77777777" w:rsidR="00B57970" w:rsidRPr="00690EB0" w:rsidRDefault="00B57970" w:rsidP="00B57970">
            <w:pPr>
              <w:pStyle w:val="NoSpacing"/>
              <w:rPr>
                <w:sz w:val="20"/>
                <w:szCs w:val="20"/>
              </w:rPr>
            </w:pPr>
            <w:r w:rsidRPr="00690EB0">
              <w:rPr>
                <w:sz w:val="20"/>
                <w:szCs w:val="20"/>
              </w:rPr>
              <w:t>27</w:t>
            </w:r>
          </w:p>
        </w:tc>
        <w:tc>
          <w:tcPr>
            <w:tcW w:w="1272" w:type="dxa"/>
            <w:shd w:val="clear" w:color="auto" w:fill="auto"/>
            <w:noWrap/>
            <w:vAlign w:val="bottom"/>
          </w:tcPr>
          <w:p w14:paraId="00E7D1F4" w14:textId="77777777" w:rsidR="00B57970" w:rsidRPr="00690EB0" w:rsidRDefault="00B57970" w:rsidP="00B57970">
            <w:pPr>
              <w:pStyle w:val="NoSpacing"/>
              <w:rPr>
                <w:sz w:val="20"/>
                <w:szCs w:val="20"/>
              </w:rPr>
            </w:pPr>
            <w:r w:rsidRPr="00690EB0">
              <w:rPr>
                <w:sz w:val="20"/>
                <w:szCs w:val="20"/>
              </w:rPr>
              <w:t>0</w:t>
            </w:r>
          </w:p>
        </w:tc>
        <w:tc>
          <w:tcPr>
            <w:tcW w:w="1000" w:type="dxa"/>
            <w:shd w:val="clear" w:color="auto" w:fill="auto"/>
            <w:noWrap/>
            <w:vAlign w:val="bottom"/>
          </w:tcPr>
          <w:p w14:paraId="586E1B9C" w14:textId="77777777" w:rsidR="00B57970" w:rsidRPr="00690EB0" w:rsidRDefault="00B57970" w:rsidP="00B57970">
            <w:pPr>
              <w:pStyle w:val="NoSpacing"/>
              <w:rPr>
                <w:sz w:val="20"/>
                <w:szCs w:val="20"/>
              </w:rPr>
            </w:pPr>
            <w:r w:rsidRPr="00690EB0">
              <w:rPr>
                <w:sz w:val="20"/>
                <w:szCs w:val="20"/>
              </w:rPr>
              <w:t>101</w:t>
            </w:r>
          </w:p>
        </w:tc>
        <w:tc>
          <w:tcPr>
            <w:tcW w:w="1240" w:type="dxa"/>
            <w:shd w:val="clear" w:color="auto" w:fill="auto"/>
            <w:noWrap/>
            <w:vAlign w:val="bottom"/>
          </w:tcPr>
          <w:p w14:paraId="132622B1" w14:textId="77777777" w:rsidR="00B57970" w:rsidRPr="00690EB0" w:rsidRDefault="00B57970" w:rsidP="00B57970">
            <w:pPr>
              <w:pStyle w:val="NoSpacing"/>
              <w:rPr>
                <w:sz w:val="20"/>
                <w:szCs w:val="20"/>
              </w:rPr>
            </w:pPr>
            <w:r w:rsidRPr="00690EB0">
              <w:rPr>
                <w:sz w:val="20"/>
                <w:szCs w:val="20"/>
              </w:rPr>
              <w:t>137</w:t>
            </w:r>
          </w:p>
        </w:tc>
        <w:tc>
          <w:tcPr>
            <w:tcW w:w="823" w:type="dxa"/>
            <w:shd w:val="clear" w:color="auto" w:fill="auto"/>
            <w:noWrap/>
            <w:vAlign w:val="bottom"/>
          </w:tcPr>
          <w:p w14:paraId="390D9846" w14:textId="77777777" w:rsidR="00B57970" w:rsidRPr="00690EB0" w:rsidRDefault="00B57970" w:rsidP="00B57970">
            <w:pPr>
              <w:pStyle w:val="NoSpacing"/>
              <w:rPr>
                <w:sz w:val="20"/>
                <w:szCs w:val="20"/>
              </w:rPr>
            </w:pPr>
            <w:r w:rsidRPr="00690EB0">
              <w:rPr>
                <w:sz w:val="20"/>
                <w:szCs w:val="20"/>
              </w:rPr>
              <w:t>125</w:t>
            </w:r>
          </w:p>
        </w:tc>
        <w:tc>
          <w:tcPr>
            <w:tcW w:w="1557" w:type="dxa"/>
            <w:shd w:val="clear" w:color="auto" w:fill="auto"/>
            <w:noWrap/>
            <w:vAlign w:val="bottom"/>
          </w:tcPr>
          <w:p w14:paraId="59978334" w14:textId="77777777" w:rsidR="00B57970" w:rsidRPr="00690EB0" w:rsidRDefault="00B57970" w:rsidP="00B57970">
            <w:pPr>
              <w:pStyle w:val="NoSpacing"/>
              <w:rPr>
                <w:sz w:val="20"/>
                <w:szCs w:val="20"/>
              </w:rPr>
            </w:pPr>
            <w:r w:rsidRPr="00690EB0">
              <w:rPr>
                <w:sz w:val="20"/>
                <w:szCs w:val="20"/>
              </w:rPr>
              <w:t>100.0%</w:t>
            </w:r>
          </w:p>
        </w:tc>
        <w:tc>
          <w:tcPr>
            <w:tcW w:w="1200" w:type="dxa"/>
            <w:shd w:val="clear" w:color="auto" w:fill="auto"/>
            <w:noWrap/>
            <w:vAlign w:val="bottom"/>
          </w:tcPr>
          <w:p w14:paraId="24915090" w14:textId="77777777" w:rsidR="00B57970" w:rsidRPr="00690EB0" w:rsidRDefault="00B57970" w:rsidP="00B57970">
            <w:pPr>
              <w:pStyle w:val="NoSpacing"/>
              <w:rPr>
                <w:sz w:val="20"/>
                <w:szCs w:val="20"/>
              </w:rPr>
            </w:pPr>
            <w:r w:rsidRPr="00690EB0">
              <w:rPr>
                <w:sz w:val="20"/>
                <w:szCs w:val="20"/>
              </w:rPr>
              <w:t>546</w:t>
            </w:r>
          </w:p>
        </w:tc>
      </w:tr>
      <w:tr w:rsidR="00B57970" w:rsidRPr="00690EB0" w14:paraId="15BE2AB3" w14:textId="77777777" w:rsidTr="00865C6E">
        <w:trPr>
          <w:trHeight w:val="300"/>
          <w:jc w:val="center"/>
        </w:trPr>
        <w:tc>
          <w:tcPr>
            <w:tcW w:w="1795" w:type="dxa"/>
            <w:shd w:val="clear" w:color="auto" w:fill="auto"/>
            <w:noWrap/>
            <w:vAlign w:val="bottom"/>
          </w:tcPr>
          <w:p w14:paraId="3CF17F4E" w14:textId="77777777" w:rsidR="00B57970" w:rsidRPr="00690EB0" w:rsidRDefault="00B57970" w:rsidP="00B57970">
            <w:pPr>
              <w:pStyle w:val="NoSpacing"/>
              <w:rPr>
                <w:sz w:val="20"/>
                <w:szCs w:val="20"/>
              </w:rPr>
            </w:pPr>
            <w:r w:rsidRPr="00690EB0">
              <w:rPr>
                <w:sz w:val="20"/>
                <w:szCs w:val="20"/>
              </w:rPr>
              <w:t>Nissouri Creek</w:t>
            </w:r>
          </w:p>
        </w:tc>
        <w:tc>
          <w:tcPr>
            <w:tcW w:w="530" w:type="dxa"/>
            <w:shd w:val="clear" w:color="auto" w:fill="auto"/>
            <w:noWrap/>
            <w:vAlign w:val="bottom"/>
          </w:tcPr>
          <w:p w14:paraId="17AD96B3" w14:textId="77777777" w:rsidR="00B57970" w:rsidRPr="00690EB0" w:rsidRDefault="00B57970" w:rsidP="00B57970">
            <w:pPr>
              <w:pStyle w:val="NoSpacing"/>
              <w:rPr>
                <w:sz w:val="20"/>
                <w:szCs w:val="20"/>
              </w:rPr>
            </w:pPr>
            <w:r w:rsidRPr="00690EB0">
              <w:rPr>
                <w:sz w:val="20"/>
                <w:szCs w:val="20"/>
              </w:rPr>
              <w:t>12</w:t>
            </w:r>
          </w:p>
        </w:tc>
        <w:tc>
          <w:tcPr>
            <w:tcW w:w="1272" w:type="dxa"/>
            <w:shd w:val="clear" w:color="auto" w:fill="auto"/>
            <w:noWrap/>
            <w:vAlign w:val="bottom"/>
          </w:tcPr>
          <w:p w14:paraId="797B0FD0" w14:textId="77777777" w:rsidR="00B57970" w:rsidRPr="00690EB0" w:rsidRDefault="00B57970" w:rsidP="00B57970">
            <w:pPr>
              <w:pStyle w:val="NoSpacing"/>
              <w:rPr>
                <w:sz w:val="20"/>
                <w:szCs w:val="20"/>
              </w:rPr>
            </w:pPr>
            <w:r w:rsidRPr="00690EB0">
              <w:rPr>
                <w:sz w:val="20"/>
                <w:szCs w:val="20"/>
              </w:rPr>
              <w:t>4</w:t>
            </w:r>
          </w:p>
        </w:tc>
        <w:tc>
          <w:tcPr>
            <w:tcW w:w="1000" w:type="dxa"/>
            <w:shd w:val="clear" w:color="auto" w:fill="auto"/>
            <w:noWrap/>
            <w:vAlign w:val="bottom"/>
          </w:tcPr>
          <w:p w14:paraId="011AA703" w14:textId="77777777" w:rsidR="00B57970" w:rsidRPr="00690EB0" w:rsidRDefault="00B57970" w:rsidP="00B57970">
            <w:pPr>
              <w:pStyle w:val="NoSpacing"/>
              <w:rPr>
                <w:sz w:val="20"/>
                <w:szCs w:val="20"/>
              </w:rPr>
            </w:pPr>
            <w:r w:rsidRPr="00690EB0">
              <w:rPr>
                <w:sz w:val="20"/>
                <w:szCs w:val="20"/>
              </w:rPr>
              <w:t>2.02</w:t>
            </w:r>
          </w:p>
        </w:tc>
        <w:tc>
          <w:tcPr>
            <w:tcW w:w="1240" w:type="dxa"/>
            <w:shd w:val="clear" w:color="auto" w:fill="auto"/>
            <w:noWrap/>
            <w:vAlign w:val="bottom"/>
          </w:tcPr>
          <w:p w14:paraId="7685C8B9" w14:textId="77777777" w:rsidR="00B57970" w:rsidRPr="00690EB0" w:rsidRDefault="00B57970" w:rsidP="00B57970">
            <w:pPr>
              <w:pStyle w:val="NoSpacing"/>
              <w:rPr>
                <w:sz w:val="20"/>
                <w:szCs w:val="20"/>
              </w:rPr>
            </w:pPr>
            <w:r w:rsidRPr="00690EB0">
              <w:rPr>
                <w:sz w:val="20"/>
                <w:szCs w:val="20"/>
              </w:rPr>
              <w:t>4.28</w:t>
            </w:r>
          </w:p>
        </w:tc>
        <w:tc>
          <w:tcPr>
            <w:tcW w:w="823" w:type="dxa"/>
            <w:shd w:val="clear" w:color="auto" w:fill="auto"/>
            <w:noWrap/>
            <w:vAlign w:val="bottom"/>
          </w:tcPr>
          <w:p w14:paraId="0572489D" w14:textId="77777777" w:rsidR="00B57970" w:rsidRPr="00690EB0" w:rsidRDefault="00B57970" w:rsidP="00B57970">
            <w:pPr>
              <w:pStyle w:val="NoSpacing"/>
              <w:rPr>
                <w:sz w:val="20"/>
                <w:szCs w:val="20"/>
              </w:rPr>
            </w:pPr>
            <w:r w:rsidRPr="00690EB0">
              <w:rPr>
                <w:sz w:val="20"/>
                <w:szCs w:val="20"/>
              </w:rPr>
              <w:t>4.8</w:t>
            </w:r>
          </w:p>
        </w:tc>
        <w:tc>
          <w:tcPr>
            <w:tcW w:w="1557" w:type="dxa"/>
            <w:shd w:val="clear" w:color="auto" w:fill="auto"/>
            <w:noWrap/>
            <w:vAlign w:val="bottom"/>
          </w:tcPr>
          <w:p w14:paraId="0C58612A" w14:textId="77777777" w:rsidR="00B57970" w:rsidRPr="00690EB0" w:rsidRDefault="00B57970" w:rsidP="00B57970">
            <w:pPr>
              <w:pStyle w:val="NoSpacing"/>
              <w:rPr>
                <w:sz w:val="20"/>
                <w:szCs w:val="20"/>
              </w:rPr>
            </w:pPr>
            <w:r w:rsidRPr="00690EB0">
              <w:rPr>
                <w:sz w:val="20"/>
                <w:szCs w:val="20"/>
              </w:rPr>
              <w:t>66.7%</w:t>
            </w:r>
          </w:p>
        </w:tc>
        <w:tc>
          <w:tcPr>
            <w:tcW w:w="1200" w:type="dxa"/>
            <w:shd w:val="clear" w:color="auto" w:fill="auto"/>
            <w:noWrap/>
            <w:vAlign w:val="bottom"/>
          </w:tcPr>
          <w:p w14:paraId="35944F97" w14:textId="77777777" w:rsidR="00B57970" w:rsidRPr="00690EB0" w:rsidRDefault="00B57970" w:rsidP="00B57970">
            <w:pPr>
              <w:pStyle w:val="NoSpacing"/>
              <w:rPr>
                <w:sz w:val="20"/>
                <w:szCs w:val="20"/>
              </w:rPr>
            </w:pPr>
            <w:r w:rsidRPr="00690EB0">
              <w:rPr>
                <w:sz w:val="20"/>
                <w:szCs w:val="20"/>
              </w:rPr>
              <w:t>17.7</w:t>
            </w:r>
          </w:p>
        </w:tc>
      </w:tr>
      <w:tr w:rsidR="00B57970" w:rsidRPr="00690EB0" w14:paraId="7AEA61A5" w14:textId="77777777" w:rsidTr="00865C6E">
        <w:trPr>
          <w:trHeight w:val="300"/>
          <w:jc w:val="center"/>
        </w:trPr>
        <w:tc>
          <w:tcPr>
            <w:tcW w:w="1795" w:type="dxa"/>
            <w:shd w:val="clear" w:color="auto" w:fill="auto"/>
            <w:noWrap/>
            <w:vAlign w:val="bottom"/>
          </w:tcPr>
          <w:p w14:paraId="3B78DC82" w14:textId="77777777" w:rsidR="00B57970" w:rsidRPr="00690EB0" w:rsidRDefault="00B57970" w:rsidP="00B57970">
            <w:pPr>
              <w:pStyle w:val="NoSpacing"/>
              <w:rPr>
                <w:sz w:val="20"/>
                <w:szCs w:val="20"/>
              </w:rPr>
            </w:pPr>
            <w:r w:rsidRPr="00690EB0">
              <w:rPr>
                <w:sz w:val="20"/>
                <w:szCs w:val="20"/>
              </w:rPr>
              <w:t>Nottawasaga River</w:t>
            </w:r>
          </w:p>
        </w:tc>
        <w:tc>
          <w:tcPr>
            <w:tcW w:w="530" w:type="dxa"/>
            <w:shd w:val="clear" w:color="auto" w:fill="auto"/>
            <w:noWrap/>
            <w:vAlign w:val="bottom"/>
          </w:tcPr>
          <w:p w14:paraId="26B04C02" w14:textId="77777777" w:rsidR="00B57970" w:rsidRPr="00690EB0" w:rsidRDefault="00B57970" w:rsidP="00B57970">
            <w:pPr>
              <w:pStyle w:val="NoSpacing"/>
              <w:rPr>
                <w:sz w:val="20"/>
                <w:szCs w:val="20"/>
              </w:rPr>
            </w:pPr>
            <w:r w:rsidRPr="00690EB0">
              <w:rPr>
                <w:sz w:val="20"/>
                <w:szCs w:val="20"/>
              </w:rPr>
              <w:t>26</w:t>
            </w:r>
          </w:p>
        </w:tc>
        <w:tc>
          <w:tcPr>
            <w:tcW w:w="1272" w:type="dxa"/>
            <w:shd w:val="clear" w:color="auto" w:fill="auto"/>
            <w:noWrap/>
            <w:vAlign w:val="bottom"/>
          </w:tcPr>
          <w:p w14:paraId="5460A7F7" w14:textId="77777777" w:rsidR="00B57970" w:rsidRPr="00690EB0" w:rsidRDefault="00B57970" w:rsidP="00B57970">
            <w:pPr>
              <w:pStyle w:val="NoSpacing"/>
              <w:rPr>
                <w:sz w:val="20"/>
                <w:szCs w:val="20"/>
              </w:rPr>
            </w:pPr>
            <w:r w:rsidRPr="00690EB0">
              <w:rPr>
                <w:sz w:val="20"/>
                <w:szCs w:val="20"/>
              </w:rPr>
              <w:t>0</w:t>
            </w:r>
          </w:p>
        </w:tc>
        <w:tc>
          <w:tcPr>
            <w:tcW w:w="1000" w:type="dxa"/>
            <w:shd w:val="clear" w:color="auto" w:fill="auto"/>
            <w:noWrap/>
            <w:vAlign w:val="bottom"/>
          </w:tcPr>
          <w:p w14:paraId="1B189443" w14:textId="77777777" w:rsidR="00B57970" w:rsidRPr="00690EB0" w:rsidRDefault="00B57970" w:rsidP="00B57970">
            <w:pPr>
              <w:pStyle w:val="NoSpacing"/>
              <w:rPr>
                <w:sz w:val="20"/>
                <w:szCs w:val="20"/>
              </w:rPr>
            </w:pPr>
            <w:r w:rsidRPr="00690EB0">
              <w:rPr>
                <w:sz w:val="20"/>
                <w:szCs w:val="20"/>
              </w:rPr>
              <w:t>12.9</w:t>
            </w:r>
          </w:p>
        </w:tc>
        <w:tc>
          <w:tcPr>
            <w:tcW w:w="1240" w:type="dxa"/>
            <w:shd w:val="clear" w:color="auto" w:fill="auto"/>
            <w:noWrap/>
            <w:vAlign w:val="bottom"/>
          </w:tcPr>
          <w:p w14:paraId="18FC868A" w14:textId="77777777" w:rsidR="00B57970" w:rsidRPr="00690EB0" w:rsidRDefault="00B57970" w:rsidP="00B57970">
            <w:pPr>
              <w:pStyle w:val="NoSpacing"/>
              <w:rPr>
                <w:sz w:val="20"/>
                <w:szCs w:val="20"/>
              </w:rPr>
            </w:pPr>
            <w:r w:rsidRPr="00690EB0">
              <w:rPr>
                <w:sz w:val="20"/>
                <w:szCs w:val="20"/>
              </w:rPr>
              <w:t>23.5</w:t>
            </w:r>
          </w:p>
        </w:tc>
        <w:tc>
          <w:tcPr>
            <w:tcW w:w="823" w:type="dxa"/>
            <w:shd w:val="clear" w:color="auto" w:fill="auto"/>
            <w:noWrap/>
            <w:vAlign w:val="bottom"/>
          </w:tcPr>
          <w:p w14:paraId="2AC21874" w14:textId="77777777" w:rsidR="00B57970" w:rsidRPr="00690EB0" w:rsidRDefault="00B57970" w:rsidP="00B57970">
            <w:pPr>
              <w:pStyle w:val="NoSpacing"/>
              <w:rPr>
                <w:sz w:val="20"/>
                <w:szCs w:val="20"/>
              </w:rPr>
            </w:pPr>
            <w:r w:rsidRPr="00690EB0">
              <w:rPr>
                <w:sz w:val="20"/>
                <w:szCs w:val="20"/>
              </w:rPr>
              <w:t>24.9</w:t>
            </w:r>
          </w:p>
        </w:tc>
        <w:tc>
          <w:tcPr>
            <w:tcW w:w="1557" w:type="dxa"/>
            <w:shd w:val="clear" w:color="auto" w:fill="auto"/>
            <w:noWrap/>
            <w:vAlign w:val="bottom"/>
          </w:tcPr>
          <w:p w14:paraId="7330D615" w14:textId="77777777" w:rsidR="00B57970" w:rsidRPr="00690EB0" w:rsidRDefault="00B57970" w:rsidP="00B57970">
            <w:pPr>
              <w:pStyle w:val="NoSpacing"/>
              <w:rPr>
                <w:sz w:val="20"/>
                <w:szCs w:val="20"/>
              </w:rPr>
            </w:pPr>
            <w:r w:rsidRPr="00690EB0">
              <w:rPr>
                <w:sz w:val="20"/>
                <w:szCs w:val="20"/>
              </w:rPr>
              <w:t>100.0%</w:t>
            </w:r>
          </w:p>
        </w:tc>
        <w:tc>
          <w:tcPr>
            <w:tcW w:w="1200" w:type="dxa"/>
            <w:shd w:val="clear" w:color="auto" w:fill="auto"/>
            <w:noWrap/>
            <w:vAlign w:val="bottom"/>
          </w:tcPr>
          <w:p w14:paraId="3391C975" w14:textId="77777777" w:rsidR="00B57970" w:rsidRPr="00690EB0" w:rsidRDefault="00B57970" w:rsidP="00B57970">
            <w:pPr>
              <w:pStyle w:val="NoSpacing"/>
              <w:rPr>
                <w:sz w:val="20"/>
                <w:szCs w:val="20"/>
              </w:rPr>
            </w:pPr>
            <w:r w:rsidRPr="00690EB0">
              <w:rPr>
                <w:sz w:val="20"/>
                <w:szCs w:val="20"/>
              </w:rPr>
              <w:t>84.4</w:t>
            </w:r>
          </w:p>
        </w:tc>
      </w:tr>
      <w:tr w:rsidR="00B57970" w:rsidRPr="00690EB0" w14:paraId="6C62362C" w14:textId="77777777" w:rsidTr="00865C6E">
        <w:trPr>
          <w:trHeight w:val="300"/>
          <w:jc w:val="center"/>
        </w:trPr>
        <w:tc>
          <w:tcPr>
            <w:tcW w:w="1795" w:type="dxa"/>
            <w:shd w:val="clear" w:color="auto" w:fill="auto"/>
            <w:noWrap/>
            <w:vAlign w:val="bottom"/>
          </w:tcPr>
          <w:p w14:paraId="0CB0F679" w14:textId="77777777" w:rsidR="00B57970" w:rsidRPr="00690EB0" w:rsidRDefault="00B57970" w:rsidP="00B57970">
            <w:pPr>
              <w:pStyle w:val="NoSpacing"/>
              <w:rPr>
                <w:sz w:val="20"/>
                <w:szCs w:val="20"/>
              </w:rPr>
            </w:pPr>
            <w:r w:rsidRPr="00690EB0">
              <w:rPr>
                <w:sz w:val="20"/>
                <w:szCs w:val="20"/>
              </w:rPr>
              <w:t>Spring Creek</w:t>
            </w:r>
          </w:p>
        </w:tc>
        <w:tc>
          <w:tcPr>
            <w:tcW w:w="530" w:type="dxa"/>
            <w:shd w:val="clear" w:color="auto" w:fill="auto"/>
            <w:noWrap/>
            <w:vAlign w:val="bottom"/>
          </w:tcPr>
          <w:p w14:paraId="7BEC396C" w14:textId="77777777" w:rsidR="00B57970" w:rsidRPr="00690EB0" w:rsidRDefault="00B57970" w:rsidP="00B57970">
            <w:pPr>
              <w:pStyle w:val="NoSpacing"/>
              <w:rPr>
                <w:sz w:val="20"/>
                <w:szCs w:val="20"/>
              </w:rPr>
            </w:pPr>
            <w:r w:rsidRPr="00690EB0">
              <w:rPr>
                <w:sz w:val="20"/>
                <w:szCs w:val="20"/>
              </w:rPr>
              <w:t>18</w:t>
            </w:r>
          </w:p>
        </w:tc>
        <w:tc>
          <w:tcPr>
            <w:tcW w:w="1272" w:type="dxa"/>
            <w:shd w:val="clear" w:color="auto" w:fill="auto"/>
            <w:noWrap/>
            <w:vAlign w:val="bottom"/>
          </w:tcPr>
          <w:p w14:paraId="3063F0A7" w14:textId="77777777" w:rsidR="00B57970" w:rsidRPr="00690EB0" w:rsidRDefault="00B57970" w:rsidP="00B57970">
            <w:pPr>
              <w:pStyle w:val="NoSpacing"/>
              <w:rPr>
                <w:sz w:val="20"/>
                <w:szCs w:val="20"/>
              </w:rPr>
            </w:pPr>
            <w:r w:rsidRPr="00690EB0">
              <w:rPr>
                <w:sz w:val="20"/>
                <w:szCs w:val="20"/>
              </w:rPr>
              <w:t>18</w:t>
            </w:r>
          </w:p>
        </w:tc>
        <w:tc>
          <w:tcPr>
            <w:tcW w:w="1000" w:type="dxa"/>
            <w:shd w:val="clear" w:color="auto" w:fill="auto"/>
            <w:noWrap/>
            <w:vAlign w:val="bottom"/>
          </w:tcPr>
          <w:p w14:paraId="0513F96F" w14:textId="77777777" w:rsidR="00B57970" w:rsidRPr="00690EB0" w:rsidRDefault="00B57970" w:rsidP="00B57970">
            <w:pPr>
              <w:pStyle w:val="NoSpacing"/>
              <w:rPr>
                <w:sz w:val="20"/>
                <w:szCs w:val="20"/>
              </w:rPr>
            </w:pPr>
            <w:r w:rsidRPr="00690EB0">
              <w:rPr>
                <w:sz w:val="20"/>
                <w:szCs w:val="20"/>
              </w:rPr>
              <w:t>&lt;1.39</w:t>
            </w:r>
          </w:p>
        </w:tc>
        <w:tc>
          <w:tcPr>
            <w:tcW w:w="1240" w:type="dxa"/>
            <w:shd w:val="clear" w:color="auto" w:fill="auto"/>
            <w:noWrap/>
            <w:vAlign w:val="bottom"/>
          </w:tcPr>
          <w:p w14:paraId="6A54C4BA" w14:textId="77777777" w:rsidR="00B57970" w:rsidRPr="00690EB0" w:rsidRDefault="00B57970" w:rsidP="00B57970">
            <w:pPr>
              <w:pStyle w:val="NoSpacing"/>
              <w:rPr>
                <w:sz w:val="20"/>
                <w:szCs w:val="20"/>
              </w:rPr>
            </w:pPr>
            <w:r w:rsidRPr="00690EB0">
              <w:rPr>
                <w:sz w:val="20"/>
                <w:szCs w:val="20"/>
              </w:rPr>
              <w:t>-</w:t>
            </w:r>
          </w:p>
        </w:tc>
        <w:tc>
          <w:tcPr>
            <w:tcW w:w="823" w:type="dxa"/>
            <w:shd w:val="clear" w:color="auto" w:fill="auto"/>
            <w:noWrap/>
            <w:vAlign w:val="bottom"/>
          </w:tcPr>
          <w:p w14:paraId="510C169F" w14:textId="77777777" w:rsidR="00B57970" w:rsidRPr="00690EB0" w:rsidRDefault="00B57970" w:rsidP="00B57970">
            <w:pPr>
              <w:pStyle w:val="NoSpacing"/>
              <w:rPr>
                <w:sz w:val="20"/>
                <w:szCs w:val="20"/>
              </w:rPr>
            </w:pPr>
            <w:r w:rsidRPr="00690EB0">
              <w:rPr>
                <w:sz w:val="20"/>
                <w:szCs w:val="20"/>
              </w:rPr>
              <w:t>-</w:t>
            </w:r>
          </w:p>
        </w:tc>
        <w:tc>
          <w:tcPr>
            <w:tcW w:w="1557" w:type="dxa"/>
            <w:shd w:val="clear" w:color="auto" w:fill="auto"/>
            <w:noWrap/>
            <w:vAlign w:val="bottom"/>
          </w:tcPr>
          <w:p w14:paraId="57CC9FB0" w14:textId="77777777" w:rsidR="00B57970" w:rsidRPr="00690EB0" w:rsidRDefault="00B57970" w:rsidP="00B57970">
            <w:pPr>
              <w:pStyle w:val="NoSpacing"/>
              <w:rPr>
                <w:sz w:val="20"/>
                <w:szCs w:val="20"/>
              </w:rPr>
            </w:pPr>
            <w:r w:rsidRPr="00690EB0">
              <w:rPr>
                <w:sz w:val="20"/>
                <w:szCs w:val="20"/>
              </w:rPr>
              <w:t>0.0%</w:t>
            </w:r>
          </w:p>
        </w:tc>
        <w:tc>
          <w:tcPr>
            <w:tcW w:w="1200" w:type="dxa"/>
            <w:shd w:val="clear" w:color="auto" w:fill="auto"/>
            <w:noWrap/>
            <w:vAlign w:val="bottom"/>
          </w:tcPr>
          <w:p w14:paraId="6016F92E" w14:textId="77777777" w:rsidR="00B57970" w:rsidRPr="00690EB0" w:rsidRDefault="00B57970" w:rsidP="00B57970">
            <w:pPr>
              <w:pStyle w:val="NoSpacing"/>
              <w:rPr>
                <w:sz w:val="20"/>
                <w:szCs w:val="20"/>
              </w:rPr>
            </w:pPr>
            <w:r w:rsidRPr="00690EB0">
              <w:rPr>
                <w:sz w:val="20"/>
                <w:szCs w:val="20"/>
              </w:rPr>
              <w:t>&lt;1.39</w:t>
            </w:r>
          </w:p>
        </w:tc>
      </w:tr>
      <w:tr w:rsidR="00B57970" w:rsidRPr="00690EB0" w14:paraId="6098DA29" w14:textId="77777777" w:rsidTr="00865C6E">
        <w:trPr>
          <w:trHeight w:val="300"/>
          <w:jc w:val="center"/>
        </w:trPr>
        <w:tc>
          <w:tcPr>
            <w:tcW w:w="1795" w:type="dxa"/>
            <w:shd w:val="clear" w:color="auto" w:fill="auto"/>
            <w:noWrap/>
            <w:vAlign w:val="bottom"/>
          </w:tcPr>
          <w:p w14:paraId="0EC5155F" w14:textId="77777777" w:rsidR="00B57970" w:rsidRPr="00690EB0" w:rsidRDefault="00B57970" w:rsidP="00B57970">
            <w:pPr>
              <w:pStyle w:val="NoSpacing"/>
              <w:rPr>
                <w:sz w:val="20"/>
                <w:szCs w:val="20"/>
              </w:rPr>
            </w:pPr>
            <w:r w:rsidRPr="00690EB0">
              <w:rPr>
                <w:sz w:val="20"/>
                <w:szCs w:val="20"/>
              </w:rPr>
              <w:t>Sturgeon Creek</w:t>
            </w:r>
          </w:p>
        </w:tc>
        <w:tc>
          <w:tcPr>
            <w:tcW w:w="530" w:type="dxa"/>
            <w:shd w:val="clear" w:color="auto" w:fill="auto"/>
            <w:noWrap/>
            <w:vAlign w:val="bottom"/>
          </w:tcPr>
          <w:p w14:paraId="39D199D4" w14:textId="77777777" w:rsidR="00B57970" w:rsidRPr="00690EB0" w:rsidRDefault="00B57970" w:rsidP="00B57970">
            <w:pPr>
              <w:pStyle w:val="NoSpacing"/>
              <w:rPr>
                <w:sz w:val="20"/>
                <w:szCs w:val="20"/>
              </w:rPr>
            </w:pPr>
            <w:r w:rsidRPr="00690EB0">
              <w:rPr>
                <w:sz w:val="20"/>
                <w:szCs w:val="20"/>
              </w:rPr>
              <w:t>39</w:t>
            </w:r>
          </w:p>
        </w:tc>
        <w:tc>
          <w:tcPr>
            <w:tcW w:w="1272" w:type="dxa"/>
            <w:shd w:val="clear" w:color="auto" w:fill="auto"/>
            <w:noWrap/>
            <w:vAlign w:val="bottom"/>
          </w:tcPr>
          <w:p w14:paraId="39073C53" w14:textId="77777777" w:rsidR="00B57970" w:rsidRPr="00690EB0" w:rsidRDefault="00B57970" w:rsidP="00B57970">
            <w:pPr>
              <w:pStyle w:val="NoSpacing"/>
              <w:rPr>
                <w:sz w:val="20"/>
                <w:szCs w:val="20"/>
              </w:rPr>
            </w:pPr>
            <w:r w:rsidRPr="00690EB0">
              <w:rPr>
                <w:sz w:val="20"/>
                <w:szCs w:val="20"/>
              </w:rPr>
              <w:t>1</w:t>
            </w:r>
          </w:p>
        </w:tc>
        <w:tc>
          <w:tcPr>
            <w:tcW w:w="1000" w:type="dxa"/>
            <w:shd w:val="clear" w:color="auto" w:fill="auto"/>
            <w:noWrap/>
            <w:vAlign w:val="bottom"/>
          </w:tcPr>
          <w:p w14:paraId="65A1FB9D" w14:textId="77777777" w:rsidR="00B57970" w:rsidRPr="00690EB0" w:rsidRDefault="00B57970" w:rsidP="00B57970">
            <w:pPr>
              <w:pStyle w:val="NoSpacing"/>
              <w:rPr>
                <w:sz w:val="20"/>
                <w:szCs w:val="20"/>
              </w:rPr>
            </w:pPr>
            <w:r w:rsidRPr="00690EB0">
              <w:rPr>
                <w:sz w:val="20"/>
                <w:szCs w:val="20"/>
              </w:rPr>
              <w:t>8.42</w:t>
            </w:r>
          </w:p>
        </w:tc>
        <w:tc>
          <w:tcPr>
            <w:tcW w:w="1240" w:type="dxa"/>
            <w:shd w:val="clear" w:color="auto" w:fill="auto"/>
            <w:noWrap/>
            <w:vAlign w:val="bottom"/>
          </w:tcPr>
          <w:p w14:paraId="123EB079" w14:textId="77777777" w:rsidR="00B57970" w:rsidRPr="00690EB0" w:rsidRDefault="00B57970" w:rsidP="00B57970">
            <w:pPr>
              <w:pStyle w:val="NoSpacing"/>
              <w:rPr>
                <w:sz w:val="20"/>
                <w:szCs w:val="20"/>
              </w:rPr>
            </w:pPr>
            <w:r w:rsidRPr="00690EB0">
              <w:rPr>
                <w:sz w:val="20"/>
                <w:szCs w:val="20"/>
              </w:rPr>
              <w:t>12.5</w:t>
            </w:r>
          </w:p>
        </w:tc>
        <w:tc>
          <w:tcPr>
            <w:tcW w:w="823" w:type="dxa"/>
            <w:shd w:val="clear" w:color="auto" w:fill="auto"/>
            <w:noWrap/>
            <w:vAlign w:val="bottom"/>
          </w:tcPr>
          <w:p w14:paraId="0A04BDCB" w14:textId="77777777" w:rsidR="00B57970" w:rsidRPr="00690EB0" w:rsidRDefault="00B57970" w:rsidP="00B57970">
            <w:pPr>
              <w:pStyle w:val="NoSpacing"/>
              <w:rPr>
                <w:sz w:val="20"/>
                <w:szCs w:val="20"/>
              </w:rPr>
            </w:pPr>
            <w:r w:rsidRPr="00690EB0">
              <w:rPr>
                <w:sz w:val="20"/>
                <w:szCs w:val="20"/>
              </w:rPr>
              <w:t>10.8</w:t>
            </w:r>
          </w:p>
        </w:tc>
        <w:tc>
          <w:tcPr>
            <w:tcW w:w="1557" w:type="dxa"/>
            <w:shd w:val="clear" w:color="auto" w:fill="auto"/>
            <w:noWrap/>
            <w:vAlign w:val="bottom"/>
          </w:tcPr>
          <w:p w14:paraId="72F1D22F" w14:textId="77777777" w:rsidR="00B57970" w:rsidRPr="00690EB0" w:rsidRDefault="00B57970" w:rsidP="00B57970">
            <w:pPr>
              <w:pStyle w:val="NoSpacing"/>
              <w:rPr>
                <w:sz w:val="20"/>
                <w:szCs w:val="20"/>
              </w:rPr>
            </w:pPr>
            <w:r w:rsidRPr="00690EB0">
              <w:rPr>
                <w:sz w:val="20"/>
                <w:szCs w:val="20"/>
              </w:rPr>
              <w:t>97.4%</w:t>
            </w:r>
          </w:p>
        </w:tc>
        <w:tc>
          <w:tcPr>
            <w:tcW w:w="1200" w:type="dxa"/>
            <w:shd w:val="clear" w:color="auto" w:fill="auto"/>
            <w:noWrap/>
            <w:vAlign w:val="bottom"/>
          </w:tcPr>
          <w:p w14:paraId="4219532E" w14:textId="77777777" w:rsidR="00B57970" w:rsidRPr="00690EB0" w:rsidRDefault="00B57970" w:rsidP="00B57970">
            <w:pPr>
              <w:pStyle w:val="NoSpacing"/>
              <w:rPr>
                <w:sz w:val="20"/>
                <w:szCs w:val="20"/>
              </w:rPr>
            </w:pPr>
            <w:r w:rsidRPr="00690EB0">
              <w:rPr>
                <w:sz w:val="20"/>
                <w:szCs w:val="20"/>
              </w:rPr>
              <w:t>47.8</w:t>
            </w:r>
          </w:p>
        </w:tc>
      </w:tr>
      <w:tr w:rsidR="00B57970" w:rsidRPr="00690EB0" w14:paraId="425FBA43" w14:textId="77777777" w:rsidTr="00865C6E">
        <w:trPr>
          <w:trHeight w:val="300"/>
          <w:jc w:val="center"/>
        </w:trPr>
        <w:tc>
          <w:tcPr>
            <w:tcW w:w="1795" w:type="dxa"/>
            <w:shd w:val="clear" w:color="auto" w:fill="auto"/>
            <w:noWrap/>
            <w:vAlign w:val="bottom"/>
          </w:tcPr>
          <w:p w14:paraId="62F6378D" w14:textId="77777777" w:rsidR="00B57970" w:rsidRPr="00690EB0" w:rsidRDefault="00B57970" w:rsidP="00B57970">
            <w:pPr>
              <w:pStyle w:val="NoSpacing"/>
              <w:rPr>
                <w:sz w:val="20"/>
                <w:szCs w:val="20"/>
              </w:rPr>
            </w:pPr>
            <w:r w:rsidRPr="00690EB0">
              <w:rPr>
                <w:sz w:val="20"/>
                <w:szCs w:val="20"/>
              </w:rPr>
              <w:t>Sydenham River</w:t>
            </w:r>
          </w:p>
        </w:tc>
        <w:tc>
          <w:tcPr>
            <w:tcW w:w="530" w:type="dxa"/>
            <w:shd w:val="clear" w:color="auto" w:fill="auto"/>
            <w:noWrap/>
            <w:vAlign w:val="bottom"/>
          </w:tcPr>
          <w:p w14:paraId="1ABE0234" w14:textId="77777777" w:rsidR="00B57970" w:rsidRPr="00690EB0" w:rsidRDefault="00B57970" w:rsidP="00B57970">
            <w:pPr>
              <w:pStyle w:val="NoSpacing"/>
              <w:rPr>
                <w:sz w:val="20"/>
                <w:szCs w:val="20"/>
              </w:rPr>
            </w:pPr>
            <w:r w:rsidRPr="00690EB0">
              <w:rPr>
                <w:sz w:val="20"/>
                <w:szCs w:val="20"/>
              </w:rPr>
              <w:t>42</w:t>
            </w:r>
          </w:p>
        </w:tc>
        <w:tc>
          <w:tcPr>
            <w:tcW w:w="1272" w:type="dxa"/>
            <w:shd w:val="clear" w:color="auto" w:fill="auto"/>
            <w:noWrap/>
            <w:vAlign w:val="bottom"/>
          </w:tcPr>
          <w:p w14:paraId="0667408A" w14:textId="77777777" w:rsidR="00B57970" w:rsidRPr="00690EB0" w:rsidRDefault="00B57970" w:rsidP="00B57970">
            <w:pPr>
              <w:pStyle w:val="NoSpacing"/>
              <w:rPr>
                <w:sz w:val="20"/>
                <w:szCs w:val="20"/>
              </w:rPr>
            </w:pPr>
            <w:r w:rsidRPr="00690EB0">
              <w:rPr>
                <w:sz w:val="20"/>
                <w:szCs w:val="20"/>
              </w:rPr>
              <w:t>1</w:t>
            </w:r>
          </w:p>
        </w:tc>
        <w:tc>
          <w:tcPr>
            <w:tcW w:w="1000" w:type="dxa"/>
            <w:shd w:val="clear" w:color="auto" w:fill="auto"/>
            <w:noWrap/>
            <w:vAlign w:val="bottom"/>
          </w:tcPr>
          <w:p w14:paraId="422391B9" w14:textId="77777777" w:rsidR="00B57970" w:rsidRPr="00690EB0" w:rsidRDefault="00B57970" w:rsidP="00B57970">
            <w:pPr>
              <w:pStyle w:val="NoSpacing"/>
              <w:rPr>
                <w:sz w:val="20"/>
                <w:szCs w:val="20"/>
              </w:rPr>
            </w:pPr>
            <w:r w:rsidRPr="00690EB0">
              <w:rPr>
                <w:sz w:val="20"/>
                <w:szCs w:val="20"/>
              </w:rPr>
              <w:t>10.6</w:t>
            </w:r>
          </w:p>
        </w:tc>
        <w:tc>
          <w:tcPr>
            <w:tcW w:w="1240" w:type="dxa"/>
            <w:shd w:val="clear" w:color="auto" w:fill="auto"/>
            <w:noWrap/>
            <w:vAlign w:val="bottom"/>
          </w:tcPr>
          <w:p w14:paraId="699A4AC2" w14:textId="77777777" w:rsidR="00B57970" w:rsidRPr="00690EB0" w:rsidRDefault="00B57970" w:rsidP="00B57970">
            <w:pPr>
              <w:pStyle w:val="NoSpacing"/>
              <w:rPr>
                <w:sz w:val="20"/>
                <w:szCs w:val="20"/>
              </w:rPr>
            </w:pPr>
            <w:r w:rsidRPr="00690EB0">
              <w:rPr>
                <w:sz w:val="20"/>
                <w:szCs w:val="20"/>
              </w:rPr>
              <w:t>58.6</w:t>
            </w:r>
          </w:p>
        </w:tc>
        <w:tc>
          <w:tcPr>
            <w:tcW w:w="823" w:type="dxa"/>
            <w:shd w:val="clear" w:color="auto" w:fill="auto"/>
            <w:noWrap/>
            <w:vAlign w:val="bottom"/>
          </w:tcPr>
          <w:p w14:paraId="5F32EB89" w14:textId="77777777" w:rsidR="00B57970" w:rsidRPr="00690EB0" w:rsidRDefault="00B57970" w:rsidP="00B57970">
            <w:pPr>
              <w:pStyle w:val="NoSpacing"/>
              <w:rPr>
                <w:sz w:val="20"/>
                <w:szCs w:val="20"/>
              </w:rPr>
            </w:pPr>
            <w:r w:rsidRPr="00690EB0">
              <w:rPr>
                <w:sz w:val="20"/>
                <w:szCs w:val="20"/>
              </w:rPr>
              <w:t>142</w:t>
            </w:r>
          </w:p>
        </w:tc>
        <w:tc>
          <w:tcPr>
            <w:tcW w:w="1557" w:type="dxa"/>
            <w:shd w:val="clear" w:color="auto" w:fill="auto"/>
            <w:noWrap/>
            <w:vAlign w:val="bottom"/>
          </w:tcPr>
          <w:p w14:paraId="3F82D8A9" w14:textId="77777777" w:rsidR="00B57970" w:rsidRPr="00690EB0" w:rsidRDefault="00B57970" w:rsidP="00B57970">
            <w:pPr>
              <w:pStyle w:val="NoSpacing"/>
              <w:rPr>
                <w:sz w:val="20"/>
                <w:szCs w:val="20"/>
              </w:rPr>
            </w:pPr>
            <w:r w:rsidRPr="00690EB0">
              <w:rPr>
                <w:sz w:val="20"/>
                <w:szCs w:val="20"/>
              </w:rPr>
              <w:t>97.6%</w:t>
            </w:r>
          </w:p>
        </w:tc>
        <w:tc>
          <w:tcPr>
            <w:tcW w:w="1200" w:type="dxa"/>
            <w:shd w:val="clear" w:color="auto" w:fill="auto"/>
            <w:noWrap/>
            <w:vAlign w:val="bottom"/>
          </w:tcPr>
          <w:p w14:paraId="19BEA8D5" w14:textId="77777777" w:rsidR="00B57970" w:rsidRPr="00690EB0" w:rsidRDefault="00B57970" w:rsidP="00B57970">
            <w:pPr>
              <w:pStyle w:val="NoSpacing"/>
              <w:rPr>
                <w:sz w:val="20"/>
                <w:szCs w:val="20"/>
              </w:rPr>
            </w:pPr>
            <w:r w:rsidRPr="00690EB0">
              <w:rPr>
                <w:sz w:val="20"/>
                <w:szCs w:val="20"/>
              </w:rPr>
              <w:t>743</w:t>
            </w:r>
          </w:p>
        </w:tc>
      </w:tr>
      <w:tr w:rsidR="00B57970" w:rsidRPr="00690EB0" w14:paraId="492F637A" w14:textId="77777777" w:rsidTr="00865C6E">
        <w:trPr>
          <w:trHeight w:val="300"/>
          <w:jc w:val="center"/>
        </w:trPr>
        <w:tc>
          <w:tcPr>
            <w:tcW w:w="1795" w:type="dxa"/>
            <w:shd w:val="clear" w:color="auto" w:fill="auto"/>
            <w:noWrap/>
            <w:vAlign w:val="bottom"/>
          </w:tcPr>
          <w:p w14:paraId="6D796FBC" w14:textId="77777777" w:rsidR="00B57970" w:rsidRPr="00690EB0" w:rsidRDefault="00B57970" w:rsidP="00B57970">
            <w:pPr>
              <w:pStyle w:val="NoSpacing"/>
              <w:rPr>
                <w:sz w:val="20"/>
                <w:szCs w:val="20"/>
              </w:rPr>
            </w:pPr>
            <w:r w:rsidRPr="00690EB0">
              <w:rPr>
                <w:sz w:val="20"/>
                <w:szCs w:val="20"/>
              </w:rPr>
              <w:t>Thames River</w:t>
            </w:r>
          </w:p>
        </w:tc>
        <w:tc>
          <w:tcPr>
            <w:tcW w:w="530" w:type="dxa"/>
            <w:shd w:val="clear" w:color="auto" w:fill="auto"/>
            <w:noWrap/>
            <w:vAlign w:val="bottom"/>
          </w:tcPr>
          <w:p w14:paraId="66C05F81" w14:textId="77777777" w:rsidR="00B57970" w:rsidRPr="00690EB0" w:rsidRDefault="00B57970" w:rsidP="00B57970">
            <w:pPr>
              <w:pStyle w:val="NoSpacing"/>
              <w:rPr>
                <w:sz w:val="20"/>
                <w:szCs w:val="20"/>
              </w:rPr>
            </w:pPr>
            <w:r w:rsidRPr="00690EB0">
              <w:rPr>
                <w:sz w:val="20"/>
                <w:szCs w:val="20"/>
              </w:rPr>
              <w:t>30</w:t>
            </w:r>
          </w:p>
        </w:tc>
        <w:tc>
          <w:tcPr>
            <w:tcW w:w="1272" w:type="dxa"/>
            <w:shd w:val="clear" w:color="auto" w:fill="auto"/>
            <w:noWrap/>
            <w:vAlign w:val="bottom"/>
          </w:tcPr>
          <w:p w14:paraId="7D1CBA64" w14:textId="77777777" w:rsidR="00B57970" w:rsidRPr="00690EB0" w:rsidRDefault="00B57970" w:rsidP="00B57970">
            <w:pPr>
              <w:pStyle w:val="NoSpacing"/>
              <w:rPr>
                <w:sz w:val="20"/>
                <w:szCs w:val="20"/>
              </w:rPr>
            </w:pPr>
            <w:r w:rsidRPr="00690EB0">
              <w:rPr>
                <w:sz w:val="20"/>
                <w:szCs w:val="20"/>
              </w:rPr>
              <w:t>0</w:t>
            </w:r>
          </w:p>
        </w:tc>
        <w:tc>
          <w:tcPr>
            <w:tcW w:w="1000" w:type="dxa"/>
            <w:shd w:val="clear" w:color="auto" w:fill="auto"/>
            <w:noWrap/>
            <w:vAlign w:val="bottom"/>
          </w:tcPr>
          <w:p w14:paraId="5227890F" w14:textId="77777777" w:rsidR="00B57970" w:rsidRPr="00690EB0" w:rsidRDefault="00B57970" w:rsidP="00B57970">
            <w:pPr>
              <w:pStyle w:val="NoSpacing"/>
              <w:rPr>
                <w:sz w:val="20"/>
                <w:szCs w:val="20"/>
              </w:rPr>
            </w:pPr>
            <w:r w:rsidRPr="00690EB0">
              <w:rPr>
                <w:sz w:val="20"/>
                <w:szCs w:val="20"/>
              </w:rPr>
              <w:t>11.1</w:t>
            </w:r>
          </w:p>
        </w:tc>
        <w:tc>
          <w:tcPr>
            <w:tcW w:w="1240" w:type="dxa"/>
            <w:shd w:val="clear" w:color="auto" w:fill="auto"/>
            <w:noWrap/>
            <w:vAlign w:val="bottom"/>
          </w:tcPr>
          <w:p w14:paraId="51C1F2AB" w14:textId="77777777" w:rsidR="00B57970" w:rsidRPr="00690EB0" w:rsidRDefault="00B57970" w:rsidP="00B57970">
            <w:pPr>
              <w:pStyle w:val="NoSpacing"/>
              <w:rPr>
                <w:sz w:val="20"/>
                <w:szCs w:val="20"/>
              </w:rPr>
            </w:pPr>
            <w:r w:rsidRPr="00690EB0">
              <w:rPr>
                <w:sz w:val="20"/>
                <w:szCs w:val="20"/>
              </w:rPr>
              <w:t>24.9</w:t>
            </w:r>
          </w:p>
        </w:tc>
        <w:tc>
          <w:tcPr>
            <w:tcW w:w="823" w:type="dxa"/>
            <w:shd w:val="clear" w:color="auto" w:fill="auto"/>
            <w:noWrap/>
            <w:vAlign w:val="bottom"/>
          </w:tcPr>
          <w:p w14:paraId="18876B61" w14:textId="77777777" w:rsidR="00B57970" w:rsidRPr="00690EB0" w:rsidRDefault="00B57970" w:rsidP="00B57970">
            <w:pPr>
              <w:pStyle w:val="NoSpacing"/>
              <w:rPr>
                <w:sz w:val="20"/>
                <w:szCs w:val="20"/>
              </w:rPr>
            </w:pPr>
            <w:r w:rsidRPr="00690EB0">
              <w:rPr>
                <w:sz w:val="20"/>
                <w:szCs w:val="20"/>
              </w:rPr>
              <w:t>31.2</w:t>
            </w:r>
          </w:p>
        </w:tc>
        <w:tc>
          <w:tcPr>
            <w:tcW w:w="1557" w:type="dxa"/>
            <w:shd w:val="clear" w:color="auto" w:fill="auto"/>
            <w:noWrap/>
            <w:vAlign w:val="bottom"/>
          </w:tcPr>
          <w:p w14:paraId="1E2F393D" w14:textId="77777777" w:rsidR="00B57970" w:rsidRPr="00690EB0" w:rsidRDefault="00B57970" w:rsidP="00B57970">
            <w:pPr>
              <w:pStyle w:val="NoSpacing"/>
              <w:rPr>
                <w:sz w:val="20"/>
                <w:szCs w:val="20"/>
              </w:rPr>
            </w:pPr>
            <w:r w:rsidRPr="00690EB0">
              <w:rPr>
                <w:sz w:val="20"/>
                <w:szCs w:val="20"/>
              </w:rPr>
              <w:t>100.0%</w:t>
            </w:r>
          </w:p>
        </w:tc>
        <w:tc>
          <w:tcPr>
            <w:tcW w:w="1200" w:type="dxa"/>
            <w:shd w:val="clear" w:color="auto" w:fill="auto"/>
            <w:noWrap/>
            <w:vAlign w:val="bottom"/>
          </w:tcPr>
          <w:p w14:paraId="14B39A33" w14:textId="77777777" w:rsidR="00B57970" w:rsidRPr="00690EB0" w:rsidRDefault="00B57970" w:rsidP="00B57970">
            <w:pPr>
              <w:pStyle w:val="NoSpacing"/>
              <w:rPr>
                <w:sz w:val="20"/>
                <w:szCs w:val="20"/>
              </w:rPr>
            </w:pPr>
            <w:r w:rsidRPr="00690EB0">
              <w:rPr>
                <w:sz w:val="20"/>
                <w:szCs w:val="20"/>
              </w:rPr>
              <w:t>126</w:t>
            </w:r>
          </w:p>
        </w:tc>
      </w:tr>
      <w:tr w:rsidR="00B57970" w:rsidRPr="00690EB0" w14:paraId="05DCA0CF" w14:textId="77777777" w:rsidTr="00865C6E">
        <w:trPr>
          <w:trHeight w:val="300"/>
          <w:jc w:val="center"/>
        </w:trPr>
        <w:tc>
          <w:tcPr>
            <w:tcW w:w="1795" w:type="dxa"/>
            <w:shd w:val="clear" w:color="auto" w:fill="auto"/>
            <w:noWrap/>
            <w:vAlign w:val="bottom"/>
          </w:tcPr>
          <w:p w14:paraId="3A082E11" w14:textId="77777777" w:rsidR="00B57970" w:rsidRPr="00690EB0" w:rsidRDefault="00B57970" w:rsidP="00B57970">
            <w:pPr>
              <w:pStyle w:val="NoSpacing"/>
              <w:rPr>
                <w:sz w:val="20"/>
                <w:szCs w:val="20"/>
              </w:rPr>
            </w:pPr>
            <w:r w:rsidRPr="00690EB0">
              <w:rPr>
                <w:sz w:val="20"/>
                <w:szCs w:val="20"/>
              </w:rPr>
              <w:t>Prudhomme Creek</w:t>
            </w:r>
          </w:p>
        </w:tc>
        <w:tc>
          <w:tcPr>
            <w:tcW w:w="530" w:type="dxa"/>
            <w:shd w:val="clear" w:color="auto" w:fill="auto"/>
            <w:noWrap/>
            <w:vAlign w:val="bottom"/>
          </w:tcPr>
          <w:p w14:paraId="66DC077B" w14:textId="77777777" w:rsidR="00B57970" w:rsidRPr="00690EB0" w:rsidRDefault="00B57970" w:rsidP="00B57970">
            <w:pPr>
              <w:pStyle w:val="NoSpacing"/>
              <w:rPr>
                <w:sz w:val="20"/>
                <w:szCs w:val="20"/>
              </w:rPr>
            </w:pPr>
            <w:r w:rsidRPr="00690EB0">
              <w:rPr>
                <w:sz w:val="20"/>
                <w:szCs w:val="20"/>
              </w:rPr>
              <w:t>39</w:t>
            </w:r>
          </w:p>
        </w:tc>
        <w:tc>
          <w:tcPr>
            <w:tcW w:w="1272" w:type="dxa"/>
            <w:shd w:val="clear" w:color="auto" w:fill="auto"/>
            <w:noWrap/>
            <w:vAlign w:val="bottom"/>
          </w:tcPr>
          <w:p w14:paraId="2217FA90" w14:textId="77777777" w:rsidR="00B57970" w:rsidRPr="00690EB0" w:rsidRDefault="00B57970" w:rsidP="00B57970">
            <w:pPr>
              <w:pStyle w:val="NoSpacing"/>
              <w:rPr>
                <w:sz w:val="20"/>
                <w:szCs w:val="20"/>
              </w:rPr>
            </w:pPr>
            <w:r w:rsidRPr="00690EB0">
              <w:rPr>
                <w:sz w:val="20"/>
                <w:szCs w:val="20"/>
              </w:rPr>
              <w:t>11</w:t>
            </w:r>
          </w:p>
        </w:tc>
        <w:tc>
          <w:tcPr>
            <w:tcW w:w="1000" w:type="dxa"/>
            <w:shd w:val="clear" w:color="auto" w:fill="auto"/>
            <w:noWrap/>
            <w:vAlign w:val="bottom"/>
          </w:tcPr>
          <w:p w14:paraId="0CF429FA" w14:textId="77777777" w:rsidR="00B57970" w:rsidRPr="00690EB0" w:rsidRDefault="00B57970" w:rsidP="00B57970">
            <w:pPr>
              <w:pStyle w:val="NoSpacing"/>
              <w:rPr>
                <w:sz w:val="20"/>
                <w:szCs w:val="20"/>
              </w:rPr>
            </w:pPr>
            <w:r w:rsidRPr="00690EB0">
              <w:rPr>
                <w:sz w:val="20"/>
                <w:szCs w:val="20"/>
              </w:rPr>
              <w:t>3.16</w:t>
            </w:r>
          </w:p>
        </w:tc>
        <w:tc>
          <w:tcPr>
            <w:tcW w:w="1240" w:type="dxa"/>
            <w:shd w:val="clear" w:color="auto" w:fill="auto"/>
            <w:noWrap/>
            <w:vAlign w:val="bottom"/>
          </w:tcPr>
          <w:p w14:paraId="0DFB1020" w14:textId="77777777" w:rsidR="00B57970" w:rsidRPr="00690EB0" w:rsidRDefault="00B57970" w:rsidP="00B57970">
            <w:pPr>
              <w:pStyle w:val="NoSpacing"/>
              <w:rPr>
                <w:sz w:val="20"/>
                <w:szCs w:val="20"/>
              </w:rPr>
            </w:pPr>
            <w:r w:rsidRPr="00690EB0">
              <w:rPr>
                <w:sz w:val="20"/>
                <w:szCs w:val="20"/>
              </w:rPr>
              <w:t>15.3</w:t>
            </w:r>
          </w:p>
        </w:tc>
        <w:tc>
          <w:tcPr>
            <w:tcW w:w="823" w:type="dxa"/>
            <w:shd w:val="clear" w:color="auto" w:fill="auto"/>
            <w:noWrap/>
            <w:vAlign w:val="bottom"/>
          </w:tcPr>
          <w:p w14:paraId="73A646DB" w14:textId="77777777" w:rsidR="00B57970" w:rsidRPr="00690EB0" w:rsidRDefault="00B57970" w:rsidP="00B57970">
            <w:pPr>
              <w:pStyle w:val="NoSpacing"/>
              <w:rPr>
                <w:sz w:val="20"/>
                <w:szCs w:val="20"/>
              </w:rPr>
            </w:pPr>
            <w:r w:rsidRPr="00690EB0">
              <w:rPr>
                <w:sz w:val="20"/>
                <w:szCs w:val="20"/>
              </w:rPr>
              <w:t>37</w:t>
            </w:r>
          </w:p>
        </w:tc>
        <w:tc>
          <w:tcPr>
            <w:tcW w:w="1557" w:type="dxa"/>
            <w:shd w:val="clear" w:color="auto" w:fill="auto"/>
            <w:noWrap/>
            <w:vAlign w:val="bottom"/>
          </w:tcPr>
          <w:p w14:paraId="4CF93858" w14:textId="77777777" w:rsidR="00B57970" w:rsidRPr="00690EB0" w:rsidRDefault="00B57970" w:rsidP="00B57970">
            <w:pPr>
              <w:pStyle w:val="NoSpacing"/>
              <w:rPr>
                <w:sz w:val="20"/>
                <w:szCs w:val="20"/>
              </w:rPr>
            </w:pPr>
            <w:r w:rsidRPr="00690EB0">
              <w:rPr>
                <w:sz w:val="20"/>
                <w:szCs w:val="20"/>
              </w:rPr>
              <w:t>71.8%</w:t>
            </w:r>
          </w:p>
        </w:tc>
        <w:tc>
          <w:tcPr>
            <w:tcW w:w="1200" w:type="dxa"/>
            <w:shd w:val="clear" w:color="auto" w:fill="auto"/>
            <w:noWrap/>
            <w:vAlign w:val="bottom"/>
          </w:tcPr>
          <w:p w14:paraId="0FF35A51" w14:textId="77777777" w:rsidR="00B57970" w:rsidRPr="00690EB0" w:rsidRDefault="00B57970" w:rsidP="00B57970">
            <w:pPr>
              <w:pStyle w:val="NoSpacing"/>
              <w:rPr>
                <w:sz w:val="20"/>
                <w:szCs w:val="20"/>
              </w:rPr>
            </w:pPr>
            <w:r w:rsidRPr="00690EB0">
              <w:rPr>
                <w:sz w:val="20"/>
                <w:szCs w:val="20"/>
              </w:rPr>
              <w:t>143</w:t>
            </w:r>
          </w:p>
        </w:tc>
      </w:tr>
    </w:tbl>
    <w:p w14:paraId="2FFF9DF9" w14:textId="77777777" w:rsidR="00B74A7B" w:rsidRDefault="00B74A7B" w:rsidP="00B57970"/>
    <w:p w14:paraId="1F416300" w14:textId="6BE21838" w:rsidR="00B57970" w:rsidRDefault="00B57970" w:rsidP="00B57970">
      <w:r>
        <w:t xml:space="preserve">In 2017, </w:t>
      </w:r>
      <w:r w:rsidRPr="009E534F">
        <w:rPr>
          <w:b/>
        </w:rPr>
        <w:t xml:space="preserve">Miles </w:t>
      </w:r>
      <w:r w:rsidRPr="009E534F">
        <w:rPr>
          <w:b/>
          <w:i/>
        </w:rPr>
        <w:t>et al</w:t>
      </w:r>
      <w:r w:rsidRPr="009E534F">
        <w:rPr>
          <w:i/>
        </w:rPr>
        <w:t>.</w:t>
      </w:r>
      <w:r>
        <w:t xml:space="preserve"> conducted field surveys to determine neonicotinoid concentrations in soil and water samples from multiple sites in Tippecanoe Co., Indiana. Study authors tested for acetamiprid, clothianidin, imidacloprid, and thiamethoxam in soil and water. The four sampled locations had an </w:t>
      </w:r>
      <w:r>
        <w:lastRenderedPageBreak/>
        <w:t>associated stream or ditch that served as a location for our water samples. One site was selected because it contained wetland areas that would allow assessment of neonicotinoid concentrations in lentic water bodies. Sampling was performed at each site two weeks prior to planting and weekly from two through eight weeks post-planting. Only water sampling was conducted at two of the sites</w:t>
      </w:r>
      <w:r w:rsidR="00B74A7B">
        <w:t xml:space="preserve">. </w:t>
      </w:r>
      <w:r>
        <w:t>Thiamethoxam was not detected any of the soil samples (</w:t>
      </w:r>
      <w:r w:rsidRPr="00657096">
        <w:t>n = 32</w:t>
      </w:r>
      <w:r>
        <w:t xml:space="preserve">). Thiamethoxam was detected in </w:t>
      </w:r>
      <w:r w:rsidRPr="00657096">
        <w:t>98%</w:t>
      </w:r>
      <w:r>
        <w:t xml:space="preserve"> of water samples (</w:t>
      </w:r>
      <w:r w:rsidRPr="00657096">
        <w:t>n = 48</w:t>
      </w:r>
      <w:r>
        <w:t xml:space="preserve">).  The mean thiamethoxam concentration across all sites and sample periods was </w:t>
      </w:r>
      <w:r w:rsidRPr="00106A10">
        <w:rPr>
          <w:i/>
          <w:iCs/>
        </w:rPr>
        <w:t>3 ng/L</w:t>
      </w:r>
      <w:r w:rsidR="00106A10">
        <w:rPr>
          <w:rStyle w:val="FootnoteReference"/>
          <w:i/>
          <w:iCs/>
        </w:rPr>
        <w:footnoteReference w:id="3"/>
      </w:r>
      <w:r>
        <w:t>, with a maximum concentration of</w:t>
      </w:r>
      <w:r w:rsidRPr="00106A10">
        <w:t xml:space="preserve"> </w:t>
      </w:r>
      <w:r w:rsidRPr="00106A10">
        <w:rPr>
          <w:i/>
          <w:iCs/>
        </w:rPr>
        <w:t>2</w:t>
      </w:r>
      <w:r w:rsidR="00106A10" w:rsidRPr="00106A10">
        <w:rPr>
          <w:i/>
          <w:iCs/>
        </w:rPr>
        <w:t>0</w:t>
      </w:r>
      <w:r w:rsidRPr="00106A10">
        <w:rPr>
          <w:i/>
          <w:iCs/>
        </w:rPr>
        <w:t xml:space="preserve"> ng/L</w:t>
      </w:r>
      <w:r w:rsidRPr="00106A10">
        <w:t xml:space="preserve"> </w:t>
      </w:r>
      <w:r>
        <w:t xml:space="preserve">obtained from a water (stream) sample from the Martell Forest location.  In general, concentrations tended to peak 5 to 7 weeks </w:t>
      </w:r>
      <w:r w:rsidR="002A1187">
        <w:t>after</w:t>
      </w:r>
      <w:r>
        <w:t xml:space="preserve"> planting.  Clothianidin was detected in 81% of the soil samples (n = 32). The mean clothianidin concentration in soils across all sites and sampling periods was 24,200 ng/kg, with a maximum concentration of across all sites and sample periods of 176,000 ng/kg.</w:t>
      </w:r>
      <w:r w:rsidRPr="000D5BBA">
        <w:t xml:space="preserve"> </w:t>
      </w:r>
      <w:r>
        <w:t xml:space="preserve"> Peak concentrations tended to occur 4 weeks </w:t>
      </w:r>
      <w:r w:rsidR="002A1187">
        <w:t>after</w:t>
      </w:r>
      <w:r>
        <w:t xml:space="preserve"> planting. Clothianidin was detected in 96% of water samples (n = 48). The mean clothianidin concentration across all sites and sample periods was 100 ng/L, with a maximum concentration of 670 ng/L. </w:t>
      </w:r>
    </w:p>
    <w:p w14:paraId="00768815" w14:textId="4075DB4C" w:rsidR="00B57970" w:rsidRDefault="00B57970" w:rsidP="00B57970">
      <w:r>
        <w:t xml:space="preserve">Since 2003, the </w:t>
      </w:r>
      <w:r w:rsidRPr="009E534F">
        <w:rPr>
          <w:b/>
        </w:rPr>
        <w:t>Washington State Departments of Agriculture and Ecology</w:t>
      </w:r>
      <w:r w:rsidR="009917EA">
        <w:t xml:space="preserve"> (</w:t>
      </w:r>
      <w:r w:rsidR="009917EA" w:rsidRPr="00B74A7B">
        <w:t>Tuttle G.</w:t>
      </w:r>
      <w:r w:rsidR="009917EA">
        <w:t xml:space="preserve">, </w:t>
      </w:r>
      <w:r w:rsidR="009917EA" w:rsidRPr="00B74A7B">
        <w:t>2014</w:t>
      </w:r>
      <w:r w:rsidR="009917EA">
        <w:t xml:space="preserve">) </w:t>
      </w:r>
      <w:r>
        <w:t>ha</w:t>
      </w:r>
      <w:r w:rsidR="0039641A">
        <w:t>ve</w:t>
      </w:r>
      <w:r>
        <w:t xml:space="preserve"> been conducting a multi-year monitoring program to characterize pesticide concentrations in selected salmon-bearing streams during the typical pesticide application season (March – September) in Washington. In 2014 monitoring was conducted in seven </w:t>
      </w:r>
      <w:r w:rsidRPr="002D61C7">
        <w:t>Water Resource Inventory Area</w:t>
      </w:r>
      <w:r>
        <w:t>s (WRIAs), five agricultural and two urban basins, for a total of 15 sample sites. S</w:t>
      </w:r>
      <w:r w:rsidRPr="002D61C7">
        <w:t>ampling was conducted weekly at most monitoring locations for 27 consecutive weeks, beginning the second week in March and continuing through to the second week in September.</w:t>
      </w:r>
      <w:r>
        <w:t xml:space="preserve">  </w:t>
      </w:r>
      <w:r w:rsidRPr="002D61C7">
        <w:t>Surface water samples were collected by hand-compositing grab samples from quarter-point transects across each stream.</w:t>
      </w:r>
      <w:r>
        <w:t xml:space="preserve"> </w:t>
      </w:r>
      <w:r w:rsidRPr="002D61C7">
        <w:t>In situations where streamflow was vertically integrated, a one-liter transfer container was used to dip and pour water from the stream into sample containers.</w:t>
      </w:r>
      <w:r>
        <w:t xml:space="preserve"> Additionally, s</w:t>
      </w:r>
      <w:r w:rsidRPr="002D61C7">
        <w:t>everal conventional water quality parameters were measured: pH, conductivity, continuous temperature data (collected at 30-minute intervals), dissolved oxygen, and streamflow.</w:t>
      </w:r>
      <w:r>
        <w:t xml:space="preserve"> </w:t>
      </w:r>
      <w:r w:rsidRPr="002D61C7">
        <w:t>Laboratory surrogate recovery, laboratory blanks, laboratory control samples (LCS), and laboratory control sample duplicates (LCSD)</w:t>
      </w:r>
      <w:r>
        <w:t xml:space="preserve"> we</w:t>
      </w:r>
      <w:r w:rsidRPr="002D61C7">
        <w:t xml:space="preserve">re analyzed as the laboratory component of QA/QC. </w:t>
      </w:r>
      <w:r>
        <w:t xml:space="preserve"> </w:t>
      </w:r>
      <w:r w:rsidRPr="002D61C7">
        <w:t>Field blanks, field replicates, matrix spikes (MS), and matrix spike duplicates (MSD) integrate</w:t>
      </w:r>
      <w:r>
        <w:t>d</w:t>
      </w:r>
      <w:r w:rsidRPr="002D61C7">
        <w:t xml:space="preserve"> field and laboratory components. </w:t>
      </w:r>
      <w:r>
        <w:t xml:space="preserve"> Six</w:t>
      </w:r>
      <w:r w:rsidRPr="002D61C7">
        <w:t>teen percent of the field samples analyzed in 201</w:t>
      </w:r>
      <w:r>
        <w:t>4</w:t>
      </w:r>
      <w:r w:rsidRPr="002D61C7">
        <w:t xml:space="preserve"> were QA samples.</w:t>
      </w:r>
      <w:r>
        <w:t xml:space="preserve"> In 2014, the program began to monitor for clothianidin (lower practical quantitation limit of 50 ng/L).  None of the samples collected in 2014 contained detectable levels of clothianidin. Thiamethoxam was detected at 7 sampling sites in 4 WRIAs at concentrations ranging from 6 to 53 ng/L (n=405, detects=41).  </w:t>
      </w:r>
    </w:p>
    <w:p w14:paraId="1E511F36" w14:textId="312B726D" w:rsidR="00B57970" w:rsidRDefault="00B57970" w:rsidP="00B57970">
      <w:r>
        <w:t>From 2012-2013</w:t>
      </w:r>
      <w:r w:rsidRPr="009E534F">
        <w:rPr>
          <w:b/>
        </w:rPr>
        <w:t xml:space="preserve">, Main </w:t>
      </w:r>
      <w:r w:rsidRPr="009E534F">
        <w:rPr>
          <w:b/>
          <w:i/>
        </w:rPr>
        <w:t>et al</w:t>
      </w:r>
      <w:r w:rsidRPr="009E534F">
        <w:rPr>
          <w:i/>
        </w:rPr>
        <w:t>.</w:t>
      </w:r>
      <w:r>
        <w:t xml:space="preserve"> evaluated the potential impact to ecologically significant wetlands in Canada’s major Prairie crop growing region </w:t>
      </w:r>
      <w:r w:rsidR="0053636F">
        <w:t>from</w:t>
      </w:r>
      <w:r>
        <w:t xml:space="preserve"> seed treatments of n</w:t>
      </w:r>
      <w:r w:rsidRPr="00BD1E10">
        <w:t>eonicotinoids</w:t>
      </w:r>
      <w:r>
        <w:t>. Study authors</w:t>
      </w:r>
      <w:r w:rsidRPr="00BD1E10">
        <w:t xml:space="preserve"> </w:t>
      </w:r>
      <w:r>
        <w:t>modelled the spatial distribution of neonicotinoid use across central</w:t>
      </w:r>
      <w:r w:rsidRPr="00DA3BF8">
        <w:t xml:space="preserve"> Saskatchewan </w:t>
      </w:r>
      <w:r>
        <w:t xml:space="preserve">in combination with temporal assessments of water and sediment concentrations in wetlands to measure four active ingredients (clothianidin, thiamethoxam, imidacloprid and acetamiprid). From 2009 to 2012, neonicotinoid use increased from 7.7 million hectares to nearly 11 million hectares (44% of Prairie cropland) and from 150,000 kg to 216,000 kg of active ingredients. The dominant seed treatments by mass and area were thiamethoxam followed by clothianidin. Areas of high neonicotinoid use were </w:t>
      </w:r>
      <w:r>
        <w:lastRenderedPageBreak/>
        <w:t xml:space="preserve">identified as </w:t>
      </w:r>
      <w:r w:rsidR="00204262">
        <w:t>high-density</w:t>
      </w:r>
      <w:r>
        <w:t xml:space="preserve"> canola or soybean production. Water sampled four times (spring, summer, fall 2012 and spring 2013) from 136 wetlands across four rural municipalities in Saskatchewan similarly revealed clothianidin and thiamethoxam in the majority of samples.  A summary of the results is </w:t>
      </w:r>
      <w:r w:rsidRPr="00034B3B">
        <w:t xml:space="preserve">provided in </w:t>
      </w:r>
      <w:r w:rsidRPr="009E534F">
        <w:rPr>
          <w:b/>
        </w:rPr>
        <w:t xml:space="preserve">Table </w:t>
      </w:r>
      <w:r w:rsidR="003D19E9">
        <w:rPr>
          <w:b/>
        </w:rPr>
        <w:t>2</w:t>
      </w:r>
      <w:r w:rsidRPr="00034B3B">
        <w:t>. In</w:t>
      </w:r>
      <w:r>
        <w:t xml:space="preserve"> spring 2012 prior to seeding, 36% of wetlands contained at least one neonicotinoid. Detections increased to 62% in summer 2012, declined to 16% in fall, and increased to 91% the following spring 2013 after ice-off.  Peak concentrations were recorded during summer 2012 for both thiamethoxam (1490 ng/L, LOQ=1.8 ng/L) and clothianidin (3110 ng/L, LOQ=1.2 ng/L).  Sediment samples collected during the same period rarely (6%) contained neonicotinoid concentrations (≤ 20 ng/L).  Wetlands situated in barley, canola and oat fields consistently contained higher mean concentrations of neonicotinoids than in grasslands, but no individual crop singularly influenced overall detections or concentrations. Study authors concluded that frequently detected neonicotinoid concentrations in Prairie wetlands suggested high persistence and transport into wetlands.</w:t>
      </w:r>
    </w:p>
    <w:p w14:paraId="29272C97" w14:textId="045670F2" w:rsidR="00B57970" w:rsidRDefault="00B57970" w:rsidP="00B57970">
      <w:pPr>
        <w:sectPr w:rsidR="00B57970" w:rsidSect="00B57970">
          <w:footerReference w:type="default" r:id="rId12"/>
          <w:pgSz w:w="12240" w:h="15840"/>
          <w:pgMar w:top="1440" w:right="1440" w:bottom="1440" w:left="1440" w:header="720" w:footer="720" w:gutter="0"/>
          <w:cols w:space="720"/>
          <w:docGrid w:linePitch="360"/>
        </w:sectPr>
      </w:pPr>
      <w:r>
        <w:t xml:space="preserve">In 2015 </w:t>
      </w:r>
      <w:r w:rsidRPr="009E534F">
        <w:rPr>
          <w:b/>
        </w:rPr>
        <w:t xml:space="preserve">Morrissey </w:t>
      </w:r>
      <w:r w:rsidRPr="009E534F">
        <w:rPr>
          <w:b/>
          <w:i/>
        </w:rPr>
        <w:t>et al</w:t>
      </w:r>
      <w:r w:rsidRPr="009E534F">
        <w:rPr>
          <w:i/>
        </w:rPr>
        <w:t>.</w:t>
      </w:r>
      <w:r>
        <w:t xml:space="preserve"> conducted a review to synthesize the current state of knowledge on the reported concentrations of neonicotinoids in surface waters from 29 studies in 9 countries world-wide. Neonicotinoids were detected in most surface waters sampled, including puddled water, irrigation channels, streams, rivers, and wetlands in proximity to, or receiving runoff from, agricultural cropland.  Strong evidence exists that water-borne neonicotinoid exposures are frequent, long-term and at levels (geometric means = 130 ng/L (averages) and 630 ng/L (maxima)) which commonly exceed several existing water quality guidelines. Thiamethoxam was assessed in eleven studies, seven of which were conducted in the United States or Canada with dates ranging from 2005 to 2013. Reported detection limits ranged from 0.63 to 100 ng/L. Mean detected concentrations across the studies ranged from 2.65 to 7,700 ng/L, while maximum detected concentrations across the studies ranged from 1.1 to 225,000 ng/L. Reported detections rang</w:t>
      </w:r>
      <w:r w:rsidR="0053636F">
        <w:t>ed</w:t>
      </w:r>
      <w:r>
        <w:t xml:space="preserve"> from 3-100% of the samples collected. In one study thiamethoxam was </w:t>
      </w:r>
      <w:r w:rsidRPr="00034B3B">
        <w:t xml:space="preserve">detected in ground water in Wisconsin at a maximum concentration of </w:t>
      </w:r>
      <w:r>
        <w:t>8,9</w:t>
      </w:r>
      <w:r w:rsidRPr="00034B3B">
        <w:t xml:space="preserve">30 ng/L and a mean concentration of </w:t>
      </w:r>
      <w:r>
        <w:t>1,590</w:t>
      </w:r>
      <w:r w:rsidRPr="00034B3B">
        <w:t xml:space="preserve"> ng/L. A summary of the results is provided in </w:t>
      </w:r>
      <w:r w:rsidRPr="009E534F">
        <w:rPr>
          <w:b/>
        </w:rPr>
        <w:t xml:space="preserve">Table </w:t>
      </w:r>
      <w:r w:rsidR="003D19E9">
        <w:rPr>
          <w:b/>
        </w:rPr>
        <w:t>3</w:t>
      </w:r>
      <w:r w:rsidRPr="00034B3B">
        <w:t>.</w:t>
      </w:r>
      <w:r>
        <w:t xml:space="preserve"> The highest concentrations in surface water resulted from </w:t>
      </w:r>
      <w:r w:rsidR="0053636F">
        <w:t xml:space="preserve">the </w:t>
      </w:r>
      <w:r>
        <w:t>sampling of playa wetlands in Texas.</w:t>
      </w:r>
    </w:p>
    <w:p w14:paraId="5EE66BC1" w14:textId="4514BC9D" w:rsidR="00B57970" w:rsidRPr="00DE7330" w:rsidRDefault="00B57970" w:rsidP="00DE7330">
      <w:pPr>
        <w:pStyle w:val="Caption"/>
        <w:spacing w:after="0"/>
        <w:rPr>
          <w:smallCaps w:val="0"/>
          <w:color w:val="auto"/>
        </w:rPr>
      </w:pPr>
      <w:bookmarkStart w:id="1" w:name="_Toc80106061"/>
      <w:r w:rsidRPr="00DE7330">
        <w:rPr>
          <w:smallCaps w:val="0"/>
          <w:color w:val="auto"/>
        </w:rPr>
        <w:lastRenderedPageBreak/>
        <w:t xml:space="preserve">Table </w:t>
      </w:r>
      <w:r w:rsidR="00DE7330" w:rsidRPr="00DE7330">
        <w:rPr>
          <w:smallCaps w:val="0"/>
          <w:color w:val="auto"/>
        </w:rPr>
        <w:fldChar w:fldCharType="begin"/>
      </w:r>
      <w:r w:rsidR="00DE7330" w:rsidRPr="00DE7330">
        <w:rPr>
          <w:smallCaps w:val="0"/>
          <w:color w:val="auto"/>
        </w:rPr>
        <w:instrText xml:space="preserve"> SEQ Table \* ARABIC </w:instrText>
      </w:r>
      <w:r w:rsidR="00DE7330" w:rsidRPr="00DE7330">
        <w:rPr>
          <w:smallCaps w:val="0"/>
          <w:color w:val="auto"/>
        </w:rPr>
        <w:fldChar w:fldCharType="separate"/>
      </w:r>
      <w:r w:rsidR="00DE7330">
        <w:rPr>
          <w:smallCaps w:val="0"/>
          <w:noProof/>
          <w:color w:val="auto"/>
        </w:rPr>
        <w:t>2</w:t>
      </w:r>
      <w:r w:rsidR="00DE7330" w:rsidRPr="00DE7330">
        <w:rPr>
          <w:smallCaps w:val="0"/>
          <w:color w:val="auto"/>
        </w:rPr>
        <w:fldChar w:fldCharType="end"/>
      </w:r>
      <w:r w:rsidRPr="00DE7330">
        <w:rPr>
          <w:smallCaps w:val="0"/>
          <w:color w:val="auto"/>
        </w:rPr>
        <w:t>. Neonicotinoid concentrations in Canadian prairie wetlands</w:t>
      </w:r>
      <w:bookmarkEnd w:id="1"/>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07"/>
        <w:gridCol w:w="1081"/>
        <w:gridCol w:w="1358"/>
        <w:gridCol w:w="1161"/>
        <w:gridCol w:w="970"/>
        <w:gridCol w:w="1370"/>
        <w:gridCol w:w="1260"/>
        <w:gridCol w:w="1350"/>
        <w:gridCol w:w="1705"/>
      </w:tblGrid>
      <w:tr w:rsidR="00B57970" w:rsidRPr="00E95DD8" w14:paraId="7E088BE2" w14:textId="77777777" w:rsidTr="0053636F">
        <w:trPr>
          <w:cantSplit/>
          <w:trHeight w:val="300"/>
          <w:tblHeader/>
        </w:trPr>
        <w:tc>
          <w:tcPr>
            <w:tcW w:w="1488" w:type="dxa"/>
            <w:vMerge w:val="restart"/>
            <w:shd w:val="clear" w:color="auto" w:fill="D9D9D9" w:themeFill="background1" w:themeFillShade="D9"/>
            <w:noWrap/>
            <w:vAlign w:val="center"/>
            <w:hideMark/>
          </w:tcPr>
          <w:p w14:paraId="48C0AF38"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Season</w:t>
            </w:r>
          </w:p>
        </w:tc>
        <w:tc>
          <w:tcPr>
            <w:tcW w:w="1207" w:type="dxa"/>
            <w:vMerge w:val="restart"/>
            <w:shd w:val="clear" w:color="auto" w:fill="D9D9D9" w:themeFill="background1" w:themeFillShade="D9"/>
            <w:noWrap/>
            <w:vAlign w:val="center"/>
            <w:hideMark/>
          </w:tcPr>
          <w:p w14:paraId="230EC499"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Crop</w:t>
            </w:r>
          </w:p>
        </w:tc>
        <w:tc>
          <w:tcPr>
            <w:tcW w:w="1081" w:type="dxa"/>
            <w:tcBorders>
              <w:bottom w:val="nil"/>
            </w:tcBorders>
            <w:shd w:val="clear" w:color="auto" w:fill="D9D9D9" w:themeFill="background1" w:themeFillShade="D9"/>
            <w:noWrap/>
            <w:vAlign w:val="bottom"/>
            <w:hideMark/>
          </w:tcPr>
          <w:p w14:paraId="0898DF7A"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Wetlands</w:t>
            </w:r>
          </w:p>
        </w:tc>
        <w:tc>
          <w:tcPr>
            <w:tcW w:w="1358" w:type="dxa"/>
            <w:tcBorders>
              <w:bottom w:val="nil"/>
            </w:tcBorders>
            <w:shd w:val="clear" w:color="auto" w:fill="D9D9D9" w:themeFill="background1" w:themeFillShade="D9"/>
            <w:noWrap/>
            <w:vAlign w:val="bottom"/>
            <w:hideMark/>
          </w:tcPr>
          <w:p w14:paraId="6BC20024"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Detection</w:t>
            </w:r>
          </w:p>
        </w:tc>
        <w:tc>
          <w:tcPr>
            <w:tcW w:w="2131" w:type="dxa"/>
            <w:gridSpan w:val="2"/>
            <w:shd w:val="clear" w:color="auto" w:fill="D9D9D9" w:themeFill="background1" w:themeFillShade="D9"/>
            <w:noWrap/>
            <w:vAlign w:val="bottom"/>
            <w:hideMark/>
          </w:tcPr>
          <w:p w14:paraId="0C8C6775"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Total Neonic. (ng/L)</w:t>
            </w:r>
          </w:p>
        </w:tc>
        <w:tc>
          <w:tcPr>
            <w:tcW w:w="2630" w:type="dxa"/>
            <w:gridSpan w:val="2"/>
            <w:shd w:val="clear" w:color="auto" w:fill="D9D9D9" w:themeFill="background1" w:themeFillShade="D9"/>
            <w:noWrap/>
            <w:vAlign w:val="bottom"/>
            <w:hideMark/>
          </w:tcPr>
          <w:p w14:paraId="0169A915"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Thiamethoxam (ng/L)</w:t>
            </w:r>
          </w:p>
        </w:tc>
        <w:tc>
          <w:tcPr>
            <w:tcW w:w="3055" w:type="dxa"/>
            <w:gridSpan w:val="2"/>
            <w:shd w:val="clear" w:color="auto" w:fill="D9D9D9" w:themeFill="background1" w:themeFillShade="D9"/>
            <w:noWrap/>
            <w:vAlign w:val="bottom"/>
            <w:hideMark/>
          </w:tcPr>
          <w:p w14:paraId="4D88393C"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Clothianidin (ng/L)</w:t>
            </w:r>
          </w:p>
        </w:tc>
      </w:tr>
      <w:tr w:rsidR="00B57970" w:rsidRPr="00E95DD8" w14:paraId="033B1878" w14:textId="77777777" w:rsidTr="0053636F">
        <w:trPr>
          <w:cantSplit/>
          <w:trHeight w:val="300"/>
          <w:tblHeader/>
        </w:trPr>
        <w:tc>
          <w:tcPr>
            <w:tcW w:w="1488" w:type="dxa"/>
            <w:vMerge/>
            <w:shd w:val="clear" w:color="auto" w:fill="D9D9D9" w:themeFill="background1" w:themeFillShade="D9"/>
            <w:vAlign w:val="center"/>
            <w:hideMark/>
          </w:tcPr>
          <w:p w14:paraId="28EB67A5" w14:textId="77777777" w:rsidR="00B57970" w:rsidRPr="00AD1720" w:rsidRDefault="00B57970" w:rsidP="00B57970">
            <w:pPr>
              <w:rPr>
                <w:rFonts w:eastAsia="Times New Roman" w:cs="Times New Roman"/>
                <w:b/>
                <w:color w:val="000000"/>
                <w:sz w:val="20"/>
                <w:szCs w:val="20"/>
              </w:rPr>
            </w:pPr>
          </w:p>
        </w:tc>
        <w:tc>
          <w:tcPr>
            <w:tcW w:w="1207" w:type="dxa"/>
            <w:vMerge/>
            <w:shd w:val="clear" w:color="auto" w:fill="D9D9D9" w:themeFill="background1" w:themeFillShade="D9"/>
            <w:vAlign w:val="center"/>
            <w:hideMark/>
          </w:tcPr>
          <w:p w14:paraId="69F3F93C" w14:textId="77777777" w:rsidR="00B57970" w:rsidRPr="00AD1720" w:rsidRDefault="00B57970" w:rsidP="00B57970">
            <w:pPr>
              <w:rPr>
                <w:rFonts w:eastAsia="Times New Roman" w:cs="Times New Roman"/>
                <w:b/>
                <w:color w:val="000000"/>
                <w:sz w:val="20"/>
                <w:szCs w:val="20"/>
              </w:rPr>
            </w:pPr>
          </w:p>
        </w:tc>
        <w:tc>
          <w:tcPr>
            <w:tcW w:w="1081" w:type="dxa"/>
            <w:tcBorders>
              <w:top w:val="nil"/>
            </w:tcBorders>
            <w:shd w:val="clear" w:color="auto" w:fill="D9D9D9" w:themeFill="background1" w:themeFillShade="D9"/>
            <w:noWrap/>
            <w:vAlign w:val="bottom"/>
            <w:hideMark/>
          </w:tcPr>
          <w:p w14:paraId="4FAD59E6"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(n)</w:t>
            </w:r>
          </w:p>
        </w:tc>
        <w:tc>
          <w:tcPr>
            <w:tcW w:w="1358" w:type="dxa"/>
            <w:tcBorders>
              <w:top w:val="nil"/>
            </w:tcBorders>
            <w:shd w:val="clear" w:color="auto" w:fill="D9D9D9" w:themeFill="background1" w:themeFillShade="D9"/>
            <w:noWrap/>
            <w:vAlign w:val="bottom"/>
            <w:hideMark/>
          </w:tcPr>
          <w:p w14:paraId="485EA3FF"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w:t>
            </w:r>
          </w:p>
        </w:tc>
        <w:tc>
          <w:tcPr>
            <w:tcW w:w="1161" w:type="dxa"/>
            <w:shd w:val="clear" w:color="auto" w:fill="D9D9D9" w:themeFill="background1" w:themeFillShade="D9"/>
            <w:noWrap/>
            <w:vAlign w:val="bottom"/>
            <w:hideMark/>
          </w:tcPr>
          <w:p w14:paraId="71C64680"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Mean</w:t>
            </w:r>
          </w:p>
        </w:tc>
        <w:tc>
          <w:tcPr>
            <w:tcW w:w="970" w:type="dxa"/>
            <w:shd w:val="clear" w:color="auto" w:fill="D9D9D9" w:themeFill="background1" w:themeFillShade="D9"/>
            <w:noWrap/>
            <w:vAlign w:val="bottom"/>
            <w:hideMark/>
          </w:tcPr>
          <w:p w14:paraId="5E8B86AC"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Max</w:t>
            </w:r>
          </w:p>
        </w:tc>
        <w:tc>
          <w:tcPr>
            <w:tcW w:w="1370" w:type="dxa"/>
            <w:shd w:val="clear" w:color="auto" w:fill="D9D9D9" w:themeFill="background1" w:themeFillShade="D9"/>
            <w:noWrap/>
            <w:vAlign w:val="bottom"/>
            <w:hideMark/>
          </w:tcPr>
          <w:p w14:paraId="29BA5D29"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Mean</w:t>
            </w:r>
          </w:p>
        </w:tc>
        <w:tc>
          <w:tcPr>
            <w:tcW w:w="1260" w:type="dxa"/>
            <w:shd w:val="clear" w:color="auto" w:fill="D9D9D9" w:themeFill="background1" w:themeFillShade="D9"/>
            <w:noWrap/>
            <w:vAlign w:val="bottom"/>
            <w:hideMark/>
          </w:tcPr>
          <w:p w14:paraId="6D94BE37"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Max</w:t>
            </w:r>
          </w:p>
        </w:tc>
        <w:tc>
          <w:tcPr>
            <w:tcW w:w="1350" w:type="dxa"/>
            <w:shd w:val="clear" w:color="auto" w:fill="D9D9D9" w:themeFill="background1" w:themeFillShade="D9"/>
            <w:noWrap/>
            <w:vAlign w:val="bottom"/>
            <w:hideMark/>
          </w:tcPr>
          <w:p w14:paraId="7E523964"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Mean</w:t>
            </w:r>
          </w:p>
        </w:tc>
        <w:tc>
          <w:tcPr>
            <w:tcW w:w="1705" w:type="dxa"/>
            <w:shd w:val="clear" w:color="auto" w:fill="D9D9D9" w:themeFill="background1" w:themeFillShade="D9"/>
            <w:noWrap/>
            <w:vAlign w:val="bottom"/>
            <w:hideMark/>
          </w:tcPr>
          <w:p w14:paraId="3370A372" w14:textId="77777777" w:rsidR="00B57970" w:rsidRPr="00AD1720" w:rsidRDefault="00B57970" w:rsidP="00B57970">
            <w:pPr>
              <w:jc w:val="center"/>
              <w:rPr>
                <w:rFonts w:eastAsia="Times New Roman" w:cs="Times New Roman"/>
                <w:b/>
                <w:color w:val="000000" w:themeColor="text1"/>
                <w:sz w:val="20"/>
                <w:szCs w:val="20"/>
              </w:rPr>
            </w:pPr>
            <w:r w:rsidRPr="21FE9AD9">
              <w:rPr>
                <w:rFonts w:eastAsia="Times New Roman" w:cs="Times New Roman"/>
                <w:b/>
                <w:color w:val="000000" w:themeColor="text1"/>
                <w:sz w:val="20"/>
                <w:szCs w:val="20"/>
              </w:rPr>
              <w:t>Max</w:t>
            </w:r>
          </w:p>
        </w:tc>
      </w:tr>
      <w:tr w:rsidR="00B57970" w:rsidRPr="00E95DD8" w14:paraId="3DA11FD7" w14:textId="77777777" w:rsidTr="00B57970">
        <w:trPr>
          <w:trHeight w:val="300"/>
        </w:trPr>
        <w:tc>
          <w:tcPr>
            <w:tcW w:w="1488" w:type="dxa"/>
            <w:vMerge w:val="restart"/>
            <w:shd w:val="clear" w:color="auto" w:fill="auto"/>
            <w:vAlign w:val="center"/>
            <w:hideMark/>
          </w:tcPr>
          <w:p w14:paraId="0D26751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Spring, 2012 (pre-seed)</w:t>
            </w:r>
          </w:p>
        </w:tc>
        <w:tc>
          <w:tcPr>
            <w:tcW w:w="1207" w:type="dxa"/>
            <w:shd w:val="clear" w:color="auto" w:fill="auto"/>
            <w:noWrap/>
            <w:vAlign w:val="bottom"/>
            <w:hideMark/>
          </w:tcPr>
          <w:p w14:paraId="17667708"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Barley</w:t>
            </w:r>
          </w:p>
        </w:tc>
        <w:tc>
          <w:tcPr>
            <w:tcW w:w="1081" w:type="dxa"/>
            <w:shd w:val="clear" w:color="auto" w:fill="auto"/>
            <w:noWrap/>
            <w:vAlign w:val="bottom"/>
            <w:hideMark/>
          </w:tcPr>
          <w:p w14:paraId="50F1348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28</w:t>
            </w:r>
          </w:p>
        </w:tc>
        <w:tc>
          <w:tcPr>
            <w:tcW w:w="1358" w:type="dxa"/>
            <w:shd w:val="clear" w:color="auto" w:fill="auto"/>
            <w:noWrap/>
            <w:vAlign w:val="bottom"/>
            <w:hideMark/>
          </w:tcPr>
          <w:p w14:paraId="507A013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29</w:t>
            </w:r>
          </w:p>
        </w:tc>
        <w:tc>
          <w:tcPr>
            <w:tcW w:w="1161" w:type="dxa"/>
            <w:shd w:val="clear" w:color="auto" w:fill="auto"/>
            <w:noWrap/>
            <w:vAlign w:val="bottom"/>
            <w:hideMark/>
          </w:tcPr>
          <w:p w14:paraId="738C8F9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5.8</w:t>
            </w:r>
          </w:p>
        </w:tc>
        <w:tc>
          <w:tcPr>
            <w:tcW w:w="970" w:type="dxa"/>
            <w:shd w:val="clear" w:color="auto" w:fill="auto"/>
            <w:noWrap/>
            <w:vAlign w:val="bottom"/>
            <w:hideMark/>
          </w:tcPr>
          <w:p w14:paraId="726E599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41.1</w:t>
            </w:r>
          </w:p>
        </w:tc>
        <w:tc>
          <w:tcPr>
            <w:tcW w:w="1370" w:type="dxa"/>
            <w:shd w:val="clear" w:color="auto" w:fill="auto"/>
            <w:noWrap/>
            <w:vAlign w:val="bottom"/>
            <w:hideMark/>
          </w:tcPr>
          <w:p w14:paraId="0E6F004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260" w:type="dxa"/>
            <w:shd w:val="clear" w:color="auto" w:fill="auto"/>
            <w:noWrap/>
            <w:vAlign w:val="bottom"/>
            <w:hideMark/>
          </w:tcPr>
          <w:p w14:paraId="536B176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350" w:type="dxa"/>
            <w:shd w:val="clear" w:color="auto" w:fill="auto"/>
            <w:noWrap/>
            <w:vAlign w:val="bottom"/>
            <w:hideMark/>
          </w:tcPr>
          <w:p w14:paraId="4E6CF82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3.9</w:t>
            </w:r>
          </w:p>
        </w:tc>
        <w:tc>
          <w:tcPr>
            <w:tcW w:w="1705" w:type="dxa"/>
            <w:shd w:val="clear" w:color="auto" w:fill="auto"/>
            <w:noWrap/>
            <w:vAlign w:val="bottom"/>
            <w:hideMark/>
          </w:tcPr>
          <w:p w14:paraId="457892B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39.4</w:t>
            </w:r>
          </w:p>
        </w:tc>
      </w:tr>
      <w:tr w:rsidR="00B57970" w:rsidRPr="00E95DD8" w14:paraId="652C7AD6" w14:textId="77777777" w:rsidTr="00B57970">
        <w:trPr>
          <w:trHeight w:val="300"/>
        </w:trPr>
        <w:tc>
          <w:tcPr>
            <w:tcW w:w="1488" w:type="dxa"/>
            <w:vMerge/>
            <w:vAlign w:val="center"/>
            <w:hideMark/>
          </w:tcPr>
          <w:p w14:paraId="694F5F22"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25018800"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Canola</w:t>
            </w:r>
          </w:p>
        </w:tc>
        <w:tc>
          <w:tcPr>
            <w:tcW w:w="1081" w:type="dxa"/>
            <w:shd w:val="clear" w:color="auto" w:fill="auto"/>
            <w:noWrap/>
            <w:vAlign w:val="bottom"/>
            <w:hideMark/>
          </w:tcPr>
          <w:p w14:paraId="46CB2A03"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54</w:t>
            </w:r>
          </w:p>
        </w:tc>
        <w:tc>
          <w:tcPr>
            <w:tcW w:w="1358" w:type="dxa"/>
            <w:shd w:val="clear" w:color="auto" w:fill="auto"/>
            <w:noWrap/>
            <w:vAlign w:val="bottom"/>
            <w:hideMark/>
          </w:tcPr>
          <w:p w14:paraId="7B178FE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52</w:t>
            </w:r>
          </w:p>
        </w:tc>
        <w:tc>
          <w:tcPr>
            <w:tcW w:w="1161" w:type="dxa"/>
            <w:shd w:val="clear" w:color="auto" w:fill="auto"/>
            <w:noWrap/>
            <w:vAlign w:val="bottom"/>
            <w:hideMark/>
          </w:tcPr>
          <w:p w14:paraId="51F87073"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20.7</w:t>
            </w:r>
          </w:p>
        </w:tc>
        <w:tc>
          <w:tcPr>
            <w:tcW w:w="970" w:type="dxa"/>
            <w:shd w:val="clear" w:color="auto" w:fill="auto"/>
            <w:noWrap/>
            <w:vAlign w:val="bottom"/>
            <w:hideMark/>
          </w:tcPr>
          <w:p w14:paraId="42FEDC6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184</w:t>
            </w:r>
          </w:p>
        </w:tc>
        <w:tc>
          <w:tcPr>
            <w:tcW w:w="1370" w:type="dxa"/>
            <w:shd w:val="clear" w:color="auto" w:fill="auto"/>
            <w:noWrap/>
            <w:vAlign w:val="bottom"/>
            <w:hideMark/>
          </w:tcPr>
          <w:p w14:paraId="4659E8C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2.5</w:t>
            </w:r>
          </w:p>
        </w:tc>
        <w:tc>
          <w:tcPr>
            <w:tcW w:w="1260" w:type="dxa"/>
            <w:shd w:val="clear" w:color="auto" w:fill="auto"/>
            <w:noWrap/>
            <w:vAlign w:val="bottom"/>
            <w:hideMark/>
          </w:tcPr>
          <w:p w14:paraId="02431AB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19.1</w:t>
            </w:r>
          </w:p>
        </w:tc>
        <w:tc>
          <w:tcPr>
            <w:tcW w:w="1350" w:type="dxa"/>
            <w:shd w:val="clear" w:color="auto" w:fill="auto"/>
            <w:noWrap/>
            <w:vAlign w:val="bottom"/>
            <w:hideMark/>
          </w:tcPr>
          <w:p w14:paraId="6363C553"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16.3</w:t>
            </w:r>
          </w:p>
        </w:tc>
        <w:tc>
          <w:tcPr>
            <w:tcW w:w="1705" w:type="dxa"/>
            <w:shd w:val="clear" w:color="auto" w:fill="auto"/>
            <w:noWrap/>
            <w:vAlign w:val="bottom"/>
            <w:hideMark/>
          </w:tcPr>
          <w:p w14:paraId="0595F6D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144</w:t>
            </w:r>
          </w:p>
        </w:tc>
      </w:tr>
      <w:tr w:rsidR="00B57970" w:rsidRPr="00E95DD8" w14:paraId="69AA5E28" w14:textId="77777777" w:rsidTr="00B57970">
        <w:trPr>
          <w:trHeight w:val="300"/>
        </w:trPr>
        <w:tc>
          <w:tcPr>
            <w:tcW w:w="1488" w:type="dxa"/>
            <w:vMerge/>
            <w:vAlign w:val="center"/>
            <w:hideMark/>
          </w:tcPr>
          <w:p w14:paraId="76715BED"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75E07A6C"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Oats</w:t>
            </w:r>
          </w:p>
        </w:tc>
        <w:tc>
          <w:tcPr>
            <w:tcW w:w="1081" w:type="dxa"/>
            <w:shd w:val="clear" w:color="auto" w:fill="auto"/>
            <w:noWrap/>
            <w:vAlign w:val="bottom"/>
            <w:hideMark/>
          </w:tcPr>
          <w:p w14:paraId="3FC56DA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15</w:t>
            </w:r>
          </w:p>
        </w:tc>
        <w:tc>
          <w:tcPr>
            <w:tcW w:w="1358" w:type="dxa"/>
            <w:shd w:val="clear" w:color="auto" w:fill="auto"/>
            <w:noWrap/>
            <w:vAlign w:val="bottom"/>
            <w:hideMark/>
          </w:tcPr>
          <w:p w14:paraId="140C999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47</w:t>
            </w:r>
          </w:p>
        </w:tc>
        <w:tc>
          <w:tcPr>
            <w:tcW w:w="1161" w:type="dxa"/>
            <w:shd w:val="clear" w:color="auto" w:fill="auto"/>
            <w:noWrap/>
            <w:vAlign w:val="bottom"/>
            <w:hideMark/>
          </w:tcPr>
          <w:p w14:paraId="426C8A8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5.8</w:t>
            </w:r>
          </w:p>
        </w:tc>
        <w:tc>
          <w:tcPr>
            <w:tcW w:w="970" w:type="dxa"/>
            <w:shd w:val="clear" w:color="auto" w:fill="auto"/>
            <w:noWrap/>
            <w:vAlign w:val="bottom"/>
            <w:hideMark/>
          </w:tcPr>
          <w:p w14:paraId="590BF72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21.7</w:t>
            </w:r>
          </w:p>
        </w:tc>
        <w:tc>
          <w:tcPr>
            <w:tcW w:w="1370" w:type="dxa"/>
            <w:shd w:val="clear" w:color="auto" w:fill="auto"/>
            <w:noWrap/>
            <w:vAlign w:val="bottom"/>
            <w:hideMark/>
          </w:tcPr>
          <w:p w14:paraId="3B1541ED"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1.3</w:t>
            </w:r>
          </w:p>
        </w:tc>
        <w:tc>
          <w:tcPr>
            <w:tcW w:w="1260" w:type="dxa"/>
            <w:shd w:val="clear" w:color="auto" w:fill="auto"/>
            <w:noWrap/>
            <w:vAlign w:val="bottom"/>
            <w:hideMark/>
          </w:tcPr>
          <w:p w14:paraId="398EE1C3"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7</w:t>
            </w:r>
          </w:p>
        </w:tc>
        <w:tc>
          <w:tcPr>
            <w:tcW w:w="1350" w:type="dxa"/>
            <w:shd w:val="clear" w:color="auto" w:fill="auto"/>
            <w:noWrap/>
            <w:vAlign w:val="bottom"/>
            <w:hideMark/>
          </w:tcPr>
          <w:p w14:paraId="3977C65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3.6</w:t>
            </w:r>
          </w:p>
        </w:tc>
        <w:tc>
          <w:tcPr>
            <w:tcW w:w="1705" w:type="dxa"/>
            <w:shd w:val="clear" w:color="auto" w:fill="auto"/>
            <w:noWrap/>
            <w:vAlign w:val="bottom"/>
            <w:hideMark/>
          </w:tcPr>
          <w:p w14:paraId="42FFC80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20</w:t>
            </w:r>
          </w:p>
        </w:tc>
      </w:tr>
      <w:tr w:rsidR="00B57970" w:rsidRPr="00E95DD8" w14:paraId="39D2A24D" w14:textId="77777777" w:rsidTr="00B57970">
        <w:trPr>
          <w:trHeight w:val="300"/>
        </w:trPr>
        <w:tc>
          <w:tcPr>
            <w:tcW w:w="1488" w:type="dxa"/>
            <w:vMerge/>
            <w:vAlign w:val="center"/>
            <w:hideMark/>
          </w:tcPr>
          <w:p w14:paraId="47EB10A7"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1FEAB4A1"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Peas</w:t>
            </w:r>
          </w:p>
        </w:tc>
        <w:tc>
          <w:tcPr>
            <w:tcW w:w="1081" w:type="dxa"/>
            <w:shd w:val="clear" w:color="auto" w:fill="auto"/>
            <w:noWrap/>
            <w:vAlign w:val="bottom"/>
            <w:hideMark/>
          </w:tcPr>
          <w:p w14:paraId="0A2055C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0</w:t>
            </w:r>
          </w:p>
        </w:tc>
        <w:tc>
          <w:tcPr>
            <w:tcW w:w="1358" w:type="dxa"/>
            <w:shd w:val="clear" w:color="auto" w:fill="auto"/>
            <w:noWrap/>
            <w:vAlign w:val="bottom"/>
            <w:hideMark/>
          </w:tcPr>
          <w:p w14:paraId="1587DCE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NS</w:t>
            </w:r>
          </w:p>
        </w:tc>
        <w:tc>
          <w:tcPr>
            <w:tcW w:w="1161" w:type="dxa"/>
            <w:shd w:val="clear" w:color="auto" w:fill="auto"/>
            <w:noWrap/>
            <w:vAlign w:val="bottom"/>
            <w:hideMark/>
          </w:tcPr>
          <w:p w14:paraId="1833794B"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NS</w:t>
            </w:r>
          </w:p>
        </w:tc>
        <w:tc>
          <w:tcPr>
            <w:tcW w:w="970" w:type="dxa"/>
            <w:shd w:val="clear" w:color="auto" w:fill="auto"/>
            <w:noWrap/>
            <w:vAlign w:val="bottom"/>
            <w:hideMark/>
          </w:tcPr>
          <w:p w14:paraId="09C0FC2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NS</w:t>
            </w:r>
          </w:p>
        </w:tc>
        <w:tc>
          <w:tcPr>
            <w:tcW w:w="1370" w:type="dxa"/>
            <w:shd w:val="clear" w:color="auto" w:fill="auto"/>
            <w:noWrap/>
            <w:vAlign w:val="bottom"/>
            <w:hideMark/>
          </w:tcPr>
          <w:p w14:paraId="4B95353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NS</w:t>
            </w:r>
          </w:p>
        </w:tc>
        <w:tc>
          <w:tcPr>
            <w:tcW w:w="1260" w:type="dxa"/>
            <w:shd w:val="clear" w:color="auto" w:fill="auto"/>
            <w:noWrap/>
            <w:vAlign w:val="bottom"/>
            <w:hideMark/>
          </w:tcPr>
          <w:p w14:paraId="36272D7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NS</w:t>
            </w:r>
          </w:p>
        </w:tc>
        <w:tc>
          <w:tcPr>
            <w:tcW w:w="1350" w:type="dxa"/>
            <w:shd w:val="clear" w:color="auto" w:fill="auto"/>
            <w:noWrap/>
            <w:vAlign w:val="bottom"/>
            <w:hideMark/>
          </w:tcPr>
          <w:p w14:paraId="1806ECD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NS</w:t>
            </w:r>
          </w:p>
        </w:tc>
        <w:tc>
          <w:tcPr>
            <w:tcW w:w="1705" w:type="dxa"/>
            <w:shd w:val="clear" w:color="auto" w:fill="auto"/>
            <w:noWrap/>
            <w:vAlign w:val="bottom"/>
            <w:hideMark/>
          </w:tcPr>
          <w:p w14:paraId="5CB8D51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NS</w:t>
            </w:r>
          </w:p>
        </w:tc>
      </w:tr>
      <w:tr w:rsidR="00B57970" w:rsidRPr="00E95DD8" w14:paraId="0BF67D79" w14:textId="77777777" w:rsidTr="00B57970">
        <w:trPr>
          <w:trHeight w:val="300"/>
        </w:trPr>
        <w:tc>
          <w:tcPr>
            <w:tcW w:w="1488" w:type="dxa"/>
            <w:vMerge/>
            <w:vAlign w:val="center"/>
            <w:hideMark/>
          </w:tcPr>
          <w:p w14:paraId="60A9357E"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56761497"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Wheat</w:t>
            </w:r>
          </w:p>
        </w:tc>
        <w:tc>
          <w:tcPr>
            <w:tcW w:w="1081" w:type="dxa"/>
            <w:shd w:val="clear" w:color="auto" w:fill="auto"/>
            <w:noWrap/>
            <w:vAlign w:val="bottom"/>
            <w:hideMark/>
          </w:tcPr>
          <w:p w14:paraId="0B00BB5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24</w:t>
            </w:r>
          </w:p>
        </w:tc>
        <w:tc>
          <w:tcPr>
            <w:tcW w:w="1358" w:type="dxa"/>
            <w:shd w:val="clear" w:color="auto" w:fill="auto"/>
            <w:noWrap/>
            <w:vAlign w:val="bottom"/>
            <w:hideMark/>
          </w:tcPr>
          <w:p w14:paraId="361F2A2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25</w:t>
            </w:r>
          </w:p>
        </w:tc>
        <w:tc>
          <w:tcPr>
            <w:tcW w:w="1161" w:type="dxa"/>
            <w:shd w:val="clear" w:color="auto" w:fill="auto"/>
            <w:noWrap/>
            <w:vAlign w:val="bottom"/>
            <w:hideMark/>
          </w:tcPr>
          <w:p w14:paraId="64A1138D"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8.3</w:t>
            </w:r>
          </w:p>
        </w:tc>
        <w:tc>
          <w:tcPr>
            <w:tcW w:w="970" w:type="dxa"/>
            <w:shd w:val="clear" w:color="auto" w:fill="auto"/>
            <w:noWrap/>
            <w:vAlign w:val="bottom"/>
            <w:hideMark/>
          </w:tcPr>
          <w:p w14:paraId="1277EBF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52.7</w:t>
            </w:r>
          </w:p>
        </w:tc>
        <w:tc>
          <w:tcPr>
            <w:tcW w:w="1370" w:type="dxa"/>
            <w:shd w:val="clear" w:color="auto" w:fill="auto"/>
            <w:noWrap/>
            <w:vAlign w:val="bottom"/>
            <w:hideMark/>
          </w:tcPr>
          <w:p w14:paraId="1DA3C06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4.3</w:t>
            </w:r>
          </w:p>
        </w:tc>
        <w:tc>
          <w:tcPr>
            <w:tcW w:w="1260" w:type="dxa"/>
            <w:shd w:val="clear" w:color="auto" w:fill="auto"/>
            <w:noWrap/>
            <w:vAlign w:val="bottom"/>
            <w:hideMark/>
          </w:tcPr>
          <w:p w14:paraId="2E19750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32.4</w:t>
            </w:r>
          </w:p>
        </w:tc>
        <w:tc>
          <w:tcPr>
            <w:tcW w:w="1350" w:type="dxa"/>
            <w:shd w:val="clear" w:color="auto" w:fill="auto"/>
            <w:noWrap/>
            <w:vAlign w:val="bottom"/>
            <w:hideMark/>
          </w:tcPr>
          <w:p w14:paraId="21AA80A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3.1</w:t>
            </w:r>
          </w:p>
        </w:tc>
        <w:tc>
          <w:tcPr>
            <w:tcW w:w="1705" w:type="dxa"/>
            <w:shd w:val="clear" w:color="auto" w:fill="auto"/>
            <w:noWrap/>
            <w:vAlign w:val="bottom"/>
            <w:hideMark/>
          </w:tcPr>
          <w:p w14:paraId="25175A7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20.2</w:t>
            </w:r>
          </w:p>
        </w:tc>
      </w:tr>
      <w:tr w:rsidR="00B57970" w:rsidRPr="00E95DD8" w14:paraId="43C43432" w14:textId="77777777" w:rsidTr="00B57970">
        <w:trPr>
          <w:trHeight w:val="300"/>
        </w:trPr>
        <w:tc>
          <w:tcPr>
            <w:tcW w:w="1488" w:type="dxa"/>
            <w:vMerge/>
            <w:vAlign w:val="center"/>
            <w:hideMark/>
          </w:tcPr>
          <w:p w14:paraId="0A383033"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289DD292"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Grassland</w:t>
            </w:r>
          </w:p>
        </w:tc>
        <w:tc>
          <w:tcPr>
            <w:tcW w:w="1081" w:type="dxa"/>
            <w:shd w:val="clear" w:color="auto" w:fill="auto"/>
            <w:noWrap/>
            <w:vAlign w:val="bottom"/>
            <w:hideMark/>
          </w:tcPr>
          <w:p w14:paraId="49A3EDCD"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15</w:t>
            </w:r>
          </w:p>
        </w:tc>
        <w:tc>
          <w:tcPr>
            <w:tcW w:w="1358" w:type="dxa"/>
            <w:shd w:val="clear" w:color="auto" w:fill="auto"/>
            <w:noWrap/>
            <w:vAlign w:val="bottom"/>
            <w:hideMark/>
          </w:tcPr>
          <w:p w14:paraId="30E6A53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7</w:t>
            </w:r>
          </w:p>
        </w:tc>
        <w:tc>
          <w:tcPr>
            <w:tcW w:w="1161" w:type="dxa"/>
            <w:shd w:val="clear" w:color="auto" w:fill="auto"/>
            <w:noWrap/>
            <w:vAlign w:val="bottom"/>
            <w:hideMark/>
          </w:tcPr>
          <w:p w14:paraId="1B5E183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1.1</w:t>
            </w:r>
          </w:p>
        </w:tc>
        <w:tc>
          <w:tcPr>
            <w:tcW w:w="970" w:type="dxa"/>
            <w:shd w:val="clear" w:color="auto" w:fill="auto"/>
            <w:noWrap/>
            <w:vAlign w:val="bottom"/>
            <w:hideMark/>
          </w:tcPr>
          <w:p w14:paraId="03D39D8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7.9</w:t>
            </w:r>
          </w:p>
        </w:tc>
        <w:tc>
          <w:tcPr>
            <w:tcW w:w="1370" w:type="dxa"/>
            <w:shd w:val="clear" w:color="auto" w:fill="auto"/>
            <w:noWrap/>
            <w:vAlign w:val="bottom"/>
            <w:hideMark/>
          </w:tcPr>
          <w:p w14:paraId="684FB3BD"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260" w:type="dxa"/>
            <w:shd w:val="clear" w:color="auto" w:fill="auto"/>
            <w:noWrap/>
            <w:vAlign w:val="bottom"/>
            <w:hideMark/>
          </w:tcPr>
          <w:p w14:paraId="54AF361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350" w:type="dxa"/>
            <w:shd w:val="clear" w:color="auto" w:fill="auto"/>
            <w:noWrap/>
            <w:vAlign w:val="bottom"/>
            <w:hideMark/>
          </w:tcPr>
          <w:p w14:paraId="60BC22A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1.1</w:t>
            </w:r>
          </w:p>
        </w:tc>
        <w:tc>
          <w:tcPr>
            <w:tcW w:w="1705" w:type="dxa"/>
            <w:shd w:val="clear" w:color="auto" w:fill="auto"/>
            <w:noWrap/>
            <w:vAlign w:val="bottom"/>
            <w:hideMark/>
          </w:tcPr>
          <w:p w14:paraId="2C89F68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7.9</w:t>
            </w:r>
          </w:p>
        </w:tc>
      </w:tr>
      <w:tr w:rsidR="00B57970" w:rsidRPr="00E95DD8" w14:paraId="6B339A91" w14:textId="77777777" w:rsidTr="00B57970">
        <w:trPr>
          <w:trHeight w:val="300"/>
        </w:trPr>
        <w:tc>
          <w:tcPr>
            <w:tcW w:w="1488" w:type="dxa"/>
            <w:vMerge/>
            <w:vAlign w:val="center"/>
            <w:hideMark/>
          </w:tcPr>
          <w:p w14:paraId="59134C1D"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545BC83B"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Overall</w:t>
            </w:r>
          </w:p>
        </w:tc>
        <w:tc>
          <w:tcPr>
            <w:tcW w:w="1081" w:type="dxa"/>
            <w:shd w:val="clear" w:color="auto" w:fill="auto"/>
            <w:noWrap/>
            <w:vAlign w:val="bottom"/>
            <w:hideMark/>
          </w:tcPr>
          <w:p w14:paraId="601D552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136</w:t>
            </w:r>
          </w:p>
        </w:tc>
        <w:tc>
          <w:tcPr>
            <w:tcW w:w="1358" w:type="dxa"/>
            <w:shd w:val="clear" w:color="auto" w:fill="auto"/>
            <w:noWrap/>
            <w:vAlign w:val="bottom"/>
            <w:hideMark/>
          </w:tcPr>
          <w:p w14:paraId="60588B3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36</w:t>
            </w:r>
          </w:p>
        </w:tc>
        <w:tc>
          <w:tcPr>
            <w:tcW w:w="1161" w:type="dxa"/>
            <w:shd w:val="clear" w:color="auto" w:fill="auto"/>
            <w:noWrap/>
            <w:vAlign w:val="bottom"/>
            <w:hideMark/>
          </w:tcPr>
          <w:p w14:paraId="3FE192D9"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8.3</w:t>
            </w:r>
          </w:p>
        </w:tc>
        <w:tc>
          <w:tcPr>
            <w:tcW w:w="970" w:type="dxa"/>
            <w:shd w:val="clear" w:color="auto" w:fill="auto"/>
            <w:noWrap/>
            <w:vAlign w:val="bottom"/>
            <w:hideMark/>
          </w:tcPr>
          <w:p w14:paraId="4BCB6ED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184</w:t>
            </w:r>
          </w:p>
        </w:tc>
        <w:tc>
          <w:tcPr>
            <w:tcW w:w="1370" w:type="dxa"/>
            <w:shd w:val="clear" w:color="auto" w:fill="auto"/>
            <w:noWrap/>
            <w:vAlign w:val="bottom"/>
            <w:hideMark/>
          </w:tcPr>
          <w:p w14:paraId="5667158D" w14:textId="77777777" w:rsidR="00B57970" w:rsidRPr="00500AE8" w:rsidRDefault="00B57970" w:rsidP="00B57970">
            <w:pPr>
              <w:jc w:val="center"/>
              <w:rPr>
                <w:rFonts w:eastAsia="Times New Roman" w:cs="Times New Roman"/>
                <w:color w:val="000000"/>
                <w:sz w:val="20"/>
                <w:szCs w:val="20"/>
              </w:rPr>
            </w:pPr>
          </w:p>
        </w:tc>
        <w:tc>
          <w:tcPr>
            <w:tcW w:w="1260" w:type="dxa"/>
            <w:shd w:val="clear" w:color="auto" w:fill="auto"/>
            <w:noWrap/>
            <w:vAlign w:val="bottom"/>
            <w:hideMark/>
          </w:tcPr>
          <w:p w14:paraId="4BB2A2F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32.4 (10%)</w:t>
            </w:r>
          </w:p>
        </w:tc>
        <w:tc>
          <w:tcPr>
            <w:tcW w:w="1350" w:type="dxa"/>
            <w:shd w:val="clear" w:color="auto" w:fill="auto"/>
            <w:noWrap/>
            <w:vAlign w:val="bottom"/>
            <w:hideMark/>
          </w:tcPr>
          <w:p w14:paraId="1F225797" w14:textId="77777777" w:rsidR="00B57970" w:rsidRPr="00500AE8" w:rsidRDefault="00B57970" w:rsidP="00B57970">
            <w:pPr>
              <w:jc w:val="center"/>
              <w:rPr>
                <w:rFonts w:eastAsia="Times New Roman" w:cs="Times New Roman"/>
                <w:color w:val="000000"/>
                <w:sz w:val="20"/>
                <w:szCs w:val="20"/>
              </w:rPr>
            </w:pPr>
          </w:p>
        </w:tc>
        <w:tc>
          <w:tcPr>
            <w:tcW w:w="1705" w:type="dxa"/>
            <w:shd w:val="clear" w:color="auto" w:fill="auto"/>
            <w:noWrap/>
            <w:vAlign w:val="bottom"/>
            <w:hideMark/>
          </w:tcPr>
          <w:p w14:paraId="0386F36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144 (36%)</w:t>
            </w:r>
          </w:p>
        </w:tc>
      </w:tr>
      <w:tr w:rsidR="00B57970" w:rsidRPr="00E95DD8" w14:paraId="546AFA56" w14:textId="77777777" w:rsidTr="00B57970">
        <w:trPr>
          <w:trHeight w:val="300"/>
        </w:trPr>
        <w:tc>
          <w:tcPr>
            <w:tcW w:w="1488" w:type="dxa"/>
            <w:vMerge w:val="restart"/>
            <w:shd w:val="clear" w:color="auto" w:fill="auto"/>
            <w:vAlign w:val="center"/>
            <w:hideMark/>
          </w:tcPr>
          <w:p w14:paraId="35BD8DB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Summer, 2012 (growing)</w:t>
            </w:r>
          </w:p>
        </w:tc>
        <w:tc>
          <w:tcPr>
            <w:tcW w:w="1207" w:type="dxa"/>
            <w:shd w:val="clear" w:color="auto" w:fill="auto"/>
            <w:noWrap/>
            <w:vAlign w:val="bottom"/>
            <w:hideMark/>
          </w:tcPr>
          <w:p w14:paraId="43F23B49"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Barley</w:t>
            </w:r>
          </w:p>
        </w:tc>
        <w:tc>
          <w:tcPr>
            <w:tcW w:w="1081" w:type="dxa"/>
            <w:shd w:val="clear" w:color="auto" w:fill="auto"/>
            <w:noWrap/>
            <w:vAlign w:val="bottom"/>
            <w:hideMark/>
          </w:tcPr>
          <w:p w14:paraId="3ED933E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18</w:t>
            </w:r>
          </w:p>
        </w:tc>
        <w:tc>
          <w:tcPr>
            <w:tcW w:w="1358" w:type="dxa"/>
            <w:shd w:val="clear" w:color="auto" w:fill="auto"/>
            <w:noWrap/>
            <w:vAlign w:val="bottom"/>
            <w:hideMark/>
          </w:tcPr>
          <w:p w14:paraId="2DA87989"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83</w:t>
            </w:r>
          </w:p>
        </w:tc>
        <w:tc>
          <w:tcPr>
            <w:tcW w:w="1161" w:type="dxa"/>
            <w:shd w:val="clear" w:color="auto" w:fill="auto"/>
            <w:noWrap/>
            <w:vAlign w:val="bottom"/>
            <w:hideMark/>
          </w:tcPr>
          <w:p w14:paraId="334B5017"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78.9</w:t>
            </w:r>
          </w:p>
        </w:tc>
        <w:tc>
          <w:tcPr>
            <w:tcW w:w="970" w:type="dxa"/>
            <w:shd w:val="clear" w:color="auto" w:fill="auto"/>
            <w:noWrap/>
            <w:vAlign w:val="bottom"/>
            <w:hideMark/>
          </w:tcPr>
          <w:p w14:paraId="6B4C5B9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322</w:t>
            </w:r>
          </w:p>
        </w:tc>
        <w:tc>
          <w:tcPr>
            <w:tcW w:w="1370" w:type="dxa"/>
            <w:shd w:val="clear" w:color="auto" w:fill="auto"/>
            <w:noWrap/>
            <w:vAlign w:val="bottom"/>
            <w:hideMark/>
          </w:tcPr>
          <w:p w14:paraId="6B62BCD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19.3</w:t>
            </w:r>
          </w:p>
        </w:tc>
        <w:tc>
          <w:tcPr>
            <w:tcW w:w="1260" w:type="dxa"/>
            <w:shd w:val="clear" w:color="auto" w:fill="auto"/>
            <w:noWrap/>
            <w:vAlign w:val="bottom"/>
            <w:hideMark/>
          </w:tcPr>
          <w:p w14:paraId="45F48B2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91.3</w:t>
            </w:r>
          </w:p>
        </w:tc>
        <w:tc>
          <w:tcPr>
            <w:tcW w:w="1350" w:type="dxa"/>
            <w:shd w:val="clear" w:color="auto" w:fill="auto"/>
            <w:noWrap/>
            <w:vAlign w:val="bottom"/>
            <w:hideMark/>
          </w:tcPr>
          <w:p w14:paraId="518B56C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57.8</w:t>
            </w:r>
          </w:p>
        </w:tc>
        <w:tc>
          <w:tcPr>
            <w:tcW w:w="1705" w:type="dxa"/>
            <w:shd w:val="clear" w:color="auto" w:fill="auto"/>
            <w:noWrap/>
            <w:vAlign w:val="bottom"/>
            <w:hideMark/>
          </w:tcPr>
          <w:p w14:paraId="698CAA37"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277</w:t>
            </w:r>
          </w:p>
        </w:tc>
      </w:tr>
      <w:tr w:rsidR="00B57970" w:rsidRPr="00E95DD8" w14:paraId="5ABFB455" w14:textId="77777777" w:rsidTr="00B57970">
        <w:trPr>
          <w:trHeight w:val="300"/>
        </w:trPr>
        <w:tc>
          <w:tcPr>
            <w:tcW w:w="1488" w:type="dxa"/>
            <w:vMerge/>
            <w:vAlign w:val="center"/>
            <w:hideMark/>
          </w:tcPr>
          <w:p w14:paraId="2712A6D6"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1197214F"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Canola</w:t>
            </w:r>
          </w:p>
        </w:tc>
        <w:tc>
          <w:tcPr>
            <w:tcW w:w="1081" w:type="dxa"/>
            <w:shd w:val="clear" w:color="auto" w:fill="auto"/>
            <w:noWrap/>
            <w:vAlign w:val="bottom"/>
            <w:hideMark/>
          </w:tcPr>
          <w:p w14:paraId="6DE584B3"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61</w:t>
            </w:r>
          </w:p>
        </w:tc>
        <w:tc>
          <w:tcPr>
            <w:tcW w:w="1358" w:type="dxa"/>
            <w:shd w:val="clear" w:color="auto" w:fill="auto"/>
            <w:noWrap/>
            <w:vAlign w:val="bottom"/>
            <w:hideMark/>
          </w:tcPr>
          <w:p w14:paraId="1920BF4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70</w:t>
            </w:r>
          </w:p>
        </w:tc>
        <w:tc>
          <w:tcPr>
            <w:tcW w:w="1161" w:type="dxa"/>
            <w:shd w:val="clear" w:color="auto" w:fill="auto"/>
            <w:noWrap/>
            <w:vAlign w:val="bottom"/>
            <w:hideMark/>
          </w:tcPr>
          <w:p w14:paraId="185741E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185</w:t>
            </w:r>
          </w:p>
        </w:tc>
        <w:tc>
          <w:tcPr>
            <w:tcW w:w="970" w:type="dxa"/>
            <w:shd w:val="clear" w:color="auto" w:fill="auto"/>
            <w:noWrap/>
            <w:vAlign w:val="bottom"/>
            <w:hideMark/>
          </w:tcPr>
          <w:p w14:paraId="668790A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3110</w:t>
            </w:r>
          </w:p>
        </w:tc>
        <w:tc>
          <w:tcPr>
            <w:tcW w:w="1370" w:type="dxa"/>
            <w:shd w:val="clear" w:color="auto" w:fill="auto"/>
            <w:noWrap/>
            <w:vAlign w:val="bottom"/>
            <w:hideMark/>
          </w:tcPr>
          <w:p w14:paraId="79C56C2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40.3</w:t>
            </w:r>
          </w:p>
        </w:tc>
        <w:tc>
          <w:tcPr>
            <w:tcW w:w="1260" w:type="dxa"/>
            <w:shd w:val="clear" w:color="auto" w:fill="auto"/>
            <w:noWrap/>
            <w:vAlign w:val="bottom"/>
            <w:hideMark/>
          </w:tcPr>
          <w:p w14:paraId="25D2D5F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1490</w:t>
            </w:r>
          </w:p>
        </w:tc>
        <w:tc>
          <w:tcPr>
            <w:tcW w:w="1350" w:type="dxa"/>
            <w:shd w:val="clear" w:color="auto" w:fill="auto"/>
            <w:noWrap/>
            <w:vAlign w:val="bottom"/>
            <w:hideMark/>
          </w:tcPr>
          <w:p w14:paraId="2466DE1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142</w:t>
            </w:r>
          </w:p>
        </w:tc>
        <w:tc>
          <w:tcPr>
            <w:tcW w:w="1705" w:type="dxa"/>
            <w:shd w:val="clear" w:color="auto" w:fill="auto"/>
            <w:noWrap/>
            <w:vAlign w:val="bottom"/>
            <w:hideMark/>
          </w:tcPr>
          <w:p w14:paraId="1961DF49"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3110</w:t>
            </w:r>
          </w:p>
        </w:tc>
      </w:tr>
      <w:tr w:rsidR="00B57970" w:rsidRPr="00E95DD8" w14:paraId="13C66793" w14:textId="77777777" w:rsidTr="00B57970">
        <w:trPr>
          <w:trHeight w:val="300"/>
        </w:trPr>
        <w:tc>
          <w:tcPr>
            <w:tcW w:w="1488" w:type="dxa"/>
            <w:vMerge/>
            <w:vAlign w:val="center"/>
            <w:hideMark/>
          </w:tcPr>
          <w:p w14:paraId="0775FF4B"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54CF8EA0"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Oats</w:t>
            </w:r>
          </w:p>
        </w:tc>
        <w:tc>
          <w:tcPr>
            <w:tcW w:w="1081" w:type="dxa"/>
            <w:shd w:val="clear" w:color="auto" w:fill="auto"/>
            <w:noWrap/>
            <w:vAlign w:val="bottom"/>
            <w:hideMark/>
          </w:tcPr>
          <w:p w14:paraId="399F7AA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w:t>
            </w:r>
          </w:p>
        </w:tc>
        <w:tc>
          <w:tcPr>
            <w:tcW w:w="1358" w:type="dxa"/>
            <w:shd w:val="clear" w:color="auto" w:fill="auto"/>
            <w:noWrap/>
            <w:vAlign w:val="bottom"/>
            <w:hideMark/>
          </w:tcPr>
          <w:p w14:paraId="3631FD9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100</w:t>
            </w:r>
          </w:p>
        </w:tc>
        <w:tc>
          <w:tcPr>
            <w:tcW w:w="1161" w:type="dxa"/>
            <w:shd w:val="clear" w:color="auto" w:fill="auto"/>
            <w:noWrap/>
            <w:vAlign w:val="bottom"/>
            <w:hideMark/>
          </w:tcPr>
          <w:p w14:paraId="36D9586D"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131</w:t>
            </w:r>
          </w:p>
        </w:tc>
        <w:tc>
          <w:tcPr>
            <w:tcW w:w="970" w:type="dxa"/>
            <w:shd w:val="clear" w:color="auto" w:fill="auto"/>
            <w:noWrap/>
            <w:vAlign w:val="bottom"/>
            <w:hideMark/>
          </w:tcPr>
          <w:p w14:paraId="4B2222A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235</w:t>
            </w:r>
          </w:p>
        </w:tc>
        <w:tc>
          <w:tcPr>
            <w:tcW w:w="1370" w:type="dxa"/>
            <w:shd w:val="clear" w:color="auto" w:fill="auto"/>
            <w:noWrap/>
            <w:vAlign w:val="bottom"/>
            <w:hideMark/>
          </w:tcPr>
          <w:p w14:paraId="7797CDA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121</w:t>
            </w:r>
          </w:p>
        </w:tc>
        <w:tc>
          <w:tcPr>
            <w:tcW w:w="1260" w:type="dxa"/>
            <w:shd w:val="clear" w:color="auto" w:fill="auto"/>
            <w:noWrap/>
            <w:vAlign w:val="bottom"/>
            <w:hideMark/>
          </w:tcPr>
          <w:p w14:paraId="15B8BAD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234</w:t>
            </w:r>
          </w:p>
        </w:tc>
        <w:tc>
          <w:tcPr>
            <w:tcW w:w="1350" w:type="dxa"/>
            <w:shd w:val="clear" w:color="auto" w:fill="auto"/>
            <w:noWrap/>
            <w:vAlign w:val="bottom"/>
            <w:hideMark/>
          </w:tcPr>
          <w:p w14:paraId="6AE373E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9.4</w:t>
            </w:r>
          </w:p>
        </w:tc>
        <w:tc>
          <w:tcPr>
            <w:tcW w:w="1705" w:type="dxa"/>
            <w:shd w:val="clear" w:color="auto" w:fill="auto"/>
            <w:noWrap/>
            <w:vAlign w:val="bottom"/>
            <w:hideMark/>
          </w:tcPr>
          <w:p w14:paraId="32E1996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27</w:t>
            </w:r>
          </w:p>
        </w:tc>
      </w:tr>
      <w:tr w:rsidR="00B57970" w:rsidRPr="00E95DD8" w14:paraId="65D9527E" w14:textId="77777777" w:rsidTr="00B57970">
        <w:trPr>
          <w:trHeight w:val="300"/>
        </w:trPr>
        <w:tc>
          <w:tcPr>
            <w:tcW w:w="1488" w:type="dxa"/>
            <w:vMerge/>
            <w:vAlign w:val="center"/>
            <w:hideMark/>
          </w:tcPr>
          <w:p w14:paraId="3D802880"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789E95E1"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Peas</w:t>
            </w:r>
          </w:p>
        </w:tc>
        <w:tc>
          <w:tcPr>
            <w:tcW w:w="1081" w:type="dxa"/>
            <w:shd w:val="clear" w:color="auto" w:fill="auto"/>
            <w:noWrap/>
            <w:vAlign w:val="bottom"/>
            <w:hideMark/>
          </w:tcPr>
          <w:p w14:paraId="76E8E1B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8</w:t>
            </w:r>
          </w:p>
        </w:tc>
        <w:tc>
          <w:tcPr>
            <w:tcW w:w="1358" w:type="dxa"/>
            <w:shd w:val="clear" w:color="auto" w:fill="auto"/>
            <w:noWrap/>
            <w:vAlign w:val="bottom"/>
            <w:hideMark/>
          </w:tcPr>
          <w:p w14:paraId="5F27B817"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50</w:t>
            </w:r>
          </w:p>
        </w:tc>
        <w:tc>
          <w:tcPr>
            <w:tcW w:w="1161" w:type="dxa"/>
            <w:shd w:val="clear" w:color="auto" w:fill="auto"/>
            <w:noWrap/>
            <w:vAlign w:val="bottom"/>
            <w:hideMark/>
          </w:tcPr>
          <w:p w14:paraId="11CE346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9.6</w:t>
            </w:r>
          </w:p>
        </w:tc>
        <w:tc>
          <w:tcPr>
            <w:tcW w:w="970" w:type="dxa"/>
            <w:shd w:val="clear" w:color="auto" w:fill="auto"/>
            <w:noWrap/>
            <w:vAlign w:val="bottom"/>
            <w:hideMark/>
          </w:tcPr>
          <w:p w14:paraId="2EBC47E7"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28.4</w:t>
            </w:r>
          </w:p>
        </w:tc>
        <w:tc>
          <w:tcPr>
            <w:tcW w:w="1370" w:type="dxa"/>
            <w:shd w:val="clear" w:color="auto" w:fill="auto"/>
            <w:noWrap/>
            <w:vAlign w:val="bottom"/>
            <w:hideMark/>
          </w:tcPr>
          <w:p w14:paraId="081F3A8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260" w:type="dxa"/>
            <w:shd w:val="clear" w:color="auto" w:fill="auto"/>
            <w:noWrap/>
            <w:vAlign w:val="bottom"/>
            <w:hideMark/>
          </w:tcPr>
          <w:p w14:paraId="3114AC6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350" w:type="dxa"/>
            <w:shd w:val="clear" w:color="auto" w:fill="auto"/>
            <w:noWrap/>
            <w:vAlign w:val="bottom"/>
            <w:hideMark/>
          </w:tcPr>
          <w:p w14:paraId="0125B13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9.6</w:t>
            </w:r>
          </w:p>
        </w:tc>
        <w:tc>
          <w:tcPr>
            <w:tcW w:w="1705" w:type="dxa"/>
            <w:shd w:val="clear" w:color="auto" w:fill="auto"/>
            <w:noWrap/>
            <w:vAlign w:val="bottom"/>
            <w:hideMark/>
          </w:tcPr>
          <w:p w14:paraId="1E0CA31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28.4</w:t>
            </w:r>
          </w:p>
        </w:tc>
      </w:tr>
      <w:tr w:rsidR="00B57970" w:rsidRPr="00E95DD8" w14:paraId="5173D7DB" w14:textId="77777777" w:rsidTr="00B57970">
        <w:trPr>
          <w:trHeight w:val="300"/>
        </w:trPr>
        <w:tc>
          <w:tcPr>
            <w:tcW w:w="1488" w:type="dxa"/>
            <w:vMerge/>
            <w:vAlign w:val="center"/>
            <w:hideMark/>
          </w:tcPr>
          <w:p w14:paraId="5D3E8666"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42B6D850"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Wheat</w:t>
            </w:r>
          </w:p>
        </w:tc>
        <w:tc>
          <w:tcPr>
            <w:tcW w:w="1081" w:type="dxa"/>
            <w:shd w:val="clear" w:color="auto" w:fill="auto"/>
            <w:noWrap/>
            <w:vAlign w:val="bottom"/>
            <w:hideMark/>
          </w:tcPr>
          <w:p w14:paraId="7B95460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29</w:t>
            </w:r>
          </w:p>
        </w:tc>
        <w:tc>
          <w:tcPr>
            <w:tcW w:w="1358" w:type="dxa"/>
            <w:shd w:val="clear" w:color="auto" w:fill="auto"/>
            <w:noWrap/>
            <w:vAlign w:val="bottom"/>
            <w:hideMark/>
          </w:tcPr>
          <w:p w14:paraId="28AD94D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62</w:t>
            </w:r>
          </w:p>
        </w:tc>
        <w:tc>
          <w:tcPr>
            <w:tcW w:w="1161" w:type="dxa"/>
            <w:shd w:val="clear" w:color="auto" w:fill="auto"/>
            <w:noWrap/>
            <w:vAlign w:val="bottom"/>
            <w:hideMark/>
          </w:tcPr>
          <w:p w14:paraId="26343C2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53.5</w:t>
            </w:r>
          </w:p>
        </w:tc>
        <w:tc>
          <w:tcPr>
            <w:tcW w:w="970" w:type="dxa"/>
            <w:shd w:val="clear" w:color="auto" w:fill="auto"/>
            <w:noWrap/>
            <w:vAlign w:val="bottom"/>
            <w:hideMark/>
          </w:tcPr>
          <w:p w14:paraId="3CF4463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524</w:t>
            </w:r>
          </w:p>
        </w:tc>
        <w:tc>
          <w:tcPr>
            <w:tcW w:w="1370" w:type="dxa"/>
            <w:shd w:val="clear" w:color="auto" w:fill="auto"/>
            <w:noWrap/>
            <w:vAlign w:val="bottom"/>
            <w:hideMark/>
          </w:tcPr>
          <w:p w14:paraId="023564C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2.3</w:t>
            </w:r>
          </w:p>
        </w:tc>
        <w:tc>
          <w:tcPr>
            <w:tcW w:w="1260" w:type="dxa"/>
            <w:shd w:val="clear" w:color="auto" w:fill="auto"/>
            <w:noWrap/>
            <w:vAlign w:val="bottom"/>
            <w:hideMark/>
          </w:tcPr>
          <w:p w14:paraId="5566CDE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37.7</w:t>
            </w:r>
          </w:p>
        </w:tc>
        <w:tc>
          <w:tcPr>
            <w:tcW w:w="1350" w:type="dxa"/>
            <w:shd w:val="clear" w:color="auto" w:fill="auto"/>
            <w:noWrap/>
            <w:vAlign w:val="bottom"/>
            <w:hideMark/>
          </w:tcPr>
          <w:p w14:paraId="63F5DA9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35</w:t>
            </w:r>
          </w:p>
        </w:tc>
        <w:tc>
          <w:tcPr>
            <w:tcW w:w="1705" w:type="dxa"/>
            <w:shd w:val="clear" w:color="auto" w:fill="auto"/>
            <w:noWrap/>
            <w:vAlign w:val="bottom"/>
            <w:hideMark/>
          </w:tcPr>
          <w:p w14:paraId="69CF516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518</w:t>
            </w:r>
          </w:p>
        </w:tc>
      </w:tr>
      <w:tr w:rsidR="00B57970" w:rsidRPr="00E95DD8" w14:paraId="78A32709" w14:textId="77777777" w:rsidTr="00B57970">
        <w:trPr>
          <w:trHeight w:val="300"/>
        </w:trPr>
        <w:tc>
          <w:tcPr>
            <w:tcW w:w="1488" w:type="dxa"/>
            <w:vMerge/>
            <w:vAlign w:val="center"/>
            <w:hideMark/>
          </w:tcPr>
          <w:p w14:paraId="642CBFCD"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23C7141C"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Grassland</w:t>
            </w:r>
          </w:p>
        </w:tc>
        <w:tc>
          <w:tcPr>
            <w:tcW w:w="1081" w:type="dxa"/>
            <w:shd w:val="clear" w:color="auto" w:fill="auto"/>
            <w:noWrap/>
            <w:vAlign w:val="bottom"/>
            <w:hideMark/>
          </w:tcPr>
          <w:p w14:paraId="275B3A9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15</w:t>
            </w:r>
          </w:p>
        </w:tc>
        <w:tc>
          <w:tcPr>
            <w:tcW w:w="1358" w:type="dxa"/>
            <w:shd w:val="clear" w:color="auto" w:fill="auto"/>
            <w:noWrap/>
            <w:vAlign w:val="bottom"/>
            <w:hideMark/>
          </w:tcPr>
          <w:p w14:paraId="71E339B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13</w:t>
            </w:r>
          </w:p>
        </w:tc>
        <w:tc>
          <w:tcPr>
            <w:tcW w:w="1161" w:type="dxa"/>
            <w:shd w:val="clear" w:color="auto" w:fill="auto"/>
            <w:noWrap/>
            <w:vAlign w:val="bottom"/>
            <w:hideMark/>
          </w:tcPr>
          <w:p w14:paraId="352B498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2.7</w:t>
            </w:r>
          </w:p>
        </w:tc>
        <w:tc>
          <w:tcPr>
            <w:tcW w:w="970" w:type="dxa"/>
            <w:shd w:val="clear" w:color="auto" w:fill="auto"/>
            <w:noWrap/>
            <w:vAlign w:val="bottom"/>
            <w:hideMark/>
          </w:tcPr>
          <w:p w14:paraId="58AF89B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5.8</w:t>
            </w:r>
          </w:p>
        </w:tc>
        <w:tc>
          <w:tcPr>
            <w:tcW w:w="1370" w:type="dxa"/>
            <w:shd w:val="clear" w:color="auto" w:fill="auto"/>
            <w:noWrap/>
            <w:vAlign w:val="bottom"/>
            <w:hideMark/>
          </w:tcPr>
          <w:p w14:paraId="61441A7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260" w:type="dxa"/>
            <w:shd w:val="clear" w:color="auto" w:fill="auto"/>
            <w:noWrap/>
            <w:vAlign w:val="bottom"/>
            <w:hideMark/>
          </w:tcPr>
          <w:p w14:paraId="0CB8E66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350" w:type="dxa"/>
            <w:shd w:val="clear" w:color="auto" w:fill="auto"/>
            <w:noWrap/>
            <w:vAlign w:val="bottom"/>
            <w:hideMark/>
          </w:tcPr>
          <w:p w14:paraId="2C6CEC9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0.8</w:t>
            </w:r>
          </w:p>
        </w:tc>
        <w:tc>
          <w:tcPr>
            <w:tcW w:w="1705" w:type="dxa"/>
            <w:shd w:val="clear" w:color="auto" w:fill="auto"/>
            <w:noWrap/>
            <w:vAlign w:val="bottom"/>
            <w:hideMark/>
          </w:tcPr>
          <w:p w14:paraId="69BC5203"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4.1</w:t>
            </w:r>
          </w:p>
        </w:tc>
      </w:tr>
      <w:tr w:rsidR="00B57970" w:rsidRPr="00E95DD8" w14:paraId="3E1FD5CB" w14:textId="77777777" w:rsidTr="00B57970">
        <w:trPr>
          <w:trHeight w:val="300"/>
        </w:trPr>
        <w:tc>
          <w:tcPr>
            <w:tcW w:w="1488" w:type="dxa"/>
            <w:vMerge/>
            <w:vAlign w:val="center"/>
            <w:hideMark/>
          </w:tcPr>
          <w:p w14:paraId="261D7E54"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5484324F"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Overall</w:t>
            </w:r>
          </w:p>
        </w:tc>
        <w:tc>
          <w:tcPr>
            <w:tcW w:w="1081" w:type="dxa"/>
            <w:shd w:val="clear" w:color="auto" w:fill="auto"/>
            <w:noWrap/>
            <w:vAlign w:val="bottom"/>
            <w:hideMark/>
          </w:tcPr>
          <w:p w14:paraId="6E8AD9B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134</w:t>
            </w:r>
          </w:p>
        </w:tc>
        <w:tc>
          <w:tcPr>
            <w:tcW w:w="1358" w:type="dxa"/>
            <w:shd w:val="clear" w:color="auto" w:fill="auto"/>
            <w:noWrap/>
            <w:vAlign w:val="bottom"/>
            <w:hideMark/>
          </w:tcPr>
          <w:p w14:paraId="5FCF133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62</w:t>
            </w:r>
          </w:p>
        </w:tc>
        <w:tc>
          <w:tcPr>
            <w:tcW w:w="1161" w:type="dxa"/>
            <w:shd w:val="clear" w:color="auto" w:fill="auto"/>
            <w:noWrap/>
            <w:vAlign w:val="bottom"/>
            <w:hideMark/>
          </w:tcPr>
          <w:p w14:paraId="2621788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76.8</w:t>
            </w:r>
          </w:p>
        </w:tc>
        <w:tc>
          <w:tcPr>
            <w:tcW w:w="970" w:type="dxa"/>
            <w:shd w:val="clear" w:color="auto" w:fill="auto"/>
            <w:noWrap/>
            <w:vAlign w:val="bottom"/>
            <w:hideMark/>
          </w:tcPr>
          <w:p w14:paraId="6D18BDE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3110</w:t>
            </w:r>
          </w:p>
        </w:tc>
        <w:tc>
          <w:tcPr>
            <w:tcW w:w="1370" w:type="dxa"/>
            <w:shd w:val="clear" w:color="auto" w:fill="auto"/>
            <w:noWrap/>
            <w:vAlign w:val="bottom"/>
            <w:hideMark/>
          </w:tcPr>
          <w:p w14:paraId="693B6831" w14:textId="77777777" w:rsidR="00B57970" w:rsidRPr="00500AE8" w:rsidRDefault="00B57970" w:rsidP="00B57970">
            <w:pPr>
              <w:jc w:val="center"/>
              <w:rPr>
                <w:rFonts w:eastAsia="Times New Roman" w:cs="Times New Roman"/>
                <w:color w:val="000000"/>
                <w:sz w:val="20"/>
                <w:szCs w:val="20"/>
              </w:rPr>
            </w:pPr>
          </w:p>
        </w:tc>
        <w:tc>
          <w:tcPr>
            <w:tcW w:w="1260" w:type="dxa"/>
            <w:shd w:val="clear" w:color="auto" w:fill="auto"/>
            <w:noWrap/>
            <w:vAlign w:val="bottom"/>
            <w:hideMark/>
          </w:tcPr>
          <w:p w14:paraId="27190F1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1490 (19%)</w:t>
            </w:r>
          </w:p>
        </w:tc>
        <w:tc>
          <w:tcPr>
            <w:tcW w:w="1350" w:type="dxa"/>
            <w:shd w:val="clear" w:color="auto" w:fill="auto"/>
            <w:noWrap/>
            <w:vAlign w:val="bottom"/>
            <w:hideMark/>
          </w:tcPr>
          <w:p w14:paraId="0763F544" w14:textId="77777777" w:rsidR="00B57970" w:rsidRPr="00500AE8" w:rsidRDefault="00B57970" w:rsidP="00B57970">
            <w:pPr>
              <w:jc w:val="center"/>
              <w:rPr>
                <w:rFonts w:eastAsia="Times New Roman" w:cs="Times New Roman"/>
                <w:color w:val="000000"/>
                <w:sz w:val="20"/>
                <w:szCs w:val="20"/>
              </w:rPr>
            </w:pPr>
          </w:p>
        </w:tc>
        <w:tc>
          <w:tcPr>
            <w:tcW w:w="1705" w:type="dxa"/>
            <w:shd w:val="clear" w:color="auto" w:fill="auto"/>
            <w:noWrap/>
            <w:vAlign w:val="bottom"/>
            <w:hideMark/>
          </w:tcPr>
          <w:p w14:paraId="20C4EF5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3110 (51%)</w:t>
            </w:r>
          </w:p>
        </w:tc>
      </w:tr>
      <w:tr w:rsidR="00B57970" w:rsidRPr="00E95DD8" w14:paraId="4882738D" w14:textId="77777777" w:rsidTr="00B57970">
        <w:trPr>
          <w:trHeight w:val="300"/>
        </w:trPr>
        <w:tc>
          <w:tcPr>
            <w:tcW w:w="1488" w:type="dxa"/>
            <w:vMerge w:val="restart"/>
            <w:shd w:val="clear" w:color="auto" w:fill="auto"/>
            <w:vAlign w:val="center"/>
            <w:hideMark/>
          </w:tcPr>
          <w:p w14:paraId="6659B51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Fall, 2012 (harvest)</w:t>
            </w:r>
          </w:p>
        </w:tc>
        <w:tc>
          <w:tcPr>
            <w:tcW w:w="1207" w:type="dxa"/>
            <w:shd w:val="clear" w:color="auto" w:fill="auto"/>
            <w:noWrap/>
            <w:vAlign w:val="bottom"/>
            <w:hideMark/>
          </w:tcPr>
          <w:p w14:paraId="1A864114"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Barley</w:t>
            </w:r>
          </w:p>
        </w:tc>
        <w:tc>
          <w:tcPr>
            <w:tcW w:w="1081" w:type="dxa"/>
            <w:shd w:val="clear" w:color="auto" w:fill="auto"/>
            <w:noWrap/>
            <w:vAlign w:val="bottom"/>
            <w:hideMark/>
          </w:tcPr>
          <w:p w14:paraId="2B7B557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13</w:t>
            </w:r>
          </w:p>
        </w:tc>
        <w:tc>
          <w:tcPr>
            <w:tcW w:w="1358" w:type="dxa"/>
            <w:shd w:val="clear" w:color="auto" w:fill="auto"/>
            <w:noWrap/>
            <w:vAlign w:val="bottom"/>
            <w:hideMark/>
          </w:tcPr>
          <w:p w14:paraId="358973D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8</w:t>
            </w:r>
          </w:p>
        </w:tc>
        <w:tc>
          <w:tcPr>
            <w:tcW w:w="1161" w:type="dxa"/>
            <w:shd w:val="clear" w:color="auto" w:fill="auto"/>
            <w:noWrap/>
            <w:vAlign w:val="bottom"/>
            <w:hideMark/>
          </w:tcPr>
          <w:p w14:paraId="752EDEB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1.1</w:t>
            </w:r>
          </w:p>
        </w:tc>
        <w:tc>
          <w:tcPr>
            <w:tcW w:w="970" w:type="dxa"/>
            <w:shd w:val="clear" w:color="auto" w:fill="auto"/>
            <w:noWrap/>
            <w:vAlign w:val="bottom"/>
            <w:hideMark/>
          </w:tcPr>
          <w:p w14:paraId="222409B9"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7</w:t>
            </w:r>
          </w:p>
        </w:tc>
        <w:tc>
          <w:tcPr>
            <w:tcW w:w="1370" w:type="dxa"/>
            <w:shd w:val="clear" w:color="auto" w:fill="auto"/>
            <w:noWrap/>
            <w:vAlign w:val="bottom"/>
            <w:hideMark/>
          </w:tcPr>
          <w:p w14:paraId="5B95CADB"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260" w:type="dxa"/>
            <w:shd w:val="clear" w:color="auto" w:fill="auto"/>
            <w:noWrap/>
            <w:vAlign w:val="bottom"/>
            <w:hideMark/>
          </w:tcPr>
          <w:p w14:paraId="1C942CC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350" w:type="dxa"/>
            <w:shd w:val="clear" w:color="auto" w:fill="auto"/>
            <w:noWrap/>
            <w:vAlign w:val="bottom"/>
            <w:hideMark/>
          </w:tcPr>
          <w:p w14:paraId="7B873D89"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1.1</w:t>
            </w:r>
          </w:p>
        </w:tc>
        <w:tc>
          <w:tcPr>
            <w:tcW w:w="1705" w:type="dxa"/>
            <w:shd w:val="clear" w:color="auto" w:fill="auto"/>
            <w:noWrap/>
            <w:vAlign w:val="bottom"/>
            <w:hideMark/>
          </w:tcPr>
          <w:p w14:paraId="0E50B027"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7</w:t>
            </w:r>
          </w:p>
        </w:tc>
      </w:tr>
      <w:tr w:rsidR="00B57970" w:rsidRPr="00E95DD8" w14:paraId="061F1317" w14:textId="77777777" w:rsidTr="00B57970">
        <w:trPr>
          <w:trHeight w:val="300"/>
        </w:trPr>
        <w:tc>
          <w:tcPr>
            <w:tcW w:w="1488" w:type="dxa"/>
            <w:vMerge/>
            <w:vAlign w:val="center"/>
            <w:hideMark/>
          </w:tcPr>
          <w:p w14:paraId="4F97C894"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0CF6C63D"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Canola</w:t>
            </w:r>
          </w:p>
        </w:tc>
        <w:tc>
          <w:tcPr>
            <w:tcW w:w="1081" w:type="dxa"/>
            <w:shd w:val="clear" w:color="auto" w:fill="auto"/>
            <w:noWrap/>
            <w:vAlign w:val="bottom"/>
            <w:hideMark/>
          </w:tcPr>
          <w:p w14:paraId="721FB7E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35</w:t>
            </w:r>
          </w:p>
        </w:tc>
        <w:tc>
          <w:tcPr>
            <w:tcW w:w="1358" w:type="dxa"/>
            <w:shd w:val="clear" w:color="auto" w:fill="auto"/>
            <w:noWrap/>
            <w:vAlign w:val="bottom"/>
            <w:hideMark/>
          </w:tcPr>
          <w:p w14:paraId="45DFC78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20</w:t>
            </w:r>
          </w:p>
        </w:tc>
        <w:tc>
          <w:tcPr>
            <w:tcW w:w="1161" w:type="dxa"/>
            <w:shd w:val="clear" w:color="auto" w:fill="auto"/>
            <w:noWrap/>
            <w:vAlign w:val="bottom"/>
            <w:hideMark/>
          </w:tcPr>
          <w:p w14:paraId="34F75EF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5.4</w:t>
            </w:r>
          </w:p>
        </w:tc>
        <w:tc>
          <w:tcPr>
            <w:tcW w:w="970" w:type="dxa"/>
            <w:shd w:val="clear" w:color="auto" w:fill="auto"/>
            <w:noWrap/>
            <w:vAlign w:val="bottom"/>
            <w:hideMark/>
          </w:tcPr>
          <w:p w14:paraId="1101FA8D"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32.6</w:t>
            </w:r>
          </w:p>
        </w:tc>
        <w:tc>
          <w:tcPr>
            <w:tcW w:w="1370" w:type="dxa"/>
            <w:shd w:val="clear" w:color="auto" w:fill="auto"/>
            <w:noWrap/>
            <w:vAlign w:val="bottom"/>
            <w:hideMark/>
          </w:tcPr>
          <w:p w14:paraId="13F5B32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2.2</w:t>
            </w:r>
          </w:p>
        </w:tc>
        <w:tc>
          <w:tcPr>
            <w:tcW w:w="1260" w:type="dxa"/>
            <w:shd w:val="clear" w:color="auto" w:fill="auto"/>
            <w:noWrap/>
            <w:vAlign w:val="bottom"/>
            <w:hideMark/>
          </w:tcPr>
          <w:p w14:paraId="53E61D3B"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20</w:t>
            </w:r>
          </w:p>
        </w:tc>
        <w:tc>
          <w:tcPr>
            <w:tcW w:w="1350" w:type="dxa"/>
            <w:shd w:val="clear" w:color="auto" w:fill="auto"/>
            <w:noWrap/>
            <w:vAlign w:val="bottom"/>
            <w:hideMark/>
          </w:tcPr>
          <w:p w14:paraId="3DFC404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w:t>
            </w:r>
          </w:p>
        </w:tc>
        <w:tc>
          <w:tcPr>
            <w:tcW w:w="1705" w:type="dxa"/>
            <w:shd w:val="clear" w:color="auto" w:fill="auto"/>
            <w:noWrap/>
            <w:vAlign w:val="bottom"/>
            <w:hideMark/>
          </w:tcPr>
          <w:p w14:paraId="113A56C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30.9</w:t>
            </w:r>
          </w:p>
        </w:tc>
      </w:tr>
      <w:tr w:rsidR="00B57970" w:rsidRPr="00E95DD8" w14:paraId="00898011" w14:textId="77777777" w:rsidTr="00B57970">
        <w:trPr>
          <w:trHeight w:val="300"/>
        </w:trPr>
        <w:tc>
          <w:tcPr>
            <w:tcW w:w="1488" w:type="dxa"/>
            <w:vMerge/>
            <w:vAlign w:val="center"/>
            <w:hideMark/>
          </w:tcPr>
          <w:p w14:paraId="712C1F30"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44B5595E"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Oats</w:t>
            </w:r>
          </w:p>
        </w:tc>
        <w:tc>
          <w:tcPr>
            <w:tcW w:w="1081" w:type="dxa"/>
            <w:shd w:val="clear" w:color="auto" w:fill="auto"/>
            <w:noWrap/>
            <w:vAlign w:val="bottom"/>
            <w:hideMark/>
          </w:tcPr>
          <w:p w14:paraId="7C32386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w:t>
            </w:r>
          </w:p>
        </w:tc>
        <w:tc>
          <w:tcPr>
            <w:tcW w:w="1358" w:type="dxa"/>
            <w:shd w:val="clear" w:color="auto" w:fill="auto"/>
            <w:noWrap/>
            <w:vAlign w:val="bottom"/>
            <w:hideMark/>
          </w:tcPr>
          <w:p w14:paraId="2DAA854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33</w:t>
            </w:r>
          </w:p>
        </w:tc>
        <w:tc>
          <w:tcPr>
            <w:tcW w:w="1161" w:type="dxa"/>
            <w:shd w:val="clear" w:color="auto" w:fill="auto"/>
            <w:noWrap/>
            <w:vAlign w:val="bottom"/>
            <w:hideMark/>
          </w:tcPr>
          <w:p w14:paraId="01C9030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4.2</w:t>
            </w:r>
          </w:p>
        </w:tc>
        <w:tc>
          <w:tcPr>
            <w:tcW w:w="970" w:type="dxa"/>
            <w:shd w:val="clear" w:color="auto" w:fill="auto"/>
            <w:noWrap/>
            <w:vAlign w:val="bottom"/>
            <w:hideMark/>
          </w:tcPr>
          <w:p w14:paraId="17865A39"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12</w:t>
            </w:r>
          </w:p>
        </w:tc>
        <w:tc>
          <w:tcPr>
            <w:tcW w:w="1370" w:type="dxa"/>
            <w:shd w:val="clear" w:color="auto" w:fill="auto"/>
            <w:noWrap/>
            <w:vAlign w:val="bottom"/>
            <w:hideMark/>
          </w:tcPr>
          <w:p w14:paraId="183FEA0B"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260" w:type="dxa"/>
            <w:shd w:val="clear" w:color="auto" w:fill="auto"/>
            <w:noWrap/>
            <w:vAlign w:val="bottom"/>
            <w:hideMark/>
          </w:tcPr>
          <w:p w14:paraId="67026E5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350" w:type="dxa"/>
            <w:shd w:val="clear" w:color="auto" w:fill="auto"/>
            <w:noWrap/>
            <w:vAlign w:val="bottom"/>
            <w:hideMark/>
          </w:tcPr>
          <w:p w14:paraId="63506209"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705" w:type="dxa"/>
            <w:shd w:val="clear" w:color="auto" w:fill="auto"/>
            <w:noWrap/>
            <w:vAlign w:val="bottom"/>
            <w:hideMark/>
          </w:tcPr>
          <w:p w14:paraId="1DCDF05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r>
      <w:tr w:rsidR="00B57970" w:rsidRPr="00E95DD8" w14:paraId="2803C0D4" w14:textId="77777777" w:rsidTr="00B57970">
        <w:trPr>
          <w:trHeight w:val="300"/>
        </w:trPr>
        <w:tc>
          <w:tcPr>
            <w:tcW w:w="1488" w:type="dxa"/>
            <w:vMerge/>
            <w:vAlign w:val="center"/>
            <w:hideMark/>
          </w:tcPr>
          <w:p w14:paraId="3602AC79"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1F9F5C73"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Peas</w:t>
            </w:r>
          </w:p>
        </w:tc>
        <w:tc>
          <w:tcPr>
            <w:tcW w:w="1081" w:type="dxa"/>
            <w:shd w:val="clear" w:color="auto" w:fill="auto"/>
            <w:noWrap/>
            <w:vAlign w:val="bottom"/>
            <w:hideMark/>
          </w:tcPr>
          <w:p w14:paraId="3FAA7973"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w:t>
            </w:r>
          </w:p>
        </w:tc>
        <w:tc>
          <w:tcPr>
            <w:tcW w:w="1358" w:type="dxa"/>
            <w:shd w:val="clear" w:color="auto" w:fill="auto"/>
            <w:noWrap/>
            <w:vAlign w:val="bottom"/>
            <w:hideMark/>
          </w:tcPr>
          <w:p w14:paraId="0A020A2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40</w:t>
            </w:r>
          </w:p>
        </w:tc>
        <w:tc>
          <w:tcPr>
            <w:tcW w:w="1161" w:type="dxa"/>
            <w:shd w:val="clear" w:color="auto" w:fill="auto"/>
            <w:noWrap/>
            <w:vAlign w:val="bottom"/>
            <w:hideMark/>
          </w:tcPr>
          <w:p w14:paraId="0B4CE1D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5.3</w:t>
            </w:r>
          </w:p>
        </w:tc>
        <w:tc>
          <w:tcPr>
            <w:tcW w:w="970" w:type="dxa"/>
            <w:shd w:val="clear" w:color="auto" w:fill="auto"/>
            <w:noWrap/>
            <w:vAlign w:val="bottom"/>
            <w:hideMark/>
          </w:tcPr>
          <w:p w14:paraId="1F810D9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16</w:t>
            </w:r>
          </w:p>
        </w:tc>
        <w:tc>
          <w:tcPr>
            <w:tcW w:w="1370" w:type="dxa"/>
            <w:shd w:val="clear" w:color="auto" w:fill="auto"/>
            <w:noWrap/>
            <w:vAlign w:val="bottom"/>
            <w:hideMark/>
          </w:tcPr>
          <w:p w14:paraId="34F2FF7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3.6</w:t>
            </w:r>
          </w:p>
        </w:tc>
        <w:tc>
          <w:tcPr>
            <w:tcW w:w="1260" w:type="dxa"/>
            <w:shd w:val="clear" w:color="auto" w:fill="auto"/>
            <w:noWrap/>
            <w:vAlign w:val="bottom"/>
            <w:hideMark/>
          </w:tcPr>
          <w:p w14:paraId="693F7F79"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14.6</w:t>
            </w:r>
          </w:p>
        </w:tc>
        <w:tc>
          <w:tcPr>
            <w:tcW w:w="1350" w:type="dxa"/>
            <w:shd w:val="clear" w:color="auto" w:fill="auto"/>
            <w:noWrap/>
            <w:vAlign w:val="bottom"/>
            <w:hideMark/>
          </w:tcPr>
          <w:p w14:paraId="440A3FD7"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705" w:type="dxa"/>
            <w:shd w:val="clear" w:color="auto" w:fill="auto"/>
            <w:noWrap/>
            <w:vAlign w:val="bottom"/>
            <w:hideMark/>
          </w:tcPr>
          <w:p w14:paraId="583FF0B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r>
      <w:tr w:rsidR="00B57970" w:rsidRPr="00E95DD8" w14:paraId="5DF3C5AC" w14:textId="77777777" w:rsidTr="00B57970">
        <w:trPr>
          <w:trHeight w:val="300"/>
        </w:trPr>
        <w:tc>
          <w:tcPr>
            <w:tcW w:w="1488" w:type="dxa"/>
            <w:vMerge/>
            <w:vAlign w:val="center"/>
            <w:hideMark/>
          </w:tcPr>
          <w:p w14:paraId="33095F01"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098E88FA"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Wheat</w:t>
            </w:r>
          </w:p>
        </w:tc>
        <w:tc>
          <w:tcPr>
            <w:tcW w:w="1081" w:type="dxa"/>
            <w:shd w:val="clear" w:color="auto" w:fill="auto"/>
            <w:noWrap/>
            <w:vAlign w:val="bottom"/>
            <w:hideMark/>
          </w:tcPr>
          <w:p w14:paraId="3C29899B"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15</w:t>
            </w:r>
          </w:p>
        </w:tc>
        <w:tc>
          <w:tcPr>
            <w:tcW w:w="1358" w:type="dxa"/>
            <w:shd w:val="clear" w:color="auto" w:fill="auto"/>
            <w:noWrap/>
            <w:vAlign w:val="bottom"/>
            <w:hideMark/>
          </w:tcPr>
          <w:p w14:paraId="2090CE49"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0</w:t>
            </w:r>
          </w:p>
        </w:tc>
        <w:tc>
          <w:tcPr>
            <w:tcW w:w="1161" w:type="dxa"/>
            <w:shd w:val="clear" w:color="auto" w:fill="auto"/>
            <w:noWrap/>
            <w:vAlign w:val="bottom"/>
            <w:hideMark/>
          </w:tcPr>
          <w:p w14:paraId="6E468B3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970" w:type="dxa"/>
            <w:shd w:val="clear" w:color="auto" w:fill="auto"/>
            <w:noWrap/>
            <w:vAlign w:val="bottom"/>
            <w:hideMark/>
          </w:tcPr>
          <w:p w14:paraId="23581F9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370" w:type="dxa"/>
            <w:shd w:val="clear" w:color="auto" w:fill="auto"/>
            <w:noWrap/>
            <w:vAlign w:val="bottom"/>
            <w:hideMark/>
          </w:tcPr>
          <w:p w14:paraId="06BFBBF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260" w:type="dxa"/>
            <w:shd w:val="clear" w:color="auto" w:fill="auto"/>
            <w:noWrap/>
            <w:vAlign w:val="bottom"/>
            <w:hideMark/>
          </w:tcPr>
          <w:p w14:paraId="0499E439"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350" w:type="dxa"/>
            <w:shd w:val="clear" w:color="auto" w:fill="auto"/>
            <w:noWrap/>
            <w:vAlign w:val="bottom"/>
            <w:hideMark/>
          </w:tcPr>
          <w:p w14:paraId="1ED4FFC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705" w:type="dxa"/>
            <w:shd w:val="clear" w:color="auto" w:fill="auto"/>
            <w:noWrap/>
            <w:vAlign w:val="bottom"/>
            <w:hideMark/>
          </w:tcPr>
          <w:p w14:paraId="6C64468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r>
      <w:tr w:rsidR="00B57970" w:rsidRPr="00E95DD8" w14:paraId="645FA4AB" w14:textId="77777777" w:rsidTr="00B57970">
        <w:trPr>
          <w:trHeight w:val="300"/>
        </w:trPr>
        <w:tc>
          <w:tcPr>
            <w:tcW w:w="1488" w:type="dxa"/>
            <w:vMerge/>
            <w:vAlign w:val="center"/>
            <w:hideMark/>
          </w:tcPr>
          <w:p w14:paraId="6BF33CB6"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6D6CFB2A"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Grassland</w:t>
            </w:r>
          </w:p>
        </w:tc>
        <w:tc>
          <w:tcPr>
            <w:tcW w:w="1081" w:type="dxa"/>
            <w:shd w:val="clear" w:color="auto" w:fill="auto"/>
            <w:noWrap/>
            <w:vAlign w:val="bottom"/>
            <w:hideMark/>
          </w:tcPr>
          <w:p w14:paraId="08EC6D93"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9</w:t>
            </w:r>
          </w:p>
        </w:tc>
        <w:tc>
          <w:tcPr>
            <w:tcW w:w="1358" w:type="dxa"/>
            <w:shd w:val="clear" w:color="auto" w:fill="auto"/>
            <w:noWrap/>
            <w:vAlign w:val="bottom"/>
            <w:hideMark/>
          </w:tcPr>
          <w:p w14:paraId="713468DB"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22</w:t>
            </w:r>
          </w:p>
        </w:tc>
        <w:tc>
          <w:tcPr>
            <w:tcW w:w="1161" w:type="dxa"/>
            <w:shd w:val="clear" w:color="auto" w:fill="auto"/>
            <w:noWrap/>
            <w:vAlign w:val="bottom"/>
            <w:hideMark/>
          </w:tcPr>
          <w:p w14:paraId="02A78C3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13.5</w:t>
            </w:r>
          </w:p>
        </w:tc>
        <w:tc>
          <w:tcPr>
            <w:tcW w:w="970" w:type="dxa"/>
            <w:shd w:val="clear" w:color="auto" w:fill="auto"/>
            <w:noWrap/>
            <w:vAlign w:val="bottom"/>
            <w:hideMark/>
          </w:tcPr>
          <w:p w14:paraId="70BA571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101</w:t>
            </w:r>
          </w:p>
        </w:tc>
        <w:tc>
          <w:tcPr>
            <w:tcW w:w="1370" w:type="dxa"/>
            <w:shd w:val="clear" w:color="auto" w:fill="auto"/>
            <w:noWrap/>
            <w:vAlign w:val="bottom"/>
            <w:hideMark/>
          </w:tcPr>
          <w:p w14:paraId="37AB1F8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11.9</w:t>
            </w:r>
          </w:p>
        </w:tc>
        <w:tc>
          <w:tcPr>
            <w:tcW w:w="1260" w:type="dxa"/>
            <w:shd w:val="clear" w:color="auto" w:fill="auto"/>
            <w:noWrap/>
            <w:vAlign w:val="bottom"/>
            <w:hideMark/>
          </w:tcPr>
          <w:p w14:paraId="3AE4CA9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100</w:t>
            </w:r>
          </w:p>
        </w:tc>
        <w:tc>
          <w:tcPr>
            <w:tcW w:w="1350" w:type="dxa"/>
            <w:shd w:val="clear" w:color="auto" w:fill="auto"/>
            <w:noWrap/>
            <w:vAlign w:val="bottom"/>
            <w:hideMark/>
          </w:tcPr>
          <w:p w14:paraId="763BFEA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705" w:type="dxa"/>
            <w:shd w:val="clear" w:color="auto" w:fill="auto"/>
            <w:noWrap/>
            <w:vAlign w:val="bottom"/>
            <w:hideMark/>
          </w:tcPr>
          <w:p w14:paraId="76A64987"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r>
      <w:tr w:rsidR="00B57970" w:rsidRPr="00E95DD8" w14:paraId="4868E485" w14:textId="77777777" w:rsidTr="00B57970">
        <w:trPr>
          <w:trHeight w:val="300"/>
        </w:trPr>
        <w:tc>
          <w:tcPr>
            <w:tcW w:w="1488" w:type="dxa"/>
            <w:vMerge/>
            <w:vAlign w:val="center"/>
            <w:hideMark/>
          </w:tcPr>
          <w:p w14:paraId="443D323A"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7ABCA971"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Overall</w:t>
            </w:r>
          </w:p>
        </w:tc>
        <w:tc>
          <w:tcPr>
            <w:tcW w:w="1081" w:type="dxa"/>
            <w:shd w:val="clear" w:color="auto" w:fill="auto"/>
            <w:noWrap/>
            <w:vAlign w:val="bottom"/>
            <w:hideMark/>
          </w:tcPr>
          <w:p w14:paraId="32BD541B"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80</w:t>
            </w:r>
          </w:p>
        </w:tc>
        <w:tc>
          <w:tcPr>
            <w:tcW w:w="1358" w:type="dxa"/>
            <w:shd w:val="clear" w:color="auto" w:fill="auto"/>
            <w:noWrap/>
            <w:vAlign w:val="bottom"/>
            <w:hideMark/>
          </w:tcPr>
          <w:p w14:paraId="2450539F"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16</w:t>
            </w:r>
          </w:p>
        </w:tc>
        <w:tc>
          <w:tcPr>
            <w:tcW w:w="1161" w:type="dxa"/>
            <w:shd w:val="clear" w:color="auto" w:fill="auto"/>
            <w:noWrap/>
            <w:vAlign w:val="bottom"/>
            <w:hideMark/>
          </w:tcPr>
          <w:p w14:paraId="38A4BD0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4</w:t>
            </w:r>
          </w:p>
        </w:tc>
        <w:tc>
          <w:tcPr>
            <w:tcW w:w="970" w:type="dxa"/>
            <w:shd w:val="clear" w:color="auto" w:fill="auto"/>
            <w:noWrap/>
            <w:vAlign w:val="bottom"/>
            <w:hideMark/>
          </w:tcPr>
          <w:p w14:paraId="22F3725B"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101</w:t>
            </w:r>
          </w:p>
        </w:tc>
        <w:tc>
          <w:tcPr>
            <w:tcW w:w="1370" w:type="dxa"/>
            <w:shd w:val="clear" w:color="auto" w:fill="auto"/>
            <w:noWrap/>
            <w:vAlign w:val="bottom"/>
            <w:hideMark/>
          </w:tcPr>
          <w:p w14:paraId="7076E03A" w14:textId="77777777" w:rsidR="00B57970" w:rsidRPr="00500AE8" w:rsidRDefault="00B57970" w:rsidP="00B57970">
            <w:pPr>
              <w:jc w:val="center"/>
              <w:rPr>
                <w:rFonts w:eastAsia="Times New Roman" w:cs="Times New Roman"/>
                <w:color w:val="000000"/>
                <w:sz w:val="20"/>
                <w:szCs w:val="20"/>
              </w:rPr>
            </w:pPr>
          </w:p>
        </w:tc>
        <w:tc>
          <w:tcPr>
            <w:tcW w:w="1260" w:type="dxa"/>
            <w:shd w:val="clear" w:color="auto" w:fill="auto"/>
            <w:noWrap/>
            <w:vAlign w:val="bottom"/>
            <w:hideMark/>
          </w:tcPr>
          <w:p w14:paraId="1B8502BD"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100 (6%)</w:t>
            </w:r>
          </w:p>
        </w:tc>
        <w:tc>
          <w:tcPr>
            <w:tcW w:w="1350" w:type="dxa"/>
            <w:shd w:val="clear" w:color="auto" w:fill="auto"/>
            <w:noWrap/>
            <w:vAlign w:val="bottom"/>
            <w:hideMark/>
          </w:tcPr>
          <w:p w14:paraId="58C6D544" w14:textId="77777777" w:rsidR="00B57970" w:rsidRPr="00500AE8" w:rsidRDefault="00B57970" w:rsidP="00B57970">
            <w:pPr>
              <w:jc w:val="center"/>
              <w:rPr>
                <w:rFonts w:eastAsia="Times New Roman" w:cs="Times New Roman"/>
                <w:color w:val="000000"/>
                <w:sz w:val="20"/>
                <w:szCs w:val="20"/>
              </w:rPr>
            </w:pPr>
          </w:p>
        </w:tc>
        <w:tc>
          <w:tcPr>
            <w:tcW w:w="1705" w:type="dxa"/>
            <w:shd w:val="clear" w:color="auto" w:fill="auto"/>
            <w:noWrap/>
            <w:vAlign w:val="bottom"/>
            <w:hideMark/>
          </w:tcPr>
          <w:p w14:paraId="5EF06BE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30.9 (5%)</w:t>
            </w:r>
          </w:p>
        </w:tc>
      </w:tr>
      <w:tr w:rsidR="00B57970" w:rsidRPr="00E95DD8" w14:paraId="3C5D6568" w14:textId="77777777" w:rsidTr="00B57970">
        <w:trPr>
          <w:trHeight w:val="300"/>
        </w:trPr>
        <w:tc>
          <w:tcPr>
            <w:tcW w:w="1488" w:type="dxa"/>
            <w:vMerge w:val="restart"/>
            <w:shd w:val="clear" w:color="auto" w:fill="auto"/>
            <w:vAlign w:val="center"/>
            <w:hideMark/>
          </w:tcPr>
          <w:p w14:paraId="7B13AD7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Spring, 2013 (pre-seeding)</w:t>
            </w:r>
          </w:p>
        </w:tc>
        <w:tc>
          <w:tcPr>
            <w:tcW w:w="1207" w:type="dxa"/>
            <w:shd w:val="clear" w:color="auto" w:fill="auto"/>
            <w:noWrap/>
            <w:vAlign w:val="bottom"/>
            <w:hideMark/>
          </w:tcPr>
          <w:p w14:paraId="3CF27E54"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Barley</w:t>
            </w:r>
          </w:p>
        </w:tc>
        <w:tc>
          <w:tcPr>
            <w:tcW w:w="1081" w:type="dxa"/>
            <w:shd w:val="clear" w:color="auto" w:fill="auto"/>
            <w:noWrap/>
            <w:vAlign w:val="bottom"/>
            <w:hideMark/>
          </w:tcPr>
          <w:p w14:paraId="3DE53D19"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16</w:t>
            </w:r>
          </w:p>
        </w:tc>
        <w:tc>
          <w:tcPr>
            <w:tcW w:w="1358" w:type="dxa"/>
            <w:shd w:val="clear" w:color="auto" w:fill="auto"/>
            <w:noWrap/>
            <w:vAlign w:val="bottom"/>
            <w:hideMark/>
          </w:tcPr>
          <w:p w14:paraId="1E65C71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94</w:t>
            </w:r>
          </w:p>
        </w:tc>
        <w:tc>
          <w:tcPr>
            <w:tcW w:w="1161" w:type="dxa"/>
            <w:shd w:val="clear" w:color="auto" w:fill="auto"/>
            <w:noWrap/>
            <w:vAlign w:val="bottom"/>
            <w:hideMark/>
          </w:tcPr>
          <w:p w14:paraId="4193A37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74.9</w:t>
            </w:r>
          </w:p>
        </w:tc>
        <w:tc>
          <w:tcPr>
            <w:tcW w:w="970" w:type="dxa"/>
            <w:shd w:val="clear" w:color="auto" w:fill="auto"/>
            <w:noWrap/>
            <w:vAlign w:val="bottom"/>
            <w:hideMark/>
          </w:tcPr>
          <w:p w14:paraId="57F395A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212</w:t>
            </w:r>
          </w:p>
        </w:tc>
        <w:tc>
          <w:tcPr>
            <w:tcW w:w="1370" w:type="dxa"/>
            <w:shd w:val="clear" w:color="auto" w:fill="auto"/>
            <w:noWrap/>
            <w:vAlign w:val="bottom"/>
            <w:hideMark/>
          </w:tcPr>
          <w:p w14:paraId="36C0033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19.8</w:t>
            </w:r>
          </w:p>
        </w:tc>
        <w:tc>
          <w:tcPr>
            <w:tcW w:w="1260" w:type="dxa"/>
            <w:shd w:val="clear" w:color="auto" w:fill="auto"/>
            <w:noWrap/>
            <w:vAlign w:val="bottom"/>
            <w:hideMark/>
          </w:tcPr>
          <w:p w14:paraId="7F47A0D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107</w:t>
            </w:r>
          </w:p>
        </w:tc>
        <w:tc>
          <w:tcPr>
            <w:tcW w:w="1350" w:type="dxa"/>
            <w:shd w:val="clear" w:color="auto" w:fill="auto"/>
            <w:noWrap/>
            <w:vAlign w:val="bottom"/>
            <w:hideMark/>
          </w:tcPr>
          <w:p w14:paraId="79F1D50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53.2</w:t>
            </w:r>
          </w:p>
        </w:tc>
        <w:tc>
          <w:tcPr>
            <w:tcW w:w="1705" w:type="dxa"/>
            <w:shd w:val="clear" w:color="auto" w:fill="auto"/>
            <w:noWrap/>
            <w:vAlign w:val="bottom"/>
            <w:hideMark/>
          </w:tcPr>
          <w:p w14:paraId="4D86830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157</w:t>
            </w:r>
          </w:p>
        </w:tc>
      </w:tr>
      <w:tr w:rsidR="00B57970" w:rsidRPr="00E95DD8" w14:paraId="6B28A13C" w14:textId="77777777" w:rsidTr="00B57970">
        <w:trPr>
          <w:trHeight w:val="300"/>
        </w:trPr>
        <w:tc>
          <w:tcPr>
            <w:tcW w:w="1488" w:type="dxa"/>
            <w:vMerge/>
            <w:vAlign w:val="center"/>
            <w:hideMark/>
          </w:tcPr>
          <w:p w14:paraId="660813A8"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5EE6FBCE"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Canola</w:t>
            </w:r>
          </w:p>
        </w:tc>
        <w:tc>
          <w:tcPr>
            <w:tcW w:w="1081" w:type="dxa"/>
            <w:shd w:val="clear" w:color="auto" w:fill="auto"/>
            <w:noWrap/>
            <w:vAlign w:val="bottom"/>
            <w:hideMark/>
          </w:tcPr>
          <w:p w14:paraId="5E56FDA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51</w:t>
            </w:r>
          </w:p>
        </w:tc>
        <w:tc>
          <w:tcPr>
            <w:tcW w:w="1358" w:type="dxa"/>
            <w:shd w:val="clear" w:color="auto" w:fill="auto"/>
            <w:noWrap/>
            <w:vAlign w:val="bottom"/>
            <w:hideMark/>
          </w:tcPr>
          <w:p w14:paraId="4A4CE3A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98</w:t>
            </w:r>
          </w:p>
        </w:tc>
        <w:tc>
          <w:tcPr>
            <w:tcW w:w="1161" w:type="dxa"/>
            <w:shd w:val="clear" w:color="auto" w:fill="auto"/>
            <w:noWrap/>
            <w:vAlign w:val="bottom"/>
            <w:hideMark/>
          </w:tcPr>
          <w:p w14:paraId="02C55EAD"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53.1</w:t>
            </w:r>
          </w:p>
        </w:tc>
        <w:tc>
          <w:tcPr>
            <w:tcW w:w="970" w:type="dxa"/>
            <w:shd w:val="clear" w:color="auto" w:fill="auto"/>
            <w:noWrap/>
            <w:vAlign w:val="bottom"/>
            <w:hideMark/>
          </w:tcPr>
          <w:p w14:paraId="68CDB563"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178</w:t>
            </w:r>
          </w:p>
        </w:tc>
        <w:tc>
          <w:tcPr>
            <w:tcW w:w="1370" w:type="dxa"/>
            <w:shd w:val="clear" w:color="auto" w:fill="auto"/>
            <w:noWrap/>
            <w:vAlign w:val="bottom"/>
            <w:hideMark/>
          </w:tcPr>
          <w:p w14:paraId="36B48D0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12.6</w:t>
            </w:r>
          </w:p>
        </w:tc>
        <w:tc>
          <w:tcPr>
            <w:tcW w:w="1260" w:type="dxa"/>
            <w:shd w:val="clear" w:color="auto" w:fill="auto"/>
            <w:noWrap/>
            <w:vAlign w:val="bottom"/>
            <w:hideMark/>
          </w:tcPr>
          <w:p w14:paraId="479426C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93.5</w:t>
            </w:r>
          </w:p>
        </w:tc>
        <w:tc>
          <w:tcPr>
            <w:tcW w:w="1350" w:type="dxa"/>
            <w:shd w:val="clear" w:color="auto" w:fill="auto"/>
            <w:noWrap/>
            <w:vAlign w:val="bottom"/>
            <w:hideMark/>
          </w:tcPr>
          <w:p w14:paraId="199F9DB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38.5</w:t>
            </w:r>
          </w:p>
        </w:tc>
        <w:tc>
          <w:tcPr>
            <w:tcW w:w="1705" w:type="dxa"/>
            <w:shd w:val="clear" w:color="auto" w:fill="auto"/>
            <w:noWrap/>
            <w:vAlign w:val="bottom"/>
            <w:hideMark/>
          </w:tcPr>
          <w:p w14:paraId="1B71788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173</w:t>
            </w:r>
          </w:p>
        </w:tc>
      </w:tr>
      <w:tr w:rsidR="00B57970" w:rsidRPr="00E95DD8" w14:paraId="6C57EDD2" w14:textId="77777777" w:rsidTr="00B57970">
        <w:trPr>
          <w:trHeight w:val="300"/>
        </w:trPr>
        <w:tc>
          <w:tcPr>
            <w:tcW w:w="1488" w:type="dxa"/>
            <w:vMerge/>
            <w:vAlign w:val="center"/>
            <w:hideMark/>
          </w:tcPr>
          <w:p w14:paraId="10BE79BB"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7650A304"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Oats</w:t>
            </w:r>
          </w:p>
        </w:tc>
        <w:tc>
          <w:tcPr>
            <w:tcW w:w="1081" w:type="dxa"/>
            <w:shd w:val="clear" w:color="auto" w:fill="auto"/>
            <w:noWrap/>
            <w:vAlign w:val="bottom"/>
            <w:hideMark/>
          </w:tcPr>
          <w:p w14:paraId="0E8AD77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w:t>
            </w:r>
          </w:p>
        </w:tc>
        <w:tc>
          <w:tcPr>
            <w:tcW w:w="1358" w:type="dxa"/>
            <w:shd w:val="clear" w:color="auto" w:fill="auto"/>
            <w:noWrap/>
            <w:vAlign w:val="bottom"/>
            <w:hideMark/>
          </w:tcPr>
          <w:p w14:paraId="7F79231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100</w:t>
            </w:r>
          </w:p>
        </w:tc>
        <w:tc>
          <w:tcPr>
            <w:tcW w:w="1161" w:type="dxa"/>
            <w:shd w:val="clear" w:color="auto" w:fill="auto"/>
            <w:noWrap/>
            <w:vAlign w:val="bottom"/>
            <w:hideMark/>
          </w:tcPr>
          <w:p w14:paraId="6543CC9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60.7</w:t>
            </w:r>
          </w:p>
        </w:tc>
        <w:tc>
          <w:tcPr>
            <w:tcW w:w="970" w:type="dxa"/>
            <w:shd w:val="clear" w:color="auto" w:fill="auto"/>
            <w:noWrap/>
            <w:vAlign w:val="bottom"/>
            <w:hideMark/>
          </w:tcPr>
          <w:p w14:paraId="750BE543"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102</w:t>
            </w:r>
          </w:p>
        </w:tc>
        <w:tc>
          <w:tcPr>
            <w:tcW w:w="1370" w:type="dxa"/>
            <w:shd w:val="clear" w:color="auto" w:fill="auto"/>
            <w:noWrap/>
            <w:vAlign w:val="bottom"/>
            <w:hideMark/>
          </w:tcPr>
          <w:p w14:paraId="64672E94"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41.9</w:t>
            </w:r>
          </w:p>
        </w:tc>
        <w:tc>
          <w:tcPr>
            <w:tcW w:w="1260" w:type="dxa"/>
            <w:shd w:val="clear" w:color="auto" w:fill="auto"/>
            <w:noWrap/>
            <w:vAlign w:val="bottom"/>
            <w:hideMark/>
          </w:tcPr>
          <w:p w14:paraId="6572CBB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79.4</w:t>
            </w:r>
          </w:p>
        </w:tc>
        <w:tc>
          <w:tcPr>
            <w:tcW w:w="1350" w:type="dxa"/>
            <w:shd w:val="clear" w:color="auto" w:fill="auto"/>
            <w:noWrap/>
            <w:vAlign w:val="bottom"/>
            <w:hideMark/>
          </w:tcPr>
          <w:p w14:paraId="7FFD1CA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16.9</w:t>
            </w:r>
          </w:p>
        </w:tc>
        <w:tc>
          <w:tcPr>
            <w:tcW w:w="1705" w:type="dxa"/>
            <w:shd w:val="clear" w:color="auto" w:fill="auto"/>
            <w:noWrap/>
            <w:vAlign w:val="bottom"/>
            <w:hideMark/>
          </w:tcPr>
          <w:p w14:paraId="2C419E0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20.4</w:t>
            </w:r>
          </w:p>
        </w:tc>
      </w:tr>
      <w:tr w:rsidR="00B57970" w:rsidRPr="00E95DD8" w14:paraId="0D04A520" w14:textId="77777777" w:rsidTr="00B57970">
        <w:trPr>
          <w:trHeight w:val="300"/>
        </w:trPr>
        <w:tc>
          <w:tcPr>
            <w:tcW w:w="1488" w:type="dxa"/>
            <w:vMerge/>
            <w:vAlign w:val="center"/>
            <w:hideMark/>
          </w:tcPr>
          <w:p w14:paraId="044B807D"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5F8CDDCD"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Peas</w:t>
            </w:r>
          </w:p>
        </w:tc>
        <w:tc>
          <w:tcPr>
            <w:tcW w:w="1081" w:type="dxa"/>
            <w:shd w:val="clear" w:color="auto" w:fill="auto"/>
            <w:noWrap/>
            <w:vAlign w:val="bottom"/>
            <w:hideMark/>
          </w:tcPr>
          <w:p w14:paraId="3A25E9A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6</w:t>
            </w:r>
          </w:p>
        </w:tc>
        <w:tc>
          <w:tcPr>
            <w:tcW w:w="1358" w:type="dxa"/>
            <w:shd w:val="clear" w:color="auto" w:fill="auto"/>
            <w:noWrap/>
            <w:vAlign w:val="bottom"/>
            <w:hideMark/>
          </w:tcPr>
          <w:p w14:paraId="5B80650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100</w:t>
            </w:r>
          </w:p>
        </w:tc>
        <w:tc>
          <w:tcPr>
            <w:tcW w:w="1161" w:type="dxa"/>
            <w:shd w:val="clear" w:color="auto" w:fill="auto"/>
            <w:noWrap/>
            <w:vAlign w:val="bottom"/>
            <w:hideMark/>
          </w:tcPr>
          <w:p w14:paraId="67B0CFCD"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33.3</w:t>
            </w:r>
          </w:p>
        </w:tc>
        <w:tc>
          <w:tcPr>
            <w:tcW w:w="970" w:type="dxa"/>
            <w:shd w:val="clear" w:color="auto" w:fill="auto"/>
            <w:noWrap/>
            <w:vAlign w:val="bottom"/>
            <w:hideMark/>
          </w:tcPr>
          <w:p w14:paraId="0520DAE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60.6</w:t>
            </w:r>
          </w:p>
        </w:tc>
        <w:tc>
          <w:tcPr>
            <w:tcW w:w="1370" w:type="dxa"/>
            <w:shd w:val="clear" w:color="auto" w:fill="auto"/>
            <w:noWrap/>
            <w:vAlign w:val="bottom"/>
            <w:hideMark/>
          </w:tcPr>
          <w:p w14:paraId="587A3A7D"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260" w:type="dxa"/>
            <w:shd w:val="clear" w:color="auto" w:fill="auto"/>
            <w:noWrap/>
            <w:vAlign w:val="bottom"/>
            <w:hideMark/>
          </w:tcPr>
          <w:p w14:paraId="6422A93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350" w:type="dxa"/>
            <w:shd w:val="clear" w:color="auto" w:fill="auto"/>
            <w:noWrap/>
            <w:vAlign w:val="bottom"/>
            <w:hideMark/>
          </w:tcPr>
          <w:p w14:paraId="20C1D09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33.3</w:t>
            </w:r>
          </w:p>
        </w:tc>
        <w:tc>
          <w:tcPr>
            <w:tcW w:w="1705" w:type="dxa"/>
            <w:shd w:val="clear" w:color="auto" w:fill="auto"/>
            <w:noWrap/>
            <w:vAlign w:val="bottom"/>
            <w:hideMark/>
          </w:tcPr>
          <w:p w14:paraId="466ADF4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60.6</w:t>
            </w:r>
          </w:p>
        </w:tc>
      </w:tr>
      <w:tr w:rsidR="00B57970" w:rsidRPr="00E95DD8" w14:paraId="0AF04296" w14:textId="77777777" w:rsidTr="00B57970">
        <w:trPr>
          <w:trHeight w:val="300"/>
        </w:trPr>
        <w:tc>
          <w:tcPr>
            <w:tcW w:w="1488" w:type="dxa"/>
            <w:vMerge/>
            <w:vAlign w:val="center"/>
            <w:hideMark/>
          </w:tcPr>
          <w:p w14:paraId="063F798C"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4C2696D2"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Wheat</w:t>
            </w:r>
          </w:p>
        </w:tc>
        <w:tc>
          <w:tcPr>
            <w:tcW w:w="1081" w:type="dxa"/>
            <w:shd w:val="clear" w:color="auto" w:fill="auto"/>
            <w:noWrap/>
            <w:vAlign w:val="bottom"/>
            <w:hideMark/>
          </w:tcPr>
          <w:p w14:paraId="7F74E18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9</w:t>
            </w:r>
          </w:p>
        </w:tc>
        <w:tc>
          <w:tcPr>
            <w:tcW w:w="1358" w:type="dxa"/>
            <w:shd w:val="clear" w:color="auto" w:fill="auto"/>
            <w:noWrap/>
            <w:vAlign w:val="bottom"/>
            <w:hideMark/>
          </w:tcPr>
          <w:p w14:paraId="41FC35A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89</w:t>
            </w:r>
          </w:p>
        </w:tc>
        <w:tc>
          <w:tcPr>
            <w:tcW w:w="1161" w:type="dxa"/>
            <w:shd w:val="clear" w:color="auto" w:fill="auto"/>
            <w:noWrap/>
            <w:vAlign w:val="bottom"/>
            <w:hideMark/>
          </w:tcPr>
          <w:p w14:paraId="03A34A9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41.4</w:t>
            </w:r>
          </w:p>
        </w:tc>
        <w:tc>
          <w:tcPr>
            <w:tcW w:w="970" w:type="dxa"/>
            <w:shd w:val="clear" w:color="auto" w:fill="auto"/>
            <w:noWrap/>
            <w:vAlign w:val="bottom"/>
            <w:hideMark/>
          </w:tcPr>
          <w:p w14:paraId="2A708308"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85.3</w:t>
            </w:r>
          </w:p>
        </w:tc>
        <w:tc>
          <w:tcPr>
            <w:tcW w:w="1370" w:type="dxa"/>
            <w:shd w:val="clear" w:color="auto" w:fill="auto"/>
            <w:noWrap/>
            <w:vAlign w:val="bottom"/>
            <w:hideMark/>
          </w:tcPr>
          <w:p w14:paraId="395F8207"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18.2</w:t>
            </w:r>
          </w:p>
        </w:tc>
        <w:tc>
          <w:tcPr>
            <w:tcW w:w="1260" w:type="dxa"/>
            <w:shd w:val="clear" w:color="auto" w:fill="auto"/>
            <w:noWrap/>
            <w:vAlign w:val="bottom"/>
            <w:hideMark/>
          </w:tcPr>
          <w:p w14:paraId="200C224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58.2</w:t>
            </w:r>
          </w:p>
        </w:tc>
        <w:tc>
          <w:tcPr>
            <w:tcW w:w="1350" w:type="dxa"/>
            <w:shd w:val="clear" w:color="auto" w:fill="auto"/>
            <w:noWrap/>
            <w:vAlign w:val="bottom"/>
            <w:hideMark/>
          </w:tcPr>
          <w:p w14:paraId="0C8AFE0B"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21.4</w:t>
            </w:r>
          </w:p>
        </w:tc>
        <w:tc>
          <w:tcPr>
            <w:tcW w:w="1705" w:type="dxa"/>
            <w:shd w:val="clear" w:color="auto" w:fill="auto"/>
            <w:noWrap/>
            <w:vAlign w:val="bottom"/>
            <w:hideMark/>
          </w:tcPr>
          <w:p w14:paraId="4B40AB16"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30.7</w:t>
            </w:r>
          </w:p>
        </w:tc>
      </w:tr>
      <w:tr w:rsidR="00B57970" w:rsidRPr="00E95DD8" w14:paraId="3D263DB1" w14:textId="77777777" w:rsidTr="00B57970">
        <w:trPr>
          <w:trHeight w:val="300"/>
        </w:trPr>
        <w:tc>
          <w:tcPr>
            <w:tcW w:w="1488" w:type="dxa"/>
            <w:vMerge/>
            <w:vAlign w:val="center"/>
            <w:hideMark/>
          </w:tcPr>
          <w:p w14:paraId="3E3734EE"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66F67064"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Grassland</w:t>
            </w:r>
          </w:p>
        </w:tc>
        <w:tc>
          <w:tcPr>
            <w:tcW w:w="1081" w:type="dxa"/>
            <w:shd w:val="clear" w:color="auto" w:fill="auto"/>
            <w:noWrap/>
            <w:vAlign w:val="bottom"/>
            <w:hideMark/>
          </w:tcPr>
          <w:p w14:paraId="174295AE"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w:t>
            </w:r>
          </w:p>
        </w:tc>
        <w:tc>
          <w:tcPr>
            <w:tcW w:w="1358" w:type="dxa"/>
            <w:shd w:val="clear" w:color="auto" w:fill="auto"/>
            <w:noWrap/>
            <w:vAlign w:val="bottom"/>
            <w:hideMark/>
          </w:tcPr>
          <w:p w14:paraId="7074F68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0</w:t>
            </w:r>
          </w:p>
        </w:tc>
        <w:tc>
          <w:tcPr>
            <w:tcW w:w="1161" w:type="dxa"/>
            <w:shd w:val="clear" w:color="auto" w:fill="auto"/>
            <w:noWrap/>
            <w:vAlign w:val="bottom"/>
            <w:hideMark/>
          </w:tcPr>
          <w:p w14:paraId="5222430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970" w:type="dxa"/>
            <w:shd w:val="clear" w:color="auto" w:fill="auto"/>
            <w:noWrap/>
            <w:vAlign w:val="bottom"/>
            <w:hideMark/>
          </w:tcPr>
          <w:p w14:paraId="07714C6B"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370" w:type="dxa"/>
            <w:shd w:val="clear" w:color="auto" w:fill="auto"/>
            <w:noWrap/>
            <w:vAlign w:val="bottom"/>
            <w:hideMark/>
          </w:tcPr>
          <w:p w14:paraId="208D4A30"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260" w:type="dxa"/>
            <w:shd w:val="clear" w:color="auto" w:fill="auto"/>
            <w:noWrap/>
            <w:vAlign w:val="bottom"/>
            <w:hideMark/>
          </w:tcPr>
          <w:p w14:paraId="6763D87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350" w:type="dxa"/>
            <w:shd w:val="clear" w:color="auto" w:fill="auto"/>
            <w:noWrap/>
            <w:vAlign w:val="bottom"/>
            <w:hideMark/>
          </w:tcPr>
          <w:p w14:paraId="7C73726A"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c>
          <w:tcPr>
            <w:tcW w:w="1705" w:type="dxa"/>
            <w:shd w:val="clear" w:color="auto" w:fill="auto"/>
            <w:noWrap/>
            <w:vAlign w:val="bottom"/>
            <w:hideMark/>
          </w:tcPr>
          <w:p w14:paraId="73F94703"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ND</w:t>
            </w:r>
          </w:p>
        </w:tc>
      </w:tr>
      <w:tr w:rsidR="00B57970" w:rsidRPr="00E95DD8" w14:paraId="6BE62F1F" w14:textId="77777777" w:rsidTr="00B57970">
        <w:trPr>
          <w:trHeight w:val="300"/>
        </w:trPr>
        <w:tc>
          <w:tcPr>
            <w:tcW w:w="1488" w:type="dxa"/>
            <w:vMerge/>
            <w:vAlign w:val="center"/>
            <w:hideMark/>
          </w:tcPr>
          <w:p w14:paraId="7F199606" w14:textId="77777777" w:rsidR="00B57970" w:rsidRPr="00500AE8" w:rsidRDefault="00B57970" w:rsidP="00B57970">
            <w:pPr>
              <w:rPr>
                <w:rFonts w:eastAsia="Times New Roman" w:cs="Times New Roman"/>
                <w:color w:val="000000"/>
                <w:sz w:val="20"/>
                <w:szCs w:val="20"/>
              </w:rPr>
            </w:pPr>
          </w:p>
        </w:tc>
        <w:tc>
          <w:tcPr>
            <w:tcW w:w="1207" w:type="dxa"/>
            <w:shd w:val="clear" w:color="auto" w:fill="auto"/>
            <w:noWrap/>
            <w:vAlign w:val="bottom"/>
            <w:hideMark/>
          </w:tcPr>
          <w:p w14:paraId="139D6582" w14:textId="77777777" w:rsidR="00B57970" w:rsidRPr="00500AE8" w:rsidRDefault="00B57970" w:rsidP="00B57970">
            <w:pPr>
              <w:rPr>
                <w:rFonts w:eastAsia="Times New Roman" w:cs="Times New Roman"/>
                <w:color w:val="000000" w:themeColor="text1"/>
                <w:sz w:val="20"/>
                <w:szCs w:val="20"/>
              </w:rPr>
            </w:pPr>
            <w:r w:rsidRPr="21FE9AD9">
              <w:rPr>
                <w:rFonts w:eastAsia="Times New Roman" w:cs="Times New Roman"/>
                <w:color w:val="000000" w:themeColor="text1"/>
                <w:sz w:val="20"/>
                <w:szCs w:val="20"/>
              </w:rPr>
              <w:t>Overall</w:t>
            </w:r>
          </w:p>
        </w:tc>
        <w:tc>
          <w:tcPr>
            <w:tcW w:w="1081" w:type="dxa"/>
            <w:shd w:val="clear" w:color="auto" w:fill="auto"/>
            <w:noWrap/>
            <w:vAlign w:val="bottom"/>
            <w:hideMark/>
          </w:tcPr>
          <w:p w14:paraId="184BF37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90</w:t>
            </w:r>
          </w:p>
        </w:tc>
        <w:tc>
          <w:tcPr>
            <w:tcW w:w="1358" w:type="dxa"/>
            <w:shd w:val="clear" w:color="auto" w:fill="auto"/>
            <w:noWrap/>
            <w:vAlign w:val="bottom"/>
            <w:hideMark/>
          </w:tcPr>
          <w:p w14:paraId="34C8ABEC"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91</w:t>
            </w:r>
          </w:p>
        </w:tc>
        <w:tc>
          <w:tcPr>
            <w:tcW w:w="1161" w:type="dxa"/>
            <w:shd w:val="clear" w:color="auto" w:fill="auto"/>
            <w:noWrap/>
            <w:vAlign w:val="bottom"/>
            <w:hideMark/>
          </w:tcPr>
          <w:p w14:paraId="11784857"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52.7</w:t>
            </w:r>
          </w:p>
        </w:tc>
        <w:tc>
          <w:tcPr>
            <w:tcW w:w="970" w:type="dxa"/>
            <w:shd w:val="clear" w:color="auto" w:fill="auto"/>
            <w:noWrap/>
            <w:vAlign w:val="bottom"/>
            <w:hideMark/>
          </w:tcPr>
          <w:p w14:paraId="4E7BEFA5"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212</w:t>
            </w:r>
          </w:p>
        </w:tc>
        <w:tc>
          <w:tcPr>
            <w:tcW w:w="1370" w:type="dxa"/>
            <w:shd w:val="clear" w:color="auto" w:fill="auto"/>
            <w:noWrap/>
            <w:vAlign w:val="bottom"/>
            <w:hideMark/>
          </w:tcPr>
          <w:p w14:paraId="03A57612" w14:textId="77777777" w:rsidR="00B57970" w:rsidRPr="00500AE8" w:rsidRDefault="00B57970" w:rsidP="00B57970">
            <w:pPr>
              <w:jc w:val="center"/>
              <w:rPr>
                <w:rFonts w:eastAsia="Times New Roman" w:cs="Times New Roman"/>
                <w:color w:val="000000"/>
                <w:sz w:val="20"/>
                <w:szCs w:val="20"/>
              </w:rPr>
            </w:pPr>
          </w:p>
        </w:tc>
        <w:tc>
          <w:tcPr>
            <w:tcW w:w="1260" w:type="dxa"/>
            <w:shd w:val="clear" w:color="auto" w:fill="auto"/>
            <w:noWrap/>
            <w:vAlign w:val="bottom"/>
            <w:hideMark/>
          </w:tcPr>
          <w:p w14:paraId="7DAF3DF1"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107 (23%)</w:t>
            </w:r>
          </w:p>
        </w:tc>
        <w:tc>
          <w:tcPr>
            <w:tcW w:w="1350" w:type="dxa"/>
            <w:shd w:val="clear" w:color="auto" w:fill="auto"/>
            <w:noWrap/>
            <w:vAlign w:val="bottom"/>
            <w:hideMark/>
          </w:tcPr>
          <w:p w14:paraId="46E8499A" w14:textId="77777777" w:rsidR="00B57970" w:rsidRPr="00500AE8" w:rsidRDefault="00B57970" w:rsidP="00B57970">
            <w:pPr>
              <w:jc w:val="center"/>
              <w:rPr>
                <w:rFonts w:eastAsia="Times New Roman" w:cs="Times New Roman"/>
                <w:color w:val="000000"/>
                <w:sz w:val="20"/>
                <w:szCs w:val="20"/>
              </w:rPr>
            </w:pPr>
          </w:p>
        </w:tc>
        <w:tc>
          <w:tcPr>
            <w:tcW w:w="1705" w:type="dxa"/>
            <w:shd w:val="clear" w:color="auto" w:fill="auto"/>
            <w:noWrap/>
            <w:vAlign w:val="bottom"/>
            <w:hideMark/>
          </w:tcPr>
          <w:p w14:paraId="585C66F2" w14:textId="77777777" w:rsidR="00B57970" w:rsidRPr="00500AE8" w:rsidRDefault="00B57970" w:rsidP="00B57970">
            <w:pPr>
              <w:jc w:val="center"/>
              <w:rPr>
                <w:rFonts w:eastAsia="Times New Roman" w:cs="Times New Roman"/>
                <w:color w:val="000000" w:themeColor="text1"/>
                <w:sz w:val="20"/>
                <w:szCs w:val="20"/>
              </w:rPr>
            </w:pPr>
            <w:r w:rsidRPr="21FE9AD9">
              <w:rPr>
                <w:rFonts w:eastAsia="Times New Roman" w:cs="Times New Roman"/>
                <w:color w:val="000000" w:themeColor="text1"/>
                <w:sz w:val="20"/>
                <w:szCs w:val="20"/>
              </w:rPr>
              <w:t>173 (87%)</w:t>
            </w:r>
          </w:p>
        </w:tc>
      </w:tr>
    </w:tbl>
    <w:p w14:paraId="0E9F09B1" w14:textId="77777777" w:rsidR="00005417" w:rsidRDefault="00005417" w:rsidP="00B57970">
      <w:pPr>
        <w:rPr>
          <w:b/>
        </w:rPr>
      </w:pPr>
    </w:p>
    <w:p w14:paraId="5EDD1244" w14:textId="77777777" w:rsidR="0053636F" w:rsidRDefault="0053636F" w:rsidP="0053636F">
      <w:pPr>
        <w:spacing w:after="0"/>
        <w:rPr>
          <w:b/>
        </w:rPr>
        <w:sectPr w:rsidR="0053636F" w:rsidSect="00005417">
          <w:pgSz w:w="15840" w:h="12240" w:orient="landscape"/>
          <w:pgMar w:top="1440" w:right="1440" w:bottom="1440" w:left="1440" w:header="720" w:footer="720" w:gutter="0"/>
          <w:cols w:space="720"/>
          <w:docGrid w:linePitch="360"/>
        </w:sectPr>
      </w:pPr>
    </w:p>
    <w:p w14:paraId="483A0190" w14:textId="3A3BB9EE" w:rsidR="00B57970" w:rsidRPr="00DE7330" w:rsidRDefault="00B57970" w:rsidP="00DE7330">
      <w:pPr>
        <w:pStyle w:val="Caption"/>
        <w:spacing w:after="0"/>
        <w:rPr>
          <w:smallCaps w:val="0"/>
          <w:color w:val="auto"/>
        </w:rPr>
      </w:pPr>
      <w:bookmarkStart w:id="2" w:name="_Toc80106062"/>
      <w:r w:rsidRPr="00DE7330">
        <w:rPr>
          <w:smallCaps w:val="0"/>
          <w:color w:val="auto"/>
        </w:rPr>
        <w:lastRenderedPageBreak/>
        <w:t xml:space="preserve">Table </w:t>
      </w:r>
      <w:r w:rsidR="00DE7330" w:rsidRPr="00DE7330">
        <w:rPr>
          <w:smallCaps w:val="0"/>
          <w:color w:val="auto"/>
        </w:rPr>
        <w:fldChar w:fldCharType="begin"/>
      </w:r>
      <w:r w:rsidR="00DE7330" w:rsidRPr="00DE7330">
        <w:rPr>
          <w:smallCaps w:val="0"/>
          <w:color w:val="auto"/>
        </w:rPr>
        <w:instrText xml:space="preserve"> SEQ Table \* ARABIC </w:instrText>
      </w:r>
      <w:r w:rsidR="00DE7330" w:rsidRPr="00DE7330">
        <w:rPr>
          <w:smallCaps w:val="0"/>
          <w:color w:val="auto"/>
        </w:rPr>
        <w:fldChar w:fldCharType="separate"/>
      </w:r>
      <w:r w:rsidR="00DE7330">
        <w:rPr>
          <w:smallCaps w:val="0"/>
          <w:noProof/>
          <w:color w:val="auto"/>
        </w:rPr>
        <w:t>3</w:t>
      </w:r>
      <w:r w:rsidR="00DE7330" w:rsidRPr="00DE7330">
        <w:rPr>
          <w:smallCaps w:val="0"/>
          <w:color w:val="auto"/>
        </w:rPr>
        <w:fldChar w:fldCharType="end"/>
      </w:r>
      <w:r w:rsidRPr="00DE7330">
        <w:rPr>
          <w:smallCaps w:val="0"/>
          <w:color w:val="auto"/>
        </w:rPr>
        <w:t xml:space="preserve">. Summary of reported surface and ground water concentrations of </w:t>
      </w:r>
      <w:r w:rsidR="0053636F" w:rsidRPr="00DE7330">
        <w:rPr>
          <w:smallCaps w:val="0"/>
          <w:color w:val="auto"/>
        </w:rPr>
        <w:t>t</w:t>
      </w:r>
      <w:r w:rsidR="00774906" w:rsidRPr="00DE7330">
        <w:rPr>
          <w:smallCaps w:val="0"/>
          <w:color w:val="auto"/>
        </w:rPr>
        <w:t xml:space="preserve">hiamethoxam and </w:t>
      </w:r>
      <w:r w:rsidR="0053636F" w:rsidRPr="00DE7330">
        <w:rPr>
          <w:smallCaps w:val="0"/>
          <w:color w:val="auto"/>
        </w:rPr>
        <w:t>c</w:t>
      </w:r>
      <w:r w:rsidR="00774906" w:rsidRPr="00DE7330">
        <w:rPr>
          <w:smallCaps w:val="0"/>
          <w:color w:val="auto"/>
        </w:rPr>
        <w:t>lothianidin</w:t>
      </w:r>
      <w:bookmarkEnd w:id="2"/>
    </w:p>
    <w:tbl>
      <w:tblPr>
        <w:tblW w:w="53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4"/>
        <w:gridCol w:w="711"/>
        <w:gridCol w:w="1427"/>
        <w:gridCol w:w="1427"/>
        <w:gridCol w:w="1810"/>
        <w:gridCol w:w="1114"/>
        <w:gridCol w:w="1391"/>
        <w:gridCol w:w="1314"/>
        <w:gridCol w:w="1172"/>
        <w:gridCol w:w="1979"/>
      </w:tblGrid>
      <w:tr w:rsidR="00B57970" w:rsidRPr="007028C8" w14:paraId="6CD7161F" w14:textId="77777777" w:rsidTr="00DE7330">
        <w:trPr>
          <w:tblHeader/>
        </w:trPr>
        <w:tc>
          <w:tcPr>
            <w:tcW w:w="546" w:type="pct"/>
            <w:shd w:val="clear" w:color="auto" w:fill="D9D9D9" w:themeFill="background1" w:themeFillShade="D9"/>
            <w:vAlign w:val="center"/>
          </w:tcPr>
          <w:p w14:paraId="745AD770" w14:textId="77777777" w:rsidR="00B57970" w:rsidRPr="007028C8" w:rsidRDefault="00B57970" w:rsidP="00B57970">
            <w:pPr>
              <w:jc w:val="center"/>
              <w:rPr>
                <w:b/>
                <w:sz w:val="20"/>
                <w:szCs w:val="20"/>
              </w:rPr>
            </w:pPr>
            <w:r w:rsidRPr="007028C8">
              <w:rPr>
                <w:b/>
                <w:sz w:val="20"/>
                <w:szCs w:val="20"/>
              </w:rPr>
              <w:t>Chemical</w:t>
            </w:r>
          </w:p>
        </w:tc>
        <w:tc>
          <w:tcPr>
            <w:tcW w:w="256" w:type="pct"/>
            <w:shd w:val="clear" w:color="auto" w:fill="D9D9D9" w:themeFill="background1" w:themeFillShade="D9"/>
            <w:vAlign w:val="center"/>
          </w:tcPr>
          <w:p w14:paraId="5C07D3A1" w14:textId="77777777" w:rsidR="00B57970" w:rsidRPr="007028C8" w:rsidRDefault="00B57970" w:rsidP="00B57970">
            <w:pPr>
              <w:jc w:val="center"/>
              <w:rPr>
                <w:b/>
                <w:sz w:val="20"/>
                <w:szCs w:val="20"/>
              </w:rPr>
            </w:pPr>
            <w:r w:rsidRPr="007028C8">
              <w:rPr>
                <w:b/>
                <w:sz w:val="20"/>
                <w:szCs w:val="20"/>
              </w:rPr>
              <w:t>Year</w:t>
            </w:r>
          </w:p>
        </w:tc>
        <w:tc>
          <w:tcPr>
            <w:tcW w:w="515" w:type="pct"/>
            <w:shd w:val="clear" w:color="auto" w:fill="D9D9D9" w:themeFill="background1" w:themeFillShade="D9"/>
            <w:vAlign w:val="center"/>
          </w:tcPr>
          <w:p w14:paraId="334EAFB7" w14:textId="77777777" w:rsidR="00B57970" w:rsidRPr="007028C8" w:rsidRDefault="00B57970" w:rsidP="00B57970">
            <w:pPr>
              <w:jc w:val="center"/>
              <w:rPr>
                <w:b/>
                <w:sz w:val="20"/>
                <w:szCs w:val="20"/>
              </w:rPr>
            </w:pPr>
            <w:r w:rsidRPr="007028C8">
              <w:rPr>
                <w:b/>
                <w:sz w:val="20"/>
                <w:szCs w:val="20"/>
              </w:rPr>
              <w:t>Location</w:t>
            </w:r>
          </w:p>
        </w:tc>
        <w:tc>
          <w:tcPr>
            <w:tcW w:w="515" w:type="pct"/>
            <w:shd w:val="clear" w:color="auto" w:fill="D9D9D9" w:themeFill="background1" w:themeFillShade="D9"/>
            <w:vAlign w:val="center"/>
          </w:tcPr>
          <w:p w14:paraId="6CB7CC5B" w14:textId="77777777" w:rsidR="00B57970" w:rsidRPr="007028C8" w:rsidRDefault="00B57970" w:rsidP="00B57970">
            <w:pPr>
              <w:jc w:val="center"/>
              <w:rPr>
                <w:b/>
                <w:sz w:val="20"/>
                <w:szCs w:val="20"/>
              </w:rPr>
            </w:pPr>
            <w:r w:rsidRPr="007028C8">
              <w:rPr>
                <w:b/>
                <w:sz w:val="20"/>
                <w:szCs w:val="20"/>
              </w:rPr>
              <w:t>Water body</w:t>
            </w:r>
          </w:p>
        </w:tc>
        <w:tc>
          <w:tcPr>
            <w:tcW w:w="653" w:type="pct"/>
            <w:shd w:val="clear" w:color="auto" w:fill="D9D9D9" w:themeFill="background1" w:themeFillShade="D9"/>
            <w:vAlign w:val="center"/>
          </w:tcPr>
          <w:p w14:paraId="6227A6D5" w14:textId="77777777" w:rsidR="00B57970" w:rsidRPr="007028C8" w:rsidRDefault="00B57970" w:rsidP="00B57970">
            <w:pPr>
              <w:jc w:val="center"/>
              <w:rPr>
                <w:b/>
                <w:sz w:val="20"/>
                <w:szCs w:val="20"/>
              </w:rPr>
            </w:pPr>
            <w:r w:rsidRPr="007028C8">
              <w:rPr>
                <w:b/>
                <w:sz w:val="20"/>
                <w:szCs w:val="20"/>
              </w:rPr>
              <w:t>Land use</w:t>
            </w:r>
          </w:p>
        </w:tc>
        <w:tc>
          <w:tcPr>
            <w:tcW w:w="402" w:type="pct"/>
            <w:shd w:val="clear" w:color="auto" w:fill="D9D9D9" w:themeFill="background1" w:themeFillShade="D9"/>
            <w:vAlign w:val="center"/>
          </w:tcPr>
          <w:p w14:paraId="539336FE" w14:textId="6FD945BE" w:rsidR="00B57970" w:rsidRPr="007028C8" w:rsidRDefault="00B57970" w:rsidP="0053636F">
            <w:pPr>
              <w:jc w:val="center"/>
              <w:rPr>
                <w:b/>
                <w:sz w:val="20"/>
                <w:szCs w:val="20"/>
              </w:rPr>
            </w:pPr>
            <w:r w:rsidRPr="007028C8">
              <w:rPr>
                <w:b/>
                <w:sz w:val="20"/>
                <w:szCs w:val="20"/>
              </w:rPr>
              <w:t>Detection Limit</w:t>
            </w:r>
            <w:r w:rsidR="0053636F">
              <w:rPr>
                <w:b/>
                <w:sz w:val="20"/>
                <w:szCs w:val="20"/>
              </w:rPr>
              <w:t xml:space="preserve"> </w:t>
            </w:r>
            <w:r w:rsidRPr="007028C8">
              <w:rPr>
                <w:b/>
                <w:sz w:val="20"/>
                <w:szCs w:val="20"/>
              </w:rPr>
              <w:t>(μg/L)</w:t>
            </w:r>
          </w:p>
        </w:tc>
        <w:tc>
          <w:tcPr>
            <w:tcW w:w="502" w:type="pct"/>
            <w:shd w:val="clear" w:color="auto" w:fill="D9D9D9" w:themeFill="background1" w:themeFillShade="D9"/>
            <w:vAlign w:val="center"/>
          </w:tcPr>
          <w:p w14:paraId="51B197B2" w14:textId="77777777" w:rsidR="00B57970" w:rsidRPr="007028C8" w:rsidRDefault="00B57970" w:rsidP="00B57970">
            <w:pPr>
              <w:jc w:val="center"/>
              <w:rPr>
                <w:b/>
                <w:sz w:val="20"/>
                <w:szCs w:val="20"/>
              </w:rPr>
            </w:pPr>
            <w:r w:rsidRPr="007028C8">
              <w:rPr>
                <w:b/>
                <w:sz w:val="20"/>
                <w:szCs w:val="20"/>
              </w:rPr>
              <w:t>Mean concentration (μg/L)</w:t>
            </w:r>
          </w:p>
        </w:tc>
        <w:tc>
          <w:tcPr>
            <w:tcW w:w="474" w:type="pct"/>
            <w:shd w:val="clear" w:color="auto" w:fill="D9D9D9" w:themeFill="background1" w:themeFillShade="D9"/>
            <w:vAlign w:val="center"/>
          </w:tcPr>
          <w:p w14:paraId="2515774F" w14:textId="77777777" w:rsidR="00B57970" w:rsidRPr="007028C8" w:rsidRDefault="00B57970" w:rsidP="00B57970">
            <w:pPr>
              <w:jc w:val="center"/>
              <w:rPr>
                <w:b/>
                <w:sz w:val="20"/>
                <w:szCs w:val="20"/>
              </w:rPr>
            </w:pPr>
            <w:r w:rsidRPr="007028C8">
              <w:rPr>
                <w:b/>
                <w:sz w:val="20"/>
                <w:szCs w:val="20"/>
              </w:rPr>
              <w:t>Max Concentration (μg/L)</w:t>
            </w:r>
          </w:p>
        </w:tc>
        <w:tc>
          <w:tcPr>
            <w:tcW w:w="423" w:type="pct"/>
            <w:shd w:val="clear" w:color="auto" w:fill="D9D9D9" w:themeFill="background1" w:themeFillShade="D9"/>
            <w:vAlign w:val="center"/>
          </w:tcPr>
          <w:p w14:paraId="438EDDE7" w14:textId="77777777" w:rsidR="00B57970" w:rsidRPr="007028C8" w:rsidRDefault="00B57970" w:rsidP="00B57970">
            <w:pPr>
              <w:jc w:val="center"/>
              <w:rPr>
                <w:b/>
                <w:sz w:val="20"/>
                <w:szCs w:val="20"/>
              </w:rPr>
            </w:pPr>
            <w:r w:rsidRPr="007028C8">
              <w:rPr>
                <w:b/>
                <w:sz w:val="20"/>
                <w:szCs w:val="20"/>
              </w:rPr>
              <w:t>Detections</w:t>
            </w:r>
          </w:p>
        </w:tc>
        <w:tc>
          <w:tcPr>
            <w:tcW w:w="714" w:type="pct"/>
            <w:shd w:val="clear" w:color="auto" w:fill="D9D9D9" w:themeFill="background1" w:themeFillShade="D9"/>
            <w:vAlign w:val="center"/>
          </w:tcPr>
          <w:p w14:paraId="5AE3B657" w14:textId="77777777" w:rsidR="00B57970" w:rsidRPr="007028C8" w:rsidRDefault="00B57970" w:rsidP="00B57970">
            <w:pPr>
              <w:jc w:val="center"/>
              <w:rPr>
                <w:rFonts w:cs="Calibri"/>
                <w:b/>
                <w:sz w:val="20"/>
                <w:szCs w:val="20"/>
              </w:rPr>
            </w:pPr>
            <w:r w:rsidRPr="007028C8">
              <w:rPr>
                <w:rFonts w:cs="Calibri"/>
                <w:b/>
                <w:sz w:val="20"/>
                <w:szCs w:val="20"/>
              </w:rPr>
              <w:t>Source reference</w:t>
            </w:r>
          </w:p>
        </w:tc>
      </w:tr>
      <w:tr w:rsidR="00B57970" w:rsidRPr="007028C8" w14:paraId="136EA359" w14:textId="77777777" w:rsidTr="00DE7330">
        <w:tc>
          <w:tcPr>
            <w:tcW w:w="546" w:type="pct"/>
          </w:tcPr>
          <w:p w14:paraId="1278A065" w14:textId="77777777" w:rsidR="00B57970" w:rsidRPr="007028C8" w:rsidRDefault="00B57970" w:rsidP="00B57970">
            <w:pPr>
              <w:rPr>
                <w:sz w:val="20"/>
                <w:szCs w:val="20"/>
              </w:rPr>
            </w:pPr>
            <w:r w:rsidRPr="007028C8">
              <w:rPr>
                <w:sz w:val="20"/>
                <w:szCs w:val="20"/>
              </w:rPr>
              <w:t>Clothianidin</w:t>
            </w:r>
          </w:p>
        </w:tc>
        <w:tc>
          <w:tcPr>
            <w:tcW w:w="256" w:type="pct"/>
          </w:tcPr>
          <w:p w14:paraId="38AE035B" w14:textId="77777777" w:rsidR="00B57970" w:rsidRPr="007028C8" w:rsidRDefault="00B57970" w:rsidP="00B57970">
            <w:pPr>
              <w:rPr>
                <w:sz w:val="20"/>
                <w:szCs w:val="20"/>
              </w:rPr>
            </w:pPr>
            <w:r w:rsidRPr="007028C8">
              <w:rPr>
                <w:sz w:val="20"/>
                <w:szCs w:val="20"/>
              </w:rPr>
              <w:t>2012</w:t>
            </w:r>
          </w:p>
        </w:tc>
        <w:tc>
          <w:tcPr>
            <w:tcW w:w="515" w:type="pct"/>
          </w:tcPr>
          <w:p w14:paraId="06C38A89" w14:textId="77777777" w:rsidR="00B57970" w:rsidRPr="007028C8" w:rsidRDefault="00B57970" w:rsidP="00B57970">
            <w:pPr>
              <w:rPr>
                <w:sz w:val="20"/>
                <w:szCs w:val="20"/>
              </w:rPr>
            </w:pPr>
            <w:r w:rsidRPr="007028C8">
              <w:rPr>
                <w:sz w:val="20"/>
                <w:szCs w:val="20"/>
              </w:rPr>
              <w:t>Quebec, Canada</w:t>
            </w:r>
          </w:p>
        </w:tc>
        <w:tc>
          <w:tcPr>
            <w:tcW w:w="515" w:type="pct"/>
          </w:tcPr>
          <w:p w14:paraId="16A66065" w14:textId="77777777" w:rsidR="00B57970" w:rsidRPr="007028C8" w:rsidRDefault="00B57970" w:rsidP="00B57970">
            <w:pPr>
              <w:rPr>
                <w:sz w:val="20"/>
                <w:szCs w:val="20"/>
              </w:rPr>
            </w:pPr>
            <w:r w:rsidRPr="007028C8">
              <w:rPr>
                <w:sz w:val="20"/>
                <w:szCs w:val="20"/>
              </w:rPr>
              <w:t>Rivers</w:t>
            </w:r>
          </w:p>
        </w:tc>
        <w:tc>
          <w:tcPr>
            <w:tcW w:w="653" w:type="pct"/>
          </w:tcPr>
          <w:p w14:paraId="07CCC621" w14:textId="77777777" w:rsidR="00B57970" w:rsidRPr="007028C8" w:rsidRDefault="00B57970" w:rsidP="00B57970">
            <w:pPr>
              <w:rPr>
                <w:sz w:val="20"/>
                <w:szCs w:val="20"/>
              </w:rPr>
            </w:pPr>
            <w:r w:rsidRPr="007028C8">
              <w:rPr>
                <w:sz w:val="20"/>
                <w:szCs w:val="20"/>
              </w:rPr>
              <w:t>Agricultural (Corn and soybean)</w:t>
            </w:r>
          </w:p>
        </w:tc>
        <w:tc>
          <w:tcPr>
            <w:tcW w:w="402" w:type="pct"/>
          </w:tcPr>
          <w:p w14:paraId="55D9A5BF" w14:textId="77777777" w:rsidR="00B57970" w:rsidRPr="007028C8" w:rsidRDefault="00B57970" w:rsidP="00B57970">
            <w:pPr>
              <w:rPr>
                <w:sz w:val="20"/>
                <w:szCs w:val="20"/>
              </w:rPr>
            </w:pPr>
            <w:r w:rsidRPr="007028C8">
              <w:rPr>
                <w:sz w:val="20"/>
                <w:szCs w:val="20"/>
              </w:rPr>
              <w:t>NA</w:t>
            </w:r>
          </w:p>
        </w:tc>
        <w:tc>
          <w:tcPr>
            <w:tcW w:w="502" w:type="pct"/>
          </w:tcPr>
          <w:p w14:paraId="19B86E59" w14:textId="77777777" w:rsidR="00B57970" w:rsidRPr="007028C8" w:rsidRDefault="00B57970" w:rsidP="00B57970">
            <w:pPr>
              <w:rPr>
                <w:sz w:val="20"/>
                <w:szCs w:val="20"/>
              </w:rPr>
            </w:pPr>
            <w:r w:rsidRPr="007028C8">
              <w:rPr>
                <w:sz w:val="20"/>
                <w:szCs w:val="20"/>
              </w:rPr>
              <w:t>NA</w:t>
            </w:r>
          </w:p>
        </w:tc>
        <w:tc>
          <w:tcPr>
            <w:tcW w:w="474" w:type="pct"/>
          </w:tcPr>
          <w:p w14:paraId="536E1DA1" w14:textId="77777777" w:rsidR="00B57970" w:rsidRPr="007028C8" w:rsidRDefault="00B57970" w:rsidP="00B57970">
            <w:pPr>
              <w:rPr>
                <w:sz w:val="20"/>
                <w:szCs w:val="20"/>
              </w:rPr>
            </w:pPr>
            <w:r w:rsidRPr="007028C8">
              <w:rPr>
                <w:sz w:val="20"/>
                <w:szCs w:val="20"/>
              </w:rPr>
              <w:t>0.37</w:t>
            </w:r>
          </w:p>
        </w:tc>
        <w:tc>
          <w:tcPr>
            <w:tcW w:w="423" w:type="pct"/>
          </w:tcPr>
          <w:p w14:paraId="42738666" w14:textId="77777777" w:rsidR="00B57970" w:rsidRPr="007028C8" w:rsidRDefault="00B57970" w:rsidP="00B57970">
            <w:pPr>
              <w:rPr>
                <w:sz w:val="20"/>
                <w:szCs w:val="20"/>
              </w:rPr>
            </w:pPr>
            <w:r w:rsidRPr="007028C8">
              <w:rPr>
                <w:sz w:val="20"/>
                <w:szCs w:val="20"/>
              </w:rPr>
              <w:t>NA</w:t>
            </w:r>
          </w:p>
        </w:tc>
        <w:tc>
          <w:tcPr>
            <w:tcW w:w="714" w:type="pct"/>
          </w:tcPr>
          <w:p w14:paraId="64F7D9E2" w14:textId="77777777" w:rsidR="00B57970" w:rsidRPr="007028C8" w:rsidRDefault="00B57970" w:rsidP="00B57970">
            <w:pPr>
              <w:rPr>
                <w:rFonts w:cs="Calibri"/>
                <w:sz w:val="20"/>
                <w:szCs w:val="20"/>
              </w:rPr>
            </w:pPr>
            <w:r w:rsidRPr="007028C8">
              <w:rPr>
                <w:rFonts w:cs="Calibri"/>
                <w:sz w:val="20"/>
                <w:szCs w:val="20"/>
              </w:rPr>
              <w:t xml:space="preserve">Giroux 2014 pers </w:t>
            </w:r>
            <w:r>
              <w:rPr>
                <w:rFonts w:cs="Calibri"/>
                <w:sz w:val="20"/>
                <w:szCs w:val="20"/>
              </w:rPr>
              <w:t>c</w:t>
            </w:r>
            <w:r w:rsidRPr="007028C8">
              <w:rPr>
                <w:rFonts w:cs="Calibri"/>
                <w:sz w:val="20"/>
                <w:szCs w:val="20"/>
              </w:rPr>
              <w:t>omm</w:t>
            </w:r>
          </w:p>
        </w:tc>
      </w:tr>
      <w:tr w:rsidR="00B57970" w:rsidRPr="007028C8" w14:paraId="1676BF0C" w14:textId="77777777" w:rsidTr="00DE7330">
        <w:tc>
          <w:tcPr>
            <w:tcW w:w="546" w:type="pct"/>
          </w:tcPr>
          <w:p w14:paraId="167D448F" w14:textId="77777777" w:rsidR="00B57970" w:rsidRPr="007028C8" w:rsidRDefault="00B57970" w:rsidP="00B57970">
            <w:pPr>
              <w:rPr>
                <w:sz w:val="20"/>
                <w:szCs w:val="20"/>
              </w:rPr>
            </w:pPr>
            <w:r w:rsidRPr="007028C8">
              <w:rPr>
                <w:sz w:val="20"/>
                <w:szCs w:val="20"/>
              </w:rPr>
              <w:t>Clothianidin</w:t>
            </w:r>
          </w:p>
        </w:tc>
        <w:tc>
          <w:tcPr>
            <w:tcW w:w="256" w:type="pct"/>
          </w:tcPr>
          <w:p w14:paraId="5EBBD067" w14:textId="77777777" w:rsidR="00B57970" w:rsidRPr="007028C8" w:rsidRDefault="00B57970" w:rsidP="00B57970">
            <w:pPr>
              <w:rPr>
                <w:sz w:val="20"/>
                <w:szCs w:val="20"/>
              </w:rPr>
            </w:pPr>
            <w:r w:rsidRPr="007028C8">
              <w:rPr>
                <w:sz w:val="20"/>
                <w:szCs w:val="20"/>
              </w:rPr>
              <w:t>2013</w:t>
            </w:r>
          </w:p>
        </w:tc>
        <w:tc>
          <w:tcPr>
            <w:tcW w:w="515" w:type="pct"/>
          </w:tcPr>
          <w:p w14:paraId="6636F0EF" w14:textId="77777777" w:rsidR="00B57970" w:rsidRPr="007028C8" w:rsidRDefault="00B57970" w:rsidP="00B57970">
            <w:pPr>
              <w:rPr>
                <w:sz w:val="20"/>
                <w:szCs w:val="20"/>
              </w:rPr>
            </w:pPr>
            <w:r w:rsidRPr="007028C8">
              <w:rPr>
                <w:sz w:val="20"/>
                <w:szCs w:val="20"/>
              </w:rPr>
              <w:t>Sydney, Australia</w:t>
            </w:r>
          </w:p>
        </w:tc>
        <w:tc>
          <w:tcPr>
            <w:tcW w:w="515" w:type="pct"/>
          </w:tcPr>
          <w:p w14:paraId="64C5E1C8" w14:textId="77777777" w:rsidR="00B57970" w:rsidRPr="007028C8" w:rsidRDefault="00B57970" w:rsidP="00B57970">
            <w:pPr>
              <w:rPr>
                <w:sz w:val="20"/>
                <w:szCs w:val="20"/>
              </w:rPr>
            </w:pPr>
            <w:r w:rsidRPr="007028C8">
              <w:rPr>
                <w:sz w:val="20"/>
                <w:szCs w:val="20"/>
              </w:rPr>
              <w:t>Rivers</w:t>
            </w:r>
          </w:p>
        </w:tc>
        <w:tc>
          <w:tcPr>
            <w:tcW w:w="653" w:type="pct"/>
          </w:tcPr>
          <w:p w14:paraId="16739126" w14:textId="77777777" w:rsidR="00B57970" w:rsidRPr="007028C8" w:rsidRDefault="00B57970" w:rsidP="00B57970">
            <w:pPr>
              <w:rPr>
                <w:sz w:val="20"/>
                <w:szCs w:val="20"/>
              </w:rPr>
            </w:pPr>
            <w:r w:rsidRPr="007028C8">
              <w:rPr>
                <w:sz w:val="20"/>
                <w:szCs w:val="20"/>
              </w:rPr>
              <w:t>Agricultural</w:t>
            </w:r>
            <w:r w:rsidRPr="007028C8">
              <w:rPr>
                <w:rFonts w:eastAsia="AdvGulliv-R" w:cs="AdvGulliv-R"/>
                <w:sz w:val="20"/>
                <w:szCs w:val="20"/>
              </w:rPr>
              <w:t xml:space="preserve"> (vegetable and horticultural crops)</w:t>
            </w:r>
          </w:p>
        </w:tc>
        <w:tc>
          <w:tcPr>
            <w:tcW w:w="402" w:type="pct"/>
          </w:tcPr>
          <w:p w14:paraId="6A9409F6" w14:textId="77777777" w:rsidR="00B57970" w:rsidRPr="007028C8" w:rsidRDefault="00B57970" w:rsidP="00B57970">
            <w:pPr>
              <w:rPr>
                <w:sz w:val="20"/>
                <w:szCs w:val="20"/>
              </w:rPr>
            </w:pPr>
            <w:r w:rsidRPr="007028C8">
              <w:rPr>
                <w:sz w:val="20"/>
                <w:szCs w:val="20"/>
              </w:rPr>
              <w:t>0.017</w:t>
            </w:r>
          </w:p>
        </w:tc>
        <w:tc>
          <w:tcPr>
            <w:tcW w:w="502" w:type="pct"/>
          </w:tcPr>
          <w:p w14:paraId="4C4F142F" w14:textId="77777777" w:rsidR="00B57970" w:rsidRPr="007028C8" w:rsidRDefault="00B57970" w:rsidP="00B57970">
            <w:pPr>
              <w:rPr>
                <w:sz w:val="20"/>
                <w:szCs w:val="20"/>
              </w:rPr>
            </w:pPr>
            <w:r w:rsidRPr="007028C8">
              <w:rPr>
                <w:rFonts w:eastAsia="AdvGulliv-R" w:cs="AdvGulliv-R"/>
                <w:sz w:val="20"/>
                <w:szCs w:val="20"/>
              </w:rPr>
              <w:t>0.06 ± 0.13</w:t>
            </w:r>
          </w:p>
        </w:tc>
        <w:tc>
          <w:tcPr>
            <w:tcW w:w="474" w:type="pct"/>
          </w:tcPr>
          <w:p w14:paraId="10C6258B" w14:textId="77777777" w:rsidR="00B57970" w:rsidRPr="007028C8" w:rsidRDefault="00B57970" w:rsidP="00B57970">
            <w:pPr>
              <w:rPr>
                <w:sz w:val="20"/>
                <w:szCs w:val="20"/>
              </w:rPr>
            </w:pPr>
            <w:r w:rsidRPr="007028C8">
              <w:rPr>
                <w:rFonts w:eastAsia="AdvGulliv-R" w:cs="AdvGulliv-R"/>
                <w:sz w:val="20"/>
                <w:szCs w:val="20"/>
              </w:rPr>
              <w:t>0.42</w:t>
            </w:r>
          </w:p>
        </w:tc>
        <w:tc>
          <w:tcPr>
            <w:tcW w:w="423" w:type="pct"/>
          </w:tcPr>
          <w:p w14:paraId="1C9B1080" w14:textId="77777777" w:rsidR="00B57970" w:rsidRPr="007028C8" w:rsidRDefault="00B57970" w:rsidP="00B57970">
            <w:pPr>
              <w:rPr>
                <w:sz w:val="20"/>
                <w:szCs w:val="20"/>
              </w:rPr>
            </w:pPr>
            <w:r w:rsidRPr="007028C8">
              <w:rPr>
                <w:sz w:val="20"/>
                <w:szCs w:val="20"/>
              </w:rPr>
              <w:t>53%</w:t>
            </w:r>
          </w:p>
        </w:tc>
        <w:tc>
          <w:tcPr>
            <w:tcW w:w="714" w:type="pct"/>
          </w:tcPr>
          <w:p w14:paraId="03D4D186" w14:textId="77777777" w:rsidR="00B57970" w:rsidRPr="007028C8" w:rsidRDefault="00B57970" w:rsidP="00B57970">
            <w:pPr>
              <w:rPr>
                <w:rFonts w:cs="Calibri"/>
                <w:sz w:val="20"/>
                <w:szCs w:val="20"/>
              </w:rPr>
            </w:pPr>
            <w:r w:rsidRPr="007028C8">
              <w:rPr>
                <w:rFonts w:cs="Calibri"/>
                <w:sz w:val="20"/>
                <w:szCs w:val="20"/>
              </w:rPr>
              <w:t>Sanchez-Bayo and Hyne 2014</w:t>
            </w:r>
          </w:p>
        </w:tc>
      </w:tr>
      <w:tr w:rsidR="00B57970" w:rsidRPr="007028C8" w14:paraId="71723F61" w14:textId="77777777" w:rsidTr="00DE7330">
        <w:tc>
          <w:tcPr>
            <w:tcW w:w="546" w:type="pct"/>
          </w:tcPr>
          <w:p w14:paraId="648C0021" w14:textId="77777777" w:rsidR="00B57970" w:rsidRPr="007028C8" w:rsidRDefault="00B57970" w:rsidP="00B57970">
            <w:pPr>
              <w:rPr>
                <w:sz w:val="20"/>
                <w:szCs w:val="20"/>
              </w:rPr>
            </w:pPr>
            <w:r w:rsidRPr="007028C8">
              <w:rPr>
                <w:sz w:val="20"/>
                <w:szCs w:val="20"/>
              </w:rPr>
              <w:t>Clothianidin</w:t>
            </w:r>
          </w:p>
        </w:tc>
        <w:tc>
          <w:tcPr>
            <w:tcW w:w="256" w:type="pct"/>
          </w:tcPr>
          <w:p w14:paraId="69EDEAD8" w14:textId="77777777" w:rsidR="00B57970" w:rsidRPr="007028C8" w:rsidRDefault="00B57970" w:rsidP="00B57970">
            <w:pPr>
              <w:rPr>
                <w:sz w:val="20"/>
                <w:szCs w:val="20"/>
              </w:rPr>
            </w:pPr>
            <w:r w:rsidRPr="007028C8">
              <w:rPr>
                <w:sz w:val="20"/>
                <w:szCs w:val="20"/>
              </w:rPr>
              <w:t>2012-13</w:t>
            </w:r>
          </w:p>
        </w:tc>
        <w:tc>
          <w:tcPr>
            <w:tcW w:w="515" w:type="pct"/>
          </w:tcPr>
          <w:p w14:paraId="67576025" w14:textId="77777777" w:rsidR="00B57970" w:rsidRPr="007028C8" w:rsidRDefault="00B57970" w:rsidP="00B57970">
            <w:pPr>
              <w:rPr>
                <w:sz w:val="20"/>
                <w:szCs w:val="20"/>
              </w:rPr>
            </w:pPr>
            <w:r w:rsidRPr="007028C8">
              <w:rPr>
                <w:sz w:val="20"/>
                <w:szCs w:val="20"/>
              </w:rPr>
              <w:t>Quebec, Canada</w:t>
            </w:r>
          </w:p>
        </w:tc>
        <w:tc>
          <w:tcPr>
            <w:tcW w:w="515" w:type="pct"/>
          </w:tcPr>
          <w:p w14:paraId="1E105910" w14:textId="77777777" w:rsidR="00B57970" w:rsidRPr="007028C8" w:rsidRDefault="00B57970" w:rsidP="00B57970">
            <w:pPr>
              <w:rPr>
                <w:sz w:val="20"/>
                <w:szCs w:val="20"/>
              </w:rPr>
            </w:pPr>
            <w:r w:rsidRPr="007028C8">
              <w:rPr>
                <w:sz w:val="20"/>
                <w:szCs w:val="20"/>
              </w:rPr>
              <w:t>Ponded water on fields</w:t>
            </w:r>
          </w:p>
        </w:tc>
        <w:tc>
          <w:tcPr>
            <w:tcW w:w="653" w:type="pct"/>
          </w:tcPr>
          <w:p w14:paraId="74358AAF" w14:textId="77777777" w:rsidR="00B57970" w:rsidRPr="007028C8" w:rsidRDefault="00B57970" w:rsidP="00B57970">
            <w:pPr>
              <w:rPr>
                <w:sz w:val="20"/>
                <w:szCs w:val="20"/>
              </w:rPr>
            </w:pPr>
            <w:r w:rsidRPr="007028C8">
              <w:rPr>
                <w:sz w:val="20"/>
                <w:szCs w:val="20"/>
              </w:rPr>
              <w:t>Agricultural (corn)-during and post seeding</w:t>
            </w:r>
          </w:p>
        </w:tc>
        <w:tc>
          <w:tcPr>
            <w:tcW w:w="402" w:type="pct"/>
          </w:tcPr>
          <w:p w14:paraId="45164D8A" w14:textId="77777777" w:rsidR="00B57970" w:rsidRPr="007028C8" w:rsidRDefault="00B57970" w:rsidP="00B57970">
            <w:pPr>
              <w:rPr>
                <w:sz w:val="20"/>
                <w:szCs w:val="20"/>
              </w:rPr>
            </w:pPr>
            <w:r w:rsidRPr="007028C8">
              <w:rPr>
                <w:sz w:val="20"/>
                <w:szCs w:val="20"/>
              </w:rPr>
              <w:t>1.0</w:t>
            </w:r>
          </w:p>
        </w:tc>
        <w:tc>
          <w:tcPr>
            <w:tcW w:w="502" w:type="pct"/>
          </w:tcPr>
          <w:p w14:paraId="03A98B9E" w14:textId="77777777" w:rsidR="00B57970" w:rsidRPr="007028C8" w:rsidRDefault="00B57970" w:rsidP="00B57970">
            <w:pPr>
              <w:rPr>
                <w:sz w:val="20"/>
                <w:szCs w:val="20"/>
              </w:rPr>
            </w:pPr>
            <w:r w:rsidRPr="007028C8">
              <w:rPr>
                <w:sz w:val="20"/>
                <w:szCs w:val="20"/>
              </w:rPr>
              <w:t>4.6</w:t>
            </w:r>
          </w:p>
        </w:tc>
        <w:tc>
          <w:tcPr>
            <w:tcW w:w="474" w:type="pct"/>
          </w:tcPr>
          <w:p w14:paraId="1A5DCFC4" w14:textId="77777777" w:rsidR="00B57970" w:rsidRPr="007028C8" w:rsidRDefault="00B57970" w:rsidP="00B57970">
            <w:pPr>
              <w:rPr>
                <w:sz w:val="20"/>
                <w:szCs w:val="20"/>
              </w:rPr>
            </w:pPr>
            <w:r w:rsidRPr="007028C8">
              <w:rPr>
                <w:sz w:val="20"/>
                <w:szCs w:val="20"/>
              </w:rPr>
              <w:t xml:space="preserve">55.7 </w:t>
            </w:r>
          </w:p>
        </w:tc>
        <w:tc>
          <w:tcPr>
            <w:tcW w:w="423" w:type="pct"/>
          </w:tcPr>
          <w:p w14:paraId="1BF861DB" w14:textId="77777777" w:rsidR="00B57970" w:rsidRPr="007028C8" w:rsidRDefault="00B57970" w:rsidP="00B57970">
            <w:pPr>
              <w:rPr>
                <w:sz w:val="20"/>
                <w:szCs w:val="20"/>
              </w:rPr>
            </w:pPr>
            <w:r w:rsidRPr="007028C8">
              <w:rPr>
                <w:sz w:val="20"/>
                <w:szCs w:val="20"/>
              </w:rPr>
              <w:t>92–100%</w:t>
            </w:r>
          </w:p>
        </w:tc>
        <w:tc>
          <w:tcPr>
            <w:tcW w:w="714" w:type="pct"/>
          </w:tcPr>
          <w:p w14:paraId="22CEC542" w14:textId="77777777" w:rsidR="00B57970" w:rsidRPr="007028C8" w:rsidRDefault="00B57970" w:rsidP="00B57970">
            <w:pPr>
              <w:rPr>
                <w:rFonts w:cs="Calibri"/>
                <w:sz w:val="20"/>
                <w:szCs w:val="20"/>
              </w:rPr>
            </w:pPr>
            <w:r w:rsidRPr="007028C8">
              <w:rPr>
                <w:rFonts w:cs="Calibri"/>
                <w:sz w:val="20"/>
                <w:szCs w:val="20"/>
              </w:rPr>
              <w:t xml:space="preserve">Samson-Roberts et al (submitted) </w:t>
            </w:r>
          </w:p>
        </w:tc>
      </w:tr>
      <w:tr w:rsidR="00B57970" w:rsidRPr="007028C8" w14:paraId="29742568" w14:textId="77777777" w:rsidTr="00DE7330">
        <w:trPr>
          <w:trHeight w:val="332"/>
        </w:trPr>
        <w:tc>
          <w:tcPr>
            <w:tcW w:w="546" w:type="pct"/>
          </w:tcPr>
          <w:p w14:paraId="46F6543D" w14:textId="77777777" w:rsidR="00B57970" w:rsidRPr="007028C8" w:rsidRDefault="00B57970" w:rsidP="00B57970">
            <w:pPr>
              <w:rPr>
                <w:sz w:val="20"/>
                <w:szCs w:val="20"/>
              </w:rPr>
            </w:pPr>
            <w:r w:rsidRPr="007028C8">
              <w:rPr>
                <w:sz w:val="20"/>
                <w:szCs w:val="20"/>
              </w:rPr>
              <w:t>Clothianidin</w:t>
            </w:r>
          </w:p>
        </w:tc>
        <w:tc>
          <w:tcPr>
            <w:tcW w:w="256" w:type="pct"/>
          </w:tcPr>
          <w:p w14:paraId="730A867E" w14:textId="77777777" w:rsidR="00B57970" w:rsidRPr="007028C8" w:rsidRDefault="00B57970" w:rsidP="00B57970">
            <w:pPr>
              <w:rPr>
                <w:sz w:val="20"/>
                <w:szCs w:val="20"/>
              </w:rPr>
            </w:pPr>
            <w:r w:rsidRPr="007028C8">
              <w:rPr>
                <w:sz w:val="20"/>
                <w:szCs w:val="20"/>
              </w:rPr>
              <w:t>2012-13</w:t>
            </w:r>
          </w:p>
        </w:tc>
        <w:tc>
          <w:tcPr>
            <w:tcW w:w="515" w:type="pct"/>
          </w:tcPr>
          <w:p w14:paraId="75D683E9" w14:textId="77777777" w:rsidR="00B57970" w:rsidRPr="007028C8" w:rsidRDefault="00B57970" w:rsidP="00B57970">
            <w:pPr>
              <w:rPr>
                <w:sz w:val="20"/>
                <w:szCs w:val="20"/>
              </w:rPr>
            </w:pPr>
            <w:r w:rsidRPr="007028C8">
              <w:rPr>
                <w:sz w:val="20"/>
                <w:szCs w:val="20"/>
              </w:rPr>
              <w:t>Saskatchewan, Canada</w:t>
            </w:r>
          </w:p>
        </w:tc>
        <w:tc>
          <w:tcPr>
            <w:tcW w:w="515" w:type="pct"/>
          </w:tcPr>
          <w:p w14:paraId="418F7077" w14:textId="77777777" w:rsidR="00B57970" w:rsidRPr="007028C8" w:rsidRDefault="00B57970" w:rsidP="00B57970">
            <w:pPr>
              <w:rPr>
                <w:sz w:val="20"/>
                <w:szCs w:val="20"/>
              </w:rPr>
            </w:pPr>
            <w:r w:rsidRPr="007028C8">
              <w:rPr>
                <w:sz w:val="20"/>
                <w:szCs w:val="20"/>
              </w:rPr>
              <w:t>Prairie wetlands</w:t>
            </w:r>
          </w:p>
        </w:tc>
        <w:tc>
          <w:tcPr>
            <w:tcW w:w="653" w:type="pct"/>
          </w:tcPr>
          <w:p w14:paraId="36DA5195" w14:textId="77777777" w:rsidR="00B57970" w:rsidRPr="007028C8" w:rsidRDefault="00B57970" w:rsidP="00B57970">
            <w:pPr>
              <w:rPr>
                <w:sz w:val="20"/>
                <w:szCs w:val="20"/>
              </w:rPr>
            </w:pPr>
            <w:r w:rsidRPr="007028C8">
              <w:rPr>
                <w:sz w:val="20"/>
                <w:szCs w:val="20"/>
              </w:rPr>
              <w:t>Agricultural (canola, cereals, grasslands)</w:t>
            </w:r>
          </w:p>
        </w:tc>
        <w:tc>
          <w:tcPr>
            <w:tcW w:w="402" w:type="pct"/>
          </w:tcPr>
          <w:p w14:paraId="70789E7D" w14:textId="77777777" w:rsidR="00B57970" w:rsidRPr="007028C8" w:rsidRDefault="00B57970" w:rsidP="00B57970">
            <w:pPr>
              <w:rPr>
                <w:sz w:val="20"/>
                <w:szCs w:val="20"/>
              </w:rPr>
            </w:pPr>
            <w:r w:rsidRPr="007028C8">
              <w:rPr>
                <w:sz w:val="20"/>
                <w:szCs w:val="20"/>
              </w:rPr>
              <w:t>0.0012</w:t>
            </w:r>
          </w:p>
        </w:tc>
        <w:tc>
          <w:tcPr>
            <w:tcW w:w="502" w:type="pct"/>
          </w:tcPr>
          <w:p w14:paraId="5E6507B0" w14:textId="77777777" w:rsidR="00B57970" w:rsidRPr="007028C8" w:rsidRDefault="00B57970" w:rsidP="00B57970">
            <w:pPr>
              <w:rPr>
                <w:sz w:val="20"/>
                <w:szCs w:val="20"/>
              </w:rPr>
            </w:pPr>
            <w:r w:rsidRPr="007028C8">
              <w:rPr>
                <w:sz w:val="20"/>
                <w:szCs w:val="20"/>
              </w:rPr>
              <w:t>0.004 – 0.077*</w:t>
            </w:r>
          </w:p>
        </w:tc>
        <w:tc>
          <w:tcPr>
            <w:tcW w:w="474" w:type="pct"/>
          </w:tcPr>
          <w:p w14:paraId="64E4C287" w14:textId="77777777" w:rsidR="00B57970" w:rsidRPr="007028C8" w:rsidRDefault="00B57970" w:rsidP="00B57970">
            <w:pPr>
              <w:rPr>
                <w:sz w:val="20"/>
                <w:szCs w:val="20"/>
              </w:rPr>
            </w:pPr>
            <w:r w:rsidRPr="007028C8">
              <w:rPr>
                <w:sz w:val="20"/>
                <w:szCs w:val="20"/>
              </w:rPr>
              <w:t>3.1</w:t>
            </w:r>
          </w:p>
        </w:tc>
        <w:tc>
          <w:tcPr>
            <w:tcW w:w="423" w:type="pct"/>
          </w:tcPr>
          <w:p w14:paraId="37079BD8" w14:textId="77777777" w:rsidR="00B57970" w:rsidRPr="007028C8" w:rsidRDefault="00B57970" w:rsidP="00B57970">
            <w:pPr>
              <w:rPr>
                <w:sz w:val="20"/>
                <w:szCs w:val="20"/>
              </w:rPr>
            </w:pPr>
            <w:r w:rsidRPr="007028C8">
              <w:rPr>
                <w:sz w:val="20"/>
                <w:szCs w:val="20"/>
              </w:rPr>
              <w:t>5–87%</w:t>
            </w:r>
          </w:p>
        </w:tc>
        <w:tc>
          <w:tcPr>
            <w:tcW w:w="714" w:type="pct"/>
          </w:tcPr>
          <w:p w14:paraId="39F28F67" w14:textId="77777777" w:rsidR="00B57970" w:rsidRPr="007028C8" w:rsidRDefault="00B57970" w:rsidP="00B57970">
            <w:pPr>
              <w:rPr>
                <w:rFonts w:cs="Calibri"/>
                <w:sz w:val="20"/>
                <w:szCs w:val="20"/>
              </w:rPr>
            </w:pPr>
            <w:r w:rsidRPr="007028C8">
              <w:rPr>
                <w:rFonts w:cs="Calibri"/>
                <w:sz w:val="20"/>
                <w:szCs w:val="20"/>
              </w:rPr>
              <w:t>Main</w:t>
            </w:r>
            <w:r w:rsidRPr="0053636F">
              <w:rPr>
                <w:rFonts w:cs="Calibri"/>
                <w:i/>
                <w:iCs/>
                <w:sz w:val="20"/>
                <w:szCs w:val="20"/>
              </w:rPr>
              <w:t xml:space="preserve"> et al.</w:t>
            </w:r>
            <w:r w:rsidRPr="007028C8">
              <w:rPr>
                <w:rFonts w:cs="Calibri"/>
                <w:sz w:val="20"/>
                <w:szCs w:val="20"/>
              </w:rPr>
              <w:t xml:space="preserve"> 2014</w:t>
            </w:r>
          </w:p>
        </w:tc>
      </w:tr>
      <w:tr w:rsidR="00B57970" w:rsidRPr="007028C8" w14:paraId="6B383D11" w14:textId="77777777" w:rsidTr="00DE7330">
        <w:tc>
          <w:tcPr>
            <w:tcW w:w="546" w:type="pct"/>
          </w:tcPr>
          <w:p w14:paraId="67CBC917" w14:textId="77777777" w:rsidR="00B57970" w:rsidRPr="007028C8" w:rsidRDefault="00B57970" w:rsidP="00B57970">
            <w:pPr>
              <w:rPr>
                <w:sz w:val="20"/>
                <w:szCs w:val="20"/>
              </w:rPr>
            </w:pPr>
            <w:r w:rsidRPr="007028C8">
              <w:rPr>
                <w:sz w:val="20"/>
                <w:szCs w:val="20"/>
              </w:rPr>
              <w:t>Clothianidin</w:t>
            </w:r>
          </w:p>
        </w:tc>
        <w:tc>
          <w:tcPr>
            <w:tcW w:w="256" w:type="pct"/>
          </w:tcPr>
          <w:p w14:paraId="0FEE6E0C" w14:textId="77777777" w:rsidR="00B57970" w:rsidRPr="007028C8" w:rsidRDefault="00B57970" w:rsidP="00B57970">
            <w:pPr>
              <w:rPr>
                <w:sz w:val="20"/>
                <w:szCs w:val="20"/>
              </w:rPr>
            </w:pPr>
            <w:r w:rsidRPr="007028C8">
              <w:rPr>
                <w:sz w:val="20"/>
                <w:szCs w:val="20"/>
              </w:rPr>
              <w:t>2009-10</w:t>
            </w:r>
          </w:p>
        </w:tc>
        <w:tc>
          <w:tcPr>
            <w:tcW w:w="515" w:type="pct"/>
          </w:tcPr>
          <w:p w14:paraId="49006B0C" w14:textId="77777777" w:rsidR="00B57970" w:rsidRPr="007028C8" w:rsidRDefault="00B57970" w:rsidP="00B57970">
            <w:pPr>
              <w:rPr>
                <w:sz w:val="20"/>
                <w:szCs w:val="20"/>
              </w:rPr>
            </w:pPr>
            <w:r w:rsidRPr="007028C8">
              <w:rPr>
                <w:sz w:val="20"/>
                <w:szCs w:val="20"/>
              </w:rPr>
              <w:t>Osaka, Japan</w:t>
            </w:r>
          </w:p>
        </w:tc>
        <w:tc>
          <w:tcPr>
            <w:tcW w:w="515" w:type="pct"/>
          </w:tcPr>
          <w:p w14:paraId="3017770A" w14:textId="77777777" w:rsidR="00B57970" w:rsidRPr="007028C8" w:rsidRDefault="00B57970" w:rsidP="00B57970">
            <w:pPr>
              <w:rPr>
                <w:sz w:val="20"/>
                <w:szCs w:val="20"/>
              </w:rPr>
            </w:pPr>
            <w:r w:rsidRPr="007028C8">
              <w:rPr>
                <w:sz w:val="20"/>
                <w:szCs w:val="20"/>
              </w:rPr>
              <w:t>Estuaries and rivers</w:t>
            </w:r>
          </w:p>
        </w:tc>
        <w:tc>
          <w:tcPr>
            <w:tcW w:w="653" w:type="pct"/>
          </w:tcPr>
          <w:p w14:paraId="0F3E7FA5" w14:textId="77777777" w:rsidR="00B57970" w:rsidRPr="007028C8" w:rsidRDefault="00B57970" w:rsidP="00B57970">
            <w:pPr>
              <w:rPr>
                <w:sz w:val="20"/>
                <w:szCs w:val="20"/>
              </w:rPr>
            </w:pPr>
            <w:r w:rsidRPr="007028C8">
              <w:rPr>
                <w:sz w:val="20"/>
                <w:szCs w:val="20"/>
              </w:rPr>
              <w:t>Urban, rice upstream</w:t>
            </w:r>
          </w:p>
        </w:tc>
        <w:tc>
          <w:tcPr>
            <w:tcW w:w="402" w:type="pct"/>
          </w:tcPr>
          <w:p w14:paraId="6BB39B94" w14:textId="77777777" w:rsidR="00B57970" w:rsidRPr="007028C8" w:rsidRDefault="00B57970" w:rsidP="00B57970">
            <w:pPr>
              <w:rPr>
                <w:sz w:val="20"/>
                <w:szCs w:val="20"/>
              </w:rPr>
            </w:pPr>
            <w:r w:rsidRPr="007028C8">
              <w:rPr>
                <w:sz w:val="20"/>
                <w:szCs w:val="20"/>
              </w:rPr>
              <w:t>0.00062</w:t>
            </w:r>
          </w:p>
        </w:tc>
        <w:tc>
          <w:tcPr>
            <w:tcW w:w="502" w:type="pct"/>
          </w:tcPr>
          <w:p w14:paraId="64647746" w14:textId="77777777" w:rsidR="00B57970" w:rsidRPr="007028C8" w:rsidRDefault="00B57970" w:rsidP="00B57970">
            <w:pPr>
              <w:rPr>
                <w:sz w:val="20"/>
                <w:szCs w:val="20"/>
              </w:rPr>
            </w:pPr>
            <w:r w:rsidRPr="007028C8">
              <w:rPr>
                <w:sz w:val="20"/>
                <w:szCs w:val="20"/>
              </w:rPr>
              <w:t>0.0032</w:t>
            </w:r>
          </w:p>
        </w:tc>
        <w:tc>
          <w:tcPr>
            <w:tcW w:w="474" w:type="pct"/>
          </w:tcPr>
          <w:p w14:paraId="7D4091AA" w14:textId="77777777" w:rsidR="00B57970" w:rsidRPr="007028C8" w:rsidRDefault="00B57970" w:rsidP="00B57970">
            <w:pPr>
              <w:rPr>
                <w:sz w:val="20"/>
                <w:szCs w:val="20"/>
              </w:rPr>
            </w:pPr>
            <w:r w:rsidRPr="007028C8">
              <w:rPr>
                <w:sz w:val="20"/>
                <w:szCs w:val="20"/>
              </w:rPr>
              <w:t>0.012</w:t>
            </w:r>
          </w:p>
        </w:tc>
        <w:tc>
          <w:tcPr>
            <w:tcW w:w="423" w:type="pct"/>
          </w:tcPr>
          <w:p w14:paraId="312133C6" w14:textId="77777777" w:rsidR="00B57970" w:rsidRPr="007028C8" w:rsidRDefault="00B57970" w:rsidP="00B57970">
            <w:pPr>
              <w:rPr>
                <w:sz w:val="20"/>
                <w:szCs w:val="20"/>
              </w:rPr>
            </w:pPr>
            <w:r w:rsidRPr="007028C8">
              <w:rPr>
                <w:sz w:val="20"/>
                <w:szCs w:val="20"/>
              </w:rPr>
              <w:t>100%</w:t>
            </w:r>
          </w:p>
        </w:tc>
        <w:tc>
          <w:tcPr>
            <w:tcW w:w="714" w:type="pct"/>
          </w:tcPr>
          <w:p w14:paraId="61CC0713" w14:textId="77777777" w:rsidR="00B57970" w:rsidRPr="007028C8" w:rsidRDefault="00B57970" w:rsidP="00B57970">
            <w:pPr>
              <w:rPr>
                <w:rFonts w:cs="Calibri"/>
                <w:sz w:val="20"/>
                <w:szCs w:val="20"/>
              </w:rPr>
            </w:pPr>
            <w:r w:rsidRPr="007028C8">
              <w:rPr>
                <w:rFonts w:cs="Calibri"/>
                <w:sz w:val="20"/>
                <w:szCs w:val="20"/>
              </w:rPr>
              <w:t xml:space="preserve">Yamamoto </w:t>
            </w:r>
            <w:r w:rsidRPr="0053636F">
              <w:rPr>
                <w:rFonts w:cs="Calibri"/>
                <w:i/>
                <w:iCs/>
                <w:sz w:val="20"/>
                <w:szCs w:val="20"/>
              </w:rPr>
              <w:t>et al.</w:t>
            </w:r>
            <w:r w:rsidRPr="007028C8">
              <w:rPr>
                <w:rFonts w:cs="Calibri"/>
                <w:sz w:val="20"/>
                <w:szCs w:val="20"/>
              </w:rPr>
              <w:t xml:space="preserve"> 2012</w:t>
            </w:r>
          </w:p>
        </w:tc>
      </w:tr>
      <w:tr w:rsidR="00B57970" w:rsidRPr="007028C8" w14:paraId="17C91453" w14:textId="77777777" w:rsidTr="00DE7330">
        <w:tc>
          <w:tcPr>
            <w:tcW w:w="546" w:type="pct"/>
            <w:tcBorders>
              <w:top w:val="single" w:sz="4" w:space="0" w:color="auto"/>
              <w:left w:val="single" w:sz="4" w:space="0" w:color="auto"/>
              <w:bottom w:val="single" w:sz="4" w:space="0" w:color="auto"/>
              <w:right w:val="single" w:sz="4" w:space="0" w:color="auto"/>
            </w:tcBorders>
          </w:tcPr>
          <w:p w14:paraId="678B94DB" w14:textId="77777777" w:rsidR="00B57970" w:rsidRPr="007028C8" w:rsidRDefault="00B57970" w:rsidP="00B57970">
            <w:pPr>
              <w:rPr>
                <w:sz w:val="20"/>
                <w:szCs w:val="20"/>
              </w:rPr>
            </w:pPr>
            <w:r w:rsidRPr="007028C8">
              <w:rPr>
                <w:sz w:val="20"/>
                <w:szCs w:val="20"/>
              </w:rPr>
              <w:t>Clothianidin</w:t>
            </w:r>
          </w:p>
        </w:tc>
        <w:tc>
          <w:tcPr>
            <w:tcW w:w="256" w:type="pct"/>
            <w:tcBorders>
              <w:top w:val="single" w:sz="4" w:space="0" w:color="auto"/>
              <w:left w:val="single" w:sz="4" w:space="0" w:color="auto"/>
              <w:bottom w:val="single" w:sz="4" w:space="0" w:color="auto"/>
              <w:right w:val="single" w:sz="4" w:space="0" w:color="auto"/>
            </w:tcBorders>
          </w:tcPr>
          <w:p w14:paraId="70DA941C" w14:textId="77777777" w:rsidR="00B57970" w:rsidRPr="007028C8" w:rsidRDefault="00B57970" w:rsidP="00B57970">
            <w:pPr>
              <w:rPr>
                <w:sz w:val="20"/>
                <w:szCs w:val="20"/>
              </w:rPr>
            </w:pPr>
            <w:r w:rsidRPr="007028C8">
              <w:rPr>
                <w:sz w:val="20"/>
                <w:szCs w:val="20"/>
              </w:rPr>
              <w:t>2011-12</w:t>
            </w:r>
          </w:p>
        </w:tc>
        <w:tc>
          <w:tcPr>
            <w:tcW w:w="515" w:type="pct"/>
            <w:tcBorders>
              <w:top w:val="single" w:sz="4" w:space="0" w:color="auto"/>
              <w:left w:val="single" w:sz="4" w:space="0" w:color="auto"/>
              <w:bottom w:val="single" w:sz="4" w:space="0" w:color="auto"/>
              <w:right w:val="single" w:sz="4" w:space="0" w:color="auto"/>
            </w:tcBorders>
          </w:tcPr>
          <w:p w14:paraId="0C70EE5C" w14:textId="77777777" w:rsidR="00B57970" w:rsidRPr="007028C8" w:rsidRDefault="00B57970" w:rsidP="00B57970">
            <w:pPr>
              <w:rPr>
                <w:sz w:val="20"/>
                <w:szCs w:val="20"/>
              </w:rPr>
            </w:pPr>
            <w:r w:rsidRPr="007028C8">
              <w:rPr>
                <w:sz w:val="20"/>
                <w:szCs w:val="20"/>
              </w:rPr>
              <w:t>Wisconsin</w:t>
            </w:r>
          </w:p>
        </w:tc>
        <w:tc>
          <w:tcPr>
            <w:tcW w:w="515" w:type="pct"/>
            <w:tcBorders>
              <w:top w:val="single" w:sz="4" w:space="0" w:color="auto"/>
              <w:left w:val="single" w:sz="4" w:space="0" w:color="auto"/>
              <w:bottom w:val="single" w:sz="4" w:space="0" w:color="auto"/>
              <w:right w:val="single" w:sz="4" w:space="0" w:color="auto"/>
            </w:tcBorders>
          </w:tcPr>
          <w:p w14:paraId="63750062" w14:textId="77777777" w:rsidR="00B57970" w:rsidRPr="007028C8" w:rsidRDefault="00B57970" w:rsidP="00B57970">
            <w:pPr>
              <w:rPr>
                <w:sz w:val="20"/>
                <w:szCs w:val="20"/>
              </w:rPr>
            </w:pPr>
            <w:r w:rsidRPr="007028C8">
              <w:rPr>
                <w:sz w:val="20"/>
                <w:szCs w:val="20"/>
              </w:rPr>
              <w:t>Leachate (irrigation water)</w:t>
            </w:r>
          </w:p>
        </w:tc>
        <w:tc>
          <w:tcPr>
            <w:tcW w:w="653" w:type="pct"/>
            <w:tcBorders>
              <w:top w:val="single" w:sz="4" w:space="0" w:color="auto"/>
              <w:left w:val="single" w:sz="4" w:space="0" w:color="auto"/>
              <w:bottom w:val="single" w:sz="4" w:space="0" w:color="auto"/>
              <w:right w:val="single" w:sz="4" w:space="0" w:color="auto"/>
            </w:tcBorders>
          </w:tcPr>
          <w:p w14:paraId="1A9C9BF3" w14:textId="77777777" w:rsidR="00B57970" w:rsidRPr="007028C8" w:rsidRDefault="00B57970" w:rsidP="00B57970">
            <w:pPr>
              <w:rPr>
                <w:sz w:val="20"/>
                <w:szCs w:val="20"/>
              </w:rPr>
            </w:pPr>
            <w:r w:rsidRPr="007028C8">
              <w:rPr>
                <w:sz w:val="20"/>
                <w:szCs w:val="20"/>
              </w:rPr>
              <w:t>Agricultural (potato, row crops-irrigated)</w:t>
            </w:r>
          </w:p>
        </w:tc>
        <w:tc>
          <w:tcPr>
            <w:tcW w:w="402" w:type="pct"/>
            <w:tcBorders>
              <w:top w:val="single" w:sz="4" w:space="0" w:color="auto"/>
              <w:left w:val="single" w:sz="4" w:space="0" w:color="auto"/>
              <w:bottom w:val="single" w:sz="4" w:space="0" w:color="auto"/>
              <w:right w:val="single" w:sz="4" w:space="0" w:color="auto"/>
            </w:tcBorders>
          </w:tcPr>
          <w:p w14:paraId="051785C8" w14:textId="77777777" w:rsidR="00B57970" w:rsidRPr="007028C8" w:rsidRDefault="00B57970" w:rsidP="00B57970">
            <w:pPr>
              <w:rPr>
                <w:sz w:val="20"/>
                <w:szCs w:val="20"/>
              </w:rPr>
            </w:pPr>
            <w:r w:rsidRPr="007028C8">
              <w:rPr>
                <w:sz w:val="20"/>
                <w:szCs w:val="20"/>
              </w:rPr>
              <w:t>0.02</w:t>
            </w:r>
          </w:p>
        </w:tc>
        <w:tc>
          <w:tcPr>
            <w:tcW w:w="502" w:type="pct"/>
            <w:tcBorders>
              <w:top w:val="single" w:sz="4" w:space="0" w:color="auto"/>
              <w:left w:val="single" w:sz="4" w:space="0" w:color="auto"/>
              <w:bottom w:val="single" w:sz="4" w:space="0" w:color="auto"/>
              <w:right w:val="single" w:sz="4" w:space="0" w:color="auto"/>
            </w:tcBorders>
          </w:tcPr>
          <w:p w14:paraId="72740E96" w14:textId="77777777" w:rsidR="00B57970" w:rsidRPr="007028C8" w:rsidRDefault="00B57970" w:rsidP="00B57970">
            <w:pPr>
              <w:rPr>
                <w:sz w:val="20"/>
                <w:szCs w:val="20"/>
              </w:rPr>
            </w:pPr>
            <w:r w:rsidRPr="007028C8">
              <w:rPr>
                <w:sz w:val="20"/>
                <w:szCs w:val="20"/>
              </w:rPr>
              <w:t>0.056</w:t>
            </w:r>
          </w:p>
        </w:tc>
        <w:tc>
          <w:tcPr>
            <w:tcW w:w="474" w:type="pct"/>
            <w:tcBorders>
              <w:top w:val="single" w:sz="4" w:space="0" w:color="auto"/>
              <w:left w:val="single" w:sz="4" w:space="0" w:color="auto"/>
              <w:bottom w:val="single" w:sz="4" w:space="0" w:color="auto"/>
              <w:right w:val="single" w:sz="4" w:space="0" w:color="auto"/>
            </w:tcBorders>
          </w:tcPr>
          <w:p w14:paraId="696094E3" w14:textId="77777777" w:rsidR="00B57970" w:rsidRPr="007028C8" w:rsidRDefault="00B57970" w:rsidP="00B57970">
            <w:pPr>
              <w:rPr>
                <w:sz w:val="20"/>
                <w:szCs w:val="20"/>
              </w:rPr>
            </w:pPr>
            <w:r w:rsidRPr="007028C8">
              <w:rPr>
                <w:sz w:val="20"/>
                <w:szCs w:val="20"/>
              </w:rPr>
              <w:t>0.225</w:t>
            </w:r>
          </w:p>
        </w:tc>
        <w:tc>
          <w:tcPr>
            <w:tcW w:w="423" w:type="pct"/>
            <w:tcBorders>
              <w:top w:val="single" w:sz="4" w:space="0" w:color="auto"/>
              <w:left w:val="single" w:sz="4" w:space="0" w:color="auto"/>
              <w:bottom w:val="single" w:sz="4" w:space="0" w:color="auto"/>
              <w:right w:val="single" w:sz="4" w:space="0" w:color="auto"/>
            </w:tcBorders>
          </w:tcPr>
          <w:p w14:paraId="393CC72B" w14:textId="77777777" w:rsidR="00B57970" w:rsidRPr="007028C8" w:rsidRDefault="00B57970" w:rsidP="00B57970">
            <w:pPr>
              <w:rPr>
                <w:sz w:val="20"/>
                <w:szCs w:val="20"/>
              </w:rPr>
            </w:pPr>
            <w:r w:rsidRPr="007028C8">
              <w:rPr>
                <w:sz w:val="20"/>
                <w:szCs w:val="20"/>
              </w:rPr>
              <w:t>NA</w:t>
            </w:r>
          </w:p>
        </w:tc>
        <w:tc>
          <w:tcPr>
            <w:tcW w:w="714" w:type="pct"/>
            <w:tcBorders>
              <w:top w:val="single" w:sz="4" w:space="0" w:color="auto"/>
              <w:left w:val="single" w:sz="4" w:space="0" w:color="auto"/>
              <w:bottom w:val="single" w:sz="4" w:space="0" w:color="auto"/>
              <w:right w:val="single" w:sz="4" w:space="0" w:color="auto"/>
            </w:tcBorders>
          </w:tcPr>
          <w:p w14:paraId="6BB19C61" w14:textId="77777777" w:rsidR="00B57970" w:rsidRPr="007028C8" w:rsidRDefault="00B57970" w:rsidP="00B57970">
            <w:pPr>
              <w:rPr>
                <w:rFonts w:cs="Calibri"/>
                <w:sz w:val="20"/>
                <w:szCs w:val="20"/>
              </w:rPr>
            </w:pPr>
            <w:r w:rsidRPr="007028C8">
              <w:rPr>
                <w:rFonts w:cs="Calibri"/>
                <w:sz w:val="20"/>
                <w:szCs w:val="20"/>
              </w:rPr>
              <w:t>Huseth and Groves 2014</w:t>
            </w:r>
          </w:p>
        </w:tc>
      </w:tr>
      <w:tr w:rsidR="00B57970" w:rsidRPr="007028C8" w14:paraId="4A685275" w14:textId="77777777" w:rsidTr="00DE7330">
        <w:tc>
          <w:tcPr>
            <w:tcW w:w="546" w:type="pct"/>
            <w:tcBorders>
              <w:top w:val="single" w:sz="4" w:space="0" w:color="auto"/>
              <w:left w:val="single" w:sz="4" w:space="0" w:color="auto"/>
              <w:bottom w:val="single" w:sz="4" w:space="0" w:color="auto"/>
              <w:right w:val="single" w:sz="4" w:space="0" w:color="auto"/>
            </w:tcBorders>
          </w:tcPr>
          <w:p w14:paraId="181D7AF6" w14:textId="77777777" w:rsidR="00B57970" w:rsidRPr="007028C8" w:rsidRDefault="00B57970" w:rsidP="00B57970">
            <w:pPr>
              <w:rPr>
                <w:sz w:val="20"/>
                <w:szCs w:val="20"/>
              </w:rPr>
            </w:pPr>
            <w:r w:rsidRPr="007028C8">
              <w:rPr>
                <w:sz w:val="20"/>
                <w:szCs w:val="20"/>
              </w:rPr>
              <w:t>Clothianidin</w:t>
            </w:r>
          </w:p>
        </w:tc>
        <w:tc>
          <w:tcPr>
            <w:tcW w:w="256" w:type="pct"/>
            <w:tcBorders>
              <w:top w:val="single" w:sz="4" w:space="0" w:color="auto"/>
              <w:left w:val="single" w:sz="4" w:space="0" w:color="auto"/>
              <w:bottom w:val="single" w:sz="4" w:space="0" w:color="auto"/>
              <w:right w:val="single" w:sz="4" w:space="0" w:color="auto"/>
            </w:tcBorders>
          </w:tcPr>
          <w:p w14:paraId="3E02FBCB" w14:textId="77777777" w:rsidR="00B57970" w:rsidRPr="007028C8" w:rsidRDefault="00B57970" w:rsidP="00B57970">
            <w:pPr>
              <w:rPr>
                <w:sz w:val="20"/>
                <w:szCs w:val="20"/>
              </w:rPr>
            </w:pPr>
            <w:r w:rsidRPr="007028C8">
              <w:rPr>
                <w:sz w:val="20"/>
                <w:szCs w:val="20"/>
              </w:rPr>
              <w:t>2008-2012</w:t>
            </w:r>
          </w:p>
        </w:tc>
        <w:tc>
          <w:tcPr>
            <w:tcW w:w="515" w:type="pct"/>
            <w:tcBorders>
              <w:top w:val="single" w:sz="4" w:space="0" w:color="auto"/>
              <w:left w:val="single" w:sz="4" w:space="0" w:color="auto"/>
              <w:bottom w:val="single" w:sz="4" w:space="0" w:color="auto"/>
              <w:right w:val="single" w:sz="4" w:space="0" w:color="auto"/>
            </w:tcBorders>
          </w:tcPr>
          <w:p w14:paraId="13827F14" w14:textId="77777777" w:rsidR="00B57970" w:rsidRPr="007028C8" w:rsidRDefault="00B57970" w:rsidP="00B57970">
            <w:pPr>
              <w:rPr>
                <w:sz w:val="20"/>
                <w:szCs w:val="20"/>
              </w:rPr>
            </w:pPr>
            <w:r w:rsidRPr="007028C8">
              <w:rPr>
                <w:sz w:val="20"/>
                <w:szCs w:val="20"/>
              </w:rPr>
              <w:t>Wisconsin</w:t>
            </w:r>
          </w:p>
        </w:tc>
        <w:tc>
          <w:tcPr>
            <w:tcW w:w="515" w:type="pct"/>
            <w:tcBorders>
              <w:top w:val="single" w:sz="4" w:space="0" w:color="auto"/>
              <w:left w:val="single" w:sz="4" w:space="0" w:color="auto"/>
              <w:bottom w:val="single" w:sz="4" w:space="0" w:color="auto"/>
              <w:right w:val="single" w:sz="4" w:space="0" w:color="auto"/>
            </w:tcBorders>
          </w:tcPr>
          <w:p w14:paraId="1051DE10" w14:textId="77777777" w:rsidR="00B57970" w:rsidRPr="007028C8" w:rsidRDefault="00B57970" w:rsidP="00B57970">
            <w:pPr>
              <w:rPr>
                <w:sz w:val="20"/>
                <w:szCs w:val="20"/>
              </w:rPr>
            </w:pPr>
            <w:r w:rsidRPr="007028C8">
              <w:rPr>
                <w:sz w:val="20"/>
                <w:szCs w:val="20"/>
              </w:rPr>
              <w:t>Groundwater</w:t>
            </w:r>
          </w:p>
        </w:tc>
        <w:tc>
          <w:tcPr>
            <w:tcW w:w="653" w:type="pct"/>
            <w:tcBorders>
              <w:top w:val="single" w:sz="4" w:space="0" w:color="auto"/>
              <w:left w:val="single" w:sz="4" w:space="0" w:color="auto"/>
              <w:bottom w:val="single" w:sz="4" w:space="0" w:color="auto"/>
              <w:right w:val="single" w:sz="4" w:space="0" w:color="auto"/>
            </w:tcBorders>
          </w:tcPr>
          <w:p w14:paraId="2FC0BD57" w14:textId="77777777" w:rsidR="00B57970" w:rsidRPr="007028C8" w:rsidRDefault="00B57970" w:rsidP="00B57970">
            <w:pPr>
              <w:rPr>
                <w:sz w:val="20"/>
                <w:szCs w:val="20"/>
              </w:rPr>
            </w:pPr>
            <w:r w:rsidRPr="007028C8">
              <w:rPr>
                <w:sz w:val="20"/>
                <w:szCs w:val="20"/>
              </w:rPr>
              <w:t>Agricultural (potato, row crops)</w:t>
            </w:r>
          </w:p>
        </w:tc>
        <w:tc>
          <w:tcPr>
            <w:tcW w:w="402" w:type="pct"/>
            <w:tcBorders>
              <w:top w:val="single" w:sz="4" w:space="0" w:color="auto"/>
              <w:left w:val="single" w:sz="4" w:space="0" w:color="auto"/>
              <w:bottom w:val="single" w:sz="4" w:space="0" w:color="auto"/>
              <w:right w:val="single" w:sz="4" w:space="0" w:color="auto"/>
            </w:tcBorders>
          </w:tcPr>
          <w:p w14:paraId="102C8EEC" w14:textId="77777777" w:rsidR="00B57970" w:rsidRPr="007028C8" w:rsidRDefault="00B57970" w:rsidP="00B57970">
            <w:pPr>
              <w:rPr>
                <w:sz w:val="20"/>
                <w:szCs w:val="20"/>
              </w:rPr>
            </w:pPr>
            <w:r w:rsidRPr="007028C8">
              <w:rPr>
                <w:sz w:val="20"/>
                <w:szCs w:val="20"/>
              </w:rPr>
              <w:t>NA</w:t>
            </w:r>
          </w:p>
        </w:tc>
        <w:tc>
          <w:tcPr>
            <w:tcW w:w="502" w:type="pct"/>
            <w:tcBorders>
              <w:top w:val="single" w:sz="4" w:space="0" w:color="auto"/>
              <w:left w:val="single" w:sz="4" w:space="0" w:color="auto"/>
              <w:bottom w:val="single" w:sz="4" w:space="0" w:color="auto"/>
              <w:right w:val="single" w:sz="4" w:space="0" w:color="auto"/>
            </w:tcBorders>
          </w:tcPr>
          <w:p w14:paraId="18739ED2" w14:textId="77777777" w:rsidR="00B57970" w:rsidRPr="007028C8" w:rsidRDefault="00B57970" w:rsidP="00B57970">
            <w:pPr>
              <w:rPr>
                <w:sz w:val="20"/>
                <w:szCs w:val="20"/>
              </w:rPr>
            </w:pPr>
            <w:r w:rsidRPr="007028C8">
              <w:rPr>
                <w:sz w:val="20"/>
                <w:szCs w:val="20"/>
              </w:rPr>
              <w:t>0.62</w:t>
            </w:r>
          </w:p>
        </w:tc>
        <w:tc>
          <w:tcPr>
            <w:tcW w:w="474" w:type="pct"/>
            <w:tcBorders>
              <w:top w:val="single" w:sz="4" w:space="0" w:color="auto"/>
              <w:left w:val="single" w:sz="4" w:space="0" w:color="auto"/>
              <w:bottom w:val="single" w:sz="4" w:space="0" w:color="auto"/>
              <w:right w:val="single" w:sz="4" w:space="0" w:color="auto"/>
            </w:tcBorders>
          </w:tcPr>
          <w:p w14:paraId="26A0A2C7" w14:textId="77777777" w:rsidR="00B57970" w:rsidRPr="007028C8" w:rsidRDefault="00B57970" w:rsidP="00B57970">
            <w:pPr>
              <w:rPr>
                <w:sz w:val="20"/>
                <w:szCs w:val="20"/>
              </w:rPr>
            </w:pPr>
            <w:r w:rsidRPr="007028C8">
              <w:rPr>
                <w:sz w:val="20"/>
                <w:szCs w:val="20"/>
              </w:rPr>
              <w:t>3.43</w:t>
            </w:r>
          </w:p>
        </w:tc>
        <w:tc>
          <w:tcPr>
            <w:tcW w:w="423" w:type="pct"/>
            <w:tcBorders>
              <w:top w:val="single" w:sz="4" w:space="0" w:color="auto"/>
              <w:left w:val="single" w:sz="4" w:space="0" w:color="auto"/>
              <w:bottom w:val="single" w:sz="4" w:space="0" w:color="auto"/>
              <w:right w:val="single" w:sz="4" w:space="0" w:color="auto"/>
            </w:tcBorders>
          </w:tcPr>
          <w:p w14:paraId="7B916084" w14:textId="77777777" w:rsidR="00B57970" w:rsidRPr="007028C8" w:rsidRDefault="00B57970" w:rsidP="00B57970">
            <w:pPr>
              <w:rPr>
                <w:sz w:val="20"/>
                <w:szCs w:val="20"/>
              </w:rPr>
            </w:pPr>
            <w:r w:rsidRPr="007028C8">
              <w:rPr>
                <w:sz w:val="20"/>
                <w:szCs w:val="20"/>
              </w:rPr>
              <w:t>25%</w:t>
            </w:r>
          </w:p>
        </w:tc>
        <w:tc>
          <w:tcPr>
            <w:tcW w:w="714" w:type="pct"/>
            <w:tcBorders>
              <w:top w:val="single" w:sz="4" w:space="0" w:color="auto"/>
              <w:left w:val="single" w:sz="4" w:space="0" w:color="auto"/>
              <w:bottom w:val="single" w:sz="4" w:space="0" w:color="auto"/>
              <w:right w:val="single" w:sz="4" w:space="0" w:color="auto"/>
            </w:tcBorders>
          </w:tcPr>
          <w:p w14:paraId="133098F3" w14:textId="77777777" w:rsidR="00B57970" w:rsidRPr="007028C8" w:rsidRDefault="00B57970" w:rsidP="00B57970">
            <w:pPr>
              <w:rPr>
                <w:rFonts w:cs="Calibri"/>
                <w:sz w:val="20"/>
                <w:szCs w:val="20"/>
              </w:rPr>
            </w:pPr>
            <w:r w:rsidRPr="007028C8">
              <w:rPr>
                <w:rFonts w:cs="Calibri"/>
                <w:sz w:val="20"/>
                <w:szCs w:val="20"/>
              </w:rPr>
              <w:t>State of Wisconsin Dept. of Agriculture Trade and Consumer Protection (in Huseth and Groves 2014)</w:t>
            </w:r>
          </w:p>
        </w:tc>
      </w:tr>
      <w:tr w:rsidR="00B57970" w:rsidRPr="007028C8" w14:paraId="04C24172" w14:textId="77777777" w:rsidTr="00DE7330">
        <w:tc>
          <w:tcPr>
            <w:tcW w:w="546" w:type="pct"/>
            <w:tcBorders>
              <w:top w:val="single" w:sz="4" w:space="0" w:color="auto"/>
              <w:left w:val="single" w:sz="4" w:space="0" w:color="auto"/>
              <w:bottom w:val="single" w:sz="4" w:space="0" w:color="auto"/>
              <w:right w:val="single" w:sz="4" w:space="0" w:color="auto"/>
            </w:tcBorders>
          </w:tcPr>
          <w:p w14:paraId="1F30247A" w14:textId="77777777" w:rsidR="00B57970" w:rsidRPr="007028C8" w:rsidRDefault="00B57970" w:rsidP="00B57970">
            <w:pPr>
              <w:rPr>
                <w:sz w:val="20"/>
                <w:szCs w:val="20"/>
              </w:rPr>
            </w:pPr>
            <w:r w:rsidRPr="007028C8">
              <w:rPr>
                <w:sz w:val="20"/>
                <w:szCs w:val="20"/>
              </w:rPr>
              <w:t>Clothianidin</w:t>
            </w:r>
          </w:p>
        </w:tc>
        <w:tc>
          <w:tcPr>
            <w:tcW w:w="256" w:type="pct"/>
            <w:tcBorders>
              <w:top w:val="single" w:sz="4" w:space="0" w:color="auto"/>
              <w:left w:val="single" w:sz="4" w:space="0" w:color="auto"/>
              <w:bottom w:val="single" w:sz="4" w:space="0" w:color="auto"/>
              <w:right w:val="single" w:sz="4" w:space="0" w:color="auto"/>
            </w:tcBorders>
          </w:tcPr>
          <w:p w14:paraId="14F42B39" w14:textId="77777777" w:rsidR="00B57970" w:rsidRPr="007028C8" w:rsidRDefault="00B57970" w:rsidP="00B57970">
            <w:pPr>
              <w:rPr>
                <w:sz w:val="20"/>
                <w:szCs w:val="20"/>
              </w:rPr>
            </w:pPr>
            <w:r w:rsidRPr="007028C8">
              <w:rPr>
                <w:sz w:val="20"/>
                <w:szCs w:val="20"/>
              </w:rPr>
              <w:t>2013</w:t>
            </w:r>
          </w:p>
        </w:tc>
        <w:tc>
          <w:tcPr>
            <w:tcW w:w="515" w:type="pct"/>
            <w:tcBorders>
              <w:top w:val="single" w:sz="4" w:space="0" w:color="auto"/>
              <w:left w:val="single" w:sz="4" w:space="0" w:color="auto"/>
              <w:bottom w:val="single" w:sz="4" w:space="0" w:color="auto"/>
              <w:right w:val="single" w:sz="4" w:space="0" w:color="auto"/>
            </w:tcBorders>
          </w:tcPr>
          <w:p w14:paraId="762AE772" w14:textId="77777777" w:rsidR="00B57970" w:rsidRPr="007028C8" w:rsidRDefault="00B57970" w:rsidP="00B57970">
            <w:pPr>
              <w:rPr>
                <w:sz w:val="20"/>
                <w:szCs w:val="20"/>
              </w:rPr>
            </w:pPr>
            <w:r w:rsidRPr="007028C8">
              <w:rPr>
                <w:sz w:val="20"/>
                <w:szCs w:val="20"/>
              </w:rPr>
              <w:t>Iowa, USA</w:t>
            </w:r>
          </w:p>
        </w:tc>
        <w:tc>
          <w:tcPr>
            <w:tcW w:w="515" w:type="pct"/>
            <w:tcBorders>
              <w:top w:val="single" w:sz="4" w:space="0" w:color="auto"/>
              <w:left w:val="single" w:sz="4" w:space="0" w:color="auto"/>
              <w:bottom w:val="single" w:sz="4" w:space="0" w:color="auto"/>
              <w:right w:val="single" w:sz="4" w:space="0" w:color="auto"/>
            </w:tcBorders>
          </w:tcPr>
          <w:p w14:paraId="66FDF407" w14:textId="77777777" w:rsidR="00B57970" w:rsidRPr="007028C8" w:rsidRDefault="00B57970" w:rsidP="00B57970">
            <w:pPr>
              <w:rPr>
                <w:sz w:val="20"/>
                <w:szCs w:val="20"/>
              </w:rPr>
            </w:pPr>
            <w:r w:rsidRPr="007028C8">
              <w:rPr>
                <w:sz w:val="20"/>
                <w:szCs w:val="20"/>
              </w:rPr>
              <w:t>Rivers</w:t>
            </w:r>
          </w:p>
        </w:tc>
        <w:tc>
          <w:tcPr>
            <w:tcW w:w="653" w:type="pct"/>
            <w:tcBorders>
              <w:top w:val="single" w:sz="4" w:space="0" w:color="auto"/>
              <w:left w:val="single" w:sz="4" w:space="0" w:color="auto"/>
              <w:bottom w:val="single" w:sz="4" w:space="0" w:color="auto"/>
              <w:right w:val="single" w:sz="4" w:space="0" w:color="auto"/>
            </w:tcBorders>
          </w:tcPr>
          <w:p w14:paraId="378794DF" w14:textId="77777777" w:rsidR="00B57970" w:rsidRPr="007028C8" w:rsidRDefault="00B57970" w:rsidP="00B57970">
            <w:pPr>
              <w:rPr>
                <w:sz w:val="20"/>
                <w:szCs w:val="20"/>
              </w:rPr>
            </w:pPr>
            <w:r w:rsidRPr="007028C8">
              <w:rPr>
                <w:sz w:val="20"/>
                <w:szCs w:val="20"/>
              </w:rPr>
              <w:t>Agricultural</w:t>
            </w:r>
          </w:p>
        </w:tc>
        <w:tc>
          <w:tcPr>
            <w:tcW w:w="402" w:type="pct"/>
            <w:tcBorders>
              <w:top w:val="single" w:sz="4" w:space="0" w:color="auto"/>
              <w:left w:val="single" w:sz="4" w:space="0" w:color="auto"/>
              <w:bottom w:val="single" w:sz="4" w:space="0" w:color="auto"/>
              <w:right w:val="single" w:sz="4" w:space="0" w:color="auto"/>
            </w:tcBorders>
          </w:tcPr>
          <w:p w14:paraId="6767112A" w14:textId="77777777" w:rsidR="00B57970" w:rsidRPr="007028C8" w:rsidRDefault="00B57970" w:rsidP="00B57970">
            <w:pPr>
              <w:rPr>
                <w:sz w:val="20"/>
                <w:szCs w:val="20"/>
              </w:rPr>
            </w:pPr>
            <w:r w:rsidRPr="007028C8">
              <w:rPr>
                <w:sz w:val="20"/>
                <w:szCs w:val="20"/>
              </w:rPr>
              <w:t>0.0062</w:t>
            </w:r>
          </w:p>
        </w:tc>
        <w:tc>
          <w:tcPr>
            <w:tcW w:w="502" w:type="pct"/>
            <w:tcBorders>
              <w:top w:val="single" w:sz="4" w:space="0" w:color="auto"/>
              <w:left w:val="single" w:sz="4" w:space="0" w:color="auto"/>
              <w:bottom w:val="single" w:sz="4" w:space="0" w:color="auto"/>
              <w:right w:val="single" w:sz="4" w:space="0" w:color="auto"/>
            </w:tcBorders>
          </w:tcPr>
          <w:p w14:paraId="780A7682" w14:textId="77777777" w:rsidR="00B57970" w:rsidRPr="007028C8" w:rsidRDefault="00B57970" w:rsidP="00B57970">
            <w:pPr>
              <w:rPr>
                <w:sz w:val="20"/>
                <w:szCs w:val="20"/>
              </w:rPr>
            </w:pPr>
            <w:r w:rsidRPr="007028C8">
              <w:rPr>
                <w:sz w:val="20"/>
                <w:szCs w:val="20"/>
              </w:rPr>
              <w:t>0.008**</w:t>
            </w:r>
          </w:p>
        </w:tc>
        <w:tc>
          <w:tcPr>
            <w:tcW w:w="474" w:type="pct"/>
            <w:tcBorders>
              <w:top w:val="single" w:sz="4" w:space="0" w:color="auto"/>
              <w:left w:val="single" w:sz="4" w:space="0" w:color="auto"/>
              <w:bottom w:val="single" w:sz="4" w:space="0" w:color="auto"/>
              <w:right w:val="single" w:sz="4" w:space="0" w:color="auto"/>
            </w:tcBorders>
          </w:tcPr>
          <w:p w14:paraId="44715BE7" w14:textId="77777777" w:rsidR="00B57970" w:rsidRPr="007028C8" w:rsidRDefault="00B57970" w:rsidP="00B57970">
            <w:pPr>
              <w:rPr>
                <w:sz w:val="20"/>
                <w:szCs w:val="20"/>
              </w:rPr>
            </w:pPr>
            <w:r w:rsidRPr="007028C8">
              <w:rPr>
                <w:sz w:val="20"/>
                <w:szCs w:val="20"/>
              </w:rPr>
              <w:t>0.257</w:t>
            </w:r>
          </w:p>
        </w:tc>
        <w:tc>
          <w:tcPr>
            <w:tcW w:w="423" w:type="pct"/>
            <w:tcBorders>
              <w:top w:val="single" w:sz="4" w:space="0" w:color="auto"/>
              <w:left w:val="single" w:sz="4" w:space="0" w:color="auto"/>
              <w:bottom w:val="single" w:sz="4" w:space="0" w:color="auto"/>
              <w:right w:val="single" w:sz="4" w:space="0" w:color="auto"/>
            </w:tcBorders>
          </w:tcPr>
          <w:p w14:paraId="4BDF7E5D" w14:textId="77777777" w:rsidR="00B57970" w:rsidRPr="007028C8" w:rsidRDefault="00B57970" w:rsidP="00B57970">
            <w:pPr>
              <w:rPr>
                <w:sz w:val="20"/>
                <w:szCs w:val="20"/>
              </w:rPr>
            </w:pPr>
            <w:r w:rsidRPr="007028C8">
              <w:rPr>
                <w:sz w:val="20"/>
                <w:szCs w:val="20"/>
              </w:rPr>
              <w:t>75%</w:t>
            </w:r>
          </w:p>
        </w:tc>
        <w:tc>
          <w:tcPr>
            <w:tcW w:w="714" w:type="pct"/>
            <w:tcBorders>
              <w:top w:val="single" w:sz="4" w:space="0" w:color="auto"/>
              <w:left w:val="single" w:sz="4" w:space="0" w:color="auto"/>
              <w:bottom w:val="single" w:sz="4" w:space="0" w:color="auto"/>
              <w:right w:val="single" w:sz="4" w:space="0" w:color="auto"/>
            </w:tcBorders>
          </w:tcPr>
          <w:p w14:paraId="57FFA0A2" w14:textId="77777777" w:rsidR="00B57970" w:rsidRPr="007028C8" w:rsidRDefault="00B57970" w:rsidP="00B57970">
            <w:pPr>
              <w:rPr>
                <w:rFonts w:cs="Calibri"/>
                <w:sz w:val="20"/>
                <w:szCs w:val="20"/>
              </w:rPr>
            </w:pPr>
            <w:r w:rsidRPr="007028C8">
              <w:rPr>
                <w:rFonts w:cs="Calibri"/>
                <w:sz w:val="20"/>
                <w:szCs w:val="20"/>
              </w:rPr>
              <w:t xml:space="preserve">Hladlik </w:t>
            </w:r>
            <w:r w:rsidRPr="0053636F">
              <w:rPr>
                <w:rFonts w:cs="Calibri"/>
                <w:i/>
                <w:iCs/>
                <w:sz w:val="20"/>
                <w:szCs w:val="20"/>
              </w:rPr>
              <w:t>et al.</w:t>
            </w:r>
            <w:r w:rsidRPr="007028C8">
              <w:rPr>
                <w:rFonts w:cs="Calibri"/>
                <w:sz w:val="20"/>
                <w:szCs w:val="20"/>
              </w:rPr>
              <w:t xml:space="preserve"> 2014</w:t>
            </w:r>
          </w:p>
        </w:tc>
      </w:tr>
      <w:tr w:rsidR="00B57970" w:rsidRPr="007028C8" w14:paraId="3B3E0AD0" w14:textId="77777777" w:rsidTr="00DE7330">
        <w:tc>
          <w:tcPr>
            <w:tcW w:w="546" w:type="pct"/>
          </w:tcPr>
          <w:p w14:paraId="10BA2FB6" w14:textId="77777777" w:rsidR="00B57970" w:rsidRPr="007028C8" w:rsidRDefault="00B57970" w:rsidP="00B57970">
            <w:pPr>
              <w:rPr>
                <w:sz w:val="20"/>
                <w:szCs w:val="20"/>
              </w:rPr>
            </w:pPr>
            <w:r w:rsidRPr="007028C8">
              <w:rPr>
                <w:sz w:val="20"/>
                <w:szCs w:val="20"/>
              </w:rPr>
              <w:t>Thiamethoxam</w:t>
            </w:r>
          </w:p>
        </w:tc>
        <w:tc>
          <w:tcPr>
            <w:tcW w:w="256" w:type="pct"/>
          </w:tcPr>
          <w:p w14:paraId="51C51D9A" w14:textId="77777777" w:rsidR="00B57970" w:rsidRPr="007028C8" w:rsidRDefault="00B57970" w:rsidP="00B57970">
            <w:pPr>
              <w:rPr>
                <w:sz w:val="20"/>
                <w:szCs w:val="20"/>
              </w:rPr>
            </w:pPr>
            <w:r w:rsidRPr="21FE9AD9">
              <w:rPr>
                <w:sz w:val="20"/>
                <w:szCs w:val="20"/>
              </w:rPr>
              <w:t>2012</w:t>
            </w:r>
          </w:p>
        </w:tc>
        <w:tc>
          <w:tcPr>
            <w:tcW w:w="515" w:type="pct"/>
          </w:tcPr>
          <w:p w14:paraId="120D7789" w14:textId="77777777" w:rsidR="00B57970" w:rsidRPr="007028C8" w:rsidRDefault="00B57970" w:rsidP="00B57970">
            <w:pPr>
              <w:rPr>
                <w:rFonts w:cstheme="minorHAnsi"/>
                <w:sz w:val="20"/>
                <w:szCs w:val="20"/>
              </w:rPr>
            </w:pPr>
            <w:r w:rsidRPr="007028C8">
              <w:rPr>
                <w:rFonts w:cstheme="minorHAnsi"/>
                <w:sz w:val="20"/>
                <w:szCs w:val="20"/>
              </w:rPr>
              <w:t>Switzerland</w:t>
            </w:r>
          </w:p>
        </w:tc>
        <w:tc>
          <w:tcPr>
            <w:tcW w:w="515" w:type="pct"/>
          </w:tcPr>
          <w:p w14:paraId="29AF8D66" w14:textId="77777777" w:rsidR="00B57970" w:rsidRPr="007028C8" w:rsidRDefault="00B57970" w:rsidP="00B57970">
            <w:pPr>
              <w:rPr>
                <w:rFonts w:cstheme="minorHAnsi"/>
                <w:sz w:val="20"/>
                <w:szCs w:val="20"/>
              </w:rPr>
            </w:pPr>
            <w:r w:rsidRPr="007028C8">
              <w:rPr>
                <w:rFonts w:cstheme="minorHAnsi"/>
                <w:sz w:val="20"/>
                <w:szCs w:val="20"/>
              </w:rPr>
              <w:t>Rivers</w:t>
            </w:r>
          </w:p>
        </w:tc>
        <w:tc>
          <w:tcPr>
            <w:tcW w:w="653" w:type="pct"/>
          </w:tcPr>
          <w:p w14:paraId="4ED05899" w14:textId="77777777" w:rsidR="00B57970" w:rsidRPr="007028C8" w:rsidRDefault="00B57970" w:rsidP="00B57970">
            <w:pPr>
              <w:rPr>
                <w:rFonts w:cstheme="minorHAnsi"/>
                <w:sz w:val="20"/>
                <w:szCs w:val="20"/>
              </w:rPr>
            </w:pPr>
            <w:r w:rsidRPr="007028C8">
              <w:rPr>
                <w:rFonts w:cstheme="minorHAnsi"/>
                <w:sz w:val="20"/>
                <w:szCs w:val="20"/>
                <w:lang w:eastAsia="en-CA"/>
              </w:rPr>
              <w:t>Agricultural, urban areas, and WWTP discharges</w:t>
            </w:r>
          </w:p>
        </w:tc>
        <w:tc>
          <w:tcPr>
            <w:tcW w:w="402" w:type="pct"/>
          </w:tcPr>
          <w:p w14:paraId="29E3B78E" w14:textId="77777777" w:rsidR="00B57970" w:rsidRPr="007028C8" w:rsidRDefault="00B57970" w:rsidP="00B57970">
            <w:pPr>
              <w:rPr>
                <w:sz w:val="20"/>
                <w:szCs w:val="20"/>
              </w:rPr>
            </w:pPr>
            <w:r w:rsidRPr="21FE9AD9">
              <w:rPr>
                <w:sz w:val="20"/>
                <w:szCs w:val="20"/>
              </w:rPr>
              <w:t>0.003</w:t>
            </w:r>
          </w:p>
        </w:tc>
        <w:tc>
          <w:tcPr>
            <w:tcW w:w="502" w:type="pct"/>
          </w:tcPr>
          <w:p w14:paraId="2005917D" w14:textId="77777777" w:rsidR="00B57970" w:rsidRPr="007028C8" w:rsidRDefault="00B57970" w:rsidP="00B57970">
            <w:pPr>
              <w:rPr>
                <w:rFonts w:cstheme="minorHAnsi"/>
                <w:sz w:val="20"/>
                <w:szCs w:val="20"/>
              </w:rPr>
            </w:pPr>
            <w:r w:rsidRPr="007028C8">
              <w:rPr>
                <w:rFonts w:cstheme="minorHAnsi"/>
                <w:sz w:val="20"/>
                <w:szCs w:val="20"/>
              </w:rPr>
              <w:t>NA</w:t>
            </w:r>
          </w:p>
        </w:tc>
        <w:tc>
          <w:tcPr>
            <w:tcW w:w="474" w:type="pct"/>
          </w:tcPr>
          <w:p w14:paraId="10AB2627" w14:textId="77777777" w:rsidR="00B57970" w:rsidRPr="007028C8" w:rsidRDefault="00B57970" w:rsidP="00B57970">
            <w:pPr>
              <w:rPr>
                <w:sz w:val="20"/>
                <w:szCs w:val="20"/>
              </w:rPr>
            </w:pPr>
            <w:r w:rsidRPr="21FE9AD9">
              <w:rPr>
                <w:sz w:val="20"/>
                <w:szCs w:val="20"/>
              </w:rPr>
              <w:t>0.047</w:t>
            </w:r>
          </w:p>
        </w:tc>
        <w:tc>
          <w:tcPr>
            <w:tcW w:w="423" w:type="pct"/>
          </w:tcPr>
          <w:p w14:paraId="10E3736C" w14:textId="77777777" w:rsidR="00B57970" w:rsidRPr="007028C8" w:rsidRDefault="00B57970" w:rsidP="00B57970">
            <w:pPr>
              <w:rPr>
                <w:rFonts w:cstheme="minorHAnsi"/>
                <w:sz w:val="20"/>
                <w:szCs w:val="20"/>
              </w:rPr>
            </w:pPr>
            <w:r w:rsidRPr="007028C8">
              <w:rPr>
                <w:rFonts w:cstheme="minorHAnsi"/>
                <w:sz w:val="20"/>
                <w:szCs w:val="20"/>
              </w:rPr>
              <w:t>60%</w:t>
            </w:r>
          </w:p>
        </w:tc>
        <w:tc>
          <w:tcPr>
            <w:tcW w:w="714" w:type="pct"/>
          </w:tcPr>
          <w:p w14:paraId="00CFB421" w14:textId="77777777" w:rsidR="00B57970" w:rsidRPr="007028C8" w:rsidRDefault="00B57970" w:rsidP="00B57970">
            <w:pPr>
              <w:rPr>
                <w:rFonts w:cstheme="minorHAnsi"/>
                <w:sz w:val="20"/>
                <w:szCs w:val="20"/>
              </w:rPr>
            </w:pPr>
            <w:r w:rsidRPr="007028C8">
              <w:rPr>
                <w:rFonts w:cstheme="minorHAnsi"/>
                <w:sz w:val="20"/>
                <w:szCs w:val="20"/>
              </w:rPr>
              <w:t xml:space="preserve">Moschet </w:t>
            </w:r>
            <w:r w:rsidRPr="0053636F">
              <w:rPr>
                <w:rFonts w:cstheme="minorHAnsi"/>
                <w:i/>
                <w:iCs/>
                <w:sz w:val="20"/>
                <w:szCs w:val="20"/>
              </w:rPr>
              <w:t xml:space="preserve">et al. </w:t>
            </w:r>
            <w:r w:rsidRPr="007028C8">
              <w:rPr>
                <w:rFonts w:cstheme="minorHAnsi"/>
                <w:sz w:val="20"/>
                <w:szCs w:val="20"/>
              </w:rPr>
              <w:t>2014</w:t>
            </w:r>
          </w:p>
        </w:tc>
      </w:tr>
      <w:tr w:rsidR="00B57970" w:rsidRPr="007028C8" w14:paraId="3E3E0E77" w14:textId="77777777" w:rsidTr="00DE7330">
        <w:tc>
          <w:tcPr>
            <w:tcW w:w="546" w:type="pct"/>
          </w:tcPr>
          <w:p w14:paraId="5631A993" w14:textId="77777777" w:rsidR="00B57970" w:rsidRPr="007028C8" w:rsidRDefault="00B57970" w:rsidP="00B57970">
            <w:pPr>
              <w:rPr>
                <w:sz w:val="20"/>
                <w:szCs w:val="20"/>
              </w:rPr>
            </w:pPr>
            <w:r w:rsidRPr="007028C8">
              <w:rPr>
                <w:sz w:val="20"/>
                <w:szCs w:val="20"/>
              </w:rPr>
              <w:lastRenderedPageBreak/>
              <w:t>Thiamethoxam</w:t>
            </w:r>
          </w:p>
        </w:tc>
        <w:tc>
          <w:tcPr>
            <w:tcW w:w="256" w:type="pct"/>
          </w:tcPr>
          <w:p w14:paraId="4A4353CE" w14:textId="77777777" w:rsidR="00B57970" w:rsidRPr="007028C8" w:rsidRDefault="00B57970" w:rsidP="00B57970">
            <w:pPr>
              <w:rPr>
                <w:sz w:val="20"/>
                <w:szCs w:val="20"/>
              </w:rPr>
            </w:pPr>
            <w:r w:rsidRPr="007028C8">
              <w:rPr>
                <w:sz w:val="20"/>
                <w:szCs w:val="20"/>
              </w:rPr>
              <w:t>2009-10</w:t>
            </w:r>
          </w:p>
        </w:tc>
        <w:tc>
          <w:tcPr>
            <w:tcW w:w="515" w:type="pct"/>
          </w:tcPr>
          <w:p w14:paraId="13F2D2CA" w14:textId="77777777" w:rsidR="00B57970" w:rsidRPr="007028C8" w:rsidRDefault="00B57970" w:rsidP="00B57970">
            <w:pPr>
              <w:rPr>
                <w:sz w:val="20"/>
                <w:szCs w:val="20"/>
              </w:rPr>
            </w:pPr>
            <w:r w:rsidRPr="007028C8">
              <w:rPr>
                <w:sz w:val="20"/>
                <w:szCs w:val="20"/>
              </w:rPr>
              <w:t>Osaka, Japan</w:t>
            </w:r>
          </w:p>
        </w:tc>
        <w:tc>
          <w:tcPr>
            <w:tcW w:w="515" w:type="pct"/>
          </w:tcPr>
          <w:p w14:paraId="658D57C3" w14:textId="77777777" w:rsidR="00B57970" w:rsidRPr="007028C8" w:rsidRDefault="00B57970" w:rsidP="00B57970">
            <w:pPr>
              <w:rPr>
                <w:sz w:val="20"/>
                <w:szCs w:val="20"/>
              </w:rPr>
            </w:pPr>
            <w:r w:rsidRPr="007028C8">
              <w:rPr>
                <w:sz w:val="20"/>
                <w:szCs w:val="20"/>
              </w:rPr>
              <w:t>Estuaries and rivers</w:t>
            </w:r>
          </w:p>
        </w:tc>
        <w:tc>
          <w:tcPr>
            <w:tcW w:w="653" w:type="pct"/>
          </w:tcPr>
          <w:p w14:paraId="7A6CBF82" w14:textId="77777777" w:rsidR="00B57970" w:rsidRPr="007028C8" w:rsidRDefault="00B57970" w:rsidP="00B57970">
            <w:pPr>
              <w:rPr>
                <w:sz w:val="20"/>
                <w:szCs w:val="20"/>
              </w:rPr>
            </w:pPr>
            <w:r w:rsidRPr="007028C8">
              <w:rPr>
                <w:sz w:val="20"/>
                <w:szCs w:val="20"/>
              </w:rPr>
              <w:t>Urban, rice upstream</w:t>
            </w:r>
          </w:p>
        </w:tc>
        <w:tc>
          <w:tcPr>
            <w:tcW w:w="402" w:type="pct"/>
          </w:tcPr>
          <w:p w14:paraId="38FBDF1B" w14:textId="77777777" w:rsidR="00B57970" w:rsidRPr="007028C8" w:rsidRDefault="00B57970" w:rsidP="00B57970">
            <w:pPr>
              <w:rPr>
                <w:sz w:val="20"/>
                <w:szCs w:val="20"/>
              </w:rPr>
            </w:pPr>
            <w:r w:rsidRPr="007028C8">
              <w:rPr>
                <w:sz w:val="20"/>
                <w:szCs w:val="20"/>
              </w:rPr>
              <w:t>0.00063</w:t>
            </w:r>
          </w:p>
        </w:tc>
        <w:tc>
          <w:tcPr>
            <w:tcW w:w="502" w:type="pct"/>
          </w:tcPr>
          <w:p w14:paraId="31AAD278" w14:textId="77777777" w:rsidR="00B57970" w:rsidRPr="007028C8" w:rsidRDefault="00B57970" w:rsidP="00B57970">
            <w:pPr>
              <w:rPr>
                <w:rFonts w:eastAsia="AdvGulliv-R" w:cs="AdvGulliv-R"/>
                <w:sz w:val="20"/>
                <w:szCs w:val="20"/>
              </w:rPr>
            </w:pPr>
            <w:r w:rsidRPr="007028C8">
              <w:rPr>
                <w:rFonts w:eastAsia="AdvGulliv-R" w:cs="AdvGulliv-R"/>
                <w:sz w:val="20"/>
                <w:szCs w:val="20"/>
              </w:rPr>
              <w:t>0.00265</w:t>
            </w:r>
          </w:p>
        </w:tc>
        <w:tc>
          <w:tcPr>
            <w:tcW w:w="474" w:type="pct"/>
          </w:tcPr>
          <w:p w14:paraId="01592043" w14:textId="77777777" w:rsidR="00B57970" w:rsidRPr="007028C8" w:rsidRDefault="00B57970" w:rsidP="00B57970">
            <w:pPr>
              <w:rPr>
                <w:rFonts w:eastAsia="AdvGulliv-R" w:cs="AdvGulliv-R"/>
                <w:sz w:val="20"/>
                <w:szCs w:val="20"/>
              </w:rPr>
            </w:pPr>
            <w:r w:rsidRPr="007028C8">
              <w:rPr>
                <w:rFonts w:eastAsia="AdvGulliv-R" w:cs="AdvGulliv-R"/>
                <w:sz w:val="20"/>
                <w:szCs w:val="20"/>
              </w:rPr>
              <w:t>0.0011</w:t>
            </w:r>
          </w:p>
        </w:tc>
        <w:tc>
          <w:tcPr>
            <w:tcW w:w="423" w:type="pct"/>
          </w:tcPr>
          <w:p w14:paraId="53375593" w14:textId="77777777" w:rsidR="00B57970" w:rsidRPr="007028C8" w:rsidRDefault="00B57970" w:rsidP="00B57970">
            <w:pPr>
              <w:rPr>
                <w:sz w:val="20"/>
                <w:szCs w:val="20"/>
              </w:rPr>
            </w:pPr>
            <w:r w:rsidRPr="007028C8">
              <w:rPr>
                <w:sz w:val="20"/>
                <w:szCs w:val="20"/>
              </w:rPr>
              <w:t>100%</w:t>
            </w:r>
          </w:p>
        </w:tc>
        <w:tc>
          <w:tcPr>
            <w:tcW w:w="714" w:type="pct"/>
          </w:tcPr>
          <w:p w14:paraId="0CDABAD4" w14:textId="77777777" w:rsidR="00B57970" w:rsidRPr="007028C8" w:rsidRDefault="00B57970" w:rsidP="00B57970">
            <w:pPr>
              <w:rPr>
                <w:rFonts w:cs="Calibri"/>
                <w:sz w:val="20"/>
                <w:szCs w:val="20"/>
              </w:rPr>
            </w:pPr>
            <w:r w:rsidRPr="007028C8">
              <w:rPr>
                <w:rFonts w:cs="Calibri"/>
                <w:sz w:val="20"/>
                <w:szCs w:val="20"/>
              </w:rPr>
              <w:t xml:space="preserve">Yamamoto </w:t>
            </w:r>
            <w:r w:rsidRPr="0053636F">
              <w:rPr>
                <w:rFonts w:cs="Calibri"/>
                <w:i/>
                <w:iCs/>
                <w:sz w:val="20"/>
                <w:szCs w:val="20"/>
              </w:rPr>
              <w:t>et al.</w:t>
            </w:r>
            <w:r w:rsidRPr="007028C8">
              <w:rPr>
                <w:rFonts w:cs="Calibri"/>
                <w:sz w:val="20"/>
                <w:szCs w:val="20"/>
              </w:rPr>
              <w:t xml:space="preserve"> 2012</w:t>
            </w:r>
          </w:p>
        </w:tc>
      </w:tr>
      <w:tr w:rsidR="00B57970" w:rsidRPr="007028C8" w14:paraId="22C992D8" w14:textId="77777777" w:rsidTr="00DE7330">
        <w:tc>
          <w:tcPr>
            <w:tcW w:w="546" w:type="pct"/>
          </w:tcPr>
          <w:p w14:paraId="6DBDAE97" w14:textId="77777777" w:rsidR="00B57970" w:rsidRPr="007028C8" w:rsidRDefault="00B57970" w:rsidP="00B57970">
            <w:pPr>
              <w:rPr>
                <w:sz w:val="20"/>
                <w:szCs w:val="20"/>
              </w:rPr>
            </w:pPr>
            <w:r w:rsidRPr="007028C8">
              <w:rPr>
                <w:sz w:val="20"/>
                <w:szCs w:val="20"/>
              </w:rPr>
              <w:t>Thiamethoxam</w:t>
            </w:r>
          </w:p>
        </w:tc>
        <w:tc>
          <w:tcPr>
            <w:tcW w:w="256" w:type="pct"/>
          </w:tcPr>
          <w:p w14:paraId="20DFBC03" w14:textId="77777777" w:rsidR="00B57970" w:rsidRPr="007028C8" w:rsidRDefault="00B57970" w:rsidP="00B57970">
            <w:pPr>
              <w:rPr>
                <w:sz w:val="20"/>
                <w:szCs w:val="20"/>
              </w:rPr>
            </w:pPr>
            <w:r w:rsidRPr="007028C8">
              <w:rPr>
                <w:sz w:val="20"/>
                <w:szCs w:val="20"/>
              </w:rPr>
              <w:t>2012</w:t>
            </w:r>
          </w:p>
        </w:tc>
        <w:tc>
          <w:tcPr>
            <w:tcW w:w="515" w:type="pct"/>
          </w:tcPr>
          <w:p w14:paraId="423C7AF5" w14:textId="77777777" w:rsidR="00B57970" w:rsidRPr="007028C8" w:rsidRDefault="00B57970" w:rsidP="00B57970">
            <w:pPr>
              <w:rPr>
                <w:sz w:val="20"/>
                <w:szCs w:val="20"/>
              </w:rPr>
            </w:pPr>
            <w:r w:rsidRPr="007028C8">
              <w:rPr>
                <w:sz w:val="20"/>
                <w:szCs w:val="20"/>
              </w:rPr>
              <w:t>Quebec, Canada</w:t>
            </w:r>
          </w:p>
        </w:tc>
        <w:tc>
          <w:tcPr>
            <w:tcW w:w="515" w:type="pct"/>
          </w:tcPr>
          <w:p w14:paraId="2545E7DD" w14:textId="77777777" w:rsidR="00B57970" w:rsidRPr="007028C8" w:rsidRDefault="00B57970" w:rsidP="00B57970">
            <w:pPr>
              <w:rPr>
                <w:sz w:val="20"/>
                <w:szCs w:val="20"/>
              </w:rPr>
            </w:pPr>
            <w:r w:rsidRPr="007028C8">
              <w:rPr>
                <w:sz w:val="20"/>
                <w:szCs w:val="20"/>
              </w:rPr>
              <w:t>Rivers</w:t>
            </w:r>
          </w:p>
        </w:tc>
        <w:tc>
          <w:tcPr>
            <w:tcW w:w="653" w:type="pct"/>
          </w:tcPr>
          <w:p w14:paraId="05DCE17B" w14:textId="77777777" w:rsidR="00B57970" w:rsidRPr="007028C8" w:rsidRDefault="00B57970" w:rsidP="00B57970">
            <w:pPr>
              <w:rPr>
                <w:sz w:val="20"/>
                <w:szCs w:val="20"/>
              </w:rPr>
            </w:pPr>
            <w:r w:rsidRPr="007028C8">
              <w:rPr>
                <w:sz w:val="20"/>
                <w:szCs w:val="20"/>
              </w:rPr>
              <w:t>Agricultural (Potato)</w:t>
            </w:r>
          </w:p>
        </w:tc>
        <w:tc>
          <w:tcPr>
            <w:tcW w:w="402" w:type="pct"/>
          </w:tcPr>
          <w:p w14:paraId="05C2D725" w14:textId="77777777" w:rsidR="00B57970" w:rsidRPr="007028C8" w:rsidRDefault="00B57970" w:rsidP="00B57970">
            <w:pPr>
              <w:rPr>
                <w:sz w:val="20"/>
                <w:szCs w:val="20"/>
              </w:rPr>
            </w:pPr>
            <w:r w:rsidRPr="007028C8">
              <w:rPr>
                <w:sz w:val="20"/>
                <w:szCs w:val="20"/>
              </w:rPr>
              <w:t>NA</w:t>
            </w:r>
          </w:p>
        </w:tc>
        <w:tc>
          <w:tcPr>
            <w:tcW w:w="502" w:type="pct"/>
          </w:tcPr>
          <w:p w14:paraId="1EC46768" w14:textId="77777777" w:rsidR="00B57970" w:rsidRPr="007028C8" w:rsidRDefault="00B57970" w:rsidP="00B57970">
            <w:pPr>
              <w:rPr>
                <w:sz w:val="20"/>
                <w:szCs w:val="20"/>
              </w:rPr>
            </w:pPr>
            <w:r w:rsidRPr="007028C8">
              <w:rPr>
                <w:sz w:val="20"/>
                <w:szCs w:val="20"/>
              </w:rPr>
              <w:t>NA</w:t>
            </w:r>
          </w:p>
        </w:tc>
        <w:tc>
          <w:tcPr>
            <w:tcW w:w="474" w:type="pct"/>
          </w:tcPr>
          <w:p w14:paraId="6FBFC6C3" w14:textId="77777777" w:rsidR="00B57970" w:rsidRPr="007028C8" w:rsidRDefault="00B57970" w:rsidP="00B57970">
            <w:pPr>
              <w:rPr>
                <w:sz w:val="20"/>
                <w:szCs w:val="20"/>
              </w:rPr>
            </w:pPr>
            <w:r w:rsidRPr="007028C8">
              <w:rPr>
                <w:sz w:val="20"/>
                <w:szCs w:val="20"/>
              </w:rPr>
              <w:t>1.5</w:t>
            </w:r>
          </w:p>
        </w:tc>
        <w:tc>
          <w:tcPr>
            <w:tcW w:w="423" w:type="pct"/>
          </w:tcPr>
          <w:p w14:paraId="2B3919B5" w14:textId="77777777" w:rsidR="00B57970" w:rsidRPr="007028C8" w:rsidRDefault="00B57970" w:rsidP="00B57970">
            <w:pPr>
              <w:rPr>
                <w:sz w:val="20"/>
                <w:szCs w:val="20"/>
              </w:rPr>
            </w:pPr>
            <w:r w:rsidRPr="007028C8">
              <w:rPr>
                <w:sz w:val="20"/>
                <w:szCs w:val="20"/>
              </w:rPr>
              <w:t>NA</w:t>
            </w:r>
          </w:p>
        </w:tc>
        <w:tc>
          <w:tcPr>
            <w:tcW w:w="714" w:type="pct"/>
          </w:tcPr>
          <w:p w14:paraId="489BF9C3" w14:textId="77777777" w:rsidR="00B57970" w:rsidRPr="007028C8" w:rsidRDefault="00B57970" w:rsidP="00B57970">
            <w:pPr>
              <w:rPr>
                <w:rFonts w:cs="Calibri"/>
                <w:sz w:val="20"/>
                <w:szCs w:val="20"/>
              </w:rPr>
            </w:pPr>
            <w:r w:rsidRPr="007028C8">
              <w:rPr>
                <w:rFonts w:cs="Calibri"/>
                <w:sz w:val="20"/>
                <w:szCs w:val="20"/>
              </w:rPr>
              <w:t>Giroux 2014 pers comm</w:t>
            </w:r>
          </w:p>
        </w:tc>
      </w:tr>
      <w:tr w:rsidR="00B57970" w:rsidRPr="007028C8" w14:paraId="1B240DC6" w14:textId="77777777" w:rsidTr="00DE7330">
        <w:tc>
          <w:tcPr>
            <w:tcW w:w="546" w:type="pct"/>
          </w:tcPr>
          <w:p w14:paraId="2A133C9D" w14:textId="77777777" w:rsidR="00B57970" w:rsidRPr="007028C8" w:rsidRDefault="00B57970" w:rsidP="00B57970">
            <w:pPr>
              <w:rPr>
                <w:sz w:val="20"/>
                <w:szCs w:val="20"/>
              </w:rPr>
            </w:pPr>
            <w:r w:rsidRPr="007028C8">
              <w:rPr>
                <w:sz w:val="20"/>
                <w:szCs w:val="20"/>
              </w:rPr>
              <w:t>Thiamethoxam</w:t>
            </w:r>
          </w:p>
        </w:tc>
        <w:tc>
          <w:tcPr>
            <w:tcW w:w="256" w:type="pct"/>
          </w:tcPr>
          <w:p w14:paraId="3F092C33" w14:textId="77777777" w:rsidR="00B57970" w:rsidRPr="007028C8" w:rsidRDefault="00B57970" w:rsidP="00B57970">
            <w:pPr>
              <w:rPr>
                <w:sz w:val="20"/>
                <w:szCs w:val="20"/>
              </w:rPr>
            </w:pPr>
            <w:r w:rsidRPr="007028C8">
              <w:rPr>
                <w:sz w:val="20"/>
                <w:szCs w:val="20"/>
              </w:rPr>
              <w:t>2008</w:t>
            </w:r>
          </w:p>
        </w:tc>
        <w:tc>
          <w:tcPr>
            <w:tcW w:w="515" w:type="pct"/>
          </w:tcPr>
          <w:p w14:paraId="5DF18036" w14:textId="77777777" w:rsidR="00B57970" w:rsidRPr="007028C8" w:rsidRDefault="00B57970" w:rsidP="00B57970">
            <w:pPr>
              <w:rPr>
                <w:sz w:val="20"/>
                <w:szCs w:val="20"/>
              </w:rPr>
            </w:pPr>
            <w:r w:rsidRPr="007028C8">
              <w:rPr>
                <w:sz w:val="20"/>
                <w:szCs w:val="20"/>
              </w:rPr>
              <w:t>Sweden</w:t>
            </w:r>
          </w:p>
        </w:tc>
        <w:tc>
          <w:tcPr>
            <w:tcW w:w="515" w:type="pct"/>
          </w:tcPr>
          <w:p w14:paraId="14D06FBC" w14:textId="77777777" w:rsidR="00B57970" w:rsidRPr="007028C8" w:rsidRDefault="00B57970" w:rsidP="00B57970">
            <w:pPr>
              <w:rPr>
                <w:sz w:val="20"/>
                <w:szCs w:val="20"/>
              </w:rPr>
            </w:pPr>
            <w:r w:rsidRPr="007028C8">
              <w:rPr>
                <w:sz w:val="20"/>
                <w:szCs w:val="20"/>
              </w:rPr>
              <w:t>Streams, rivers</w:t>
            </w:r>
          </w:p>
        </w:tc>
        <w:tc>
          <w:tcPr>
            <w:tcW w:w="653" w:type="pct"/>
          </w:tcPr>
          <w:p w14:paraId="1B5B4A27" w14:textId="77777777" w:rsidR="00B57970" w:rsidRPr="007028C8" w:rsidRDefault="00B57970" w:rsidP="00B57970">
            <w:pPr>
              <w:rPr>
                <w:sz w:val="20"/>
                <w:szCs w:val="20"/>
              </w:rPr>
            </w:pPr>
            <w:r w:rsidRPr="007028C8">
              <w:rPr>
                <w:sz w:val="20"/>
                <w:szCs w:val="20"/>
              </w:rPr>
              <w:t>Horticulture crops/ greenhouses</w:t>
            </w:r>
          </w:p>
        </w:tc>
        <w:tc>
          <w:tcPr>
            <w:tcW w:w="402" w:type="pct"/>
          </w:tcPr>
          <w:p w14:paraId="18387F41" w14:textId="77777777" w:rsidR="00B57970" w:rsidRPr="007028C8" w:rsidRDefault="00B57970" w:rsidP="00B57970">
            <w:pPr>
              <w:rPr>
                <w:sz w:val="20"/>
                <w:szCs w:val="20"/>
              </w:rPr>
            </w:pPr>
            <w:r w:rsidRPr="007028C8">
              <w:rPr>
                <w:sz w:val="20"/>
                <w:szCs w:val="20"/>
              </w:rPr>
              <w:t>0.003</w:t>
            </w:r>
          </w:p>
        </w:tc>
        <w:tc>
          <w:tcPr>
            <w:tcW w:w="502" w:type="pct"/>
          </w:tcPr>
          <w:p w14:paraId="4A76A639" w14:textId="77777777" w:rsidR="00B57970" w:rsidRPr="007028C8" w:rsidRDefault="00B57970" w:rsidP="00B57970">
            <w:pPr>
              <w:rPr>
                <w:sz w:val="20"/>
                <w:szCs w:val="20"/>
              </w:rPr>
            </w:pPr>
            <w:r w:rsidRPr="007028C8">
              <w:rPr>
                <w:sz w:val="20"/>
                <w:szCs w:val="20"/>
              </w:rPr>
              <w:t>NA</w:t>
            </w:r>
          </w:p>
        </w:tc>
        <w:tc>
          <w:tcPr>
            <w:tcW w:w="474" w:type="pct"/>
          </w:tcPr>
          <w:p w14:paraId="44D3A8BB" w14:textId="77777777" w:rsidR="00B57970" w:rsidRPr="007028C8" w:rsidRDefault="00B57970" w:rsidP="00B57970">
            <w:pPr>
              <w:rPr>
                <w:sz w:val="20"/>
                <w:szCs w:val="20"/>
              </w:rPr>
            </w:pPr>
            <w:r w:rsidRPr="007028C8">
              <w:rPr>
                <w:sz w:val="20"/>
                <w:szCs w:val="20"/>
              </w:rPr>
              <w:t>0.16</w:t>
            </w:r>
          </w:p>
        </w:tc>
        <w:tc>
          <w:tcPr>
            <w:tcW w:w="423" w:type="pct"/>
          </w:tcPr>
          <w:p w14:paraId="06FCE77A" w14:textId="77777777" w:rsidR="00B57970" w:rsidRPr="007028C8" w:rsidRDefault="00B57970" w:rsidP="00B57970">
            <w:pPr>
              <w:rPr>
                <w:sz w:val="20"/>
                <w:szCs w:val="20"/>
              </w:rPr>
            </w:pPr>
            <w:r w:rsidRPr="007028C8">
              <w:rPr>
                <w:sz w:val="20"/>
                <w:szCs w:val="20"/>
              </w:rPr>
              <w:t>3%</w:t>
            </w:r>
          </w:p>
        </w:tc>
        <w:tc>
          <w:tcPr>
            <w:tcW w:w="714" w:type="pct"/>
          </w:tcPr>
          <w:p w14:paraId="2F48E91F" w14:textId="4D616951" w:rsidR="00B57970" w:rsidRPr="007028C8" w:rsidRDefault="00B57970" w:rsidP="00B57970">
            <w:pPr>
              <w:rPr>
                <w:rFonts w:cs="Calibri"/>
                <w:sz w:val="20"/>
                <w:szCs w:val="20"/>
              </w:rPr>
            </w:pPr>
            <w:r w:rsidRPr="007028C8">
              <w:rPr>
                <w:rFonts w:cs="Calibri"/>
                <w:sz w:val="20"/>
                <w:szCs w:val="20"/>
              </w:rPr>
              <w:t>Kreuger</w:t>
            </w:r>
            <w:r w:rsidRPr="0053636F">
              <w:rPr>
                <w:rFonts w:cs="Calibri"/>
                <w:i/>
                <w:iCs/>
                <w:sz w:val="20"/>
                <w:szCs w:val="20"/>
              </w:rPr>
              <w:t xml:space="preserve"> et al</w:t>
            </w:r>
            <w:r w:rsidR="0053636F">
              <w:rPr>
                <w:rFonts w:cs="Calibri"/>
                <w:i/>
                <w:iCs/>
                <w:sz w:val="20"/>
                <w:szCs w:val="20"/>
              </w:rPr>
              <w:t>.</w:t>
            </w:r>
            <w:r w:rsidRPr="007028C8">
              <w:rPr>
                <w:rFonts w:cs="Calibri"/>
                <w:sz w:val="20"/>
                <w:szCs w:val="20"/>
              </w:rPr>
              <w:t xml:space="preserve"> 2010</w:t>
            </w:r>
          </w:p>
        </w:tc>
      </w:tr>
      <w:tr w:rsidR="00B57970" w:rsidRPr="007028C8" w14:paraId="78D50F94" w14:textId="77777777" w:rsidTr="00DE7330">
        <w:tc>
          <w:tcPr>
            <w:tcW w:w="546" w:type="pct"/>
          </w:tcPr>
          <w:p w14:paraId="513131A8" w14:textId="77777777" w:rsidR="00B57970" w:rsidRPr="007028C8" w:rsidRDefault="00B57970" w:rsidP="00B57970">
            <w:pPr>
              <w:rPr>
                <w:sz w:val="20"/>
                <w:szCs w:val="20"/>
              </w:rPr>
            </w:pPr>
            <w:r w:rsidRPr="007028C8">
              <w:rPr>
                <w:sz w:val="20"/>
                <w:szCs w:val="20"/>
              </w:rPr>
              <w:t>Thiamethoxam</w:t>
            </w:r>
          </w:p>
        </w:tc>
        <w:tc>
          <w:tcPr>
            <w:tcW w:w="256" w:type="pct"/>
          </w:tcPr>
          <w:p w14:paraId="674AD3DE" w14:textId="77777777" w:rsidR="00B57970" w:rsidRPr="007028C8" w:rsidRDefault="00B57970" w:rsidP="00B57970">
            <w:pPr>
              <w:rPr>
                <w:sz w:val="20"/>
                <w:szCs w:val="20"/>
              </w:rPr>
            </w:pPr>
            <w:r w:rsidRPr="007028C8">
              <w:rPr>
                <w:sz w:val="20"/>
                <w:szCs w:val="20"/>
              </w:rPr>
              <w:t>2005</w:t>
            </w:r>
          </w:p>
        </w:tc>
        <w:tc>
          <w:tcPr>
            <w:tcW w:w="515" w:type="pct"/>
          </w:tcPr>
          <w:p w14:paraId="3CAEE3AF" w14:textId="77777777" w:rsidR="00B57970" w:rsidRPr="007028C8" w:rsidRDefault="00B57970" w:rsidP="00B57970">
            <w:pPr>
              <w:rPr>
                <w:sz w:val="20"/>
                <w:szCs w:val="20"/>
              </w:rPr>
            </w:pPr>
            <w:r w:rsidRPr="007028C8">
              <w:rPr>
                <w:sz w:val="20"/>
                <w:szCs w:val="20"/>
              </w:rPr>
              <w:t>Texas, USA</w:t>
            </w:r>
          </w:p>
        </w:tc>
        <w:tc>
          <w:tcPr>
            <w:tcW w:w="515" w:type="pct"/>
          </w:tcPr>
          <w:p w14:paraId="1C6189F7" w14:textId="77777777" w:rsidR="00B57970" w:rsidRPr="007028C8" w:rsidRDefault="00B57970" w:rsidP="00B57970">
            <w:pPr>
              <w:rPr>
                <w:sz w:val="20"/>
                <w:szCs w:val="20"/>
              </w:rPr>
            </w:pPr>
            <w:r w:rsidRPr="007028C8">
              <w:rPr>
                <w:sz w:val="20"/>
                <w:szCs w:val="20"/>
              </w:rPr>
              <w:t>Playa wetlands</w:t>
            </w:r>
          </w:p>
        </w:tc>
        <w:tc>
          <w:tcPr>
            <w:tcW w:w="653" w:type="pct"/>
          </w:tcPr>
          <w:p w14:paraId="64F696F4" w14:textId="77777777" w:rsidR="00B57970" w:rsidRPr="007028C8" w:rsidRDefault="00B57970" w:rsidP="00B57970">
            <w:pPr>
              <w:rPr>
                <w:sz w:val="20"/>
                <w:szCs w:val="20"/>
              </w:rPr>
            </w:pPr>
            <w:r w:rsidRPr="007028C8">
              <w:rPr>
                <w:sz w:val="20"/>
                <w:szCs w:val="20"/>
              </w:rPr>
              <w:t>Agricultural (cotton)/ Grassland/</w:t>
            </w:r>
          </w:p>
        </w:tc>
        <w:tc>
          <w:tcPr>
            <w:tcW w:w="402" w:type="pct"/>
          </w:tcPr>
          <w:p w14:paraId="630A00C1" w14:textId="77777777" w:rsidR="00B57970" w:rsidRPr="007028C8" w:rsidRDefault="00B57970" w:rsidP="00B57970">
            <w:pPr>
              <w:rPr>
                <w:sz w:val="20"/>
                <w:szCs w:val="20"/>
              </w:rPr>
            </w:pPr>
            <w:r w:rsidRPr="007028C8">
              <w:rPr>
                <w:sz w:val="20"/>
                <w:szCs w:val="20"/>
              </w:rPr>
              <w:t>0.1</w:t>
            </w:r>
          </w:p>
        </w:tc>
        <w:tc>
          <w:tcPr>
            <w:tcW w:w="502" w:type="pct"/>
          </w:tcPr>
          <w:p w14:paraId="11CBDE75" w14:textId="77777777" w:rsidR="00B57970" w:rsidRPr="007028C8" w:rsidRDefault="00B57970" w:rsidP="00B57970">
            <w:pPr>
              <w:rPr>
                <w:rFonts w:cs="AdvGulliv-R"/>
                <w:sz w:val="20"/>
                <w:szCs w:val="20"/>
              </w:rPr>
            </w:pPr>
            <w:r w:rsidRPr="007028C8">
              <w:rPr>
                <w:rFonts w:cs="AdvGulliv-R"/>
                <w:sz w:val="20"/>
                <w:szCs w:val="20"/>
              </w:rPr>
              <w:t>3.6</w:t>
            </w:r>
          </w:p>
        </w:tc>
        <w:tc>
          <w:tcPr>
            <w:tcW w:w="474" w:type="pct"/>
          </w:tcPr>
          <w:p w14:paraId="5521E906" w14:textId="77777777" w:rsidR="00B57970" w:rsidRPr="007028C8" w:rsidRDefault="00B57970" w:rsidP="00B57970">
            <w:pPr>
              <w:rPr>
                <w:rFonts w:cs="AdvGulliv-R"/>
                <w:sz w:val="20"/>
                <w:szCs w:val="20"/>
              </w:rPr>
            </w:pPr>
            <w:r w:rsidRPr="007028C8">
              <w:rPr>
                <w:rFonts w:cs="AdvGulliv-R"/>
                <w:sz w:val="20"/>
                <w:szCs w:val="20"/>
              </w:rPr>
              <w:t>20.1/</w:t>
            </w:r>
            <w:r w:rsidRPr="007028C8">
              <w:rPr>
                <w:rFonts w:cs="AdvGulliv-R"/>
                <w:sz w:val="20"/>
                <w:szCs w:val="20"/>
              </w:rPr>
              <w:br/>
              <w:t>225</w:t>
            </w:r>
          </w:p>
          <w:p w14:paraId="10F55FB4" w14:textId="77777777" w:rsidR="00B57970" w:rsidRPr="007028C8" w:rsidRDefault="00B57970" w:rsidP="00B57970">
            <w:pPr>
              <w:rPr>
                <w:sz w:val="20"/>
                <w:szCs w:val="20"/>
              </w:rPr>
            </w:pPr>
          </w:p>
        </w:tc>
        <w:tc>
          <w:tcPr>
            <w:tcW w:w="423" w:type="pct"/>
          </w:tcPr>
          <w:p w14:paraId="30652BAC" w14:textId="77777777" w:rsidR="00B57970" w:rsidRPr="007028C8" w:rsidRDefault="00B57970" w:rsidP="00B57970">
            <w:pPr>
              <w:rPr>
                <w:sz w:val="20"/>
                <w:szCs w:val="20"/>
              </w:rPr>
            </w:pPr>
            <w:r w:rsidRPr="007028C8">
              <w:rPr>
                <w:sz w:val="20"/>
                <w:szCs w:val="20"/>
              </w:rPr>
              <w:t>31%/</w:t>
            </w:r>
          </w:p>
          <w:p w14:paraId="34493090" w14:textId="77777777" w:rsidR="00B57970" w:rsidRPr="007028C8" w:rsidRDefault="00B57970" w:rsidP="00B57970">
            <w:pPr>
              <w:rPr>
                <w:sz w:val="20"/>
                <w:szCs w:val="20"/>
              </w:rPr>
            </w:pPr>
            <w:r w:rsidRPr="007028C8">
              <w:rPr>
                <w:sz w:val="20"/>
                <w:szCs w:val="20"/>
              </w:rPr>
              <w:t>25%</w:t>
            </w:r>
          </w:p>
        </w:tc>
        <w:tc>
          <w:tcPr>
            <w:tcW w:w="714" w:type="pct"/>
          </w:tcPr>
          <w:p w14:paraId="76D8DE4C" w14:textId="1BDECCBF" w:rsidR="00B57970" w:rsidRPr="007028C8" w:rsidRDefault="00B57970" w:rsidP="00B57970">
            <w:pPr>
              <w:rPr>
                <w:rFonts w:cs="Calibri"/>
                <w:sz w:val="20"/>
                <w:szCs w:val="20"/>
              </w:rPr>
            </w:pPr>
            <w:r w:rsidRPr="007028C8">
              <w:rPr>
                <w:rFonts w:cs="Calibri"/>
                <w:sz w:val="20"/>
                <w:szCs w:val="20"/>
              </w:rPr>
              <w:t xml:space="preserve">Anderson </w:t>
            </w:r>
            <w:r w:rsidRPr="0053636F">
              <w:rPr>
                <w:rFonts w:cs="Calibri"/>
                <w:i/>
                <w:iCs/>
                <w:sz w:val="20"/>
                <w:szCs w:val="20"/>
              </w:rPr>
              <w:t>et al</w:t>
            </w:r>
            <w:r w:rsidR="0053636F">
              <w:rPr>
                <w:rFonts w:cs="Calibri"/>
                <w:i/>
                <w:iCs/>
                <w:sz w:val="20"/>
                <w:szCs w:val="20"/>
              </w:rPr>
              <w:t>.</w:t>
            </w:r>
            <w:r w:rsidRPr="007028C8">
              <w:rPr>
                <w:rFonts w:cs="Calibri"/>
                <w:sz w:val="20"/>
                <w:szCs w:val="20"/>
              </w:rPr>
              <w:t xml:space="preserve"> 2013</w:t>
            </w:r>
          </w:p>
        </w:tc>
      </w:tr>
      <w:tr w:rsidR="00B57970" w:rsidRPr="007028C8" w14:paraId="38E440AD" w14:textId="77777777" w:rsidTr="00DE7330">
        <w:tc>
          <w:tcPr>
            <w:tcW w:w="546" w:type="pct"/>
          </w:tcPr>
          <w:p w14:paraId="20C39847" w14:textId="77777777" w:rsidR="00B57970" w:rsidRPr="007028C8" w:rsidRDefault="00B57970" w:rsidP="00B57970">
            <w:pPr>
              <w:rPr>
                <w:sz w:val="20"/>
                <w:szCs w:val="20"/>
              </w:rPr>
            </w:pPr>
            <w:r w:rsidRPr="007028C8">
              <w:rPr>
                <w:sz w:val="20"/>
                <w:szCs w:val="20"/>
              </w:rPr>
              <w:t>Thiamethoxam</w:t>
            </w:r>
          </w:p>
        </w:tc>
        <w:tc>
          <w:tcPr>
            <w:tcW w:w="256" w:type="pct"/>
          </w:tcPr>
          <w:p w14:paraId="0AB5AAD9" w14:textId="77777777" w:rsidR="00B57970" w:rsidRPr="007028C8" w:rsidRDefault="00B57970" w:rsidP="00B57970">
            <w:pPr>
              <w:rPr>
                <w:sz w:val="20"/>
                <w:szCs w:val="20"/>
              </w:rPr>
            </w:pPr>
            <w:r w:rsidRPr="007028C8">
              <w:rPr>
                <w:sz w:val="20"/>
                <w:szCs w:val="20"/>
              </w:rPr>
              <w:t>2013</w:t>
            </w:r>
          </w:p>
        </w:tc>
        <w:tc>
          <w:tcPr>
            <w:tcW w:w="515" w:type="pct"/>
          </w:tcPr>
          <w:p w14:paraId="7667EC25" w14:textId="77777777" w:rsidR="00B57970" w:rsidRPr="007028C8" w:rsidRDefault="00B57970" w:rsidP="00B57970">
            <w:pPr>
              <w:rPr>
                <w:sz w:val="20"/>
                <w:szCs w:val="20"/>
              </w:rPr>
            </w:pPr>
            <w:r w:rsidRPr="007028C8">
              <w:rPr>
                <w:sz w:val="20"/>
                <w:szCs w:val="20"/>
              </w:rPr>
              <w:t>Sydney, Australia</w:t>
            </w:r>
          </w:p>
        </w:tc>
        <w:tc>
          <w:tcPr>
            <w:tcW w:w="515" w:type="pct"/>
          </w:tcPr>
          <w:p w14:paraId="0BDB32D1" w14:textId="77777777" w:rsidR="00B57970" w:rsidRPr="007028C8" w:rsidRDefault="00B57970" w:rsidP="00B57970">
            <w:pPr>
              <w:rPr>
                <w:sz w:val="20"/>
                <w:szCs w:val="20"/>
              </w:rPr>
            </w:pPr>
            <w:r w:rsidRPr="007028C8">
              <w:rPr>
                <w:sz w:val="20"/>
                <w:szCs w:val="20"/>
              </w:rPr>
              <w:t>Rivers</w:t>
            </w:r>
          </w:p>
        </w:tc>
        <w:tc>
          <w:tcPr>
            <w:tcW w:w="653" w:type="pct"/>
          </w:tcPr>
          <w:p w14:paraId="73393AA3" w14:textId="77777777" w:rsidR="00B57970" w:rsidRPr="007028C8" w:rsidRDefault="00B57970" w:rsidP="00B57970">
            <w:pPr>
              <w:rPr>
                <w:sz w:val="20"/>
                <w:szCs w:val="20"/>
              </w:rPr>
            </w:pPr>
            <w:r w:rsidRPr="007028C8">
              <w:rPr>
                <w:sz w:val="20"/>
                <w:szCs w:val="20"/>
              </w:rPr>
              <w:t>Agricultural</w:t>
            </w:r>
            <w:r w:rsidRPr="007028C8">
              <w:rPr>
                <w:rFonts w:eastAsia="AdvGulliv-R" w:cs="AdvGulliv-R"/>
                <w:sz w:val="20"/>
                <w:szCs w:val="20"/>
              </w:rPr>
              <w:t xml:space="preserve"> (vegetable and horticultural crops)</w:t>
            </w:r>
          </w:p>
        </w:tc>
        <w:tc>
          <w:tcPr>
            <w:tcW w:w="402" w:type="pct"/>
          </w:tcPr>
          <w:p w14:paraId="758B80B0" w14:textId="77777777" w:rsidR="00B57970" w:rsidRPr="007028C8" w:rsidRDefault="00B57970" w:rsidP="00B57970">
            <w:pPr>
              <w:rPr>
                <w:sz w:val="20"/>
                <w:szCs w:val="20"/>
              </w:rPr>
            </w:pPr>
            <w:r w:rsidRPr="007028C8">
              <w:rPr>
                <w:sz w:val="20"/>
                <w:szCs w:val="20"/>
              </w:rPr>
              <w:t>0.014</w:t>
            </w:r>
          </w:p>
        </w:tc>
        <w:tc>
          <w:tcPr>
            <w:tcW w:w="502" w:type="pct"/>
          </w:tcPr>
          <w:p w14:paraId="03D4DB59" w14:textId="77777777" w:rsidR="00B57970" w:rsidRPr="007028C8" w:rsidRDefault="00B57970" w:rsidP="00B57970">
            <w:pPr>
              <w:rPr>
                <w:sz w:val="20"/>
                <w:szCs w:val="20"/>
              </w:rPr>
            </w:pPr>
            <w:r w:rsidRPr="007028C8">
              <w:rPr>
                <w:rFonts w:eastAsia="AdvGulliv-R" w:cs="AdvGulliv-R"/>
                <w:sz w:val="20"/>
                <w:szCs w:val="20"/>
              </w:rPr>
              <w:t>0.10 ± 0.07</w:t>
            </w:r>
          </w:p>
        </w:tc>
        <w:tc>
          <w:tcPr>
            <w:tcW w:w="474" w:type="pct"/>
          </w:tcPr>
          <w:p w14:paraId="17EF9F1B" w14:textId="77777777" w:rsidR="00B57970" w:rsidRPr="007028C8" w:rsidRDefault="00B57970" w:rsidP="00B57970">
            <w:pPr>
              <w:rPr>
                <w:sz w:val="20"/>
                <w:szCs w:val="20"/>
              </w:rPr>
            </w:pPr>
            <w:r w:rsidRPr="007028C8">
              <w:rPr>
                <w:rFonts w:eastAsia="AdvGulliv-R" w:cs="AdvGulliv-R"/>
                <w:sz w:val="20"/>
                <w:szCs w:val="20"/>
              </w:rPr>
              <w:t>0.17</w:t>
            </w:r>
          </w:p>
        </w:tc>
        <w:tc>
          <w:tcPr>
            <w:tcW w:w="423" w:type="pct"/>
          </w:tcPr>
          <w:p w14:paraId="5EB78402" w14:textId="77777777" w:rsidR="00B57970" w:rsidRPr="007028C8" w:rsidRDefault="00B57970" w:rsidP="00B57970">
            <w:pPr>
              <w:rPr>
                <w:sz w:val="20"/>
                <w:szCs w:val="20"/>
              </w:rPr>
            </w:pPr>
            <w:r w:rsidRPr="007028C8">
              <w:rPr>
                <w:sz w:val="20"/>
                <w:szCs w:val="20"/>
              </w:rPr>
              <w:t>27%</w:t>
            </w:r>
          </w:p>
        </w:tc>
        <w:tc>
          <w:tcPr>
            <w:tcW w:w="714" w:type="pct"/>
          </w:tcPr>
          <w:p w14:paraId="41501938" w14:textId="77777777" w:rsidR="00B57970" w:rsidRPr="007028C8" w:rsidRDefault="00B57970" w:rsidP="00B57970">
            <w:pPr>
              <w:rPr>
                <w:rFonts w:cs="Calibri"/>
                <w:sz w:val="20"/>
                <w:szCs w:val="20"/>
              </w:rPr>
            </w:pPr>
            <w:r w:rsidRPr="007028C8">
              <w:rPr>
                <w:rFonts w:cs="Calibri"/>
                <w:sz w:val="20"/>
                <w:szCs w:val="20"/>
              </w:rPr>
              <w:t>Sanchez-Bayo and Hyne 2014</w:t>
            </w:r>
          </w:p>
        </w:tc>
      </w:tr>
      <w:tr w:rsidR="00B57970" w:rsidRPr="007028C8" w14:paraId="24C173B0" w14:textId="77777777" w:rsidTr="00DE7330">
        <w:tc>
          <w:tcPr>
            <w:tcW w:w="546" w:type="pct"/>
          </w:tcPr>
          <w:p w14:paraId="279203B1" w14:textId="77777777" w:rsidR="00B57970" w:rsidRPr="007028C8" w:rsidRDefault="00B57970" w:rsidP="00B57970">
            <w:pPr>
              <w:rPr>
                <w:sz w:val="20"/>
                <w:szCs w:val="20"/>
              </w:rPr>
            </w:pPr>
            <w:r w:rsidRPr="007028C8">
              <w:rPr>
                <w:sz w:val="20"/>
                <w:szCs w:val="20"/>
              </w:rPr>
              <w:t>Thiamethoxam</w:t>
            </w:r>
          </w:p>
        </w:tc>
        <w:tc>
          <w:tcPr>
            <w:tcW w:w="256" w:type="pct"/>
          </w:tcPr>
          <w:p w14:paraId="27A464C9" w14:textId="77777777" w:rsidR="00B57970" w:rsidRPr="007028C8" w:rsidRDefault="00B57970" w:rsidP="00B57970">
            <w:pPr>
              <w:rPr>
                <w:sz w:val="20"/>
                <w:szCs w:val="20"/>
              </w:rPr>
            </w:pPr>
            <w:r w:rsidRPr="007028C8">
              <w:rPr>
                <w:sz w:val="20"/>
                <w:szCs w:val="20"/>
              </w:rPr>
              <w:t>2012-13</w:t>
            </w:r>
          </w:p>
        </w:tc>
        <w:tc>
          <w:tcPr>
            <w:tcW w:w="515" w:type="pct"/>
          </w:tcPr>
          <w:p w14:paraId="68BB316F" w14:textId="77777777" w:rsidR="00B57970" w:rsidRPr="007028C8" w:rsidRDefault="00B57970" w:rsidP="00B57970">
            <w:pPr>
              <w:rPr>
                <w:sz w:val="20"/>
                <w:szCs w:val="20"/>
              </w:rPr>
            </w:pPr>
            <w:r w:rsidRPr="007028C8">
              <w:rPr>
                <w:sz w:val="20"/>
                <w:szCs w:val="20"/>
              </w:rPr>
              <w:t>Quebec, Canada</w:t>
            </w:r>
          </w:p>
        </w:tc>
        <w:tc>
          <w:tcPr>
            <w:tcW w:w="515" w:type="pct"/>
          </w:tcPr>
          <w:p w14:paraId="706454ED" w14:textId="77777777" w:rsidR="00B57970" w:rsidRPr="007028C8" w:rsidRDefault="00B57970" w:rsidP="00B57970">
            <w:pPr>
              <w:rPr>
                <w:sz w:val="20"/>
                <w:szCs w:val="20"/>
              </w:rPr>
            </w:pPr>
            <w:r w:rsidRPr="007028C8">
              <w:rPr>
                <w:sz w:val="20"/>
                <w:szCs w:val="20"/>
              </w:rPr>
              <w:t>Ponded water on fields</w:t>
            </w:r>
          </w:p>
        </w:tc>
        <w:tc>
          <w:tcPr>
            <w:tcW w:w="653" w:type="pct"/>
          </w:tcPr>
          <w:p w14:paraId="541AEDA0" w14:textId="77777777" w:rsidR="00B57970" w:rsidRPr="007028C8" w:rsidRDefault="00B57970" w:rsidP="00B57970">
            <w:pPr>
              <w:rPr>
                <w:sz w:val="20"/>
                <w:szCs w:val="20"/>
              </w:rPr>
            </w:pPr>
            <w:r w:rsidRPr="007028C8">
              <w:rPr>
                <w:sz w:val="20"/>
                <w:szCs w:val="20"/>
              </w:rPr>
              <w:t>Agricultural (corn)- during and post seeding</w:t>
            </w:r>
          </w:p>
        </w:tc>
        <w:tc>
          <w:tcPr>
            <w:tcW w:w="402" w:type="pct"/>
          </w:tcPr>
          <w:p w14:paraId="281AF1C3" w14:textId="77777777" w:rsidR="00B57970" w:rsidRPr="007028C8" w:rsidRDefault="00B57970" w:rsidP="00B57970">
            <w:pPr>
              <w:rPr>
                <w:sz w:val="20"/>
                <w:szCs w:val="20"/>
              </w:rPr>
            </w:pPr>
            <w:r w:rsidRPr="007028C8">
              <w:rPr>
                <w:sz w:val="20"/>
                <w:szCs w:val="20"/>
              </w:rPr>
              <w:t>0.1</w:t>
            </w:r>
          </w:p>
        </w:tc>
        <w:tc>
          <w:tcPr>
            <w:tcW w:w="502" w:type="pct"/>
          </w:tcPr>
          <w:p w14:paraId="2CB98921" w14:textId="77777777" w:rsidR="00B57970" w:rsidRPr="007028C8" w:rsidRDefault="00B57970" w:rsidP="00B57970">
            <w:pPr>
              <w:rPr>
                <w:sz w:val="20"/>
                <w:szCs w:val="20"/>
              </w:rPr>
            </w:pPr>
            <w:r w:rsidRPr="007028C8">
              <w:rPr>
                <w:sz w:val="20"/>
                <w:szCs w:val="20"/>
              </w:rPr>
              <w:t>7.7</w:t>
            </w:r>
          </w:p>
        </w:tc>
        <w:tc>
          <w:tcPr>
            <w:tcW w:w="474" w:type="pct"/>
          </w:tcPr>
          <w:p w14:paraId="64CE6ECF" w14:textId="77777777" w:rsidR="00B57970" w:rsidRPr="007028C8" w:rsidRDefault="00B57970" w:rsidP="00B57970">
            <w:pPr>
              <w:rPr>
                <w:sz w:val="20"/>
                <w:szCs w:val="20"/>
              </w:rPr>
            </w:pPr>
            <w:r w:rsidRPr="007028C8">
              <w:rPr>
                <w:sz w:val="20"/>
                <w:szCs w:val="20"/>
              </w:rPr>
              <w:t xml:space="preserve">63.4 </w:t>
            </w:r>
          </w:p>
        </w:tc>
        <w:tc>
          <w:tcPr>
            <w:tcW w:w="423" w:type="pct"/>
          </w:tcPr>
          <w:p w14:paraId="5E7DE166" w14:textId="77777777" w:rsidR="00B57970" w:rsidRPr="007028C8" w:rsidRDefault="00B57970" w:rsidP="00B57970">
            <w:pPr>
              <w:rPr>
                <w:sz w:val="20"/>
                <w:szCs w:val="20"/>
              </w:rPr>
            </w:pPr>
            <w:r w:rsidRPr="007028C8">
              <w:rPr>
                <w:sz w:val="20"/>
                <w:szCs w:val="20"/>
              </w:rPr>
              <w:t>72–100%</w:t>
            </w:r>
          </w:p>
        </w:tc>
        <w:tc>
          <w:tcPr>
            <w:tcW w:w="714" w:type="pct"/>
          </w:tcPr>
          <w:p w14:paraId="1E3CFCF8" w14:textId="7D557DB6" w:rsidR="00B57970" w:rsidRPr="007028C8" w:rsidRDefault="00B57970" w:rsidP="00B57970">
            <w:pPr>
              <w:rPr>
                <w:rFonts w:cs="Calibri"/>
                <w:sz w:val="20"/>
                <w:szCs w:val="20"/>
              </w:rPr>
            </w:pPr>
            <w:r w:rsidRPr="007028C8">
              <w:rPr>
                <w:rFonts w:cs="Calibri"/>
                <w:sz w:val="20"/>
                <w:szCs w:val="20"/>
              </w:rPr>
              <w:t>Samson-Roberts</w:t>
            </w:r>
            <w:r w:rsidRPr="0053636F">
              <w:rPr>
                <w:rFonts w:cs="Calibri"/>
                <w:i/>
                <w:iCs/>
                <w:sz w:val="20"/>
                <w:szCs w:val="20"/>
              </w:rPr>
              <w:t xml:space="preserve"> et al</w:t>
            </w:r>
            <w:r w:rsidR="0053636F">
              <w:rPr>
                <w:rFonts w:cs="Calibri"/>
                <w:i/>
                <w:iCs/>
                <w:sz w:val="20"/>
                <w:szCs w:val="20"/>
              </w:rPr>
              <w:t>.</w:t>
            </w:r>
            <w:r w:rsidRPr="0053636F">
              <w:rPr>
                <w:rFonts w:cs="Calibri"/>
                <w:i/>
                <w:iCs/>
                <w:sz w:val="20"/>
                <w:szCs w:val="20"/>
              </w:rPr>
              <w:t xml:space="preserve"> </w:t>
            </w:r>
            <w:r w:rsidRPr="007028C8">
              <w:rPr>
                <w:rFonts w:cs="Calibri"/>
                <w:sz w:val="20"/>
                <w:szCs w:val="20"/>
              </w:rPr>
              <w:t>(submitted)</w:t>
            </w:r>
          </w:p>
        </w:tc>
      </w:tr>
      <w:tr w:rsidR="00B57970" w:rsidRPr="007028C8" w14:paraId="0822764D" w14:textId="77777777" w:rsidTr="00DE7330">
        <w:tc>
          <w:tcPr>
            <w:tcW w:w="546" w:type="pct"/>
          </w:tcPr>
          <w:p w14:paraId="2C7FE641" w14:textId="77777777" w:rsidR="00B57970" w:rsidRPr="007028C8" w:rsidRDefault="00B57970" w:rsidP="00B57970">
            <w:pPr>
              <w:rPr>
                <w:sz w:val="20"/>
                <w:szCs w:val="20"/>
              </w:rPr>
            </w:pPr>
            <w:r w:rsidRPr="007028C8">
              <w:rPr>
                <w:sz w:val="20"/>
                <w:szCs w:val="20"/>
              </w:rPr>
              <w:t>Thiamethoxam</w:t>
            </w:r>
          </w:p>
        </w:tc>
        <w:tc>
          <w:tcPr>
            <w:tcW w:w="256" w:type="pct"/>
          </w:tcPr>
          <w:p w14:paraId="41B111BF" w14:textId="77777777" w:rsidR="00B57970" w:rsidRPr="007028C8" w:rsidRDefault="00B57970" w:rsidP="00B57970">
            <w:pPr>
              <w:rPr>
                <w:sz w:val="20"/>
                <w:szCs w:val="20"/>
              </w:rPr>
            </w:pPr>
            <w:r w:rsidRPr="007028C8">
              <w:rPr>
                <w:sz w:val="20"/>
                <w:szCs w:val="20"/>
              </w:rPr>
              <w:t>2012-13</w:t>
            </w:r>
          </w:p>
        </w:tc>
        <w:tc>
          <w:tcPr>
            <w:tcW w:w="515" w:type="pct"/>
          </w:tcPr>
          <w:p w14:paraId="4102A6D3" w14:textId="77777777" w:rsidR="00B57970" w:rsidRPr="007028C8" w:rsidRDefault="00B57970" w:rsidP="00B57970">
            <w:pPr>
              <w:rPr>
                <w:sz w:val="20"/>
                <w:szCs w:val="20"/>
              </w:rPr>
            </w:pPr>
            <w:r w:rsidRPr="007028C8">
              <w:rPr>
                <w:sz w:val="20"/>
                <w:szCs w:val="20"/>
              </w:rPr>
              <w:t>Saskatchewan, Canada</w:t>
            </w:r>
          </w:p>
        </w:tc>
        <w:tc>
          <w:tcPr>
            <w:tcW w:w="515" w:type="pct"/>
          </w:tcPr>
          <w:p w14:paraId="1DC6CFB6" w14:textId="77777777" w:rsidR="00B57970" w:rsidRPr="007028C8" w:rsidRDefault="00B57970" w:rsidP="00B57970">
            <w:pPr>
              <w:rPr>
                <w:sz w:val="20"/>
                <w:szCs w:val="20"/>
              </w:rPr>
            </w:pPr>
            <w:r w:rsidRPr="007028C8">
              <w:rPr>
                <w:sz w:val="20"/>
                <w:szCs w:val="20"/>
              </w:rPr>
              <w:t>Prairie wetlands</w:t>
            </w:r>
          </w:p>
        </w:tc>
        <w:tc>
          <w:tcPr>
            <w:tcW w:w="653" w:type="pct"/>
          </w:tcPr>
          <w:p w14:paraId="6F1B3189" w14:textId="77777777" w:rsidR="00B57970" w:rsidRPr="007028C8" w:rsidRDefault="00B57970" w:rsidP="00B57970">
            <w:pPr>
              <w:rPr>
                <w:sz w:val="20"/>
                <w:szCs w:val="20"/>
              </w:rPr>
            </w:pPr>
            <w:r w:rsidRPr="007028C8">
              <w:rPr>
                <w:sz w:val="20"/>
                <w:szCs w:val="20"/>
              </w:rPr>
              <w:t>Agricultural (canola, cereals, grasslands)</w:t>
            </w:r>
          </w:p>
        </w:tc>
        <w:tc>
          <w:tcPr>
            <w:tcW w:w="402" w:type="pct"/>
          </w:tcPr>
          <w:p w14:paraId="01484C5C" w14:textId="77777777" w:rsidR="00B57970" w:rsidRPr="007028C8" w:rsidRDefault="00B57970" w:rsidP="00B57970">
            <w:pPr>
              <w:rPr>
                <w:sz w:val="20"/>
                <w:szCs w:val="20"/>
              </w:rPr>
            </w:pPr>
            <w:r w:rsidRPr="007028C8">
              <w:rPr>
                <w:sz w:val="20"/>
                <w:szCs w:val="20"/>
              </w:rPr>
              <w:t>0.0018</w:t>
            </w:r>
          </w:p>
        </w:tc>
        <w:tc>
          <w:tcPr>
            <w:tcW w:w="502" w:type="pct"/>
          </w:tcPr>
          <w:p w14:paraId="4DA61500" w14:textId="77777777" w:rsidR="00B57970" w:rsidRPr="007028C8" w:rsidRDefault="00B57970" w:rsidP="00B57970">
            <w:pPr>
              <w:rPr>
                <w:sz w:val="20"/>
                <w:szCs w:val="20"/>
              </w:rPr>
            </w:pPr>
            <w:r w:rsidRPr="007028C8">
              <w:rPr>
                <w:sz w:val="20"/>
                <w:szCs w:val="20"/>
              </w:rPr>
              <w:t>0.004 – 0.077*</w:t>
            </w:r>
          </w:p>
        </w:tc>
        <w:tc>
          <w:tcPr>
            <w:tcW w:w="474" w:type="pct"/>
          </w:tcPr>
          <w:p w14:paraId="778087F3" w14:textId="77777777" w:rsidR="00B57970" w:rsidRPr="007028C8" w:rsidRDefault="00B57970" w:rsidP="00B57970">
            <w:pPr>
              <w:rPr>
                <w:sz w:val="20"/>
                <w:szCs w:val="20"/>
              </w:rPr>
            </w:pPr>
            <w:r w:rsidRPr="007028C8">
              <w:rPr>
                <w:sz w:val="20"/>
                <w:szCs w:val="20"/>
              </w:rPr>
              <w:t>ND – 1.49</w:t>
            </w:r>
          </w:p>
        </w:tc>
        <w:tc>
          <w:tcPr>
            <w:tcW w:w="423" w:type="pct"/>
          </w:tcPr>
          <w:p w14:paraId="18EC709D" w14:textId="77777777" w:rsidR="00B57970" w:rsidRPr="007028C8" w:rsidRDefault="00B57970" w:rsidP="00B57970">
            <w:pPr>
              <w:rPr>
                <w:sz w:val="20"/>
                <w:szCs w:val="20"/>
              </w:rPr>
            </w:pPr>
            <w:r w:rsidRPr="007028C8">
              <w:rPr>
                <w:sz w:val="20"/>
                <w:szCs w:val="20"/>
              </w:rPr>
              <w:t>6–23%</w:t>
            </w:r>
          </w:p>
        </w:tc>
        <w:tc>
          <w:tcPr>
            <w:tcW w:w="714" w:type="pct"/>
          </w:tcPr>
          <w:p w14:paraId="41A8E9E9" w14:textId="77777777" w:rsidR="00B57970" w:rsidRPr="007028C8" w:rsidRDefault="00B57970" w:rsidP="00B57970">
            <w:pPr>
              <w:rPr>
                <w:rFonts w:cs="Calibri"/>
                <w:sz w:val="20"/>
                <w:szCs w:val="20"/>
              </w:rPr>
            </w:pPr>
            <w:r w:rsidRPr="007028C8">
              <w:rPr>
                <w:rFonts w:cs="Calibri"/>
                <w:sz w:val="20"/>
                <w:szCs w:val="20"/>
              </w:rPr>
              <w:t xml:space="preserve">Main </w:t>
            </w:r>
            <w:r w:rsidRPr="0053636F">
              <w:rPr>
                <w:rFonts w:cs="Calibri"/>
                <w:i/>
                <w:iCs/>
                <w:sz w:val="20"/>
                <w:szCs w:val="20"/>
              </w:rPr>
              <w:t>et al.</w:t>
            </w:r>
            <w:r w:rsidRPr="007028C8">
              <w:rPr>
                <w:rFonts w:cs="Calibri"/>
                <w:sz w:val="20"/>
                <w:szCs w:val="20"/>
              </w:rPr>
              <w:t xml:space="preserve"> 2014</w:t>
            </w:r>
          </w:p>
        </w:tc>
      </w:tr>
      <w:tr w:rsidR="00B57970" w:rsidRPr="007028C8" w14:paraId="5BE89786" w14:textId="77777777" w:rsidTr="00DE7330">
        <w:tc>
          <w:tcPr>
            <w:tcW w:w="546" w:type="pct"/>
            <w:tcBorders>
              <w:top w:val="single" w:sz="4" w:space="0" w:color="auto"/>
              <w:left w:val="single" w:sz="4" w:space="0" w:color="auto"/>
              <w:bottom w:val="single" w:sz="4" w:space="0" w:color="auto"/>
              <w:right w:val="single" w:sz="4" w:space="0" w:color="auto"/>
            </w:tcBorders>
          </w:tcPr>
          <w:p w14:paraId="2D21159B" w14:textId="77777777" w:rsidR="00B57970" w:rsidRPr="007028C8" w:rsidRDefault="00B57970" w:rsidP="00B57970">
            <w:pPr>
              <w:rPr>
                <w:sz w:val="20"/>
                <w:szCs w:val="20"/>
              </w:rPr>
            </w:pPr>
            <w:r w:rsidRPr="007028C8">
              <w:rPr>
                <w:sz w:val="20"/>
                <w:szCs w:val="20"/>
              </w:rPr>
              <w:t>Thiamethoxam</w:t>
            </w:r>
          </w:p>
        </w:tc>
        <w:tc>
          <w:tcPr>
            <w:tcW w:w="256" w:type="pct"/>
            <w:tcBorders>
              <w:top w:val="single" w:sz="4" w:space="0" w:color="auto"/>
              <w:left w:val="single" w:sz="4" w:space="0" w:color="auto"/>
              <w:bottom w:val="single" w:sz="4" w:space="0" w:color="auto"/>
              <w:right w:val="single" w:sz="4" w:space="0" w:color="auto"/>
            </w:tcBorders>
          </w:tcPr>
          <w:p w14:paraId="6946A689" w14:textId="77777777" w:rsidR="00B57970" w:rsidRPr="007028C8" w:rsidRDefault="00B57970" w:rsidP="00B57970">
            <w:pPr>
              <w:rPr>
                <w:sz w:val="20"/>
                <w:szCs w:val="20"/>
              </w:rPr>
            </w:pPr>
            <w:r w:rsidRPr="007028C8">
              <w:rPr>
                <w:sz w:val="20"/>
                <w:szCs w:val="20"/>
              </w:rPr>
              <w:t>2011-12</w:t>
            </w:r>
          </w:p>
        </w:tc>
        <w:tc>
          <w:tcPr>
            <w:tcW w:w="515" w:type="pct"/>
            <w:tcBorders>
              <w:top w:val="single" w:sz="4" w:space="0" w:color="auto"/>
              <w:left w:val="single" w:sz="4" w:space="0" w:color="auto"/>
              <w:bottom w:val="single" w:sz="4" w:space="0" w:color="auto"/>
              <w:right w:val="single" w:sz="4" w:space="0" w:color="auto"/>
            </w:tcBorders>
          </w:tcPr>
          <w:p w14:paraId="566FBDB2" w14:textId="77777777" w:rsidR="00B57970" w:rsidRPr="007028C8" w:rsidRDefault="00B57970" w:rsidP="00B57970">
            <w:pPr>
              <w:rPr>
                <w:sz w:val="20"/>
                <w:szCs w:val="20"/>
              </w:rPr>
            </w:pPr>
            <w:r w:rsidRPr="007028C8">
              <w:rPr>
                <w:sz w:val="20"/>
                <w:szCs w:val="20"/>
              </w:rPr>
              <w:t>Wisconsin, USA</w:t>
            </w:r>
          </w:p>
        </w:tc>
        <w:tc>
          <w:tcPr>
            <w:tcW w:w="515" w:type="pct"/>
            <w:tcBorders>
              <w:top w:val="single" w:sz="4" w:space="0" w:color="auto"/>
              <w:left w:val="single" w:sz="4" w:space="0" w:color="auto"/>
              <w:bottom w:val="single" w:sz="4" w:space="0" w:color="auto"/>
              <w:right w:val="single" w:sz="4" w:space="0" w:color="auto"/>
            </w:tcBorders>
          </w:tcPr>
          <w:p w14:paraId="17CD2D09" w14:textId="77777777" w:rsidR="00B57970" w:rsidRPr="007028C8" w:rsidRDefault="00B57970" w:rsidP="00B57970">
            <w:pPr>
              <w:rPr>
                <w:sz w:val="20"/>
                <w:szCs w:val="20"/>
              </w:rPr>
            </w:pPr>
            <w:r w:rsidRPr="007028C8">
              <w:rPr>
                <w:sz w:val="20"/>
                <w:szCs w:val="20"/>
              </w:rPr>
              <w:t>Leachate (irrigation water/groundwater)</w:t>
            </w:r>
          </w:p>
        </w:tc>
        <w:tc>
          <w:tcPr>
            <w:tcW w:w="653" w:type="pct"/>
            <w:tcBorders>
              <w:top w:val="single" w:sz="4" w:space="0" w:color="auto"/>
              <w:left w:val="single" w:sz="4" w:space="0" w:color="auto"/>
              <w:bottom w:val="single" w:sz="4" w:space="0" w:color="auto"/>
              <w:right w:val="single" w:sz="4" w:space="0" w:color="auto"/>
            </w:tcBorders>
          </w:tcPr>
          <w:p w14:paraId="35455DCE" w14:textId="77777777" w:rsidR="00B57970" w:rsidRPr="007028C8" w:rsidRDefault="00B57970" w:rsidP="00B57970">
            <w:pPr>
              <w:rPr>
                <w:sz w:val="20"/>
                <w:szCs w:val="20"/>
              </w:rPr>
            </w:pPr>
            <w:r w:rsidRPr="007028C8">
              <w:rPr>
                <w:sz w:val="20"/>
                <w:szCs w:val="20"/>
              </w:rPr>
              <w:t>Agricultural (potato, row crops-irrigated)</w:t>
            </w:r>
          </w:p>
        </w:tc>
        <w:tc>
          <w:tcPr>
            <w:tcW w:w="402" w:type="pct"/>
            <w:tcBorders>
              <w:top w:val="single" w:sz="4" w:space="0" w:color="auto"/>
              <w:left w:val="single" w:sz="4" w:space="0" w:color="auto"/>
              <w:bottom w:val="single" w:sz="4" w:space="0" w:color="auto"/>
              <w:right w:val="single" w:sz="4" w:space="0" w:color="auto"/>
            </w:tcBorders>
          </w:tcPr>
          <w:p w14:paraId="412C6FC4" w14:textId="77777777" w:rsidR="00B57970" w:rsidRPr="007028C8" w:rsidRDefault="00B57970" w:rsidP="00B57970">
            <w:pPr>
              <w:rPr>
                <w:sz w:val="20"/>
                <w:szCs w:val="20"/>
              </w:rPr>
            </w:pPr>
            <w:r w:rsidRPr="007028C8">
              <w:rPr>
                <w:sz w:val="20"/>
                <w:szCs w:val="20"/>
              </w:rPr>
              <w:t>0.02</w:t>
            </w:r>
          </w:p>
        </w:tc>
        <w:tc>
          <w:tcPr>
            <w:tcW w:w="502" w:type="pct"/>
            <w:tcBorders>
              <w:top w:val="single" w:sz="4" w:space="0" w:color="auto"/>
              <w:left w:val="single" w:sz="4" w:space="0" w:color="auto"/>
              <w:bottom w:val="single" w:sz="4" w:space="0" w:color="auto"/>
              <w:right w:val="single" w:sz="4" w:space="0" w:color="auto"/>
            </w:tcBorders>
          </w:tcPr>
          <w:p w14:paraId="60C89A6D" w14:textId="77777777" w:rsidR="00B57970" w:rsidRPr="007028C8" w:rsidRDefault="00B57970" w:rsidP="00B57970">
            <w:pPr>
              <w:rPr>
                <w:sz w:val="20"/>
                <w:szCs w:val="20"/>
              </w:rPr>
            </w:pPr>
            <w:r w:rsidRPr="007028C8">
              <w:rPr>
                <w:sz w:val="20"/>
                <w:szCs w:val="20"/>
              </w:rPr>
              <w:t>0.44 / NA</w:t>
            </w:r>
          </w:p>
        </w:tc>
        <w:tc>
          <w:tcPr>
            <w:tcW w:w="474" w:type="pct"/>
            <w:tcBorders>
              <w:top w:val="single" w:sz="4" w:space="0" w:color="auto"/>
              <w:left w:val="single" w:sz="4" w:space="0" w:color="auto"/>
              <w:bottom w:val="single" w:sz="4" w:space="0" w:color="auto"/>
              <w:right w:val="single" w:sz="4" w:space="0" w:color="auto"/>
            </w:tcBorders>
          </w:tcPr>
          <w:p w14:paraId="0AD93AD7" w14:textId="77777777" w:rsidR="00B57970" w:rsidRPr="007028C8" w:rsidRDefault="00B57970" w:rsidP="00B57970">
            <w:pPr>
              <w:rPr>
                <w:sz w:val="20"/>
                <w:szCs w:val="20"/>
              </w:rPr>
            </w:pPr>
            <w:r w:rsidRPr="007028C8">
              <w:rPr>
                <w:sz w:val="20"/>
                <w:szCs w:val="20"/>
              </w:rPr>
              <w:t>0.58/ &gt;20.0</w:t>
            </w:r>
          </w:p>
        </w:tc>
        <w:tc>
          <w:tcPr>
            <w:tcW w:w="423" w:type="pct"/>
            <w:tcBorders>
              <w:top w:val="single" w:sz="4" w:space="0" w:color="auto"/>
              <w:left w:val="single" w:sz="4" w:space="0" w:color="auto"/>
              <w:bottom w:val="single" w:sz="4" w:space="0" w:color="auto"/>
              <w:right w:val="single" w:sz="4" w:space="0" w:color="auto"/>
            </w:tcBorders>
          </w:tcPr>
          <w:p w14:paraId="4AB30B84" w14:textId="77777777" w:rsidR="00B57970" w:rsidRPr="007028C8" w:rsidRDefault="00B57970" w:rsidP="00B57970">
            <w:pPr>
              <w:rPr>
                <w:sz w:val="20"/>
                <w:szCs w:val="20"/>
              </w:rPr>
            </w:pPr>
            <w:r w:rsidRPr="007028C8">
              <w:rPr>
                <w:sz w:val="20"/>
                <w:szCs w:val="20"/>
              </w:rPr>
              <w:t>NA</w:t>
            </w:r>
          </w:p>
        </w:tc>
        <w:tc>
          <w:tcPr>
            <w:tcW w:w="714" w:type="pct"/>
            <w:tcBorders>
              <w:top w:val="single" w:sz="4" w:space="0" w:color="auto"/>
              <w:left w:val="single" w:sz="4" w:space="0" w:color="auto"/>
              <w:bottom w:val="single" w:sz="4" w:space="0" w:color="auto"/>
              <w:right w:val="single" w:sz="4" w:space="0" w:color="auto"/>
            </w:tcBorders>
          </w:tcPr>
          <w:p w14:paraId="51CDB6BF" w14:textId="77777777" w:rsidR="00B57970" w:rsidRPr="007028C8" w:rsidRDefault="00B57970" w:rsidP="00B57970">
            <w:pPr>
              <w:rPr>
                <w:rFonts w:cs="Calibri"/>
                <w:sz w:val="20"/>
                <w:szCs w:val="20"/>
              </w:rPr>
            </w:pPr>
            <w:r w:rsidRPr="007028C8">
              <w:rPr>
                <w:rFonts w:cs="Calibri"/>
                <w:sz w:val="20"/>
                <w:szCs w:val="20"/>
              </w:rPr>
              <w:t>Huseth and Groves 2014</w:t>
            </w:r>
          </w:p>
        </w:tc>
      </w:tr>
      <w:tr w:rsidR="00B57970" w:rsidRPr="007028C8" w14:paraId="37AE61BF" w14:textId="77777777" w:rsidTr="00DE7330">
        <w:trPr>
          <w:trHeight w:val="1277"/>
        </w:trPr>
        <w:tc>
          <w:tcPr>
            <w:tcW w:w="546" w:type="pct"/>
            <w:tcBorders>
              <w:top w:val="single" w:sz="4" w:space="0" w:color="auto"/>
              <w:left w:val="single" w:sz="4" w:space="0" w:color="auto"/>
              <w:bottom w:val="single" w:sz="4" w:space="0" w:color="auto"/>
              <w:right w:val="single" w:sz="4" w:space="0" w:color="auto"/>
            </w:tcBorders>
          </w:tcPr>
          <w:p w14:paraId="0509DD3B" w14:textId="77777777" w:rsidR="00B57970" w:rsidRPr="007028C8" w:rsidRDefault="00B57970" w:rsidP="00B57970">
            <w:pPr>
              <w:rPr>
                <w:sz w:val="20"/>
                <w:szCs w:val="20"/>
              </w:rPr>
            </w:pPr>
            <w:r w:rsidRPr="007028C8">
              <w:rPr>
                <w:sz w:val="20"/>
                <w:szCs w:val="20"/>
              </w:rPr>
              <w:lastRenderedPageBreak/>
              <w:t>Thiamethoxam</w:t>
            </w:r>
          </w:p>
        </w:tc>
        <w:tc>
          <w:tcPr>
            <w:tcW w:w="256" w:type="pct"/>
            <w:tcBorders>
              <w:top w:val="single" w:sz="4" w:space="0" w:color="auto"/>
              <w:left w:val="single" w:sz="4" w:space="0" w:color="auto"/>
              <w:bottom w:val="single" w:sz="4" w:space="0" w:color="auto"/>
              <w:right w:val="single" w:sz="4" w:space="0" w:color="auto"/>
            </w:tcBorders>
          </w:tcPr>
          <w:p w14:paraId="6678C2F9" w14:textId="77777777" w:rsidR="00B57970" w:rsidRPr="007028C8" w:rsidRDefault="00B57970" w:rsidP="00B57970">
            <w:pPr>
              <w:rPr>
                <w:sz w:val="20"/>
                <w:szCs w:val="20"/>
              </w:rPr>
            </w:pPr>
            <w:r w:rsidRPr="007028C8">
              <w:rPr>
                <w:sz w:val="20"/>
                <w:szCs w:val="20"/>
              </w:rPr>
              <w:t>2008-2012</w:t>
            </w:r>
          </w:p>
        </w:tc>
        <w:tc>
          <w:tcPr>
            <w:tcW w:w="515" w:type="pct"/>
            <w:tcBorders>
              <w:top w:val="single" w:sz="4" w:space="0" w:color="auto"/>
              <w:left w:val="single" w:sz="4" w:space="0" w:color="auto"/>
              <w:bottom w:val="single" w:sz="4" w:space="0" w:color="auto"/>
              <w:right w:val="single" w:sz="4" w:space="0" w:color="auto"/>
            </w:tcBorders>
          </w:tcPr>
          <w:p w14:paraId="41DCC08B" w14:textId="77777777" w:rsidR="00B57970" w:rsidRPr="007028C8" w:rsidRDefault="00B57970" w:rsidP="00B57970">
            <w:pPr>
              <w:rPr>
                <w:sz w:val="20"/>
                <w:szCs w:val="20"/>
              </w:rPr>
            </w:pPr>
            <w:r w:rsidRPr="007028C8">
              <w:rPr>
                <w:sz w:val="20"/>
                <w:szCs w:val="20"/>
              </w:rPr>
              <w:t>Wisconsin, USA</w:t>
            </w:r>
          </w:p>
        </w:tc>
        <w:tc>
          <w:tcPr>
            <w:tcW w:w="515" w:type="pct"/>
            <w:tcBorders>
              <w:top w:val="single" w:sz="4" w:space="0" w:color="auto"/>
              <w:left w:val="single" w:sz="4" w:space="0" w:color="auto"/>
              <w:bottom w:val="single" w:sz="4" w:space="0" w:color="auto"/>
              <w:right w:val="single" w:sz="4" w:space="0" w:color="auto"/>
            </w:tcBorders>
          </w:tcPr>
          <w:p w14:paraId="4CD37886" w14:textId="77777777" w:rsidR="00B57970" w:rsidRPr="007028C8" w:rsidRDefault="00B57970" w:rsidP="00B57970">
            <w:pPr>
              <w:rPr>
                <w:sz w:val="20"/>
                <w:szCs w:val="20"/>
              </w:rPr>
            </w:pPr>
            <w:r w:rsidRPr="007028C8">
              <w:rPr>
                <w:sz w:val="20"/>
                <w:szCs w:val="20"/>
              </w:rPr>
              <w:t>Groundwater</w:t>
            </w:r>
          </w:p>
        </w:tc>
        <w:tc>
          <w:tcPr>
            <w:tcW w:w="653" w:type="pct"/>
            <w:tcBorders>
              <w:top w:val="single" w:sz="4" w:space="0" w:color="auto"/>
              <w:left w:val="single" w:sz="4" w:space="0" w:color="auto"/>
              <w:bottom w:val="single" w:sz="4" w:space="0" w:color="auto"/>
              <w:right w:val="single" w:sz="4" w:space="0" w:color="auto"/>
            </w:tcBorders>
          </w:tcPr>
          <w:p w14:paraId="67C39953" w14:textId="77777777" w:rsidR="00B57970" w:rsidRPr="007028C8" w:rsidRDefault="00B57970" w:rsidP="00B57970">
            <w:pPr>
              <w:rPr>
                <w:sz w:val="20"/>
                <w:szCs w:val="20"/>
              </w:rPr>
            </w:pPr>
            <w:r w:rsidRPr="007028C8">
              <w:rPr>
                <w:sz w:val="20"/>
                <w:szCs w:val="20"/>
              </w:rPr>
              <w:t>Agricultural (potato, row crops)</w:t>
            </w:r>
          </w:p>
        </w:tc>
        <w:tc>
          <w:tcPr>
            <w:tcW w:w="402" w:type="pct"/>
            <w:tcBorders>
              <w:top w:val="single" w:sz="4" w:space="0" w:color="auto"/>
              <w:left w:val="single" w:sz="4" w:space="0" w:color="auto"/>
              <w:bottom w:val="single" w:sz="4" w:space="0" w:color="auto"/>
              <w:right w:val="single" w:sz="4" w:space="0" w:color="auto"/>
            </w:tcBorders>
          </w:tcPr>
          <w:p w14:paraId="55DDED87" w14:textId="77777777" w:rsidR="00B57970" w:rsidRPr="007028C8" w:rsidRDefault="00B57970" w:rsidP="00B57970">
            <w:pPr>
              <w:rPr>
                <w:sz w:val="20"/>
                <w:szCs w:val="20"/>
              </w:rPr>
            </w:pPr>
            <w:r w:rsidRPr="007028C8">
              <w:rPr>
                <w:sz w:val="20"/>
                <w:szCs w:val="20"/>
              </w:rPr>
              <w:t>NA</w:t>
            </w:r>
          </w:p>
        </w:tc>
        <w:tc>
          <w:tcPr>
            <w:tcW w:w="502" w:type="pct"/>
            <w:tcBorders>
              <w:top w:val="single" w:sz="4" w:space="0" w:color="auto"/>
              <w:left w:val="single" w:sz="4" w:space="0" w:color="auto"/>
              <w:bottom w:val="single" w:sz="4" w:space="0" w:color="auto"/>
              <w:right w:val="single" w:sz="4" w:space="0" w:color="auto"/>
            </w:tcBorders>
          </w:tcPr>
          <w:p w14:paraId="3DEE2EDB" w14:textId="77777777" w:rsidR="00B57970" w:rsidRPr="007028C8" w:rsidRDefault="00B57970" w:rsidP="00B57970">
            <w:pPr>
              <w:rPr>
                <w:sz w:val="20"/>
                <w:szCs w:val="20"/>
              </w:rPr>
            </w:pPr>
            <w:r w:rsidRPr="007028C8">
              <w:rPr>
                <w:sz w:val="20"/>
                <w:szCs w:val="20"/>
              </w:rPr>
              <w:t>1.59</w:t>
            </w:r>
          </w:p>
        </w:tc>
        <w:tc>
          <w:tcPr>
            <w:tcW w:w="474" w:type="pct"/>
            <w:tcBorders>
              <w:top w:val="single" w:sz="4" w:space="0" w:color="auto"/>
              <w:left w:val="single" w:sz="4" w:space="0" w:color="auto"/>
              <w:bottom w:val="single" w:sz="4" w:space="0" w:color="auto"/>
              <w:right w:val="single" w:sz="4" w:space="0" w:color="auto"/>
            </w:tcBorders>
          </w:tcPr>
          <w:p w14:paraId="75886717" w14:textId="77777777" w:rsidR="00B57970" w:rsidRPr="007028C8" w:rsidRDefault="00B57970" w:rsidP="00B57970">
            <w:pPr>
              <w:rPr>
                <w:sz w:val="20"/>
                <w:szCs w:val="20"/>
              </w:rPr>
            </w:pPr>
            <w:r w:rsidRPr="007028C8">
              <w:rPr>
                <w:sz w:val="20"/>
                <w:szCs w:val="20"/>
              </w:rPr>
              <w:t>8.93</w:t>
            </w:r>
          </w:p>
        </w:tc>
        <w:tc>
          <w:tcPr>
            <w:tcW w:w="423" w:type="pct"/>
            <w:tcBorders>
              <w:top w:val="single" w:sz="4" w:space="0" w:color="auto"/>
              <w:left w:val="single" w:sz="4" w:space="0" w:color="auto"/>
              <w:bottom w:val="single" w:sz="4" w:space="0" w:color="auto"/>
              <w:right w:val="single" w:sz="4" w:space="0" w:color="auto"/>
            </w:tcBorders>
          </w:tcPr>
          <w:p w14:paraId="0CE7CDE7" w14:textId="77777777" w:rsidR="00B57970" w:rsidRPr="007028C8" w:rsidRDefault="00B57970" w:rsidP="00B57970">
            <w:pPr>
              <w:rPr>
                <w:sz w:val="20"/>
                <w:szCs w:val="20"/>
              </w:rPr>
            </w:pPr>
            <w:r w:rsidRPr="007028C8">
              <w:rPr>
                <w:sz w:val="20"/>
                <w:szCs w:val="20"/>
              </w:rPr>
              <w:t>68%</w:t>
            </w:r>
          </w:p>
        </w:tc>
        <w:tc>
          <w:tcPr>
            <w:tcW w:w="714" w:type="pct"/>
            <w:tcBorders>
              <w:top w:val="single" w:sz="4" w:space="0" w:color="auto"/>
              <w:left w:val="single" w:sz="4" w:space="0" w:color="auto"/>
              <w:bottom w:val="single" w:sz="4" w:space="0" w:color="auto"/>
              <w:right w:val="single" w:sz="4" w:space="0" w:color="auto"/>
            </w:tcBorders>
          </w:tcPr>
          <w:p w14:paraId="33D2C3CD" w14:textId="77777777" w:rsidR="00B57970" w:rsidRPr="007028C8" w:rsidRDefault="00B57970" w:rsidP="00B57970">
            <w:pPr>
              <w:rPr>
                <w:rFonts w:cs="Calibri"/>
                <w:sz w:val="20"/>
                <w:szCs w:val="20"/>
              </w:rPr>
            </w:pPr>
            <w:r w:rsidRPr="007028C8">
              <w:rPr>
                <w:rFonts w:cs="Calibri"/>
                <w:sz w:val="20"/>
                <w:szCs w:val="20"/>
              </w:rPr>
              <w:t>State of Wisconsin Dept. of Agriculture Trade and Consumer Protection (in Huseth and Groves 2014)</w:t>
            </w:r>
          </w:p>
        </w:tc>
      </w:tr>
      <w:tr w:rsidR="00B57970" w:rsidRPr="007028C8" w14:paraId="1BAC56EE" w14:textId="77777777" w:rsidTr="00DE7330">
        <w:trPr>
          <w:trHeight w:val="323"/>
        </w:trPr>
        <w:tc>
          <w:tcPr>
            <w:tcW w:w="546" w:type="pct"/>
            <w:tcBorders>
              <w:top w:val="single" w:sz="4" w:space="0" w:color="auto"/>
              <w:left w:val="single" w:sz="4" w:space="0" w:color="auto"/>
              <w:bottom w:val="single" w:sz="4" w:space="0" w:color="auto"/>
              <w:right w:val="single" w:sz="4" w:space="0" w:color="auto"/>
            </w:tcBorders>
          </w:tcPr>
          <w:p w14:paraId="37E8A0CC" w14:textId="77777777" w:rsidR="00B57970" w:rsidRPr="007028C8" w:rsidRDefault="00B57970" w:rsidP="00B57970">
            <w:pPr>
              <w:rPr>
                <w:sz w:val="20"/>
                <w:szCs w:val="20"/>
              </w:rPr>
            </w:pPr>
            <w:r w:rsidRPr="007028C8">
              <w:rPr>
                <w:sz w:val="20"/>
                <w:szCs w:val="20"/>
              </w:rPr>
              <w:t>Thiamethoxam</w:t>
            </w:r>
          </w:p>
        </w:tc>
        <w:tc>
          <w:tcPr>
            <w:tcW w:w="256" w:type="pct"/>
            <w:tcBorders>
              <w:top w:val="single" w:sz="4" w:space="0" w:color="auto"/>
              <w:left w:val="single" w:sz="4" w:space="0" w:color="auto"/>
              <w:bottom w:val="single" w:sz="4" w:space="0" w:color="auto"/>
              <w:right w:val="single" w:sz="4" w:space="0" w:color="auto"/>
            </w:tcBorders>
          </w:tcPr>
          <w:p w14:paraId="726D85BA" w14:textId="77777777" w:rsidR="00B57970" w:rsidRPr="007028C8" w:rsidRDefault="00B57970" w:rsidP="00B57970">
            <w:pPr>
              <w:rPr>
                <w:sz w:val="20"/>
                <w:szCs w:val="20"/>
              </w:rPr>
            </w:pPr>
            <w:r w:rsidRPr="007028C8">
              <w:rPr>
                <w:sz w:val="20"/>
                <w:szCs w:val="20"/>
              </w:rPr>
              <w:t>2013</w:t>
            </w:r>
          </w:p>
        </w:tc>
        <w:tc>
          <w:tcPr>
            <w:tcW w:w="515" w:type="pct"/>
            <w:tcBorders>
              <w:top w:val="single" w:sz="4" w:space="0" w:color="auto"/>
              <w:left w:val="single" w:sz="4" w:space="0" w:color="auto"/>
              <w:bottom w:val="single" w:sz="4" w:space="0" w:color="auto"/>
              <w:right w:val="single" w:sz="4" w:space="0" w:color="auto"/>
            </w:tcBorders>
          </w:tcPr>
          <w:p w14:paraId="6EB025AE" w14:textId="77777777" w:rsidR="00B57970" w:rsidRPr="007028C8" w:rsidRDefault="00B57970" w:rsidP="00B57970">
            <w:pPr>
              <w:rPr>
                <w:sz w:val="20"/>
                <w:szCs w:val="20"/>
              </w:rPr>
            </w:pPr>
            <w:r w:rsidRPr="007028C8">
              <w:rPr>
                <w:sz w:val="20"/>
                <w:szCs w:val="20"/>
              </w:rPr>
              <w:t>Iowa, USA</w:t>
            </w:r>
          </w:p>
        </w:tc>
        <w:tc>
          <w:tcPr>
            <w:tcW w:w="515" w:type="pct"/>
            <w:tcBorders>
              <w:top w:val="single" w:sz="4" w:space="0" w:color="auto"/>
              <w:left w:val="single" w:sz="4" w:space="0" w:color="auto"/>
              <w:bottom w:val="single" w:sz="4" w:space="0" w:color="auto"/>
              <w:right w:val="single" w:sz="4" w:space="0" w:color="auto"/>
            </w:tcBorders>
          </w:tcPr>
          <w:p w14:paraId="76A280D0" w14:textId="77777777" w:rsidR="00B57970" w:rsidRPr="007028C8" w:rsidRDefault="00B57970" w:rsidP="00B57970">
            <w:pPr>
              <w:rPr>
                <w:sz w:val="20"/>
                <w:szCs w:val="20"/>
              </w:rPr>
            </w:pPr>
            <w:r w:rsidRPr="007028C8">
              <w:rPr>
                <w:sz w:val="20"/>
                <w:szCs w:val="20"/>
              </w:rPr>
              <w:t>Rivers</w:t>
            </w:r>
          </w:p>
        </w:tc>
        <w:tc>
          <w:tcPr>
            <w:tcW w:w="653" w:type="pct"/>
            <w:tcBorders>
              <w:top w:val="single" w:sz="4" w:space="0" w:color="auto"/>
              <w:left w:val="single" w:sz="4" w:space="0" w:color="auto"/>
              <w:bottom w:val="single" w:sz="4" w:space="0" w:color="auto"/>
              <w:right w:val="single" w:sz="4" w:space="0" w:color="auto"/>
            </w:tcBorders>
          </w:tcPr>
          <w:p w14:paraId="5334AE76" w14:textId="77777777" w:rsidR="00B57970" w:rsidRPr="007028C8" w:rsidRDefault="00B57970" w:rsidP="00B57970">
            <w:pPr>
              <w:rPr>
                <w:sz w:val="20"/>
                <w:szCs w:val="20"/>
              </w:rPr>
            </w:pPr>
            <w:r w:rsidRPr="007028C8">
              <w:rPr>
                <w:sz w:val="20"/>
                <w:szCs w:val="20"/>
              </w:rPr>
              <w:t>Agricultural</w:t>
            </w:r>
          </w:p>
        </w:tc>
        <w:tc>
          <w:tcPr>
            <w:tcW w:w="402" w:type="pct"/>
            <w:tcBorders>
              <w:top w:val="single" w:sz="4" w:space="0" w:color="auto"/>
              <w:left w:val="single" w:sz="4" w:space="0" w:color="auto"/>
              <w:bottom w:val="single" w:sz="4" w:space="0" w:color="auto"/>
              <w:right w:val="single" w:sz="4" w:space="0" w:color="auto"/>
            </w:tcBorders>
          </w:tcPr>
          <w:p w14:paraId="2715CB4C" w14:textId="77777777" w:rsidR="00B57970" w:rsidRPr="007028C8" w:rsidRDefault="00B57970" w:rsidP="00B57970">
            <w:pPr>
              <w:rPr>
                <w:sz w:val="20"/>
                <w:szCs w:val="20"/>
              </w:rPr>
            </w:pPr>
            <w:r w:rsidRPr="007028C8">
              <w:rPr>
                <w:sz w:val="20"/>
                <w:szCs w:val="20"/>
              </w:rPr>
              <w:t>0.0039</w:t>
            </w:r>
          </w:p>
        </w:tc>
        <w:tc>
          <w:tcPr>
            <w:tcW w:w="502" w:type="pct"/>
            <w:tcBorders>
              <w:top w:val="single" w:sz="4" w:space="0" w:color="auto"/>
              <w:left w:val="single" w:sz="4" w:space="0" w:color="auto"/>
              <w:bottom w:val="single" w:sz="4" w:space="0" w:color="auto"/>
              <w:right w:val="single" w:sz="4" w:space="0" w:color="auto"/>
            </w:tcBorders>
          </w:tcPr>
          <w:p w14:paraId="0A24E1B4" w14:textId="77777777" w:rsidR="00B57970" w:rsidRPr="007028C8" w:rsidRDefault="00B57970" w:rsidP="00B57970">
            <w:pPr>
              <w:rPr>
                <w:sz w:val="20"/>
                <w:szCs w:val="20"/>
              </w:rPr>
            </w:pPr>
            <w:r w:rsidRPr="007028C8">
              <w:rPr>
                <w:sz w:val="20"/>
                <w:szCs w:val="20"/>
              </w:rPr>
              <w:t>&lt;0.002**</w:t>
            </w:r>
          </w:p>
        </w:tc>
        <w:tc>
          <w:tcPr>
            <w:tcW w:w="474" w:type="pct"/>
            <w:tcBorders>
              <w:top w:val="single" w:sz="4" w:space="0" w:color="auto"/>
              <w:left w:val="single" w:sz="4" w:space="0" w:color="auto"/>
              <w:bottom w:val="single" w:sz="4" w:space="0" w:color="auto"/>
              <w:right w:val="single" w:sz="4" w:space="0" w:color="auto"/>
            </w:tcBorders>
          </w:tcPr>
          <w:p w14:paraId="43F3679E" w14:textId="77777777" w:rsidR="00B57970" w:rsidRPr="007028C8" w:rsidRDefault="00B57970" w:rsidP="00B57970">
            <w:pPr>
              <w:rPr>
                <w:sz w:val="20"/>
                <w:szCs w:val="20"/>
              </w:rPr>
            </w:pPr>
            <w:r w:rsidRPr="007028C8">
              <w:rPr>
                <w:sz w:val="20"/>
                <w:szCs w:val="20"/>
              </w:rPr>
              <w:t>0.185</w:t>
            </w:r>
          </w:p>
        </w:tc>
        <w:tc>
          <w:tcPr>
            <w:tcW w:w="423" w:type="pct"/>
            <w:tcBorders>
              <w:top w:val="single" w:sz="4" w:space="0" w:color="auto"/>
              <w:left w:val="single" w:sz="4" w:space="0" w:color="auto"/>
              <w:bottom w:val="single" w:sz="4" w:space="0" w:color="auto"/>
              <w:right w:val="single" w:sz="4" w:space="0" w:color="auto"/>
            </w:tcBorders>
          </w:tcPr>
          <w:p w14:paraId="6BDAFF33" w14:textId="77777777" w:rsidR="00B57970" w:rsidRPr="007028C8" w:rsidRDefault="00B57970" w:rsidP="00B57970">
            <w:pPr>
              <w:rPr>
                <w:sz w:val="20"/>
                <w:szCs w:val="20"/>
              </w:rPr>
            </w:pPr>
            <w:r w:rsidRPr="007028C8">
              <w:rPr>
                <w:sz w:val="20"/>
                <w:szCs w:val="20"/>
              </w:rPr>
              <w:t>47%</w:t>
            </w:r>
          </w:p>
        </w:tc>
        <w:tc>
          <w:tcPr>
            <w:tcW w:w="714" w:type="pct"/>
            <w:tcBorders>
              <w:top w:val="single" w:sz="4" w:space="0" w:color="auto"/>
              <w:left w:val="single" w:sz="4" w:space="0" w:color="auto"/>
              <w:bottom w:val="single" w:sz="4" w:space="0" w:color="auto"/>
              <w:right w:val="single" w:sz="4" w:space="0" w:color="auto"/>
            </w:tcBorders>
          </w:tcPr>
          <w:p w14:paraId="4B7D2975" w14:textId="77777777" w:rsidR="00B57970" w:rsidRPr="00AF5BB9" w:rsidRDefault="00B57970" w:rsidP="00B57970">
            <w:pPr>
              <w:rPr>
                <w:sz w:val="20"/>
                <w:szCs w:val="20"/>
              </w:rPr>
            </w:pPr>
            <w:r w:rsidRPr="007028C8">
              <w:rPr>
                <w:rFonts w:cs="Calibri"/>
                <w:sz w:val="20"/>
                <w:szCs w:val="20"/>
              </w:rPr>
              <w:t xml:space="preserve">Hladlik </w:t>
            </w:r>
            <w:r w:rsidRPr="0053636F">
              <w:rPr>
                <w:rFonts w:cs="Calibri"/>
                <w:i/>
                <w:iCs/>
                <w:sz w:val="20"/>
                <w:szCs w:val="20"/>
              </w:rPr>
              <w:t>et al.</w:t>
            </w:r>
            <w:r w:rsidRPr="007028C8">
              <w:rPr>
                <w:rFonts w:cs="Calibri"/>
                <w:sz w:val="20"/>
                <w:szCs w:val="20"/>
              </w:rPr>
              <w:t xml:space="preserve"> 2014</w:t>
            </w:r>
          </w:p>
        </w:tc>
      </w:tr>
    </w:tbl>
    <w:p w14:paraId="13DD12D7" w14:textId="6F7C8D90" w:rsidR="00D604CE" w:rsidRDefault="00B57970" w:rsidP="00005417">
      <w:pPr>
        <w:pStyle w:val="NoSpacing"/>
        <w:rPr>
          <w:sz w:val="16"/>
          <w:szCs w:val="16"/>
        </w:rPr>
      </w:pPr>
      <w:r w:rsidRPr="00AE3950">
        <w:rPr>
          <w:sz w:val="16"/>
          <w:szCs w:val="16"/>
        </w:rPr>
        <w:t>NA: not available; ND: not detected</w:t>
      </w:r>
      <w:r w:rsidR="00AE3950">
        <w:rPr>
          <w:sz w:val="16"/>
          <w:szCs w:val="16"/>
        </w:rPr>
        <w:t xml:space="preserve"> </w:t>
      </w:r>
      <w:r w:rsidRPr="00AE3950">
        <w:rPr>
          <w:sz w:val="16"/>
          <w:szCs w:val="16"/>
        </w:rPr>
        <w:t>*Reported as total neonicotinoids. Author reports total as dominantly clothianidin and thiamethoxam.**Reported as the median, below method detection limi</w:t>
      </w:r>
      <w:r w:rsidR="00005417">
        <w:rPr>
          <w:sz w:val="16"/>
          <w:szCs w:val="16"/>
        </w:rPr>
        <w:t>t</w:t>
      </w:r>
    </w:p>
    <w:p w14:paraId="184FBAC9" w14:textId="45BD7308" w:rsidR="00E62AD2" w:rsidRDefault="00E62AD2" w:rsidP="00005417">
      <w:pPr>
        <w:pStyle w:val="NoSpacing"/>
        <w:rPr>
          <w:sz w:val="16"/>
          <w:szCs w:val="16"/>
        </w:rPr>
      </w:pPr>
    </w:p>
    <w:p w14:paraId="0FF2D4B9" w14:textId="71D77660" w:rsidR="00E62AD2" w:rsidRDefault="00E62AD2" w:rsidP="00005417">
      <w:pPr>
        <w:pStyle w:val="NoSpacing"/>
        <w:rPr>
          <w:sz w:val="16"/>
          <w:szCs w:val="16"/>
        </w:rPr>
      </w:pPr>
    </w:p>
    <w:p w14:paraId="3049CE7D" w14:textId="77777777" w:rsidR="00E62AD2" w:rsidRDefault="00E62AD2" w:rsidP="00005417">
      <w:pPr>
        <w:pStyle w:val="NoSpacing"/>
        <w:rPr>
          <w:rFonts w:eastAsia="Times New Roman" w:cstheme="minorHAnsi"/>
          <w:sz w:val="20"/>
          <w:szCs w:val="20"/>
        </w:rPr>
        <w:sectPr w:rsidR="00E62AD2" w:rsidSect="00005417">
          <w:pgSz w:w="15840" w:h="12240" w:orient="landscape"/>
          <w:pgMar w:top="1440" w:right="1440" w:bottom="1440" w:left="1440" w:header="720" w:footer="720" w:gutter="0"/>
          <w:cols w:space="720"/>
          <w:docGrid w:linePitch="360"/>
        </w:sectPr>
      </w:pPr>
    </w:p>
    <w:p w14:paraId="7A74142F" w14:textId="41014FA5" w:rsidR="009917EA" w:rsidRPr="002B309A" w:rsidRDefault="00E62AD2" w:rsidP="00005417">
      <w:pPr>
        <w:pStyle w:val="NoSpacing"/>
        <w:rPr>
          <w:b/>
          <w:color w:val="4472C4" w:themeColor="accent5"/>
          <w:sz w:val="24"/>
          <w:szCs w:val="24"/>
        </w:rPr>
      </w:pPr>
      <w:bookmarkStart w:id="3" w:name="_Hlk80177129"/>
      <w:r w:rsidRPr="002B309A">
        <w:rPr>
          <w:b/>
          <w:color w:val="4472C4" w:themeColor="accent5"/>
          <w:sz w:val="24"/>
          <w:szCs w:val="24"/>
        </w:rPr>
        <w:lastRenderedPageBreak/>
        <w:t>References</w:t>
      </w:r>
    </w:p>
    <w:p w14:paraId="6A593851" w14:textId="77777777" w:rsidR="00137034" w:rsidRDefault="00137034" w:rsidP="00005417">
      <w:pPr>
        <w:pStyle w:val="NoSpacing"/>
        <w:rPr>
          <w:b/>
          <w:color w:val="4472C4" w:themeColor="accent5"/>
          <w:sz w:val="32"/>
        </w:rPr>
      </w:pPr>
    </w:p>
    <w:p w14:paraId="6F8AE7E6" w14:textId="7512D026" w:rsidR="009917EA" w:rsidRPr="009917EA" w:rsidRDefault="009917EA" w:rsidP="0053636F">
      <w:pPr>
        <w:pStyle w:val="NoSpacing"/>
        <w:ind w:left="720" w:hanging="720"/>
      </w:pPr>
      <w:r w:rsidRPr="009917EA">
        <w:t>Helsel, D.R., 2012. Statistics for Censored Environmental Data Using Minitab® and R, second ed. John Wiley &amp; Sons Inc., Hoboken, New Jersey.</w:t>
      </w:r>
    </w:p>
    <w:p w14:paraId="74E0673F" w14:textId="6D65E767" w:rsidR="00E62AD2" w:rsidRDefault="00E62AD2" w:rsidP="0053636F">
      <w:pPr>
        <w:pStyle w:val="NoSpacing"/>
        <w:ind w:left="720" w:hanging="720"/>
        <w:rPr>
          <w:rFonts w:eastAsia="Times New Roman" w:cstheme="minorHAnsi"/>
          <w:sz w:val="20"/>
          <w:szCs w:val="20"/>
        </w:rPr>
      </w:pPr>
    </w:p>
    <w:p w14:paraId="2C00216D" w14:textId="48BF98B5" w:rsidR="00227177" w:rsidRDefault="00227177" w:rsidP="0053636F">
      <w:pPr>
        <w:ind w:left="720" w:hanging="720"/>
      </w:pPr>
      <w:r>
        <w:t>Hladik, M., Kolpin, D., Kuivila, K. 2014. Widespread occurrence of neonicotinoid insecticides in streams in a high corn and soybean producing region, USA. Environmental Pollution 193:189-196</w:t>
      </w:r>
    </w:p>
    <w:p w14:paraId="5B4D12E2" w14:textId="26444A0A" w:rsidR="003C57AE" w:rsidRDefault="003C57AE" w:rsidP="0053636F">
      <w:pPr>
        <w:ind w:left="720" w:hanging="720"/>
      </w:pPr>
      <w:r>
        <w:t>Hladik ML, Koplin DW, 2016. First national-scale reconnaissance of neonicotinoid insecticides in streams across the USA. Environ. Chem. 2016; 13: 12-20.</w:t>
      </w:r>
    </w:p>
    <w:p w14:paraId="5D16776C" w14:textId="7A1D4E60" w:rsidR="00D147FC" w:rsidRDefault="00D147FC" w:rsidP="0053636F">
      <w:pPr>
        <w:ind w:left="720" w:hanging="720"/>
      </w:pPr>
      <w:r>
        <w:t>Huseth AS, Groves RL. 2014. Environmental fate of soil applied neonicotinoid insecticides in an irrigated potato agroecosystem. PLoS One. 2014; 9: e97081.</w:t>
      </w:r>
    </w:p>
    <w:p w14:paraId="1012F8B5" w14:textId="3519EED4" w:rsidR="003C57AE" w:rsidRDefault="003C57AE" w:rsidP="0053636F">
      <w:pPr>
        <w:ind w:left="720" w:hanging="720"/>
      </w:pPr>
      <w:r>
        <w:t>Main AR, Michel NL, Headley JV, Peru KM, Morrissey CA, et al., 2015. Ecological and Landscape Drivers of Neonicotinoid Insecticide Detections and Concentrations in Canada’s Prairie Wetlands. Environ Sci Technol. 2015; 49: 8367-8376.</w:t>
      </w:r>
    </w:p>
    <w:p w14:paraId="4D9F5D09" w14:textId="31D56619" w:rsidR="00B74A7B" w:rsidRDefault="00B74A7B" w:rsidP="0053636F">
      <w:pPr>
        <w:ind w:left="720" w:hanging="720"/>
      </w:pPr>
      <w:r w:rsidRPr="00B74A7B">
        <w:t xml:space="preserve">Miles J.C., Hua J., Sepulveda M.S., Krupke, C.H., Hoverman, J.T. 2017. Effects of clothianidin on aquatic communities: Evaluating the impacts of lethal and sublethal exposure to neonicotinoids. PLoS ONE 12(3): e0174171. </w:t>
      </w:r>
      <w:hyperlink r:id="rId13" w:history="1">
        <w:r w:rsidR="009917EA" w:rsidRPr="00047628">
          <w:rPr>
            <w:rStyle w:val="Hyperlink"/>
          </w:rPr>
          <w:t>https://doi.org/10.1371/journal.pone.0174171</w:t>
        </w:r>
      </w:hyperlink>
    </w:p>
    <w:p w14:paraId="38C9E6CD" w14:textId="12C1FDFC" w:rsidR="009917EA" w:rsidRDefault="009917EA" w:rsidP="0053636F">
      <w:pPr>
        <w:ind w:left="720" w:hanging="720"/>
      </w:pPr>
      <w:r w:rsidRPr="009917EA">
        <w:t>Morrissey CA, Mineau P, Devries JH, Sanchez-Bayo F, Liess M, Cavallaro MC. 2015. Neonicotinoid contamination of global surface waters and associated risk to aquatic invertebrates: A review. Environ Int. 74:291±303. https://doi.org/10.1016/j.envint.2014.10.024 PMID: 25454246</w:t>
      </w:r>
    </w:p>
    <w:p w14:paraId="7C1CF19E" w14:textId="5B421837" w:rsidR="00D7793E" w:rsidRDefault="00D7793E" w:rsidP="0053636F">
      <w:pPr>
        <w:ind w:left="720" w:hanging="720"/>
      </w:pPr>
      <w:r>
        <w:t xml:space="preserve">Raina-Fulton, R. 2016. Neonicotinoid Insecticides: Environmental Occurrence in Soil, Water and Atmospheric Particles. </w:t>
      </w:r>
      <w:r w:rsidRPr="00742809">
        <w:t>www.avidscience.com</w:t>
      </w:r>
    </w:p>
    <w:p w14:paraId="48F42C09" w14:textId="106E3CE7" w:rsidR="003C57AE" w:rsidRDefault="003C57AE" w:rsidP="0053636F">
      <w:pPr>
        <w:ind w:left="720" w:hanging="720"/>
      </w:pPr>
      <w:r>
        <w:t>Schaafsma A, Limay-Rios V, Baute T, Smith J, Xue Y, et al, 2015. Neonicotinoid insecticide residues in surface water and soil associated with commercial maize (corn) fields in southwestern Ontario. PLoS One. 2015; 10: e0118139.</w:t>
      </w:r>
    </w:p>
    <w:p w14:paraId="702316B9" w14:textId="77B4CDE4" w:rsidR="00D7793E" w:rsidRDefault="00D7793E" w:rsidP="0053636F">
      <w:pPr>
        <w:ind w:left="720" w:hanging="720"/>
      </w:pPr>
      <w:r>
        <w:t>Struger, J., Grabuski, J., Cagampan, S., Sverko, E., McGoldrick, D., Marvin, C. 2017. Factors influencing the occurrence and distribution of neonicotinoid insecticides in surface waters of southern Ontario, Canada. Chemosphere 169:516-523</w:t>
      </w:r>
    </w:p>
    <w:p w14:paraId="6E4B8CE0" w14:textId="2E67240A" w:rsidR="00B74A7B" w:rsidRDefault="00B74A7B" w:rsidP="0053636F">
      <w:pPr>
        <w:ind w:left="720" w:hanging="720"/>
      </w:pPr>
      <w:r w:rsidRPr="00B74A7B">
        <w:t>Tuttle G. 2014. Surface Water Monitoring Program for Pesticides in Salmonid-Bearing Streams, 2013 Data Summary. Data summary: a cooperative study by the Washington State Departments of Ecology and Agriculture. AGR PUB 103-411 (N/8/14)</w:t>
      </w:r>
    </w:p>
    <w:p w14:paraId="2A5CDF89" w14:textId="4C7CED26" w:rsidR="00E62AD2" w:rsidRPr="00E62AD2" w:rsidRDefault="00E62AD2" w:rsidP="0053636F">
      <w:pPr>
        <w:pStyle w:val="NoSpacing"/>
        <w:ind w:left="720" w:hanging="720"/>
        <w:rPr>
          <w:i/>
          <w:iCs/>
        </w:rPr>
      </w:pPr>
      <w:r>
        <w:t xml:space="preserve">USEPA, 2017.  </w:t>
      </w:r>
      <w:r w:rsidRPr="00E62AD2">
        <w:rPr>
          <w:i/>
          <w:iCs/>
        </w:rPr>
        <w:t>Thiamethoxam – Transmittal of the Preliminary Aquatic and Non-Pollinator Terrestrial Risk Assessments to</w:t>
      </w:r>
      <w:r>
        <w:rPr>
          <w:i/>
          <w:iCs/>
        </w:rPr>
        <w:t xml:space="preserve"> </w:t>
      </w:r>
      <w:r w:rsidRPr="00E62AD2">
        <w:rPr>
          <w:i/>
          <w:iCs/>
        </w:rPr>
        <w:t>Support Registration Review</w:t>
      </w:r>
      <w:r w:rsidRPr="00E62AD2">
        <w:t>. Environmental Protection Agency, Office of Pesticide Programs, Environmental Fate and Effects Division, November 29, 2017.</w:t>
      </w:r>
    </w:p>
    <w:p w14:paraId="47F842E4" w14:textId="77777777" w:rsidR="00E62AD2" w:rsidRPr="00E62AD2" w:rsidRDefault="00E62AD2" w:rsidP="0053636F">
      <w:pPr>
        <w:pStyle w:val="NoSpacing"/>
        <w:ind w:left="720" w:hanging="720"/>
      </w:pPr>
    </w:p>
    <w:p w14:paraId="154372E3" w14:textId="107C2F53" w:rsidR="00E62AD2" w:rsidRDefault="00E62AD2" w:rsidP="0053636F">
      <w:pPr>
        <w:pStyle w:val="NoSpacing"/>
        <w:ind w:left="720" w:hanging="720"/>
        <w:rPr>
          <w:rFonts w:eastAsia="Times New Roman" w:cstheme="minorHAnsi"/>
          <w:sz w:val="20"/>
          <w:szCs w:val="20"/>
        </w:rPr>
      </w:pPr>
      <w:r>
        <w:t xml:space="preserve">USEPA, 2020. </w:t>
      </w:r>
      <w:r w:rsidRPr="00E62AD2">
        <w:rPr>
          <w:i/>
          <w:iCs/>
        </w:rPr>
        <w:t xml:space="preserve"> Thiamethoxam -  Addendum to the Non-Pollinator Draft Risk Assessment (DRA) and Response to Public Comments</w:t>
      </w:r>
      <w:r>
        <w:rPr>
          <w:i/>
          <w:iCs/>
        </w:rPr>
        <w:t xml:space="preserve"> </w:t>
      </w:r>
      <w:r w:rsidRPr="00E62AD2">
        <w:rPr>
          <w:i/>
          <w:iCs/>
        </w:rPr>
        <w:t>Received on the Bee and Non-Pollinator DRAs</w:t>
      </w:r>
      <w:r w:rsidRPr="00E62AD2">
        <w:t>. Environmental Protection Agency, Office of Pesticide Programs,</w:t>
      </w:r>
      <w:r>
        <w:rPr>
          <w:i/>
          <w:iCs/>
        </w:rPr>
        <w:t xml:space="preserve"> </w:t>
      </w:r>
      <w:r w:rsidRPr="00E62AD2">
        <w:t>Environmental Fate and Effects Division, January 06, 2020.</w:t>
      </w:r>
      <w:bookmarkEnd w:id="3"/>
    </w:p>
    <w:sectPr w:rsidR="00E62AD2" w:rsidSect="00E62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C158" w14:textId="77777777" w:rsidR="002B309A" w:rsidRDefault="002B309A" w:rsidP="000639E5">
      <w:r>
        <w:separator/>
      </w:r>
    </w:p>
  </w:endnote>
  <w:endnote w:type="continuationSeparator" w:id="0">
    <w:p w14:paraId="71C67827" w14:textId="77777777" w:rsidR="002B309A" w:rsidRDefault="002B309A" w:rsidP="000639E5">
      <w:r>
        <w:continuationSeparator/>
      </w:r>
    </w:p>
  </w:endnote>
  <w:endnote w:type="continuationNotice" w:id="1">
    <w:p w14:paraId="216CB2E1" w14:textId="77777777" w:rsidR="002B309A" w:rsidRDefault="002B3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751242"/>
      <w:docPartObj>
        <w:docPartGallery w:val="Page Numbers (Bottom of Page)"/>
        <w:docPartUnique/>
      </w:docPartObj>
    </w:sdtPr>
    <w:sdtEndPr>
      <w:rPr>
        <w:noProof/>
      </w:rPr>
    </w:sdtEndPr>
    <w:sdtContent>
      <w:p w14:paraId="21B2C413" w14:textId="6CFA7F7E" w:rsidR="002B309A" w:rsidRDefault="002B30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76FC" w14:textId="77777777" w:rsidR="002B309A" w:rsidRDefault="002B309A" w:rsidP="000639E5">
      <w:r>
        <w:separator/>
      </w:r>
    </w:p>
  </w:footnote>
  <w:footnote w:type="continuationSeparator" w:id="0">
    <w:p w14:paraId="738A3AB3" w14:textId="77777777" w:rsidR="002B309A" w:rsidRDefault="002B309A" w:rsidP="000639E5">
      <w:r>
        <w:continuationSeparator/>
      </w:r>
    </w:p>
  </w:footnote>
  <w:footnote w:type="continuationNotice" w:id="1">
    <w:p w14:paraId="6AFCA867" w14:textId="77777777" w:rsidR="002B309A" w:rsidRDefault="002B309A">
      <w:pPr>
        <w:spacing w:after="0" w:line="240" w:lineRule="auto"/>
      </w:pPr>
    </w:p>
  </w:footnote>
  <w:footnote w:id="2">
    <w:p w14:paraId="56B51EBA" w14:textId="0E561BE3" w:rsidR="002B309A" w:rsidRPr="002A1187" w:rsidRDefault="002B309A" w:rsidP="002A1187">
      <w:pPr>
        <w:spacing w:after="0" w:line="240" w:lineRule="auto"/>
        <w:rPr>
          <w:sz w:val="16"/>
          <w:szCs w:val="16"/>
        </w:rPr>
      </w:pPr>
      <w:r>
        <w:rPr>
          <w:rStyle w:val="FootnoteReference"/>
        </w:rPr>
        <w:footnoteRef/>
      </w:r>
      <w:r>
        <w:t xml:space="preserve"> </w:t>
      </w:r>
      <w:r w:rsidRPr="00B74A7B">
        <w:rPr>
          <w:sz w:val="16"/>
          <w:szCs w:val="16"/>
        </w:rPr>
        <w:t>Mean, Median, and Standard Deviation (Stdev) were estimated using the Kaplan-Meier method for censored datasets (Helsel 2012).</w:t>
      </w:r>
    </w:p>
  </w:footnote>
  <w:footnote w:id="3">
    <w:p w14:paraId="5BCF1FAB" w14:textId="227A2F24" w:rsidR="002B309A" w:rsidRDefault="002B309A">
      <w:pPr>
        <w:pStyle w:val="FootnoteText"/>
      </w:pPr>
      <w:r>
        <w:rPr>
          <w:rStyle w:val="FootnoteReference"/>
        </w:rPr>
        <w:footnoteRef/>
      </w:r>
      <w:r>
        <w:t xml:space="preserve"> </w:t>
      </w:r>
      <w:r w:rsidRPr="00106A10">
        <w:rPr>
          <w:sz w:val="16"/>
          <w:szCs w:val="16"/>
        </w:rPr>
        <w:t xml:space="preserve">A correction has been published (March 15, 2008) for this article addressing the errors described above </w:t>
      </w:r>
      <w:hyperlink r:id="rId1" w:history="1">
        <w:r w:rsidRPr="00106A10">
          <w:rPr>
            <w:rStyle w:val="Hyperlink"/>
            <w:sz w:val="16"/>
            <w:szCs w:val="16"/>
          </w:rPr>
          <w:t>https://doi.org/10.1371/journal.pone.0194634</w:t>
        </w:r>
      </w:hyperlink>
      <w:r w:rsidRPr="00106A10">
        <w:rPr>
          <w:sz w:val="16"/>
          <w:szCs w:val="16"/>
        </w:rPr>
        <w:t xml:space="preserve"> . The corrected mean and maximum concentration of thiamethoxam were 0.003 and 0.02 ppb, respectively, which fall in line with the majority of water monitoring data for thiamethoxam in surface waters</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B1576"/>
    <w:multiLevelType w:val="hybridMultilevel"/>
    <w:tmpl w:val="48F8A9CA"/>
    <w:lvl w:ilvl="0" w:tplc="C9401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1B0EEE"/>
    <w:multiLevelType w:val="hybridMultilevel"/>
    <w:tmpl w:val="BFFC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59F0"/>
    <w:multiLevelType w:val="multilevel"/>
    <w:tmpl w:val="46C0BE14"/>
    <w:styleLink w:val="Style1"/>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CF1F52"/>
    <w:multiLevelType w:val="multilevel"/>
    <w:tmpl w:val="5E684E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B5441B"/>
    <w:multiLevelType w:val="hybridMultilevel"/>
    <w:tmpl w:val="A932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303C8"/>
    <w:multiLevelType w:val="multilevel"/>
    <w:tmpl w:val="76785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EA2E6B"/>
    <w:multiLevelType w:val="hybridMultilevel"/>
    <w:tmpl w:val="E8C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11AE0"/>
    <w:multiLevelType w:val="multilevel"/>
    <w:tmpl w:val="BCFA3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8C16DD"/>
    <w:multiLevelType w:val="multilevel"/>
    <w:tmpl w:val="76785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F3643D"/>
    <w:multiLevelType w:val="hybridMultilevel"/>
    <w:tmpl w:val="05C0DD04"/>
    <w:lvl w:ilvl="0" w:tplc="D1C0720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7247A"/>
    <w:multiLevelType w:val="multilevel"/>
    <w:tmpl w:val="46C0BE14"/>
    <w:numStyleLink w:val="Style1"/>
  </w:abstractNum>
  <w:abstractNum w:abstractNumId="11" w15:restartNumberingAfterBreak="0">
    <w:nsid w:val="3E7D1417"/>
    <w:multiLevelType w:val="multilevel"/>
    <w:tmpl w:val="5B728EC8"/>
    <w:lvl w:ilvl="0">
      <w:start w:val="1"/>
      <w:numFmt w:val="decimal"/>
      <w:lvlText w:val="%1."/>
      <w:lvlJc w:val="left"/>
      <w:pPr>
        <w:ind w:left="630" w:hanging="360"/>
      </w:pPr>
      <w:rPr>
        <w:rFonts w:hint="default"/>
      </w:rPr>
    </w:lvl>
    <w:lvl w:ilvl="1">
      <w:start w:val="1"/>
      <w:numFmt w:val="decimal"/>
      <w:lvlText w:val="%1.%2."/>
      <w:lvlJc w:val="left"/>
      <w:pPr>
        <w:ind w:left="97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96B00"/>
    <w:multiLevelType w:val="multilevel"/>
    <w:tmpl w:val="B882EC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D14527"/>
    <w:multiLevelType w:val="hybridMultilevel"/>
    <w:tmpl w:val="226047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16A83"/>
    <w:multiLevelType w:val="multilevel"/>
    <w:tmpl w:val="B882EC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B95D18"/>
    <w:multiLevelType w:val="hybridMultilevel"/>
    <w:tmpl w:val="3C2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33C2"/>
    <w:multiLevelType w:val="hybridMultilevel"/>
    <w:tmpl w:val="FC0028F8"/>
    <w:lvl w:ilvl="0" w:tplc="B49421BE">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9718A"/>
    <w:multiLevelType w:val="hybridMultilevel"/>
    <w:tmpl w:val="2F6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A367E"/>
    <w:multiLevelType w:val="multilevel"/>
    <w:tmpl w:val="F57ACB4C"/>
    <w:lvl w:ilvl="0">
      <w:start w:val="1"/>
      <w:numFmt w:val="decimal"/>
      <w:lvlText w:val="%1."/>
      <w:lvlJc w:val="left"/>
      <w:pPr>
        <w:ind w:left="117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023924"/>
    <w:multiLevelType w:val="hybridMultilevel"/>
    <w:tmpl w:val="A984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7022B"/>
    <w:multiLevelType w:val="hybridMultilevel"/>
    <w:tmpl w:val="D68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B03C6"/>
    <w:multiLevelType w:val="multilevel"/>
    <w:tmpl w:val="E8F80570"/>
    <w:lvl w:ilvl="0">
      <w:start w:val="1"/>
      <w:numFmt w:val="decimal"/>
      <w:pStyle w:val="BE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F2B6A5B"/>
    <w:multiLevelType w:val="hybridMultilevel"/>
    <w:tmpl w:val="F9A84FAE"/>
    <w:lvl w:ilvl="0" w:tplc="74C63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2"/>
  </w:num>
  <w:num w:numId="4">
    <w:abstractNumId w:val="22"/>
  </w:num>
  <w:num w:numId="5">
    <w:abstractNumId w:val="16"/>
  </w:num>
  <w:num w:numId="6">
    <w:abstractNumId w:val="5"/>
  </w:num>
  <w:num w:numId="7">
    <w:abstractNumId w:val="3"/>
  </w:num>
  <w:num w:numId="8">
    <w:abstractNumId w:val="7"/>
  </w:num>
  <w:num w:numId="9">
    <w:abstractNumId w:val="8"/>
  </w:num>
  <w:num w:numId="10">
    <w:abstractNumId w:val="13"/>
  </w:num>
  <w:num w:numId="11">
    <w:abstractNumId w:val="2"/>
  </w:num>
  <w:num w:numId="12">
    <w:abstractNumId w:val="10"/>
  </w:num>
  <w:num w:numId="13">
    <w:abstractNumId w:val="15"/>
  </w:num>
  <w:num w:numId="14">
    <w:abstractNumId w:val="19"/>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4"/>
  </w:num>
  <w:num w:numId="24">
    <w:abstractNumId w:val="18"/>
  </w:num>
  <w:num w:numId="25">
    <w:abstractNumId w:val="1"/>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1HaRtx07fAe1rULMHYoOovKrQBvBnglOl5CI7oZ7Ms6g/4ak7zzuasXlh8zuPJ14GoHVDt9FxtECQBxhk/I8w==" w:salt="9dxIb/X1xdnsbKvsgHVyRw=="/>
  <w:defaultTabStop w:val="720"/>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E5"/>
    <w:rsid w:val="00000FD3"/>
    <w:rsid w:val="00003F4B"/>
    <w:rsid w:val="00005417"/>
    <w:rsid w:val="000111B2"/>
    <w:rsid w:val="0001325B"/>
    <w:rsid w:val="00014AE3"/>
    <w:rsid w:val="00017B92"/>
    <w:rsid w:val="0002225E"/>
    <w:rsid w:val="0003530C"/>
    <w:rsid w:val="0003562A"/>
    <w:rsid w:val="00037AF2"/>
    <w:rsid w:val="00040971"/>
    <w:rsid w:val="000423A7"/>
    <w:rsid w:val="0004342E"/>
    <w:rsid w:val="00047A43"/>
    <w:rsid w:val="00050749"/>
    <w:rsid w:val="00050CA8"/>
    <w:rsid w:val="0005130A"/>
    <w:rsid w:val="00052676"/>
    <w:rsid w:val="0005348A"/>
    <w:rsid w:val="00055B57"/>
    <w:rsid w:val="00060229"/>
    <w:rsid w:val="000639E5"/>
    <w:rsid w:val="00063DDC"/>
    <w:rsid w:val="000675B9"/>
    <w:rsid w:val="000721B6"/>
    <w:rsid w:val="000735D9"/>
    <w:rsid w:val="00076173"/>
    <w:rsid w:val="00083D22"/>
    <w:rsid w:val="00084F73"/>
    <w:rsid w:val="00085146"/>
    <w:rsid w:val="000A1AF7"/>
    <w:rsid w:val="000B1289"/>
    <w:rsid w:val="000B4CD9"/>
    <w:rsid w:val="000B7C1A"/>
    <w:rsid w:val="000C2A7A"/>
    <w:rsid w:val="000C39C3"/>
    <w:rsid w:val="000C5524"/>
    <w:rsid w:val="000C77EF"/>
    <w:rsid w:val="000D2A06"/>
    <w:rsid w:val="000E1282"/>
    <w:rsid w:val="000F1BCF"/>
    <w:rsid w:val="000F2C4B"/>
    <w:rsid w:val="000F5627"/>
    <w:rsid w:val="000F75D4"/>
    <w:rsid w:val="0010313E"/>
    <w:rsid w:val="00106A10"/>
    <w:rsid w:val="001118D8"/>
    <w:rsid w:val="00111C95"/>
    <w:rsid w:val="00112912"/>
    <w:rsid w:val="00113CD1"/>
    <w:rsid w:val="001149B1"/>
    <w:rsid w:val="00117030"/>
    <w:rsid w:val="00117041"/>
    <w:rsid w:val="00117DB2"/>
    <w:rsid w:val="00120C86"/>
    <w:rsid w:val="001231B6"/>
    <w:rsid w:val="00127569"/>
    <w:rsid w:val="00132EA3"/>
    <w:rsid w:val="0013523B"/>
    <w:rsid w:val="00137034"/>
    <w:rsid w:val="00137DD6"/>
    <w:rsid w:val="00150BF2"/>
    <w:rsid w:val="0015506D"/>
    <w:rsid w:val="00156F83"/>
    <w:rsid w:val="00160D48"/>
    <w:rsid w:val="001612F5"/>
    <w:rsid w:val="001710F0"/>
    <w:rsid w:val="00171953"/>
    <w:rsid w:val="001745D2"/>
    <w:rsid w:val="001842A9"/>
    <w:rsid w:val="001862A7"/>
    <w:rsid w:val="001A04E9"/>
    <w:rsid w:val="001B0BCA"/>
    <w:rsid w:val="001B0C40"/>
    <w:rsid w:val="001B0CFE"/>
    <w:rsid w:val="001B199F"/>
    <w:rsid w:val="001B2A22"/>
    <w:rsid w:val="001B445B"/>
    <w:rsid w:val="001C40BC"/>
    <w:rsid w:val="001D1C04"/>
    <w:rsid w:val="001D3C8A"/>
    <w:rsid w:val="001D4774"/>
    <w:rsid w:val="001D6085"/>
    <w:rsid w:val="001D6D1B"/>
    <w:rsid w:val="001D7566"/>
    <w:rsid w:val="001E1FB5"/>
    <w:rsid w:val="001E3A7C"/>
    <w:rsid w:val="001E46F7"/>
    <w:rsid w:val="001E52E2"/>
    <w:rsid w:val="001E62F0"/>
    <w:rsid w:val="001E792D"/>
    <w:rsid w:val="001F275B"/>
    <w:rsid w:val="001F696B"/>
    <w:rsid w:val="00204262"/>
    <w:rsid w:val="0020761B"/>
    <w:rsid w:val="00212D9B"/>
    <w:rsid w:val="002251F3"/>
    <w:rsid w:val="0022614D"/>
    <w:rsid w:val="002267B7"/>
    <w:rsid w:val="00227177"/>
    <w:rsid w:val="00230278"/>
    <w:rsid w:val="00232BC2"/>
    <w:rsid w:val="0023421B"/>
    <w:rsid w:val="002345F5"/>
    <w:rsid w:val="002372AF"/>
    <w:rsid w:val="00245B90"/>
    <w:rsid w:val="00253F6D"/>
    <w:rsid w:val="00261B44"/>
    <w:rsid w:val="00262830"/>
    <w:rsid w:val="00262890"/>
    <w:rsid w:val="002714E9"/>
    <w:rsid w:val="00271BA6"/>
    <w:rsid w:val="00273D9D"/>
    <w:rsid w:val="00273E5E"/>
    <w:rsid w:val="00285025"/>
    <w:rsid w:val="00291215"/>
    <w:rsid w:val="00293E71"/>
    <w:rsid w:val="00295589"/>
    <w:rsid w:val="00297A6D"/>
    <w:rsid w:val="002A1187"/>
    <w:rsid w:val="002B309A"/>
    <w:rsid w:val="002C1E53"/>
    <w:rsid w:val="002C3DFF"/>
    <w:rsid w:val="002C3F7E"/>
    <w:rsid w:val="002C4C0F"/>
    <w:rsid w:val="002C7EC0"/>
    <w:rsid w:val="002D211F"/>
    <w:rsid w:val="002D2851"/>
    <w:rsid w:val="002D46CE"/>
    <w:rsid w:val="002E46FE"/>
    <w:rsid w:val="002E664A"/>
    <w:rsid w:val="002E672D"/>
    <w:rsid w:val="002E7F41"/>
    <w:rsid w:val="002F056C"/>
    <w:rsid w:val="002F0E98"/>
    <w:rsid w:val="002F2A59"/>
    <w:rsid w:val="002F6297"/>
    <w:rsid w:val="003000DA"/>
    <w:rsid w:val="003027EC"/>
    <w:rsid w:val="00303BD4"/>
    <w:rsid w:val="00303F3B"/>
    <w:rsid w:val="00306A9F"/>
    <w:rsid w:val="0031623F"/>
    <w:rsid w:val="00316ECB"/>
    <w:rsid w:val="00321B83"/>
    <w:rsid w:val="00326509"/>
    <w:rsid w:val="00336518"/>
    <w:rsid w:val="00347F73"/>
    <w:rsid w:val="00352DFA"/>
    <w:rsid w:val="003562D7"/>
    <w:rsid w:val="00356FC1"/>
    <w:rsid w:val="00361984"/>
    <w:rsid w:val="00366F35"/>
    <w:rsid w:val="00372F2C"/>
    <w:rsid w:val="00381946"/>
    <w:rsid w:val="00382831"/>
    <w:rsid w:val="0039445F"/>
    <w:rsid w:val="0039641A"/>
    <w:rsid w:val="00396A1A"/>
    <w:rsid w:val="003974FD"/>
    <w:rsid w:val="003A4B8E"/>
    <w:rsid w:val="003A72B0"/>
    <w:rsid w:val="003C032D"/>
    <w:rsid w:val="003C0510"/>
    <w:rsid w:val="003C29F6"/>
    <w:rsid w:val="003C57AE"/>
    <w:rsid w:val="003C6C83"/>
    <w:rsid w:val="003C6DA3"/>
    <w:rsid w:val="003D19E9"/>
    <w:rsid w:val="003D60FC"/>
    <w:rsid w:val="003E0D43"/>
    <w:rsid w:val="003E4C17"/>
    <w:rsid w:val="003E66C7"/>
    <w:rsid w:val="003F01F4"/>
    <w:rsid w:val="003F0751"/>
    <w:rsid w:val="003F78A8"/>
    <w:rsid w:val="004032FF"/>
    <w:rsid w:val="004068B4"/>
    <w:rsid w:val="00406F2D"/>
    <w:rsid w:val="004108FE"/>
    <w:rsid w:val="00411291"/>
    <w:rsid w:val="00412784"/>
    <w:rsid w:val="00414E87"/>
    <w:rsid w:val="00415BA4"/>
    <w:rsid w:val="00415DAE"/>
    <w:rsid w:val="00420AC4"/>
    <w:rsid w:val="00425638"/>
    <w:rsid w:val="004339AF"/>
    <w:rsid w:val="00435ADA"/>
    <w:rsid w:val="00437100"/>
    <w:rsid w:val="00437B2B"/>
    <w:rsid w:val="00440438"/>
    <w:rsid w:val="00440A96"/>
    <w:rsid w:val="00441FEC"/>
    <w:rsid w:val="00446A54"/>
    <w:rsid w:val="00450B50"/>
    <w:rsid w:val="004578D0"/>
    <w:rsid w:val="00461131"/>
    <w:rsid w:val="004614C8"/>
    <w:rsid w:val="00471892"/>
    <w:rsid w:val="0047497D"/>
    <w:rsid w:val="00476EE9"/>
    <w:rsid w:val="00480B9F"/>
    <w:rsid w:val="00480CD9"/>
    <w:rsid w:val="0048369A"/>
    <w:rsid w:val="00485812"/>
    <w:rsid w:val="004909B7"/>
    <w:rsid w:val="004929DE"/>
    <w:rsid w:val="0049499B"/>
    <w:rsid w:val="00494EB7"/>
    <w:rsid w:val="00495CDC"/>
    <w:rsid w:val="00496437"/>
    <w:rsid w:val="004977EB"/>
    <w:rsid w:val="004A306E"/>
    <w:rsid w:val="004A3DA9"/>
    <w:rsid w:val="004A7B45"/>
    <w:rsid w:val="004B1127"/>
    <w:rsid w:val="004B27AB"/>
    <w:rsid w:val="004B36F9"/>
    <w:rsid w:val="004C2221"/>
    <w:rsid w:val="004C65FB"/>
    <w:rsid w:val="004D02EF"/>
    <w:rsid w:val="004D1D8B"/>
    <w:rsid w:val="004D46A4"/>
    <w:rsid w:val="004E2818"/>
    <w:rsid w:val="004E315D"/>
    <w:rsid w:val="004F09A9"/>
    <w:rsid w:val="004F5110"/>
    <w:rsid w:val="00500624"/>
    <w:rsid w:val="00506D1B"/>
    <w:rsid w:val="0051047B"/>
    <w:rsid w:val="005125CB"/>
    <w:rsid w:val="00514880"/>
    <w:rsid w:val="005157A7"/>
    <w:rsid w:val="005158CF"/>
    <w:rsid w:val="00521178"/>
    <w:rsid w:val="005227C6"/>
    <w:rsid w:val="00524EA2"/>
    <w:rsid w:val="005278EC"/>
    <w:rsid w:val="00535A55"/>
    <w:rsid w:val="0053636F"/>
    <w:rsid w:val="00541676"/>
    <w:rsid w:val="005461D2"/>
    <w:rsid w:val="00551765"/>
    <w:rsid w:val="00555C8E"/>
    <w:rsid w:val="00556EF2"/>
    <w:rsid w:val="00560B02"/>
    <w:rsid w:val="00561207"/>
    <w:rsid w:val="00562AFC"/>
    <w:rsid w:val="0056475C"/>
    <w:rsid w:val="00565740"/>
    <w:rsid w:val="00566B3C"/>
    <w:rsid w:val="0056701B"/>
    <w:rsid w:val="00583C13"/>
    <w:rsid w:val="00585819"/>
    <w:rsid w:val="00592664"/>
    <w:rsid w:val="005A27A9"/>
    <w:rsid w:val="005A67C4"/>
    <w:rsid w:val="005B0BDB"/>
    <w:rsid w:val="005C045E"/>
    <w:rsid w:val="005C2FD7"/>
    <w:rsid w:val="005D0B5C"/>
    <w:rsid w:val="005D1FD5"/>
    <w:rsid w:val="005E7E89"/>
    <w:rsid w:val="005F0270"/>
    <w:rsid w:val="005F0C0B"/>
    <w:rsid w:val="005F2617"/>
    <w:rsid w:val="005F2ABF"/>
    <w:rsid w:val="005F2BF4"/>
    <w:rsid w:val="005F3013"/>
    <w:rsid w:val="00606AFF"/>
    <w:rsid w:val="00611743"/>
    <w:rsid w:val="00611F23"/>
    <w:rsid w:val="006131C7"/>
    <w:rsid w:val="00616644"/>
    <w:rsid w:val="006234D8"/>
    <w:rsid w:val="00623D81"/>
    <w:rsid w:val="006265C2"/>
    <w:rsid w:val="00626AC5"/>
    <w:rsid w:val="006279EC"/>
    <w:rsid w:val="006302EE"/>
    <w:rsid w:val="0063084A"/>
    <w:rsid w:val="00631980"/>
    <w:rsid w:val="00633DA6"/>
    <w:rsid w:val="00635EB2"/>
    <w:rsid w:val="006370F2"/>
    <w:rsid w:val="00643624"/>
    <w:rsid w:val="006439BE"/>
    <w:rsid w:val="00643E77"/>
    <w:rsid w:val="006539A0"/>
    <w:rsid w:val="006628E7"/>
    <w:rsid w:val="006728C8"/>
    <w:rsid w:val="0067545E"/>
    <w:rsid w:val="00680020"/>
    <w:rsid w:val="00680800"/>
    <w:rsid w:val="006810A9"/>
    <w:rsid w:val="006812E0"/>
    <w:rsid w:val="00684CED"/>
    <w:rsid w:val="00692376"/>
    <w:rsid w:val="006933E9"/>
    <w:rsid w:val="00697D40"/>
    <w:rsid w:val="006A4C09"/>
    <w:rsid w:val="006A661A"/>
    <w:rsid w:val="006B07CC"/>
    <w:rsid w:val="006B1DE5"/>
    <w:rsid w:val="006B1F20"/>
    <w:rsid w:val="006B3463"/>
    <w:rsid w:val="006C0BC8"/>
    <w:rsid w:val="006C0E4D"/>
    <w:rsid w:val="006C1ABC"/>
    <w:rsid w:val="006C59A3"/>
    <w:rsid w:val="006E1A1C"/>
    <w:rsid w:val="006E4909"/>
    <w:rsid w:val="006E4978"/>
    <w:rsid w:val="006E6880"/>
    <w:rsid w:val="006F0F93"/>
    <w:rsid w:val="006F2014"/>
    <w:rsid w:val="006F5024"/>
    <w:rsid w:val="007028A6"/>
    <w:rsid w:val="0071189E"/>
    <w:rsid w:val="00713A87"/>
    <w:rsid w:val="00723555"/>
    <w:rsid w:val="00730A93"/>
    <w:rsid w:val="007334DA"/>
    <w:rsid w:val="00737C2C"/>
    <w:rsid w:val="00737DB8"/>
    <w:rsid w:val="0074169D"/>
    <w:rsid w:val="00744F69"/>
    <w:rsid w:val="00746C3E"/>
    <w:rsid w:val="0075202F"/>
    <w:rsid w:val="0075334D"/>
    <w:rsid w:val="0075426D"/>
    <w:rsid w:val="00755E06"/>
    <w:rsid w:val="0075752A"/>
    <w:rsid w:val="00760743"/>
    <w:rsid w:val="007713B9"/>
    <w:rsid w:val="00771C56"/>
    <w:rsid w:val="007723BD"/>
    <w:rsid w:val="007745AD"/>
    <w:rsid w:val="00774906"/>
    <w:rsid w:val="00775E02"/>
    <w:rsid w:val="00782452"/>
    <w:rsid w:val="00784558"/>
    <w:rsid w:val="0078521D"/>
    <w:rsid w:val="00797436"/>
    <w:rsid w:val="007A0370"/>
    <w:rsid w:val="007A2C8E"/>
    <w:rsid w:val="007A3F7B"/>
    <w:rsid w:val="007A7807"/>
    <w:rsid w:val="007B1DCA"/>
    <w:rsid w:val="007B5B78"/>
    <w:rsid w:val="007B6369"/>
    <w:rsid w:val="007B7C2D"/>
    <w:rsid w:val="007C512A"/>
    <w:rsid w:val="007D015D"/>
    <w:rsid w:val="007D3D18"/>
    <w:rsid w:val="007E0F61"/>
    <w:rsid w:val="007E0FDA"/>
    <w:rsid w:val="007E1D93"/>
    <w:rsid w:val="007E2134"/>
    <w:rsid w:val="007E6340"/>
    <w:rsid w:val="007F17C1"/>
    <w:rsid w:val="007F3144"/>
    <w:rsid w:val="007F6BC8"/>
    <w:rsid w:val="007F6EBD"/>
    <w:rsid w:val="007F7317"/>
    <w:rsid w:val="007F7626"/>
    <w:rsid w:val="008023BC"/>
    <w:rsid w:val="00803607"/>
    <w:rsid w:val="008051AB"/>
    <w:rsid w:val="008159CC"/>
    <w:rsid w:val="00816CBB"/>
    <w:rsid w:val="00826A90"/>
    <w:rsid w:val="00826C1D"/>
    <w:rsid w:val="00827576"/>
    <w:rsid w:val="008277C8"/>
    <w:rsid w:val="008304B0"/>
    <w:rsid w:val="00830EA1"/>
    <w:rsid w:val="008327B8"/>
    <w:rsid w:val="008334B9"/>
    <w:rsid w:val="00836203"/>
    <w:rsid w:val="00836710"/>
    <w:rsid w:val="00840FC6"/>
    <w:rsid w:val="0084546D"/>
    <w:rsid w:val="00847811"/>
    <w:rsid w:val="00850148"/>
    <w:rsid w:val="00851013"/>
    <w:rsid w:val="00857136"/>
    <w:rsid w:val="008631A3"/>
    <w:rsid w:val="00863364"/>
    <w:rsid w:val="00863713"/>
    <w:rsid w:val="00865C6E"/>
    <w:rsid w:val="0087102F"/>
    <w:rsid w:val="00875CB9"/>
    <w:rsid w:val="00881900"/>
    <w:rsid w:val="00882450"/>
    <w:rsid w:val="00883E0D"/>
    <w:rsid w:val="008921CF"/>
    <w:rsid w:val="0089450F"/>
    <w:rsid w:val="00895DD9"/>
    <w:rsid w:val="00896D8C"/>
    <w:rsid w:val="008A35BD"/>
    <w:rsid w:val="008B0A2D"/>
    <w:rsid w:val="008B1391"/>
    <w:rsid w:val="008B27D4"/>
    <w:rsid w:val="008B5D38"/>
    <w:rsid w:val="008B78C8"/>
    <w:rsid w:val="008B7B87"/>
    <w:rsid w:val="008C1BE5"/>
    <w:rsid w:val="008C20EB"/>
    <w:rsid w:val="008C671C"/>
    <w:rsid w:val="008C6C34"/>
    <w:rsid w:val="008C7A74"/>
    <w:rsid w:val="008D0731"/>
    <w:rsid w:val="008D7BDA"/>
    <w:rsid w:val="008D7E7F"/>
    <w:rsid w:val="008E24B6"/>
    <w:rsid w:val="008E71EF"/>
    <w:rsid w:val="008F0B21"/>
    <w:rsid w:val="00904C3D"/>
    <w:rsid w:val="00912525"/>
    <w:rsid w:val="0091303F"/>
    <w:rsid w:val="009209C7"/>
    <w:rsid w:val="00922853"/>
    <w:rsid w:val="00924DAE"/>
    <w:rsid w:val="0093342E"/>
    <w:rsid w:val="00934A8B"/>
    <w:rsid w:val="00940D27"/>
    <w:rsid w:val="00945A27"/>
    <w:rsid w:val="00952A71"/>
    <w:rsid w:val="00954D83"/>
    <w:rsid w:val="00957807"/>
    <w:rsid w:val="0096083D"/>
    <w:rsid w:val="00964DA3"/>
    <w:rsid w:val="00966309"/>
    <w:rsid w:val="009669AD"/>
    <w:rsid w:val="00973F07"/>
    <w:rsid w:val="00974FA3"/>
    <w:rsid w:val="009753DA"/>
    <w:rsid w:val="0098083C"/>
    <w:rsid w:val="00982C03"/>
    <w:rsid w:val="009832C2"/>
    <w:rsid w:val="00987E8F"/>
    <w:rsid w:val="009917EA"/>
    <w:rsid w:val="009951BB"/>
    <w:rsid w:val="0099763A"/>
    <w:rsid w:val="009A4CBB"/>
    <w:rsid w:val="009A4D38"/>
    <w:rsid w:val="009B536E"/>
    <w:rsid w:val="009B57C0"/>
    <w:rsid w:val="009B779D"/>
    <w:rsid w:val="009B7BF0"/>
    <w:rsid w:val="009C4172"/>
    <w:rsid w:val="009C62E0"/>
    <w:rsid w:val="009D3761"/>
    <w:rsid w:val="009D4B53"/>
    <w:rsid w:val="009D7227"/>
    <w:rsid w:val="009E168D"/>
    <w:rsid w:val="009F0E9F"/>
    <w:rsid w:val="009F259D"/>
    <w:rsid w:val="009F2BAB"/>
    <w:rsid w:val="009F6B23"/>
    <w:rsid w:val="00A016D6"/>
    <w:rsid w:val="00A02E34"/>
    <w:rsid w:val="00A0446C"/>
    <w:rsid w:val="00A07502"/>
    <w:rsid w:val="00A172F2"/>
    <w:rsid w:val="00A20B63"/>
    <w:rsid w:val="00A27A84"/>
    <w:rsid w:val="00A33ACC"/>
    <w:rsid w:val="00A440D6"/>
    <w:rsid w:val="00A50552"/>
    <w:rsid w:val="00A67840"/>
    <w:rsid w:val="00A71061"/>
    <w:rsid w:val="00A74D30"/>
    <w:rsid w:val="00A75143"/>
    <w:rsid w:val="00A774F5"/>
    <w:rsid w:val="00A77774"/>
    <w:rsid w:val="00A81654"/>
    <w:rsid w:val="00A81708"/>
    <w:rsid w:val="00A84DCA"/>
    <w:rsid w:val="00A860CF"/>
    <w:rsid w:val="00A942CD"/>
    <w:rsid w:val="00A975CF"/>
    <w:rsid w:val="00AA15CC"/>
    <w:rsid w:val="00AA1E62"/>
    <w:rsid w:val="00AA4633"/>
    <w:rsid w:val="00AB1704"/>
    <w:rsid w:val="00AB1AC4"/>
    <w:rsid w:val="00AB2738"/>
    <w:rsid w:val="00AB32FD"/>
    <w:rsid w:val="00AB3FC7"/>
    <w:rsid w:val="00AB42C6"/>
    <w:rsid w:val="00AB74B4"/>
    <w:rsid w:val="00AC2384"/>
    <w:rsid w:val="00AC3152"/>
    <w:rsid w:val="00AC7A61"/>
    <w:rsid w:val="00AD32B1"/>
    <w:rsid w:val="00AE06F6"/>
    <w:rsid w:val="00AE346C"/>
    <w:rsid w:val="00AE3950"/>
    <w:rsid w:val="00AE6E81"/>
    <w:rsid w:val="00AF1E6D"/>
    <w:rsid w:val="00AF7044"/>
    <w:rsid w:val="00B06354"/>
    <w:rsid w:val="00B11F9A"/>
    <w:rsid w:val="00B12429"/>
    <w:rsid w:val="00B17126"/>
    <w:rsid w:val="00B17F58"/>
    <w:rsid w:val="00B30647"/>
    <w:rsid w:val="00B31185"/>
    <w:rsid w:val="00B3199E"/>
    <w:rsid w:val="00B35080"/>
    <w:rsid w:val="00B354C3"/>
    <w:rsid w:val="00B375FB"/>
    <w:rsid w:val="00B40654"/>
    <w:rsid w:val="00B4178B"/>
    <w:rsid w:val="00B42EEF"/>
    <w:rsid w:val="00B43695"/>
    <w:rsid w:val="00B46297"/>
    <w:rsid w:val="00B52D6D"/>
    <w:rsid w:val="00B5387C"/>
    <w:rsid w:val="00B53A89"/>
    <w:rsid w:val="00B57970"/>
    <w:rsid w:val="00B61A4A"/>
    <w:rsid w:val="00B62BDC"/>
    <w:rsid w:val="00B6347E"/>
    <w:rsid w:val="00B64107"/>
    <w:rsid w:val="00B6589C"/>
    <w:rsid w:val="00B71CC3"/>
    <w:rsid w:val="00B73165"/>
    <w:rsid w:val="00B74A7B"/>
    <w:rsid w:val="00B75E38"/>
    <w:rsid w:val="00B9302F"/>
    <w:rsid w:val="00B951B7"/>
    <w:rsid w:val="00BB2BDA"/>
    <w:rsid w:val="00BB5953"/>
    <w:rsid w:val="00BC5341"/>
    <w:rsid w:val="00BD3917"/>
    <w:rsid w:val="00BD5AF6"/>
    <w:rsid w:val="00BE038E"/>
    <w:rsid w:val="00BE0D3F"/>
    <w:rsid w:val="00BF2699"/>
    <w:rsid w:val="00BF461D"/>
    <w:rsid w:val="00C02176"/>
    <w:rsid w:val="00C041A7"/>
    <w:rsid w:val="00C10D90"/>
    <w:rsid w:val="00C13012"/>
    <w:rsid w:val="00C13354"/>
    <w:rsid w:val="00C260F0"/>
    <w:rsid w:val="00C30AAB"/>
    <w:rsid w:val="00C37DBF"/>
    <w:rsid w:val="00C413DB"/>
    <w:rsid w:val="00C41482"/>
    <w:rsid w:val="00C54900"/>
    <w:rsid w:val="00C5589F"/>
    <w:rsid w:val="00C567EA"/>
    <w:rsid w:val="00C62A99"/>
    <w:rsid w:val="00C674BD"/>
    <w:rsid w:val="00C7075D"/>
    <w:rsid w:val="00C90F4E"/>
    <w:rsid w:val="00C91E3F"/>
    <w:rsid w:val="00C92607"/>
    <w:rsid w:val="00C9289C"/>
    <w:rsid w:val="00C93BCB"/>
    <w:rsid w:val="00CA1A00"/>
    <w:rsid w:val="00CB1019"/>
    <w:rsid w:val="00CB154F"/>
    <w:rsid w:val="00CB36C3"/>
    <w:rsid w:val="00CC09DE"/>
    <w:rsid w:val="00CC4FCD"/>
    <w:rsid w:val="00CD6E02"/>
    <w:rsid w:val="00CD740B"/>
    <w:rsid w:val="00CE03F0"/>
    <w:rsid w:val="00CE0566"/>
    <w:rsid w:val="00CE2557"/>
    <w:rsid w:val="00CE4E77"/>
    <w:rsid w:val="00CE7656"/>
    <w:rsid w:val="00CF1AE2"/>
    <w:rsid w:val="00CF665D"/>
    <w:rsid w:val="00D024E0"/>
    <w:rsid w:val="00D03D72"/>
    <w:rsid w:val="00D040EF"/>
    <w:rsid w:val="00D04A54"/>
    <w:rsid w:val="00D053BD"/>
    <w:rsid w:val="00D147FC"/>
    <w:rsid w:val="00D14C1D"/>
    <w:rsid w:val="00D156D8"/>
    <w:rsid w:val="00D21CA6"/>
    <w:rsid w:val="00D27BDC"/>
    <w:rsid w:val="00D35C3C"/>
    <w:rsid w:val="00D44573"/>
    <w:rsid w:val="00D47537"/>
    <w:rsid w:val="00D500BC"/>
    <w:rsid w:val="00D506A7"/>
    <w:rsid w:val="00D54CE4"/>
    <w:rsid w:val="00D604CE"/>
    <w:rsid w:val="00D64D47"/>
    <w:rsid w:val="00D672FF"/>
    <w:rsid w:val="00D7513D"/>
    <w:rsid w:val="00D778AE"/>
    <w:rsid w:val="00D7793E"/>
    <w:rsid w:val="00DA0A8E"/>
    <w:rsid w:val="00DA145E"/>
    <w:rsid w:val="00DA2F32"/>
    <w:rsid w:val="00DA34C5"/>
    <w:rsid w:val="00DA3C6D"/>
    <w:rsid w:val="00DB10C0"/>
    <w:rsid w:val="00DB146A"/>
    <w:rsid w:val="00DB3442"/>
    <w:rsid w:val="00DB5D69"/>
    <w:rsid w:val="00DB7A82"/>
    <w:rsid w:val="00DC0769"/>
    <w:rsid w:val="00DC5748"/>
    <w:rsid w:val="00DC61C6"/>
    <w:rsid w:val="00DC77B2"/>
    <w:rsid w:val="00DD36AE"/>
    <w:rsid w:val="00DD5D23"/>
    <w:rsid w:val="00DE3777"/>
    <w:rsid w:val="00DE669D"/>
    <w:rsid w:val="00DE7330"/>
    <w:rsid w:val="00DE7972"/>
    <w:rsid w:val="00DF1581"/>
    <w:rsid w:val="00DF2B35"/>
    <w:rsid w:val="00DF37C7"/>
    <w:rsid w:val="00DF3EF7"/>
    <w:rsid w:val="00DF5DEA"/>
    <w:rsid w:val="00DF6C9B"/>
    <w:rsid w:val="00E00576"/>
    <w:rsid w:val="00E047AA"/>
    <w:rsid w:val="00E07981"/>
    <w:rsid w:val="00E10D0B"/>
    <w:rsid w:val="00E10E33"/>
    <w:rsid w:val="00E1491C"/>
    <w:rsid w:val="00E17E16"/>
    <w:rsid w:val="00E20483"/>
    <w:rsid w:val="00E2137E"/>
    <w:rsid w:val="00E2148C"/>
    <w:rsid w:val="00E2220E"/>
    <w:rsid w:val="00E2257D"/>
    <w:rsid w:val="00E227A6"/>
    <w:rsid w:val="00E27004"/>
    <w:rsid w:val="00E33EF3"/>
    <w:rsid w:val="00E3685C"/>
    <w:rsid w:val="00E36BA9"/>
    <w:rsid w:val="00E37A81"/>
    <w:rsid w:val="00E45F2A"/>
    <w:rsid w:val="00E46758"/>
    <w:rsid w:val="00E474AE"/>
    <w:rsid w:val="00E53031"/>
    <w:rsid w:val="00E53C9B"/>
    <w:rsid w:val="00E554B9"/>
    <w:rsid w:val="00E558C6"/>
    <w:rsid w:val="00E62AD2"/>
    <w:rsid w:val="00E63F0E"/>
    <w:rsid w:val="00E70648"/>
    <w:rsid w:val="00E73A9F"/>
    <w:rsid w:val="00E74E4E"/>
    <w:rsid w:val="00E77492"/>
    <w:rsid w:val="00E776C7"/>
    <w:rsid w:val="00E91C99"/>
    <w:rsid w:val="00E92E40"/>
    <w:rsid w:val="00E93F2A"/>
    <w:rsid w:val="00EA0FE3"/>
    <w:rsid w:val="00EA4CDD"/>
    <w:rsid w:val="00EB1CAE"/>
    <w:rsid w:val="00EB2F33"/>
    <w:rsid w:val="00EB43A5"/>
    <w:rsid w:val="00EB474C"/>
    <w:rsid w:val="00EB7232"/>
    <w:rsid w:val="00EC12F5"/>
    <w:rsid w:val="00EC5530"/>
    <w:rsid w:val="00ED0321"/>
    <w:rsid w:val="00ED4813"/>
    <w:rsid w:val="00ED5F20"/>
    <w:rsid w:val="00ED67C8"/>
    <w:rsid w:val="00ED7E58"/>
    <w:rsid w:val="00EE4DD6"/>
    <w:rsid w:val="00EE5F3A"/>
    <w:rsid w:val="00EF26EF"/>
    <w:rsid w:val="00EF6042"/>
    <w:rsid w:val="00EF6829"/>
    <w:rsid w:val="00F034C6"/>
    <w:rsid w:val="00F12DA3"/>
    <w:rsid w:val="00F16802"/>
    <w:rsid w:val="00F17F1C"/>
    <w:rsid w:val="00F2045E"/>
    <w:rsid w:val="00F24965"/>
    <w:rsid w:val="00F24BE3"/>
    <w:rsid w:val="00F25133"/>
    <w:rsid w:val="00F266EF"/>
    <w:rsid w:val="00F26ACE"/>
    <w:rsid w:val="00F27921"/>
    <w:rsid w:val="00F3208C"/>
    <w:rsid w:val="00F33E41"/>
    <w:rsid w:val="00F34969"/>
    <w:rsid w:val="00F41CEF"/>
    <w:rsid w:val="00F46658"/>
    <w:rsid w:val="00F5330F"/>
    <w:rsid w:val="00F53E70"/>
    <w:rsid w:val="00F61672"/>
    <w:rsid w:val="00F62908"/>
    <w:rsid w:val="00F701E3"/>
    <w:rsid w:val="00F80F9F"/>
    <w:rsid w:val="00F8221A"/>
    <w:rsid w:val="00F9522F"/>
    <w:rsid w:val="00F9634E"/>
    <w:rsid w:val="00FA1743"/>
    <w:rsid w:val="00FA4DD1"/>
    <w:rsid w:val="00FA6105"/>
    <w:rsid w:val="00FA6A34"/>
    <w:rsid w:val="00FB2608"/>
    <w:rsid w:val="00FB57E7"/>
    <w:rsid w:val="00FC3DD1"/>
    <w:rsid w:val="00FC674E"/>
    <w:rsid w:val="00FD1BB5"/>
    <w:rsid w:val="00FD2A16"/>
    <w:rsid w:val="00FD568C"/>
    <w:rsid w:val="00FE03E2"/>
    <w:rsid w:val="00FF4166"/>
    <w:rsid w:val="00FF5E7A"/>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EC95"/>
  <w15:docId w15:val="{57B99E84-F7FF-4D94-A2D5-09E1867C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8A"/>
  </w:style>
  <w:style w:type="paragraph" w:styleId="Heading1">
    <w:name w:val="heading 1"/>
    <w:basedOn w:val="Normal"/>
    <w:next w:val="Normal"/>
    <w:link w:val="Heading1Char"/>
    <w:uiPriority w:val="9"/>
    <w:qFormat/>
    <w:rsid w:val="001D3C8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7545E"/>
    <w:pPr>
      <w:keepNext/>
      <w:keepLines/>
      <w:spacing w:before="40" w:after="0" w:line="240" w:lineRule="auto"/>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iPriority w:val="9"/>
    <w:unhideWhenUsed/>
    <w:qFormat/>
    <w:rsid w:val="001D3C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D3C8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D3C8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D3C8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D3C8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D3C8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D3C8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ignature Table,DAR007"/>
    <w:basedOn w:val="TableNormal"/>
    <w:uiPriority w:val="39"/>
    <w:rsid w:val="0006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639E5"/>
    <w:rPr>
      <w:sz w:val="20"/>
      <w:szCs w:val="20"/>
    </w:rPr>
  </w:style>
  <w:style w:type="character" w:customStyle="1" w:styleId="FootnoteTextChar">
    <w:name w:val="Footnote Text Char"/>
    <w:basedOn w:val="DefaultParagraphFont"/>
    <w:link w:val="FootnoteText"/>
    <w:uiPriority w:val="99"/>
    <w:rsid w:val="000639E5"/>
    <w:rPr>
      <w:sz w:val="20"/>
      <w:szCs w:val="20"/>
    </w:rPr>
  </w:style>
  <w:style w:type="character" w:styleId="FootnoteReference">
    <w:name w:val="footnote reference"/>
    <w:basedOn w:val="DefaultParagraphFont"/>
    <w:uiPriority w:val="99"/>
    <w:unhideWhenUsed/>
    <w:rsid w:val="000639E5"/>
    <w:rPr>
      <w:vertAlign w:val="superscript"/>
    </w:rPr>
  </w:style>
  <w:style w:type="paragraph" w:styleId="BalloonText">
    <w:name w:val="Balloon Text"/>
    <w:basedOn w:val="Normal"/>
    <w:link w:val="BalloonTextChar"/>
    <w:uiPriority w:val="99"/>
    <w:semiHidden/>
    <w:unhideWhenUsed/>
    <w:rsid w:val="00875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B9"/>
    <w:rPr>
      <w:rFonts w:ascii="Segoe UI" w:hAnsi="Segoe UI" w:cs="Segoe UI"/>
      <w:sz w:val="18"/>
      <w:szCs w:val="18"/>
    </w:rPr>
  </w:style>
  <w:style w:type="character" w:styleId="CommentReference">
    <w:name w:val="annotation reference"/>
    <w:basedOn w:val="DefaultParagraphFont"/>
    <w:uiPriority w:val="99"/>
    <w:unhideWhenUsed/>
    <w:rsid w:val="00E77492"/>
    <w:rPr>
      <w:sz w:val="16"/>
      <w:szCs w:val="16"/>
    </w:rPr>
  </w:style>
  <w:style w:type="paragraph" w:styleId="CommentText">
    <w:name w:val="annotation text"/>
    <w:basedOn w:val="Normal"/>
    <w:link w:val="CommentTextChar"/>
    <w:uiPriority w:val="99"/>
    <w:unhideWhenUsed/>
    <w:qFormat/>
    <w:rsid w:val="00E77492"/>
    <w:rPr>
      <w:sz w:val="20"/>
      <w:szCs w:val="20"/>
    </w:rPr>
  </w:style>
  <w:style w:type="character" w:customStyle="1" w:styleId="CommentTextChar">
    <w:name w:val="Comment Text Char"/>
    <w:basedOn w:val="DefaultParagraphFont"/>
    <w:link w:val="CommentText"/>
    <w:uiPriority w:val="99"/>
    <w:rsid w:val="00E77492"/>
    <w:rPr>
      <w:sz w:val="20"/>
      <w:szCs w:val="20"/>
    </w:rPr>
  </w:style>
  <w:style w:type="paragraph" w:styleId="CommentSubject">
    <w:name w:val="annotation subject"/>
    <w:basedOn w:val="CommentText"/>
    <w:next w:val="CommentText"/>
    <w:link w:val="CommentSubjectChar"/>
    <w:uiPriority w:val="99"/>
    <w:semiHidden/>
    <w:unhideWhenUsed/>
    <w:rsid w:val="00E77492"/>
    <w:rPr>
      <w:b/>
      <w:bCs/>
    </w:rPr>
  </w:style>
  <w:style w:type="character" w:customStyle="1" w:styleId="CommentSubjectChar">
    <w:name w:val="Comment Subject Char"/>
    <w:basedOn w:val="CommentTextChar"/>
    <w:link w:val="CommentSubject"/>
    <w:uiPriority w:val="99"/>
    <w:semiHidden/>
    <w:rsid w:val="00E77492"/>
    <w:rPr>
      <w:b/>
      <w:bCs/>
      <w:sz w:val="20"/>
      <w:szCs w:val="20"/>
    </w:rPr>
  </w:style>
  <w:style w:type="character" w:customStyle="1" w:styleId="Heading1Char">
    <w:name w:val="Heading 1 Char"/>
    <w:basedOn w:val="DefaultParagraphFont"/>
    <w:link w:val="Heading1"/>
    <w:uiPriority w:val="9"/>
    <w:rsid w:val="001D3C8A"/>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1D3C8A"/>
    <w:pPr>
      <w:outlineLvl w:val="9"/>
    </w:pPr>
  </w:style>
  <w:style w:type="paragraph" w:styleId="TOC1">
    <w:name w:val="toc 1"/>
    <w:basedOn w:val="Normal"/>
    <w:next w:val="Normal"/>
    <w:autoRedefine/>
    <w:uiPriority w:val="39"/>
    <w:unhideWhenUsed/>
    <w:rsid w:val="00E33EF3"/>
    <w:pPr>
      <w:spacing w:after="100"/>
    </w:pPr>
  </w:style>
  <w:style w:type="character" w:styleId="Hyperlink">
    <w:name w:val="Hyperlink"/>
    <w:aliases w:val="OECD Hyperlink"/>
    <w:basedOn w:val="DefaultParagraphFont"/>
    <w:uiPriority w:val="99"/>
    <w:unhideWhenUsed/>
    <w:rsid w:val="00E33EF3"/>
    <w:rPr>
      <w:color w:val="0563C1" w:themeColor="hyperlink"/>
      <w:u w:val="single"/>
    </w:rPr>
  </w:style>
  <w:style w:type="character" w:customStyle="1" w:styleId="Heading2Char">
    <w:name w:val="Heading 2 Char"/>
    <w:basedOn w:val="DefaultParagraphFont"/>
    <w:link w:val="Heading2"/>
    <w:uiPriority w:val="9"/>
    <w:rsid w:val="0067545E"/>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uiPriority w:val="9"/>
    <w:rsid w:val="001D3C8A"/>
    <w:rPr>
      <w:rFonts w:asciiTheme="majorHAnsi" w:eastAsiaTheme="majorEastAsia" w:hAnsiTheme="majorHAnsi" w:cstheme="majorBidi"/>
      <w:color w:val="2E74B5" w:themeColor="accent1" w:themeShade="BF"/>
      <w:sz w:val="28"/>
      <w:szCs w:val="28"/>
    </w:rPr>
  </w:style>
  <w:style w:type="paragraph" w:styleId="TOC2">
    <w:name w:val="toc 2"/>
    <w:basedOn w:val="Normal"/>
    <w:next w:val="Normal"/>
    <w:autoRedefine/>
    <w:uiPriority w:val="39"/>
    <w:unhideWhenUsed/>
    <w:rsid w:val="00A75143"/>
    <w:pPr>
      <w:spacing w:after="100"/>
      <w:ind w:left="220"/>
    </w:pPr>
  </w:style>
  <w:style w:type="paragraph" w:styleId="TOC3">
    <w:name w:val="toc 3"/>
    <w:basedOn w:val="Normal"/>
    <w:next w:val="Normal"/>
    <w:autoRedefine/>
    <w:uiPriority w:val="39"/>
    <w:unhideWhenUsed/>
    <w:rsid w:val="00A75143"/>
    <w:pPr>
      <w:spacing w:after="100"/>
      <w:ind w:left="440"/>
    </w:pPr>
  </w:style>
  <w:style w:type="character" w:customStyle="1" w:styleId="Heading4Char">
    <w:name w:val="Heading 4 Char"/>
    <w:basedOn w:val="DefaultParagraphFont"/>
    <w:link w:val="Heading4"/>
    <w:uiPriority w:val="9"/>
    <w:rsid w:val="001D3C8A"/>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1D3C8A"/>
    <w:pPr>
      <w:ind w:left="720"/>
      <w:contextualSpacing/>
    </w:pPr>
  </w:style>
  <w:style w:type="paragraph" w:styleId="Header">
    <w:name w:val="header"/>
    <w:basedOn w:val="Normal"/>
    <w:link w:val="HeaderChar"/>
    <w:uiPriority w:val="99"/>
    <w:unhideWhenUsed/>
    <w:rsid w:val="00FC3DD1"/>
    <w:pPr>
      <w:tabs>
        <w:tab w:val="center" w:pos="4680"/>
        <w:tab w:val="right" w:pos="9360"/>
      </w:tabs>
    </w:pPr>
  </w:style>
  <w:style w:type="character" w:customStyle="1" w:styleId="HeaderChar">
    <w:name w:val="Header Char"/>
    <w:basedOn w:val="DefaultParagraphFont"/>
    <w:link w:val="Header"/>
    <w:uiPriority w:val="99"/>
    <w:rsid w:val="00FC3DD1"/>
  </w:style>
  <w:style w:type="paragraph" w:styleId="Footer">
    <w:name w:val="footer"/>
    <w:basedOn w:val="Normal"/>
    <w:link w:val="FooterChar"/>
    <w:uiPriority w:val="99"/>
    <w:unhideWhenUsed/>
    <w:rsid w:val="00FC3DD1"/>
    <w:pPr>
      <w:tabs>
        <w:tab w:val="center" w:pos="4680"/>
        <w:tab w:val="right" w:pos="9360"/>
      </w:tabs>
    </w:pPr>
  </w:style>
  <w:style w:type="character" w:customStyle="1" w:styleId="FooterChar">
    <w:name w:val="Footer Char"/>
    <w:basedOn w:val="DefaultParagraphFont"/>
    <w:link w:val="Footer"/>
    <w:uiPriority w:val="99"/>
    <w:rsid w:val="00FC3DD1"/>
  </w:style>
  <w:style w:type="paragraph" w:customStyle="1" w:styleId="BETitle">
    <w:name w:val="BE_Title"/>
    <w:basedOn w:val="Normal"/>
    <w:link w:val="BETitleChar"/>
    <w:qFormat/>
    <w:rsid w:val="001D3C8A"/>
    <w:rPr>
      <w:b/>
      <w:color w:val="4472C4" w:themeColor="accent5"/>
      <w:sz w:val="32"/>
    </w:rPr>
  </w:style>
  <w:style w:type="character" w:customStyle="1" w:styleId="BETitleChar">
    <w:name w:val="BE_Title Char"/>
    <w:basedOn w:val="DefaultParagraphFont"/>
    <w:link w:val="BETitle"/>
    <w:rsid w:val="001D3C8A"/>
    <w:rPr>
      <w:b/>
      <w:color w:val="4472C4" w:themeColor="accent5"/>
      <w:sz w:val="32"/>
    </w:rPr>
  </w:style>
  <w:style w:type="paragraph" w:customStyle="1" w:styleId="BEHeader1">
    <w:name w:val="BE_Header 1"/>
    <w:basedOn w:val="Normal"/>
    <w:link w:val="BEHeader1Char"/>
    <w:qFormat/>
    <w:rsid w:val="001D3C8A"/>
    <w:pPr>
      <w:numPr>
        <w:numId w:val="4"/>
      </w:numPr>
      <w:ind w:hanging="360"/>
    </w:pPr>
    <w:rPr>
      <w:color w:val="4472C4" w:themeColor="accent5"/>
      <w:sz w:val="24"/>
    </w:rPr>
  </w:style>
  <w:style w:type="character" w:customStyle="1" w:styleId="BEHeader1Char">
    <w:name w:val="BE_Header 1 Char"/>
    <w:basedOn w:val="DefaultParagraphFont"/>
    <w:link w:val="BEHeader1"/>
    <w:rsid w:val="001D3C8A"/>
    <w:rPr>
      <w:color w:val="4472C4" w:themeColor="accent5"/>
      <w:sz w:val="24"/>
    </w:rPr>
  </w:style>
  <w:style w:type="paragraph" w:customStyle="1" w:styleId="BEHeader2">
    <w:name w:val="BE_Header2"/>
    <w:basedOn w:val="Normal"/>
    <w:link w:val="BEHeader2Char"/>
    <w:qFormat/>
    <w:rsid w:val="001D3C8A"/>
    <w:rPr>
      <w:color w:val="4472C4" w:themeColor="accent5"/>
    </w:rPr>
  </w:style>
  <w:style w:type="character" w:customStyle="1" w:styleId="BEHeader2Char">
    <w:name w:val="BE_Header2 Char"/>
    <w:basedOn w:val="DefaultParagraphFont"/>
    <w:link w:val="BEHeader2"/>
    <w:rsid w:val="001D3C8A"/>
    <w:rPr>
      <w:color w:val="4472C4" w:themeColor="accent5"/>
    </w:rPr>
  </w:style>
  <w:style w:type="paragraph" w:customStyle="1" w:styleId="BEFigure">
    <w:name w:val="BE_Figure"/>
    <w:basedOn w:val="Normal"/>
    <w:link w:val="BEFigureChar"/>
    <w:qFormat/>
    <w:rsid w:val="001D3C8A"/>
    <w:rPr>
      <w:b/>
    </w:rPr>
  </w:style>
  <w:style w:type="character" w:customStyle="1" w:styleId="BEFigureChar">
    <w:name w:val="BE_Figure Char"/>
    <w:basedOn w:val="DefaultParagraphFont"/>
    <w:link w:val="BEFigure"/>
    <w:rsid w:val="001D3C8A"/>
    <w:rPr>
      <w:b/>
    </w:rPr>
  </w:style>
  <w:style w:type="paragraph" w:customStyle="1" w:styleId="BETables">
    <w:name w:val="BE_Tables"/>
    <w:basedOn w:val="Normal"/>
    <w:link w:val="BETablesChar"/>
    <w:qFormat/>
    <w:rsid w:val="001D3C8A"/>
    <w:rPr>
      <w:b/>
    </w:rPr>
  </w:style>
  <w:style w:type="character" w:customStyle="1" w:styleId="BETablesChar">
    <w:name w:val="BE_Tables Char"/>
    <w:basedOn w:val="DefaultParagraphFont"/>
    <w:link w:val="BETables"/>
    <w:rsid w:val="001D3C8A"/>
    <w:rPr>
      <w:b/>
    </w:rPr>
  </w:style>
  <w:style w:type="character" w:customStyle="1" w:styleId="Heading5Char">
    <w:name w:val="Heading 5 Char"/>
    <w:basedOn w:val="DefaultParagraphFont"/>
    <w:link w:val="Heading5"/>
    <w:uiPriority w:val="9"/>
    <w:semiHidden/>
    <w:rsid w:val="001D3C8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D3C8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D3C8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D3C8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D3C8A"/>
    <w:rPr>
      <w:rFonts w:asciiTheme="majorHAnsi" w:eastAsiaTheme="majorEastAsia" w:hAnsiTheme="majorHAnsi" w:cstheme="majorBidi"/>
      <w:i/>
      <w:iCs/>
      <w:color w:val="1F4E79" w:themeColor="accent1" w:themeShade="80"/>
    </w:rPr>
  </w:style>
  <w:style w:type="paragraph" w:styleId="Caption">
    <w:name w:val="caption"/>
    <w:aliases w:val=" Char,Char"/>
    <w:basedOn w:val="Normal"/>
    <w:next w:val="Normal"/>
    <w:link w:val="CaptionChar"/>
    <w:uiPriority w:val="35"/>
    <w:unhideWhenUsed/>
    <w:qFormat/>
    <w:rsid w:val="001D3C8A"/>
    <w:pPr>
      <w:spacing w:line="240" w:lineRule="auto"/>
    </w:pPr>
    <w:rPr>
      <w:b/>
      <w:bCs/>
      <w:smallCaps/>
      <w:color w:val="44546A" w:themeColor="text2"/>
    </w:rPr>
  </w:style>
  <w:style w:type="paragraph" w:styleId="Title">
    <w:name w:val="Title"/>
    <w:basedOn w:val="Normal"/>
    <w:next w:val="Normal"/>
    <w:link w:val="TitleChar"/>
    <w:uiPriority w:val="10"/>
    <w:qFormat/>
    <w:rsid w:val="001D3C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D3C8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D3C8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D3C8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D3C8A"/>
    <w:rPr>
      <w:b/>
      <w:bCs/>
    </w:rPr>
  </w:style>
  <w:style w:type="character" w:styleId="Emphasis">
    <w:name w:val="Emphasis"/>
    <w:basedOn w:val="DefaultParagraphFont"/>
    <w:uiPriority w:val="20"/>
    <w:qFormat/>
    <w:rsid w:val="001D3C8A"/>
    <w:rPr>
      <w:i/>
      <w:iCs/>
    </w:rPr>
  </w:style>
  <w:style w:type="paragraph" w:styleId="NoSpacing">
    <w:name w:val="No Spacing"/>
    <w:uiPriority w:val="1"/>
    <w:qFormat/>
    <w:rsid w:val="001D3C8A"/>
    <w:pPr>
      <w:spacing w:after="0" w:line="240" w:lineRule="auto"/>
    </w:pPr>
  </w:style>
  <w:style w:type="paragraph" w:styleId="Quote">
    <w:name w:val="Quote"/>
    <w:basedOn w:val="Normal"/>
    <w:next w:val="Normal"/>
    <w:link w:val="QuoteChar"/>
    <w:uiPriority w:val="29"/>
    <w:qFormat/>
    <w:rsid w:val="001D3C8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D3C8A"/>
    <w:rPr>
      <w:color w:val="44546A" w:themeColor="text2"/>
      <w:sz w:val="24"/>
      <w:szCs w:val="24"/>
    </w:rPr>
  </w:style>
  <w:style w:type="paragraph" w:styleId="IntenseQuote">
    <w:name w:val="Intense Quote"/>
    <w:basedOn w:val="Normal"/>
    <w:next w:val="Normal"/>
    <w:link w:val="IntenseQuoteChar"/>
    <w:uiPriority w:val="30"/>
    <w:qFormat/>
    <w:rsid w:val="001D3C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D3C8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D3C8A"/>
    <w:rPr>
      <w:i/>
      <w:iCs/>
      <w:color w:val="595959" w:themeColor="text1" w:themeTint="A6"/>
    </w:rPr>
  </w:style>
  <w:style w:type="character" w:styleId="IntenseEmphasis">
    <w:name w:val="Intense Emphasis"/>
    <w:basedOn w:val="DefaultParagraphFont"/>
    <w:uiPriority w:val="21"/>
    <w:qFormat/>
    <w:rsid w:val="001D3C8A"/>
    <w:rPr>
      <w:b/>
      <w:bCs/>
      <w:i/>
      <w:iCs/>
    </w:rPr>
  </w:style>
  <w:style w:type="character" w:styleId="SubtleReference">
    <w:name w:val="Subtle Reference"/>
    <w:basedOn w:val="DefaultParagraphFont"/>
    <w:uiPriority w:val="31"/>
    <w:qFormat/>
    <w:rsid w:val="001D3C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D3C8A"/>
    <w:rPr>
      <w:b/>
      <w:bCs/>
      <w:smallCaps/>
      <w:color w:val="44546A" w:themeColor="text2"/>
      <w:u w:val="single"/>
    </w:rPr>
  </w:style>
  <w:style w:type="character" w:styleId="BookTitle">
    <w:name w:val="Book Title"/>
    <w:basedOn w:val="DefaultParagraphFont"/>
    <w:uiPriority w:val="33"/>
    <w:qFormat/>
    <w:rsid w:val="001D3C8A"/>
    <w:rPr>
      <w:b/>
      <w:bCs/>
      <w:smallCaps/>
      <w:spacing w:val="10"/>
    </w:rPr>
  </w:style>
  <w:style w:type="paragraph" w:customStyle="1" w:styleId="Default">
    <w:name w:val="Default"/>
    <w:rsid w:val="00D604CE"/>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ndNoteBibliography">
    <w:name w:val="EndNote Bibliography"/>
    <w:basedOn w:val="Normal"/>
    <w:link w:val="EndNoteBibliographyChar"/>
    <w:rsid w:val="002F056C"/>
    <w:pPr>
      <w:spacing w:after="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F056C"/>
    <w:rPr>
      <w:rFonts w:ascii="Calibri" w:eastAsiaTheme="minorHAnsi" w:hAnsi="Calibri" w:cs="Calibri"/>
      <w:noProof/>
    </w:rPr>
  </w:style>
  <w:style w:type="character" w:customStyle="1" w:styleId="CaptionChar">
    <w:name w:val="Caption Char"/>
    <w:aliases w:val=" Char Char,Char Char"/>
    <w:basedOn w:val="DefaultParagraphFont"/>
    <w:link w:val="Caption"/>
    <w:uiPriority w:val="35"/>
    <w:rsid w:val="00B57970"/>
    <w:rPr>
      <w:b/>
      <w:bCs/>
      <w:smallCaps/>
      <w:color w:val="44546A" w:themeColor="text2"/>
    </w:rPr>
  </w:style>
  <w:style w:type="numbering" w:customStyle="1" w:styleId="Style1">
    <w:name w:val="Style1"/>
    <w:uiPriority w:val="99"/>
    <w:rsid w:val="00B57970"/>
    <w:pPr>
      <w:numPr>
        <w:numId w:val="11"/>
      </w:numPr>
    </w:pPr>
  </w:style>
  <w:style w:type="table" w:styleId="GridTable1Light-Accent1">
    <w:name w:val="Grid Table 1 Light Accent 1"/>
    <w:basedOn w:val="TableNormal"/>
    <w:uiPriority w:val="46"/>
    <w:rsid w:val="00B57970"/>
    <w:pPr>
      <w:spacing w:after="0" w:line="240" w:lineRule="auto"/>
      <w:jc w:val="both"/>
    </w:pPr>
    <w:rPr>
      <w:rFonts w:eastAsiaTheme="minorHAns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Level1">
    <w:name w:val="Level 1"/>
    <w:basedOn w:val="Normal"/>
    <w:rsid w:val="00B57970"/>
    <w:pPr>
      <w:spacing w:after="0" w:line="240" w:lineRule="auto"/>
      <w:ind w:left="360" w:hanging="360"/>
    </w:pPr>
    <w:rPr>
      <w:rFonts w:ascii="Times New Roman" w:eastAsia="Times New Roman" w:hAnsi="Times New Roman" w:cs="Times New Roman"/>
      <w:sz w:val="24"/>
      <w:szCs w:val="24"/>
    </w:rPr>
  </w:style>
  <w:style w:type="paragraph" w:customStyle="1" w:styleId="DPBodyText">
    <w:name w:val="DP Body Text"/>
    <w:link w:val="DPBodyTextChar1"/>
    <w:uiPriority w:val="99"/>
    <w:rsid w:val="00B57970"/>
    <w:pPr>
      <w:spacing w:after="240" w:line="300" w:lineRule="auto"/>
    </w:pPr>
    <w:rPr>
      <w:rFonts w:ascii="Times New Roman" w:eastAsia="Times New Roman" w:hAnsi="Times New Roman" w:cs="Times New Roman"/>
      <w:sz w:val="24"/>
      <w:szCs w:val="20"/>
    </w:rPr>
  </w:style>
  <w:style w:type="character" w:customStyle="1" w:styleId="DPBodyTextChar1">
    <w:name w:val="DP Body Text Char1"/>
    <w:basedOn w:val="DefaultParagraphFont"/>
    <w:link w:val="DPBodyText"/>
    <w:uiPriority w:val="99"/>
    <w:rsid w:val="00B57970"/>
    <w:rPr>
      <w:rFonts w:ascii="Times New Roman" w:eastAsia="Times New Roman" w:hAnsi="Times New Roman" w:cs="Times New Roman"/>
      <w:sz w:val="24"/>
      <w:szCs w:val="20"/>
    </w:rPr>
  </w:style>
  <w:style w:type="table" w:customStyle="1" w:styleId="DAR0071">
    <w:name w:val="DAR0071"/>
    <w:basedOn w:val="TableNormal"/>
    <w:next w:val="TableGrid"/>
    <w:uiPriority w:val="59"/>
    <w:rsid w:val="00B57970"/>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579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579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aser">
    <w:name w:val="teaser"/>
    <w:basedOn w:val="DefaultParagraphFont"/>
    <w:rsid w:val="00B57970"/>
  </w:style>
  <w:style w:type="paragraph" w:styleId="NormalWeb">
    <w:name w:val="Normal (Web)"/>
    <w:basedOn w:val="Normal"/>
    <w:uiPriority w:val="99"/>
    <w:unhideWhenUsed/>
    <w:rsid w:val="00B5797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57970"/>
  </w:style>
  <w:style w:type="paragraph" w:styleId="Revision">
    <w:name w:val="Revision"/>
    <w:hidden/>
    <w:uiPriority w:val="99"/>
    <w:semiHidden/>
    <w:rsid w:val="00B57970"/>
    <w:pPr>
      <w:spacing w:after="0" w:line="240" w:lineRule="auto"/>
    </w:pPr>
    <w:rPr>
      <w:rFonts w:eastAsiaTheme="minorHAnsi"/>
    </w:rPr>
  </w:style>
  <w:style w:type="character" w:styleId="UnresolvedMention">
    <w:name w:val="Unresolved Mention"/>
    <w:basedOn w:val="DefaultParagraphFont"/>
    <w:uiPriority w:val="99"/>
    <w:unhideWhenUsed/>
    <w:rsid w:val="00106A10"/>
    <w:rPr>
      <w:color w:val="605E5C"/>
      <w:shd w:val="clear" w:color="auto" w:fill="E1DFDD"/>
    </w:rPr>
  </w:style>
  <w:style w:type="character" w:styleId="Mention">
    <w:name w:val="Mention"/>
    <w:basedOn w:val="DefaultParagraphFont"/>
    <w:uiPriority w:val="99"/>
    <w:unhideWhenUsed/>
    <w:rsid w:val="00005417"/>
    <w:rPr>
      <w:color w:val="2B579A"/>
      <w:shd w:val="clear" w:color="auto" w:fill="E1DFDD"/>
    </w:rPr>
  </w:style>
  <w:style w:type="paragraph" w:styleId="TableofFigures">
    <w:name w:val="table of figures"/>
    <w:aliases w:val="Table of Tables"/>
    <w:basedOn w:val="Normal"/>
    <w:next w:val="Normal"/>
    <w:uiPriority w:val="99"/>
    <w:unhideWhenUsed/>
    <w:rsid w:val="00DE7330"/>
    <w:pPr>
      <w:spacing w:after="0" w:line="25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520">
      <w:bodyDiv w:val="1"/>
      <w:marLeft w:val="0"/>
      <w:marRight w:val="0"/>
      <w:marTop w:val="0"/>
      <w:marBottom w:val="0"/>
      <w:divBdr>
        <w:top w:val="none" w:sz="0" w:space="0" w:color="auto"/>
        <w:left w:val="none" w:sz="0" w:space="0" w:color="auto"/>
        <w:bottom w:val="none" w:sz="0" w:space="0" w:color="auto"/>
        <w:right w:val="none" w:sz="0" w:space="0" w:color="auto"/>
      </w:divBdr>
    </w:div>
    <w:div w:id="159733129">
      <w:bodyDiv w:val="1"/>
      <w:marLeft w:val="0"/>
      <w:marRight w:val="0"/>
      <w:marTop w:val="0"/>
      <w:marBottom w:val="0"/>
      <w:divBdr>
        <w:top w:val="none" w:sz="0" w:space="0" w:color="auto"/>
        <w:left w:val="none" w:sz="0" w:space="0" w:color="auto"/>
        <w:bottom w:val="none" w:sz="0" w:space="0" w:color="auto"/>
        <w:right w:val="none" w:sz="0" w:space="0" w:color="auto"/>
      </w:divBdr>
    </w:div>
    <w:div w:id="246886681">
      <w:bodyDiv w:val="1"/>
      <w:marLeft w:val="0"/>
      <w:marRight w:val="0"/>
      <w:marTop w:val="0"/>
      <w:marBottom w:val="0"/>
      <w:divBdr>
        <w:top w:val="none" w:sz="0" w:space="0" w:color="auto"/>
        <w:left w:val="none" w:sz="0" w:space="0" w:color="auto"/>
        <w:bottom w:val="none" w:sz="0" w:space="0" w:color="auto"/>
        <w:right w:val="none" w:sz="0" w:space="0" w:color="auto"/>
      </w:divBdr>
    </w:div>
    <w:div w:id="412317581">
      <w:bodyDiv w:val="1"/>
      <w:marLeft w:val="0"/>
      <w:marRight w:val="0"/>
      <w:marTop w:val="0"/>
      <w:marBottom w:val="0"/>
      <w:divBdr>
        <w:top w:val="none" w:sz="0" w:space="0" w:color="auto"/>
        <w:left w:val="none" w:sz="0" w:space="0" w:color="auto"/>
        <w:bottom w:val="none" w:sz="0" w:space="0" w:color="auto"/>
        <w:right w:val="none" w:sz="0" w:space="0" w:color="auto"/>
      </w:divBdr>
    </w:div>
    <w:div w:id="520054591">
      <w:bodyDiv w:val="1"/>
      <w:marLeft w:val="0"/>
      <w:marRight w:val="0"/>
      <w:marTop w:val="0"/>
      <w:marBottom w:val="0"/>
      <w:divBdr>
        <w:top w:val="none" w:sz="0" w:space="0" w:color="auto"/>
        <w:left w:val="none" w:sz="0" w:space="0" w:color="auto"/>
        <w:bottom w:val="none" w:sz="0" w:space="0" w:color="auto"/>
        <w:right w:val="none" w:sz="0" w:space="0" w:color="auto"/>
      </w:divBdr>
    </w:div>
    <w:div w:id="536241463">
      <w:bodyDiv w:val="1"/>
      <w:marLeft w:val="0"/>
      <w:marRight w:val="0"/>
      <w:marTop w:val="0"/>
      <w:marBottom w:val="0"/>
      <w:divBdr>
        <w:top w:val="none" w:sz="0" w:space="0" w:color="auto"/>
        <w:left w:val="none" w:sz="0" w:space="0" w:color="auto"/>
        <w:bottom w:val="none" w:sz="0" w:space="0" w:color="auto"/>
        <w:right w:val="none" w:sz="0" w:space="0" w:color="auto"/>
      </w:divBdr>
    </w:div>
    <w:div w:id="568344997">
      <w:bodyDiv w:val="1"/>
      <w:marLeft w:val="0"/>
      <w:marRight w:val="0"/>
      <w:marTop w:val="0"/>
      <w:marBottom w:val="0"/>
      <w:divBdr>
        <w:top w:val="none" w:sz="0" w:space="0" w:color="auto"/>
        <w:left w:val="none" w:sz="0" w:space="0" w:color="auto"/>
        <w:bottom w:val="none" w:sz="0" w:space="0" w:color="auto"/>
        <w:right w:val="none" w:sz="0" w:space="0" w:color="auto"/>
      </w:divBdr>
    </w:div>
    <w:div w:id="618995747">
      <w:bodyDiv w:val="1"/>
      <w:marLeft w:val="0"/>
      <w:marRight w:val="0"/>
      <w:marTop w:val="0"/>
      <w:marBottom w:val="0"/>
      <w:divBdr>
        <w:top w:val="none" w:sz="0" w:space="0" w:color="auto"/>
        <w:left w:val="none" w:sz="0" w:space="0" w:color="auto"/>
        <w:bottom w:val="none" w:sz="0" w:space="0" w:color="auto"/>
        <w:right w:val="none" w:sz="0" w:space="0" w:color="auto"/>
      </w:divBdr>
    </w:div>
    <w:div w:id="627441748">
      <w:bodyDiv w:val="1"/>
      <w:marLeft w:val="0"/>
      <w:marRight w:val="0"/>
      <w:marTop w:val="0"/>
      <w:marBottom w:val="0"/>
      <w:divBdr>
        <w:top w:val="none" w:sz="0" w:space="0" w:color="auto"/>
        <w:left w:val="none" w:sz="0" w:space="0" w:color="auto"/>
        <w:bottom w:val="none" w:sz="0" w:space="0" w:color="auto"/>
        <w:right w:val="none" w:sz="0" w:space="0" w:color="auto"/>
      </w:divBdr>
    </w:div>
    <w:div w:id="820275550">
      <w:bodyDiv w:val="1"/>
      <w:marLeft w:val="0"/>
      <w:marRight w:val="0"/>
      <w:marTop w:val="0"/>
      <w:marBottom w:val="0"/>
      <w:divBdr>
        <w:top w:val="none" w:sz="0" w:space="0" w:color="auto"/>
        <w:left w:val="none" w:sz="0" w:space="0" w:color="auto"/>
        <w:bottom w:val="none" w:sz="0" w:space="0" w:color="auto"/>
        <w:right w:val="none" w:sz="0" w:space="0" w:color="auto"/>
      </w:divBdr>
    </w:div>
    <w:div w:id="833766333">
      <w:bodyDiv w:val="1"/>
      <w:marLeft w:val="0"/>
      <w:marRight w:val="0"/>
      <w:marTop w:val="0"/>
      <w:marBottom w:val="0"/>
      <w:divBdr>
        <w:top w:val="none" w:sz="0" w:space="0" w:color="auto"/>
        <w:left w:val="none" w:sz="0" w:space="0" w:color="auto"/>
        <w:bottom w:val="none" w:sz="0" w:space="0" w:color="auto"/>
        <w:right w:val="none" w:sz="0" w:space="0" w:color="auto"/>
      </w:divBdr>
    </w:div>
    <w:div w:id="892081231">
      <w:bodyDiv w:val="1"/>
      <w:marLeft w:val="0"/>
      <w:marRight w:val="0"/>
      <w:marTop w:val="0"/>
      <w:marBottom w:val="0"/>
      <w:divBdr>
        <w:top w:val="none" w:sz="0" w:space="0" w:color="auto"/>
        <w:left w:val="none" w:sz="0" w:space="0" w:color="auto"/>
        <w:bottom w:val="none" w:sz="0" w:space="0" w:color="auto"/>
        <w:right w:val="none" w:sz="0" w:space="0" w:color="auto"/>
      </w:divBdr>
    </w:div>
    <w:div w:id="1016615905">
      <w:bodyDiv w:val="1"/>
      <w:marLeft w:val="0"/>
      <w:marRight w:val="0"/>
      <w:marTop w:val="0"/>
      <w:marBottom w:val="0"/>
      <w:divBdr>
        <w:top w:val="none" w:sz="0" w:space="0" w:color="auto"/>
        <w:left w:val="none" w:sz="0" w:space="0" w:color="auto"/>
        <w:bottom w:val="none" w:sz="0" w:space="0" w:color="auto"/>
        <w:right w:val="none" w:sz="0" w:space="0" w:color="auto"/>
      </w:divBdr>
    </w:div>
    <w:div w:id="1123573172">
      <w:bodyDiv w:val="1"/>
      <w:marLeft w:val="0"/>
      <w:marRight w:val="0"/>
      <w:marTop w:val="0"/>
      <w:marBottom w:val="0"/>
      <w:divBdr>
        <w:top w:val="none" w:sz="0" w:space="0" w:color="auto"/>
        <w:left w:val="none" w:sz="0" w:space="0" w:color="auto"/>
        <w:bottom w:val="none" w:sz="0" w:space="0" w:color="auto"/>
        <w:right w:val="none" w:sz="0" w:space="0" w:color="auto"/>
      </w:divBdr>
    </w:div>
    <w:div w:id="1214344291">
      <w:bodyDiv w:val="1"/>
      <w:marLeft w:val="0"/>
      <w:marRight w:val="0"/>
      <w:marTop w:val="0"/>
      <w:marBottom w:val="0"/>
      <w:divBdr>
        <w:top w:val="none" w:sz="0" w:space="0" w:color="auto"/>
        <w:left w:val="none" w:sz="0" w:space="0" w:color="auto"/>
        <w:bottom w:val="none" w:sz="0" w:space="0" w:color="auto"/>
        <w:right w:val="none" w:sz="0" w:space="0" w:color="auto"/>
      </w:divBdr>
    </w:div>
    <w:div w:id="1434714732">
      <w:bodyDiv w:val="1"/>
      <w:marLeft w:val="0"/>
      <w:marRight w:val="0"/>
      <w:marTop w:val="0"/>
      <w:marBottom w:val="0"/>
      <w:divBdr>
        <w:top w:val="none" w:sz="0" w:space="0" w:color="auto"/>
        <w:left w:val="none" w:sz="0" w:space="0" w:color="auto"/>
        <w:bottom w:val="none" w:sz="0" w:space="0" w:color="auto"/>
        <w:right w:val="none" w:sz="0" w:space="0" w:color="auto"/>
      </w:divBdr>
    </w:div>
    <w:div w:id="1547330684">
      <w:bodyDiv w:val="1"/>
      <w:marLeft w:val="0"/>
      <w:marRight w:val="0"/>
      <w:marTop w:val="0"/>
      <w:marBottom w:val="0"/>
      <w:divBdr>
        <w:top w:val="none" w:sz="0" w:space="0" w:color="auto"/>
        <w:left w:val="none" w:sz="0" w:space="0" w:color="auto"/>
        <w:bottom w:val="none" w:sz="0" w:space="0" w:color="auto"/>
        <w:right w:val="none" w:sz="0" w:space="0" w:color="auto"/>
      </w:divBdr>
    </w:div>
    <w:div w:id="1585185057">
      <w:bodyDiv w:val="1"/>
      <w:marLeft w:val="0"/>
      <w:marRight w:val="0"/>
      <w:marTop w:val="0"/>
      <w:marBottom w:val="0"/>
      <w:divBdr>
        <w:top w:val="none" w:sz="0" w:space="0" w:color="auto"/>
        <w:left w:val="none" w:sz="0" w:space="0" w:color="auto"/>
        <w:bottom w:val="none" w:sz="0" w:space="0" w:color="auto"/>
        <w:right w:val="none" w:sz="0" w:space="0" w:color="auto"/>
      </w:divBdr>
    </w:div>
    <w:div w:id="1901594632">
      <w:bodyDiv w:val="1"/>
      <w:marLeft w:val="0"/>
      <w:marRight w:val="0"/>
      <w:marTop w:val="0"/>
      <w:marBottom w:val="0"/>
      <w:divBdr>
        <w:top w:val="none" w:sz="0" w:space="0" w:color="auto"/>
        <w:left w:val="none" w:sz="0" w:space="0" w:color="auto"/>
        <w:bottom w:val="none" w:sz="0" w:space="0" w:color="auto"/>
        <w:right w:val="none" w:sz="0" w:space="0" w:color="auto"/>
      </w:divBdr>
    </w:div>
    <w:div w:id="2005275222">
      <w:bodyDiv w:val="1"/>
      <w:marLeft w:val="0"/>
      <w:marRight w:val="0"/>
      <w:marTop w:val="0"/>
      <w:marBottom w:val="0"/>
      <w:divBdr>
        <w:top w:val="none" w:sz="0" w:space="0" w:color="auto"/>
        <w:left w:val="none" w:sz="0" w:space="0" w:color="auto"/>
        <w:bottom w:val="none" w:sz="0" w:space="0" w:color="auto"/>
        <w:right w:val="none" w:sz="0" w:space="0" w:color="auto"/>
      </w:divBdr>
    </w:div>
    <w:div w:id="2095664200">
      <w:bodyDiv w:val="1"/>
      <w:marLeft w:val="0"/>
      <w:marRight w:val="0"/>
      <w:marTop w:val="0"/>
      <w:marBottom w:val="0"/>
      <w:divBdr>
        <w:top w:val="none" w:sz="0" w:space="0" w:color="auto"/>
        <w:left w:val="none" w:sz="0" w:space="0" w:color="auto"/>
        <w:bottom w:val="none" w:sz="0" w:space="0" w:color="auto"/>
        <w:right w:val="none" w:sz="0" w:space="0" w:color="auto"/>
      </w:divBdr>
    </w:div>
    <w:div w:id="21075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1371/journal.pone.017417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371/journal.pone.0194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2015-04-20T09:19:53+00:00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
        <AccountId xsi:nil="true"/>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2D80F8-1F17-4840-9CDE-A24CD2ABF21C}">
  <ds:schemaRefs>
    <ds:schemaRef ds:uri="http://schemas.openxmlformats.org/officeDocument/2006/bibliography"/>
  </ds:schemaRefs>
</ds:datastoreItem>
</file>

<file path=customXml/itemProps2.xml><?xml version="1.0" encoding="utf-8"?>
<ds:datastoreItem xmlns:ds="http://schemas.openxmlformats.org/officeDocument/2006/customXml" ds:itemID="{9515A1D0-FF98-4D4C-8378-9656EB30EAC0}">
  <ds:schemaRefs>
    <ds:schemaRef ds:uri="Microsoft.SharePoint.Taxonomy.ContentTypeSync"/>
  </ds:schemaRefs>
</ds:datastoreItem>
</file>

<file path=customXml/itemProps3.xml><?xml version="1.0" encoding="utf-8"?>
<ds:datastoreItem xmlns:ds="http://schemas.openxmlformats.org/officeDocument/2006/customXml" ds:itemID="{09CB7461-6FDC-41F5-9332-3F1CD758D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FE040-4A83-471D-B07D-C343C1DCA13E}">
  <ds:schemaRefs>
    <ds:schemaRef ds:uri="http://schemas.microsoft.com/sharepoint/v3/contenttype/forms"/>
  </ds:schemaRefs>
</ds:datastoreItem>
</file>

<file path=customXml/itemProps5.xml><?xml version="1.0" encoding="utf-8"?>
<ds:datastoreItem xmlns:ds="http://schemas.openxmlformats.org/officeDocument/2006/customXml" ds:itemID="{8A86DCA6-0099-4BCC-B567-BE01A1AC48E4}">
  <ds:schemaRef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1b69afd8-9bdb-481b-b26a-06cbd17fa30c"/>
    <ds:schemaRef ds:uri="a5d1ca4e-0a3f-4119-b619-e20b93ebd1aa"/>
    <ds:schemaRef ds:uri="http://schemas.microsoft.com/sharepoint/v3/fields"/>
    <ds:schemaRef ds:uri="http://purl.org/dc/elements/1.1/"/>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Faruque Khan</dc:creator>
  <cp:keywords/>
  <cp:lastModifiedBy>Sinnathamby, Sumathy</cp:lastModifiedBy>
  <cp:revision>3</cp:revision>
  <dcterms:created xsi:type="dcterms:W3CDTF">2021-08-18T16:08:00Z</dcterms:created>
  <dcterms:modified xsi:type="dcterms:W3CDTF">2021-08-18T16:34:00Z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ument Type">
    <vt:lpwstr/>
  </property>
  <property fmtid="{D5CDD505-2E9C-101B-9397-08002B2CF9AE}" pid="4" name="EPA Subject">
    <vt:lpwstr/>
  </property>
  <property fmtid="{D5CDD505-2E9C-101B-9397-08002B2CF9AE}" pid="5" name="ContentTypeId">
    <vt:lpwstr>0x010100468ED9461BD0F242A21E59CB3747CA89</vt:lpwstr>
  </property>
</Properties>
</file>