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52D20" w14:textId="798A1908" w:rsidR="00C74ECB" w:rsidRPr="00EB6683" w:rsidRDefault="00C74ECB" w:rsidP="00C74ECB">
      <w:pPr>
        <w:rPr>
          <w:b/>
          <w:color w:val="5B9BD5" w:themeColor="accent5"/>
          <w:sz w:val="32"/>
          <w:szCs w:val="32"/>
        </w:rPr>
      </w:pPr>
      <w:bookmarkStart w:id="0" w:name="_Hlk69131584"/>
      <w:bookmarkEnd w:id="0"/>
      <w:r w:rsidRPr="00EB6683">
        <w:rPr>
          <w:b/>
          <w:color w:val="5B9BD5" w:themeColor="accent5"/>
          <w:sz w:val="32"/>
          <w:szCs w:val="32"/>
        </w:rPr>
        <w:t>APPENDIX 2-</w:t>
      </w:r>
      <w:r w:rsidR="00C77CFF">
        <w:rPr>
          <w:b/>
          <w:color w:val="5B9BD5" w:themeColor="accent5"/>
          <w:sz w:val="32"/>
          <w:szCs w:val="32"/>
        </w:rPr>
        <w:t>6</w:t>
      </w:r>
      <w:r>
        <w:rPr>
          <w:b/>
          <w:color w:val="5B9BD5" w:themeColor="accent5"/>
          <w:sz w:val="32"/>
          <w:szCs w:val="32"/>
        </w:rPr>
        <w:t>.</w:t>
      </w:r>
      <w:r w:rsidRPr="00EB6683">
        <w:rPr>
          <w:b/>
          <w:color w:val="5B9BD5" w:themeColor="accent5"/>
          <w:sz w:val="32"/>
          <w:szCs w:val="32"/>
        </w:rPr>
        <w:t xml:space="preserve"> </w:t>
      </w:r>
      <w:r w:rsidR="004A5B4B">
        <w:rPr>
          <w:b/>
          <w:color w:val="5B9BD5" w:themeColor="accent5"/>
          <w:sz w:val="32"/>
          <w:szCs w:val="32"/>
        </w:rPr>
        <w:t>Imidacloprid</w:t>
      </w:r>
      <w:r w:rsidRPr="00EB6683">
        <w:rPr>
          <w:b/>
          <w:color w:val="5B9BD5" w:themeColor="accent5"/>
          <w:sz w:val="32"/>
          <w:szCs w:val="32"/>
        </w:rPr>
        <w:t xml:space="preserve"> Species Sensitivity Distribution Analysis for </w:t>
      </w:r>
      <w:r w:rsidR="00C915E6">
        <w:rPr>
          <w:b/>
          <w:color w:val="5B9BD5" w:themeColor="accent5"/>
          <w:sz w:val="32"/>
          <w:szCs w:val="32"/>
        </w:rPr>
        <w:t xml:space="preserve">Terrestrial </w:t>
      </w:r>
      <w:r w:rsidRPr="00EB6683">
        <w:rPr>
          <w:b/>
          <w:color w:val="5B9BD5" w:themeColor="accent5"/>
          <w:sz w:val="32"/>
          <w:szCs w:val="32"/>
        </w:rPr>
        <w:t>Invertebrates</w:t>
      </w:r>
    </w:p>
    <w:p w14:paraId="512FBBF2" w14:textId="2FE38C9F" w:rsidR="00D94DFB" w:rsidRPr="0046077F" w:rsidRDefault="00D94DFB" w:rsidP="00590AAF">
      <w:pPr>
        <w:pStyle w:val="Heading1"/>
        <w:rPr>
          <w:b/>
          <w:bCs/>
        </w:rPr>
      </w:pPr>
      <w:r w:rsidRPr="0046077F">
        <w:rPr>
          <w:b/>
          <w:bCs/>
        </w:rPr>
        <w:t>Summary</w:t>
      </w:r>
    </w:p>
    <w:p w14:paraId="47966AA8" w14:textId="77777777" w:rsidR="00D94DFB" w:rsidRDefault="00D94DFB" w:rsidP="00C74ECB">
      <w:pPr>
        <w:spacing w:after="0" w:line="240" w:lineRule="auto"/>
      </w:pPr>
    </w:p>
    <w:p w14:paraId="0860F82C" w14:textId="6F6F21D5" w:rsidR="00C74ECB" w:rsidRPr="004A5B4B" w:rsidRDefault="0045676A" w:rsidP="00C74ECB">
      <w:pPr>
        <w:spacing w:after="0" w:line="240" w:lineRule="auto"/>
      </w:pPr>
      <w:r>
        <w:t>Species Sensitivity Distributions (</w:t>
      </w:r>
      <w:r w:rsidR="00C74ECB" w:rsidRPr="0008448B">
        <w:t>SSDs</w:t>
      </w:r>
      <w:r>
        <w:t>)</w:t>
      </w:r>
      <w:r w:rsidR="00C74ECB" w:rsidRPr="0008448B">
        <w:t xml:space="preserve"> were fit to </w:t>
      </w:r>
      <w:r w:rsidR="00A469C5">
        <w:t xml:space="preserve">acute </w:t>
      </w:r>
      <w:r w:rsidR="00362368">
        <w:t>median lethal or effects (immobility) concentrations (LC</w:t>
      </w:r>
      <w:r w:rsidR="00362368" w:rsidRPr="0002059D">
        <w:rPr>
          <w:vertAlign w:val="subscript"/>
        </w:rPr>
        <w:t>50</w:t>
      </w:r>
      <w:r w:rsidR="00362368">
        <w:t xml:space="preserve"> or EC</w:t>
      </w:r>
      <w:r w:rsidR="00362368" w:rsidRPr="0002059D">
        <w:rPr>
          <w:vertAlign w:val="subscript"/>
        </w:rPr>
        <w:t>50</w:t>
      </w:r>
      <w:r w:rsidR="00362368">
        <w:t xml:space="preserve"> values</w:t>
      </w:r>
      <w:r w:rsidR="00AF7613">
        <w:t>, respectively</w:t>
      </w:r>
      <w:r w:rsidR="00362368">
        <w:t>)</w:t>
      </w:r>
      <w:r w:rsidR="00C74ECB" w:rsidRPr="0008448B">
        <w:t xml:space="preserve"> for </w:t>
      </w:r>
      <w:r w:rsidR="007864C2">
        <w:t xml:space="preserve">terrestrial </w:t>
      </w:r>
      <w:r w:rsidR="00C74ECB" w:rsidRPr="0008448B">
        <w:t xml:space="preserve">invertebrates exposed to </w:t>
      </w:r>
      <w:r w:rsidR="001D0324">
        <w:t>imidacloprid</w:t>
      </w:r>
      <w:r w:rsidR="00C74ECB" w:rsidRPr="0008448B">
        <w:t>.</w:t>
      </w:r>
      <w:r w:rsidR="004B72CA">
        <w:t xml:space="preserve"> </w:t>
      </w:r>
      <w:r w:rsidR="00540285">
        <w:t>Five</w:t>
      </w:r>
      <w:r w:rsidR="00C74ECB" w:rsidRPr="0008448B">
        <w:t xml:space="preserve"> distributions </w:t>
      </w:r>
      <w:r>
        <w:t>(normal, logistic, triangular, gumbel</w:t>
      </w:r>
      <w:r w:rsidR="00540285">
        <w:t>,</w:t>
      </w:r>
      <w:r>
        <w:t xml:space="preserve"> </w:t>
      </w:r>
      <w:r w:rsidRPr="004A5B4B">
        <w:t xml:space="preserve">and burr) </w:t>
      </w:r>
      <w:r w:rsidR="00C74ECB" w:rsidRPr="004A5B4B">
        <w:t xml:space="preserve">were </w:t>
      </w:r>
      <w:r w:rsidRPr="004A5B4B">
        <w:t>fit to the available toxicity data</w:t>
      </w:r>
      <w:r w:rsidR="00C74ECB" w:rsidRPr="004A5B4B">
        <w:t>.</w:t>
      </w:r>
      <w:r w:rsidRPr="004A5B4B">
        <w:t xml:space="preserve"> </w:t>
      </w:r>
    </w:p>
    <w:p w14:paraId="0B1D77C5" w14:textId="77777777" w:rsidR="00C74ECB" w:rsidRPr="00532B47" w:rsidRDefault="00C74ECB" w:rsidP="00C74ECB">
      <w:pPr>
        <w:spacing w:after="0" w:line="240" w:lineRule="auto"/>
      </w:pPr>
    </w:p>
    <w:p w14:paraId="1E1E7B8D" w14:textId="47F9D8F3" w:rsidR="00362368" w:rsidRPr="00532B47" w:rsidRDefault="00C74ECB" w:rsidP="00C74ECB">
      <w:pPr>
        <w:spacing w:after="0" w:line="240" w:lineRule="auto"/>
      </w:pPr>
      <w:r w:rsidRPr="00532B47">
        <w:t xml:space="preserve">For </w:t>
      </w:r>
      <w:r w:rsidR="001D791A" w:rsidRPr="00532B47">
        <w:t>terrestrial</w:t>
      </w:r>
      <w:r w:rsidR="00F065D6" w:rsidRPr="00532B47">
        <w:t xml:space="preserve"> invertebrates</w:t>
      </w:r>
      <w:r w:rsidR="007864C2">
        <w:t>,</w:t>
      </w:r>
      <w:r w:rsidRPr="00532B47">
        <w:t xml:space="preserve"> </w:t>
      </w:r>
      <w:r w:rsidR="00F75B51">
        <w:t xml:space="preserve">two routes of exposure had sufficient data to run SSDs; dietary </w:t>
      </w:r>
      <w:r w:rsidR="007864C2">
        <w:t xml:space="preserve">exposure </w:t>
      </w:r>
      <w:r w:rsidR="00F75B51">
        <w:t xml:space="preserve">measured as mg a.i./kg-food and contact </w:t>
      </w:r>
      <w:r w:rsidR="00A469C5">
        <w:t xml:space="preserve">(topical) </w:t>
      </w:r>
      <w:r w:rsidR="007864C2">
        <w:t xml:space="preserve">exposure </w:t>
      </w:r>
      <w:r w:rsidR="00F75B51">
        <w:t>measured as mg a.i./kg-bw. For dietary exposure</w:t>
      </w:r>
      <w:r w:rsidR="007864C2">
        <w:t>,</w:t>
      </w:r>
      <w:r w:rsidR="00F75B51">
        <w:t xml:space="preserve"> </w:t>
      </w:r>
      <w:r w:rsidRPr="00532B47">
        <w:t xml:space="preserve">the </w:t>
      </w:r>
      <w:r w:rsidR="004A5B4B" w:rsidRPr="00532B47">
        <w:t xml:space="preserve">logistic </w:t>
      </w:r>
      <w:r w:rsidRPr="00532B47">
        <w:t>distribution</w:t>
      </w:r>
      <w:r w:rsidR="004A5B4B" w:rsidRPr="00532B47">
        <w:t xml:space="preserve"> </w:t>
      </w:r>
      <w:r w:rsidRPr="00532B47">
        <w:t>provided the best fit for the dataset</w:t>
      </w:r>
      <w:r w:rsidR="00F75B51">
        <w:t xml:space="preserve"> and for contact exposure</w:t>
      </w:r>
      <w:r w:rsidR="00A469C5">
        <w:t>,</w:t>
      </w:r>
      <w:r w:rsidR="00F75B51">
        <w:t xml:space="preserve"> the normal distribution provided the best fit</w:t>
      </w:r>
      <w:r w:rsidRPr="00532B47">
        <w:t>. Th</w:t>
      </w:r>
      <w:r w:rsidR="0041748E">
        <w:t xml:space="preserve">e selected distribution </w:t>
      </w:r>
      <w:r w:rsidRPr="00532B47">
        <w:t>was based on the AIC</w:t>
      </w:r>
      <w:r w:rsidRPr="00532B47">
        <w:rPr>
          <w:vertAlign w:val="subscript"/>
        </w:rPr>
        <w:t>c</w:t>
      </w:r>
      <w:r w:rsidRPr="00532B47">
        <w:t xml:space="preserve"> weight, </w:t>
      </w:r>
      <w:r w:rsidR="00532B47" w:rsidRPr="00532B47">
        <w:t xml:space="preserve">p-value, </w:t>
      </w:r>
      <w:r w:rsidRPr="00532B47">
        <w:t>confidence limits for the different distributions</w:t>
      </w:r>
      <w:r w:rsidR="0045676A" w:rsidRPr="00532B47">
        <w:t xml:space="preserve"> (especially around the HC</w:t>
      </w:r>
      <w:r w:rsidR="0045676A" w:rsidRPr="00532B47">
        <w:rPr>
          <w:vertAlign w:val="subscript"/>
        </w:rPr>
        <w:t>05</w:t>
      </w:r>
      <w:r w:rsidR="0045676A" w:rsidRPr="00532B47">
        <w:t xml:space="preserve"> and HC</w:t>
      </w:r>
      <w:r w:rsidR="0045676A" w:rsidRPr="00532B47">
        <w:rPr>
          <w:vertAlign w:val="subscript"/>
        </w:rPr>
        <w:t>50</w:t>
      </w:r>
      <w:r w:rsidR="0045676A" w:rsidRPr="00532B47">
        <w:t>)</w:t>
      </w:r>
      <w:r w:rsidR="00D6458B" w:rsidRPr="00532B47">
        <w:t xml:space="preserve"> and by visually examining the distributions</w:t>
      </w:r>
      <w:r w:rsidR="0045676A" w:rsidRPr="00532B47">
        <w:t xml:space="preserve"> and their consistency with the toxicity data</w:t>
      </w:r>
      <w:r w:rsidR="00A469C5">
        <w:t>, particularly near the HC</w:t>
      </w:r>
      <w:r w:rsidR="00A469C5" w:rsidRPr="0041748E">
        <w:rPr>
          <w:vertAlign w:val="subscript"/>
        </w:rPr>
        <w:t>05</w:t>
      </w:r>
      <w:r w:rsidR="00A469C5">
        <w:t xml:space="preserve"> and HC</w:t>
      </w:r>
      <w:r w:rsidR="00A469C5" w:rsidRPr="0041748E">
        <w:rPr>
          <w:vertAlign w:val="subscript"/>
        </w:rPr>
        <w:t>50</w:t>
      </w:r>
      <w:r w:rsidR="00A469C5">
        <w:t xml:space="preserve"> values</w:t>
      </w:r>
      <w:r w:rsidRPr="00532B47">
        <w:t xml:space="preserve">. Summary statistics from the fitted SSDs are provided below in </w:t>
      </w:r>
      <w:r w:rsidR="003F427C" w:rsidRPr="003F427C">
        <w:rPr>
          <w:b/>
        </w:rPr>
        <w:fldChar w:fldCharType="begin"/>
      </w:r>
      <w:r w:rsidR="003F427C" w:rsidRPr="003F427C">
        <w:instrText xml:space="preserve"> REF _Ref80170418 \h </w:instrText>
      </w:r>
      <w:r w:rsidR="003F427C" w:rsidRPr="003F427C">
        <w:rPr>
          <w:b/>
        </w:rPr>
        <w:instrText xml:space="preserve"> \* MERGEFORMAT </w:instrText>
      </w:r>
      <w:r w:rsidR="003F427C" w:rsidRPr="003F427C">
        <w:rPr>
          <w:b/>
        </w:rPr>
      </w:r>
      <w:r w:rsidR="003F427C" w:rsidRPr="003F427C">
        <w:rPr>
          <w:b/>
        </w:rPr>
        <w:fldChar w:fldCharType="separate"/>
      </w:r>
      <w:r w:rsidR="003F427C" w:rsidRPr="003F427C">
        <w:rPr>
          <w:b/>
          <w:bCs/>
          <w:color w:val="000000" w:themeColor="text1"/>
        </w:rPr>
        <w:t xml:space="preserve">Table </w:t>
      </w:r>
      <w:r w:rsidR="003F427C" w:rsidRPr="003F427C">
        <w:rPr>
          <w:b/>
          <w:bCs/>
          <w:noProof/>
          <w:color w:val="000000" w:themeColor="text1"/>
        </w:rPr>
        <w:t>1</w:t>
      </w:r>
      <w:r w:rsidR="003F427C" w:rsidRPr="003F427C">
        <w:rPr>
          <w:b/>
        </w:rPr>
        <w:fldChar w:fldCharType="end"/>
      </w:r>
      <w:r w:rsidRPr="00532B47">
        <w:t xml:space="preserve">. </w:t>
      </w:r>
      <w:r w:rsidR="00362368" w:rsidRPr="00532B47">
        <w:t>The fifth and fiftieth percentiles of the SSD (abbreviated HC</w:t>
      </w:r>
      <w:r w:rsidR="00362368" w:rsidRPr="00532B47">
        <w:rPr>
          <w:vertAlign w:val="subscript"/>
        </w:rPr>
        <w:t>05</w:t>
      </w:r>
      <w:r w:rsidR="00362368" w:rsidRPr="00532B47">
        <w:t xml:space="preserve"> and HC</w:t>
      </w:r>
      <w:r w:rsidR="00362368" w:rsidRPr="00532B47">
        <w:rPr>
          <w:vertAlign w:val="subscript"/>
        </w:rPr>
        <w:t>50</w:t>
      </w:r>
      <w:r w:rsidR="00362368" w:rsidRPr="00532B47">
        <w:t xml:space="preserve">, respectively, where “HC” stands for “hazard concentration”) are used to calculate </w:t>
      </w:r>
      <w:r w:rsidR="00A469C5">
        <w:t xml:space="preserve">acute </w:t>
      </w:r>
      <w:r w:rsidR="00362368" w:rsidRPr="00532B47">
        <w:t xml:space="preserve">mortality </w:t>
      </w:r>
      <w:r w:rsidR="00AE51ED" w:rsidRPr="00532B47">
        <w:t>endpoints</w:t>
      </w:r>
      <w:r w:rsidR="00362368" w:rsidRPr="00532B47">
        <w:t xml:space="preserve"> representing effects to listed species of aquatic invertebrates </w:t>
      </w:r>
      <w:r w:rsidR="006953FF" w:rsidRPr="00532B47">
        <w:t xml:space="preserve">associated with </w:t>
      </w:r>
      <w:r w:rsidR="00362368" w:rsidRPr="00532B47">
        <w:t>their prey</w:t>
      </w:r>
      <w:r w:rsidR="006953FF" w:rsidRPr="00532B47">
        <w:t>, pollination, habitat and dispersal (PPHD)</w:t>
      </w:r>
      <w:r w:rsidR="00362368" w:rsidRPr="00532B47">
        <w:t>.</w:t>
      </w:r>
      <w:r w:rsidR="00690F54" w:rsidRPr="00532B47">
        <w:t xml:space="preserve"> </w:t>
      </w:r>
    </w:p>
    <w:p w14:paraId="01E9DAE5" w14:textId="77777777" w:rsidR="00983A2E" w:rsidRDefault="00983A2E" w:rsidP="00C74ECB">
      <w:pPr>
        <w:spacing w:after="0" w:line="240" w:lineRule="auto"/>
      </w:pPr>
    </w:p>
    <w:p w14:paraId="037F43DC" w14:textId="62522C7B" w:rsidR="00983A2E" w:rsidRPr="00D147A6" w:rsidRDefault="00D147A6" w:rsidP="00D147A6">
      <w:pPr>
        <w:pStyle w:val="Caption"/>
        <w:keepNext/>
        <w:rPr>
          <w:b/>
          <w:bCs/>
          <w:i w:val="0"/>
          <w:iCs w:val="0"/>
          <w:color w:val="000000" w:themeColor="text1"/>
          <w:sz w:val="22"/>
          <w:szCs w:val="22"/>
        </w:rPr>
      </w:pPr>
      <w:bookmarkStart w:id="1" w:name="_Ref80170418"/>
      <w:r w:rsidRPr="00D147A6">
        <w:rPr>
          <w:b/>
          <w:bCs/>
          <w:i w:val="0"/>
          <w:iCs w:val="0"/>
          <w:color w:val="000000" w:themeColor="text1"/>
          <w:sz w:val="22"/>
          <w:szCs w:val="22"/>
        </w:rPr>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Pr>
          <w:b/>
          <w:bCs/>
          <w:i w:val="0"/>
          <w:iCs w:val="0"/>
          <w:noProof/>
          <w:color w:val="000000" w:themeColor="text1"/>
          <w:sz w:val="22"/>
          <w:szCs w:val="22"/>
        </w:rPr>
        <w:t>1</w:t>
      </w:r>
      <w:r w:rsidRPr="00D147A6">
        <w:rPr>
          <w:b/>
          <w:bCs/>
          <w:i w:val="0"/>
          <w:iCs w:val="0"/>
          <w:color w:val="000000" w:themeColor="text1"/>
          <w:sz w:val="22"/>
          <w:szCs w:val="22"/>
        </w:rPr>
        <w:fldChar w:fldCharType="end"/>
      </w:r>
      <w:bookmarkEnd w:id="1"/>
      <w:r w:rsidRPr="00D147A6">
        <w:rPr>
          <w:b/>
          <w:bCs/>
          <w:i w:val="0"/>
          <w:iCs w:val="0"/>
          <w:color w:val="000000" w:themeColor="text1"/>
          <w:sz w:val="22"/>
          <w:szCs w:val="22"/>
        </w:rPr>
        <w:t>.  Summary of imidacloprid SSD mortality endpoints for terrestrial invertebrates.</w:t>
      </w:r>
    </w:p>
    <w:tbl>
      <w:tblPr>
        <w:tblStyle w:val="TableGrid"/>
        <w:tblW w:w="7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502"/>
        <w:gridCol w:w="2502"/>
      </w:tblGrid>
      <w:tr w:rsidR="00BE07C9" w:rsidRPr="00EC74F0" w14:paraId="1C49E992" w14:textId="2D5124BA" w:rsidTr="00D147A6">
        <w:tc>
          <w:tcPr>
            <w:tcW w:w="2178" w:type="dxa"/>
            <w:tcBorders>
              <w:top w:val="single" w:sz="12" w:space="0" w:color="auto"/>
              <w:bottom w:val="single" w:sz="12" w:space="0" w:color="auto"/>
            </w:tcBorders>
          </w:tcPr>
          <w:p w14:paraId="445AF909" w14:textId="77777777" w:rsidR="00BE07C9" w:rsidRPr="00EC74F0" w:rsidRDefault="00BE07C9" w:rsidP="00EC74F0">
            <w:pPr>
              <w:keepNext/>
              <w:keepLines/>
              <w:rPr>
                <w:rFonts w:eastAsia="Times New Roman" w:cs="Times New Roman"/>
                <w:b/>
                <w:bCs/>
              </w:rPr>
            </w:pPr>
            <w:r w:rsidRPr="00EC74F0">
              <w:rPr>
                <w:rFonts w:ascii="Calibri" w:hAnsi="Calibri"/>
              </w:rPr>
              <w:t>Statistic</w:t>
            </w:r>
          </w:p>
        </w:tc>
        <w:tc>
          <w:tcPr>
            <w:tcW w:w="2502" w:type="dxa"/>
            <w:tcBorders>
              <w:top w:val="single" w:sz="12" w:space="0" w:color="auto"/>
              <w:bottom w:val="single" w:sz="12" w:space="0" w:color="auto"/>
            </w:tcBorders>
            <w:shd w:val="clear" w:color="auto" w:fill="auto"/>
          </w:tcPr>
          <w:p w14:paraId="71109BE2" w14:textId="76201EC5" w:rsidR="00BE07C9" w:rsidRPr="00EC74F0" w:rsidRDefault="00BE07C9" w:rsidP="00AD3802">
            <w:pPr>
              <w:rPr>
                <w:rFonts w:eastAsia="Times New Roman" w:cs="Times New Roman"/>
                <w:b/>
                <w:bCs/>
              </w:rPr>
            </w:pPr>
            <w:r w:rsidRPr="00EC74F0">
              <w:rPr>
                <w:rFonts w:eastAsia="Times New Roman" w:cs="Times New Roman"/>
                <w:b/>
                <w:bCs/>
              </w:rPr>
              <w:t>mg a.i./kg-food</w:t>
            </w:r>
          </w:p>
        </w:tc>
        <w:tc>
          <w:tcPr>
            <w:tcW w:w="2502" w:type="dxa"/>
            <w:tcBorders>
              <w:top w:val="single" w:sz="12" w:space="0" w:color="auto"/>
              <w:bottom w:val="single" w:sz="12" w:space="0" w:color="auto"/>
            </w:tcBorders>
          </w:tcPr>
          <w:p w14:paraId="1CFAB00A" w14:textId="7B216C98" w:rsidR="00BE07C9" w:rsidRPr="00EC74F0" w:rsidRDefault="00BE07C9" w:rsidP="00AD3802">
            <w:pPr>
              <w:rPr>
                <w:rFonts w:eastAsia="Times New Roman" w:cs="Times New Roman"/>
                <w:b/>
                <w:bCs/>
              </w:rPr>
            </w:pPr>
            <w:r w:rsidRPr="00EC74F0">
              <w:rPr>
                <w:rFonts w:eastAsia="Times New Roman" w:cs="Times New Roman"/>
                <w:b/>
                <w:bCs/>
              </w:rPr>
              <w:t>mg a.i./kg-bw</w:t>
            </w:r>
          </w:p>
        </w:tc>
      </w:tr>
      <w:tr w:rsidR="00F75B51" w:rsidRPr="00EC74F0" w14:paraId="00FD3451" w14:textId="043D772C" w:rsidTr="00D147A6">
        <w:tc>
          <w:tcPr>
            <w:tcW w:w="2178" w:type="dxa"/>
            <w:tcBorders>
              <w:top w:val="single" w:sz="12" w:space="0" w:color="auto"/>
            </w:tcBorders>
            <w:shd w:val="clear" w:color="auto" w:fill="auto"/>
          </w:tcPr>
          <w:p w14:paraId="64100678" w14:textId="7B229575" w:rsidR="00F75B51" w:rsidRPr="00EC74F0" w:rsidRDefault="00F75B51" w:rsidP="00F75B51">
            <w:pPr>
              <w:rPr>
                <w:rFonts w:eastAsia="Times New Roman" w:cs="Times New Roman"/>
              </w:rPr>
            </w:pPr>
            <w:r w:rsidRPr="00EC74F0">
              <w:rPr>
                <w:rFonts w:eastAsia="Times New Roman" w:cs="Times New Roman"/>
              </w:rPr>
              <w:t>HC</w:t>
            </w:r>
            <w:r w:rsidRPr="00EC74F0">
              <w:rPr>
                <w:rFonts w:eastAsia="Times New Roman" w:cs="Times New Roman"/>
                <w:vertAlign w:val="subscript"/>
              </w:rPr>
              <w:t xml:space="preserve">05 </w:t>
            </w:r>
            <w:r w:rsidRPr="00EC74F0">
              <w:rPr>
                <w:rFonts w:eastAsia="Times New Roman" w:cs="Times New Roman"/>
              </w:rPr>
              <w:t>(95% CI)</w:t>
            </w:r>
          </w:p>
        </w:tc>
        <w:tc>
          <w:tcPr>
            <w:tcW w:w="2502" w:type="dxa"/>
            <w:tcBorders>
              <w:top w:val="single" w:sz="12" w:space="0" w:color="auto"/>
            </w:tcBorders>
            <w:vAlign w:val="center"/>
          </w:tcPr>
          <w:p w14:paraId="55D50F92" w14:textId="55F95312" w:rsidR="00F75B51" w:rsidRPr="00EC74F0" w:rsidRDefault="00784B7D" w:rsidP="00F75B51">
            <w:pPr>
              <w:rPr>
                <w:rFonts w:eastAsia="Times New Roman" w:cs="Times New Roman"/>
                <w:color w:val="FF0000"/>
              </w:rPr>
            </w:pPr>
            <w:r w:rsidRPr="00EC74F0">
              <w:t>0.064 (0.0045-0.81)</w:t>
            </w:r>
          </w:p>
        </w:tc>
        <w:tc>
          <w:tcPr>
            <w:tcW w:w="2502" w:type="dxa"/>
            <w:tcBorders>
              <w:top w:val="single" w:sz="12" w:space="0" w:color="auto"/>
            </w:tcBorders>
            <w:vAlign w:val="center"/>
          </w:tcPr>
          <w:p w14:paraId="451177C6" w14:textId="7B90F08E" w:rsidR="00F75B51" w:rsidRPr="00EC74F0" w:rsidRDefault="00F75B51" w:rsidP="00F75B51">
            <w:r w:rsidRPr="00EC74F0">
              <w:t>0.015 (0.0017-0.15)</w:t>
            </w:r>
          </w:p>
        </w:tc>
      </w:tr>
      <w:tr w:rsidR="00F75B51" w:rsidRPr="00EC74F0" w14:paraId="41F06342" w14:textId="3565A42A" w:rsidTr="003F427C">
        <w:tc>
          <w:tcPr>
            <w:tcW w:w="2178" w:type="dxa"/>
            <w:shd w:val="clear" w:color="auto" w:fill="auto"/>
          </w:tcPr>
          <w:p w14:paraId="0CCCC59F" w14:textId="79558C55" w:rsidR="00F75B51" w:rsidRPr="00EC74F0" w:rsidRDefault="00F75B51" w:rsidP="00F75B51">
            <w:pPr>
              <w:rPr>
                <w:rFonts w:eastAsia="Times New Roman" w:cs="Times New Roman"/>
              </w:rPr>
            </w:pPr>
            <w:r w:rsidRPr="00EC74F0">
              <w:rPr>
                <w:rFonts w:eastAsia="Times New Roman" w:cs="Times New Roman"/>
              </w:rPr>
              <w:t>HC</w:t>
            </w:r>
            <w:r w:rsidRPr="00EC74F0">
              <w:rPr>
                <w:rFonts w:eastAsia="Times New Roman" w:cs="Times New Roman"/>
                <w:vertAlign w:val="subscript"/>
              </w:rPr>
              <w:t xml:space="preserve">50 </w:t>
            </w:r>
            <w:r w:rsidRPr="00EC74F0">
              <w:rPr>
                <w:rFonts w:eastAsia="Times New Roman" w:cs="Times New Roman"/>
              </w:rPr>
              <w:t>(95% CI)</w:t>
            </w:r>
          </w:p>
        </w:tc>
        <w:tc>
          <w:tcPr>
            <w:tcW w:w="2502" w:type="dxa"/>
            <w:vAlign w:val="center"/>
          </w:tcPr>
          <w:p w14:paraId="26C60F19" w14:textId="08C1E602" w:rsidR="00E01F31" w:rsidRPr="00EC74F0" w:rsidRDefault="00784B7D" w:rsidP="00E01F31">
            <w:r w:rsidRPr="00EC74F0">
              <w:t>3.48 (0.79-15.8)</w:t>
            </w:r>
          </w:p>
        </w:tc>
        <w:tc>
          <w:tcPr>
            <w:tcW w:w="2502" w:type="dxa"/>
          </w:tcPr>
          <w:p w14:paraId="1757AAB7" w14:textId="08AC5912" w:rsidR="00E01F31" w:rsidRPr="00EC74F0" w:rsidRDefault="00F75B51" w:rsidP="00E01F31">
            <w:r w:rsidRPr="00EC74F0">
              <w:t>0.85 (0.22-3.37)</w:t>
            </w:r>
          </w:p>
        </w:tc>
      </w:tr>
      <w:tr w:rsidR="00E01F31" w:rsidRPr="00EC74F0" w14:paraId="017DCADF" w14:textId="77777777" w:rsidTr="003F427C">
        <w:tc>
          <w:tcPr>
            <w:tcW w:w="2178" w:type="dxa"/>
            <w:tcBorders>
              <w:bottom w:val="single" w:sz="8" w:space="0" w:color="000000"/>
            </w:tcBorders>
            <w:shd w:val="clear" w:color="auto" w:fill="auto"/>
          </w:tcPr>
          <w:p w14:paraId="267F71AB" w14:textId="3AE35723" w:rsidR="00E01F31" w:rsidRPr="00EC74F0" w:rsidRDefault="00784B7D" w:rsidP="00F75B51">
            <w:pPr>
              <w:rPr>
                <w:rFonts w:eastAsia="Times New Roman" w:cs="Times New Roman"/>
              </w:rPr>
            </w:pPr>
            <w:r w:rsidRPr="00EC74F0">
              <w:t>Slope</w:t>
            </w:r>
            <w:r w:rsidRPr="00EC74F0">
              <w:rPr>
                <w:vertAlign w:val="superscript"/>
              </w:rPr>
              <w:t>1</w:t>
            </w:r>
          </w:p>
        </w:tc>
        <w:tc>
          <w:tcPr>
            <w:tcW w:w="2502" w:type="dxa"/>
            <w:tcBorders>
              <w:bottom w:val="single" w:sz="8" w:space="0" w:color="000000"/>
            </w:tcBorders>
            <w:vAlign w:val="center"/>
          </w:tcPr>
          <w:p w14:paraId="0238641F" w14:textId="74C496A8" w:rsidR="00E01F31" w:rsidRPr="00EC74F0" w:rsidRDefault="00784B7D" w:rsidP="00E01F31">
            <w:r w:rsidRPr="00EC74F0">
              <w:t>1.8</w:t>
            </w:r>
          </w:p>
        </w:tc>
        <w:tc>
          <w:tcPr>
            <w:tcW w:w="2502" w:type="dxa"/>
            <w:tcBorders>
              <w:bottom w:val="single" w:sz="8" w:space="0" w:color="000000"/>
            </w:tcBorders>
          </w:tcPr>
          <w:p w14:paraId="4865B92D" w14:textId="02944401" w:rsidR="00E01F31" w:rsidRPr="00EC74F0" w:rsidRDefault="00784B7D" w:rsidP="00E01F31">
            <w:r w:rsidRPr="00EC74F0">
              <w:t>1.6</w:t>
            </w:r>
          </w:p>
        </w:tc>
      </w:tr>
    </w:tbl>
    <w:p w14:paraId="03B0B151" w14:textId="71B9BD9A" w:rsidR="00690F54" w:rsidRPr="00784B7D" w:rsidRDefault="00362368" w:rsidP="00C74ECB">
      <w:pPr>
        <w:spacing w:after="0" w:line="240" w:lineRule="auto"/>
        <w:rPr>
          <w:rFonts w:ascii="Calibri" w:eastAsia="Calibri" w:hAnsi="Calibri" w:cs="Times New Roman"/>
          <w:color w:val="000000"/>
          <w:sz w:val="20"/>
          <w:szCs w:val="20"/>
        </w:rPr>
      </w:pPr>
      <w:r w:rsidRPr="00784B7D">
        <w:rPr>
          <w:rFonts w:ascii="Calibri" w:eastAsia="Calibri" w:hAnsi="Calibri" w:cs="Times New Roman"/>
          <w:color w:val="000000"/>
          <w:sz w:val="20"/>
          <w:szCs w:val="20"/>
        </w:rPr>
        <w:t>CI = confidence interval</w:t>
      </w:r>
    </w:p>
    <w:p w14:paraId="7DABA9AA" w14:textId="2DA3448B" w:rsidR="00784B7D" w:rsidRPr="00784B7D" w:rsidRDefault="00784B7D" w:rsidP="00784B7D">
      <w:pPr>
        <w:rPr>
          <w:rFonts w:eastAsia="Calibri"/>
          <w:sz w:val="20"/>
          <w:szCs w:val="20"/>
        </w:rPr>
      </w:pPr>
      <w:r w:rsidRPr="00784B7D">
        <w:rPr>
          <w:rFonts w:eastAsia="Calibri"/>
          <w:sz w:val="20"/>
          <w:szCs w:val="20"/>
          <w:vertAlign w:val="superscript"/>
        </w:rPr>
        <w:t>1</w:t>
      </w:r>
      <w:r w:rsidRPr="00784B7D">
        <w:rPr>
          <w:rFonts w:eastAsia="Calibri"/>
          <w:sz w:val="20"/>
          <w:szCs w:val="20"/>
        </w:rPr>
        <w:t xml:space="preserve"> Geometric mean of slopes from the tests nearest the HC</w:t>
      </w:r>
      <w:r w:rsidRPr="00784B7D">
        <w:rPr>
          <w:rFonts w:eastAsia="Calibri"/>
          <w:sz w:val="20"/>
          <w:szCs w:val="20"/>
          <w:vertAlign w:val="subscript"/>
        </w:rPr>
        <w:t>05</w:t>
      </w:r>
      <w:r w:rsidRPr="00784B7D">
        <w:rPr>
          <w:rFonts w:eastAsia="Calibri"/>
          <w:sz w:val="20"/>
          <w:szCs w:val="20"/>
        </w:rPr>
        <w:t xml:space="preserve"> </w:t>
      </w:r>
    </w:p>
    <w:p w14:paraId="63D64078" w14:textId="07A07E53" w:rsidR="00C74ECB" w:rsidRPr="0046077F" w:rsidRDefault="00AD3802" w:rsidP="00C74ECB">
      <w:pPr>
        <w:pStyle w:val="Heading1"/>
        <w:rPr>
          <w:b/>
          <w:bCs/>
        </w:rPr>
      </w:pPr>
      <w:r w:rsidRPr="0046077F">
        <w:rPr>
          <w:b/>
          <w:bCs/>
        </w:rPr>
        <w:t xml:space="preserve">Toxicity </w:t>
      </w:r>
      <w:r w:rsidR="00C74ECB" w:rsidRPr="0046077F">
        <w:rPr>
          <w:b/>
          <w:bCs/>
        </w:rPr>
        <w:t>Data</w:t>
      </w:r>
    </w:p>
    <w:p w14:paraId="2D74313C" w14:textId="77777777" w:rsidR="00C74ECB" w:rsidRPr="00D45120" w:rsidRDefault="00C74ECB" w:rsidP="00C74ECB">
      <w:pPr>
        <w:pStyle w:val="ListParagraph"/>
        <w:spacing w:after="0" w:line="240" w:lineRule="auto"/>
        <w:ind w:left="1080"/>
        <w:rPr>
          <w:b/>
        </w:rPr>
      </w:pPr>
    </w:p>
    <w:p w14:paraId="5B9062E3" w14:textId="6A60A5CF" w:rsidR="004D2917" w:rsidRDefault="004D2917" w:rsidP="00C74ECB">
      <w:pPr>
        <w:spacing w:after="0" w:line="240" w:lineRule="auto"/>
        <w:rPr>
          <w:rFonts w:ascii="Calibri" w:hAnsi="Calibri"/>
        </w:rPr>
      </w:pPr>
      <w:r w:rsidRPr="00190AA8">
        <w:rPr>
          <w:rFonts w:eastAsia="Times New Roman" w:cs="Times New Roman"/>
        </w:rPr>
        <w:t xml:space="preserve">Because an SSD depicts relative sensitivities of different species exposed to the same stressor, it is necessary to standardize the data as much as possible to eliminate variables that would confound the relative sensitivities of species. Such variables can include study exposure duration, age class of organisms tested, and other </w:t>
      </w:r>
      <w:r w:rsidRPr="009B29E7">
        <w:rPr>
          <w:rFonts w:eastAsia="Times New Roman" w:cs="Times New Roman"/>
        </w:rPr>
        <w:t xml:space="preserve">study design factors. For </w:t>
      </w:r>
      <w:r w:rsidR="00190AA8" w:rsidRPr="009B29E7">
        <w:rPr>
          <w:rFonts w:eastAsia="Times New Roman" w:cs="Times New Roman"/>
        </w:rPr>
        <w:t>imidacloprid</w:t>
      </w:r>
      <w:r w:rsidRPr="009B29E7">
        <w:rPr>
          <w:rFonts w:eastAsia="Times New Roman" w:cs="Times New Roman"/>
        </w:rPr>
        <w:t xml:space="preserve">, sufficient data are available to derive SSDs for </w:t>
      </w:r>
      <w:r w:rsidR="009B29E7" w:rsidRPr="009B29E7">
        <w:rPr>
          <w:rFonts w:eastAsia="Times New Roman" w:cs="Times New Roman"/>
        </w:rPr>
        <w:t>terrestrial</w:t>
      </w:r>
      <w:r w:rsidRPr="009B29E7">
        <w:rPr>
          <w:rFonts w:eastAsia="Times New Roman" w:cs="Times New Roman"/>
        </w:rPr>
        <w:t xml:space="preserve"> invertebrates</w:t>
      </w:r>
      <w:r w:rsidR="009B29E7" w:rsidRPr="009B29E7">
        <w:rPr>
          <w:rFonts w:eastAsia="Times New Roman" w:cs="Times New Roman"/>
        </w:rPr>
        <w:t xml:space="preserve"> exposed through </w:t>
      </w:r>
      <w:r w:rsidR="00A8004E">
        <w:rPr>
          <w:rFonts w:eastAsia="Times New Roman" w:cs="Times New Roman"/>
        </w:rPr>
        <w:t>contact and diet</w:t>
      </w:r>
      <w:r w:rsidR="00F75B51">
        <w:rPr>
          <w:rFonts w:eastAsia="Times New Roman" w:cs="Times New Roman"/>
        </w:rPr>
        <w:t xml:space="preserve"> and are summarized in </w:t>
      </w:r>
      <w:r w:rsidR="003F427C" w:rsidRPr="003F427C">
        <w:rPr>
          <w:rFonts w:eastAsia="Times New Roman" w:cs="Times New Roman"/>
          <w:b/>
          <w:bCs/>
        </w:rPr>
        <w:fldChar w:fldCharType="begin"/>
      </w:r>
      <w:r w:rsidR="003F427C" w:rsidRPr="003F427C">
        <w:rPr>
          <w:rFonts w:eastAsia="Times New Roman" w:cs="Times New Roman"/>
        </w:rPr>
        <w:instrText xml:space="preserve"> REF _Ref80170396 \h </w:instrText>
      </w:r>
      <w:r w:rsidR="003F427C" w:rsidRPr="003F427C">
        <w:rPr>
          <w:rFonts w:eastAsia="Times New Roman" w:cs="Times New Roman"/>
          <w:b/>
          <w:bCs/>
        </w:rPr>
        <w:instrText xml:space="preserve"> \* MERGEFORMAT </w:instrText>
      </w:r>
      <w:r w:rsidR="003F427C" w:rsidRPr="003F427C">
        <w:rPr>
          <w:rFonts w:eastAsia="Times New Roman" w:cs="Times New Roman"/>
          <w:b/>
          <w:bCs/>
        </w:rPr>
      </w:r>
      <w:r w:rsidR="003F427C" w:rsidRPr="003F427C">
        <w:rPr>
          <w:rFonts w:eastAsia="Times New Roman" w:cs="Times New Roman"/>
          <w:b/>
          <w:bCs/>
        </w:rPr>
        <w:fldChar w:fldCharType="separate"/>
      </w:r>
      <w:r w:rsidR="003F427C" w:rsidRPr="003F427C">
        <w:rPr>
          <w:b/>
          <w:bCs/>
          <w:color w:val="000000" w:themeColor="text1"/>
        </w:rPr>
        <w:t xml:space="preserve">Table </w:t>
      </w:r>
      <w:r w:rsidR="003F427C" w:rsidRPr="003F427C">
        <w:rPr>
          <w:b/>
          <w:bCs/>
          <w:noProof/>
          <w:color w:val="000000" w:themeColor="text1"/>
        </w:rPr>
        <w:t>2</w:t>
      </w:r>
      <w:r w:rsidR="003F427C" w:rsidRPr="003F427C">
        <w:rPr>
          <w:rFonts w:eastAsia="Times New Roman" w:cs="Times New Roman"/>
          <w:b/>
          <w:bCs/>
        </w:rPr>
        <w:fldChar w:fldCharType="end"/>
      </w:r>
      <w:r w:rsidRPr="009B29E7">
        <w:rPr>
          <w:rFonts w:eastAsia="Times New Roman" w:cs="Times New Roman"/>
        </w:rPr>
        <w:t xml:space="preserve">. </w:t>
      </w:r>
      <w:r w:rsidR="00C74ECB" w:rsidRPr="009B29E7">
        <w:rPr>
          <w:rFonts w:ascii="Calibri" w:hAnsi="Calibri"/>
        </w:rPr>
        <w:t xml:space="preserve">The </w:t>
      </w:r>
      <w:r w:rsidR="00C74ECB" w:rsidRPr="00190AA8">
        <w:rPr>
          <w:rFonts w:ascii="Calibri" w:hAnsi="Calibri"/>
        </w:rPr>
        <w:t>LC</w:t>
      </w:r>
      <w:r w:rsidR="00C74ECB" w:rsidRPr="00190AA8">
        <w:rPr>
          <w:rFonts w:ascii="Calibri" w:hAnsi="Calibri"/>
          <w:vertAlign w:val="subscript"/>
        </w:rPr>
        <w:t>50</w:t>
      </w:r>
      <w:r w:rsidR="00C74ECB" w:rsidRPr="00190AA8">
        <w:rPr>
          <w:rFonts w:ascii="Calibri" w:hAnsi="Calibri"/>
        </w:rPr>
        <w:t xml:space="preserve"> values </w:t>
      </w:r>
      <w:r w:rsidR="001C772C">
        <w:rPr>
          <w:rFonts w:ascii="Calibri" w:hAnsi="Calibri"/>
        </w:rPr>
        <w:t>(dietary exposure) and LD</w:t>
      </w:r>
      <w:r w:rsidR="001C772C" w:rsidRPr="0041748E">
        <w:rPr>
          <w:rFonts w:ascii="Calibri" w:hAnsi="Calibri"/>
          <w:vertAlign w:val="subscript"/>
        </w:rPr>
        <w:t>50</w:t>
      </w:r>
      <w:r w:rsidR="001C772C">
        <w:rPr>
          <w:rFonts w:ascii="Calibri" w:hAnsi="Calibri"/>
        </w:rPr>
        <w:t xml:space="preserve"> values (contact exposure) </w:t>
      </w:r>
      <w:r w:rsidR="00C74ECB" w:rsidRPr="00190AA8">
        <w:rPr>
          <w:rFonts w:ascii="Calibri" w:hAnsi="Calibri"/>
        </w:rPr>
        <w:t xml:space="preserve">included in the analysis were all mortality or immobility endpoints </w:t>
      </w:r>
      <w:r w:rsidR="00C74ECB" w:rsidRPr="00A8004E">
        <w:rPr>
          <w:rFonts w:ascii="Calibri" w:hAnsi="Calibri"/>
        </w:rPr>
        <w:t xml:space="preserve">from 48 </w:t>
      </w:r>
      <w:r w:rsidR="00A8004E" w:rsidRPr="00A8004E">
        <w:rPr>
          <w:rFonts w:ascii="Calibri" w:hAnsi="Calibri"/>
        </w:rPr>
        <w:t>to</w:t>
      </w:r>
      <w:r w:rsidR="00C74ECB" w:rsidRPr="00A8004E">
        <w:rPr>
          <w:rFonts w:ascii="Calibri" w:hAnsi="Calibri"/>
        </w:rPr>
        <w:t xml:space="preserve"> 96-hour </w:t>
      </w:r>
      <w:r w:rsidR="00033247" w:rsidRPr="00A8004E">
        <w:rPr>
          <w:rFonts w:ascii="Calibri" w:hAnsi="Calibri"/>
        </w:rPr>
        <w:t>tests,</w:t>
      </w:r>
      <w:r w:rsidR="00D6458B" w:rsidRPr="00A8004E">
        <w:rPr>
          <w:rFonts w:ascii="Calibri" w:hAnsi="Calibri"/>
        </w:rPr>
        <w:t xml:space="preserve"> a </w:t>
      </w:r>
      <w:r w:rsidR="00851E7A" w:rsidRPr="00A8004E">
        <w:rPr>
          <w:rFonts w:ascii="Calibri" w:hAnsi="Calibri"/>
        </w:rPr>
        <w:t>mi</w:t>
      </w:r>
      <w:r w:rsidR="00851E7A" w:rsidRPr="00190AA8">
        <w:rPr>
          <w:rFonts w:ascii="Calibri" w:hAnsi="Calibri"/>
        </w:rPr>
        <w:t xml:space="preserve">nimum of </w:t>
      </w:r>
      <w:r w:rsidR="00190AA8" w:rsidRPr="00190AA8">
        <w:rPr>
          <w:rFonts w:ascii="Calibri" w:hAnsi="Calibri"/>
        </w:rPr>
        <w:t>four</w:t>
      </w:r>
      <w:r w:rsidR="00D6458B" w:rsidRPr="00190AA8">
        <w:rPr>
          <w:rFonts w:ascii="Calibri" w:hAnsi="Calibri"/>
        </w:rPr>
        <w:t xml:space="preserve"> concentrations of</w:t>
      </w:r>
      <w:r w:rsidR="00C74ECB" w:rsidRPr="00190AA8">
        <w:rPr>
          <w:rFonts w:ascii="Calibri" w:hAnsi="Calibri"/>
        </w:rPr>
        <w:t xml:space="preserve"> technical grade active ingredient</w:t>
      </w:r>
      <w:r w:rsidR="004360D1" w:rsidRPr="00190AA8">
        <w:rPr>
          <w:rFonts w:ascii="Calibri" w:hAnsi="Calibri"/>
        </w:rPr>
        <w:t>, plus appropriate controls,</w:t>
      </w:r>
      <w:r w:rsidR="00D6458B" w:rsidRPr="00190AA8">
        <w:rPr>
          <w:rFonts w:ascii="Calibri" w:hAnsi="Calibri"/>
        </w:rPr>
        <w:t xml:space="preserve"> tested</w:t>
      </w:r>
      <w:r w:rsidR="006E514B" w:rsidRPr="00190AA8">
        <w:rPr>
          <w:rFonts w:ascii="Calibri" w:hAnsi="Calibri"/>
        </w:rPr>
        <w:t xml:space="preserve"> within each study</w:t>
      </w:r>
      <w:r w:rsidR="00C74ECB" w:rsidRPr="00190AA8">
        <w:rPr>
          <w:rFonts w:ascii="Calibri" w:hAnsi="Calibri"/>
        </w:rPr>
        <w:t>.</w:t>
      </w:r>
      <w:r w:rsidR="0041748E">
        <w:rPr>
          <w:rFonts w:ascii="Calibri" w:hAnsi="Calibri"/>
        </w:rPr>
        <w:t xml:space="preserve"> </w:t>
      </w:r>
      <w:r w:rsidR="00A469C5">
        <w:rPr>
          <w:rFonts w:ascii="Calibri" w:hAnsi="Calibri"/>
        </w:rPr>
        <w:t>For contact exposure</w:t>
      </w:r>
      <w:r w:rsidR="001C772C">
        <w:rPr>
          <w:rFonts w:ascii="Calibri" w:hAnsi="Calibri"/>
        </w:rPr>
        <w:t>, all LC</w:t>
      </w:r>
      <w:r w:rsidR="001C772C" w:rsidRPr="0041748E">
        <w:rPr>
          <w:rFonts w:ascii="Calibri" w:hAnsi="Calibri"/>
          <w:vertAlign w:val="subscript"/>
        </w:rPr>
        <w:t>50</w:t>
      </w:r>
      <w:r w:rsidR="001C772C">
        <w:rPr>
          <w:rFonts w:ascii="Calibri" w:hAnsi="Calibri"/>
        </w:rPr>
        <w:t xml:space="preserve"> values included in the SSD were definitive endpoints, while for dietary exposure, 5 of the 12 LD</w:t>
      </w:r>
      <w:r w:rsidR="001C772C" w:rsidRPr="0041748E">
        <w:rPr>
          <w:rFonts w:ascii="Calibri" w:hAnsi="Calibri"/>
          <w:vertAlign w:val="subscript"/>
        </w:rPr>
        <w:t>50</w:t>
      </w:r>
      <w:r w:rsidR="001C772C">
        <w:rPr>
          <w:rFonts w:ascii="Calibri" w:hAnsi="Calibri"/>
        </w:rPr>
        <w:t xml:space="preserve"> values included for Apis mellifera were non-definitive (&gt; values) where &gt; 50% mortality was not observed at the highest concentration tested. For the purpose of calculating the median LC50 for A. mellifera, the non-definitive (&gt;) LC</w:t>
      </w:r>
      <w:r w:rsidR="001C772C" w:rsidRPr="0041748E">
        <w:rPr>
          <w:rFonts w:ascii="Calibri" w:hAnsi="Calibri"/>
          <w:vertAlign w:val="subscript"/>
        </w:rPr>
        <w:t xml:space="preserve">50 </w:t>
      </w:r>
      <w:r w:rsidR="001C772C">
        <w:rPr>
          <w:rFonts w:ascii="Calibri" w:hAnsi="Calibri"/>
        </w:rPr>
        <w:t xml:space="preserve">values were assumed equal to the highest concentration tested to minimize bias if the non-definitive values were excluded. </w:t>
      </w:r>
      <w:r w:rsidR="00F75B51">
        <w:rPr>
          <w:rFonts w:ascii="Calibri" w:hAnsi="Calibri"/>
        </w:rPr>
        <w:t xml:space="preserve"> </w:t>
      </w:r>
    </w:p>
    <w:p w14:paraId="302C45A3" w14:textId="77777777" w:rsidR="00AF7613" w:rsidRPr="00190AA8" w:rsidRDefault="00AF7613" w:rsidP="00C74ECB">
      <w:pPr>
        <w:spacing w:after="0" w:line="240" w:lineRule="auto"/>
        <w:rPr>
          <w:rFonts w:ascii="Calibri" w:hAnsi="Calibri"/>
        </w:rPr>
      </w:pPr>
    </w:p>
    <w:p w14:paraId="08E78543" w14:textId="77777777" w:rsidR="00D147A6" w:rsidRDefault="00D147A6" w:rsidP="00D147A6">
      <w:pPr>
        <w:pStyle w:val="Caption"/>
        <w:rPr>
          <w:rFonts w:ascii="Calibri" w:hAnsi="Calibri"/>
          <w:b/>
        </w:rPr>
      </w:pPr>
    </w:p>
    <w:p w14:paraId="4CC2504D" w14:textId="2130B135" w:rsidR="00AF7613" w:rsidRPr="00D147A6" w:rsidRDefault="00D147A6" w:rsidP="00D147A6">
      <w:pPr>
        <w:pStyle w:val="Caption"/>
        <w:rPr>
          <w:rFonts w:ascii="Calibri" w:hAnsi="Calibri"/>
          <w:b/>
          <w:bCs/>
          <w:i w:val="0"/>
          <w:iCs w:val="0"/>
          <w:color w:val="000000" w:themeColor="text1"/>
          <w:sz w:val="22"/>
          <w:szCs w:val="22"/>
        </w:rPr>
      </w:pPr>
      <w:bookmarkStart w:id="2" w:name="_Ref80170396"/>
      <w:r w:rsidRPr="00D147A6">
        <w:rPr>
          <w:b/>
          <w:bCs/>
          <w:i w:val="0"/>
          <w:iCs w:val="0"/>
          <w:color w:val="000000" w:themeColor="text1"/>
          <w:sz w:val="22"/>
          <w:szCs w:val="22"/>
        </w:rPr>
        <w:lastRenderedPageBreak/>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Pr>
          <w:b/>
          <w:bCs/>
          <w:i w:val="0"/>
          <w:iCs w:val="0"/>
          <w:noProof/>
          <w:color w:val="000000" w:themeColor="text1"/>
          <w:sz w:val="22"/>
          <w:szCs w:val="22"/>
        </w:rPr>
        <w:t>2</w:t>
      </w:r>
      <w:r w:rsidRPr="00D147A6">
        <w:rPr>
          <w:b/>
          <w:bCs/>
          <w:i w:val="0"/>
          <w:iCs w:val="0"/>
          <w:color w:val="000000" w:themeColor="text1"/>
          <w:sz w:val="22"/>
          <w:szCs w:val="22"/>
        </w:rPr>
        <w:fldChar w:fldCharType="end"/>
      </w:r>
      <w:bookmarkEnd w:id="2"/>
      <w:r w:rsidRPr="00D147A6">
        <w:rPr>
          <w:b/>
          <w:bCs/>
          <w:i w:val="0"/>
          <w:iCs w:val="0"/>
          <w:color w:val="000000" w:themeColor="text1"/>
          <w:sz w:val="22"/>
          <w:szCs w:val="22"/>
        </w:rPr>
        <w:t>. Distribution of test results available for imidacloprid.</w:t>
      </w:r>
    </w:p>
    <w:tbl>
      <w:tblPr>
        <w:tblW w:w="691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1620"/>
        <w:gridCol w:w="2430"/>
      </w:tblGrid>
      <w:tr w:rsidR="00AF7613" w:rsidRPr="00931CF0" w14:paraId="0E52CB96" w14:textId="77777777" w:rsidTr="0085649A">
        <w:tc>
          <w:tcPr>
            <w:tcW w:w="2862" w:type="dxa"/>
            <w:tcBorders>
              <w:top w:val="single" w:sz="12" w:space="0" w:color="000000"/>
              <w:left w:val="nil"/>
              <w:bottom w:val="single" w:sz="12" w:space="0" w:color="000000"/>
              <w:right w:val="nil"/>
            </w:tcBorders>
          </w:tcPr>
          <w:p w14:paraId="558F66D9" w14:textId="7576B824" w:rsidR="00AF7613" w:rsidRPr="00931CF0" w:rsidRDefault="00F75B51" w:rsidP="0085649A">
            <w:pPr>
              <w:keepNext/>
              <w:keepLines/>
              <w:spacing w:after="0" w:line="240" w:lineRule="auto"/>
              <w:rPr>
                <w:rFonts w:ascii="Calibri" w:hAnsi="Calibri"/>
              </w:rPr>
            </w:pPr>
            <w:r>
              <w:rPr>
                <w:rFonts w:ascii="Calibri" w:hAnsi="Calibri"/>
              </w:rPr>
              <w:t>Exposure route</w:t>
            </w:r>
          </w:p>
        </w:tc>
        <w:tc>
          <w:tcPr>
            <w:tcW w:w="1620" w:type="dxa"/>
            <w:tcBorders>
              <w:top w:val="single" w:sz="12" w:space="0" w:color="000000"/>
              <w:left w:val="nil"/>
              <w:bottom w:val="single" w:sz="12" w:space="0" w:color="000000"/>
              <w:right w:val="nil"/>
            </w:tcBorders>
          </w:tcPr>
          <w:p w14:paraId="79697A9B" w14:textId="77777777" w:rsidR="00AF7613" w:rsidRPr="00931CF0" w:rsidRDefault="00AF7613" w:rsidP="0085649A">
            <w:pPr>
              <w:keepNext/>
              <w:keepLines/>
              <w:spacing w:after="0" w:line="240" w:lineRule="auto"/>
              <w:rPr>
                <w:rFonts w:ascii="Calibri" w:hAnsi="Calibri"/>
              </w:rPr>
            </w:pPr>
            <w:r w:rsidRPr="00931CF0">
              <w:rPr>
                <w:rFonts w:ascii="Calibri" w:hAnsi="Calibri"/>
              </w:rPr>
              <w:t>Test results</w:t>
            </w:r>
          </w:p>
        </w:tc>
        <w:tc>
          <w:tcPr>
            <w:tcW w:w="2430" w:type="dxa"/>
            <w:tcBorders>
              <w:top w:val="single" w:sz="12" w:space="0" w:color="000000"/>
              <w:left w:val="nil"/>
              <w:bottom w:val="single" w:sz="12" w:space="0" w:color="000000"/>
              <w:right w:val="nil"/>
            </w:tcBorders>
          </w:tcPr>
          <w:p w14:paraId="5E917C1A" w14:textId="77777777" w:rsidR="00AF7613" w:rsidRPr="00931CF0" w:rsidRDefault="00AF7613" w:rsidP="0085649A">
            <w:pPr>
              <w:keepNext/>
              <w:keepLines/>
              <w:spacing w:after="0" w:line="240" w:lineRule="auto"/>
              <w:rPr>
                <w:rFonts w:ascii="Calibri" w:hAnsi="Calibri"/>
              </w:rPr>
            </w:pPr>
            <w:r w:rsidRPr="00931CF0">
              <w:rPr>
                <w:rFonts w:ascii="Calibri" w:hAnsi="Calibri"/>
              </w:rPr>
              <w:t>Species</w:t>
            </w:r>
          </w:p>
        </w:tc>
      </w:tr>
      <w:tr w:rsidR="00BE07C9" w:rsidRPr="00931CF0" w14:paraId="21DA01C6" w14:textId="77777777" w:rsidTr="003F427C">
        <w:tc>
          <w:tcPr>
            <w:tcW w:w="2862" w:type="dxa"/>
            <w:tcBorders>
              <w:top w:val="nil"/>
              <w:left w:val="nil"/>
              <w:bottom w:val="nil"/>
              <w:right w:val="nil"/>
            </w:tcBorders>
          </w:tcPr>
          <w:p w14:paraId="195900AD" w14:textId="09E8B692" w:rsidR="00BE07C9" w:rsidRPr="00931CF0" w:rsidRDefault="00F75B51" w:rsidP="00BE07C9">
            <w:pPr>
              <w:keepNext/>
              <w:keepLines/>
              <w:spacing w:after="0" w:line="240" w:lineRule="auto"/>
              <w:rPr>
                <w:rFonts w:ascii="Calibri" w:hAnsi="Calibri"/>
              </w:rPr>
            </w:pPr>
            <w:r>
              <w:rPr>
                <w:rFonts w:eastAsia="Times New Roman" w:cs="Times New Roman"/>
              </w:rPr>
              <w:t xml:space="preserve">Dietary, </w:t>
            </w:r>
            <w:r w:rsidR="00BE07C9">
              <w:rPr>
                <w:rFonts w:eastAsia="Times New Roman" w:cs="Times New Roman"/>
              </w:rPr>
              <w:t>mg a.i./kg-food</w:t>
            </w:r>
          </w:p>
        </w:tc>
        <w:tc>
          <w:tcPr>
            <w:tcW w:w="1620" w:type="dxa"/>
            <w:tcBorders>
              <w:top w:val="nil"/>
              <w:left w:val="nil"/>
              <w:bottom w:val="nil"/>
              <w:right w:val="nil"/>
            </w:tcBorders>
            <w:vAlign w:val="center"/>
          </w:tcPr>
          <w:p w14:paraId="067BB5C2" w14:textId="6A3FABA9" w:rsidR="00BE07C9" w:rsidRPr="00931CF0" w:rsidRDefault="00784B7D" w:rsidP="00BE07C9">
            <w:pPr>
              <w:keepNext/>
              <w:keepLines/>
              <w:spacing w:after="0" w:line="240" w:lineRule="auto"/>
              <w:rPr>
                <w:rFonts w:ascii="Calibri" w:hAnsi="Calibri"/>
              </w:rPr>
            </w:pPr>
            <w:r>
              <w:rPr>
                <w:rFonts w:ascii="Calibri" w:hAnsi="Calibri"/>
              </w:rPr>
              <w:t>19</w:t>
            </w:r>
          </w:p>
        </w:tc>
        <w:tc>
          <w:tcPr>
            <w:tcW w:w="2430" w:type="dxa"/>
            <w:tcBorders>
              <w:top w:val="nil"/>
              <w:left w:val="nil"/>
              <w:bottom w:val="nil"/>
              <w:right w:val="nil"/>
            </w:tcBorders>
            <w:vAlign w:val="center"/>
          </w:tcPr>
          <w:p w14:paraId="52F87CD6" w14:textId="735D4559" w:rsidR="00BE07C9" w:rsidRPr="00931CF0" w:rsidRDefault="00A8004E" w:rsidP="00BE07C9">
            <w:pPr>
              <w:keepNext/>
              <w:keepLines/>
              <w:spacing w:after="0" w:line="240" w:lineRule="auto"/>
              <w:rPr>
                <w:rFonts w:ascii="Calibri" w:hAnsi="Calibri"/>
              </w:rPr>
            </w:pPr>
            <w:r>
              <w:rPr>
                <w:rFonts w:ascii="Calibri" w:hAnsi="Calibri"/>
              </w:rPr>
              <w:t>10</w:t>
            </w:r>
          </w:p>
        </w:tc>
      </w:tr>
      <w:tr w:rsidR="00BE07C9" w:rsidRPr="00931CF0" w14:paraId="3076CC87" w14:textId="77777777" w:rsidTr="003F427C">
        <w:tc>
          <w:tcPr>
            <w:tcW w:w="2862" w:type="dxa"/>
            <w:tcBorders>
              <w:top w:val="nil"/>
              <w:left w:val="nil"/>
              <w:bottom w:val="single" w:sz="8" w:space="0" w:color="000000"/>
              <w:right w:val="nil"/>
            </w:tcBorders>
          </w:tcPr>
          <w:p w14:paraId="4382CF36" w14:textId="3FB6748D" w:rsidR="00BE07C9" w:rsidRPr="00931CF0" w:rsidRDefault="00F75B51" w:rsidP="00BE07C9">
            <w:pPr>
              <w:keepNext/>
              <w:keepLines/>
              <w:spacing w:after="0" w:line="240" w:lineRule="auto"/>
              <w:rPr>
                <w:rFonts w:ascii="Calibri" w:hAnsi="Calibri"/>
              </w:rPr>
            </w:pPr>
            <w:r>
              <w:rPr>
                <w:rFonts w:eastAsia="Times New Roman" w:cs="Times New Roman"/>
              </w:rPr>
              <w:t xml:space="preserve">Contact, </w:t>
            </w:r>
            <w:r w:rsidR="00BE07C9">
              <w:rPr>
                <w:rFonts w:eastAsia="Times New Roman" w:cs="Times New Roman"/>
              </w:rPr>
              <w:t>mg a.i./kg-bw</w:t>
            </w:r>
          </w:p>
        </w:tc>
        <w:tc>
          <w:tcPr>
            <w:tcW w:w="1620" w:type="dxa"/>
            <w:tcBorders>
              <w:top w:val="nil"/>
              <w:left w:val="nil"/>
              <w:bottom w:val="single" w:sz="8" w:space="0" w:color="000000"/>
              <w:right w:val="nil"/>
            </w:tcBorders>
            <w:vAlign w:val="center"/>
          </w:tcPr>
          <w:p w14:paraId="0C5432FF" w14:textId="739DF1F4" w:rsidR="00BE07C9" w:rsidRPr="00931CF0" w:rsidRDefault="00A8004E" w:rsidP="00BE07C9">
            <w:pPr>
              <w:keepNext/>
              <w:keepLines/>
              <w:spacing w:after="0" w:line="240" w:lineRule="auto"/>
              <w:rPr>
                <w:rFonts w:ascii="Calibri" w:hAnsi="Calibri"/>
              </w:rPr>
            </w:pPr>
            <w:r>
              <w:rPr>
                <w:rFonts w:ascii="Calibri" w:hAnsi="Calibri"/>
              </w:rPr>
              <w:t>34</w:t>
            </w:r>
          </w:p>
        </w:tc>
        <w:tc>
          <w:tcPr>
            <w:tcW w:w="2430" w:type="dxa"/>
            <w:tcBorders>
              <w:top w:val="nil"/>
              <w:left w:val="nil"/>
              <w:bottom w:val="single" w:sz="8" w:space="0" w:color="000000"/>
              <w:right w:val="nil"/>
            </w:tcBorders>
            <w:vAlign w:val="center"/>
          </w:tcPr>
          <w:p w14:paraId="15351517" w14:textId="259FCD61" w:rsidR="00BE07C9" w:rsidRPr="00931CF0" w:rsidRDefault="00A8004E" w:rsidP="00BE07C9">
            <w:pPr>
              <w:keepNext/>
              <w:keepLines/>
              <w:spacing w:after="0" w:line="240" w:lineRule="auto"/>
              <w:rPr>
                <w:rFonts w:ascii="Calibri" w:hAnsi="Calibri"/>
              </w:rPr>
            </w:pPr>
            <w:r>
              <w:rPr>
                <w:rFonts w:ascii="Calibri" w:hAnsi="Calibri"/>
              </w:rPr>
              <w:t>1</w:t>
            </w:r>
            <w:r w:rsidR="00A756A2">
              <w:rPr>
                <w:rFonts w:ascii="Calibri" w:hAnsi="Calibri"/>
              </w:rPr>
              <w:t>3</w:t>
            </w:r>
          </w:p>
        </w:tc>
      </w:tr>
    </w:tbl>
    <w:p w14:paraId="182F9072" w14:textId="77777777" w:rsidR="00AD3802" w:rsidRDefault="00AD3802" w:rsidP="00C74ECB">
      <w:pPr>
        <w:spacing w:after="0" w:line="240" w:lineRule="auto"/>
        <w:rPr>
          <w:rFonts w:ascii="Calibri" w:hAnsi="Calibri"/>
        </w:rPr>
      </w:pPr>
    </w:p>
    <w:p w14:paraId="27224C9C" w14:textId="04E0289F" w:rsidR="00D10A14" w:rsidRPr="0041748E" w:rsidRDefault="004D2917" w:rsidP="00790F07">
      <w:pPr>
        <w:spacing w:after="0"/>
      </w:pPr>
      <w:r w:rsidRPr="00190AA8">
        <w:rPr>
          <w:rFonts w:ascii="Calibri" w:hAnsi="Calibri"/>
        </w:rPr>
        <w:t xml:space="preserve">Data used to derive SSDs are from literature </w:t>
      </w:r>
      <w:r w:rsidRPr="009B29E7">
        <w:rPr>
          <w:rFonts w:ascii="Calibri" w:hAnsi="Calibri"/>
        </w:rPr>
        <w:t xml:space="preserve">that passed the ECOTOX quality screen (catalogued in </w:t>
      </w:r>
      <w:r w:rsidRPr="009B29E7">
        <w:rPr>
          <w:rFonts w:ascii="Calibri" w:hAnsi="Calibri"/>
          <w:b/>
          <w:bCs/>
        </w:rPr>
        <w:t>APPENDIX 2-2</w:t>
      </w:r>
      <w:r w:rsidRPr="009B29E7">
        <w:rPr>
          <w:rFonts w:ascii="Calibri" w:hAnsi="Calibri"/>
        </w:rPr>
        <w:t>) and data from unpublished, registrant-submitted studies.</w:t>
      </w:r>
      <w:r w:rsidR="0073794C" w:rsidRPr="009B29E7">
        <w:t xml:space="preserve"> </w:t>
      </w:r>
      <w:r w:rsidR="001C772C">
        <w:t>For dietary exposures</w:t>
      </w:r>
      <w:r w:rsidR="00D10A14">
        <w:t xml:space="preserve">, several unit conversions </w:t>
      </w:r>
      <w:r w:rsidR="00D10A14" w:rsidRPr="0041748E">
        <w:t>were conducted depending on the expression of the acute toxicity endpoints as follows:</w:t>
      </w:r>
    </w:p>
    <w:p w14:paraId="0839A80A" w14:textId="77777777" w:rsidR="00D10A14" w:rsidRPr="0041748E" w:rsidRDefault="00D10A14" w:rsidP="00D10A14">
      <w:pPr>
        <w:pStyle w:val="ListParagraph"/>
        <w:numPr>
          <w:ilvl w:val="0"/>
          <w:numId w:val="3"/>
        </w:numPr>
        <w:spacing w:after="0"/>
        <w:rPr>
          <w:rFonts w:ascii="Calibri" w:hAnsi="Calibri"/>
        </w:rPr>
      </w:pPr>
      <w:r w:rsidRPr="0041748E">
        <w:t>Most LC</w:t>
      </w:r>
      <w:r w:rsidRPr="0041748E">
        <w:rPr>
          <w:vertAlign w:val="subscript"/>
        </w:rPr>
        <w:t>50</w:t>
      </w:r>
      <w:r w:rsidRPr="0041748E">
        <w:t xml:space="preserve"> values identified in ECOTOX that were expressed as mass a.i./mass food (</w:t>
      </w:r>
      <w:r w:rsidRPr="0041748E">
        <w:rPr>
          <w:i/>
          <w:iCs/>
        </w:rPr>
        <w:t>e.g.,</w:t>
      </w:r>
      <w:r w:rsidRPr="0041748E">
        <w:t xml:space="preserve"> mg a.i./kg-food) were actually mass a.i./volume of food (</w:t>
      </w:r>
      <w:r w:rsidRPr="0041748E">
        <w:rPr>
          <w:i/>
          <w:iCs/>
        </w:rPr>
        <w:t>e.g.,</w:t>
      </w:r>
      <w:r w:rsidRPr="0041748E">
        <w:t xml:space="preserve"> mg a.i./L-food) upon review of the underlying publication. In these cases, the endpoints were converted to a food mass basis using the density of the feeding solution. </w:t>
      </w:r>
    </w:p>
    <w:p w14:paraId="40EA3A8E" w14:textId="77777777" w:rsidR="00F4439C" w:rsidRPr="0041748E" w:rsidRDefault="00D10A14" w:rsidP="00D10A14">
      <w:pPr>
        <w:pStyle w:val="ListParagraph"/>
        <w:numPr>
          <w:ilvl w:val="0"/>
          <w:numId w:val="3"/>
        </w:numPr>
        <w:spacing w:after="0"/>
        <w:rPr>
          <w:rFonts w:ascii="Calibri" w:hAnsi="Calibri"/>
        </w:rPr>
      </w:pPr>
      <w:r w:rsidRPr="0041748E">
        <w:t>LC</w:t>
      </w:r>
      <w:r w:rsidRPr="0041748E">
        <w:rPr>
          <w:vertAlign w:val="subscript"/>
        </w:rPr>
        <w:t>50</w:t>
      </w:r>
      <w:r w:rsidRPr="0041748E">
        <w:t xml:space="preserve"> /LD</w:t>
      </w:r>
      <w:r w:rsidRPr="0041748E">
        <w:rPr>
          <w:vertAlign w:val="subscript"/>
        </w:rPr>
        <w:t>50</w:t>
      </w:r>
      <w:r w:rsidRPr="0041748E">
        <w:t xml:space="preserve"> values expressed as mass a.i./organism (</w:t>
      </w:r>
      <w:r w:rsidRPr="0041748E">
        <w:rPr>
          <w:i/>
          <w:iCs/>
        </w:rPr>
        <w:t>e.g.,</w:t>
      </w:r>
      <w:r w:rsidRPr="0041748E">
        <w:t xml:space="preserve"> </w:t>
      </w:r>
      <w:r w:rsidRPr="0041748E">
        <w:rPr>
          <w:rFonts w:cstheme="minorHAnsi"/>
        </w:rPr>
        <w:t>µ</w:t>
      </w:r>
      <w:r w:rsidRPr="0041748E">
        <w:t xml:space="preserve">g a.i./organism) were converted to mass a.i./mass-food based on the </w:t>
      </w:r>
      <w:r w:rsidR="00F4439C" w:rsidRPr="0041748E">
        <w:t>mass of food consumed and food density</w:t>
      </w:r>
      <w:r w:rsidRPr="0041748E">
        <w:t xml:space="preserve"> </w:t>
      </w:r>
      <w:r w:rsidR="00F4439C" w:rsidRPr="0041748E">
        <w:t xml:space="preserve">when necessary. </w:t>
      </w:r>
    </w:p>
    <w:p w14:paraId="2F682DB2" w14:textId="77777777" w:rsidR="00F4439C" w:rsidRPr="0041748E" w:rsidRDefault="00F4439C" w:rsidP="0041748E">
      <w:pPr>
        <w:pStyle w:val="ListParagraph"/>
        <w:spacing w:after="0"/>
        <w:rPr>
          <w:rFonts w:ascii="Calibri" w:hAnsi="Calibri"/>
        </w:rPr>
      </w:pPr>
    </w:p>
    <w:p w14:paraId="0E27BFA7" w14:textId="77777777" w:rsidR="00F4439C" w:rsidRPr="0041748E" w:rsidRDefault="00F4439C" w:rsidP="0041748E">
      <w:pPr>
        <w:spacing w:after="0"/>
        <w:rPr>
          <w:rFonts w:ascii="Calibri" w:hAnsi="Calibri"/>
        </w:rPr>
      </w:pPr>
      <w:r w:rsidRPr="0041748E">
        <w:rPr>
          <w:rFonts w:ascii="Calibri" w:hAnsi="Calibri"/>
        </w:rPr>
        <w:t>For contact exposures, the following unit conversions were conducted when necessary:</w:t>
      </w:r>
    </w:p>
    <w:p w14:paraId="1905E62D" w14:textId="47677F05" w:rsidR="00F4439C" w:rsidRPr="0041748E" w:rsidRDefault="00F4439C" w:rsidP="00F4439C">
      <w:pPr>
        <w:pStyle w:val="ListParagraph"/>
        <w:numPr>
          <w:ilvl w:val="0"/>
          <w:numId w:val="4"/>
        </w:numPr>
        <w:spacing w:after="0"/>
        <w:rPr>
          <w:rFonts w:ascii="Calibri" w:hAnsi="Calibri"/>
        </w:rPr>
      </w:pPr>
      <w:r w:rsidRPr="0041748E">
        <w:rPr>
          <w:rFonts w:ascii="Calibri" w:hAnsi="Calibri"/>
        </w:rPr>
        <w:t>LD</w:t>
      </w:r>
      <w:r w:rsidRPr="0041748E">
        <w:rPr>
          <w:rFonts w:ascii="Calibri" w:hAnsi="Calibri"/>
          <w:vertAlign w:val="subscript"/>
        </w:rPr>
        <w:t>50</w:t>
      </w:r>
      <w:r w:rsidRPr="0041748E">
        <w:rPr>
          <w:rFonts w:ascii="Calibri" w:hAnsi="Calibri"/>
        </w:rPr>
        <w:t xml:space="preserve"> values expressed as mass a.i./organism were converted to mass a.i./mass organism based on the body weight of the tested species when reported </w:t>
      </w:r>
      <w:r w:rsidR="007864C2">
        <w:rPr>
          <w:rFonts w:ascii="Calibri" w:hAnsi="Calibri"/>
        </w:rPr>
        <w:t xml:space="preserve">in the study or when </w:t>
      </w:r>
      <w:r w:rsidRPr="0041748E">
        <w:rPr>
          <w:rFonts w:ascii="Calibri" w:hAnsi="Calibri"/>
        </w:rPr>
        <w:t>available in the open literature</w:t>
      </w:r>
      <w:r w:rsidR="007864C2">
        <w:rPr>
          <w:rFonts w:ascii="Calibri" w:hAnsi="Calibri"/>
        </w:rPr>
        <w:t xml:space="preserve"> for the same species/life stage</w:t>
      </w:r>
      <w:r w:rsidRPr="0041748E">
        <w:rPr>
          <w:rFonts w:ascii="Calibri" w:hAnsi="Calibri"/>
        </w:rPr>
        <w:t xml:space="preserve">. </w:t>
      </w:r>
    </w:p>
    <w:p w14:paraId="37856FB0" w14:textId="09AF20A3" w:rsidR="00F4439C" w:rsidRPr="007864C2" w:rsidRDefault="00F4439C" w:rsidP="007864C2">
      <w:pPr>
        <w:pStyle w:val="ListParagraph"/>
        <w:numPr>
          <w:ilvl w:val="0"/>
          <w:numId w:val="4"/>
        </w:numPr>
        <w:spacing w:after="0"/>
        <w:rPr>
          <w:rFonts w:ascii="Calibri" w:hAnsi="Calibri"/>
        </w:rPr>
      </w:pPr>
      <w:r w:rsidRPr="0041748E">
        <w:rPr>
          <w:rFonts w:ascii="Calibri" w:hAnsi="Calibri"/>
        </w:rPr>
        <w:t>LD</w:t>
      </w:r>
      <w:r w:rsidRPr="0041748E">
        <w:rPr>
          <w:rFonts w:ascii="Calibri" w:hAnsi="Calibri"/>
          <w:vertAlign w:val="subscript"/>
        </w:rPr>
        <w:t>50</w:t>
      </w:r>
      <w:r w:rsidRPr="0041748E">
        <w:rPr>
          <w:rFonts w:ascii="Calibri" w:hAnsi="Calibri"/>
        </w:rPr>
        <w:t xml:space="preserve"> values expressed as mass a.i./volume of dosing solution (e.g., mg a.i./L) were converted to mass a.i./mass organism based on the volume of dosing solution administered per organism and the organism body weight, when reported</w:t>
      </w:r>
      <w:r w:rsidR="007864C2">
        <w:rPr>
          <w:rFonts w:ascii="Calibri" w:hAnsi="Calibri"/>
        </w:rPr>
        <w:t xml:space="preserve"> in the study or when </w:t>
      </w:r>
      <w:r w:rsidR="007864C2" w:rsidRPr="0041748E">
        <w:rPr>
          <w:rFonts w:ascii="Calibri" w:hAnsi="Calibri"/>
        </w:rPr>
        <w:t>available in the open literature</w:t>
      </w:r>
      <w:r w:rsidR="007864C2">
        <w:rPr>
          <w:rFonts w:ascii="Calibri" w:hAnsi="Calibri"/>
        </w:rPr>
        <w:t xml:space="preserve"> for the same species/life stage</w:t>
      </w:r>
      <w:r w:rsidR="007864C2" w:rsidRPr="0041748E">
        <w:rPr>
          <w:rFonts w:ascii="Calibri" w:hAnsi="Calibri"/>
        </w:rPr>
        <w:t xml:space="preserve">. </w:t>
      </w:r>
    </w:p>
    <w:p w14:paraId="372179C2" w14:textId="77777777" w:rsidR="00F4439C" w:rsidRPr="0041748E" w:rsidRDefault="00F4439C" w:rsidP="0041748E">
      <w:pPr>
        <w:pStyle w:val="ListParagraph"/>
        <w:spacing w:after="0"/>
        <w:ind w:left="1080"/>
        <w:rPr>
          <w:rFonts w:ascii="Calibri" w:hAnsi="Calibri"/>
        </w:rPr>
      </w:pPr>
    </w:p>
    <w:p w14:paraId="5D918504" w14:textId="45474BD2" w:rsidR="00C74ECB" w:rsidRPr="0041748E" w:rsidRDefault="005037C7" w:rsidP="00F4439C">
      <w:pPr>
        <w:spacing w:after="0"/>
        <w:rPr>
          <w:rFonts w:ascii="Calibri" w:hAnsi="Calibri"/>
          <w:color w:val="FF0000"/>
        </w:rPr>
      </w:pPr>
      <w:r w:rsidRPr="0041748E">
        <w:rPr>
          <w:rFonts w:ascii="Calibri" w:hAnsi="Calibri"/>
        </w:rPr>
        <w:t xml:space="preserve">For a given species, if acute </w:t>
      </w:r>
      <w:r>
        <w:rPr>
          <w:rFonts w:ascii="Calibri" w:hAnsi="Calibri"/>
        </w:rPr>
        <w:t>toxicity endpoints were reported for different observation times within a test, only the most sensitive LC</w:t>
      </w:r>
      <w:r w:rsidRPr="0041748E">
        <w:rPr>
          <w:rFonts w:ascii="Calibri" w:hAnsi="Calibri"/>
          <w:vertAlign w:val="subscript"/>
        </w:rPr>
        <w:t>50</w:t>
      </w:r>
      <w:r>
        <w:rPr>
          <w:rFonts w:ascii="Calibri" w:hAnsi="Calibri"/>
        </w:rPr>
        <w:t xml:space="preserve"> or LD</w:t>
      </w:r>
      <w:r w:rsidRPr="0041748E">
        <w:rPr>
          <w:rFonts w:ascii="Calibri" w:hAnsi="Calibri"/>
          <w:vertAlign w:val="subscript"/>
        </w:rPr>
        <w:t>50</w:t>
      </w:r>
      <w:r>
        <w:rPr>
          <w:rFonts w:ascii="Calibri" w:hAnsi="Calibri"/>
        </w:rPr>
        <w:t xml:space="preserve"> was used. However, if multiple tests were conducted in a study for a given species (e.g., different instars, strains), all endpoints were included in the SSD for that species. </w:t>
      </w:r>
      <w:r w:rsidR="003F427C" w:rsidRPr="003F427C">
        <w:rPr>
          <w:rFonts w:ascii="Calibri" w:hAnsi="Calibri"/>
          <w:b/>
          <w:bCs/>
        </w:rPr>
        <w:fldChar w:fldCharType="begin"/>
      </w:r>
      <w:r w:rsidR="003F427C" w:rsidRPr="003F427C">
        <w:rPr>
          <w:rFonts w:ascii="Calibri" w:hAnsi="Calibri"/>
        </w:rPr>
        <w:instrText xml:space="preserve"> REF _Ref80170371 \h </w:instrText>
      </w:r>
      <w:r w:rsidR="003F427C" w:rsidRPr="003F427C">
        <w:rPr>
          <w:rFonts w:ascii="Calibri" w:hAnsi="Calibri"/>
          <w:b/>
          <w:bCs/>
        </w:rPr>
        <w:instrText xml:space="preserve"> \* MERGEFORMAT </w:instrText>
      </w:r>
      <w:r w:rsidR="003F427C" w:rsidRPr="003F427C">
        <w:rPr>
          <w:rFonts w:ascii="Calibri" w:hAnsi="Calibri"/>
          <w:b/>
          <w:bCs/>
        </w:rPr>
      </w:r>
      <w:r w:rsidR="003F427C" w:rsidRPr="003F427C">
        <w:rPr>
          <w:rFonts w:ascii="Calibri" w:hAnsi="Calibri"/>
          <w:b/>
          <w:bCs/>
        </w:rPr>
        <w:fldChar w:fldCharType="separate"/>
      </w:r>
      <w:r w:rsidR="003F427C" w:rsidRPr="003F427C">
        <w:rPr>
          <w:b/>
          <w:bCs/>
          <w:color w:val="000000" w:themeColor="text1"/>
        </w:rPr>
        <w:t xml:space="preserve">Table </w:t>
      </w:r>
      <w:r w:rsidR="003F427C" w:rsidRPr="003F427C">
        <w:rPr>
          <w:b/>
          <w:bCs/>
          <w:noProof/>
          <w:color w:val="000000" w:themeColor="text1"/>
        </w:rPr>
        <w:t>3</w:t>
      </w:r>
      <w:r w:rsidR="003F427C" w:rsidRPr="003F427C">
        <w:rPr>
          <w:rFonts w:ascii="Calibri" w:hAnsi="Calibri"/>
          <w:b/>
          <w:bCs/>
        </w:rPr>
        <w:fldChar w:fldCharType="end"/>
      </w:r>
      <w:r w:rsidR="003F427C">
        <w:rPr>
          <w:rFonts w:ascii="Calibri" w:hAnsi="Calibri"/>
          <w:b/>
          <w:bCs/>
        </w:rPr>
        <w:t xml:space="preserve"> </w:t>
      </w:r>
      <w:r w:rsidR="003F427C" w:rsidRPr="003F427C">
        <w:rPr>
          <w:rFonts w:ascii="Calibri" w:hAnsi="Calibri"/>
        </w:rPr>
        <w:t>and</w:t>
      </w:r>
      <w:r w:rsidR="003F427C">
        <w:rPr>
          <w:rFonts w:ascii="Calibri" w:hAnsi="Calibri"/>
          <w:b/>
          <w:bCs/>
        </w:rPr>
        <w:t xml:space="preserve"> </w:t>
      </w:r>
      <w:r w:rsidR="003F427C" w:rsidRPr="003F427C">
        <w:rPr>
          <w:rFonts w:ascii="Calibri" w:hAnsi="Calibri"/>
          <w:b/>
          <w:bCs/>
        </w:rPr>
        <w:fldChar w:fldCharType="begin"/>
      </w:r>
      <w:r w:rsidR="003F427C" w:rsidRPr="003F427C">
        <w:rPr>
          <w:rFonts w:ascii="Calibri" w:hAnsi="Calibri"/>
          <w:b/>
          <w:bCs/>
        </w:rPr>
        <w:instrText xml:space="preserve"> REF _Ref80170373 \h  \* MERGEFORMAT </w:instrText>
      </w:r>
      <w:r w:rsidR="003F427C" w:rsidRPr="003F427C">
        <w:rPr>
          <w:rFonts w:ascii="Calibri" w:hAnsi="Calibri"/>
          <w:b/>
          <w:bCs/>
        </w:rPr>
      </w:r>
      <w:r w:rsidR="003F427C" w:rsidRPr="003F427C">
        <w:rPr>
          <w:rFonts w:ascii="Calibri" w:hAnsi="Calibri"/>
          <w:b/>
          <w:bCs/>
        </w:rPr>
        <w:fldChar w:fldCharType="separate"/>
      </w:r>
      <w:r w:rsidR="003F427C" w:rsidRPr="003F427C">
        <w:rPr>
          <w:b/>
          <w:bCs/>
          <w:color w:val="000000" w:themeColor="text1"/>
        </w:rPr>
        <w:t xml:space="preserve">Table </w:t>
      </w:r>
      <w:r w:rsidR="003F427C" w:rsidRPr="003F427C">
        <w:rPr>
          <w:b/>
          <w:bCs/>
          <w:noProof/>
          <w:color w:val="000000" w:themeColor="text1"/>
        </w:rPr>
        <w:t>4</w:t>
      </w:r>
      <w:r w:rsidR="003F427C" w:rsidRPr="003F427C">
        <w:rPr>
          <w:rFonts w:ascii="Calibri" w:hAnsi="Calibri"/>
          <w:b/>
          <w:bCs/>
        </w:rPr>
        <w:fldChar w:fldCharType="end"/>
      </w:r>
      <w:r w:rsidR="00F75B51" w:rsidRPr="0041748E">
        <w:rPr>
          <w:rFonts w:ascii="Calibri" w:hAnsi="Calibri"/>
        </w:rPr>
        <w:t xml:space="preserve"> list the species and endpoints used to derive terrestrial SSDs. </w:t>
      </w:r>
    </w:p>
    <w:p w14:paraId="615B2169" w14:textId="77777777" w:rsidR="00AD3802" w:rsidRPr="001D0324" w:rsidRDefault="00AD3802" w:rsidP="00C74ECB">
      <w:pPr>
        <w:spacing w:after="0" w:line="240" w:lineRule="auto"/>
        <w:rPr>
          <w:rFonts w:ascii="Calibri" w:hAnsi="Calibri"/>
          <w:color w:val="FF0000"/>
        </w:rPr>
      </w:pPr>
    </w:p>
    <w:p w14:paraId="2FEBEB85" w14:textId="7361C5C8" w:rsidR="004A5B4B" w:rsidRPr="00D147A6" w:rsidRDefault="00D147A6" w:rsidP="00D147A6">
      <w:pPr>
        <w:pStyle w:val="Caption"/>
        <w:keepNext/>
        <w:rPr>
          <w:b/>
          <w:bCs/>
          <w:i w:val="0"/>
          <w:iCs w:val="0"/>
          <w:color w:val="000000" w:themeColor="text1"/>
          <w:sz w:val="22"/>
          <w:szCs w:val="22"/>
        </w:rPr>
      </w:pPr>
      <w:bookmarkStart w:id="3" w:name="_Ref80170371"/>
      <w:r w:rsidRPr="00D147A6">
        <w:rPr>
          <w:b/>
          <w:bCs/>
          <w:i w:val="0"/>
          <w:iCs w:val="0"/>
          <w:color w:val="000000" w:themeColor="text1"/>
          <w:sz w:val="22"/>
          <w:szCs w:val="22"/>
        </w:rPr>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Pr>
          <w:b/>
          <w:bCs/>
          <w:i w:val="0"/>
          <w:iCs w:val="0"/>
          <w:noProof/>
          <w:color w:val="000000" w:themeColor="text1"/>
          <w:sz w:val="22"/>
          <w:szCs w:val="22"/>
        </w:rPr>
        <w:t>3</w:t>
      </w:r>
      <w:r w:rsidRPr="00D147A6">
        <w:rPr>
          <w:b/>
          <w:bCs/>
          <w:i w:val="0"/>
          <w:iCs w:val="0"/>
          <w:color w:val="000000" w:themeColor="text1"/>
          <w:sz w:val="22"/>
          <w:szCs w:val="22"/>
        </w:rPr>
        <w:fldChar w:fldCharType="end"/>
      </w:r>
      <w:bookmarkEnd w:id="3"/>
      <w:r w:rsidRPr="00D147A6">
        <w:rPr>
          <w:b/>
          <w:bCs/>
          <w:i w:val="0"/>
          <w:iCs w:val="0"/>
          <w:color w:val="000000" w:themeColor="text1"/>
          <w:sz w:val="22"/>
          <w:szCs w:val="22"/>
        </w:rPr>
        <w:t>. Test results used to derive SSDs for imidacloprid for dietary exposure to terrestrial invertebrates.</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070"/>
        <w:gridCol w:w="2250"/>
      </w:tblGrid>
      <w:tr w:rsidR="009B29E7" w:rsidRPr="009B29E7" w14:paraId="3B13D8CD" w14:textId="77777777" w:rsidTr="00F75B51">
        <w:trPr>
          <w:trHeight w:val="300"/>
          <w:tblHeader/>
        </w:trPr>
        <w:tc>
          <w:tcPr>
            <w:tcW w:w="2785" w:type="dxa"/>
            <w:shd w:val="clear" w:color="auto" w:fill="E7E6E6" w:themeFill="background2"/>
            <w:noWrap/>
            <w:vAlign w:val="center"/>
            <w:hideMark/>
          </w:tcPr>
          <w:p w14:paraId="08B7230A" w14:textId="58DB158B" w:rsidR="004A5B4B" w:rsidRPr="009B29E7" w:rsidRDefault="004A5B4B" w:rsidP="000B574A">
            <w:pPr>
              <w:keepNext/>
              <w:keepLines/>
              <w:spacing w:after="0" w:line="240" w:lineRule="auto"/>
              <w:jc w:val="center"/>
              <w:rPr>
                <w:rFonts w:ascii="Calibri" w:eastAsia="Times New Roman" w:hAnsi="Calibri" w:cs="Times New Roman"/>
                <w:b/>
              </w:rPr>
            </w:pPr>
            <w:r w:rsidRPr="009B29E7">
              <w:rPr>
                <w:rFonts w:ascii="Calibri" w:eastAsia="Times New Roman" w:hAnsi="Calibri" w:cs="Times New Roman"/>
                <w:b/>
              </w:rPr>
              <w:t>Species</w:t>
            </w:r>
          </w:p>
        </w:tc>
        <w:tc>
          <w:tcPr>
            <w:tcW w:w="2070" w:type="dxa"/>
            <w:shd w:val="clear" w:color="auto" w:fill="E7E6E6" w:themeFill="background2"/>
            <w:noWrap/>
            <w:vAlign w:val="center"/>
            <w:hideMark/>
          </w:tcPr>
          <w:p w14:paraId="74C7E250" w14:textId="2BAEEE76" w:rsidR="004A5B4B" w:rsidRPr="009B29E7" w:rsidRDefault="004A5B4B" w:rsidP="000B574A">
            <w:pPr>
              <w:keepNext/>
              <w:keepLines/>
              <w:spacing w:after="0" w:line="240" w:lineRule="auto"/>
              <w:jc w:val="center"/>
              <w:rPr>
                <w:rFonts w:ascii="Calibri" w:eastAsia="Times New Roman" w:hAnsi="Calibri" w:cs="Times New Roman"/>
                <w:b/>
              </w:rPr>
            </w:pPr>
            <w:r w:rsidRPr="009B29E7">
              <w:rPr>
                <w:rFonts w:ascii="Calibri" w:eastAsia="Times New Roman" w:hAnsi="Calibri" w:cs="Times New Roman"/>
                <w:b/>
              </w:rPr>
              <w:t>Acute EC/LC</w:t>
            </w:r>
            <w:r w:rsidRPr="009B29E7">
              <w:rPr>
                <w:rFonts w:ascii="Calibri" w:eastAsia="Times New Roman" w:hAnsi="Calibri" w:cs="Times New Roman"/>
                <w:b/>
                <w:vertAlign w:val="subscript"/>
              </w:rPr>
              <w:t>50</w:t>
            </w:r>
            <w:r w:rsidRPr="009B29E7">
              <w:rPr>
                <w:rFonts w:ascii="Calibri" w:eastAsia="Times New Roman" w:hAnsi="Calibri" w:cs="Times New Roman"/>
                <w:b/>
              </w:rPr>
              <w:t xml:space="preserve"> value </w:t>
            </w:r>
            <w:r w:rsidR="009B29E7" w:rsidRPr="009B29E7">
              <w:rPr>
                <w:rFonts w:ascii="Calibri" w:eastAsia="Times New Roman" w:hAnsi="Calibri" w:cs="Times New Roman"/>
                <w:b/>
              </w:rPr>
              <w:br/>
            </w:r>
            <w:r w:rsidRPr="009B29E7">
              <w:rPr>
                <w:rFonts w:ascii="Calibri" w:eastAsia="Times New Roman" w:hAnsi="Calibri" w:cs="Times New Roman"/>
                <w:b/>
              </w:rPr>
              <w:t>(</w:t>
            </w:r>
            <w:r w:rsidR="009B29E7" w:rsidRPr="009B29E7">
              <w:rPr>
                <w:rFonts w:ascii="Calibri" w:eastAsia="Times New Roman" w:hAnsi="Calibri" w:cs="Calibri"/>
                <w:b/>
              </w:rPr>
              <w:t>mg/kg food</w:t>
            </w:r>
            <w:r w:rsidRPr="009B29E7">
              <w:rPr>
                <w:rFonts w:ascii="Calibri" w:eastAsia="Times New Roman" w:hAnsi="Calibri" w:cs="Times New Roman"/>
                <w:b/>
              </w:rPr>
              <w:t>)</w:t>
            </w:r>
          </w:p>
        </w:tc>
        <w:tc>
          <w:tcPr>
            <w:tcW w:w="2250" w:type="dxa"/>
            <w:shd w:val="clear" w:color="auto" w:fill="E7E6E6" w:themeFill="background2"/>
            <w:noWrap/>
            <w:vAlign w:val="center"/>
            <w:hideMark/>
          </w:tcPr>
          <w:p w14:paraId="4E205ABE" w14:textId="77777777" w:rsidR="00F75B51" w:rsidRDefault="004A5B4B" w:rsidP="000B574A">
            <w:pPr>
              <w:keepNext/>
              <w:keepLines/>
              <w:spacing w:after="0" w:line="240" w:lineRule="auto"/>
              <w:jc w:val="center"/>
              <w:rPr>
                <w:rFonts w:ascii="Calibri" w:eastAsia="Times New Roman" w:hAnsi="Calibri" w:cs="Times New Roman"/>
                <w:b/>
              </w:rPr>
            </w:pPr>
            <w:r w:rsidRPr="009B29E7">
              <w:rPr>
                <w:rFonts w:ascii="Calibri" w:eastAsia="Times New Roman" w:hAnsi="Calibri" w:cs="Times New Roman"/>
                <w:b/>
              </w:rPr>
              <w:t xml:space="preserve">Reference </w:t>
            </w:r>
          </w:p>
          <w:p w14:paraId="08EB0462" w14:textId="4A460217" w:rsidR="004A5B4B" w:rsidRPr="009B29E7" w:rsidRDefault="004A5B4B" w:rsidP="000B574A">
            <w:pPr>
              <w:keepNext/>
              <w:keepLines/>
              <w:spacing w:after="0" w:line="240" w:lineRule="auto"/>
              <w:jc w:val="center"/>
              <w:rPr>
                <w:rFonts w:ascii="Calibri" w:eastAsia="Times New Roman" w:hAnsi="Calibri" w:cs="Times New Roman"/>
                <w:b/>
              </w:rPr>
            </w:pPr>
            <w:r w:rsidRPr="009B29E7">
              <w:rPr>
                <w:rFonts w:ascii="Calibri" w:eastAsia="Times New Roman" w:hAnsi="Calibri" w:cs="Times New Roman"/>
                <w:b/>
              </w:rPr>
              <w:t>(ECOTOX #</w:t>
            </w:r>
            <w:r w:rsidR="009B29E7" w:rsidRPr="009B29E7">
              <w:rPr>
                <w:rFonts w:ascii="Calibri" w:eastAsia="Times New Roman" w:hAnsi="Calibri" w:cs="Times New Roman"/>
                <w:b/>
              </w:rPr>
              <w:t xml:space="preserve"> or MRID</w:t>
            </w:r>
            <w:r w:rsidRPr="009B29E7">
              <w:rPr>
                <w:rFonts w:ascii="Calibri" w:eastAsia="Times New Roman" w:hAnsi="Calibri" w:cs="Times New Roman"/>
                <w:b/>
              </w:rPr>
              <w:t>)</w:t>
            </w:r>
          </w:p>
        </w:tc>
      </w:tr>
      <w:tr w:rsidR="00A8004E" w:rsidRPr="00C778A3" w14:paraId="6574C584" w14:textId="77777777" w:rsidTr="00F75B51">
        <w:trPr>
          <w:trHeight w:val="300"/>
        </w:trPr>
        <w:tc>
          <w:tcPr>
            <w:tcW w:w="2785" w:type="dxa"/>
            <w:shd w:val="clear" w:color="auto" w:fill="auto"/>
            <w:noWrap/>
            <w:vAlign w:val="bottom"/>
          </w:tcPr>
          <w:p w14:paraId="037108F8" w14:textId="40D0B7FE"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cerana</w:t>
            </w:r>
          </w:p>
        </w:tc>
        <w:tc>
          <w:tcPr>
            <w:tcW w:w="2070" w:type="dxa"/>
            <w:shd w:val="clear" w:color="auto" w:fill="auto"/>
            <w:noWrap/>
            <w:vAlign w:val="bottom"/>
            <w:hideMark/>
          </w:tcPr>
          <w:p w14:paraId="2271B310" w14:textId="498D18ED"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37.3</w:t>
            </w:r>
          </w:p>
        </w:tc>
        <w:tc>
          <w:tcPr>
            <w:tcW w:w="2250" w:type="dxa"/>
            <w:shd w:val="clear" w:color="auto" w:fill="auto"/>
            <w:noWrap/>
            <w:vAlign w:val="bottom"/>
            <w:hideMark/>
          </w:tcPr>
          <w:p w14:paraId="3C034B83" w14:textId="3CE084E4"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183781</w:t>
            </w:r>
          </w:p>
        </w:tc>
      </w:tr>
      <w:tr w:rsidR="00A8004E" w:rsidRPr="00C778A3" w14:paraId="033802FF" w14:textId="77777777" w:rsidTr="00F75B51">
        <w:trPr>
          <w:trHeight w:val="300"/>
        </w:trPr>
        <w:tc>
          <w:tcPr>
            <w:tcW w:w="2785" w:type="dxa"/>
            <w:shd w:val="clear" w:color="auto" w:fill="auto"/>
            <w:noWrap/>
            <w:vAlign w:val="bottom"/>
          </w:tcPr>
          <w:p w14:paraId="4BCA4C7E" w14:textId="7EF070E7"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070" w:type="dxa"/>
            <w:shd w:val="clear" w:color="auto" w:fill="auto"/>
            <w:noWrap/>
            <w:vAlign w:val="bottom"/>
            <w:hideMark/>
          </w:tcPr>
          <w:p w14:paraId="2AE55B10" w14:textId="27036D84"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24.</w:t>
            </w:r>
            <w:r w:rsidR="00A756A2">
              <w:rPr>
                <w:rFonts w:ascii="Calibri" w:hAnsi="Calibri" w:cs="Calibri"/>
                <w:color w:val="000000"/>
              </w:rPr>
              <w:t>1</w:t>
            </w:r>
          </w:p>
        </w:tc>
        <w:tc>
          <w:tcPr>
            <w:tcW w:w="2250" w:type="dxa"/>
            <w:shd w:val="clear" w:color="auto" w:fill="auto"/>
            <w:noWrap/>
            <w:vAlign w:val="bottom"/>
            <w:hideMark/>
          </w:tcPr>
          <w:p w14:paraId="155F471E" w14:textId="664C333D"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183781</w:t>
            </w:r>
          </w:p>
        </w:tc>
      </w:tr>
      <w:tr w:rsidR="00A8004E" w:rsidRPr="00C778A3" w14:paraId="01F05D1E" w14:textId="77777777" w:rsidTr="00F75B51">
        <w:trPr>
          <w:trHeight w:val="300"/>
        </w:trPr>
        <w:tc>
          <w:tcPr>
            <w:tcW w:w="2785" w:type="dxa"/>
            <w:shd w:val="clear" w:color="auto" w:fill="auto"/>
            <w:noWrap/>
            <w:vAlign w:val="bottom"/>
          </w:tcPr>
          <w:p w14:paraId="16D7B3DA" w14:textId="5932E066"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070" w:type="dxa"/>
            <w:shd w:val="clear" w:color="auto" w:fill="auto"/>
            <w:noWrap/>
            <w:vAlign w:val="bottom"/>
            <w:hideMark/>
          </w:tcPr>
          <w:p w14:paraId="6C1B630C" w14:textId="5CC4DA55"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5.55</w:t>
            </w:r>
          </w:p>
        </w:tc>
        <w:tc>
          <w:tcPr>
            <w:tcW w:w="2250" w:type="dxa"/>
            <w:shd w:val="clear" w:color="auto" w:fill="auto"/>
            <w:noWrap/>
            <w:vAlign w:val="bottom"/>
            <w:hideMark/>
          </w:tcPr>
          <w:p w14:paraId="188D5B32" w14:textId="12FC5837"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184435</w:t>
            </w:r>
          </w:p>
        </w:tc>
      </w:tr>
      <w:tr w:rsidR="00A8004E" w:rsidRPr="00C778A3" w14:paraId="61F489DD" w14:textId="77777777" w:rsidTr="00F75B51">
        <w:trPr>
          <w:trHeight w:val="300"/>
        </w:trPr>
        <w:tc>
          <w:tcPr>
            <w:tcW w:w="2785" w:type="dxa"/>
            <w:shd w:val="clear" w:color="auto" w:fill="auto"/>
            <w:noWrap/>
            <w:vAlign w:val="bottom"/>
          </w:tcPr>
          <w:p w14:paraId="7D30F41A" w14:textId="6B4E1707"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070" w:type="dxa"/>
            <w:shd w:val="clear" w:color="auto" w:fill="auto"/>
            <w:noWrap/>
            <w:vAlign w:val="bottom"/>
            <w:hideMark/>
          </w:tcPr>
          <w:p w14:paraId="5A119018" w14:textId="10DECF9C"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0.18</w:t>
            </w:r>
          </w:p>
        </w:tc>
        <w:tc>
          <w:tcPr>
            <w:tcW w:w="2250" w:type="dxa"/>
            <w:shd w:val="clear" w:color="auto" w:fill="auto"/>
            <w:noWrap/>
            <w:vAlign w:val="bottom"/>
            <w:hideMark/>
          </w:tcPr>
          <w:p w14:paraId="002D391C" w14:textId="00793386"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MRID 42273003</w:t>
            </w:r>
          </w:p>
        </w:tc>
      </w:tr>
      <w:tr w:rsidR="00A8004E" w:rsidRPr="00C778A3" w14:paraId="07B0A832" w14:textId="77777777" w:rsidTr="00F75B51">
        <w:trPr>
          <w:trHeight w:val="300"/>
        </w:trPr>
        <w:tc>
          <w:tcPr>
            <w:tcW w:w="2785" w:type="dxa"/>
            <w:shd w:val="clear" w:color="auto" w:fill="auto"/>
            <w:noWrap/>
            <w:vAlign w:val="bottom"/>
          </w:tcPr>
          <w:p w14:paraId="44A6BB53" w14:textId="62CE33A8"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070" w:type="dxa"/>
            <w:shd w:val="clear" w:color="auto" w:fill="auto"/>
            <w:noWrap/>
            <w:vAlign w:val="bottom"/>
            <w:hideMark/>
          </w:tcPr>
          <w:p w14:paraId="4B6D44AE" w14:textId="7D382A19"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7.59</w:t>
            </w:r>
          </w:p>
        </w:tc>
        <w:tc>
          <w:tcPr>
            <w:tcW w:w="2250" w:type="dxa"/>
            <w:shd w:val="clear" w:color="auto" w:fill="auto"/>
            <w:noWrap/>
            <w:vAlign w:val="bottom"/>
            <w:hideMark/>
          </w:tcPr>
          <w:p w14:paraId="6014593F" w14:textId="0968CD71"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 xml:space="preserve">MRID 49766203 </w:t>
            </w:r>
          </w:p>
        </w:tc>
      </w:tr>
      <w:tr w:rsidR="00A8004E" w:rsidRPr="00C778A3" w14:paraId="70BBF4A0" w14:textId="77777777" w:rsidTr="00F75B51">
        <w:trPr>
          <w:trHeight w:val="300"/>
        </w:trPr>
        <w:tc>
          <w:tcPr>
            <w:tcW w:w="2785" w:type="dxa"/>
            <w:shd w:val="clear" w:color="auto" w:fill="auto"/>
            <w:noWrap/>
            <w:vAlign w:val="bottom"/>
          </w:tcPr>
          <w:p w14:paraId="1F3145A1" w14:textId="10EED794"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070" w:type="dxa"/>
            <w:shd w:val="clear" w:color="auto" w:fill="auto"/>
            <w:noWrap/>
            <w:vAlign w:val="bottom"/>
            <w:hideMark/>
          </w:tcPr>
          <w:p w14:paraId="4049058F" w14:textId="309443BA"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2.00</w:t>
            </w:r>
          </w:p>
        </w:tc>
        <w:tc>
          <w:tcPr>
            <w:tcW w:w="2250" w:type="dxa"/>
            <w:shd w:val="clear" w:color="auto" w:fill="auto"/>
            <w:noWrap/>
            <w:vAlign w:val="bottom"/>
            <w:hideMark/>
          </w:tcPr>
          <w:p w14:paraId="29099C3F" w14:textId="197CF1FE"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MRID 49766204</w:t>
            </w:r>
          </w:p>
        </w:tc>
      </w:tr>
      <w:tr w:rsidR="00A8004E" w:rsidRPr="00C778A3" w14:paraId="0B84C5D6" w14:textId="77777777" w:rsidTr="00F75B51">
        <w:trPr>
          <w:trHeight w:val="300"/>
        </w:trPr>
        <w:tc>
          <w:tcPr>
            <w:tcW w:w="2785" w:type="dxa"/>
            <w:shd w:val="clear" w:color="auto" w:fill="auto"/>
            <w:noWrap/>
            <w:vAlign w:val="bottom"/>
          </w:tcPr>
          <w:p w14:paraId="5FB64419" w14:textId="7D3E9CD0"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070" w:type="dxa"/>
            <w:shd w:val="clear" w:color="auto" w:fill="auto"/>
            <w:noWrap/>
            <w:vAlign w:val="bottom"/>
            <w:hideMark/>
          </w:tcPr>
          <w:p w14:paraId="6E5F566F" w14:textId="7DC3B6BD"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3.01</w:t>
            </w:r>
          </w:p>
        </w:tc>
        <w:tc>
          <w:tcPr>
            <w:tcW w:w="2250" w:type="dxa"/>
            <w:shd w:val="clear" w:color="auto" w:fill="auto"/>
            <w:noWrap/>
            <w:vAlign w:val="bottom"/>
            <w:hideMark/>
          </w:tcPr>
          <w:p w14:paraId="0F74B65D" w14:textId="1ED25DBA"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63505</w:t>
            </w:r>
          </w:p>
        </w:tc>
      </w:tr>
      <w:tr w:rsidR="00A8004E" w:rsidRPr="00C778A3" w14:paraId="6D24914D" w14:textId="77777777" w:rsidTr="00F75B51">
        <w:trPr>
          <w:trHeight w:val="300"/>
        </w:trPr>
        <w:tc>
          <w:tcPr>
            <w:tcW w:w="2785" w:type="dxa"/>
            <w:shd w:val="clear" w:color="auto" w:fill="auto"/>
            <w:noWrap/>
            <w:vAlign w:val="bottom"/>
          </w:tcPr>
          <w:p w14:paraId="27A22D47" w14:textId="632A2D43"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Apis mellifera</w:t>
            </w:r>
          </w:p>
        </w:tc>
        <w:tc>
          <w:tcPr>
            <w:tcW w:w="2070" w:type="dxa"/>
            <w:shd w:val="clear" w:color="auto" w:fill="auto"/>
            <w:noWrap/>
            <w:vAlign w:val="bottom"/>
          </w:tcPr>
          <w:p w14:paraId="13AFD729" w14:textId="6E7292C3" w:rsidR="00A8004E" w:rsidRDefault="00A8004E" w:rsidP="00A8004E">
            <w:pPr>
              <w:spacing w:after="0" w:line="240" w:lineRule="auto"/>
              <w:jc w:val="center"/>
              <w:rPr>
                <w:rFonts w:ascii="Calibri" w:hAnsi="Calibri" w:cs="Calibri"/>
                <w:color w:val="000000"/>
              </w:rPr>
            </w:pPr>
            <w:r>
              <w:rPr>
                <w:rFonts w:ascii="Calibri" w:hAnsi="Calibri" w:cs="Calibri"/>
                <w:color w:val="000000"/>
              </w:rPr>
              <w:t>2.49</w:t>
            </w:r>
          </w:p>
        </w:tc>
        <w:tc>
          <w:tcPr>
            <w:tcW w:w="2250" w:type="dxa"/>
            <w:shd w:val="clear" w:color="auto" w:fill="auto"/>
            <w:noWrap/>
            <w:vAlign w:val="bottom"/>
          </w:tcPr>
          <w:p w14:paraId="5BDDF59E" w14:textId="792F739A" w:rsidR="00A8004E" w:rsidRDefault="00A8004E" w:rsidP="00A8004E">
            <w:pPr>
              <w:spacing w:after="0" w:line="240" w:lineRule="auto"/>
              <w:jc w:val="right"/>
              <w:rPr>
                <w:rFonts w:ascii="Calibri" w:hAnsi="Calibri" w:cs="Calibri"/>
                <w:color w:val="000000"/>
              </w:rPr>
            </w:pPr>
            <w:r>
              <w:rPr>
                <w:rFonts w:ascii="Calibri" w:hAnsi="Calibri" w:cs="Calibri"/>
                <w:color w:val="000000"/>
              </w:rPr>
              <w:t>101957</w:t>
            </w:r>
          </w:p>
        </w:tc>
      </w:tr>
      <w:tr w:rsidR="00A8004E" w:rsidRPr="00C778A3" w14:paraId="40E1CC6B" w14:textId="77777777" w:rsidTr="00F75B51">
        <w:trPr>
          <w:trHeight w:val="300"/>
        </w:trPr>
        <w:tc>
          <w:tcPr>
            <w:tcW w:w="2785" w:type="dxa"/>
            <w:shd w:val="clear" w:color="auto" w:fill="auto"/>
            <w:noWrap/>
            <w:vAlign w:val="bottom"/>
          </w:tcPr>
          <w:p w14:paraId="5C644930" w14:textId="496E5F3E"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lastRenderedPageBreak/>
              <w:t>Apis mellifera ssp. mellifera</w:t>
            </w:r>
          </w:p>
        </w:tc>
        <w:tc>
          <w:tcPr>
            <w:tcW w:w="2070" w:type="dxa"/>
            <w:shd w:val="clear" w:color="auto" w:fill="auto"/>
            <w:noWrap/>
            <w:vAlign w:val="bottom"/>
          </w:tcPr>
          <w:p w14:paraId="0E58911B" w14:textId="42A7F12B" w:rsidR="00A8004E" w:rsidRDefault="00A8004E" w:rsidP="00A8004E">
            <w:pPr>
              <w:spacing w:after="0" w:line="240" w:lineRule="auto"/>
              <w:jc w:val="center"/>
              <w:rPr>
                <w:rFonts w:ascii="Calibri" w:hAnsi="Calibri" w:cs="Calibri"/>
                <w:color w:val="000000"/>
              </w:rPr>
            </w:pPr>
            <w:r>
              <w:rPr>
                <w:rFonts w:ascii="Calibri" w:hAnsi="Calibri" w:cs="Calibri"/>
                <w:color w:val="000000"/>
              </w:rPr>
              <w:t>0.39</w:t>
            </w:r>
          </w:p>
        </w:tc>
        <w:tc>
          <w:tcPr>
            <w:tcW w:w="2250" w:type="dxa"/>
            <w:shd w:val="clear" w:color="auto" w:fill="auto"/>
            <w:noWrap/>
            <w:vAlign w:val="bottom"/>
          </w:tcPr>
          <w:p w14:paraId="76C3640A" w14:textId="71E64333" w:rsidR="00A8004E" w:rsidRDefault="00A8004E" w:rsidP="00A8004E">
            <w:pPr>
              <w:spacing w:after="0" w:line="240" w:lineRule="auto"/>
              <w:jc w:val="right"/>
              <w:rPr>
                <w:rFonts w:ascii="Calibri" w:hAnsi="Calibri" w:cs="Calibri"/>
                <w:color w:val="000000"/>
              </w:rPr>
            </w:pPr>
            <w:r>
              <w:rPr>
                <w:rFonts w:ascii="Calibri" w:hAnsi="Calibri" w:cs="Calibri"/>
                <w:color w:val="000000"/>
              </w:rPr>
              <w:t>46261</w:t>
            </w:r>
          </w:p>
        </w:tc>
      </w:tr>
      <w:tr w:rsidR="00A8004E" w:rsidRPr="00C778A3" w14:paraId="06C5B894" w14:textId="77777777" w:rsidTr="00F75B51">
        <w:trPr>
          <w:trHeight w:val="300"/>
        </w:trPr>
        <w:tc>
          <w:tcPr>
            <w:tcW w:w="2785" w:type="dxa"/>
            <w:shd w:val="clear" w:color="auto" w:fill="auto"/>
            <w:noWrap/>
            <w:vAlign w:val="bottom"/>
          </w:tcPr>
          <w:p w14:paraId="5A7A10E0" w14:textId="68065782"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Apis mellifera ssp. caucasica</w:t>
            </w:r>
          </w:p>
        </w:tc>
        <w:tc>
          <w:tcPr>
            <w:tcW w:w="2070" w:type="dxa"/>
            <w:shd w:val="clear" w:color="auto" w:fill="auto"/>
            <w:noWrap/>
            <w:vAlign w:val="bottom"/>
          </w:tcPr>
          <w:p w14:paraId="17E65A63" w14:textId="0B83F598" w:rsidR="00A8004E" w:rsidRDefault="00A8004E" w:rsidP="00A8004E">
            <w:pPr>
              <w:spacing w:after="0" w:line="240" w:lineRule="auto"/>
              <w:jc w:val="center"/>
              <w:rPr>
                <w:rFonts w:ascii="Calibri" w:hAnsi="Calibri" w:cs="Calibri"/>
                <w:color w:val="000000"/>
              </w:rPr>
            </w:pPr>
            <w:r>
              <w:rPr>
                <w:rFonts w:ascii="Calibri" w:hAnsi="Calibri" w:cs="Calibri"/>
                <w:color w:val="000000"/>
              </w:rPr>
              <w:t>0.53</w:t>
            </w:r>
          </w:p>
        </w:tc>
        <w:tc>
          <w:tcPr>
            <w:tcW w:w="2250" w:type="dxa"/>
            <w:shd w:val="clear" w:color="auto" w:fill="auto"/>
            <w:noWrap/>
            <w:vAlign w:val="bottom"/>
          </w:tcPr>
          <w:p w14:paraId="7B2648D9" w14:textId="7E217C22" w:rsidR="00A8004E" w:rsidRDefault="00A8004E" w:rsidP="00A8004E">
            <w:pPr>
              <w:spacing w:after="0" w:line="240" w:lineRule="auto"/>
              <w:jc w:val="right"/>
              <w:rPr>
                <w:rFonts w:ascii="Calibri" w:hAnsi="Calibri" w:cs="Calibri"/>
                <w:color w:val="000000"/>
              </w:rPr>
            </w:pPr>
            <w:r>
              <w:rPr>
                <w:rFonts w:ascii="Calibri" w:hAnsi="Calibri" w:cs="Calibri"/>
                <w:color w:val="000000"/>
              </w:rPr>
              <w:t>46261</w:t>
            </w:r>
          </w:p>
        </w:tc>
      </w:tr>
      <w:tr w:rsidR="00A8004E" w:rsidRPr="00C778A3" w14:paraId="008FEC76" w14:textId="77777777" w:rsidTr="00F75B51">
        <w:trPr>
          <w:trHeight w:val="300"/>
        </w:trPr>
        <w:tc>
          <w:tcPr>
            <w:tcW w:w="2785" w:type="dxa"/>
            <w:shd w:val="clear" w:color="auto" w:fill="auto"/>
            <w:noWrap/>
            <w:vAlign w:val="bottom"/>
          </w:tcPr>
          <w:p w14:paraId="2E031113" w14:textId="63636131" w:rsidR="00A8004E" w:rsidRPr="002740EC" w:rsidRDefault="00A8004E" w:rsidP="00A8004E">
            <w:pPr>
              <w:spacing w:after="0" w:line="240" w:lineRule="auto"/>
              <w:rPr>
                <w:rFonts w:ascii="Calibri" w:hAnsi="Calibri" w:cs="Calibri"/>
                <w:b/>
                <w:bCs/>
                <w:i/>
                <w:iCs/>
                <w:color w:val="000000"/>
              </w:rPr>
            </w:pPr>
            <w:r w:rsidRPr="002740EC">
              <w:rPr>
                <w:rFonts w:ascii="Calibri" w:hAnsi="Calibri" w:cs="Calibri"/>
                <w:b/>
                <w:bCs/>
                <w:color w:val="000000"/>
              </w:rPr>
              <w:t>Bombyx mori</w:t>
            </w:r>
          </w:p>
        </w:tc>
        <w:tc>
          <w:tcPr>
            <w:tcW w:w="2070" w:type="dxa"/>
            <w:shd w:val="clear" w:color="auto" w:fill="auto"/>
            <w:noWrap/>
            <w:vAlign w:val="bottom"/>
          </w:tcPr>
          <w:p w14:paraId="46B2D94C" w14:textId="3BEBC722" w:rsidR="00A8004E" w:rsidRPr="002740EC" w:rsidRDefault="00A8004E" w:rsidP="00A8004E">
            <w:pPr>
              <w:spacing w:after="0" w:line="240" w:lineRule="auto"/>
              <w:jc w:val="center"/>
              <w:rPr>
                <w:rFonts w:ascii="Calibri" w:hAnsi="Calibri" w:cs="Calibri"/>
                <w:b/>
                <w:bCs/>
                <w:color w:val="000000"/>
              </w:rPr>
            </w:pPr>
            <w:r w:rsidRPr="002740EC">
              <w:rPr>
                <w:rFonts w:ascii="Calibri" w:hAnsi="Calibri" w:cs="Calibri"/>
                <w:b/>
                <w:bCs/>
                <w:color w:val="000000"/>
              </w:rPr>
              <w:t>0.13</w:t>
            </w:r>
          </w:p>
        </w:tc>
        <w:tc>
          <w:tcPr>
            <w:tcW w:w="2250" w:type="dxa"/>
            <w:shd w:val="clear" w:color="auto" w:fill="auto"/>
            <w:noWrap/>
            <w:vAlign w:val="bottom"/>
          </w:tcPr>
          <w:p w14:paraId="564718D1" w14:textId="2FD4A664" w:rsidR="00A8004E" w:rsidRPr="002740EC" w:rsidRDefault="00A8004E" w:rsidP="00A8004E">
            <w:pPr>
              <w:spacing w:after="0" w:line="240" w:lineRule="auto"/>
              <w:jc w:val="right"/>
              <w:rPr>
                <w:rFonts w:ascii="Calibri" w:hAnsi="Calibri" w:cs="Calibri"/>
                <w:b/>
                <w:bCs/>
                <w:color w:val="000000"/>
              </w:rPr>
            </w:pPr>
            <w:r w:rsidRPr="002740EC">
              <w:rPr>
                <w:rFonts w:ascii="Calibri" w:hAnsi="Calibri" w:cs="Calibri"/>
                <w:b/>
                <w:bCs/>
                <w:color w:val="000000"/>
              </w:rPr>
              <w:t>162856</w:t>
            </w:r>
          </w:p>
        </w:tc>
      </w:tr>
      <w:tr w:rsidR="00A8004E" w:rsidRPr="00C778A3" w14:paraId="4DECAE9A" w14:textId="77777777" w:rsidTr="00F75B51">
        <w:trPr>
          <w:trHeight w:val="300"/>
        </w:trPr>
        <w:tc>
          <w:tcPr>
            <w:tcW w:w="2785" w:type="dxa"/>
            <w:shd w:val="clear" w:color="auto" w:fill="auto"/>
            <w:noWrap/>
            <w:vAlign w:val="bottom"/>
          </w:tcPr>
          <w:p w14:paraId="378BF0A1" w14:textId="79C67654"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Cotesia marginiventris</w:t>
            </w:r>
          </w:p>
        </w:tc>
        <w:tc>
          <w:tcPr>
            <w:tcW w:w="2070" w:type="dxa"/>
            <w:shd w:val="clear" w:color="auto" w:fill="auto"/>
            <w:noWrap/>
            <w:vAlign w:val="bottom"/>
          </w:tcPr>
          <w:p w14:paraId="0E9B20E4" w14:textId="6A5557D9" w:rsidR="00A8004E" w:rsidRDefault="00A8004E" w:rsidP="00A8004E">
            <w:pPr>
              <w:spacing w:after="0" w:line="240" w:lineRule="auto"/>
              <w:jc w:val="center"/>
              <w:rPr>
                <w:rFonts w:ascii="Calibri" w:hAnsi="Calibri" w:cs="Calibri"/>
                <w:color w:val="000000"/>
              </w:rPr>
            </w:pPr>
            <w:r>
              <w:rPr>
                <w:rFonts w:ascii="Calibri" w:hAnsi="Calibri" w:cs="Calibri"/>
                <w:color w:val="000000"/>
              </w:rPr>
              <w:t>3.74</w:t>
            </w:r>
          </w:p>
        </w:tc>
        <w:tc>
          <w:tcPr>
            <w:tcW w:w="2250" w:type="dxa"/>
            <w:shd w:val="clear" w:color="auto" w:fill="auto"/>
            <w:noWrap/>
            <w:vAlign w:val="bottom"/>
          </w:tcPr>
          <w:p w14:paraId="70497A7B" w14:textId="22AEB529" w:rsidR="00A8004E" w:rsidRDefault="00A8004E" w:rsidP="00A8004E">
            <w:pPr>
              <w:spacing w:after="0" w:line="240" w:lineRule="auto"/>
              <w:jc w:val="right"/>
              <w:rPr>
                <w:rFonts w:ascii="Calibri" w:hAnsi="Calibri" w:cs="Calibri"/>
                <w:color w:val="000000"/>
              </w:rPr>
            </w:pPr>
            <w:r>
              <w:rPr>
                <w:rFonts w:ascii="Calibri" w:hAnsi="Calibri" w:cs="Calibri"/>
                <w:color w:val="000000"/>
              </w:rPr>
              <w:t>183558</w:t>
            </w:r>
          </w:p>
        </w:tc>
      </w:tr>
      <w:tr w:rsidR="00A8004E" w:rsidRPr="00C778A3" w14:paraId="0A85FBF3" w14:textId="77777777" w:rsidTr="00F75B51">
        <w:trPr>
          <w:trHeight w:val="300"/>
        </w:trPr>
        <w:tc>
          <w:tcPr>
            <w:tcW w:w="2785" w:type="dxa"/>
            <w:shd w:val="clear" w:color="auto" w:fill="auto"/>
            <w:noWrap/>
            <w:vAlign w:val="bottom"/>
          </w:tcPr>
          <w:p w14:paraId="08182732" w14:textId="018B23C3"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Culex quinquefasciatus</w:t>
            </w:r>
          </w:p>
        </w:tc>
        <w:tc>
          <w:tcPr>
            <w:tcW w:w="2070" w:type="dxa"/>
            <w:shd w:val="clear" w:color="auto" w:fill="auto"/>
            <w:noWrap/>
            <w:vAlign w:val="bottom"/>
          </w:tcPr>
          <w:p w14:paraId="21A44D5B" w14:textId="3DC793BB" w:rsidR="00A8004E" w:rsidRDefault="00A8004E" w:rsidP="00A8004E">
            <w:pPr>
              <w:spacing w:after="0" w:line="240" w:lineRule="auto"/>
              <w:jc w:val="center"/>
              <w:rPr>
                <w:rFonts w:ascii="Calibri" w:hAnsi="Calibri" w:cs="Calibri"/>
                <w:color w:val="000000"/>
              </w:rPr>
            </w:pPr>
            <w:r>
              <w:rPr>
                <w:rFonts w:ascii="Calibri" w:hAnsi="Calibri" w:cs="Calibri"/>
                <w:color w:val="000000"/>
              </w:rPr>
              <w:t>0.31</w:t>
            </w:r>
          </w:p>
        </w:tc>
        <w:tc>
          <w:tcPr>
            <w:tcW w:w="2250" w:type="dxa"/>
            <w:shd w:val="clear" w:color="auto" w:fill="auto"/>
            <w:noWrap/>
            <w:vAlign w:val="bottom"/>
          </w:tcPr>
          <w:p w14:paraId="37386BA2" w14:textId="0E2F046F" w:rsidR="00A8004E" w:rsidRDefault="00A8004E" w:rsidP="00A8004E">
            <w:pPr>
              <w:spacing w:after="0" w:line="240" w:lineRule="auto"/>
              <w:jc w:val="right"/>
              <w:rPr>
                <w:rFonts w:ascii="Calibri" w:hAnsi="Calibri" w:cs="Calibri"/>
                <w:color w:val="000000"/>
              </w:rPr>
            </w:pPr>
            <w:r>
              <w:rPr>
                <w:rFonts w:ascii="Calibri" w:hAnsi="Calibri" w:cs="Calibri"/>
                <w:color w:val="000000"/>
              </w:rPr>
              <w:t>175414</w:t>
            </w:r>
          </w:p>
        </w:tc>
      </w:tr>
      <w:tr w:rsidR="00A8004E" w:rsidRPr="00C778A3" w14:paraId="1945FFC6" w14:textId="77777777" w:rsidTr="00F75B51">
        <w:trPr>
          <w:trHeight w:val="300"/>
        </w:trPr>
        <w:tc>
          <w:tcPr>
            <w:tcW w:w="2785" w:type="dxa"/>
            <w:shd w:val="clear" w:color="auto" w:fill="auto"/>
            <w:noWrap/>
            <w:vAlign w:val="bottom"/>
          </w:tcPr>
          <w:p w14:paraId="3CD034C1" w14:textId="27D6268A"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Linepithema humile</w:t>
            </w:r>
          </w:p>
        </w:tc>
        <w:tc>
          <w:tcPr>
            <w:tcW w:w="2070" w:type="dxa"/>
            <w:shd w:val="clear" w:color="auto" w:fill="auto"/>
            <w:noWrap/>
            <w:vAlign w:val="bottom"/>
          </w:tcPr>
          <w:p w14:paraId="1A84968C" w14:textId="2A59A1C1" w:rsidR="00A8004E" w:rsidRDefault="00A8004E" w:rsidP="00A8004E">
            <w:pPr>
              <w:spacing w:after="0" w:line="240" w:lineRule="auto"/>
              <w:jc w:val="center"/>
              <w:rPr>
                <w:rFonts w:ascii="Calibri" w:hAnsi="Calibri" w:cs="Calibri"/>
                <w:color w:val="000000"/>
              </w:rPr>
            </w:pPr>
            <w:r>
              <w:rPr>
                <w:rFonts w:ascii="Calibri" w:hAnsi="Calibri" w:cs="Calibri"/>
                <w:color w:val="000000"/>
              </w:rPr>
              <w:t>643</w:t>
            </w:r>
          </w:p>
        </w:tc>
        <w:tc>
          <w:tcPr>
            <w:tcW w:w="2250" w:type="dxa"/>
            <w:shd w:val="clear" w:color="auto" w:fill="auto"/>
            <w:noWrap/>
            <w:vAlign w:val="bottom"/>
          </w:tcPr>
          <w:p w14:paraId="6B9048CE" w14:textId="58226469" w:rsidR="00A8004E" w:rsidRDefault="00A8004E" w:rsidP="00A8004E">
            <w:pPr>
              <w:spacing w:after="0" w:line="240" w:lineRule="auto"/>
              <w:jc w:val="right"/>
              <w:rPr>
                <w:rFonts w:ascii="Calibri" w:hAnsi="Calibri" w:cs="Calibri"/>
                <w:color w:val="000000"/>
              </w:rPr>
            </w:pPr>
            <w:r>
              <w:rPr>
                <w:rFonts w:ascii="Calibri" w:hAnsi="Calibri" w:cs="Calibri"/>
                <w:color w:val="000000"/>
              </w:rPr>
              <w:t>101951</w:t>
            </w:r>
          </w:p>
        </w:tc>
      </w:tr>
      <w:tr w:rsidR="00A8004E" w:rsidRPr="00C778A3" w14:paraId="2D13D1FF" w14:textId="77777777" w:rsidTr="00F75B51">
        <w:trPr>
          <w:trHeight w:val="300"/>
        </w:trPr>
        <w:tc>
          <w:tcPr>
            <w:tcW w:w="2785" w:type="dxa"/>
            <w:shd w:val="clear" w:color="auto" w:fill="auto"/>
            <w:noWrap/>
            <w:vAlign w:val="bottom"/>
          </w:tcPr>
          <w:p w14:paraId="493C1979" w14:textId="687E1813"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Melipona scutellaris</w:t>
            </w:r>
          </w:p>
        </w:tc>
        <w:tc>
          <w:tcPr>
            <w:tcW w:w="2070" w:type="dxa"/>
            <w:shd w:val="clear" w:color="auto" w:fill="auto"/>
            <w:noWrap/>
            <w:vAlign w:val="bottom"/>
          </w:tcPr>
          <w:p w14:paraId="21AA2614" w14:textId="529F630D" w:rsidR="00A8004E" w:rsidRDefault="00A8004E" w:rsidP="00A8004E">
            <w:pPr>
              <w:spacing w:after="0" w:line="240" w:lineRule="auto"/>
              <w:jc w:val="center"/>
              <w:rPr>
                <w:rFonts w:ascii="Calibri" w:hAnsi="Calibri" w:cs="Calibri"/>
                <w:color w:val="000000"/>
              </w:rPr>
            </w:pPr>
            <w:r>
              <w:rPr>
                <w:rFonts w:ascii="Calibri" w:hAnsi="Calibri" w:cs="Calibri"/>
                <w:color w:val="000000"/>
              </w:rPr>
              <w:t>0.66</w:t>
            </w:r>
          </w:p>
        </w:tc>
        <w:tc>
          <w:tcPr>
            <w:tcW w:w="2250" w:type="dxa"/>
            <w:shd w:val="clear" w:color="auto" w:fill="auto"/>
            <w:noWrap/>
            <w:vAlign w:val="bottom"/>
          </w:tcPr>
          <w:p w14:paraId="17838F0E" w14:textId="0C50A29B" w:rsidR="00A8004E" w:rsidRDefault="00A8004E" w:rsidP="00A8004E">
            <w:pPr>
              <w:spacing w:after="0" w:line="240" w:lineRule="auto"/>
              <w:jc w:val="right"/>
              <w:rPr>
                <w:rFonts w:ascii="Calibri" w:hAnsi="Calibri" w:cs="Calibri"/>
                <w:color w:val="000000"/>
              </w:rPr>
            </w:pPr>
            <w:r>
              <w:rPr>
                <w:rFonts w:ascii="Calibri" w:hAnsi="Calibri" w:cs="Calibri"/>
                <w:color w:val="000000"/>
              </w:rPr>
              <w:t>184470</w:t>
            </w:r>
          </w:p>
        </w:tc>
      </w:tr>
      <w:tr w:rsidR="00A8004E" w:rsidRPr="00C778A3" w14:paraId="51179CDD" w14:textId="77777777" w:rsidTr="00F75B51">
        <w:trPr>
          <w:trHeight w:val="300"/>
        </w:trPr>
        <w:tc>
          <w:tcPr>
            <w:tcW w:w="2785" w:type="dxa"/>
            <w:shd w:val="clear" w:color="auto" w:fill="auto"/>
            <w:noWrap/>
            <w:vAlign w:val="bottom"/>
          </w:tcPr>
          <w:p w14:paraId="781877E7" w14:textId="5DBC76C7"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Musca domestica</w:t>
            </w:r>
          </w:p>
        </w:tc>
        <w:tc>
          <w:tcPr>
            <w:tcW w:w="2070" w:type="dxa"/>
            <w:shd w:val="clear" w:color="auto" w:fill="auto"/>
            <w:noWrap/>
            <w:vAlign w:val="bottom"/>
          </w:tcPr>
          <w:p w14:paraId="5DBCD945" w14:textId="4B9F273A" w:rsidR="00A8004E" w:rsidRDefault="00A8004E" w:rsidP="00A8004E">
            <w:pPr>
              <w:spacing w:after="0" w:line="240" w:lineRule="auto"/>
              <w:jc w:val="center"/>
              <w:rPr>
                <w:rFonts w:ascii="Calibri" w:hAnsi="Calibri" w:cs="Calibri"/>
                <w:color w:val="000000"/>
              </w:rPr>
            </w:pPr>
            <w:r>
              <w:rPr>
                <w:rFonts w:ascii="Calibri" w:hAnsi="Calibri" w:cs="Calibri"/>
                <w:color w:val="000000"/>
              </w:rPr>
              <w:t>31.4</w:t>
            </w:r>
          </w:p>
        </w:tc>
        <w:tc>
          <w:tcPr>
            <w:tcW w:w="2250" w:type="dxa"/>
            <w:shd w:val="clear" w:color="auto" w:fill="auto"/>
            <w:noWrap/>
            <w:vAlign w:val="bottom"/>
          </w:tcPr>
          <w:p w14:paraId="30E80BC0" w14:textId="288A7488" w:rsidR="00A8004E" w:rsidRDefault="00A8004E" w:rsidP="00A8004E">
            <w:pPr>
              <w:spacing w:after="0" w:line="240" w:lineRule="auto"/>
              <w:jc w:val="right"/>
              <w:rPr>
                <w:rFonts w:ascii="Calibri" w:hAnsi="Calibri" w:cs="Calibri"/>
                <w:color w:val="000000"/>
              </w:rPr>
            </w:pPr>
            <w:r>
              <w:rPr>
                <w:rFonts w:ascii="Calibri" w:hAnsi="Calibri" w:cs="Calibri"/>
                <w:color w:val="000000"/>
              </w:rPr>
              <w:t>171549</w:t>
            </w:r>
          </w:p>
        </w:tc>
      </w:tr>
      <w:tr w:rsidR="00A8004E" w:rsidRPr="00C778A3" w14:paraId="31A2CFC0" w14:textId="77777777" w:rsidTr="00F75B51">
        <w:trPr>
          <w:trHeight w:val="300"/>
        </w:trPr>
        <w:tc>
          <w:tcPr>
            <w:tcW w:w="2785" w:type="dxa"/>
            <w:shd w:val="clear" w:color="auto" w:fill="auto"/>
            <w:noWrap/>
            <w:vAlign w:val="bottom"/>
          </w:tcPr>
          <w:p w14:paraId="63F525DA" w14:textId="62A560BE"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Musca domestica</w:t>
            </w:r>
          </w:p>
        </w:tc>
        <w:tc>
          <w:tcPr>
            <w:tcW w:w="2070" w:type="dxa"/>
            <w:shd w:val="clear" w:color="auto" w:fill="auto"/>
            <w:noWrap/>
            <w:vAlign w:val="bottom"/>
          </w:tcPr>
          <w:p w14:paraId="4EBA0A0A" w14:textId="33B0CC2A" w:rsidR="00A8004E" w:rsidRDefault="00A8004E" w:rsidP="00A8004E">
            <w:pPr>
              <w:spacing w:after="0" w:line="240" w:lineRule="auto"/>
              <w:jc w:val="center"/>
              <w:rPr>
                <w:rFonts w:ascii="Calibri" w:hAnsi="Calibri" w:cs="Calibri"/>
                <w:color w:val="000000"/>
              </w:rPr>
            </w:pPr>
            <w:r>
              <w:rPr>
                <w:rFonts w:ascii="Calibri" w:hAnsi="Calibri" w:cs="Calibri"/>
                <w:color w:val="000000"/>
              </w:rPr>
              <w:t>6.7</w:t>
            </w:r>
          </w:p>
        </w:tc>
        <w:tc>
          <w:tcPr>
            <w:tcW w:w="2250" w:type="dxa"/>
            <w:shd w:val="clear" w:color="auto" w:fill="auto"/>
            <w:noWrap/>
            <w:vAlign w:val="bottom"/>
          </w:tcPr>
          <w:p w14:paraId="52200669" w14:textId="497F1E27" w:rsidR="00A8004E" w:rsidRDefault="00A8004E" w:rsidP="00A8004E">
            <w:pPr>
              <w:spacing w:after="0" w:line="240" w:lineRule="auto"/>
              <w:jc w:val="right"/>
              <w:rPr>
                <w:rFonts w:ascii="Calibri" w:hAnsi="Calibri" w:cs="Calibri"/>
                <w:color w:val="000000"/>
              </w:rPr>
            </w:pPr>
            <w:r>
              <w:rPr>
                <w:rFonts w:ascii="Calibri" w:hAnsi="Calibri" w:cs="Calibri"/>
                <w:color w:val="000000"/>
              </w:rPr>
              <w:t>181113</w:t>
            </w:r>
          </w:p>
        </w:tc>
      </w:tr>
      <w:tr w:rsidR="00A8004E" w:rsidRPr="00C778A3" w14:paraId="09621229" w14:textId="77777777" w:rsidTr="00F75B51">
        <w:trPr>
          <w:trHeight w:val="300"/>
        </w:trPr>
        <w:tc>
          <w:tcPr>
            <w:tcW w:w="2785" w:type="dxa"/>
            <w:shd w:val="clear" w:color="auto" w:fill="auto"/>
            <w:noWrap/>
            <w:vAlign w:val="bottom"/>
          </w:tcPr>
          <w:p w14:paraId="5134C85D" w14:textId="2CB493F6"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Scaptotrigona postica</w:t>
            </w:r>
          </w:p>
        </w:tc>
        <w:tc>
          <w:tcPr>
            <w:tcW w:w="2070" w:type="dxa"/>
            <w:shd w:val="clear" w:color="auto" w:fill="auto"/>
            <w:noWrap/>
            <w:vAlign w:val="bottom"/>
          </w:tcPr>
          <w:p w14:paraId="70F77D9C" w14:textId="209536E9" w:rsidR="00A8004E" w:rsidRDefault="00A8004E" w:rsidP="00A8004E">
            <w:pPr>
              <w:spacing w:after="0" w:line="240" w:lineRule="auto"/>
              <w:jc w:val="center"/>
              <w:rPr>
                <w:rFonts w:ascii="Calibri" w:hAnsi="Calibri" w:cs="Calibri"/>
                <w:color w:val="000000"/>
              </w:rPr>
            </w:pPr>
            <w:r>
              <w:rPr>
                <w:rFonts w:ascii="Calibri" w:hAnsi="Calibri" w:cs="Calibri"/>
                <w:color w:val="000000"/>
              </w:rPr>
              <w:t>11.6</w:t>
            </w:r>
          </w:p>
        </w:tc>
        <w:tc>
          <w:tcPr>
            <w:tcW w:w="2250" w:type="dxa"/>
            <w:shd w:val="clear" w:color="auto" w:fill="auto"/>
            <w:noWrap/>
            <w:vAlign w:val="bottom"/>
          </w:tcPr>
          <w:p w14:paraId="619AC41A" w14:textId="747D0A58" w:rsidR="00A8004E" w:rsidRDefault="00A8004E" w:rsidP="00A8004E">
            <w:pPr>
              <w:spacing w:after="0" w:line="240" w:lineRule="auto"/>
              <w:jc w:val="right"/>
              <w:rPr>
                <w:rFonts w:ascii="Calibri" w:hAnsi="Calibri" w:cs="Calibri"/>
                <w:color w:val="000000"/>
              </w:rPr>
            </w:pPr>
            <w:r>
              <w:rPr>
                <w:rFonts w:ascii="Calibri" w:hAnsi="Calibri" w:cs="Calibri"/>
                <w:color w:val="000000"/>
              </w:rPr>
              <w:t>184463</w:t>
            </w:r>
          </w:p>
        </w:tc>
      </w:tr>
      <w:tr w:rsidR="00A8004E" w:rsidRPr="00C778A3" w14:paraId="7BC6F5B6" w14:textId="77777777" w:rsidTr="00F75B51">
        <w:trPr>
          <w:trHeight w:val="300"/>
        </w:trPr>
        <w:tc>
          <w:tcPr>
            <w:tcW w:w="2785" w:type="dxa"/>
            <w:shd w:val="clear" w:color="auto" w:fill="auto"/>
            <w:noWrap/>
            <w:vAlign w:val="bottom"/>
          </w:tcPr>
          <w:p w14:paraId="42A8E852" w14:textId="7C02D8B0"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Bombus terrestris</w:t>
            </w:r>
          </w:p>
        </w:tc>
        <w:tc>
          <w:tcPr>
            <w:tcW w:w="2070" w:type="dxa"/>
            <w:shd w:val="clear" w:color="auto" w:fill="auto"/>
            <w:noWrap/>
            <w:vAlign w:val="bottom"/>
          </w:tcPr>
          <w:p w14:paraId="64E5790A" w14:textId="143FC88F" w:rsidR="00A8004E" w:rsidRDefault="00A8004E" w:rsidP="00A8004E">
            <w:pPr>
              <w:spacing w:after="0" w:line="240" w:lineRule="auto"/>
              <w:jc w:val="center"/>
              <w:rPr>
                <w:rFonts w:ascii="Calibri" w:hAnsi="Calibri" w:cs="Calibri"/>
                <w:color w:val="000000"/>
              </w:rPr>
            </w:pPr>
            <w:r>
              <w:rPr>
                <w:rFonts w:ascii="Calibri" w:hAnsi="Calibri" w:cs="Calibri"/>
                <w:color w:val="000000"/>
              </w:rPr>
              <w:t>1.54</w:t>
            </w:r>
          </w:p>
        </w:tc>
        <w:tc>
          <w:tcPr>
            <w:tcW w:w="2250" w:type="dxa"/>
            <w:shd w:val="clear" w:color="auto" w:fill="auto"/>
            <w:noWrap/>
            <w:vAlign w:val="bottom"/>
          </w:tcPr>
          <w:p w14:paraId="52615A03" w14:textId="6DFDC9B9" w:rsidR="00A8004E" w:rsidRDefault="00A8004E" w:rsidP="00A8004E">
            <w:pPr>
              <w:spacing w:after="0" w:line="240" w:lineRule="auto"/>
              <w:jc w:val="right"/>
              <w:rPr>
                <w:rFonts w:ascii="Calibri" w:hAnsi="Calibri" w:cs="Calibri"/>
                <w:color w:val="000000"/>
              </w:rPr>
            </w:pPr>
            <w:r>
              <w:rPr>
                <w:rFonts w:ascii="Calibri" w:hAnsi="Calibri" w:cs="Calibri"/>
                <w:color w:val="000000"/>
              </w:rPr>
              <w:t>183814</w:t>
            </w:r>
          </w:p>
        </w:tc>
      </w:tr>
    </w:tbl>
    <w:p w14:paraId="321A290E" w14:textId="03925056" w:rsidR="00A8004E" w:rsidRPr="002740EC" w:rsidRDefault="002740EC" w:rsidP="00A8004E">
      <w:pPr>
        <w:keepNext/>
        <w:keepLines/>
        <w:spacing w:after="0" w:line="240" w:lineRule="auto"/>
        <w:rPr>
          <w:b/>
          <w:sz w:val="20"/>
          <w:szCs w:val="20"/>
        </w:rPr>
      </w:pPr>
      <w:r w:rsidRPr="002740EC">
        <w:rPr>
          <w:b/>
          <w:sz w:val="20"/>
          <w:szCs w:val="20"/>
        </w:rPr>
        <w:t xml:space="preserve">Bold </w:t>
      </w:r>
      <w:r w:rsidRPr="002740EC">
        <w:rPr>
          <w:bCs/>
          <w:sz w:val="20"/>
          <w:szCs w:val="20"/>
        </w:rPr>
        <w:t>information indicates data for the most sensitive tested</w:t>
      </w:r>
      <w:r w:rsidRPr="002740EC">
        <w:rPr>
          <w:b/>
          <w:sz w:val="20"/>
          <w:szCs w:val="20"/>
        </w:rPr>
        <w:t xml:space="preserve"> </w:t>
      </w:r>
      <w:r w:rsidRPr="002740EC">
        <w:rPr>
          <w:bCs/>
          <w:sz w:val="20"/>
          <w:szCs w:val="20"/>
        </w:rPr>
        <w:t>species</w:t>
      </w:r>
    </w:p>
    <w:p w14:paraId="2697DE20" w14:textId="77777777" w:rsidR="002740EC" w:rsidRDefault="002740EC" w:rsidP="00A8004E">
      <w:pPr>
        <w:keepNext/>
        <w:keepLines/>
        <w:spacing w:after="0" w:line="240" w:lineRule="auto"/>
        <w:rPr>
          <w:b/>
        </w:rPr>
      </w:pPr>
    </w:p>
    <w:p w14:paraId="265191FB" w14:textId="645C49E9" w:rsidR="00A8004E" w:rsidRPr="00D147A6" w:rsidRDefault="00D147A6" w:rsidP="00D147A6">
      <w:pPr>
        <w:pStyle w:val="Caption"/>
        <w:keepNext/>
        <w:rPr>
          <w:b/>
          <w:bCs/>
          <w:i w:val="0"/>
          <w:iCs w:val="0"/>
          <w:color w:val="000000" w:themeColor="text1"/>
          <w:sz w:val="22"/>
          <w:szCs w:val="22"/>
        </w:rPr>
      </w:pPr>
      <w:bookmarkStart w:id="4" w:name="_Ref80170373"/>
      <w:r w:rsidRPr="00D147A6">
        <w:rPr>
          <w:b/>
          <w:bCs/>
          <w:i w:val="0"/>
          <w:iCs w:val="0"/>
          <w:color w:val="000000" w:themeColor="text1"/>
          <w:sz w:val="22"/>
          <w:szCs w:val="22"/>
        </w:rPr>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Pr>
          <w:b/>
          <w:bCs/>
          <w:i w:val="0"/>
          <w:iCs w:val="0"/>
          <w:noProof/>
          <w:color w:val="000000" w:themeColor="text1"/>
          <w:sz w:val="22"/>
          <w:szCs w:val="22"/>
        </w:rPr>
        <w:t>4</w:t>
      </w:r>
      <w:r w:rsidRPr="00D147A6">
        <w:rPr>
          <w:b/>
          <w:bCs/>
          <w:i w:val="0"/>
          <w:iCs w:val="0"/>
          <w:color w:val="000000" w:themeColor="text1"/>
          <w:sz w:val="22"/>
          <w:szCs w:val="22"/>
        </w:rPr>
        <w:fldChar w:fldCharType="end"/>
      </w:r>
      <w:bookmarkEnd w:id="4"/>
      <w:r w:rsidRPr="00D147A6">
        <w:rPr>
          <w:b/>
          <w:bCs/>
          <w:i w:val="0"/>
          <w:iCs w:val="0"/>
          <w:color w:val="000000" w:themeColor="text1"/>
          <w:sz w:val="22"/>
          <w:szCs w:val="22"/>
        </w:rPr>
        <w:t>. Test results used to derive SSDs for imidacloprid for contact exposure to terrestrial invertebrates.</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160"/>
        <w:gridCol w:w="2070"/>
      </w:tblGrid>
      <w:tr w:rsidR="00A8004E" w:rsidRPr="009B29E7" w14:paraId="7EDA8306" w14:textId="77777777" w:rsidTr="00A30D2D">
        <w:trPr>
          <w:trHeight w:val="300"/>
          <w:tblHeader/>
        </w:trPr>
        <w:tc>
          <w:tcPr>
            <w:tcW w:w="2875" w:type="dxa"/>
            <w:shd w:val="clear" w:color="auto" w:fill="E7E6E6" w:themeFill="background2"/>
            <w:noWrap/>
            <w:vAlign w:val="center"/>
            <w:hideMark/>
          </w:tcPr>
          <w:p w14:paraId="225A08FA" w14:textId="77777777" w:rsidR="00A8004E" w:rsidRPr="009B29E7" w:rsidRDefault="00A8004E" w:rsidP="0085649A">
            <w:pPr>
              <w:keepNext/>
              <w:keepLines/>
              <w:spacing w:after="0" w:line="240" w:lineRule="auto"/>
              <w:jc w:val="center"/>
              <w:rPr>
                <w:rFonts w:ascii="Calibri" w:eastAsia="Times New Roman" w:hAnsi="Calibri" w:cs="Times New Roman"/>
                <w:b/>
              </w:rPr>
            </w:pPr>
            <w:r w:rsidRPr="009B29E7">
              <w:rPr>
                <w:rFonts w:ascii="Calibri" w:eastAsia="Times New Roman" w:hAnsi="Calibri" w:cs="Times New Roman"/>
                <w:b/>
              </w:rPr>
              <w:t>Species</w:t>
            </w:r>
          </w:p>
        </w:tc>
        <w:tc>
          <w:tcPr>
            <w:tcW w:w="2160" w:type="dxa"/>
            <w:shd w:val="clear" w:color="auto" w:fill="E7E6E6" w:themeFill="background2"/>
            <w:noWrap/>
            <w:vAlign w:val="center"/>
            <w:hideMark/>
          </w:tcPr>
          <w:p w14:paraId="7317318A" w14:textId="39353ED3" w:rsidR="00A8004E" w:rsidRPr="009B29E7" w:rsidRDefault="00A8004E" w:rsidP="0085649A">
            <w:pPr>
              <w:keepNext/>
              <w:keepLines/>
              <w:spacing w:after="0" w:line="240" w:lineRule="auto"/>
              <w:jc w:val="center"/>
              <w:rPr>
                <w:rFonts w:ascii="Calibri" w:eastAsia="Times New Roman" w:hAnsi="Calibri" w:cs="Times New Roman"/>
                <w:b/>
              </w:rPr>
            </w:pPr>
            <w:r w:rsidRPr="009B29E7">
              <w:rPr>
                <w:rFonts w:ascii="Calibri" w:eastAsia="Times New Roman" w:hAnsi="Calibri" w:cs="Times New Roman"/>
                <w:b/>
              </w:rPr>
              <w:t>Acute EC/LC</w:t>
            </w:r>
            <w:r w:rsidRPr="009B29E7">
              <w:rPr>
                <w:rFonts w:ascii="Calibri" w:eastAsia="Times New Roman" w:hAnsi="Calibri" w:cs="Times New Roman"/>
                <w:b/>
                <w:vertAlign w:val="subscript"/>
              </w:rPr>
              <w:t>50</w:t>
            </w:r>
            <w:r w:rsidRPr="009B29E7">
              <w:rPr>
                <w:rFonts w:ascii="Calibri" w:eastAsia="Times New Roman" w:hAnsi="Calibri" w:cs="Times New Roman"/>
                <w:b/>
              </w:rPr>
              <w:t xml:space="preserve"> value </w:t>
            </w:r>
            <w:r w:rsidRPr="009B29E7">
              <w:rPr>
                <w:rFonts w:ascii="Calibri" w:eastAsia="Times New Roman" w:hAnsi="Calibri" w:cs="Times New Roman"/>
                <w:b/>
              </w:rPr>
              <w:br/>
              <w:t>(</w:t>
            </w:r>
            <w:r w:rsidRPr="009B29E7">
              <w:rPr>
                <w:rFonts w:ascii="Calibri" w:eastAsia="Times New Roman" w:hAnsi="Calibri" w:cs="Calibri"/>
                <w:b/>
              </w:rPr>
              <w:t>mg/kg</w:t>
            </w:r>
            <w:r>
              <w:rPr>
                <w:rFonts w:ascii="Calibri" w:eastAsia="Times New Roman" w:hAnsi="Calibri" w:cs="Calibri"/>
                <w:b/>
              </w:rPr>
              <w:t>-bw</w:t>
            </w:r>
            <w:r w:rsidRPr="009B29E7">
              <w:rPr>
                <w:rFonts w:ascii="Calibri" w:eastAsia="Times New Roman" w:hAnsi="Calibri" w:cs="Times New Roman"/>
                <w:b/>
              </w:rPr>
              <w:t>)</w:t>
            </w:r>
          </w:p>
        </w:tc>
        <w:tc>
          <w:tcPr>
            <w:tcW w:w="2070" w:type="dxa"/>
            <w:shd w:val="clear" w:color="auto" w:fill="E7E6E6" w:themeFill="background2"/>
            <w:noWrap/>
            <w:vAlign w:val="center"/>
            <w:hideMark/>
          </w:tcPr>
          <w:p w14:paraId="5BD4695A" w14:textId="0F18132D" w:rsidR="00A8004E" w:rsidRPr="009B29E7" w:rsidRDefault="00A8004E" w:rsidP="0085649A">
            <w:pPr>
              <w:keepNext/>
              <w:keepLines/>
              <w:spacing w:after="0" w:line="240" w:lineRule="auto"/>
              <w:jc w:val="center"/>
              <w:rPr>
                <w:rFonts w:ascii="Calibri" w:eastAsia="Times New Roman" w:hAnsi="Calibri" w:cs="Times New Roman"/>
                <w:b/>
              </w:rPr>
            </w:pPr>
            <w:r w:rsidRPr="009B29E7">
              <w:rPr>
                <w:rFonts w:ascii="Calibri" w:eastAsia="Times New Roman" w:hAnsi="Calibri" w:cs="Times New Roman"/>
                <w:b/>
              </w:rPr>
              <w:t xml:space="preserve">Reference </w:t>
            </w:r>
            <w:r w:rsidR="00F75B51">
              <w:rPr>
                <w:rFonts w:ascii="Calibri" w:eastAsia="Times New Roman" w:hAnsi="Calibri" w:cs="Times New Roman"/>
                <w:b/>
              </w:rPr>
              <w:br/>
            </w:r>
            <w:r w:rsidRPr="009B29E7">
              <w:rPr>
                <w:rFonts w:ascii="Calibri" w:eastAsia="Times New Roman" w:hAnsi="Calibri" w:cs="Times New Roman"/>
                <w:b/>
              </w:rPr>
              <w:t>(ECOTOX #)</w:t>
            </w:r>
          </w:p>
        </w:tc>
      </w:tr>
      <w:tr w:rsidR="00A8004E" w:rsidRPr="00C778A3" w14:paraId="19683D3B" w14:textId="77777777" w:rsidTr="00A30D2D">
        <w:trPr>
          <w:trHeight w:val="300"/>
        </w:trPr>
        <w:tc>
          <w:tcPr>
            <w:tcW w:w="2875" w:type="dxa"/>
            <w:shd w:val="clear" w:color="auto" w:fill="auto"/>
            <w:noWrap/>
            <w:vAlign w:val="bottom"/>
          </w:tcPr>
          <w:p w14:paraId="1FE17B83" w14:textId="55442DDD"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cerana</w:t>
            </w:r>
          </w:p>
        </w:tc>
        <w:tc>
          <w:tcPr>
            <w:tcW w:w="2160" w:type="dxa"/>
            <w:shd w:val="clear" w:color="auto" w:fill="auto"/>
            <w:noWrap/>
            <w:vAlign w:val="bottom"/>
            <w:hideMark/>
          </w:tcPr>
          <w:p w14:paraId="284C0DA8" w14:textId="2957BEA9"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0.040</w:t>
            </w:r>
          </w:p>
        </w:tc>
        <w:tc>
          <w:tcPr>
            <w:tcW w:w="2070" w:type="dxa"/>
            <w:shd w:val="clear" w:color="auto" w:fill="auto"/>
            <w:noWrap/>
            <w:vAlign w:val="bottom"/>
            <w:hideMark/>
          </w:tcPr>
          <w:p w14:paraId="08B4C14C" w14:textId="1DE4037A"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183780</w:t>
            </w:r>
          </w:p>
        </w:tc>
      </w:tr>
      <w:tr w:rsidR="00A8004E" w:rsidRPr="00C778A3" w14:paraId="11C251AE" w14:textId="77777777" w:rsidTr="00A30D2D">
        <w:trPr>
          <w:trHeight w:val="300"/>
        </w:trPr>
        <w:tc>
          <w:tcPr>
            <w:tcW w:w="2875" w:type="dxa"/>
            <w:shd w:val="clear" w:color="auto" w:fill="auto"/>
            <w:noWrap/>
            <w:vAlign w:val="bottom"/>
          </w:tcPr>
          <w:p w14:paraId="4F01B1E3" w14:textId="1C0E1536"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cerana ssp. indica</w:t>
            </w:r>
          </w:p>
        </w:tc>
        <w:tc>
          <w:tcPr>
            <w:tcW w:w="2160" w:type="dxa"/>
            <w:shd w:val="clear" w:color="auto" w:fill="auto"/>
            <w:noWrap/>
            <w:vAlign w:val="bottom"/>
            <w:hideMark/>
          </w:tcPr>
          <w:p w14:paraId="0F1226D0" w14:textId="42715DEA"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0.6</w:t>
            </w:r>
            <w:r w:rsidR="00A756A2">
              <w:rPr>
                <w:rFonts w:ascii="Calibri" w:hAnsi="Calibri" w:cs="Calibri"/>
                <w:color w:val="000000"/>
              </w:rPr>
              <w:t>28</w:t>
            </w:r>
          </w:p>
        </w:tc>
        <w:tc>
          <w:tcPr>
            <w:tcW w:w="2070" w:type="dxa"/>
            <w:shd w:val="clear" w:color="auto" w:fill="auto"/>
            <w:noWrap/>
            <w:vAlign w:val="bottom"/>
            <w:hideMark/>
          </w:tcPr>
          <w:p w14:paraId="4667A8C4" w14:textId="2336D417"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184373</w:t>
            </w:r>
          </w:p>
        </w:tc>
      </w:tr>
      <w:tr w:rsidR="00A8004E" w:rsidRPr="00C778A3" w14:paraId="36719999" w14:textId="77777777" w:rsidTr="00A30D2D">
        <w:trPr>
          <w:trHeight w:val="300"/>
        </w:trPr>
        <w:tc>
          <w:tcPr>
            <w:tcW w:w="2875" w:type="dxa"/>
            <w:shd w:val="clear" w:color="auto" w:fill="auto"/>
            <w:noWrap/>
            <w:vAlign w:val="bottom"/>
          </w:tcPr>
          <w:p w14:paraId="66C437F5" w14:textId="24BF0388"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160" w:type="dxa"/>
            <w:shd w:val="clear" w:color="auto" w:fill="auto"/>
            <w:noWrap/>
            <w:vAlign w:val="bottom"/>
            <w:hideMark/>
          </w:tcPr>
          <w:p w14:paraId="10A3913E" w14:textId="7F04649C"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0.021</w:t>
            </w:r>
          </w:p>
        </w:tc>
        <w:tc>
          <w:tcPr>
            <w:tcW w:w="2070" w:type="dxa"/>
            <w:shd w:val="clear" w:color="auto" w:fill="auto"/>
            <w:noWrap/>
            <w:vAlign w:val="bottom"/>
            <w:hideMark/>
          </w:tcPr>
          <w:p w14:paraId="6E07A5D4" w14:textId="71BDC930"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175348</w:t>
            </w:r>
          </w:p>
        </w:tc>
      </w:tr>
      <w:tr w:rsidR="00A8004E" w:rsidRPr="00C778A3" w14:paraId="15C58BAA" w14:textId="77777777" w:rsidTr="00A30D2D">
        <w:trPr>
          <w:trHeight w:val="300"/>
        </w:trPr>
        <w:tc>
          <w:tcPr>
            <w:tcW w:w="2875" w:type="dxa"/>
            <w:shd w:val="clear" w:color="auto" w:fill="auto"/>
            <w:noWrap/>
            <w:vAlign w:val="bottom"/>
          </w:tcPr>
          <w:p w14:paraId="3F1E457E" w14:textId="52852AC5"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160" w:type="dxa"/>
            <w:shd w:val="clear" w:color="auto" w:fill="auto"/>
            <w:noWrap/>
            <w:vAlign w:val="bottom"/>
            <w:hideMark/>
          </w:tcPr>
          <w:p w14:paraId="075CD47C" w14:textId="36E56507"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0.20</w:t>
            </w:r>
          </w:p>
        </w:tc>
        <w:tc>
          <w:tcPr>
            <w:tcW w:w="2070" w:type="dxa"/>
            <w:shd w:val="clear" w:color="auto" w:fill="auto"/>
            <w:noWrap/>
            <w:vAlign w:val="bottom"/>
            <w:hideMark/>
          </w:tcPr>
          <w:p w14:paraId="0F504722" w14:textId="4F4FC3E7"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168903</w:t>
            </w:r>
          </w:p>
        </w:tc>
      </w:tr>
      <w:tr w:rsidR="00A8004E" w:rsidRPr="00C778A3" w14:paraId="2F3663CC" w14:textId="77777777" w:rsidTr="00A30D2D">
        <w:trPr>
          <w:trHeight w:val="300"/>
        </w:trPr>
        <w:tc>
          <w:tcPr>
            <w:tcW w:w="2875" w:type="dxa"/>
            <w:shd w:val="clear" w:color="auto" w:fill="auto"/>
            <w:noWrap/>
            <w:vAlign w:val="bottom"/>
          </w:tcPr>
          <w:p w14:paraId="568BC7F5" w14:textId="2E89448D"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160" w:type="dxa"/>
            <w:shd w:val="clear" w:color="auto" w:fill="auto"/>
            <w:noWrap/>
            <w:vAlign w:val="bottom"/>
            <w:hideMark/>
          </w:tcPr>
          <w:p w14:paraId="4B82DB9E" w14:textId="1EEBA741"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0.33</w:t>
            </w:r>
          </w:p>
        </w:tc>
        <w:tc>
          <w:tcPr>
            <w:tcW w:w="2070" w:type="dxa"/>
            <w:shd w:val="clear" w:color="auto" w:fill="auto"/>
            <w:noWrap/>
            <w:vAlign w:val="bottom"/>
            <w:hideMark/>
          </w:tcPr>
          <w:p w14:paraId="76301F87" w14:textId="230BFBFC"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82007</w:t>
            </w:r>
          </w:p>
        </w:tc>
      </w:tr>
      <w:tr w:rsidR="00A8004E" w:rsidRPr="00C778A3" w14:paraId="4ACC605B" w14:textId="77777777" w:rsidTr="00A30D2D">
        <w:trPr>
          <w:trHeight w:val="300"/>
        </w:trPr>
        <w:tc>
          <w:tcPr>
            <w:tcW w:w="2875" w:type="dxa"/>
            <w:shd w:val="clear" w:color="auto" w:fill="auto"/>
            <w:noWrap/>
            <w:vAlign w:val="bottom"/>
          </w:tcPr>
          <w:p w14:paraId="549F565C" w14:textId="1DB54F7B"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160" w:type="dxa"/>
            <w:shd w:val="clear" w:color="auto" w:fill="auto"/>
            <w:noWrap/>
            <w:vAlign w:val="bottom"/>
            <w:hideMark/>
          </w:tcPr>
          <w:p w14:paraId="7FC0EBAC" w14:textId="366F5CCC"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0.39</w:t>
            </w:r>
          </w:p>
        </w:tc>
        <w:tc>
          <w:tcPr>
            <w:tcW w:w="2070" w:type="dxa"/>
            <w:shd w:val="clear" w:color="auto" w:fill="auto"/>
            <w:noWrap/>
            <w:vAlign w:val="bottom"/>
            <w:hideMark/>
          </w:tcPr>
          <w:p w14:paraId="271E270A" w14:textId="02C74761"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62997</w:t>
            </w:r>
          </w:p>
        </w:tc>
      </w:tr>
      <w:tr w:rsidR="00A8004E" w:rsidRPr="00C778A3" w14:paraId="2363A4A1" w14:textId="77777777" w:rsidTr="00A30D2D">
        <w:trPr>
          <w:trHeight w:val="300"/>
        </w:trPr>
        <w:tc>
          <w:tcPr>
            <w:tcW w:w="2875" w:type="dxa"/>
            <w:shd w:val="clear" w:color="auto" w:fill="auto"/>
            <w:noWrap/>
            <w:vAlign w:val="bottom"/>
          </w:tcPr>
          <w:p w14:paraId="1D9965F7" w14:textId="43B78199"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w:t>
            </w:r>
          </w:p>
        </w:tc>
        <w:tc>
          <w:tcPr>
            <w:tcW w:w="2160" w:type="dxa"/>
            <w:shd w:val="clear" w:color="auto" w:fill="auto"/>
            <w:noWrap/>
            <w:vAlign w:val="bottom"/>
            <w:hideMark/>
          </w:tcPr>
          <w:p w14:paraId="20E98595" w14:textId="2A569C26"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0.52</w:t>
            </w:r>
          </w:p>
        </w:tc>
        <w:tc>
          <w:tcPr>
            <w:tcW w:w="2070" w:type="dxa"/>
            <w:shd w:val="clear" w:color="auto" w:fill="auto"/>
            <w:noWrap/>
            <w:vAlign w:val="bottom"/>
            <w:hideMark/>
          </w:tcPr>
          <w:p w14:paraId="39B6583B" w14:textId="44BC0619"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169012</w:t>
            </w:r>
          </w:p>
        </w:tc>
      </w:tr>
      <w:tr w:rsidR="00A8004E" w:rsidRPr="00C778A3" w14:paraId="5E9881F8" w14:textId="77777777" w:rsidTr="00A30D2D">
        <w:trPr>
          <w:trHeight w:val="300"/>
        </w:trPr>
        <w:tc>
          <w:tcPr>
            <w:tcW w:w="2875" w:type="dxa"/>
            <w:shd w:val="clear" w:color="auto" w:fill="auto"/>
            <w:noWrap/>
            <w:vAlign w:val="bottom"/>
          </w:tcPr>
          <w:p w14:paraId="40AF7C1F" w14:textId="264C7AA3"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 ssp. carnica</w:t>
            </w:r>
          </w:p>
        </w:tc>
        <w:tc>
          <w:tcPr>
            <w:tcW w:w="2160" w:type="dxa"/>
            <w:shd w:val="clear" w:color="auto" w:fill="auto"/>
            <w:noWrap/>
            <w:vAlign w:val="bottom"/>
            <w:hideMark/>
          </w:tcPr>
          <w:p w14:paraId="27397D9E" w14:textId="0A08B063"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0.33</w:t>
            </w:r>
          </w:p>
        </w:tc>
        <w:tc>
          <w:tcPr>
            <w:tcW w:w="2070" w:type="dxa"/>
            <w:shd w:val="clear" w:color="auto" w:fill="auto"/>
            <w:noWrap/>
            <w:vAlign w:val="bottom"/>
            <w:hideMark/>
          </w:tcPr>
          <w:p w14:paraId="6394CD65" w14:textId="27645CA3"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62997</w:t>
            </w:r>
          </w:p>
        </w:tc>
      </w:tr>
      <w:tr w:rsidR="00A8004E" w:rsidRPr="00C778A3" w14:paraId="3361A1FC" w14:textId="77777777" w:rsidTr="00A30D2D">
        <w:trPr>
          <w:trHeight w:val="300"/>
        </w:trPr>
        <w:tc>
          <w:tcPr>
            <w:tcW w:w="2875" w:type="dxa"/>
            <w:shd w:val="clear" w:color="auto" w:fill="auto"/>
            <w:noWrap/>
            <w:vAlign w:val="bottom"/>
          </w:tcPr>
          <w:p w14:paraId="1BBEDE9D" w14:textId="24F6AA25"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 ssp. carnica</w:t>
            </w:r>
          </w:p>
        </w:tc>
        <w:tc>
          <w:tcPr>
            <w:tcW w:w="2160" w:type="dxa"/>
            <w:shd w:val="clear" w:color="auto" w:fill="auto"/>
            <w:noWrap/>
            <w:vAlign w:val="bottom"/>
            <w:hideMark/>
          </w:tcPr>
          <w:p w14:paraId="046EE682" w14:textId="21EF1278"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0.34</w:t>
            </w:r>
          </w:p>
        </w:tc>
        <w:tc>
          <w:tcPr>
            <w:tcW w:w="2070" w:type="dxa"/>
            <w:shd w:val="clear" w:color="auto" w:fill="auto"/>
            <w:noWrap/>
            <w:vAlign w:val="bottom"/>
            <w:hideMark/>
          </w:tcPr>
          <w:p w14:paraId="2D8DC8EB" w14:textId="19F40DC3"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62997</w:t>
            </w:r>
          </w:p>
        </w:tc>
      </w:tr>
      <w:tr w:rsidR="00A8004E" w:rsidRPr="00C778A3" w14:paraId="2F9C7165" w14:textId="77777777" w:rsidTr="00A30D2D">
        <w:trPr>
          <w:trHeight w:val="300"/>
        </w:trPr>
        <w:tc>
          <w:tcPr>
            <w:tcW w:w="2875" w:type="dxa"/>
            <w:shd w:val="clear" w:color="auto" w:fill="auto"/>
            <w:noWrap/>
            <w:vAlign w:val="bottom"/>
          </w:tcPr>
          <w:p w14:paraId="43900661" w14:textId="72FD6CD2"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 ssp. carnica</w:t>
            </w:r>
          </w:p>
        </w:tc>
        <w:tc>
          <w:tcPr>
            <w:tcW w:w="2160" w:type="dxa"/>
            <w:shd w:val="clear" w:color="auto" w:fill="auto"/>
            <w:noWrap/>
            <w:vAlign w:val="bottom"/>
            <w:hideMark/>
          </w:tcPr>
          <w:p w14:paraId="07519C2C" w14:textId="075A73B8"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0.48</w:t>
            </w:r>
          </w:p>
        </w:tc>
        <w:tc>
          <w:tcPr>
            <w:tcW w:w="2070" w:type="dxa"/>
            <w:shd w:val="clear" w:color="auto" w:fill="auto"/>
            <w:noWrap/>
            <w:vAlign w:val="bottom"/>
            <w:hideMark/>
          </w:tcPr>
          <w:p w14:paraId="60E0EACC" w14:textId="4AAE2F9E"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62997</w:t>
            </w:r>
          </w:p>
        </w:tc>
      </w:tr>
      <w:tr w:rsidR="00A8004E" w:rsidRPr="00C778A3" w14:paraId="200D8A10" w14:textId="77777777" w:rsidTr="00A30D2D">
        <w:trPr>
          <w:trHeight w:val="300"/>
        </w:trPr>
        <w:tc>
          <w:tcPr>
            <w:tcW w:w="2875" w:type="dxa"/>
            <w:shd w:val="clear" w:color="auto" w:fill="auto"/>
            <w:noWrap/>
            <w:vAlign w:val="bottom"/>
          </w:tcPr>
          <w:p w14:paraId="1FB70F01" w14:textId="32FFC39F"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 ssp. carnica</w:t>
            </w:r>
          </w:p>
        </w:tc>
        <w:tc>
          <w:tcPr>
            <w:tcW w:w="2160" w:type="dxa"/>
            <w:shd w:val="clear" w:color="auto" w:fill="auto"/>
            <w:noWrap/>
            <w:vAlign w:val="bottom"/>
            <w:hideMark/>
          </w:tcPr>
          <w:p w14:paraId="4CC74EA3" w14:textId="43679F91"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0.59</w:t>
            </w:r>
          </w:p>
        </w:tc>
        <w:tc>
          <w:tcPr>
            <w:tcW w:w="2070" w:type="dxa"/>
            <w:shd w:val="clear" w:color="auto" w:fill="auto"/>
            <w:noWrap/>
            <w:vAlign w:val="bottom"/>
            <w:hideMark/>
          </w:tcPr>
          <w:p w14:paraId="1520A2AD" w14:textId="25FFB948"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62997</w:t>
            </w:r>
          </w:p>
        </w:tc>
      </w:tr>
      <w:tr w:rsidR="00A8004E" w:rsidRPr="00C778A3" w14:paraId="635D3CF2" w14:textId="77777777" w:rsidTr="00A30D2D">
        <w:trPr>
          <w:trHeight w:val="300"/>
        </w:trPr>
        <w:tc>
          <w:tcPr>
            <w:tcW w:w="2875" w:type="dxa"/>
            <w:shd w:val="clear" w:color="auto" w:fill="auto"/>
            <w:noWrap/>
            <w:vAlign w:val="bottom"/>
          </w:tcPr>
          <w:p w14:paraId="427638AA" w14:textId="1C89899F" w:rsidR="00A8004E" w:rsidRPr="009B29E7" w:rsidRDefault="00A8004E" w:rsidP="00A8004E">
            <w:pPr>
              <w:spacing w:after="0" w:line="240" w:lineRule="auto"/>
              <w:rPr>
                <w:rFonts w:ascii="Calibri" w:eastAsia="Times New Roman" w:hAnsi="Calibri" w:cs="Times New Roman"/>
                <w:i/>
                <w:iCs/>
                <w:color w:val="000000"/>
              </w:rPr>
            </w:pPr>
            <w:r>
              <w:rPr>
                <w:rFonts w:ascii="Calibri" w:hAnsi="Calibri" w:cs="Calibri"/>
                <w:color w:val="000000"/>
              </w:rPr>
              <w:t>Apis mellifera ssp. carnica</w:t>
            </w:r>
          </w:p>
        </w:tc>
        <w:tc>
          <w:tcPr>
            <w:tcW w:w="2160" w:type="dxa"/>
            <w:shd w:val="clear" w:color="auto" w:fill="auto"/>
            <w:noWrap/>
            <w:vAlign w:val="bottom"/>
            <w:hideMark/>
          </w:tcPr>
          <w:p w14:paraId="4C68BC15" w14:textId="10AE21FC" w:rsidR="00A8004E" w:rsidRPr="00C778A3" w:rsidRDefault="00A8004E" w:rsidP="00A8004E">
            <w:pPr>
              <w:spacing w:after="0" w:line="240" w:lineRule="auto"/>
              <w:jc w:val="center"/>
              <w:rPr>
                <w:rFonts w:ascii="Calibri" w:eastAsia="Times New Roman" w:hAnsi="Calibri" w:cs="Times New Roman"/>
                <w:color w:val="000000"/>
              </w:rPr>
            </w:pPr>
            <w:r>
              <w:rPr>
                <w:rFonts w:ascii="Calibri" w:hAnsi="Calibri" w:cs="Calibri"/>
                <w:color w:val="000000"/>
              </w:rPr>
              <w:t>0.81</w:t>
            </w:r>
          </w:p>
        </w:tc>
        <w:tc>
          <w:tcPr>
            <w:tcW w:w="2070" w:type="dxa"/>
            <w:shd w:val="clear" w:color="auto" w:fill="auto"/>
            <w:noWrap/>
            <w:vAlign w:val="bottom"/>
            <w:hideMark/>
          </w:tcPr>
          <w:p w14:paraId="690441CD" w14:textId="41864BD1" w:rsidR="00A8004E" w:rsidRPr="00C778A3" w:rsidRDefault="00A8004E" w:rsidP="00A8004E">
            <w:pPr>
              <w:spacing w:after="0" w:line="240" w:lineRule="auto"/>
              <w:jc w:val="right"/>
              <w:rPr>
                <w:rFonts w:ascii="Calibri" w:eastAsia="Times New Roman" w:hAnsi="Calibri" w:cs="Times New Roman"/>
                <w:color w:val="000000"/>
              </w:rPr>
            </w:pPr>
            <w:r>
              <w:rPr>
                <w:rFonts w:ascii="Calibri" w:hAnsi="Calibri" w:cs="Calibri"/>
                <w:color w:val="000000"/>
              </w:rPr>
              <w:t>62997</w:t>
            </w:r>
          </w:p>
        </w:tc>
      </w:tr>
      <w:tr w:rsidR="00A8004E" w:rsidRPr="00C778A3" w14:paraId="05CA3C2C" w14:textId="77777777" w:rsidTr="00A30D2D">
        <w:trPr>
          <w:trHeight w:val="300"/>
        </w:trPr>
        <w:tc>
          <w:tcPr>
            <w:tcW w:w="2875" w:type="dxa"/>
            <w:shd w:val="clear" w:color="auto" w:fill="auto"/>
            <w:noWrap/>
            <w:vAlign w:val="bottom"/>
          </w:tcPr>
          <w:p w14:paraId="0AF80A33" w14:textId="137F08DD"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Apis mellifera ssp. caucasica</w:t>
            </w:r>
          </w:p>
        </w:tc>
        <w:tc>
          <w:tcPr>
            <w:tcW w:w="2160" w:type="dxa"/>
            <w:shd w:val="clear" w:color="auto" w:fill="auto"/>
            <w:noWrap/>
            <w:vAlign w:val="bottom"/>
          </w:tcPr>
          <w:p w14:paraId="68AC0AC9" w14:textId="58EA2EF5" w:rsidR="00A8004E" w:rsidRDefault="00A8004E" w:rsidP="00A8004E">
            <w:pPr>
              <w:spacing w:after="0" w:line="240" w:lineRule="auto"/>
              <w:jc w:val="center"/>
              <w:rPr>
                <w:rFonts w:ascii="Calibri" w:hAnsi="Calibri" w:cs="Calibri"/>
                <w:color w:val="000000"/>
              </w:rPr>
            </w:pPr>
            <w:r>
              <w:rPr>
                <w:rFonts w:ascii="Calibri" w:hAnsi="Calibri" w:cs="Calibri"/>
                <w:color w:val="000000"/>
              </w:rPr>
              <w:t>0.10</w:t>
            </w:r>
          </w:p>
        </w:tc>
        <w:tc>
          <w:tcPr>
            <w:tcW w:w="2070" w:type="dxa"/>
            <w:shd w:val="clear" w:color="auto" w:fill="auto"/>
            <w:noWrap/>
            <w:vAlign w:val="bottom"/>
          </w:tcPr>
          <w:p w14:paraId="2B26AD11" w14:textId="5EC14E5C" w:rsidR="00A8004E" w:rsidRDefault="00A8004E" w:rsidP="00A8004E">
            <w:pPr>
              <w:spacing w:after="0" w:line="240" w:lineRule="auto"/>
              <w:jc w:val="right"/>
              <w:rPr>
                <w:rFonts w:ascii="Calibri" w:hAnsi="Calibri" w:cs="Calibri"/>
                <w:color w:val="000000"/>
              </w:rPr>
            </w:pPr>
            <w:r>
              <w:rPr>
                <w:rFonts w:ascii="Calibri" w:hAnsi="Calibri" w:cs="Calibri"/>
                <w:color w:val="000000"/>
              </w:rPr>
              <w:t>46261</w:t>
            </w:r>
          </w:p>
        </w:tc>
      </w:tr>
      <w:tr w:rsidR="00A8004E" w:rsidRPr="00C778A3" w14:paraId="006C6518" w14:textId="77777777" w:rsidTr="00A30D2D">
        <w:trPr>
          <w:trHeight w:val="300"/>
        </w:trPr>
        <w:tc>
          <w:tcPr>
            <w:tcW w:w="2875" w:type="dxa"/>
            <w:shd w:val="clear" w:color="auto" w:fill="auto"/>
            <w:noWrap/>
            <w:vAlign w:val="bottom"/>
          </w:tcPr>
          <w:p w14:paraId="3A73130A" w14:textId="3B65968F"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Apis mellifera ssp. mellifera</w:t>
            </w:r>
          </w:p>
        </w:tc>
        <w:tc>
          <w:tcPr>
            <w:tcW w:w="2160" w:type="dxa"/>
            <w:shd w:val="clear" w:color="auto" w:fill="auto"/>
            <w:noWrap/>
            <w:vAlign w:val="bottom"/>
          </w:tcPr>
          <w:p w14:paraId="6BAE432B" w14:textId="16680D90" w:rsidR="00A8004E" w:rsidRDefault="00A8004E" w:rsidP="00A8004E">
            <w:pPr>
              <w:spacing w:after="0" w:line="240" w:lineRule="auto"/>
              <w:jc w:val="center"/>
              <w:rPr>
                <w:rFonts w:ascii="Calibri" w:hAnsi="Calibri" w:cs="Calibri"/>
                <w:color w:val="000000"/>
              </w:rPr>
            </w:pPr>
            <w:r>
              <w:rPr>
                <w:rFonts w:ascii="Calibri" w:hAnsi="Calibri" w:cs="Calibri"/>
                <w:color w:val="000000"/>
              </w:rPr>
              <w:t>0.052</w:t>
            </w:r>
          </w:p>
        </w:tc>
        <w:tc>
          <w:tcPr>
            <w:tcW w:w="2070" w:type="dxa"/>
            <w:shd w:val="clear" w:color="auto" w:fill="auto"/>
            <w:noWrap/>
            <w:vAlign w:val="bottom"/>
          </w:tcPr>
          <w:p w14:paraId="1753AEFA" w14:textId="2A430DBF" w:rsidR="00A8004E" w:rsidRDefault="00A8004E" w:rsidP="00A8004E">
            <w:pPr>
              <w:spacing w:after="0" w:line="240" w:lineRule="auto"/>
              <w:jc w:val="right"/>
              <w:rPr>
                <w:rFonts w:ascii="Calibri" w:hAnsi="Calibri" w:cs="Calibri"/>
                <w:color w:val="000000"/>
              </w:rPr>
            </w:pPr>
            <w:r>
              <w:rPr>
                <w:rFonts w:ascii="Calibri" w:hAnsi="Calibri" w:cs="Calibri"/>
                <w:color w:val="000000"/>
              </w:rPr>
              <w:t>46261</w:t>
            </w:r>
          </w:p>
        </w:tc>
      </w:tr>
      <w:tr w:rsidR="00A8004E" w:rsidRPr="00C778A3" w14:paraId="0CFB2494" w14:textId="77777777" w:rsidTr="00A30D2D">
        <w:trPr>
          <w:trHeight w:val="300"/>
        </w:trPr>
        <w:tc>
          <w:tcPr>
            <w:tcW w:w="2875" w:type="dxa"/>
            <w:shd w:val="clear" w:color="auto" w:fill="auto"/>
            <w:noWrap/>
            <w:vAlign w:val="bottom"/>
          </w:tcPr>
          <w:p w14:paraId="596F0D01" w14:textId="7F109E24"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Apis mellifera ssp. mellifera</w:t>
            </w:r>
          </w:p>
        </w:tc>
        <w:tc>
          <w:tcPr>
            <w:tcW w:w="2160" w:type="dxa"/>
            <w:shd w:val="clear" w:color="auto" w:fill="auto"/>
            <w:noWrap/>
            <w:vAlign w:val="bottom"/>
          </w:tcPr>
          <w:p w14:paraId="1452BD8D" w14:textId="1698D95B" w:rsidR="00A8004E" w:rsidRDefault="00A8004E" w:rsidP="00A8004E">
            <w:pPr>
              <w:spacing w:after="0" w:line="240" w:lineRule="auto"/>
              <w:jc w:val="center"/>
              <w:rPr>
                <w:rFonts w:ascii="Calibri" w:hAnsi="Calibri" w:cs="Calibri"/>
                <w:color w:val="000000"/>
              </w:rPr>
            </w:pPr>
            <w:r>
              <w:rPr>
                <w:rFonts w:ascii="Calibri" w:hAnsi="Calibri" w:cs="Calibri"/>
                <w:color w:val="000000"/>
              </w:rPr>
              <w:t>0.19</w:t>
            </w:r>
          </w:p>
        </w:tc>
        <w:tc>
          <w:tcPr>
            <w:tcW w:w="2070" w:type="dxa"/>
            <w:shd w:val="clear" w:color="auto" w:fill="auto"/>
            <w:noWrap/>
            <w:vAlign w:val="bottom"/>
          </w:tcPr>
          <w:p w14:paraId="453E9587" w14:textId="58FEA054" w:rsidR="00A8004E" w:rsidRDefault="00A8004E" w:rsidP="00A8004E">
            <w:pPr>
              <w:spacing w:after="0" w:line="240" w:lineRule="auto"/>
              <w:jc w:val="right"/>
              <w:rPr>
                <w:rFonts w:ascii="Calibri" w:hAnsi="Calibri" w:cs="Calibri"/>
                <w:color w:val="000000"/>
              </w:rPr>
            </w:pPr>
            <w:r>
              <w:rPr>
                <w:rFonts w:ascii="Calibri" w:hAnsi="Calibri" w:cs="Calibri"/>
                <w:color w:val="000000"/>
              </w:rPr>
              <w:t>46261</w:t>
            </w:r>
          </w:p>
        </w:tc>
      </w:tr>
      <w:tr w:rsidR="00A8004E" w:rsidRPr="00C778A3" w14:paraId="2E36E3F8" w14:textId="77777777" w:rsidTr="00A30D2D">
        <w:trPr>
          <w:trHeight w:val="300"/>
        </w:trPr>
        <w:tc>
          <w:tcPr>
            <w:tcW w:w="2875" w:type="dxa"/>
            <w:shd w:val="clear" w:color="auto" w:fill="auto"/>
            <w:noWrap/>
            <w:vAlign w:val="bottom"/>
          </w:tcPr>
          <w:p w14:paraId="19B6EEA6" w14:textId="79200C5E"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Bombus terrestris ssp. audax</w:t>
            </w:r>
          </w:p>
        </w:tc>
        <w:tc>
          <w:tcPr>
            <w:tcW w:w="2160" w:type="dxa"/>
            <w:shd w:val="clear" w:color="auto" w:fill="auto"/>
            <w:noWrap/>
            <w:vAlign w:val="bottom"/>
          </w:tcPr>
          <w:p w14:paraId="19EE2894" w14:textId="305D36E4" w:rsidR="00A8004E" w:rsidRDefault="00A8004E" w:rsidP="00A8004E">
            <w:pPr>
              <w:spacing w:after="0" w:line="240" w:lineRule="auto"/>
              <w:jc w:val="center"/>
              <w:rPr>
                <w:rFonts w:ascii="Calibri" w:hAnsi="Calibri" w:cs="Calibri"/>
                <w:color w:val="000000"/>
              </w:rPr>
            </w:pPr>
            <w:r>
              <w:rPr>
                <w:rFonts w:ascii="Calibri" w:hAnsi="Calibri" w:cs="Calibri"/>
                <w:color w:val="000000"/>
              </w:rPr>
              <w:t>1.55</w:t>
            </w:r>
          </w:p>
        </w:tc>
        <w:tc>
          <w:tcPr>
            <w:tcW w:w="2070" w:type="dxa"/>
            <w:shd w:val="clear" w:color="auto" w:fill="auto"/>
            <w:noWrap/>
            <w:vAlign w:val="bottom"/>
          </w:tcPr>
          <w:p w14:paraId="60977A2C" w14:textId="0930F3AF" w:rsidR="00A8004E" w:rsidRDefault="00A8004E" w:rsidP="00A8004E">
            <w:pPr>
              <w:spacing w:after="0" w:line="240" w:lineRule="auto"/>
              <w:jc w:val="right"/>
              <w:rPr>
                <w:rFonts w:ascii="Calibri" w:hAnsi="Calibri" w:cs="Calibri"/>
                <w:color w:val="000000"/>
              </w:rPr>
            </w:pPr>
            <w:r>
              <w:rPr>
                <w:rFonts w:ascii="Calibri" w:hAnsi="Calibri" w:cs="Calibri"/>
                <w:color w:val="000000"/>
              </w:rPr>
              <w:t>184486</w:t>
            </w:r>
          </w:p>
        </w:tc>
      </w:tr>
      <w:tr w:rsidR="00A8004E" w:rsidRPr="00C778A3" w14:paraId="2B3CFC43" w14:textId="77777777" w:rsidTr="00A30D2D">
        <w:trPr>
          <w:trHeight w:val="300"/>
        </w:trPr>
        <w:tc>
          <w:tcPr>
            <w:tcW w:w="2875" w:type="dxa"/>
            <w:shd w:val="clear" w:color="auto" w:fill="auto"/>
            <w:noWrap/>
            <w:vAlign w:val="bottom"/>
          </w:tcPr>
          <w:p w14:paraId="0AD46FD9" w14:textId="6A52FB90"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Campoletis sonorensis</w:t>
            </w:r>
          </w:p>
        </w:tc>
        <w:tc>
          <w:tcPr>
            <w:tcW w:w="2160" w:type="dxa"/>
            <w:shd w:val="clear" w:color="auto" w:fill="auto"/>
            <w:noWrap/>
            <w:vAlign w:val="bottom"/>
          </w:tcPr>
          <w:p w14:paraId="12D387A4" w14:textId="19CE4B45" w:rsidR="00A8004E" w:rsidRDefault="00A8004E" w:rsidP="00A8004E">
            <w:pPr>
              <w:spacing w:after="0" w:line="240" w:lineRule="auto"/>
              <w:jc w:val="center"/>
              <w:rPr>
                <w:rFonts w:ascii="Calibri" w:hAnsi="Calibri" w:cs="Calibri"/>
                <w:color w:val="000000"/>
              </w:rPr>
            </w:pPr>
            <w:r>
              <w:rPr>
                <w:rFonts w:ascii="Calibri" w:hAnsi="Calibri" w:cs="Calibri"/>
                <w:color w:val="000000"/>
              </w:rPr>
              <w:t>0.83</w:t>
            </w:r>
          </w:p>
        </w:tc>
        <w:tc>
          <w:tcPr>
            <w:tcW w:w="2070" w:type="dxa"/>
            <w:shd w:val="clear" w:color="auto" w:fill="auto"/>
            <w:noWrap/>
            <w:vAlign w:val="bottom"/>
          </w:tcPr>
          <w:p w14:paraId="58074DB5" w14:textId="6400A368" w:rsidR="00A8004E" w:rsidRDefault="00A8004E" w:rsidP="00A8004E">
            <w:pPr>
              <w:spacing w:after="0" w:line="240" w:lineRule="auto"/>
              <w:jc w:val="right"/>
              <w:rPr>
                <w:rFonts w:ascii="Calibri" w:hAnsi="Calibri" w:cs="Calibri"/>
                <w:color w:val="000000"/>
              </w:rPr>
            </w:pPr>
            <w:r>
              <w:rPr>
                <w:rFonts w:ascii="Calibri" w:hAnsi="Calibri" w:cs="Calibri"/>
                <w:color w:val="000000"/>
              </w:rPr>
              <w:t>184372</w:t>
            </w:r>
          </w:p>
        </w:tc>
      </w:tr>
      <w:tr w:rsidR="00A8004E" w:rsidRPr="00C778A3" w14:paraId="28BE0B65" w14:textId="77777777" w:rsidTr="00A30D2D">
        <w:trPr>
          <w:trHeight w:val="300"/>
        </w:trPr>
        <w:tc>
          <w:tcPr>
            <w:tcW w:w="2875" w:type="dxa"/>
            <w:shd w:val="clear" w:color="auto" w:fill="auto"/>
            <w:noWrap/>
            <w:vAlign w:val="bottom"/>
          </w:tcPr>
          <w:p w14:paraId="5DA65235" w14:textId="49E90F7B"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Campoletis sonorensis</w:t>
            </w:r>
          </w:p>
        </w:tc>
        <w:tc>
          <w:tcPr>
            <w:tcW w:w="2160" w:type="dxa"/>
            <w:shd w:val="clear" w:color="auto" w:fill="auto"/>
            <w:noWrap/>
            <w:vAlign w:val="bottom"/>
          </w:tcPr>
          <w:p w14:paraId="50AC9A1D" w14:textId="63F5CD13" w:rsidR="00A8004E" w:rsidRDefault="00A8004E" w:rsidP="00A8004E">
            <w:pPr>
              <w:spacing w:after="0" w:line="240" w:lineRule="auto"/>
              <w:jc w:val="center"/>
              <w:rPr>
                <w:rFonts w:ascii="Calibri" w:hAnsi="Calibri" w:cs="Calibri"/>
                <w:color w:val="000000"/>
              </w:rPr>
            </w:pPr>
            <w:r>
              <w:rPr>
                <w:rFonts w:ascii="Calibri" w:hAnsi="Calibri" w:cs="Calibri"/>
                <w:color w:val="000000"/>
              </w:rPr>
              <w:t>0.83</w:t>
            </w:r>
          </w:p>
        </w:tc>
        <w:tc>
          <w:tcPr>
            <w:tcW w:w="2070" w:type="dxa"/>
            <w:shd w:val="clear" w:color="auto" w:fill="auto"/>
            <w:noWrap/>
            <w:vAlign w:val="bottom"/>
          </w:tcPr>
          <w:p w14:paraId="08A122BB" w14:textId="2C46A232" w:rsidR="00A8004E" w:rsidRDefault="00A8004E" w:rsidP="00A8004E">
            <w:pPr>
              <w:spacing w:after="0" w:line="240" w:lineRule="auto"/>
              <w:jc w:val="right"/>
              <w:rPr>
                <w:rFonts w:ascii="Calibri" w:hAnsi="Calibri" w:cs="Calibri"/>
                <w:color w:val="000000"/>
              </w:rPr>
            </w:pPr>
            <w:r>
              <w:rPr>
                <w:rFonts w:ascii="Calibri" w:hAnsi="Calibri" w:cs="Calibri"/>
                <w:color w:val="000000"/>
              </w:rPr>
              <w:t>184372</w:t>
            </w:r>
          </w:p>
        </w:tc>
      </w:tr>
      <w:tr w:rsidR="00A8004E" w:rsidRPr="00C778A3" w14:paraId="11B761F1" w14:textId="77777777" w:rsidTr="00A30D2D">
        <w:trPr>
          <w:trHeight w:val="300"/>
        </w:trPr>
        <w:tc>
          <w:tcPr>
            <w:tcW w:w="2875" w:type="dxa"/>
            <w:shd w:val="clear" w:color="auto" w:fill="auto"/>
            <w:noWrap/>
            <w:vAlign w:val="bottom"/>
          </w:tcPr>
          <w:p w14:paraId="1DC7E2A8" w14:textId="3C2BB212"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Campoletis sonorensis</w:t>
            </w:r>
          </w:p>
        </w:tc>
        <w:tc>
          <w:tcPr>
            <w:tcW w:w="2160" w:type="dxa"/>
            <w:shd w:val="clear" w:color="auto" w:fill="auto"/>
            <w:noWrap/>
            <w:vAlign w:val="bottom"/>
          </w:tcPr>
          <w:p w14:paraId="184F0D04" w14:textId="0F08247B" w:rsidR="00A8004E" w:rsidRDefault="00A8004E" w:rsidP="00A8004E">
            <w:pPr>
              <w:spacing w:after="0" w:line="240" w:lineRule="auto"/>
              <w:jc w:val="center"/>
              <w:rPr>
                <w:rFonts w:ascii="Calibri" w:hAnsi="Calibri" w:cs="Calibri"/>
                <w:color w:val="000000"/>
              </w:rPr>
            </w:pPr>
            <w:r>
              <w:rPr>
                <w:rFonts w:ascii="Calibri" w:hAnsi="Calibri" w:cs="Calibri"/>
                <w:color w:val="000000"/>
              </w:rPr>
              <w:t>0.99</w:t>
            </w:r>
          </w:p>
        </w:tc>
        <w:tc>
          <w:tcPr>
            <w:tcW w:w="2070" w:type="dxa"/>
            <w:shd w:val="clear" w:color="auto" w:fill="auto"/>
            <w:noWrap/>
            <w:vAlign w:val="bottom"/>
          </w:tcPr>
          <w:p w14:paraId="2BB31EF5" w14:textId="407D9388" w:rsidR="00A8004E" w:rsidRDefault="00A8004E" w:rsidP="00A8004E">
            <w:pPr>
              <w:spacing w:after="0" w:line="240" w:lineRule="auto"/>
              <w:jc w:val="right"/>
              <w:rPr>
                <w:rFonts w:ascii="Calibri" w:hAnsi="Calibri" w:cs="Calibri"/>
                <w:color w:val="000000"/>
              </w:rPr>
            </w:pPr>
            <w:r>
              <w:rPr>
                <w:rFonts w:ascii="Calibri" w:hAnsi="Calibri" w:cs="Calibri"/>
                <w:color w:val="000000"/>
              </w:rPr>
              <w:t>184372</w:t>
            </w:r>
          </w:p>
        </w:tc>
      </w:tr>
      <w:tr w:rsidR="00A8004E" w:rsidRPr="00C778A3" w14:paraId="35A28518" w14:textId="77777777" w:rsidTr="00A30D2D">
        <w:trPr>
          <w:trHeight w:val="300"/>
        </w:trPr>
        <w:tc>
          <w:tcPr>
            <w:tcW w:w="2875" w:type="dxa"/>
            <w:shd w:val="clear" w:color="auto" w:fill="auto"/>
            <w:noWrap/>
            <w:vAlign w:val="bottom"/>
          </w:tcPr>
          <w:p w14:paraId="43351239" w14:textId="6AC7D405"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Coccinella septempunctata</w:t>
            </w:r>
          </w:p>
        </w:tc>
        <w:tc>
          <w:tcPr>
            <w:tcW w:w="2160" w:type="dxa"/>
            <w:shd w:val="clear" w:color="auto" w:fill="auto"/>
            <w:noWrap/>
            <w:vAlign w:val="bottom"/>
          </w:tcPr>
          <w:p w14:paraId="6608ECF8" w14:textId="03604C4B" w:rsidR="00A8004E" w:rsidRDefault="00A8004E" w:rsidP="00A8004E">
            <w:pPr>
              <w:spacing w:after="0" w:line="240" w:lineRule="auto"/>
              <w:jc w:val="center"/>
              <w:rPr>
                <w:rFonts w:ascii="Calibri" w:hAnsi="Calibri" w:cs="Calibri"/>
                <w:color w:val="000000"/>
              </w:rPr>
            </w:pPr>
            <w:r>
              <w:rPr>
                <w:rFonts w:ascii="Calibri" w:hAnsi="Calibri" w:cs="Calibri"/>
                <w:color w:val="000000"/>
              </w:rPr>
              <w:t>0.079</w:t>
            </w:r>
          </w:p>
        </w:tc>
        <w:tc>
          <w:tcPr>
            <w:tcW w:w="2070" w:type="dxa"/>
            <w:shd w:val="clear" w:color="auto" w:fill="auto"/>
            <w:noWrap/>
            <w:vAlign w:val="bottom"/>
          </w:tcPr>
          <w:p w14:paraId="7F77E53E" w14:textId="71CB170B" w:rsidR="00A8004E" w:rsidRDefault="00A8004E" w:rsidP="00A8004E">
            <w:pPr>
              <w:spacing w:after="0" w:line="240" w:lineRule="auto"/>
              <w:jc w:val="right"/>
              <w:rPr>
                <w:rFonts w:ascii="Calibri" w:hAnsi="Calibri" w:cs="Calibri"/>
                <w:color w:val="000000"/>
              </w:rPr>
            </w:pPr>
            <w:r>
              <w:rPr>
                <w:rFonts w:ascii="Calibri" w:hAnsi="Calibri" w:cs="Calibri"/>
                <w:color w:val="000000"/>
              </w:rPr>
              <w:t>184500</w:t>
            </w:r>
          </w:p>
        </w:tc>
      </w:tr>
      <w:tr w:rsidR="00A8004E" w:rsidRPr="00C778A3" w14:paraId="4A8C50AC" w14:textId="77777777" w:rsidTr="00A30D2D">
        <w:trPr>
          <w:trHeight w:val="300"/>
        </w:trPr>
        <w:tc>
          <w:tcPr>
            <w:tcW w:w="2875" w:type="dxa"/>
            <w:shd w:val="clear" w:color="auto" w:fill="auto"/>
            <w:noWrap/>
            <w:vAlign w:val="bottom"/>
          </w:tcPr>
          <w:p w14:paraId="36D8B014" w14:textId="0A1F59DF"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Coccinella septempunctata</w:t>
            </w:r>
          </w:p>
        </w:tc>
        <w:tc>
          <w:tcPr>
            <w:tcW w:w="2160" w:type="dxa"/>
            <w:shd w:val="clear" w:color="auto" w:fill="auto"/>
            <w:noWrap/>
            <w:vAlign w:val="bottom"/>
          </w:tcPr>
          <w:p w14:paraId="31E7B83F" w14:textId="52446CF8" w:rsidR="00A8004E" w:rsidRDefault="00A8004E" w:rsidP="00A8004E">
            <w:pPr>
              <w:spacing w:after="0" w:line="240" w:lineRule="auto"/>
              <w:jc w:val="center"/>
              <w:rPr>
                <w:rFonts w:ascii="Calibri" w:hAnsi="Calibri" w:cs="Calibri"/>
                <w:color w:val="000000"/>
              </w:rPr>
            </w:pPr>
            <w:r>
              <w:rPr>
                <w:rFonts w:ascii="Calibri" w:hAnsi="Calibri" w:cs="Calibri"/>
                <w:color w:val="000000"/>
              </w:rPr>
              <w:t>4.35</w:t>
            </w:r>
          </w:p>
        </w:tc>
        <w:tc>
          <w:tcPr>
            <w:tcW w:w="2070" w:type="dxa"/>
            <w:shd w:val="clear" w:color="auto" w:fill="auto"/>
            <w:noWrap/>
            <w:vAlign w:val="bottom"/>
          </w:tcPr>
          <w:p w14:paraId="21941F95" w14:textId="18BB4011" w:rsidR="00A8004E" w:rsidRDefault="00A8004E" w:rsidP="00A8004E">
            <w:pPr>
              <w:spacing w:after="0" w:line="240" w:lineRule="auto"/>
              <w:jc w:val="right"/>
              <w:rPr>
                <w:rFonts w:ascii="Calibri" w:hAnsi="Calibri" w:cs="Calibri"/>
                <w:color w:val="000000"/>
              </w:rPr>
            </w:pPr>
            <w:r>
              <w:rPr>
                <w:rFonts w:ascii="Calibri" w:hAnsi="Calibri" w:cs="Calibri"/>
                <w:color w:val="000000"/>
              </w:rPr>
              <w:t>184500</w:t>
            </w:r>
          </w:p>
        </w:tc>
      </w:tr>
      <w:tr w:rsidR="00A8004E" w:rsidRPr="00C778A3" w14:paraId="4753452C" w14:textId="77777777" w:rsidTr="00A30D2D">
        <w:trPr>
          <w:trHeight w:val="300"/>
        </w:trPr>
        <w:tc>
          <w:tcPr>
            <w:tcW w:w="2875" w:type="dxa"/>
            <w:shd w:val="clear" w:color="auto" w:fill="auto"/>
            <w:noWrap/>
            <w:vAlign w:val="bottom"/>
          </w:tcPr>
          <w:p w14:paraId="6936A74E" w14:textId="629591EF"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Coccinella septempunctata</w:t>
            </w:r>
          </w:p>
        </w:tc>
        <w:tc>
          <w:tcPr>
            <w:tcW w:w="2160" w:type="dxa"/>
            <w:shd w:val="clear" w:color="auto" w:fill="auto"/>
            <w:noWrap/>
            <w:vAlign w:val="bottom"/>
          </w:tcPr>
          <w:p w14:paraId="70BD3B77" w14:textId="1F0C5BC9" w:rsidR="00A8004E" w:rsidRDefault="00A8004E" w:rsidP="00A8004E">
            <w:pPr>
              <w:spacing w:after="0" w:line="240" w:lineRule="auto"/>
              <w:jc w:val="center"/>
              <w:rPr>
                <w:rFonts w:ascii="Calibri" w:hAnsi="Calibri" w:cs="Calibri"/>
                <w:color w:val="000000"/>
              </w:rPr>
            </w:pPr>
            <w:r>
              <w:rPr>
                <w:rFonts w:ascii="Calibri" w:hAnsi="Calibri" w:cs="Calibri"/>
                <w:color w:val="000000"/>
              </w:rPr>
              <w:t>10.20</w:t>
            </w:r>
          </w:p>
        </w:tc>
        <w:tc>
          <w:tcPr>
            <w:tcW w:w="2070" w:type="dxa"/>
            <w:shd w:val="clear" w:color="auto" w:fill="auto"/>
            <w:noWrap/>
            <w:vAlign w:val="bottom"/>
          </w:tcPr>
          <w:p w14:paraId="269F4628" w14:textId="3829FF51" w:rsidR="00A8004E" w:rsidRDefault="00A8004E" w:rsidP="00A8004E">
            <w:pPr>
              <w:spacing w:after="0" w:line="240" w:lineRule="auto"/>
              <w:jc w:val="right"/>
              <w:rPr>
                <w:rFonts w:ascii="Calibri" w:hAnsi="Calibri" w:cs="Calibri"/>
                <w:color w:val="000000"/>
              </w:rPr>
            </w:pPr>
            <w:r>
              <w:rPr>
                <w:rFonts w:ascii="Calibri" w:hAnsi="Calibri" w:cs="Calibri"/>
                <w:color w:val="000000"/>
              </w:rPr>
              <w:t>184500</w:t>
            </w:r>
          </w:p>
        </w:tc>
      </w:tr>
      <w:tr w:rsidR="00A8004E" w:rsidRPr="00C778A3" w14:paraId="1C017582" w14:textId="77777777" w:rsidTr="00A30D2D">
        <w:trPr>
          <w:trHeight w:val="300"/>
        </w:trPr>
        <w:tc>
          <w:tcPr>
            <w:tcW w:w="2875" w:type="dxa"/>
            <w:shd w:val="clear" w:color="auto" w:fill="auto"/>
            <w:noWrap/>
            <w:vAlign w:val="bottom"/>
          </w:tcPr>
          <w:p w14:paraId="55F3855A" w14:textId="3E34A356"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Coccinella septempunctata</w:t>
            </w:r>
          </w:p>
        </w:tc>
        <w:tc>
          <w:tcPr>
            <w:tcW w:w="2160" w:type="dxa"/>
            <w:shd w:val="clear" w:color="auto" w:fill="auto"/>
            <w:noWrap/>
            <w:vAlign w:val="bottom"/>
          </w:tcPr>
          <w:p w14:paraId="7A4FB073" w14:textId="046AFD14" w:rsidR="00A8004E" w:rsidRDefault="00A8004E" w:rsidP="00A8004E">
            <w:pPr>
              <w:spacing w:after="0" w:line="240" w:lineRule="auto"/>
              <w:jc w:val="center"/>
              <w:rPr>
                <w:rFonts w:ascii="Calibri" w:hAnsi="Calibri" w:cs="Calibri"/>
                <w:color w:val="000000"/>
              </w:rPr>
            </w:pPr>
            <w:r>
              <w:rPr>
                <w:rFonts w:ascii="Calibri" w:hAnsi="Calibri" w:cs="Calibri"/>
                <w:color w:val="000000"/>
              </w:rPr>
              <w:t>11.40</w:t>
            </w:r>
          </w:p>
        </w:tc>
        <w:tc>
          <w:tcPr>
            <w:tcW w:w="2070" w:type="dxa"/>
            <w:shd w:val="clear" w:color="auto" w:fill="auto"/>
            <w:noWrap/>
            <w:vAlign w:val="bottom"/>
          </w:tcPr>
          <w:p w14:paraId="5E31150D" w14:textId="177B8BC9" w:rsidR="00A8004E" w:rsidRDefault="00A8004E" w:rsidP="00A8004E">
            <w:pPr>
              <w:spacing w:after="0" w:line="240" w:lineRule="auto"/>
              <w:jc w:val="right"/>
              <w:rPr>
                <w:rFonts w:ascii="Calibri" w:hAnsi="Calibri" w:cs="Calibri"/>
                <w:color w:val="000000"/>
              </w:rPr>
            </w:pPr>
            <w:r>
              <w:rPr>
                <w:rFonts w:ascii="Calibri" w:hAnsi="Calibri" w:cs="Calibri"/>
                <w:color w:val="000000"/>
              </w:rPr>
              <w:t>184500</w:t>
            </w:r>
          </w:p>
        </w:tc>
      </w:tr>
      <w:tr w:rsidR="00A8004E" w:rsidRPr="00C778A3" w14:paraId="6688DF37" w14:textId="77777777" w:rsidTr="00A30D2D">
        <w:trPr>
          <w:trHeight w:val="300"/>
        </w:trPr>
        <w:tc>
          <w:tcPr>
            <w:tcW w:w="2875" w:type="dxa"/>
            <w:shd w:val="clear" w:color="auto" w:fill="auto"/>
            <w:noWrap/>
            <w:vAlign w:val="bottom"/>
          </w:tcPr>
          <w:p w14:paraId="492FBE3F" w14:textId="79AE553D"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lastRenderedPageBreak/>
              <w:t>Coccinella septempunctata</w:t>
            </w:r>
          </w:p>
        </w:tc>
        <w:tc>
          <w:tcPr>
            <w:tcW w:w="2160" w:type="dxa"/>
            <w:shd w:val="clear" w:color="auto" w:fill="auto"/>
            <w:noWrap/>
            <w:vAlign w:val="bottom"/>
          </w:tcPr>
          <w:p w14:paraId="47A24171" w14:textId="30090058" w:rsidR="00A8004E" w:rsidRDefault="00A8004E" w:rsidP="00A8004E">
            <w:pPr>
              <w:spacing w:after="0" w:line="240" w:lineRule="auto"/>
              <w:jc w:val="center"/>
              <w:rPr>
                <w:rFonts w:ascii="Calibri" w:hAnsi="Calibri" w:cs="Calibri"/>
                <w:color w:val="000000"/>
              </w:rPr>
            </w:pPr>
            <w:r>
              <w:rPr>
                <w:rFonts w:ascii="Calibri" w:hAnsi="Calibri" w:cs="Calibri"/>
                <w:color w:val="000000"/>
              </w:rPr>
              <w:t>44.64</w:t>
            </w:r>
          </w:p>
        </w:tc>
        <w:tc>
          <w:tcPr>
            <w:tcW w:w="2070" w:type="dxa"/>
            <w:shd w:val="clear" w:color="auto" w:fill="auto"/>
            <w:noWrap/>
            <w:vAlign w:val="bottom"/>
          </w:tcPr>
          <w:p w14:paraId="36B55BA0" w14:textId="645EFB1F" w:rsidR="00A8004E" w:rsidRDefault="00A8004E" w:rsidP="00A8004E">
            <w:pPr>
              <w:spacing w:after="0" w:line="240" w:lineRule="auto"/>
              <w:jc w:val="right"/>
              <w:rPr>
                <w:rFonts w:ascii="Calibri" w:hAnsi="Calibri" w:cs="Calibri"/>
                <w:color w:val="000000"/>
              </w:rPr>
            </w:pPr>
            <w:r>
              <w:rPr>
                <w:rFonts w:ascii="Calibri" w:hAnsi="Calibri" w:cs="Calibri"/>
                <w:color w:val="000000"/>
              </w:rPr>
              <w:t>184500</w:t>
            </w:r>
          </w:p>
        </w:tc>
      </w:tr>
      <w:tr w:rsidR="00A8004E" w:rsidRPr="00C778A3" w14:paraId="62A53E83" w14:textId="77777777" w:rsidTr="00A30D2D">
        <w:trPr>
          <w:trHeight w:val="300"/>
        </w:trPr>
        <w:tc>
          <w:tcPr>
            <w:tcW w:w="2875" w:type="dxa"/>
            <w:shd w:val="clear" w:color="auto" w:fill="auto"/>
            <w:noWrap/>
            <w:vAlign w:val="bottom"/>
          </w:tcPr>
          <w:p w14:paraId="205CEAE7" w14:textId="2AD4B538"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Hippodamia convergens</w:t>
            </w:r>
          </w:p>
        </w:tc>
        <w:tc>
          <w:tcPr>
            <w:tcW w:w="2160" w:type="dxa"/>
            <w:shd w:val="clear" w:color="auto" w:fill="auto"/>
            <w:noWrap/>
            <w:vAlign w:val="bottom"/>
          </w:tcPr>
          <w:p w14:paraId="27AC665A" w14:textId="3D3900D5" w:rsidR="00A8004E" w:rsidRDefault="00A8004E" w:rsidP="00A8004E">
            <w:pPr>
              <w:spacing w:after="0" w:line="240" w:lineRule="auto"/>
              <w:jc w:val="center"/>
              <w:rPr>
                <w:rFonts w:ascii="Calibri" w:hAnsi="Calibri" w:cs="Calibri"/>
                <w:color w:val="000000"/>
              </w:rPr>
            </w:pPr>
            <w:r>
              <w:rPr>
                <w:rFonts w:ascii="Calibri" w:hAnsi="Calibri" w:cs="Calibri"/>
                <w:color w:val="000000"/>
              </w:rPr>
              <w:t>0.40</w:t>
            </w:r>
          </w:p>
        </w:tc>
        <w:tc>
          <w:tcPr>
            <w:tcW w:w="2070" w:type="dxa"/>
            <w:shd w:val="clear" w:color="auto" w:fill="auto"/>
            <w:noWrap/>
            <w:vAlign w:val="bottom"/>
          </w:tcPr>
          <w:p w14:paraId="1BDF5AA5" w14:textId="4EE1BCE6" w:rsidR="00A8004E" w:rsidRDefault="00A8004E" w:rsidP="00A8004E">
            <w:pPr>
              <w:spacing w:after="0" w:line="240" w:lineRule="auto"/>
              <w:jc w:val="right"/>
              <w:rPr>
                <w:rFonts w:ascii="Calibri" w:hAnsi="Calibri" w:cs="Calibri"/>
                <w:color w:val="000000"/>
              </w:rPr>
            </w:pPr>
            <w:r>
              <w:rPr>
                <w:rFonts w:ascii="Calibri" w:hAnsi="Calibri" w:cs="Calibri"/>
                <w:color w:val="000000"/>
              </w:rPr>
              <w:t>64700</w:t>
            </w:r>
          </w:p>
        </w:tc>
      </w:tr>
      <w:tr w:rsidR="00A8004E" w:rsidRPr="00C778A3" w14:paraId="70638079" w14:textId="77777777" w:rsidTr="00A30D2D">
        <w:trPr>
          <w:trHeight w:val="300"/>
        </w:trPr>
        <w:tc>
          <w:tcPr>
            <w:tcW w:w="2875" w:type="dxa"/>
            <w:shd w:val="clear" w:color="auto" w:fill="auto"/>
            <w:noWrap/>
            <w:vAlign w:val="bottom"/>
          </w:tcPr>
          <w:p w14:paraId="02642444" w14:textId="4518B55F"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Hippodamia variegata</w:t>
            </w:r>
          </w:p>
        </w:tc>
        <w:tc>
          <w:tcPr>
            <w:tcW w:w="2160" w:type="dxa"/>
            <w:shd w:val="clear" w:color="auto" w:fill="auto"/>
            <w:noWrap/>
            <w:vAlign w:val="bottom"/>
          </w:tcPr>
          <w:p w14:paraId="56CFF51B" w14:textId="5FF2D3FA" w:rsidR="00A8004E" w:rsidRDefault="00A8004E" w:rsidP="00A8004E">
            <w:pPr>
              <w:spacing w:after="0" w:line="240" w:lineRule="auto"/>
              <w:jc w:val="center"/>
              <w:rPr>
                <w:rFonts w:ascii="Calibri" w:hAnsi="Calibri" w:cs="Calibri"/>
                <w:color w:val="000000"/>
              </w:rPr>
            </w:pPr>
            <w:r>
              <w:rPr>
                <w:rFonts w:ascii="Calibri" w:hAnsi="Calibri" w:cs="Calibri"/>
                <w:color w:val="000000"/>
              </w:rPr>
              <w:t>1.27</w:t>
            </w:r>
          </w:p>
        </w:tc>
        <w:tc>
          <w:tcPr>
            <w:tcW w:w="2070" w:type="dxa"/>
            <w:shd w:val="clear" w:color="auto" w:fill="auto"/>
            <w:noWrap/>
            <w:vAlign w:val="bottom"/>
          </w:tcPr>
          <w:p w14:paraId="02FAF3B1" w14:textId="01BB0F31" w:rsidR="00A8004E" w:rsidRDefault="00A8004E" w:rsidP="00A8004E">
            <w:pPr>
              <w:spacing w:after="0" w:line="240" w:lineRule="auto"/>
              <w:jc w:val="right"/>
              <w:rPr>
                <w:rFonts w:ascii="Calibri" w:hAnsi="Calibri" w:cs="Calibri"/>
                <w:color w:val="000000"/>
              </w:rPr>
            </w:pPr>
            <w:r>
              <w:rPr>
                <w:rFonts w:ascii="Calibri" w:hAnsi="Calibri" w:cs="Calibri"/>
                <w:color w:val="000000"/>
              </w:rPr>
              <w:t>184106</w:t>
            </w:r>
          </w:p>
        </w:tc>
      </w:tr>
      <w:tr w:rsidR="00A8004E" w:rsidRPr="00C778A3" w14:paraId="7820F238" w14:textId="77777777" w:rsidTr="00A30D2D">
        <w:trPr>
          <w:trHeight w:val="300"/>
        </w:trPr>
        <w:tc>
          <w:tcPr>
            <w:tcW w:w="2875" w:type="dxa"/>
            <w:shd w:val="clear" w:color="auto" w:fill="auto"/>
            <w:noWrap/>
            <w:vAlign w:val="bottom"/>
          </w:tcPr>
          <w:p w14:paraId="20F48B03" w14:textId="00427776" w:rsidR="00A8004E" w:rsidRPr="002740EC" w:rsidRDefault="00A8004E" w:rsidP="00A8004E">
            <w:pPr>
              <w:spacing w:after="0" w:line="240" w:lineRule="auto"/>
              <w:rPr>
                <w:rFonts w:ascii="Calibri" w:hAnsi="Calibri" w:cs="Calibri"/>
                <w:b/>
                <w:bCs/>
                <w:i/>
                <w:iCs/>
                <w:color w:val="000000"/>
              </w:rPr>
            </w:pPr>
            <w:r w:rsidRPr="002740EC">
              <w:rPr>
                <w:rFonts w:ascii="Calibri" w:hAnsi="Calibri" w:cs="Calibri"/>
                <w:b/>
                <w:bCs/>
                <w:color w:val="000000"/>
              </w:rPr>
              <w:t>Melipona scutellaris</w:t>
            </w:r>
          </w:p>
        </w:tc>
        <w:tc>
          <w:tcPr>
            <w:tcW w:w="2160" w:type="dxa"/>
            <w:shd w:val="clear" w:color="auto" w:fill="auto"/>
            <w:noWrap/>
            <w:vAlign w:val="bottom"/>
          </w:tcPr>
          <w:p w14:paraId="6085C40F" w14:textId="10EDA73D" w:rsidR="00A8004E" w:rsidRPr="002740EC" w:rsidRDefault="00A8004E" w:rsidP="00A8004E">
            <w:pPr>
              <w:spacing w:after="0" w:line="240" w:lineRule="auto"/>
              <w:jc w:val="center"/>
              <w:rPr>
                <w:rFonts w:ascii="Calibri" w:hAnsi="Calibri" w:cs="Calibri"/>
                <w:b/>
                <w:bCs/>
                <w:color w:val="000000"/>
              </w:rPr>
            </w:pPr>
            <w:r w:rsidRPr="002740EC">
              <w:rPr>
                <w:rFonts w:ascii="Calibri" w:hAnsi="Calibri" w:cs="Calibri"/>
                <w:b/>
                <w:bCs/>
                <w:color w:val="000000"/>
              </w:rPr>
              <w:t>0.013</w:t>
            </w:r>
          </w:p>
        </w:tc>
        <w:tc>
          <w:tcPr>
            <w:tcW w:w="2070" w:type="dxa"/>
            <w:shd w:val="clear" w:color="auto" w:fill="auto"/>
            <w:noWrap/>
            <w:vAlign w:val="bottom"/>
          </w:tcPr>
          <w:p w14:paraId="06BF68B7" w14:textId="08359092" w:rsidR="00A8004E" w:rsidRPr="002740EC" w:rsidRDefault="00A8004E" w:rsidP="00A8004E">
            <w:pPr>
              <w:spacing w:after="0" w:line="240" w:lineRule="auto"/>
              <w:jc w:val="right"/>
              <w:rPr>
                <w:rFonts w:ascii="Calibri" w:hAnsi="Calibri" w:cs="Calibri"/>
                <w:b/>
                <w:bCs/>
                <w:color w:val="000000"/>
              </w:rPr>
            </w:pPr>
            <w:r w:rsidRPr="002740EC">
              <w:rPr>
                <w:rFonts w:ascii="Calibri" w:hAnsi="Calibri" w:cs="Calibri"/>
                <w:b/>
                <w:bCs/>
                <w:color w:val="000000"/>
              </w:rPr>
              <w:t>184470</w:t>
            </w:r>
          </w:p>
        </w:tc>
      </w:tr>
      <w:tr w:rsidR="00A8004E" w:rsidRPr="00C778A3" w14:paraId="07819CE1" w14:textId="77777777" w:rsidTr="00A30D2D">
        <w:trPr>
          <w:trHeight w:val="300"/>
        </w:trPr>
        <w:tc>
          <w:tcPr>
            <w:tcW w:w="2875" w:type="dxa"/>
            <w:shd w:val="clear" w:color="auto" w:fill="auto"/>
            <w:noWrap/>
            <w:vAlign w:val="bottom"/>
          </w:tcPr>
          <w:p w14:paraId="5BFEEC29" w14:textId="09F7EA37"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Nasonia vitripennis</w:t>
            </w:r>
          </w:p>
        </w:tc>
        <w:tc>
          <w:tcPr>
            <w:tcW w:w="2160" w:type="dxa"/>
            <w:shd w:val="clear" w:color="auto" w:fill="auto"/>
            <w:noWrap/>
            <w:vAlign w:val="bottom"/>
          </w:tcPr>
          <w:p w14:paraId="5DB6BD34" w14:textId="06E0E3CD" w:rsidR="00A8004E" w:rsidRDefault="00A8004E" w:rsidP="00A8004E">
            <w:pPr>
              <w:spacing w:after="0" w:line="240" w:lineRule="auto"/>
              <w:jc w:val="center"/>
              <w:rPr>
                <w:rFonts w:ascii="Calibri" w:hAnsi="Calibri" w:cs="Calibri"/>
                <w:color w:val="000000"/>
              </w:rPr>
            </w:pPr>
            <w:r>
              <w:rPr>
                <w:rFonts w:ascii="Calibri" w:hAnsi="Calibri" w:cs="Calibri"/>
                <w:color w:val="000000"/>
              </w:rPr>
              <w:t>0.029</w:t>
            </w:r>
          </w:p>
        </w:tc>
        <w:tc>
          <w:tcPr>
            <w:tcW w:w="2070" w:type="dxa"/>
            <w:shd w:val="clear" w:color="auto" w:fill="auto"/>
            <w:noWrap/>
            <w:vAlign w:val="bottom"/>
          </w:tcPr>
          <w:p w14:paraId="46856BB3" w14:textId="7C8FDC34" w:rsidR="00A8004E" w:rsidRDefault="00A8004E" w:rsidP="00A8004E">
            <w:pPr>
              <w:spacing w:after="0" w:line="240" w:lineRule="auto"/>
              <w:jc w:val="right"/>
              <w:rPr>
                <w:rFonts w:ascii="Calibri" w:hAnsi="Calibri" w:cs="Calibri"/>
                <w:color w:val="000000"/>
              </w:rPr>
            </w:pPr>
            <w:r>
              <w:rPr>
                <w:rFonts w:ascii="Calibri" w:hAnsi="Calibri" w:cs="Calibri"/>
                <w:color w:val="000000"/>
              </w:rPr>
              <w:t>184317</w:t>
            </w:r>
          </w:p>
        </w:tc>
      </w:tr>
      <w:tr w:rsidR="00A8004E" w:rsidRPr="00C778A3" w14:paraId="7DA35E07" w14:textId="77777777" w:rsidTr="00A30D2D">
        <w:trPr>
          <w:trHeight w:val="300"/>
        </w:trPr>
        <w:tc>
          <w:tcPr>
            <w:tcW w:w="2875" w:type="dxa"/>
            <w:shd w:val="clear" w:color="auto" w:fill="auto"/>
            <w:noWrap/>
            <w:vAlign w:val="bottom"/>
          </w:tcPr>
          <w:p w14:paraId="7BBCC9B3" w14:textId="35FFA197"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Osmia cornifrons</w:t>
            </w:r>
          </w:p>
        </w:tc>
        <w:tc>
          <w:tcPr>
            <w:tcW w:w="2160" w:type="dxa"/>
            <w:shd w:val="clear" w:color="auto" w:fill="auto"/>
            <w:noWrap/>
            <w:vAlign w:val="bottom"/>
          </w:tcPr>
          <w:p w14:paraId="1492CD4B" w14:textId="2AE6EA82" w:rsidR="00A8004E" w:rsidRDefault="00A8004E" w:rsidP="00A8004E">
            <w:pPr>
              <w:spacing w:after="0" w:line="240" w:lineRule="auto"/>
              <w:jc w:val="center"/>
              <w:rPr>
                <w:rFonts w:ascii="Calibri" w:hAnsi="Calibri" w:cs="Calibri"/>
                <w:color w:val="000000"/>
              </w:rPr>
            </w:pPr>
            <w:r>
              <w:rPr>
                <w:rFonts w:ascii="Calibri" w:hAnsi="Calibri" w:cs="Calibri"/>
                <w:color w:val="000000"/>
              </w:rPr>
              <w:t>7.60</w:t>
            </w:r>
          </w:p>
        </w:tc>
        <w:tc>
          <w:tcPr>
            <w:tcW w:w="2070" w:type="dxa"/>
            <w:shd w:val="clear" w:color="auto" w:fill="auto"/>
            <w:noWrap/>
            <w:vAlign w:val="bottom"/>
          </w:tcPr>
          <w:p w14:paraId="5EDA740F" w14:textId="77BF5018" w:rsidR="00A8004E" w:rsidRDefault="00A8004E" w:rsidP="00A8004E">
            <w:pPr>
              <w:spacing w:after="0" w:line="240" w:lineRule="auto"/>
              <w:jc w:val="right"/>
              <w:rPr>
                <w:rFonts w:ascii="Calibri" w:hAnsi="Calibri" w:cs="Calibri"/>
                <w:color w:val="000000"/>
              </w:rPr>
            </w:pPr>
            <w:r>
              <w:rPr>
                <w:rFonts w:ascii="Calibri" w:hAnsi="Calibri" w:cs="Calibri"/>
                <w:color w:val="000000"/>
              </w:rPr>
              <w:t>168903</w:t>
            </w:r>
          </w:p>
        </w:tc>
      </w:tr>
      <w:tr w:rsidR="00A8004E" w:rsidRPr="00C778A3" w14:paraId="549427EE" w14:textId="77777777" w:rsidTr="00A30D2D">
        <w:trPr>
          <w:trHeight w:val="300"/>
        </w:trPr>
        <w:tc>
          <w:tcPr>
            <w:tcW w:w="2875" w:type="dxa"/>
            <w:shd w:val="clear" w:color="auto" w:fill="auto"/>
            <w:noWrap/>
            <w:vAlign w:val="bottom"/>
          </w:tcPr>
          <w:p w14:paraId="5D5B0C1F" w14:textId="0170A4E1"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Plutella xylostella</w:t>
            </w:r>
          </w:p>
        </w:tc>
        <w:tc>
          <w:tcPr>
            <w:tcW w:w="2160" w:type="dxa"/>
            <w:shd w:val="clear" w:color="auto" w:fill="auto"/>
            <w:noWrap/>
            <w:vAlign w:val="bottom"/>
          </w:tcPr>
          <w:p w14:paraId="08ECFAE0" w14:textId="5971FE77" w:rsidR="00A8004E" w:rsidRDefault="00A8004E" w:rsidP="00A8004E">
            <w:pPr>
              <w:spacing w:after="0" w:line="240" w:lineRule="auto"/>
              <w:jc w:val="center"/>
              <w:rPr>
                <w:rFonts w:ascii="Calibri" w:hAnsi="Calibri" w:cs="Calibri"/>
                <w:color w:val="000000"/>
              </w:rPr>
            </w:pPr>
            <w:r>
              <w:rPr>
                <w:rFonts w:ascii="Calibri" w:hAnsi="Calibri" w:cs="Calibri"/>
                <w:color w:val="000000"/>
              </w:rPr>
              <w:t>28.40</w:t>
            </w:r>
          </w:p>
        </w:tc>
        <w:tc>
          <w:tcPr>
            <w:tcW w:w="2070" w:type="dxa"/>
            <w:shd w:val="clear" w:color="auto" w:fill="auto"/>
            <w:noWrap/>
            <w:vAlign w:val="bottom"/>
          </w:tcPr>
          <w:p w14:paraId="06610F49" w14:textId="053BF3F3" w:rsidR="00A8004E" w:rsidRDefault="00A8004E" w:rsidP="00A8004E">
            <w:pPr>
              <w:spacing w:after="0" w:line="240" w:lineRule="auto"/>
              <w:jc w:val="right"/>
              <w:rPr>
                <w:rFonts w:ascii="Calibri" w:hAnsi="Calibri" w:cs="Calibri"/>
                <w:color w:val="000000"/>
              </w:rPr>
            </w:pPr>
            <w:r>
              <w:rPr>
                <w:rFonts w:ascii="Calibri" w:hAnsi="Calibri" w:cs="Calibri"/>
                <w:color w:val="000000"/>
              </w:rPr>
              <w:t>103261</w:t>
            </w:r>
          </w:p>
        </w:tc>
      </w:tr>
      <w:tr w:rsidR="00A8004E" w:rsidRPr="00C778A3" w14:paraId="193D3629" w14:textId="77777777" w:rsidTr="00A30D2D">
        <w:trPr>
          <w:trHeight w:val="300"/>
        </w:trPr>
        <w:tc>
          <w:tcPr>
            <w:tcW w:w="2875" w:type="dxa"/>
            <w:shd w:val="clear" w:color="auto" w:fill="auto"/>
            <w:noWrap/>
            <w:vAlign w:val="bottom"/>
          </w:tcPr>
          <w:p w14:paraId="63D9CF46" w14:textId="680A729D"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Plutella xylostella</w:t>
            </w:r>
          </w:p>
        </w:tc>
        <w:tc>
          <w:tcPr>
            <w:tcW w:w="2160" w:type="dxa"/>
            <w:shd w:val="clear" w:color="auto" w:fill="auto"/>
            <w:noWrap/>
            <w:vAlign w:val="bottom"/>
          </w:tcPr>
          <w:p w14:paraId="35F193F0" w14:textId="73DBD9DB" w:rsidR="00A8004E" w:rsidRDefault="00A8004E" w:rsidP="00A8004E">
            <w:pPr>
              <w:spacing w:after="0" w:line="240" w:lineRule="auto"/>
              <w:jc w:val="center"/>
              <w:rPr>
                <w:rFonts w:ascii="Calibri" w:hAnsi="Calibri" w:cs="Calibri"/>
                <w:color w:val="000000"/>
              </w:rPr>
            </w:pPr>
            <w:r>
              <w:rPr>
                <w:rFonts w:ascii="Calibri" w:hAnsi="Calibri" w:cs="Calibri"/>
                <w:color w:val="000000"/>
              </w:rPr>
              <w:t>40.70</w:t>
            </w:r>
          </w:p>
        </w:tc>
        <w:tc>
          <w:tcPr>
            <w:tcW w:w="2070" w:type="dxa"/>
            <w:shd w:val="clear" w:color="auto" w:fill="auto"/>
            <w:noWrap/>
            <w:vAlign w:val="bottom"/>
          </w:tcPr>
          <w:p w14:paraId="0FC52586" w14:textId="5441AB2E" w:rsidR="00A8004E" w:rsidRDefault="00A8004E" w:rsidP="00A8004E">
            <w:pPr>
              <w:spacing w:after="0" w:line="240" w:lineRule="auto"/>
              <w:jc w:val="right"/>
              <w:rPr>
                <w:rFonts w:ascii="Calibri" w:hAnsi="Calibri" w:cs="Calibri"/>
                <w:color w:val="000000"/>
              </w:rPr>
            </w:pPr>
            <w:r>
              <w:rPr>
                <w:rFonts w:ascii="Calibri" w:hAnsi="Calibri" w:cs="Calibri"/>
                <w:color w:val="000000"/>
              </w:rPr>
              <w:t>103261</w:t>
            </w:r>
          </w:p>
        </w:tc>
      </w:tr>
      <w:tr w:rsidR="00A8004E" w:rsidRPr="00C778A3" w14:paraId="122630C4" w14:textId="77777777" w:rsidTr="00A30D2D">
        <w:trPr>
          <w:trHeight w:val="300"/>
        </w:trPr>
        <w:tc>
          <w:tcPr>
            <w:tcW w:w="2875" w:type="dxa"/>
            <w:shd w:val="clear" w:color="auto" w:fill="auto"/>
            <w:noWrap/>
            <w:vAlign w:val="bottom"/>
          </w:tcPr>
          <w:p w14:paraId="4D2D6998" w14:textId="7650F107"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Scaptotrigona postica</w:t>
            </w:r>
          </w:p>
        </w:tc>
        <w:tc>
          <w:tcPr>
            <w:tcW w:w="2160" w:type="dxa"/>
            <w:shd w:val="clear" w:color="auto" w:fill="auto"/>
            <w:noWrap/>
            <w:vAlign w:val="bottom"/>
          </w:tcPr>
          <w:p w14:paraId="6238CAC7" w14:textId="1A3B9A46" w:rsidR="00A8004E" w:rsidRDefault="00A8004E" w:rsidP="00A8004E">
            <w:pPr>
              <w:spacing w:after="0" w:line="240" w:lineRule="auto"/>
              <w:jc w:val="center"/>
              <w:rPr>
                <w:rFonts w:ascii="Calibri" w:hAnsi="Calibri" w:cs="Calibri"/>
                <w:color w:val="000000"/>
              </w:rPr>
            </w:pPr>
            <w:r>
              <w:rPr>
                <w:rFonts w:ascii="Calibri" w:hAnsi="Calibri" w:cs="Calibri"/>
                <w:color w:val="000000"/>
              </w:rPr>
              <w:t>0.82</w:t>
            </w:r>
          </w:p>
        </w:tc>
        <w:tc>
          <w:tcPr>
            <w:tcW w:w="2070" w:type="dxa"/>
            <w:shd w:val="clear" w:color="auto" w:fill="auto"/>
            <w:noWrap/>
            <w:vAlign w:val="bottom"/>
          </w:tcPr>
          <w:p w14:paraId="37C816F9" w14:textId="7B9A254D" w:rsidR="00A8004E" w:rsidRDefault="00A8004E" w:rsidP="00A8004E">
            <w:pPr>
              <w:spacing w:after="0" w:line="240" w:lineRule="auto"/>
              <w:jc w:val="right"/>
              <w:rPr>
                <w:rFonts w:ascii="Calibri" w:hAnsi="Calibri" w:cs="Calibri"/>
                <w:color w:val="000000"/>
              </w:rPr>
            </w:pPr>
            <w:r>
              <w:rPr>
                <w:rFonts w:ascii="Calibri" w:hAnsi="Calibri" w:cs="Calibri"/>
                <w:color w:val="000000"/>
              </w:rPr>
              <w:t>184463</w:t>
            </w:r>
          </w:p>
        </w:tc>
      </w:tr>
      <w:tr w:rsidR="00A8004E" w:rsidRPr="00C778A3" w14:paraId="14B89428" w14:textId="77777777" w:rsidTr="00A30D2D">
        <w:trPr>
          <w:trHeight w:val="300"/>
        </w:trPr>
        <w:tc>
          <w:tcPr>
            <w:tcW w:w="2875" w:type="dxa"/>
            <w:shd w:val="clear" w:color="auto" w:fill="auto"/>
            <w:noWrap/>
            <w:vAlign w:val="bottom"/>
          </w:tcPr>
          <w:p w14:paraId="0830D985" w14:textId="6395EBD0"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Toxoneuron nigriceps</w:t>
            </w:r>
          </w:p>
        </w:tc>
        <w:tc>
          <w:tcPr>
            <w:tcW w:w="2160" w:type="dxa"/>
            <w:shd w:val="clear" w:color="auto" w:fill="auto"/>
            <w:noWrap/>
            <w:vAlign w:val="bottom"/>
          </w:tcPr>
          <w:p w14:paraId="55157BA9" w14:textId="098479AF" w:rsidR="00A8004E" w:rsidRDefault="00A8004E" w:rsidP="00A8004E">
            <w:pPr>
              <w:spacing w:after="0" w:line="240" w:lineRule="auto"/>
              <w:jc w:val="center"/>
              <w:rPr>
                <w:rFonts w:ascii="Calibri" w:hAnsi="Calibri" w:cs="Calibri"/>
                <w:color w:val="000000"/>
              </w:rPr>
            </w:pPr>
            <w:r>
              <w:rPr>
                <w:rFonts w:ascii="Calibri" w:hAnsi="Calibri" w:cs="Calibri"/>
                <w:color w:val="000000"/>
              </w:rPr>
              <w:t>50.60</w:t>
            </w:r>
          </w:p>
        </w:tc>
        <w:tc>
          <w:tcPr>
            <w:tcW w:w="2070" w:type="dxa"/>
            <w:shd w:val="clear" w:color="auto" w:fill="auto"/>
            <w:noWrap/>
            <w:vAlign w:val="bottom"/>
          </w:tcPr>
          <w:p w14:paraId="3435F303" w14:textId="3A3CF05D" w:rsidR="00A8004E" w:rsidRDefault="00A8004E" w:rsidP="00A8004E">
            <w:pPr>
              <w:spacing w:after="0" w:line="240" w:lineRule="auto"/>
              <w:jc w:val="right"/>
              <w:rPr>
                <w:rFonts w:ascii="Calibri" w:hAnsi="Calibri" w:cs="Calibri"/>
                <w:color w:val="000000"/>
              </w:rPr>
            </w:pPr>
            <w:r>
              <w:rPr>
                <w:rFonts w:ascii="Calibri" w:hAnsi="Calibri" w:cs="Calibri"/>
                <w:color w:val="000000"/>
              </w:rPr>
              <w:t>184372</w:t>
            </w:r>
          </w:p>
        </w:tc>
      </w:tr>
      <w:tr w:rsidR="00A8004E" w:rsidRPr="00C778A3" w14:paraId="78E9C8B2" w14:textId="77777777" w:rsidTr="00A30D2D">
        <w:trPr>
          <w:trHeight w:val="300"/>
        </w:trPr>
        <w:tc>
          <w:tcPr>
            <w:tcW w:w="2875" w:type="dxa"/>
            <w:shd w:val="clear" w:color="auto" w:fill="auto"/>
            <w:noWrap/>
            <w:vAlign w:val="bottom"/>
          </w:tcPr>
          <w:p w14:paraId="272C5C1D" w14:textId="4EDDE5B1" w:rsidR="00A8004E" w:rsidRPr="009B29E7" w:rsidRDefault="00A8004E" w:rsidP="00A8004E">
            <w:pPr>
              <w:spacing w:after="0" w:line="240" w:lineRule="auto"/>
              <w:rPr>
                <w:rFonts w:ascii="Calibri" w:hAnsi="Calibri" w:cs="Calibri"/>
                <w:i/>
                <w:iCs/>
                <w:color w:val="000000"/>
              </w:rPr>
            </w:pPr>
            <w:r>
              <w:rPr>
                <w:rFonts w:ascii="Calibri" w:hAnsi="Calibri" w:cs="Calibri"/>
                <w:color w:val="000000"/>
              </w:rPr>
              <w:t>Toxoneuron nigriceps</w:t>
            </w:r>
          </w:p>
        </w:tc>
        <w:tc>
          <w:tcPr>
            <w:tcW w:w="2160" w:type="dxa"/>
            <w:shd w:val="clear" w:color="auto" w:fill="auto"/>
            <w:noWrap/>
            <w:vAlign w:val="bottom"/>
          </w:tcPr>
          <w:p w14:paraId="6BD6790F" w14:textId="31C1A333" w:rsidR="00A8004E" w:rsidRDefault="00A8004E" w:rsidP="00A8004E">
            <w:pPr>
              <w:spacing w:after="0" w:line="240" w:lineRule="auto"/>
              <w:jc w:val="center"/>
              <w:rPr>
                <w:rFonts w:ascii="Calibri" w:hAnsi="Calibri" w:cs="Calibri"/>
                <w:color w:val="000000"/>
              </w:rPr>
            </w:pPr>
            <w:r>
              <w:rPr>
                <w:rFonts w:ascii="Calibri" w:hAnsi="Calibri" w:cs="Calibri"/>
                <w:color w:val="000000"/>
              </w:rPr>
              <w:t>50.80</w:t>
            </w:r>
          </w:p>
        </w:tc>
        <w:tc>
          <w:tcPr>
            <w:tcW w:w="2070" w:type="dxa"/>
            <w:shd w:val="clear" w:color="auto" w:fill="auto"/>
            <w:noWrap/>
            <w:vAlign w:val="bottom"/>
          </w:tcPr>
          <w:p w14:paraId="1DEF1AF4" w14:textId="6C9EA494" w:rsidR="00A8004E" w:rsidRDefault="00A8004E" w:rsidP="00A8004E">
            <w:pPr>
              <w:spacing w:after="0" w:line="240" w:lineRule="auto"/>
              <w:jc w:val="right"/>
              <w:rPr>
                <w:rFonts w:ascii="Calibri" w:hAnsi="Calibri" w:cs="Calibri"/>
                <w:color w:val="000000"/>
              </w:rPr>
            </w:pPr>
            <w:r>
              <w:rPr>
                <w:rFonts w:ascii="Calibri" w:hAnsi="Calibri" w:cs="Calibri"/>
                <w:color w:val="000000"/>
              </w:rPr>
              <w:t>184372</w:t>
            </w:r>
          </w:p>
        </w:tc>
      </w:tr>
    </w:tbl>
    <w:p w14:paraId="2AE7F4D1" w14:textId="77777777" w:rsidR="002740EC" w:rsidRPr="002740EC" w:rsidRDefault="002740EC" w:rsidP="002740EC">
      <w:pPr>
        <w:keepNext/>
        <w:keepLines/>
        <w:spacing w:after="0" w:line="240" w:lineRule="auto"/>
        <w:rPr>
          <w:b/>
          <w:sz w:val="20"/>
          <w:szCs w:val="20"/>
        </w:rPr>
      </w:pPr>
      <w:r w:rsidRPr="002740EC">
        <w:rPr>
          <w:b/>
          <w:sz w:val="20"/>
          <w:szCs w:val="20"/>
        </w:rPr>
        <w:t xml:space="preserve">Bold </w:t>
      </w:r>
      <w:r w:rsidRPr="002740EC">
        <w:rPr>
          <w:bCs/>
          <w:sz w:val="20"/>
          <w:szCs w:val="20"/>
        </w:rPr>
        <w:t>information indicates data for the most sensitive tested</w:t>
      </w:r>
      <w:r w:rsidRPr="002740EC">
        <w:rPr>
          <w:b/>
          <w:sz w:val="20"/>
          <w:szCs w:val="20"/>
        </w:rPr>
        <w:t xml:space="preserve"> </w:t>
      </w:r>
      <w:r w:rsidRPr="002740EC">
        <w:rPr>
          <w:bCs/>
          <w:sz w:val="20"/>
          <w:szCs w:val="20"/>
        </w:rPr>
        <w:t>species</w:t>
      </w:r>
    </w:p>
    <w:p w14:paraId="6A85F3EE" w14:textId="77777777" w:rsidR="004A5B4B" w:rsidRDefault="004A5B4B" w:rsidP="00C74ECB">
      <w:pPr>
        <w:spacing w:after="0" w:line="240" w:lineRule="auto"/>
        <w:rPr>
          <w:rFonts w:ascii="Calibri" w:hAnsi="Calibri"/>
        </w:rPr>
      </w:pPr>
    </w:p>
    <w:p w14:paraId="4677F495" w14:textId="77777777" w:rsidR="00AF7613" w:rsidRPr="0046077F" w:rsidRDefault="00AF7613" w:rsidP="00AF7613">
      <w:pPr>
        <w:pStyle w:val="Heading1"/>
        <w:spacing w:before="0"/>
        <w:rPr>
          <w:b/>
          <w:bCs/>
        </w:rPr>
      </w:pPr>
      <w:r w:rsidRPr="0046077F">
        <w:rPr>
          <w:b/>
          <w:bCs/>
        </w:rPr>
        <w:t>D</w:t>
      </w:r>
      <w:r>
        <w:rPr>
          <w:b/>
          <w:bCs/>
        </w:rPr>
        <w:t>etermining d</w:t>
      </w:r>
      <w:r w:rsidRPr="0046077F">
        <w:rPr>
          <w:b/>
          <w:bCs/>
        </w:rPr>
        <w:t>istributions</w:t>
      </w:r>
      <w:r>
        <w:rPr>
          <w:b/>
          <w:bCs/>
        </w:rPr>
        <w:t xml:space="preserve"> with best </w:t>
      </w:r>
      <w:r w:rsidRPr="0046077F">
        <w:rPr>
          <w:b/>
          <w:bCs/>
        </w:rPr>
        <w:t>fit</w:t>
      </w:r>
      <w:r>
        <w:rPr>
          <w:b/>
          <w:bCs/>
        </w:rPr>
        <w:t xml:space="preserve"> </w:t>
      </w:r>
    </w:p>
    <w:p w14:paraId="1752725B" w14:textId="77777777" w:rsidR="009F5BE6" w:rsidRDefault="009F5BE6" w:rsidP="00C74ECB">
      <w:pPr>
        <w:spacing w:after="0" w:line="240" w:lineRule="auto"/>
      </w:pPr>
    </w:p>
    <w:p w14:paraId="2BF31761" w14:textId="3017DF24" w:rsidR="00EE7BDB" w:rsidRDefault="00540285" w:rsidP="00EE7BDB">
      <w:pPr>
        <w:spacing w:after="0" w:line="240" w:lineRule="auto"/>
      </w:pPr>
      <w:r>
        <w:t>Five</w:t>
      </w:r>
      <w:r w:rsidR="00C74ECB" w:rsidRPr="00202BA7">
        <w:t xml:space="preserve"> potential distributions for the </w:t>
      </w:r>
      <w:r w:rsidR="00202BA7" w:rsidRPr="00202BA7">
        <w:t>imidacloprid</w:t>
      </w:r>
      <w:r w:rsidR="00C74ECB" w:rsidRPr="00202BA7">
        <w:t xml:space="preserve"> data were considered (normal, logistic, triangular, gumbel</w:t>
      </w:r>
      <w:r w:rsidR="001E39CE" w:rsidRPr="00202BA7">
        <w:t xml:space="preserve"> and </w:t>
      </w:r>
      <w:r w:rsidR="001E39CE" w:rsidRPr="006A41EC">
        <w:t>burr</w:t>
      </w:r>
      <w:r w:rsidR="00C74ECB" w:rsidRPr="006A41EC">
        <w:t xml:space="preserve">). To fit each of the </w:t>
      </w:r>
      <w:r w:rsidR="00A30D2D">
        <w:t>five</w:t>
      </w:r>
      <w:r w:rsidR="00C74ECB" w:rsidRPr="006A41EC">
        <w:t xml:space="preserve"> distributions, the toxicity values were common log (log</w:t>
      </w:r>
      <w:r w:rsidR="00C74ECB" w:rsidRPr="006A41EC">
        <w:rPr>
          <w:vertAlign w:val="subscript"/>
        </w:rPr>
        <w:t>10</w:t>
      </w:r>
      <w:r w:rsidR="00C74ECB" w:rsidRPr="006A41EC">
        <w:t xml:space="preserve">) transformed. </w:t>
      </w:r>
      <w:r w:rsidR="007C2708" w:rsidRPr="00202BA7">
        <w:t xml:space="preserve">All </w:t>
      </w:r>
      <w:r w:rsidR="00A30D2D">
        <w:t>five</w:t>
      </w:r>
      <w:r w:rsidR="007C2708" w:rsidRPr="00202BA7">
        <w:t xml:space="preserve"> distributions were fit using the maximum likelihood</w:t>
      </w:r>
      <w:r w:rsidR="00600CFC" w:rsidRPr="00202BA7">
        <w:t xml:space="preserve"> (ML)</w:t>
      </w:r>
      <w:r w:rsidR="007C2708" w:rsidRPr="00202BA7">
        <w:t xml:space="preserve"> method. </w:t>
      </w:r>
      <w:r w:rsidR="00EE7BDB" w:rsidRPr="00202BA7">
        <w:t xml:space="preserve">To test goodness-of-fit, all </w:t>
      </w:r>
      <w:r w:rsidR="00A30D2D">
        <w:t>five</w:t>
      </w:r>
      <w:r w:rsidR="00EE7BDB" w:rsidRPr="00202BA7">
        <w:t xml:space="preserve"> distributions were fit to the </w:t>
      </w:r>
      <w:r w:rsidR="001D791A">
        <w:t>imidacloprid</w:t>
      </w:r>
      <w:r w:rsidR="00EE7BDB" w:rsidRPr="00202BA7">
        <w:t xml:space="preserve"> data and bootstrap goodness-of-fit tests were run with </w:t>
      </w:r>
      <w:r w:rsidR="00C24A2F">
        <w:t>3</w:t>
      </w:r>
      <w:r w:rsidR="00EE7BDB" w:rsidRPr="00202BA7">
        <w:t>,000 bootstrap replicates. The results of these fitting exercises are presented below (</w:t>
      </w:r>
      <w:r w:rsidR="003F427C" w:rsidRPr="003F427C">
        <w:rPr>
          <w:b/>
        </w:rPr>
        <w:fldChar w:fldCharType="begin"/>
      </w:r>
      <w:r w:rsidR="003F427C" w:rsidRPr="003F427C">
        <w:instrText xml:space="preserve"> REF _Ref80170336 \h </w:instrText>
      </w:r>
      <w:r w:rsidR="003F427C" w:rsidRPr="003F427C">
        <w:rPr>
          <w:b/>
        </w:rPr>
        <w:instrText xml:space="preserve"> \* MERGEFORMAT </w:instrText>
      </w:r>
      <w:r w:rsidR="003F427C" w:rsidRPr="003F427C">
        <w:rPr>
          <w:b/>
        </w:rPr>
      </w:r>
      <w:r w:rsidR="003F427C" w:rsidRPr="003F427C">
        <w:rPr>
          <w:b/>
        </w:rPr>
        <w:fldChar w:fldCharType="separate"/>
      </w:r>
      <w:r w:rsidR="003F427C" w:rsidRPr="003F427C">
        <w:rPr>
          <w:b/>
          <w:bCs/>
          <w:color w:val="000000" w:themeColor="text1"/>
        </w:rPr>
        <w:t xml:space="preserve">Table </w:t>
      </w:r>
      <w:r w:rsidR="003F427C" w:rsidRPr="003F427C">
        <w:rPr>
          <w:b/>
          <w:bCs/>
          <w:noProof/>
          <w:color w:val="000000" w:themeColor="text1"/>
        </w:rPr>
        <w:t>5</w:t>
      </w:r>
      <w:r w:rsidR="003F427C" w:rsidRPr="003F427C">
        <w:rPr>
          <w:b/>
        </w:rPr>
        <w:fldChar w:fldCharType="end"/>
      </w:r>
      <w:r w:rsidR="00EE7BDB" w:rsidRPr="00202BA7">
        <w:t xml:space="preserve">).  </w:t>
      </w:r>
      <w:r w:rsidR="006A49FF" w:rsidRPr="005C6281">
        <w:t xml:space="preserve">For the </w:t>
      </w:r>
      <w:r w:rsidR="001D791A">
        <w:t>terrestrial</w:t>
      </w:r>
      <w:r w:rsidR="006A49FF" w:rsidRPr="005C6281">
        <w:t xml:space="preserve"> invertebrate SSD</w:t>
      </w:r>
      <w:r w:rsidR="00A30D2D">
        <w:t>s</w:t>
      </w:r>
      <w:r w:rsidR="006A49FF" w:rsidRPr="005C6281">
        <w:t xml:space="preserve">, </w:t>
      </w:r>
      <w:r w:rsidR="005C6281" w:rsidRPr="005C6281">
        <w:t xml:space="preserve">the p-value for </w:t>
      </w:r>
      <w:r w:rsidR="00033247">
        <w:t xml:space="preserve">all </w:t>
      </w:r>
      <w:r>
        <w:t xml:space="preserve">exposure routes and </w:t>
      </w:r>
      <w:r w:rsidR="00033247">
        <w:t>distributions method</w:t>
      </w:r>
      <w:r>
        <w:t>s</w:t>
      </w:r>
      <w:r w:rsidR="00033247">
        <w:t xml:space="preserve"> were &gt;</w:t>
      </w:r>
      <w:r w:rsidR="005C6281" w:rsidRPr="005C6281">
        <w:t xml:space="preserve">0.05, indicating that </w:t>
      </w:r>
      <w:r w:rsidR="00033247">
        <w:t>all</w:t>
      </w:r>
      <w:r w:rsidR="005C6281" w:rsidRPr="005C6281">
        <w:t xml:space="preserve"> SSD</w:t>
      </w:r>
      <w:r w:rsidR="00033247">
        <w:t xml:space="preserve">s are </w:t>
      </w:r>
      <w:r w:rsidR="005C6281" w:rsidRPr="005C6281">
        <w:t xml:space="preserve">a </w:t>
      </w:r>
      <w:r w:rsidR="00C24A2F">
        <w:t xml:space="preserve">reasonably </w:t>
      </w:r>
      <w:r w:rsidR="005C6281" w:rsidRPr="005C6281">
        <w:t>good fit for the available data (</w:t>
      </w:r>
      <w:r w:rsidR="003F427C" w:rsidRPr="003F427C">
        <w:rPr>
          <w:b/>
          <w:bCs/>
        </w:rPr>
        <w:fldChar w:fldCharType="begin"/>
      </w:r>
      <w:r w:rsidR="003F427C" w:rsidRPr="003F427C">
        <w:instrText xml:space="preserve"> REF _Ref80170336 \h </w:instrText>
      </w:r>
      <w:r w:rsidR="003F427C" w:rsidRPr="003F427C">
        <w:rPr>
          <w:b/>
          <w:bCs/>
        </w:rPr>
        <w:instrText xml:space="preserve"> \* MERGEFORMAT </w:instrText>
      </w:r>
      <w:r w:rsidR="003F427C" w:rsidRPr="003F427C">
        <w:rPr>
          <w:b/>
          <w:bCs/>
        </w:rPr>
      </w:r>
      <w:r w:rsidR="003F427C" w:rsidRPr="003F427C">
        <w:rPr>
          <w:b/>
          <w:bCs/>
        </w:rPr>
        <w:fldChar w:fldCharType="separate"/>
      </w:r>
      <w:r w:rsidR="003F427C" w:rsidRPr="003F427C">
        <w:rPr>
          <w:b/>
          <w:bCs/>
          <w:color w:val="000000" w:themeColor="text1"/>
        </w:rPr>
        <w:t xml:space="preserve">Table </w:t>
      </w:r>
      <w:r w:rsidR="003F427C" w:rsidRPr="003F427C">
        <w:rPr>
          <w:b/>
          <w:bCs/>
          <w:noProof/>
          <w:color w:val="000000" w:themeColor="text1"/>
        </w:rPr>
        <w:t>5</w:t>
      </w:r>
      <w:r w:rsidR="003F427C" w:rsidRPr="003F427C">
        <w:rPr>
          <w:b/>
          <w:bCs/>
        </w:rPr>
        <w:fldChar w:fldCharType="end"/>
      </w:r>
      <w:r w:rsidR="005C6281" w:rsidRPr="005C6281">
        <w:t>)</w:t>
      </w:r>
      <w:r w:rsidR="005C6281" w:rsidRPr="005C6281">
        <w:rPr>
          <w:rStyle w:val="FootnoteReference"/>
        </w:rPr>
        <w:footnoteReference w:id="1"/>
      </w:r>
      <w:r w:rsidR="005C6281" w:rsidRPr="005C6281">
        <w:t>.</w:t>
      </w:r>
    </w:p>
    <w:p w14:paraId="1E0EAA43" w14:textId="77777777" w:rsidR="00AF7613" w:rsidRPr="00C23BEE" w:rsidRDefault="00AF7613" w:rsidP="00EE7BDB">
      <w:pPr>
        <w:spacing w:after="0" w:line="240" w:lineRule="auto"/>
      </w:pPr>
    </w:p>
    <w:p w14:paraId="78C6EE9A" w14:textId="2EC222C0" w:rsidR="00AF7613" w:rsidRPr="00D147A6" w:rsidRDefault="00D147A6" w:rsidP="00D147A6">
      <w:pPr>
        <w:pStyle w:val="Caption"/>
        <w:rPr>
          <w:b/>
          <w:bCs/>
          <w:i w:val="0"/>
          <w:iCs w:val="0"/>
          <w:color w:val="000000" w:themeColor="text1"/>
          <w:sz w:val="22"/>
          <w:szCs w:val="22"/>
        </w:rPr>
      </w:pPr>
      <w:bookmarkStart w:id="5" w:name="_Ref80170336"/>
      <w:r w:rsidRPr="00D147A6">
        <w:rPr>
          <w:b/>
          <w:bCs/>
          <w:i w:val="0"/>
          <w:iCs w:val="0"/>
          <w:color w:val="000000" w:themeColor="text1"/>
          <w:sz w:val="22"/>
          <w:szCs w:val="22"/>
        </w:rPr>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Pr>
          <w:b/>
          <w:bCs/>
          <w:i w:val="0"/>
          <w:iCs w:val="0"/>
          <w:noProof/>
          <w:color w:val="000000" w:themeColor="text1"/>
          <w:sz w:val="22"/>
          <w:szCs w:val="22"/>
        </w:rPr>
        <w:t>5</w:t>
      </w:r>
      <w:r w:rsidRPr="00D147A6">
        <w:rPr>
          <w:b/>
          <w:bCs/>
          <w:i w:val="0"/>
          <w:iCs w:val="0"/>
          <w:color w:val="000000" w:themeColor="text1"/>
          <w:sz w:val="22"/>
          <w:szCs w:val="22"/>
        </w:rPr>
        <w:fldChar w:fldCharType="end"/>
      </w:r>
      <w:bookmarkEnd w:id="5"/>
      <w:r w:rsidRPr="00D147A6">
        <w:rPr>
          <w:b/>
          <w:bCs/>
          <w:i w:val="0"/>
          <w:iCs w:val="0"/>
          <w:color w:val="000000" w:themeColor="text1"/>
          <w:sz w:val="22"/>
          <w:szCs w:val="22"/>
        </w:rPr>
        <w:t>. P-values calculated for SSDs for invertebrate toxicity data for imidacloprid.</w:t>
      </w:r>
    </w:p>
    <w:tbl>
      <w:tblPr>
        <w:tblW w:w="565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1800"/>
        <w:gridCol w:w="2160"/>
      </w:tblGrid>
      <w:tr w:rsidR="00540285" w:rsidRPr="00931CF0" w14:paraId="41F20C09" w14:textId="77777777" w:rsidTr="0085649A">
        <w:tc>
          <w:tcPr>
            <w:tcW w:w="1692" w:type="dxa"/>
            <w:tcBorders>
              <w:top w:val="single" w:sz="12" w:space="0" w:color="000000"/>
              <w:left w:val="nil"/>
              <w:bottom w:val="single" w:sz="12" w:space="0" w:color="000000"/>
              <w:right w:val="nil"/>
            </w:tcBorders>
          </w:tcPr>
          <w:p w14:paraId="02BC8CA0" w14:textId="77777777" w:rsidR="00540285" w:rsidRPr="002740EC" w:rsidRDefault="00540285" w:rsidP="00540285">
            <w:pPr>
              <w:keepNext/>
              <w:keepLines/>
              <w:spacing w:after="0" w:line="240" w:lineRule="auto"/>
              <w:rPr>
                <w:rFonts w:ascii="Calibri" w:hAnsi="Calibri"/>
                <w:b/>
                <w:bCs/>
              </w:rPr>
            </w:pPr>
            <w:r w:rsidRPr="002740EC">
              <w:rPr>
                <w:rFonts w:ascii="Calibri" w:hAnsi="Calibri"/>
                <w:b/>
                <w:bCs/>
              </w:rPr>
              <w:t>Distribution</w:t>
            </w:r>
          </w:p>
        </w:tc>
        <w:tc>
          <w:tcPr>
            <w:tcW w:w="1800" w:type="dxa"/>
            <w:tcBorders>
              <w:top w:val="single" w:sz="12" w:space="0" w:color="000000"/>
              <w:left w:val="nil"/>
              <w:bottom w:val="single" w:sz="12" w:space="0" w:color="000000"/>
              <w:right w:val="nil"/>
            </w:tcBorders>
          </w:tcPr>
          <w:p w14:paraId="166B8136" w14:textId="011D036F" w:rsidR="00540285" w:rsidRPr="002740EC" w:rsidRDefault="00A30D2D" w:rsidP="00540285">
            <w:pPr>
              <w:keepNext/>
              <w:keepLines/>
              <w:spacing w:after="0" w:line="240" w:lineRule="auto"/>
              <w:rPr>
                <w:rFonts w:ascii="Calibri" w:hAnsi="Calibri"/>
                <w:b/>
                <w:bCs/>
              </w:rPr>
            </w:pPr>
            <w:r w:rsidRPr="002740EC">
              <w:rPr>
                <w:rFonts w:eastAsia="Times New Roman" w:cs="Times New Roman"/>
                <w:b/>
                <w:bCs/>
              </w:rPr>
              <w:t>Dietary</w:t>
            </w:r>
            <w:r w:rsidRPr="002740EC">
              <w:rPr>
                <w:rFonts w:eastAsia="Times New Roman" w:cs="Times New Roman"/>
                <w:b/>
                <w:bCs/>
              </w:rPr>
              <w:br/>
            </w:r>
            <w:r w:rsidR="002740EC">
              <w:rPr>
                <w:rFonts w:eastAsia="Times New Roman" w:cs="Times New Roman"/>
                <w:b/>
                <w:bCs/>
              </w:rPr>
              <w:t>(</w:t>
            </w:r>
            <w:r w:rsidR="00540285" w:rsidRPr="002740EC">
              <w:rPr>
                <w:rFonts w:eastAsia="Times New Roman" w:cs="Times New Roman"/>
                <w:b/>
                <w:bCs/>
              </w:rPr>
              <w:t>mg a.i./kg-food</w:t>
            </w:r>
            <w:r w:rsidR="002740EC">
              <w:rPr>
                <w:rFonts w:eastAsia="Times New Roman" w:cs="Times New Roman"/>
                <w:b/>
                <w:bCs/>
              </w:rPr>
              <w:t>)</w:t>
            </w:r>
          </w:p>
        </w:tc>
        <w:tc>
          <w:tcPr>
            <w:tcW w:w="2160" w:type="dxa"/>
            <w:tcBorders>
              <w:top w:val="single" w:sz="12" w:space="0" w:color="000000"/>
              <w:left w:val="nil"/>
              <w:bottom w:val="single" w:sz="12" w:space="0" w:color="000000"/>
              <w:right w:val="nil"/>
            </w:tcBorders>
          </w:tcPr>
          <w:p w14:paraId="3548B91B" w14:textId="5894F8F4" w:rsidR="00540285" w:rsidRPr="002740EC" w:rsidRDefault="00A30D2D" w:rsidP="00540285">
            <w:pPr>
              <w:keepNext/>
              <w:keepLines/>
              <w:spacing w:after="0" w:line="240" w:lineRule="auto"/>
              <w:rPr>
                <w:rFonts w:ascii="Calibri" w:hAnsi="Calibri"/>
                <w:b/>
                <w:bCs/>
              </w:rPr>
            </w:pPr>
            <w:r w:rsidRPr="002740EC">
              <w:rPr>
                <w:rFonts w:eastAsia="Times New Roman" w:cs="Times New Roman"/>
                <w:b/>
                <w:bCs/>
              </w:rPr>
              <w:t>Contact</w:t>
            </w:r>
            <w:r w:rsidRPr="002740EC">
              <w:rPr>
                <w:rFonts w:eastAsia="Times New Roman" w:cs="Times New Roman"/>
                <w:b/>
                <w:bCs/>
              </w:rPr>
              <w:br/>
            </w:r>
            <w:r w:rsidR="002740EC">
              <w:rPr>
                <w:rFonts w:eastAsia="Times New Roman" w:cs="Times New Roman"/>
                <w:b/>
                <w:bCs/>
              </w:rPr>
              <w:t>(</w:t>
            </w:r>
            <w:r w:rsidR="00540285" w:rsidRPr="002740EC">
              <w:rPr>
                <w:rFonts w:eastAsia="Times New Roman" w:cs="Times New Roman"/>
                <w:b/>
                <w:bCs/>
              </w:rPr>
              <w:t>mg a.i./kg-bw</w:t>
            </w:r>
            <w:r w:rsidR="002740EC">
              <w:rPr>
                <w:rFonts w:eastAsia="Times New Roman" w:cs="Times New Roman"/>
                <w:b/>
                <w:bCs/>
              </w:rPr>
              <w:t>)</w:t>
            </w:r>
          </w:p>
        </w:tc>
      </w:tr>
      <w:tr w:rsidR="00AF7613" w:rsidRPr="00931CF0" w14:paraId="0AF68D16" w14:textId="77777777" w:rsidTr="0085649A">
        <w:tc>
          <w:tcPr>
            <w:tcW w:w="1692" w:type="dxa"/>
            <w:tcBorders>
              <w:top w:val="nil"/>
              <w:left w:val="nil"/>
              <w:bottom w:val="nil"/>
              <w:right w:val="nil"/>
            </w:tcBorders>
          </w:tcPr>
          <w:p w14:paraId="7DC49D31" w14:textId="77777777" w:rsidR="00AF7613" w:rsidRPr="00931CF0" w:rsidRDefault="00AF7613" w:rsidP="00AF7613">
            <w:pPr>
              <w:keepNext/>
              <w:keepLines/>
              <w:spacing w:after="0" w:line="240" w:lineRule="auto"/>
              <w:rPr>
                <w:rFonts w:ascii="Calibri" w:hAnsi="Calibri"/>
              </w:rPr>
            </w:pPr>
            <w:r>
              <w:rPr>
                <w:rFonts w:ascii="Calibri" w:hAnsi="Calibri"/>
              </w:rPr>
              <w:t>Normal</w:t>
            </w:r>
          </w:p>
        </w:tc>
        <w:tc>
          <w:tcPr>
            <w:tcW w:w="1800" w:type="dxa"/>
            <w:tcBorders>
              <w:top w:val="nil"/>
              <w:left w:val="nil"/>
              <w:bottom w:val="nil"/>
              <w:right w:val="nil"/>
            </w:tcBorders>
            <w:vAlign w:val="center"/>
          </w:tcPr>
          <w:p w14:paraId="7ACF5E87" w14:textId="31EC816C" w:rsidR="00AF7613" w:rsidRDefault="00AF7613" w:rsidP="00AF7613">
            <w:pPr>
              <w:keepNext/>
              <w:keepLines/>
              <w:spacing w:after="0" w:line="240" w:lineRule="auto"/>
            </w:pPr>
            <w:r>
              <w:t>0.</w:t>
            </w:r>
            <w:r w:rsidR="00C54724">
              <w:t>7</w:t>
            </w:r>
            <w:r w:rsidR="00254ADD">
              <w:t>2</w:t>
            </w:r>
          </w:p>
        </w:tc>
        <w:tc>
          <w:tcPr>
            <w:tcW w:w="2160" w:type="dxa"/>
            <w:tcBorders>
              <w:top w:val="nil"/>
              <w:left w:val="nil"/>
              <w:bottom w:val="nil"/>
              <w:right w:val="nil"/>
            </w:tcBorders>
            <w:vAlign w:val="center"/>
          </w:tcPr>
          <w:p w14:paraId="006A5975" w14:textId="66F34DE9" w:rsidR="00AF7613" w:rsidRDefault="00AF7613" w:rsidP="00AF7613">
            <w:pPr>
              <w:keepNext/>
              <w:keepLines/>
              <w:spacing w:after="0" w:line="240" w:lineRule="auto"/>
            </w:pPr>
            <w:r>
              <w:t>0.</w:t>
            </w:r>
            <w:r w:rsidR="00540285">
              <w:t>68</w:t>
            </w:r>
          </w:p>
        </w:tc>
      </w:tr>
      <w:tr w:rsidR="00AF7613" w:rsidRPr="00931CF0" w14:paraId="336267A5" w14:textId="77777777" w:rsidTr="0085649A">
        <w:tc>
          <w:tcPr>
            <w:tcW w:w="1692" w:type="dxa"/>
            <w:tcBorders>
              <w:top w:val="nil"/>
              <w:left w:val="nil"/>
              <w:bottom w:val="nil"/>
              <w:right w:val="nil"/>
            </w:tcBorders>
          </w:tcPr>
          <w:p w14:paraId="2F8F4595" w14:textId="77777777" w:rsidR="00AF7613" w:rsidRPr="00931CF0" w:rsidRDefault="00AF7613" w:rsidP="00AF7613">
            <w:pPr>
              <w:keepNext/>
              <w:keepLines/>
              <w:spacing w:after="0" w:line="240" w:lineRule="auto"/>
              <w:rPr>
                <w:rFonts w:ascii="Calibri" w:hAnsi="Calibri"/>
              </w:rPr>
            </w:pPr>
            <w:r>
              <w:rPr>
                <w:rFonts w:ascii="Calibri" w:hAnsi="Calibri"/>
              </w:rPr>
              <w:t>Logistic</w:t>
            </w:r>
          </w:p>
        </w:tc>
        <w:tc>
          <w:tcPr>
            <w:tcW w:w="1800" w:type="dxa"/>
            <w:tcBorders>
              <w:top w:val="nil"/>
              <w:left w:val="nil"/>
              <w:bottom w:val="nil"/>
              <w:right w:val="nil"/>
            </w:tcBorders>
            <w:vAlign w:val="center"/>
          </w:tcPr>
          <w:p w14:paraId="266D3A23" w14:textId="0DF2AF83" w:rsidR="00AF7613" w:rsidRDefault="00AF7613" w:rsidP="00AF7613">
            <w:pPr>
              <w:keepNext/>
              <w:keepLines/>
              <w:spacing w:after="0" w:line="240" w:lineRule="auto"/>
            </w:pPr>
            <w:r>
              <w:t>0.</w:t>
            </w:r>
            <w:r w:rsidR="00C54724">
              <w:t>70</w:t>
            </w:r>
          </w:p>
        </w:tc>
        <w:tc>
          <w:tcPr>
            <w:tcW w:w="2160" w:type="dxa"/>
            <w:tcBorders>
              <w:top w:val="nil"/>
              <w:left w:val="nil"/>
              <w:bottom w:val="nil"/>
              <w:right w:val="nil"/>
            </w:tcBorders>
            <w:vAlign w:val="center"/>
          </w:tcPr>
          <w:p w14:paraId="475C1A1B" w14:textId="7A698636" w:rsidR="00AF7613" w:rsidRDefault="00AF7613" w:rsidP="00AF7613">
            <w:pPr>
              <w:keepNext/>
              <w:keepLines/>
              <w:spacing w:after="0" w:line="240" w:lineRule="auto"/>
            </w:pPr>
            <w:r>
              <w:t>0.</w:t>
            </w:r>
            <w:r w:rsidR="00540285">
              <w:t>72</w:t>
            </w:r>
          </w:p>
        </w:tc>
      </w:tr>
      <w:tr w:rsidR="00AF7613" w:rsidRPr="00931CF0" w14:paraId="456B6C9A" w14:textId="77777777" w:rsidTr="0085649A">
        <w:tc>
          <w:tcPr>
            <w:tcW w:w="1692" w:type="dxa"/>
            <w:tcBorders>
              <w:top w:val="nil"/>
              <w:left w:val="nil"/>
              <w:bottom w:val="nil"/>
              <w:right w:val="nil"/>
            </w:tcBorders>
          </w:tcPr>
          <w:p w14:paraId="612F0167" w14:textId="77777777" w:rsidR="00AF7613" w:rsidRDefault="00AF7613" w:rsidP="00AF7613">
            <w:pPr>
              <w:keepNext/>
              <w:keepLines/>
              <w:spacing w:after="0" w:line="240" w:lineRule="auto"/>
              <w:rPr>
                <w:rFonts w:ascii="Calibri" w:hAnsi="Calibri"/>
              </w:rPr>
            </w:pPr>
            <w:r>
              <w:rPr>
                <w:rFonts w:ascii="Calibri" w:hAnsi="Calibri"/>
              </w:rPr>
              <w:t>Triangular</w:t>
            </w:r>
          </w:p>
        </w:tc>
        <w:tc>
          <w:tcPr>
            <w:tcW w:w="1800" w:type="dxa"/>
            <w:tcBorders>
              <w:top w:val="nil"/>
              <w:left w:val="nil"/>
              <w:bottom w:val="nil"/>
              <w:right w:val="nil"/>
            </w:tcBorders>
            <w:vAlign w:val="center"/>
          </w:tcPr>
          <w:p w14:paraId="6355ABCD" w14:textId="70AC570C" w:rsidR="00AF7613" w:rsidRDefault="00AF7613" w:rsidP="00AF7613">
            <w:pPr>
              <w:keepNext/>
              <w:keepLines/>
              <w:spacing w:after="0" w:line="240" w:lineRule="auto"/>
            </w:pPr>
            <w:r>
              <w:t>0.8</w:t>
            </w:r>
            <w:r w:rsidR="00C54724">
              <w:t>3</w:t>
            </w:r>
          </w:p>
        </w:tc>
        <w:tc>
          <w:tcPr>
            <w:tcW w:w="2160" w:type="dxa"/>
            <w:tcBorders>
              <w:top w:val="nil"/>
              <w:left w:val="nil"/>
              <w:bottom w:val="nil"/>
              <w:right w:val="nil"/>
            </w:tcBorders>
            <w:vAlign w:val="center"/>
          </w:tcPr>
          <w:p w14:paraId="68ACBA13" w14:textId="09A1A8F7" w:rsidR="00AF7613" w:rsidRDefault="00AF7613" w:rsidP="00AF7613">
            <w:pPr>
              <w:keepNext/>
              <w:keepLines/>
              <w:spacing w:after="0" w:line="240" w:lineRule="auto"/>
            </w:pPr>
            <w:r>
              <w:t>0.</w:t>
            </w:r>
            <w:r w:rsidR="00540285">
              <w:t>72</w:t>
            </w:r>
          </w:p>
        </w:tc>
      </w:tr>
      <w:tr w:rsidR="00AF7613" w:rsidRPr="00931CF0" w14:paraId="028F7020" w14:textId="77777777" w:rsidTr="00D147A6">
        <w:trPr>
          <w:trHeight w:val="60"/>
        </w:trPr>
        <w:tc>
          <w:tcPr>
            <w:tcW w:w="1692" w:type="dxa"/>
            <w:tcBorders>
              <w:top w:val="nil"/>
              <w:left w:val="nil"/>
              <w:bottom w:val="nil"/>
              <w:right w:val="nil"/>
            </w:tcBorders>
          </w:tcPr>
          <w:p w14:paraId="453239E5" w14:textId="77777777" w:rsidR="00AF7613" w:rsidRDefault="00AF7613" w:rsidP="00AF7613">
            <w:pPr>
              <w:keepNext/>
              <w:keepLines/>
              <w:spacing w:after="0" w:line="240" w:lineRule="auto"/>
              <w:rPr>
                <w:rFonts w:ascii="Calibri" w:hAnsi="Calibri"/>
              </w:rPr>
            </w:pPr>
            <w:r>
              <w:rPr>
                <w:rFonts w:ascii="Calibri" w:hAnsi="Calibri"/>
              </w:rPr>
              <w:t>Gumbel</w:t>
            </w:r>
          </w:p>
        </w:tc>
        <w:tc>
          <w:tcPr>
            <w:tcW w:w="1800" w:type="dxa"/>
            <w:tcBorders>
              <w:top w:val="nil"/>
              <w:left w:val="nil"/>
              <w:bottom w:val="nil"/>
              <w:right w:val="nil"/>
            </w:tcBorders>
            <w:vAlign w:val="center"/>
          </w:tcPr>
          <w:p w14:paraId="32E3D9E3" w14:textId="2D33B780" w:rsidR="00AF7613" w:rsidRDefault="00AF7613" w:rsidP="00AF7613">
            <w:pPr>
              <w:keepNext/>
              <w:keepLines/>
              <w:spacing w:after="0" w:line="240" w:lineRule="auto"/>
            </w:pPr>
            <w:r>
              <w:t>0.</w:t>
            </w:r>
            <w:r w:rsidR="00C54724">
              <w:t>68</w:t>
            </w:r>
          </w:p>
        </w:tc>
        <w:tc>
          <w:tcPr>
            <w:tcW w:w="2160" w:type="dxa"/>
            <w:tcBorders>
              <w:top w:val="nil"/>
              <w:left w:val="nil"/>
              <w:bottom w:val="nil"/>
              <w:right w:val="nil"/>
            </w:tcBorders>
            <w:vAlign w:val="center"/>
          </w:tcPr>
          <w:p w14:paraId="6A2AAF2E" w14:textId="0E37C68D" w:rsidR="00AF7613" w:rsidRDefault="00AF7613" w:rsidP="00AF7613">
            <w:pPr>
              <w:keepNext/>
              <w:keepLines/>
              <w:spacing w:after="0" w:line="240" w:lineRule="auto"/>
            </w:pPr>
            <w:r>
              <w:t>0.</w:t>
            </w:r>
            <w:r w:rsidR="00540285">
              <w:t>51</w:t>
            </w:r>
          </w:p>
        </w:tc>
      </w:tr>
      <w:tr w:rsidR="00AF7613" w:rsidRPr="00931CF0" w14:paraId="0699BF1F" w14:textId="77777777" w:rsidTr="00D147A6">
        <w:tc>
          <w:tcPr>
            <w:tcW w:w="1692" w:type="dxa"/>
            <w:tcBorders>
              <w:top w:val="nil"/>
              <w:left w:val="nil"/>
              <w:bottom w:val="single" w:sz="8" w:space="0" w:color="000000"/>
              <w:right w:val="nil"/>
            </w:tcBorders>
          </w:tcPr>
          <w:p w14:paraId="582FAA57" w14:textId="77777777" w:rsidR="00AF7613" w:rsidRDefault="00AF7613" w:rsidP="00AF7613">
            <w:pPr>
              <w:keepNext/>
              <w:keepLines/>
              <w:spacing w:after="0" w:line="240" w:lineRule="auto"/>
              <w:rPr>
                <w:rFonts w:ascii="Calibri" w:hAnsi="Calibri"/>
              </w:rPr>
            </w:pPr>
            <w:r>
              <w:rPr>
                <w:rFonts w:ascii="Calibri" w:hAnsi="Calibri"/>
              </w:rPr>
              <w:t>Burr</w:t>
            </w:r>
          </w:p>
        </w:tc>
        <w:tc>
          <w:tcPr>
            <w:tcW w:w="1800" w:type="dxa"/>
            <w:tcBorders>
              <w:top w:val="nil"/>
              <w:left w:val="nil"/>
              <w:bottom w:val="single" w:sz="8" w:space="0" w:color="000000"/>
              <w:right w:val="nil"/>
            </w:tcBorders>
            <w:vAlign w:val="center"/>
          </w:tcPr>
          <w:p w14:paraId="37A6A85E" w14:textId="6C0FAD5C" w:rsidR="00AF7613" w:rsidRDefault="00AF7613" w:rsidP="00AF7613">
            <w:pPr>
              <w:keepNext/>
              <w:keepLines/>
              <w:spacing w:after="0" w:line="240" w:lineRule="auto"/>
            </w:pPr>
            <w:r>
              <w:t>0.</w:t>
            </w:r>
            <w:r w:rsidR="00C54724">
              <w:t>9</w:t>
            </w:r>
            <w:r w:rsidR="00254ADD">
              <w:t>8</w:t>
            </w:r>
          </w:p>
        </w:tc>
        <w:tc>
          <w:tcPr>
            <w:tcW w:w="2160" w:type="dxa"/>
            <w:tcBorders>
              <w:top w:val="nil"/>
              <w:left w:val="nil"/>
              <w:bottom w:val="single" w:sz="8" w:space="0" w:color="000000"/>
              <w:right w:val="nil"/>
            </w:tcBorders>
          </w:tcPr>
          <w:p w14:paraId="0F95F30C" w14:textId="77777777" w:rsidR="00AF7613" w:rsidRDefault="00AF7613" w:rsidP="00AF7613">
            <w:pPr>
              <w:keepNext/>
              <w:keepLines/>
              <w:spacing w:after="0" w:line="240" w:lineRule="auto"/>
            </w:pPr>
            <w:r>
              <w:rPr>
                <w:rFonts w:ascii="Calibri" w:hAnsi="Calibri"/>
              </w:rPr>
              <w:t>0.75</w:t>
            </w:r>
          </w:p>
        </w:tc>
      </w:tr>
    </w:tbl>
    <w:p w14:paraId="5345BEBC" w14:textId="77777777" w:rsidR="00AF7613" w:rsidRDefault="00AF7613" w:rsidP="00AF7613">
      <w:pPr>
        <w:spacing w:after="0" w:line="240" w:lineRule="auto"/>
        <w:rPr>
          <w:b/>
        </w:rPr>
      </w:pPr>
    </w:p>
    <w:p w14:paraId="4AE09A7D" w14:textId="77777777" w:rsidR="00EE7BDB" w:rsidRDefault="00EE7BDB" w:rsidP="00EE7BDB">
      <w:pPr>
        <w:spacing w:after="0" w:line="240" w:lineRule="auto"/>
        <w:rPr>
          <w:b/>
        </w:rPr>
      </w:pPr>
    </w:p>
    <w:p w14:paraId="5E303643" w14:textId="77777777" w:rsidR="00AF7613" w:rsidRPr="0046077F" w:rsidRDefault="00AF7613" w:rsidP="002740EC">
      <w:pPr>
        <w:pStyle w:val="Heading1"/>
        <w:spacing w:before="0" w:line="240" w:lineRule="auto"/>
        <w:rPr>
          <w:b/>
          <w:bCs/>
        </w:rPr>
      </w:pPr>
      <w:r>
        <w:rPr>
          <w:b/>
          <w:bCs/>
        </w:rPr>
        <w:lastRenderedPageBreak/>
        <w:t>Akaike’s Information Criteria (</w:t>
      </w:r>
      <w:r w:rsidRPr="0046077F">
        <w:rPr>
          <w:b/>
          <w:bCs/>
        </w:rPr>
        <w:t>AICc</w:t>
      </w:r>
      <w:r>
        <w:rPr>
          <w:b/>
          <w:bCs/>
        </w:rPr>
        <w:t>) weights</w:t>
      </w:r>
    </w:p>
    <w:p w14:paraId="57249CB3" w14:textId="77777777" w:rsidR="00C74ECB" w:rsidRPr="00A141C5" w:rsidRDefault="00C74ECB" w:rsidP="002740EC">
      <w:pPr>
        <w:keepNext/>
        <w:keepLines/>
        <w:spacing w:after="0" w:line="240" w:lineRule="auto"/>
        <w:rPr>
          <w:b/>
        </w:rPr>
      </w:pPr>
    </w:p>
    <w:p w14:paraId="45BCBBA6" w14:textId="0D01598B" w:rsidR="00A30D2D" w:rsidRPr="00C23BEE" w:rsidRDefault="00C74ECB" w:rsidP="002740EC">
      <w:pPr>
        <w:keepNext/>
        <w:keepLines/>
        <w:spacing w:after="0" w:line="240" w:lineRule="auto"/>
        <w:rPr>
          <w:bCs/>
        </w:rPr>
      </w:pPr>
      <w:r w:rsidRPr="00B83D1A">
        <w:rPr>
          <w:rFonts w:ascii="Calibri" w:hAnsi="Calibri"/>
        </w:rPr>
        <w:t>Akaike’s Information Criterion corrected for sample size (AIC</w:t>
      </w:r>
      <w:r w:rsidRPr="00B83D1A">
        <w:rPr>
          <w:rFonts w:ascii="Calibri" w:hAnsi="Calibri"/>
          <w:vertAlign w:val="subscript"/>
        </w:rPr>
        <w:t>c</w:t>
      </w:r>
      <w:r w:rsidRPr="00B83D1A">
        <w:rPr>
          <w:rFonts w:ascii="Calibri" w:hAnsi="Calibri"/>
        </w:rPr>
        <w:t xml:space="preserve">) </w:t>
      </w:r>
      <w:r w:rsidRPr="00B83D1A">
        <w:t xml:space="preserve">was used to compare the </w:t>
      </w:r>
      <w:r w:rsidR="00242DA0">
        <w:t>six</w:t>
      </w:r>
      <w:r w:rsidRPr="00B83D1A">
        <w:t xml:space="preserve"> distributions for </w:t>
      </w:r>
      <w:r w:rsidR="007A46E0" w:rsidRPr="00B83D1A">
        <w:t xml:space="preserve">the </w:t>
      </w:r>
      <w:r w:rsidR="00501338" w:rsidRPr="00B83D1A">
        <w:t>invertebrate</w:t>
      </w:r>
      <w:r w:rsidR="007A46E0" w:rsidRPr="00B83D1A">
        <w:t xml:space="preserve"> </w:t>
      </w:r>
      <w:r w:rsidR="007A46E0" w:rsidRPr="00C23BEE">
        <w:t xml:space="preserve">data </w:t>
      </w:r>
      <w:r w:rsidR="00620BE1" w:rsidRPr="00C23BEE">
        <w:t>at the HC</w:t>
      </w:r>
      <w:r w:rsidR="00620BE1" w:rsidRPr="00C23BEE">
        <w:rPr>
          <w:vertAlign w:val="subscript"/>
        </w:rPr>
        <w:t>05</w:t>
      </w:r>
      <w:r w:rsidR="00075D85" w:rsidRPr="00C23BEE">
        <w:rPr>
          <w:rStyle w:val="FootnoteReference"/>
        </w:rPr>
        <w:footnoteReference w:id="2"/>
      </w:r>
      <w:r w:rsidRPr="00C23BEE">
        <w:t>.</w:t>
      </w:r>
      <w:r w:rsidR="007A46E0" w:rsidRPr="00C23BEE">
        <w:rPr>
          <w:bCs/>
        </w:rPr>
        <w:t xml:space="preserve"> For </w:t>
      </w:r>
      <w:r w:rsidR="00A30D2D">
        <w:rPr>
          <w:bCs/>
        </w:rPr>
        <w:t>dietary exposure</w:t>
      </w:r>
      <w:r w:rsidR="007A46E0" w:rsidRPr="00B83D1A">
        <w:rPr>
          <w:bCs/>
        </w:rPr>
        <w:t xml:space="preserve">, the majority of the weight is attributed to the </w:t>
      </w:r>
      <w:r w:rsidR="00242DA0">
        <w:rPr>
          <w:bCs/>
        </w:rPr>
        <w:t>triangular</w:t>
      </w:r>
      <w:r w:rsidR="00B83D1A" w:rsidRPr="00B83D1A">
        <w:rPr>
          <w:bCs/>
        </w:rPr>
        <w:t xml:space="preserve">, </w:t>
      </w:r>
      <w:r w:rsidR="007A46E0" w:rsidRPr="00B83D1A">
        <w:rPr>
          <w:bCs/>
        </w:rPr>
        <w:t>normal</w:t>
      </w:r>
      <w:r w:rsidR="00564571">
        <w:rPr>
          <w:bCs/>
        </w:rPr>
        <w:t>, gumbel</w:t>
      </w:r>
      <w:r w:rsidR="00BB49DE">
        <w:rPr>
          <w:bCs/>
        </w:rPr>
        <w:t>, and logistic</w:t>
      </w:r>
      <w:r w:rsidR="007A46E0" w:rsidRPr="00B83D1A">
        <w:rPr>
          <w:bCs/>
        </w:rPr>
        <w:t xml:space="preserve"> distributions </w:t>
      </w:r>
      <w:r w:rsidR="00BE7CE3">
        <w:rPr>
          <w:bCs/>
        </w:rPr>
        <w:t>(</w:t>
      </w:r>
      <w:r w:rsidR="003F427C" w:rsidRPr="003F427C">
        <w:rPr>
          <w:b/>
        </w:rPr>
        <w:fldChar w:fldCharType="begin"/>
      </w:r>
      <w:r w:rsidR="003F427C" w:rsidRPr="003F427C">
        <w:rPr>
          <w:bCs/>
        </w:rPr>
        <w:instrText xml:space="preserve"> REF _Ref80170300 \h </w:instrText>
      </w:r>
      <w:r w:rsidR="003F427C" w:rsidRPr="003F427C">
        <w:rPr>
          <w:b/>
        </w:rPr>
        <w:instrText xml:space="preserve"> \* MERGEFORMAT </w:instrText>
      </w:r>
      <w:r w:rsidR="003F427C" w:rsidRPr="003F427C">
        <w:rPr>
          <w:b/>
        </w:rPr>
      </w:r>
      <w:r w:rsidR="003F427C" w:rsidRPr="003F427C">
        <w:rPr>
          <w:b/>
        </w:rPr>
        <w:fldChar w:fldCharType="separate"/>
      </w:r>
      <w:r w:rsidR="003F427C" w:rsidRPr="003F427C">
        <w:rPr>
          <w:b/>
          <w:bCs/>
          <w:color w:val="000000" w:themeColor="text1"/>
        </w:rPr>
        <w:t xml:space="preserve">Table </w:t>
      </w:r>
      <w:r w:rsidR="003F427C" w:rsidRPr="003F427C">
        <w:rPr>
          <w:b/>
          <w:bCs/>
          <w:noProof/>
          <w:color w:val="000000" w:themeColor="text1"/>
        </w:rPr>
        <w:t>6</w:t>
      </w:r>
      <w:r w:rsidR="003F427C" w:rsidRPr="003F427C">
        <w:rPr>
          <w:b/>
        </w:rPr>
        <w:fldChar w:fldCharType="end"/>
      </w:r>
      <w:r w:rsidR="00BE7CE3" w:rsidRPr="00BE7CE3">
        <w:rPr>
          <w:bCs/>
        </w:rPr>
        <w:t>)</w:t>
      </w:r>
      <w:r w:rsidR="007A46E0" w:rsidRPr="00C23BEE">
        <w:rPr>
          <w:bCs/>
        </w:rPr>
        <w:t xml:space="preserve">. Based </w:t>
      </w:r>
      <w:r w:rsidR="007A46E0" w:rsidRPr="00B83D1A">
        <w:rPr>
          <w:bCs/>
        </w:rPr>
        <w:t xml:space="preserve">on the AIC weights, the fit of the </w:t>
      </w:r>
      <w:r w:rsidR="00564571">
        <w:rPr>
          <w:bCs/>
        </w:rPr>
        <w:t>triangular, normal</w:t>
      </w:r>
      <w:r w:rsidR="00BB49DE">
        <w:rPr>
          <w:bCs/>
        </w:rPr>
        <w:t>,</w:t>
      </w:r>
      <w:r w:rsidR="00564571">
        <w:rPr>
          <w:bCs/>
        </w:rPr>
        <w:t xml:space="preserve"> gumbel</w:t>
      </w:r>
      <w:r w:rsidR="00BB49DE">
        <w:rPr>
          <w:bCs/>
        </w:rPr>
        <w:t xml:space="preserve"> and logistic</w:t>
      </w:r>
      <w:r w:rsidR="007A46E0" w:rsidRPr="00B83D1A">
        <w:rPr>
          <w:bCs/>
        </w:rPr>
        <w:t xml:space="preserve"> distributions are further considered below</w:t>
      </w:r>
      <w:r w:rsidR="00620BE1" w:rsidRPr="00B83D1A">
        <w:rPr>
          <w:bCs/>
        </w:rPr>
        <w:t xml:space="preserve"> for </w:t>
      </w:r>
      <w:r w:rsidR="00A30D2D">
        <w:rPr>
          <w:bCs/>
        </w:rPr>
        <w:t xml:space="preserve">dietary exposure </w:t>
      </w:r>
      <w:r w:rsidR="00C23BEE" w:rsidRPr="00C23BEE">
        <w:rPr>
          <w:bCs/>
        </w:rPr>
        <w:t>invertebrate</w:t>
      </w:r>
      <w:r w:rsidR="00620BE1" w:rsidRPr="00C23BEE">
        <w:rPr>
          <w:bCs/>
        </w:rPr>
        <w:t xml:space="preserve"> data</w:t>
      </w:r>
      <w:r w:rsidR="007A46E0" w:rsidRPr="00C23BEE">
        <w:rPr>
          <w:bCs/>
        </w:rPr>
        <w:t>.</w:t>
      </w:r>
      <w:r w:rsidR="00A30D2D" w:rsidRPr="00A30D2D">
        <w:rPr>
          <w:bCs/>
        </w:rPr>
        <w:t xml:space="preserve"> </w:t>
      </w:r>
      <w:r w:rsidR="00A30D2D" w:rsidRPr="00C23BEE">
        <w:rPr>
          <w:bCs/>
        </w:rPr>
        <w:t xml:space="preserve">For </w:t>
      </w:r>
      <w:r w:rsidR="00A30D2D">
        <w:rPr>
          <w:bCs/>
        </w:rPr>
        <w:t>contact exposure</w:t>
      </w:r>
      <w:r w:rsidR="00A30D2D" w:rsidRPr="00B83D1A">
        <w:rPr>
          <w:bCs/>
        </w:rPr>
        <w:t xml:space="preserve">, the majority of the weight is attributed to the </w:t>
      </w:r>
      <w:r w:rsidR="00A30D2D">
        <w:rPr>
          <w:bCs/>
        </w:rPr>
        <w:t>triangular and</w:t>
      </w:r>
      <w:r w:rsidR="00A30D2D" w:rsidRPr="00B83D1A">
        <w:rPr>
          <w:bCs/>
        </w:rPr>
        <w:t xml:space="preserve"> normal</w:t>
      </w:r>
      <w:r w:rsidR="00A30D2D">
        <w:rPr>
          <w:bCs/>
        </w:rPr>
        <w:t xml:space="preserve"> </w:t>
      </w:r>
      <w:r w:rsidR="00A30D2D" w:rsidRPr="00B83D1A">
        <w:rPr>
          <w:bCs/>
        </w:rPr>
        <w:t>distributions (with &lt;</w:t>
      </w:r>
      <w:r w:rsidR="00A30D2D">
        <w:rPr>
          <w:bCs/>
        </w:rPr>
        <w:t>15</w:t>
      </w:r>
      <w:r w:rsidR="00A30D2D" w:rsidRPr="00B83D1A">
        <w:rPr>
          <w:bCs/>
        </w:rPr>
        <w:t>% attributed to</w:t>
      </w:r>
      <w:r w:rsidR="00A30D2D">
        <w:rPr>
          <w:bCs/>
        </w:rPr>
        <w:t xml:space="preserve"> logistic, gumbel, and</w:t>
      </w:r>
      <w:r w:rsidR="00A30D2D" w:rsidRPr="00B83D1A">
        <w:rPr>
          <w:bCs/>
        </w:rPr>
        <w:t xml:space="preserve"> </w:t>
      </w:r>
      <w:r w:rsidR="00A30D2D">
        <w:rPr>
          <w:bCs/>
        </w:rPr>
        <w:t>burr</w:t>
      </w:r>
      <w:r w:rsidR="00A30D2D" w:rsidRPr="00B83D1A">
        <w:rPr>
          <w:bCs/>
        </w:rPr>
        <w:t xml:space="preserve">; </w:t>
      </w:r>
      <w:r w:rsidR="003F427C" w:rsidRPr="003F427C">
        <w:rPr>
          <w:b/>
        </w:rPr>
        <w:fldChar w:fldCharType="begin"/>
      </w:r>
      <w:r w:rsidR="003F427C" w:rsidRPr="003F427C">
        <w:rPr>
          <w:bCs/>
        </w:rPr>
        <w:instrText xml:space="preserve"> REF _Ref80170318 \h </w:instrText>
      </w:r>
      <w:r w:rsidR="003F427C" w:rsidRPr="003F427C">
        <w:rPr>
          <w:b/>
        </w:rPr>
        <w:instrText xml:space="preserve"> \* MERGEFORMAT </w:instrText>
      </w:r>
      <w:r w:rsidR="003F427C" w:rsidRPr="003F427C">
        <w:rPr>
          <w:b/>
        </w:rPr>
      </w:r>
      <w:r w:rsidR="003F427C" w:rsidRPr="003F427C">
        <w:rPr>
          <w:b/>
        </w:rPr>
        <w:fldChar w:fldCharType="separate"/>
      </w:r>
      <w:r w:rsidR="003F427C" w:rsidRPr="003F427C">
        <w:rPr>
          <w:b/>
          <w:bCs/>
          <w:color w:val="000000" w:themeColor="text1"/>
        </w:rPr>
        <w:t xml:space="preserve">Table </w:t>
      </w:r>
      <w:r w:rsidR="003F427C" w:rsidRPr="003F427C">
        <w:rPr>
          <w:b/>
          <w:bCs/>
          <w:noProof/>
          <w:color w:val="000000" w:themeColor="text1"/>
        </w:rPr>
        <w:t>7</w:t>
      </w:r>
      <w:r w:rsidR="003F427C" w:rsidRPr="003F427C">
        <w:rPr>
          <w:b/>
        </w:rPr>
        <w:fldChar w:fldCharType="end"/>
      </w:r>
      <w:r w:rsidR="00A30D2D" w:rsidRPr="00C23BEE">
        <w:rPr>
          <w:bCs/>
        </w:rPr>
        <w:t xml:space="preserve">). Based </w:t>
      </w:r>
      <w:r w:rsidR="00A30D2D" w:rsidRPr="00B83D1A">
        <w:rPr>
          <w:bCs/>
        </w:rPr>
        <w:t xml:space="preserve">on the AIC weights, the fit of the </w:t>
      </w:r>
      <w:r w:rsidR="00A30D2D">
        <w:rPr>
          <w:bCs/>
        </w:rPr>
        <w:t>triangular and normal</w:t>
      </w:r>
      <w:r w:rsidR="00A30D2D" w:rsidRPr="00B83D1A">
        <w:rPr>
          <w:bCs/>
        </w:rPr>
        <w:t xml:space="preserve"> distributions are further considered below for </w:t>
      </w:r>
      <w:r w:rsidR="00A30D2D">
        <w:rPr>
          <w:bCs/>
        </w:rPr>
        <w:t xml:space="preserve">contact exposure </w:t>
      </w:r>
      <w:r w:rsidR="00A30D2D" w:rsidRPr="00C23BEE">
        <w:rPr>
          <w:bCs/>
        </w:rPr>
        <w:t>invertebrate data.</w:t>
      </w:r>
    </w:p>
    <w:p w14:paraId="355753CF" w14:textId="77777777" w:rsidR="00C74ECB" w:rsidRPr="001D0324" w:rsidRDefault="00C74ECB" w:rsidP="00C74ECB">
      <w:pPr>
        <w:spacing w:after="0" w:line="240" w:lineRule="auto"/>
        <w:rPr>
          <w:color w:val="FF0000"/>
        </w:rPr>
      </w:pPr>
    </w:p>
    <w:p w14:paraId="723704C3" w14:textId="56FE992C" w:rsidR="00C74ECB" w:rsidRPr="00A30D2D" w:rsidRDefault="00D147A6" w:rsidP="00D147A6">
      <w:pPr>
        <w:pStyle w:val="Caption"/>
        <w:rPr>
          <w:b/>
        </w:rPr>
      </w:pPr>
      <w:bookmarkStart w:id="6" w:name="_Ref80170300"/>
      <w:r w:rsidRPr="00D147A6">
        <w:rPr>
          <w:b/>
          <w:bCs/>
          <w:i w:val="0"/>
          <w:iCs w:val="0"/>
          <w:color w:val="000000" w:themeColor="text1"/>
          <w:sz w:val="22"/>
          <w:szCs w:val="22"/>
        </w:rPr>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Pr>
          <w:b/>
          <w:bCs/>
          <w:i w:val="0"/>
          <w:iCs w:val="0"/>
          <w:noProof/>
          <w:color w:val="000000" w:themeColor="text1"/>
          <w:sz w:val="22"/>
          <w:szCs w:val="22"/>
        </w:rPr>
        <w:t>6</w:t>
      </w:r>
      <w:r w:rsidRPr="00D147A6">
        <w:rPr>
          <w:b/>
          <w:bCs/>
          <w:i w:val="0"/>
          <w:iCs w:val="0"/>
          <w:color w:val="000000" w:themeColor="text1"/>
          <w:sz w:val="22"/>
          <w:szCs w:val="22"/>
        </w:rPr>
        <w:fldChar w:fldCharType="end"/>
      </w:r>
      <w:bookmarkEnd w:id="6"/>
      <w:r w:rsidRPr="00D147A6">
        <w:rPr>
          <w:b/>
          <w:bCs/>
          <w:i w:val="0"/>
          <w:iCs w:val="0"/>
          <w:color w:val="000000" w:themeColor="text1"/>
          <w:sz w:val="22"/>
          <w:szCs w:val="22"/>
        </w:rPr>
        <w:t>.  Comparison of distributions for dietary invertebrate toxicity data for imidacloprid</w:t>
      </w:r>
      <w:r w:rsidRPr="00BB3951">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2"/>
        <w:gridCol w:w="1705"/>
        <w:gridCol w:w="1584"/>
        <w:gridCol w:w="1342"/>
        <w:gridCol w:w="1097"/>
        <w:gridCol w:w="1340"/>
      </w:tblGrid>
      <w:tr w:rsidR="00620BE1" w:rsidRPr="00931CF0" w14:paraId="13EC9588" w14:textId="47A11DDD" w:rsidTr="00B83D1A">
        <w:tc>
          <w:tcPr>
            <w:tcW w:w="1224" w:type="pct"/>
            <w:tcBorders>
              <w:top w:val="single" w:sz="12" w:space="0" w:color="000000"/>
              <w:left w:val="nil"/>
              <w:bottom w:val="single" w:sz="12" w:space="0" w:color="000000"/>
              <w:right w:val="nil"/>
            </w:tcBorders>
          </w:tcPr>
          <w:p w14:paraId="57385B78" w14:textId="77777777" w:rsidR="00620BE1" w:rsidRPr="002740EC" w:rsidRDefault="00620BE1" w:rsidP="00D72EFA">
            <w:pPr>
              <w:keepNext/>
              <w:keepLines/>
              <w:spacing w:after="0" w:line="240" w:lineRule="auto"/>
              <w:rPr>
                <w:rFonts w:ascii="Calibri" w:hAnsi="Calibri"/>
                <w:b/>
                <w:bCs/>
              </w:rPr>
            </w:pPr>
            <w:r w:rsidRPr="002740EC">
              <w:rPr>
                <w:rFonts w:ascii="Calibri" w:hAnsi="Calibri"/>
                <w:b/>
                <w:bCs/>
              </w:rPr>
              <w:t>Distribution</w:t>
            </w:r>
          </w:p>
        </w:tc>
        <w:tc>
          <w:tcPr>
            <w:tcW w:w="911" w:type="pct"/>
            <w:tcBorders>
              <w:top w:val="single" w:sz="12" w:space="0" w:color="000000"/>
              <w:left w:val="nil"/>
              <w:bottom w:val="single" w:sz="12" w:space="0" w:color="000000"/>
              <w:right w:val="nil"/>
            </w:tcBorders>
          </w:tcPr>
          <w:p w14:paraId="2819E8C8" w14:textId="661D93CC" w:rsidR="00620BE1" w:rsidRPr="002740EC" w:rsidRDefault="00620BE1" w:rsidP="00D72EFA">
            <w:pPr>
              <w:keepNext/>
              <w:keepLines/>
              <w:spacing w:after="0" w:line="240" w:lineRule="auto"/>
              <w:rPr>
                <w:rFonts w:ascii="Calibri" w:hAnsi="Calibri"/>
                <w:b/>
                <w:bCs/>
              </w:rPr>
            </w:pPr>
            <w:r w:rsidRPr="002740EC">
              <w:rPr>
                <w:rFonts w:ascii="Calibri" w:hAnsi="Calibri"/>
                <w:b/>
                <w:bCs/>
              </w:rPr>
              <w:t>AICc</w:t>
            </w:r>
          </w:p>
        </w:tc>
        <w:tc>
          <w:tcPr>
            <w:tcW w:w="846" w:type="pct"/>
            <w:tcBorders>
              <w:top w:val="single" w:sz="12" w:space="0" w:color="000000"/>
              <w:left w:val="nil"/>
              <w:bottom w:val="single" w:sz="12" w:space="0" w:color="000000"/>
              <w:right w:val="nil"/>
            </w:tcBorders>
          </w:tcPr>
          <w:p w14:paraId="05040080" w14:textId="7A83092F" w:rsidR="00620BE1" w:rsidRPr="002740EC" w:rsidRDefault="00620BE1" w:rsidP="00D72EFA">
            <w:pPr>
              <w:keepNext/>
              <w:keepLines/>
              <w:spacing w:after="0" w:line="240" w:lineRule="auto"/>
              <w:rPr>
                <w:rFonts w:ascii="Calibri" w:hAnsi="Calibri"/>
                <w:b/>
                <w:bCs/>
              </w:rPr>
            </w:pPr>
            <w:r w:rsidRPr="002740EC">
              <w:rPr>
                <w:rFonts w:ascii="Calibri" w:hAnsi="Calibri"/>
                <w:b/>
                <w:bCs/>
              </w:rPr>
              <w:t>Delta AICc</w:t>
            </w:r>
          </w:p>
        </w:tc>
        <w:tc>
          <w:tcPr>
            <w:tcW w:w="717" w:type="pct"/>
            <w:tcBorders>
              <w:top w:val="single" w:sz="12" w:space="0" w:color="000000"/>
              <w:left w:val="nil"/>
              <w:bottom w:val="single" w:sz="12" w:space="0" w:color="000000"/>
              <w:right w:val="nil"/>
            </w:tcBorders>
          </w:tcPr>
          <w:p w14:paraId="0593D8B0" w14:textId="377F9907" w:rsidR="00620BE1" w:rsidRPr="002740EC" w:rsidRDefault="00620BE1" w:rsidP="00D72EFA">
            <w:pPr>
              <w:keepNext/>
              <w:keepLines/>
              <w:spacing w:after="0" w:line="240" w:lineRule="auto"/>
              <w:rPr>
                <w:rFonts w:ascii="Calibri" w:hAnsi="Calibri"/>
                <w:b/>
                <w:bCs/>
              </w:rPr>
            </w:pPr>
            <w:r w:rsidRPr="002740EC">
              <w:rPr>
                <w:rFonts w:ascii="Calibri" w:hAnsi="Calibri"/>
                <w:b/>
                <w:bCs/>
              </w:rPr>
              <w:t>Wt</w:t>
            </w:r>
          </w:p>
        </w:tc>
        <w:tc>
          <w:tcPr>
            <w:tcW w:w="586" w:type="pct"/>
            <w:tcBorders>
              <w:top w:val="single" w:sz="12" w:space="0" w:color="000000"/>
              <w:left w:val="nil"/>
              <w:bottom w:val="single" w:sz="12" w:space="0" w:color="000000"/>
              <w:right w:val="nil"/>
            </w:tcBorders>
          </w:tcPr>
          <w:p w14:paraId="02944734" w14:textId="32F95BBB" w:rsidR="00620BE1" w:rsidRPr="002740EC" w:rsidRDefault="00620BE1" w:rsidP="00D72EFA">
            <w:pPr>
              <w:keepNext/>
              <w:keepLines/>
              <w:spacing w:after="0" w:line="240" w:lineRule="auto"/>
              <w:rPr>
                <w:rFonts w:ascii="Calibri" w:hAnsi="Calibri"/>
                <w:b/>
                <w:bCs/>
              </w:rPr>
            </w:pPr>
            <w:r w:rsidRPr="002740EC">
              <w:rPr>
                <w:rFonts w:ascii="Calibri" w:hAnsi="Calibri"/>
                <w:b/>
                <w:bCs/>
              </w:rPr>
              <w:t>HC</w:t>
            </w:r>
            <w:r w:rsidR="00EA6C73" w:rsidRPr="002740EC">
              <w:rPr>
                <w:rFonts w:ascii="Calibri" w:hAnsi="Calibri"/>
                <w:b/>
                <w:bCs/>
                <w:vertAlign w:val="subscript"/>
              </w:rPr>
              <w:t>05</w:t>
            </w:r>
          </w:p>
        </w:tc>
        <w:tc>
          <w:tcPr>
            <w:tcW w:w="716" w:type="pct"/>
            <w:tcBorders>
              <w:top w:val="single" w:sz="12" w:space="0" w:color="000000"/>
              <w:left w:val="nil"/>
              <w:bottom w:val="single" w:sz="12" w:space="0" w:color="000000"/>
              <w:right w:val="nil"/>
            </w:tcBorders>
          </w:tcPr>
          <w:p w14:paraId="0D7C4A45" w14:textId="3B2D89DC" w:rsidR="00620BE1" w:rsidRPr="002740EC" w:rsidRDefault="00620BE1" w:rsidP="00D72EFA">
            <w:pPr>
              <w:keepNext/>
              <w:keepLines/>
              <w:spacing w:after="0" w:line="240" w:lineRule="auto"/>
              <w:rPr>
                <w:rFonts w:ascii="Calibri" w:hAnsi="Calibri"/>
                <w:b/>
                <w:bCs/>
              </w:rPr>
            </w:pPr>
            <w:r w:rsidRPr="002740EC">
              <w:rPr>
                <w:rFonts w:ascii="Calibri" w:hAnsi="Calibri"/>
                <w:b/>
                <w:bCs/>
              </w:rPr>
              <w:t>SE HC</w:t>
            </w:r>
            <w:r w:rsidR="00EA6C73" w:rsidRPr="002740EC">
              <w:rPr>
                <w:rFonts w:ascii="Calibri" w:hAnsi="Calibri"/>
                <w:b/>
                <w:bCs/>
                <w:vertAlign w:val="subscript"/>
              </w:rPr>
              <w:t>05</w:t>
            </w:r>
          </w:p>
        </w:tc>
      </w:tr>
      <w:tr w:rsidR="00C54724" w:rsidRPr="00931CF0" w14:paraId="5FB42681" w14:textId="7B5A3571" w:rsidTr="00B83D1A">
        <w:tc>
          <w:tcPr>
            <w:tcW w:w="1224" w:type="pct"/>
            <w:tcBorders>
              <w:top w:val="nil"/>
              <w:left w:val="nil"/>
              <w:bottom w:val="nil"/>
              <w:right w:val="nil"/>
            </w:tcBorders>
            <w:vAlign w:val="center"/>
          </w:tcPr>
          <w:p w14:paraId="763141B8" w14:textId="4C7CE88F" w:rsidR="00C54724" w:rsidRPr="00A30D2D" w:rsidRDefault="00C54724" w:rsidP="00C54724">
            <w:pPr>
              <w:keepNext/>
              <w:keepLines/>
              <w:spacing w:after="0" w:line="240" w:lineRule="auto"/>
              <w:rPr>
                <w:rFonts w:ascii="Calibri" w:hAnsi="Calibri"/>
              </w:rPr>
            </w:pPr>
            <w:r>
              <w:t>gumbel</w:t>
            </w:r>
          </w:p>
        </w:tc>
        <w:tc>
          <w:tcPr>
            <w:tcW w:w="911" w:type="pct"/>
            <w:tcBorders>
              <w:top w:val="nil"/>
              <w:left w:val="nil"/>
              <w:bottom w:val="nil"/>
              <w:right w:val="nil"/>
            </w:tcBorders>
            <w:vAlign w:val="center"/>
          </w:tcPr>
          <w:p w14:paraId="5AB31C57" w14:textId="688C00AF" w:rsidR="00C54724" w:rsidRPr="00931CF0" w:rsidRDefault="00C54724" w:rsidP="00C54724">
            <w:pPr>
              <w:keepNext/>
              <w:keepLines/>
              <w:spacing w:after="0" w:line="240" w:lineRule="auto"/>
              <w:rPr>
                <w:rFonts w:ascii="Calibri" w:hAnsi="Calibri"/>
              </w:rPr>
            </w:pPr>
            <w:r>
              <w:t>78.6359</w:t>
            </w:r>
          </w:p>
        </w:tc>
        <w:tc>
          <w:tcPr>
            <w:tcW w:w="846" w:type="pct"/>
            <w:tcBorders>
              <w:top w:val="nil"/>
              <w:left w:val="nil"/>
              <w:bottom w:val="nil"/>
              <w:right w:val="nil"/>
            </w:tcBorders>
            <w:vAlign w:val="center"/>
          </w:tcPr>
          <w:p w14:paraId="2453100C" w14:textId="3B95E6EF" w:rsidR="00C54724" w:rsidRPr="00931CF0" w:rsidRDefault="00C54724" w:rsidP="00C54724">
            <w:pPr>
              <w:keepNext/>
              <w:keepLines/>
              <w:spacing w:after="0" w:line="240" w:lineRule="auto"/>
              <w:rPr>
                <w:rFonts w:ascii="Calibri" w:hAnsi="Calibri"/>
              </w:rPr>
            </w:pPr>
            <w:r>
              <w:t>0</w:t>
            </w:r>
          </w:p>
        </w:tc>
        <w:tc>
          <w:tcPr>
            <w:tcW w:w="717" w:type="pct"/>
            <w:tcBorders>
              <w:top w:val="nil"/>
              <w:left w:val="nil"/>
              <w:bottom w:val="nil"/>
              <w:right w:val="nil"/>
            </w:tcBorders>
            <w:vAlign w:val="center"/>
          </w:tcPr>
          <w:p w14:paraId="219B590E" w14:textId="4033FE97" w:rsidR="00C54724" w:rsidRDefault="00C54724" w:rsidP="00C54724">
            <w:pPr>
              <w:keepNext/>
              <w:keepLines/>
              <w:spacing w:after="0" w:line="240" w:lineRule="auto"/>
              <w:rPr>
                <w:rFonts w:ascii="Calibri" w:hAnsi="Calibri"/>
              </w:rPr>
            </w:pPr>
            <w:r>
              <w:t>0.3202</w:t>
            </w:r>
          </w:p>
        </w:tc>
        <w:tc>
          <w:tcPr>
            <w:tcW w:w="586" w:type="pct"/>
            <w:tcBorders>
              <w:top w:val="nil"/>
              <w:left w:val="nil"/>
              <w:bottom w:val="nil"/>
              <w:right w:val="nil"/>
            </w:tcBorders>
            <w:vAlign w:val="center"/>
          </w:tcPr>
          <w:p w14:paraId="6D039B5E" w14:textId="05E467CF" w:rsidR="00C54724" w:rsidRDefault="00C54724" w:rsidP="00C54724">
            <w:pPr>
              <w:keepNext/>
              <w:keepLines/>
              <w:spacing w:after="0" w:line="240" w:lineRule="auto"/>
              <w:rPr>
                <w:rFonts w:ascii="Calibri" w:hAnsi="Calibri"/>
              </w:rPr>
            </w:pPr>
            <w:r>
              <w:t>0.1554</w:t>
            </w:r>
          </w:p>
        </w:tc>
        <w:tc>
          <w:tcPr>
            <w:tcW w:w="716" w:type="pct"/>
            <w:tcBorders>
              <w:top w:val="nil"/>
              <w:left w:val="nil"/>
              <w:bottom w:val="nil"/>
              <w:right w:val="nil"/>
            </w:tcBorders>
            <w:vAlign w:val="center"/>
          </w:tcPr>
          <w:p w14:paraId="3E6C552B" w14:textId="0F00A94F" w:rsidR="00C54724" w:rsidRDefault="00C54724" w:rsidP="00C54724">
            <w:pPr>
              <w:keepNext/>
              <w:keepLines/>
              <w:spacing w:after="0" w:line="240" w:lineRule="auto"/>
              <w:rPr>
                <w:rFonts w:ascii="Calibri" w:hAnsi="Calibri"/>
              </w:rPr>
            </w:pPr>
            <w:r>
              <w:t>0.1086</w:t>
            </w:r>
          </w:p>
        </w:tc>
      </w:tr>
      <w:tr w:rsidR="00C54724" w:rsidRPr="00931CF0" w14:paraId="4A020724" w14:textId="237DFFFF" w:rsidTr="00B83D1A">
        <w:tc>
          <w:tcPr>
            <w:tcW w:w="1224" w:type="pct"/>
            <w:tcBorders>
              <w:top w:val="nil"/>
              <w:left w:val="nil"/>
              <w:bottom w:val="nil"/>
              <w:right w:val="nil"/>
            </w:tcBorders>
            <w:vAlign w:val="center"/>
          </w:tcPr>
          <w:p w14:paraId="1D361A74" w14:textId="753326F4" w:rsidR="00C54724" w:rsidRPr="00A30D2D" w:rsidRDefault="00C54724" w:rsidP="00C54724">
            <w:pPr>
              <w:keepNext/>
              <w:keepLines/>
              <w:spacing w:after="0" w:line="240" w:lineRule="auto"/>
              <w:rPr>
                <w:rFonts w:ascii="Calibri" w:hAnsi="Calibri"/>
              </w:rPr>
            </w:pPr>
            <w:r>
              <w:t>triangular</w:t>
            </w:r>
          </w:p>
        </w:tc>
        <w:tc>
          <w:tcPr>
            <w:tcW w:w="911" w:type="pct"/>
            <w:tcBorders>
              <w:top w:val="nil"/>
              <w:left w:val="nil"/>
              <w:bottom w:val="nil"/>
              <w:right w:val="nil"/>
            </w:tcBorders>
            <w:vAlign w:val="center"/>
          </w:tcPr>
          <w:p w14:paraId="3FA183B8" w14:textId="77EB0BA0" w:rsidR="00C54724" w:rsidRPr="00931CF0" w:rsidRDefault="00C54724" w:rsidP="00C54724">
            <w:pPr>
              <w:keepNext/>
              <w:keepLines/>
              <w:spacing w:after="0" w:line="240" w:lineRule="auto"/>
              <w:rPr>
                <w:rFonts w:ascii="Calibri" w:hAnsi="Calibri"/>
              </w:rPr>
            </w:pPr>
            <w:r>
              <w:t>79.1807</w:t>
            </w:r>
          </w:p>
        </w:tc>
        <w:tc>
          <w:tcPr>
            <w:tcW w:w="846" w:type="pct"/>
            <w:tcBorders>
              <w:top w:val="nil"/>
              <w:left w:val="nil"/>
              <w:bottom w:val="nil"/>
              <w:right w:val="nil"/>
            </w:tcBorders>
            <w:vAlign w:val="center"/>
          </w:tcPr>
          <w:p w14:paraId="324710CC" w14:textId="58BEF84B" w:rsidR="00C54724" w:rsidRPr="00931CF0" w:rsidRDefault="00C54724" w:rsidP="00C54724">
            <w:pPr>
              <w:keepNext/>
              <w:keepLines/>
              <w:spacing w:after="0" w:line="240" w:lineRule="auto"/>
              <w:rPr>
                <w:rFonts w:ascii="Calibri" w:hAnsi="Calibri"/>
              </w:rPr>
            </w:pPr>
            <w:r>
              <w:t>0.5448</w:t>
            </w:r>
          </w:p>
        </w:tc>
        <w:tc>
          <w:tcPr>
            <w:tcW w:w="717" w:type="pct"/>
            <w:tcBorders>
              <w:top w:val="nil"/>
              <w:left w:val="nil"/>
              <w:bottom w:val="nil"/>
              <w:right w:val="nil"/>
            </w:tcBorders>
            <w:vAlign w:val="center"/>
          </w:tcPr>
          <w:p w14:paraId="6B5C2B9D" w14:textId="3A31C5EE" w:rsidR="00C54724" w:rsidRDefault="00C54724" w:rsidP="00C54724">
            <w:pPr>
              <w:keepNext/>
              <w:keepLines/>
              <w:spacing w:after="0" w:line="240" w:lineRule="auto"/>
              <w:rPr>
                <w:rFonts w:ascii="Calibri" w:hAnsi="Calibri"/>
              </w:rPr>
            </w:pPr>
            <w:r>
              <w:t>0.2439</w:t>
            </w:r>
          </w:p>
        </w:tc>
        <w:tc>
          <w:tcPr>
            <w:tcW w:w="586" w:type="pct"/>
            <w:tcBorders>
              <w:top w:val="nil"/>
              <w:left w:val="nil"/>
              <w:bottom w:val="nil"/>
              <w:right w:val="nil"/>
            </w:tcBorders>
            <w:vAlign w:val="center"/>
          </w:tcPr>
          <w:p w14:paraId="34831A07" w14:textId="1A3F57DD" w:rsidR="00C54724" w:rsidRDefault="00C54724" w:rsidP="00C54724">
            <w:pPr>
              <w:keepNext/>
              <w:keepLines/>
              <w:spacing w:after="0" w:line="240" w:lineRule="auto"/>
              <w:rPr>
                <w:rFonts w:ascii="Calibri" w:hAnsi="Calibri"/>
              </w:rPr>
            </w:pPr>
            <w:r>
              <w:t>0.1077</w:t>
            </w:r>
          </w:p>
        </w:tc>
        <w:tc>
          <w:tcPr>
            <w:tcW w:w="716" w:type="pct"/>
            <w:tcBorders>
              <w:top w:val="nil"/>
              <w:left w:val="nil"/>
              <w:bottom w:val="nil"/>
              <w:right w:val="nil"/>
            </w:tcBorders>
            <w:vAlign w:val="center"/>
          </w:tcPr>
          <w:p w14:paraId="248A4474" w14:textId="0FDF659C" w:rsidR="00C54724" w:rsidRDefault="00C54724" w:rsidP="00C54724">
            <w:pPr>
              <w:keepNext/>
              <w:keepLines/>
              <w:spacing w:after="0" w:line="240" w:lineRule="auto"/>
              <w:rPr>
                <w:rFonts w:ascii="Calibri" w:hAnsi="Calibri"/>
              </w:rPr>
            </w:pPr>
            <w:r>
              <w:t>0.1396</w:t>
            </w:r>
          </w:p>
        </w:tc>
      </w:tr>
      <w:tr w:rsidR="00C54724" w:rsidRPr="00931CF0" w14:paraId="48469A5F" w14:textId="1EF66392" w:rsidTr="00B83D1A">
        <w:tc>
          <w:tcPr>
            <w:tcW w:w="1224" w:type="pct"/>
            <w:tcBorders>
              <w:top w:val="nil"/>
              <w:left w:val="nil"/>
              <w:bottom w:val="nil"/>
              <w:right w:val="nil"/>
            </w:tcBorders>
            <w:vAlign w:val="center"/>
          </w:tcPr>
          <w:p w14:paraId="06711DDE" w14:textId="1278E4D5" w:rsidR="00C54724" w:rsidRPr="00A30D2D" w:rsidRDefault="00C54724" w:rsidP="00C54724">
            <w:pPr>
              <w:keepNext/>
              <w:keepLines/>
              <w:spacing w:after="0" w:line="240" w:lineRule="auto"/>
              <w:rPr>
                <w:rFonts w:ascii="Calibri" w:hAnsi="Calibri"/>
              </w:rPr>
            </w:pPr>
            <w:r>
              <w:t>normal</w:t>
            </w:r>
          </w:p>
        </w:tc>
        <w:tc>
          <w:tcPr>
            <w:tcW w:w="911" w:type="pct"/>
            <w:tcBorders>
              <w:top w:val="nil"/>
              <w:left w:val="nil"/>
              <w:bottom w:val="nil"/>
              <w:right w:val="nil"/>
            </w:tcBorders>
            <w:vAlign w:val="center"/>
          </w:tcPr>
          <w:p w14:paraId="3C938A6A" w14:textId="7707ADE0" w:rsidR="00C54724" w:rsidRDefault="00C54724" w:rsidP="00C54724">
            <w:pPr>
              <w:keepNext/>
              <w:keepLines/>
              <w:spacing w:after="0" w:line="240" w:lineRule="auto"/>
              <w:rPr>
                <w:rFonts w:ascii="Calibri" w:hAnsi="Calibri"/>
              </w:rPr>
            </w:pPr>
            <w:r>
              <w:t>79.4818</w:t>
            </w:r>
          </w:p>
        </w:tc>
        <w:tc>
          <w:tcPr>
            <w:tcW w:w="846" w:type="pct"/>
            <w:tcBorders>
              <w:top w:val="nil"/>
              <w:left w:val="nil"/>
              <w:bottom w:val="nil"/>
              <w:right w:val="nil"/>
            </w:tcBorders>
            <w:vAlign w:val="center"/>
          </w:tcPr>
          <w:p w14:paraId="0331EA44" w14:textId="149900DE" w:rsidR="00C54724" w:rsidRDefault="00C54724" w:rsidP="00C54724">
            <w:pPr>
              <w:keepNext/>
              <w:keepLines/>
              <w:spacing w:after="0" w:line="240" w:lineRule="auto"/>
              <w:rPr>
                <w:rFonts w:ascii="Calibri" w:hAnsi="Calibri"/>
              </w:rPr>
            </w:pPr>
            <w:r>
              <w:t>0.8459</w:t>
            </w:r>
          </w:p>
        </w:tc>
        <w:tc>
          <w:tcPr>
            <w:tcW w:w="717" w:type="pct"/>
            <w:tcBorders>
              <w:top w:val="nil"/>
              <w:left w:val="nil"/>
              <w:bottom w:val="nil"/>
              <w:right w:val="nil"/>
            </w:tcBorders>
            <w:vAlign w:val="center"/>
          </w:tcPr>
          <w:p w14:paraId="2CF4D971" w14:textId="6F3FAF16" w:rsidR="00C54724" w:rsidRDefault="00C54724" w:rsidP="00C54724">
            <w:pPr>
              <w:keepNext/>
              <w:keepLines/>
              <w:spacing w:after="0" w:line="240" w:lineRule="auto"/>
              <w:rPr>
                <w:rFonts w:ascii="Calibri" w:hAnsi="Calibri"/>
              </w:rPr>
            </w:pPr>
            <w:r>
              <w:t>0.2098</w:t>
            </w:r>
          </w:p>
        </w:tc>
        <w:tc>
          <w:tcPr>
            <w:tcW w:w="586" w:type="pct"/>
            <w:tcBorders>
              <w:top w:val="nil"/>
              <w:left w:val="nil"/>
              <w:bottom w:val="nil"/>
              <w:right w:val="nil"/>
            </w:tcBorders>
            <w:vAlign w:val="center"/>
          </w:tcPr>
          <w:p w14:paraId="04B7FA5D" w14:textId="48841E08" w:rsidR="00C54724" w:rsidRDefault="00C54724" w:rsidP="00C54724">
            <w:pPr>
              <w:keepNext/>
              <w:keepLines/>
              <w:spacing w:after="0" w:line="240" w:lineRule="auto"/>
              <w:rPr>
                <w:rFonts w:ascii="Calibri" w:hAnsi="Calibri"/>
              </w:rPr>
            </w:pPr>
            <w:r>
              <w:t>0.0814</w:t>
            </w:r>
          </w:p>
        </w:tc>
        <w:tc>
          <w:tcPr>
            <w:tcW w:w="716" w:type="pct"/>
            <w:tcBorders>
              <w:top w:val="nil"/>
              <w:left w:val="nil"/>
              <w:bottom w:val="nil"/>
              <w:right w:val="nil"/>
            </w:tcBorders>
            <w:vAlign w:val="center"/>
          </w:tcPr>
          <w:p w14:paraId="210C7484" w14:textId="6348FFE6" w:rsidR="00C54724" w:rsidRDefault="00C54724" w:rsidP="00C54724">
            <w:pPr>
              <w:keepNext/>
              <w:keepLines/>
              <w:spacing w:after="0" w:line="240" w:lineRule="auto"/>
              <w:rPr>
                <w:rFonts w:ascii="Calibri" w:hAnsi="Calibri"/>
              </w:rPr>
            </w:pPr>
            <w:r>
              <w:t>0.0940</w:t>
            </w:r>
          </w:p>
        </w:tc>
      </w:tr>
      <w:tr w:rsidR="00C54724" w:rsidRPr="00931CF0" w14:paraId="7FC38EC2" w14:textId="4E3D71D0" w:rsidTr="00D147A6">
        <w:tc>
          <w:tcPr>
            <w:tcW w:w="1224" w:type="pct"/>
            <w:tcBorders>
              <w:top w:val="nil"/>
              <w:left w:val="nil"/>
              <w:bottom w:val="nil"/>
              <w:right w:val="nil"/>
            </w:tcBorders>
            <w:vAlign w:val="center"/>
          </w:tcPr>
          <w:p w14:paraId="579D0295" w14:textId="1D5DFBEA" w:rsidR="00C54724" w:rsidRPr="00A30D2D" w:rsidRDefault="00C54724" w:rsidP="00C54724">
            <w:pPr>
              <w:keepNext/>
              <w:keepLines/>
              <w:spacing w:after="0" w:line="240" w:lineRule="auto"/>
              <w:rPr>
                <w:rFonts w:ascii="Calibri" w:hAnsi="Calibri"/>
              </w:rPr>
            </w:pPr>
            <w:r>
              <w:t>logistic</w:t>
            </w:r>
          </w:p>
        </w:tc>
        <w:tc>
          <w:tcPr>
            <w:tcW w:w="911" w:type="pct"/>
            <w:tcBorders>
              <w:top w:val="nil"/>
              <w:left w:val="nil"/>
              <w:bottom w:val="nil"/>
              <w:right w:val="nil"/>
            </w:tcBorders>
            <w:vAlign w:val="center"/>
          </w:tcPr>
          <w:p w14:paraId="3D78E053" w14:textId="4AB5ED2F" w:rsidR="00C54724" w:rsidRDefault="00C54724" w:rsidP="00C54724">
            <w:pPr>
              <w:keepNext/>
              <w:keepLines/>
              <w:spacing w:after="0" w:line="240" w:lineRule="auto"/>
              <w:rPr>
                <w:rFonts w:ascii="Calibri" w:hAnsi="Calibri"/>
              </w:rPr>
            </w:pPr>
            <w:r>
              <w:t>79.6950</w:t>
            </w:r>
          </w:p>
        </w:tc>
        <w:tc>
          <w:tcPr>
            <w:tcW w:w="846" w:type="pct"/>
            <w:tcBorders>
              <w:top w:val="nil"/>
              <w:left w:val="nil"/>
              <w:bottom w:val="nil"/>
              <w:right w:val="nil"/>
            </w:tcBorders>
            <w:vAlign w:val="center"/>
          </w:tcPr>
          <w:p w14:paraId="6142B3F5" w14:textId="3239DE5C" w:rsidR="00C54724" w:rsidRDefault="00C54724" w:rsidP="00C54724">
            <w:pPr>
              <w:keepNext/>
              <w:keepLines/>
              <w:spacing w:after="0" w:line="240" w:lineRule="auto"/>
              <w:rPr>
                <w:rFonts w:ascii="Calibri" w:hAnsi="Calibri"/>
              </w:rPr>
            </w:pPr>
            <w:r>
              <w:t>1.0591</w:t>
            </w:r>
          </w:p>
        </w:tc>
        <w:tc>
          <w:tcPr>
            <w:tcW w:w="717" w:type="pct"/>
            <w:tcBorders>
              <w:top w:val="nil"/>
              <w:left w:val="nil"/>
              <w:bottom w:val="nil"/>
              <w:right w:val="nil"/>
            </w:tcBorders>
            <w:vAlign w:val="center"/>
          </w:tcPr>
          <w:p w14:paraId="56FE95BE" w14:textId="31DB460E" w:rsidR="00C54724" w:rsidRDefault="00C54724" w:rsidP="00C54724">
            <w:pPr>
              <w:keepNext/>
              <w:keepLines/>
              <w:spacing w:after="0" w:line="240" w:lineRule="auto"/>
              <w:rPr>
                <w:rFonts w:ascii="Calibri" w:hAnsi="Calibri"/>
              </w:rPr>
            </w:pPr>
            <w:r>
              <w:t>0.1886</w:t>
            </w:r>
          </w:p>
        </w:tc>
        <w:tc>
          <w:tcPr>
            <w:tcW w:w="586" w:type="pct"/>
            <w:tcBorders>
              <w:top w:val="nil"/>
              <w:left w:val="nil"/>
              <w:bottom w:val="nil"/>
              <w:right w:val="nil"/>
            </w:tcBorders>
            <w:vAlign w:val="center"/>
          </w:tcPr>
          <w:p w14:paraId="786BF292" w14:textId="6A6AA9DF" w:rsidR="00C54724" w:rsidRDefault="00C54724" w:rsidP="00C54724">
            <w:pPr>
              <w:keepNext/>
              <w:keepLines/>
              <w:spacing w:after="0" w:line="240" w:lineRule="auto"/>
              <w:rPr>
                <w:rFonts w:ascii="Calibri" w:hAnsi="Calibri"/>
              </w:rPr>
            </w:pPr>
            <w:r>
              <w:t>0.0636</w:t>
            </w:r>
          </w:p>
        </w:tc>
        <w:tc>
          <w:tcPr>
            <w:tcW w:w="716" w:type="pct"/>
            <w:tcBorders>
              <w:top w:val="nil"/>
              <w:left w:val="nil"/>
              <w:bottom w:val="nil"/>
              <w:right w:val="nil"/>
            </w:tcBorders>
            <w:vAlign w:val="center"/>
          </w:tcPr>
          <w:p w14:paraId="6045BBF4" w14:textId="3D331AE2" w:rsidR="00C54724" w:rsidRDefault="00C54724" w:rsidP="00C54724">
            <w:pPr>
              <w:keepNext/>
              <w:keepLines/>
              <w:spacing w:after="0" w:line="240" w:lineRule="auto"/>
              <w:rPr>
                <w:rFonts w:ascii="Calibri" w:hAnsi="Calibri"/>
              </w:rPr>
            </w:pPr>
            <w:r>
              <w:t>0.0805</w:t>
            </w:r>
          </w:p>
        </w:tc>
      </w:tr>
      <w:tr w:rsidR="00C54724" w:rsidRPr="00931CF0" w14:paraId="04A3B86C" w14:textId="77777777" w:rsidTr="00D147A6">
        <w:tc>
          <w:tcPr>
            <w:tcW w:w="1224" w:type="pct"/>
            <w:tcBorders>
              <w:top w:val="nil"/>
              <w:left w:val="nil"/>
              <w:bottom w:val="single" w:sz="8" w:space="0" w:color="000000"/>
              <w:right w:val="nil"/>
            </w:tcBorders>
            <w:vAlign w:val="center"/>
          </w:tcPr>
          <w:p w14:paraId="3A63DB0A" w14:textId="18B8C7CF" w:rsidR="00C54724" w:rsidRDefault="00C54724" w:rsidP="00C54724">
            <w:pPr>
              <w:keepNext/>
              <w:keepLines/>
              <w:spacing w:after="0" w:line="240" w:lineRule="auto"/>
            </w:pPr>
            <w:r>
              <w:t>burr</w:t>
            </w:r>
          </w:p>
        </w:tc>
        <w:tc>
          <w:tcPr>
            <w:tcW w:w="911" w:type="pct"/>
            <w:tcBorders>
              <w:top w:val="nil"/>
              <w:left w:val="nil"/>
              <w:bottom w:val="single" w:sz="8" w:space="0" w:color="000000"/>
              <w:right w:val="nil"/>
            </w:tcBorders>
            <w:vAlign w:val="center"/>
          </w:tcPr>
          <w:p w14:paraId="23D6D298" w14:textId="48402884" w:rsidR="00C54724" w:rsidRDefault="00C54724" w:rsidP="00C54724">
            <w:pPr>
              <w:keepNext/>
              <w:keepLines/>
              <w:spacing w:after="0" w:line="240" w:lineRule="auto"/>
            </w:pPr>
            <w:r>
              <w:t>82.9231</w:t>
            </w:r>
          </w:p>
        </w:tc>
        <w:tc>
          <w:tcPr>
            <w:tcW w:w="846" w:type="pct"/>
            <w:tcBorders>
              <w:top w:val="nil"/>
              <w:left w:val="nil"/>
              <w:bottom w:val="single" w:sz="8" w:space="0" w:color="000000"/>
              <w:right w:val="nil"/>
            </w:tcBorders>
            <w:vAlign w:val="center"/>
          </w:tcPr>
          <w:p w14:paraId="0359E165" w14:textId="3B8E7C8B" w:rsidR="00C54724" w:rsidRDefault="00C54724" w:rsidP="00C54724">
            <w:pPr>
              <w:keepNext/>
              <w:keepLines/>
              <w:spacing w:after="0" w:line="240" w:lineRule="auto"/>
            </w:pPr>
            <w:r>
              <w:t>4.2872</w:t>
            </w:r>
          </w:p>
        </w:tc>
        <w:tc>
          <w:tcPr>
            <w:tcW w:w="717" w:type="pct"/>
            <w:tcBorders>
              <w:top w:val="nil"/>
              <w:left w:val="nil"/>
              <w:bottom w:val="single" w:sz="8" w:space="0" w:color="000000"/>
              <w:right w:val="nil"/>
            </w:tcBorders>
            <w:vAlign w:val="center"/>
          </w:tcPr>
          <w:p w14:paraId="2A28A0CE" w14:textId="6CC95B9B" w:rsidR="00C54724" w:rsidRDefault="00C54724" w:rsidP="00C54724">
            <w:pPr>
              <w:keepNext/>
              <w:keepLines/>
              <w:spacing w:after="0" w:line="240" w:lineRule="auto"/>
            </w:pPr>
            <w:r>
              <w:t>0.0375</w:t>
            </w:r>
          </w:p>
        </w:tc>
        <w:tc>
          <w:tcPr>
            <w:tcW w:w="586" w:type="pct"/>
            <w:tcBorders>
              <w:top w:val="nil"/>
              <w:left w:val="nil"/>
              <w:bottom w:val="single" w:sz="8" w:space="0" w:color="000000"/>
              <w:right w:val="nil"/>
            </w:tcBorders>
            <w:vAlign w:val="center"/>
          </w:tcPr>
          <w:p w14:paraId="73ADD2C1" w14:textId="4A6FEEE9" w:rsidR="00C54724" w:rsidRDefault="00C54724" w:rsidP="00C54724">
            <w:pPr>
              <w:keepNext/>
              <w:keepLines/>
              <w:spacing w:after="0" w:line="240" w:lineRule="auto"/>
            </w:pPr>
            <w:r>
              <w:t>0.1553</w:t>
            </w:r>
          </w:p>
        </w:tc>
        <w:tc>
          <w:tcPr>
            <w:tcW w:w="716" w:type="pct"/>
            <w:tcBorders>
              <w:top w:val="nil"/>
              <w:left w:val="nil"/>
              <w:bottom w:val="single" w:sz="8" w:space="0" w:color="000000"/>
              <w:right w:val="nil"/>
            </w:tcBorders>
            <w:vAlign w:val="center"/>
          </w:tcPr>
          <w:p w14:paraId="6E7B20BC" w14:textId="3C0C377C" w:rsidR="00C54724" w:rsidRDefault="00C54724" w:rsidP="00C54724">
            <w:pPr>
              <w:keepNext/>
              <w:keepLines/>
              <w:spacing w:after="0" w:line="240" w:lineRule="auto"/>
            </w:pPr>
            <w:r>
              <w:t>0.1088</w:t>
            </w:r>
          </w:p>
        </w:tc>
      </w:tr>
    </w:tbl>
    <w:p w14:paraId="4DBC9676" w14:textId="2FD35793" w:rsidR="007A46E0" w:rsidRDefault="007A46E0" w:rsidP="00C74ECB">
      <w:pPr>
        <w:spacing w:after="0" w:line="240" w:lineRule="auto"/>
        <w:rPr>
          <w:bCs/>
        </w:rPr>
      </w:pPr>
    </w:p>
    <w:p w14:paraId="21944539" w14:textId="29617174" w:rsidR="00540285" w:rsidRPr="00D147A6" w:rsidRDefault="00D147A6" w:rsidP="00D147A6">
      <w:pPr>
        <w:pStyle w:val="Caption"/>
        <w:rPr>
          <w:b/>
          <w:bCs/>
          <w:i w:val="0"/>
          <w:iCs w:val="0"/>
          <w:color w:val="000000" w:themeColor="text1"/>
          <w:sz w:val="22"/>
          <w:szCs w:val="22"/>
        </w:rPr>
      </w:pPr>
      <w:bookmarkStart w:id="7" w:name="_Ref80170318"/>
      <w:r w:rsidRPr="00D147A6">
        <w:rPr>
          <w:b/>
          <w:bCs/>
          <w:i w:val="0"/>
          <w:iCs w:val="0"/>
          <w:color w:val="000000" w:themeColor="text1"/>
          <w:sz w:val="22"/>
          <w:szCs w:val="22"/>
        </w:rPr>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Pr>
          <w:b/>
          <w:bCs/>
          <w:i w:val="0"/>
          <w:iCs w:val="0"/>
          <w:noProof/>
          <w:color w:val="000000" w:themeColor="text1"/>
          <w:sz w:val="22"/>
          <w:szCs w:val="22"/>
        </w:rPr>
        <w:t>7</w:t>
      </w:r>
      <w:r w:rsidRPr="00D147A6">
        <w:rPr>
          <w:b/>
          <w:bCs/>
          <w:i w:val="0"/>
          <w:iCs w:val="0"/>
          <w:color w:val="000000" w:themeColor="text1"/>
          <w:sz w:val="22"/>
          <w:szCs w:val="22"/>
        </w:rPr>
        <w:fldChar w:fldCharType="end"/>
      </w:r>
      <w:bookmarkEnd w:id="7"/>
      <w:r w:rsidRPr="00D147A6">
        <w:rPr>
          <w:b/>
          <w:bCs/>
          <w:i w:val="0"/>
          <w:iCs w:val="0"/>
          <w:color w:val="000000" w:themeColor="text1"/>
          <w:sz w:val="22"/>
          <w:szCs w:val="22"/>
        </w:rPr>
        <w:t>. Comparison of distributions for contact invertebrate toxicity data for imidacloprid.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2"/>
        <w:gridCol w:w="1705"/>
        <w:gridCol w:w="1584"/>
        <w:gridCol w:w="1342"/>
        <w:gridCol w:w="1097"/>
        <w:gridCol w:w="1340"/>
      </w:tblGrid>
      <w:tr w:rsidR="00540285" w:rsidRPr="00931CF0" w14:paraId="475F7D2C" w14:textId="77777777" w:rsidTr="0085649A">
        <w:tc>
          <w:tcPr>
            <w:tcW w:w="1224" w:type="pct"/>
            <w:tcBorders>
              <w:top w:val="single" w:sz="12" w:space="0" w:color="000000"/>
              <w:left w:val="nil"/>
              <w:bottom w:val="single" w:sz="12" w:space="0" w:color="000000"/>
              <w:right w:val="nil"/>
            </w:tcBorders>
          </w:tcPr>
          <w:p w14:paraId="5030630A" w14:textId="77777777" w:rsidR="00540285" w:rsidRPr="002740EC" w:rsidRDefault="00540285" w:rsidP="0085649A">
            <w:pPr>
              <w:keepNext/>
              <w:keepLines/>
              <w:spacing w:after="0" w:line="240" w:lineRule="auto"/>
              <w:rPr>
                <w:rFonts w:ascii="Calibri" w:hAnsi="Calibri"/>
                <w:b/>
                <w:bCs/>
              </w:rPr>
            </w:pPr>
            <w:r w:rsidRPr="002740EC">
              <w:rPr>
                <w:rFonts w:ascii="Calibri" w:hAnsi="Calibri"/>
                <w:b/>
                <w:bCs/>
              </w:rPr>
              <w:t>Distribution</w:t>
            </w:r>
          </w:p>
        </w:tc>
        <w:tc>
          <w:tcPr>
            <w:tcW w:w="911" w:type="pct"/>
            <w:tcBorders>
              <w:top w:val="single" w:sz="12" w:space="0" w:color="000000"/>
              <w:left w:val="nil"/>
              <w:bottom w:val="single" w:sz="12" w:space="0" w:color="000000"/>
              <w:right w:val="nil"/>
            </w:tcBorders>
          </w:tcPr>
          <w:p w14:paraId="6B544D79" w14:textId="77777777" w:rsidR="00540285" w:rsidRPr="002740EC" w:rsidRDefault="00540285" w:rsidP="0085649A">
            <w:pPr>
              <w:keepNext/>
              <w:keepLines/>
              <w:spacing w:after="0" w:line="240" w:lineRule="auto"/>
              <w:rPr>
                <w:rFonts w:ascii="Calibri" w:hAnsi="Calibri"/>
                <w:b/>
                <w:bCs/>
              </w:rPr>
            </w:pPr>
            <w:r w:rsidRPr="002740EC">
              <w:rPr>
                <w:rFonts w:ascii="Calibri" w:hAnsi="Calibri"/>
                <w:b/>
                <w:bCs/>
              </w:rPr>
              <w:t>AICc</w:t>
            </w:r>
          </w:p>
        </w:tc>
        <w:tc>
          <w:tcPr>
            <w:tcW w:w="846" w:type="pct"/>
            <w:tcBorders>
              <w:top w:val="single" w:sz="12" w:space="0" w:color="000000"/>
              <w:left w:val="nil"/>
              <w:bottom w:val="single" w:sz="12" w:space="0" w:color="000000"/>
              <w:right w:val="nil"/>
            </w:tcBorders>
          </w:tcPr>
          <w:p w14:paraId="1C2D08CE" w14:textId="77777777" w:rsidR="00540285" w:rsidRPr="002740EC" w:rsidRDefault="00540285" w:rsidP="0085649A">
            <w:pPr>
              <w:keepNext/>
              <w:keepLines/>
              <w:spacing w:after="0" w:line="240" w:lineRule="auto"/>
              <w:rPr>
                <w:rFonts w:ascii="Calibri" w:hAnsi="Calibri"/>
                <w:b/>
                <w:bCs/>
              </w:rPr>
            </w:pPr>
            <w:r w:rsidRPr="002740EC">
              <w:rPr>
                <w:rFonts w:ascii="Calibri" w:hAnsi="Calibri"/>
                <w:b/>
                <w:bCs/>
              </w:rPr>
              <w:t>Delta AICc</w:t>
            </w:r>
          </w:p>
        </w:tc>
        <w:tc>
          <w:tcPr>
            <w:tcW w:w="717" w:type="pct"/>
            <w:tcBorders>
              <w:top w:val="single" w:sz="12" w:space="0" w:color="000000"/>
              <w:left w:val="nil"/>
              <w:bottom w:val="single" w:sz="12" w:space="0" w:color="000000"/>
              <w:right w:val="nil"/>
            </w:tcBorders>
          </w:tcPr>
          <w:p w14:paraId="06B78568" w14:textId="77777777" w:rsidR="00540285" w:rsidRPr="002740EC" w:rsidRDefault="00540285" w:rsidP="0085649A">
            <w:pPr>
              <w:keepNext/>
              <w:keepLines/>
              <w:spacing w:after="0" w:line="240" w:lineRule="auto"/>
              <w:rPr>
                <w:rFonts w:ascii="Calibri" w:hAnsi="Calibri"/>
                <w:b/>
                <w:bCs/>
              </w:rPr>
            </w:pPr>
            <w:r w:rsidRPr="002740EC">
              <w:rPr>
                <w:rFonts w:ascii="Calibri" w:hAnsi="Calibri"/>
                <w:b/>
                <w:bCs/>
              </w:rPr>
              <w:t>Wt</w:t>
            </w:r>
          </w:p>
        </w:tc>
        <w:tc>
          <w:tcPr>
            <w:tcW w:w="586" w:type="pct"/>
            <w:tcBorders>
              <w:top w:val="single" w:sz="12" w:space="0" w:color="000000"/>
              <w:left w:val="nil"/>
              <w:bottom w:val="single" w:sz="12" w:space="0" w:color="000000"/>
              <w:right w:val="nil"/>
            </w:tcBorders>
          </w:tcPr>
          <w:p w14:paraId="49858D98" w14:textId="77777777" w:rsidR="00540285" w:rsidRPr="002740EC" w:rsidRDefault="00540285" w:rsidP="0085649A">
            <w:pPr>
              <w:keepNext/>
              <w:keepLines/>
              <w:spacing w:after="0" w:line="240" w:lineRule="auto"/>
              <w:rPr>
                <w:rFonts w:ascii="Calibri" w:hAnsi="Calibri"/>
                <w:b/>
                <w:bCs/>
              </w:rPr>
            </w:pPr>
            <w:r w:rsidRPr="002740EC">
              <w:rPr>
                <w:rFonts w:ascii="Calibri" w:hAnsi="Calibri"/>
                <w:b/>
                <w:bCs/>
              </w:rPr>
              <w:t>HC</w:t>
            </w:r>
            <w:r w:rsidRPr="002740EC">
              <w:rPr>
                <w:rFonts w:ascii="Calibri" w:hAnsi="Calibri"/>
                <w:b/>
                <w:bCs/>
                <w:vertAlign w:val="subscript"/>
              </w:rPr>
              <w:t>05</w:t>
            </w:r>
          </w:p>
        </w:tc>
        <w:tc>
          <w:tcPr>
            <w:tcW w:w="716" w:type="pct"/>
            <w:tcBorders>
              <w:top w:val="single" w:sz="12" w:space="0" w:color="000000"/>
              <w:left w:val="nil"/>
              <w:bottom w:val="single" w:sz="12" w:space="0" w:color="000000"/>
              <w:right w:val="nil"/>
            </w:tcBorders>
          </w:tcPr>
          <w:p w14:paraId="2395DD82" w14:textId="77777777" w:rsidR="00540285" w:rsidRPr="002740EC" w:rsidRDefault="00540285" w:rsidP="0085649A">
            <w:pPr>
              <w:keepNext/>
              <w:keepLines/>
              <w:spacing w:after="0" w:line="240" w:lineRule="auto"/>
              <w:rPr>
                <w:rFonts w:ascii="Calibri" w:hAnsi="Calibri"/>
                <w:b/>
                <w:bCs/>
              </w:rPr>
            </w:pPr>
            <w:r w:rsidRPr="002740EC">
              <w:rPr>
                <w:rFonts w:ascii="Calibri" w:hAnsi="Calibri"/>
                <w:b/>
                <w:bCs/>
              </w:rPr>
              <w:t>SE HC</w:t>
            </w:r>
            <w:r w:rsidRPr="002740EC">
              <w:rPr>
                <w:rFonts w:ascii="Calibri" w:hAnsi="Calibri"/>
                <w:b/>
                <w:bCs/>
                <w:vertAlign w:val="subscript"/>
              </w:rPr>
              <w:t>05</w:t>
            </w:r>
          </w:p>
        </w:tc>
      </w:tr>
      <w:tr w:rsidR="00974D82" w:rsidRPr="00931CF0" w14:paraId="402DDA8F" w14:textId="77777777" w:rsidTr="0085649A">
        <w:tc>
          <w:tcPr>
            <w:tcW w:w="1224" w:type="pct"/>
            <w:tcBorders>
              <w:top w:val="nil"/>
              <w:left w:val="nil"/>
              <w:bottom w:val="nil"/>
              <w:right w:val="nil"/>
            </w:tcBorders>
            <w:vAlign w:val="center"/>
          </w:tcPr>
          <w:p w14:paraId="3551DC9F" w14:textId="28FFD478" w:rsidR="00974D82" w:rsidRPr="00132D2A" w:rsidRDefault="00974D82" w:rsidP="00974D82">
            <w:pPr>
              <w:keepNext/>
              <w:keepLines/>
              <w:spacing w:after="0" w:line="240" w:lineRule="auto"/>
              <w:rPr>
                <w:rFonts w:ascii="Calibri" w:hAnsi="Calibri"/>
              </w:rPr>
            </w:pPr>
            <w:r w:rsidRPr="00132D2A">
              <w:t>triangular</w:t>
            </w:r>
          </w:p>
        </w:tc>
        <w:tc>
          <w:tcPr>
            <w:tcW w:w="911" w:type="pct"/>
            <w:tcBorders>
              <w:top w:val="nil"/>
              <w:left w:val="nil"/>
              <w:bottom w:val="nil"/>
              <w:right w:val="nil"/>
            </w:tcBorders>
            <w:vAlign w:val="center"/>
          </w:tcPr>
          <w:p w14:paraId="20899F39" w14:textId="4541E9A5" w:rsidR="00974D82" w:rsidRPr="00931CF0" w:rsidRDefault="00974D82" w:rsidP="00974D82">
            <w:pPr>
              <w:keepNext/>
              <w:keepLines/>
              <w:spacing w:after="0" w:line="240" w:lineRule="auto"/>
              <w:rPr>
                <w:rFonts w:ascii="Calibri" w:hAnsi="Calibri"/>
              </w:rPr>
            </w:pPr>
            <w:r>
              <w:t>59.5243</w:t>
            </w:r>
          </w:p>
        </w:tc>
        <w:tc>
          <w:tcPr>
            <w:tcW w:w="846" w:type="pct"/>
            <w:tcBorders>
              <w:top w:val="nil"/>
              <w:left w:val="nil"/>
              <w:bottom w:val="nil"/>
              <w:right w:val="nil"/>
            </w:tcBorders>
            <w:vAlign w:val="center"/>
          </w:tcPr>
          <w:p w14:paraId="5AAE10EB" w14:textId="69B0819F" w:rsidR="00974D82" w:rsidRPr="00931CF0" w:rsidRDefault="00974D82" w:rsidP="00974D82">
            <w:pPr>
              <w:keepNext/>
              <w:keepLines/>
              <w:spacing w:after="0" w:line="240" w:lineRule="auto"/>
              <w:rPr>
                <w:rFonts w:ascii="Calibri" w:hAnsi="Calibri"/>
              </w:rPr>
            </w:pPr>
            <w:r>
              <w:t>0</w:t>
            </w:r>
          </w:p>
        </w:tc>
        <w:tc>
          <w:tcPr>
            <w:tcW w:w="717" w:type="pct"/>
            <w:tcBorders>
              <w:top w:val="nil"/>
              <w:left w:val="nil"/>
              <w:bottom w:val="nil"/>
              <w:right w:val="nil"/>
            </w:tcBorders>
            <w:vAlign w:val="center"/>
          </w:tcPr>
          <w:p w14:paraId="62CBDE96" w14:textId="789FC66F" w:rsidR="00974D82" w:rsidRDefault="00974D82" w:rsidP="00974D82">
            <w:pPr>
              <w:keepNext/>
              <w:keepLines/>
              <w:spacing w:after="0" w:line="240" w:lineRule="auto"/>
              <w:rPr>
                <w:rFonts w:ascii="Calibri" w:hAnsi="Calibri"/>
              </w:rPr>
            </w:pPr>
            <w:r>
              <w:t>0.5039</w:t>
            </w:r>
          </w:p>
        </w:tc>
        <w:tc>
          <w:tcPr>
            <w:tcW w:w="586" w:type="pct"/>
            <w:tcBorders>
              <w:top w:val="nil"/>
              <w:left w:val="nil"/>
              <w:bottom w:val="nil"/>
              <w:right w:val="nil"/>
            </w:tcBorders>
            <w:vAlign w:val="center"/>
          </w:tcPr>
          <w:p w14:paraId="42270AD1" w14:textId="3EB126E1" w:rsidR="00974D82" w:rsidRDefault="00974D82" w:rsidP="00974D82">
            <w:pPr>
              <w:keepNext/>
              <w:keepLines/>
              <w:spacing w:after="0" w:line="240" w:lineRule="auto"/>
              <w:rPr>
                <w:rFonts w:ascii="Calibri" w:hAnsi="Calibri"/>
              </w:rPr>
            </w:pPr>
            <w:r>
              <w:t>0.0206</w:t>
            </w:r>
          </w:p>
        </w:tc>
        <w:tc>
          <w:tcPr>
            <w:tcW w:w="716" w:type="pct"/>
            <w:tcBorders>
              <w:top w:val="nil"/>
              <w:left w:val="nil"/>
              <w:bottom w:val="nil"/>
              <w:right w:val="nil"/>
            </w:tcBorders>
            <w:vAlign w:val="center"/>
          </w:tcPr>
          <w:p w14:paraId="6ED6C419" w14:textId="3E208050" w:rsidR="00974D82" w:rsidRDefault="00974D82" w:rsidP="00974D82">
            <w:pPr>
              <w:keepNext/>
              <w:keepLines/>
              <w:spacing w:after="0" w:line="240" w:lineRule="auto"/>
              <w:rPr>
                <w:rFonts w:ascii="Calibri" w:hAnsi="Calibri"/>
              </w:rPr>
            </w:pPr>
            <w:r>
              <w:t>0.0120</w:t>
            </w:r>
          </w:p>
        </w:tc>
      </w:tr>
      <w:tr w:rsidR="00974D82" w:rsidRPr="00931CF0" w14:paraId="5D74D120" w14:textId="77777777" w:rsidTr="0085649A">
        <w:tc>
          <w:tcPr>
            <w:tcW w:w="1224" w:type="pct"/>
            <w:tcBorders>
              <w:top w:val="nil"/>
              <w:left w:val="nil"/>
              <w:bottom w:val="nil"/>
              <w:right w:val="nil"/>
            </w:tcBorders>
            <w:vAlign w:val="center"/>
          </w:tcPr>
          <w:p w14:paraId="3A2673F2" w14:textId="67DB5AA6" w:rsidR="00974D82" w:rsidRPr="00132D2A" w:rsidRDefault="00974D82" w:rsidP="00974D82">
            <w:pPr>
              <w:keepNext/>
              <w:keepLines/>
              <w:spacing w:after="0" w:line="240" w:lineRule="auto"/>
              <w:rPr>
                <w:rFonts w:ascii="Calibri" w:hAnsi="Calibri"/>
              </w:rPr>
            </w:pPr>
            <w:r w:rsidRPr="00132D2A">
              <w:t>normal</w:t>
            </w:r>
          </w:p>
        </w:tc>
        <w:tc>
          <w:tcPr>
            <w:tcW w:w="911" w:type="pct"/>
            <w:tcBorders>
              <w:top w:val="nil"/>
              <w:left w:val="nil"/>
              <w:bottom w:val="nil"/>
              <w:right w:val="nil"/>
            </w:tcBorders>
            <w:vAlign w:val="center"/>
          </w:tcPr>
          <w:p w14:paraId="703AD624" w14:textId="38E2A181" w:rsidR="00974D82" w:rsidRPr="00931CF0" w:rsidRDefault="00974D82" w:rsidP="00974D82">
            <w:pPr>
              <w:keepNext/>
              <w:keepLines/>
              <w:spacing w:after="0" w:line="240" w:lineRule="auto"/>
              <w:rPr>
                <w:rFonts w:ascii="Calibri" w:hAnsi="Calibri"/>
              </w:rPr>
            </w:pPr>
            <w:r>
              <w:t>61.2388</w:t>
            </w:r>
          </w:p>
        </w:tc>
        <w:tc>
          <w:tcPr>
            <w:tcW w:w="846" w:type="pct"/>
            <w:tcBorders>
              <w:top w:val="nil"/>
              <w:left w:val="nil"/>
              <w:bottom w:val="nil"/>
              <w:right w:val="nil"/>
            </w:tcBorders>
            <w:vAlign w:val="center"/>
          </w:tcPr>
          <w:p w14:paraId="1C360B02" w14:textId="554EF783" w:rsidR="00974D82" w:rsidRPr="00931CF0" w:rsidRDefault="00974D82" w:rsidP="00974D82">
            <w:pPr>
              <w:keepNext/>
              <w:keepLines/>
              <w:spacing w:after="0" w:line="240" w:lineRule="auto"/>
              <w:rPr>
                <w:rFonts w:ascii="Calibri" w:hAnsi="Calibri"/>
              </w:rPr>
            </w:pPr>
            <w:r>
              <w:t>1.7145</w:t>
            </w:r>
          </w:p>
        </w:tc>
        <w:tc>
          <w:tcPr>
            <w:tcW w:w="717" w:type="pct"/>
            <w:tcBorders>
              <w:top w:val="nil"/>
              <w:left w:val="nil"/>
              <w:bottom w:val="nil"/>
              <w:right w:val="nil"/>
            </w:tcBorders>
            <w:vAlign w:val="center"/>
          </w:tcPr>
          <w:p w14:paraId="6050FCCE" w14:textId="5972A107" w:rsidR="00974D82" w:rsidRDefault="00974D82" w:rsidP="00974D82">
            <w:pPr>
              <w:keepNext/>
              <w:keepLines/>
              <w:spacing w:after="0" w:line="240" w:lineRule="auto"/>
              <w:rPr>
                <w:rFonts w:ascii="Calibri" w:hAnsi="Calibri"/>
              </w:rPr>
            </w:pPr>
            <w:r>
              <w:t>0.2138</w:t>
            </w:r>
          </w:p>
        </w:tc>
        <w:tc>
          <w:tcPr>
            <w:tcW w:w="586" w:type="pct"/>
            <w:tcBorders>
              <w:top w:val="nil"/>
              <w:left w:val="nil"/>
              <w:bottom w:val="nil"/>
              <w:right w:val="nil"/>
            </w:tcBorders>
            <w:vAlign w:val="center"/>
          </w:tcPr>
          <w:p w14:paraId="1DFF43B4" w14:textId="7B31EC5F" w:rsidR="00974D82" w:rsidRDefault="00974D82" w:rsidP="00974D82">
            <w:pPr>
              <w:keepNext/>
              <w:keepLines/>
              <w:spacing w:after="0" w:line="240" w:lineRule="auto"/>
              <w:rPr>
                <w:rFonts w:ascii="Calibri" w:hAnsi="Calibri"/>
              </w:rPr>
            </w:pPr>
            <w:r>
              <w:t>0.0147</w:t>
            </w:r>
          </w:p>
        </w:tc>
        <w:tc>
          <w:tcPr>
            <w:tcW w:w="716" w:type="pct"/>
            <w:tcBorders>
              <w:top w:val="nil"/>
              <w:left w:val="nil"/>
              <w:bottom w:val="nil"/>
              <w:right w:val="nil"/>
            </w:tcBorders>
            <w:vAlign w:val="center"/>
          </w:tcPr>
          <w:p w14:paraId="64D51433" w14:textId="28FE8F3F" w:rsidR="00974D82" w:rsidRDefault="00974D82" w:rsidP="00974D82">
            <w:pPr>
              <w:keepNext/>
              <w:keepLines/>
              <w:spacing w:after="0" w:line="240" w:lineRule="auto"/>
              <w:rPr>
                <w:rFonts w:ascii="Calibri" w:hAnsi="Calibri"/>
              </w:rPr>
            </w:pPr>
            <w:r>
              <w:t>0.0154</w:t>
            </w:r>
          </w:p>
        </w:tc>
      </w:tr>
      <w:tr w:rsidR="00974D82" w:rsidRPr="00931CF0" w14:paraId="0C8F32F9" w14:textId="77777777" w:rsidTr="0085649A">
        <w:tc>
          <w:tcPr>
            <w:tcW w:w="1224" w:type="pct"/>
            <w:tcBorders>
              <w:top w:val="nil"/>
              <w:left w:val="nil"/>
              <w:bottom w:val="nil"/>
              <w:right w:val="nil"/>
            </w:tcBorders>
            <w:vAlign w:val="center"/>
          </w:tcPr>
          <w:p w14:paraId="6587A857" w14:textId="0E0E6405" w:rsidR="00974D82" w:rsidRDefault="00974D82" w:rsidP="00974D82">
            <w:pPr>
              <w:keepNext/>
              <w:keepLines/>
              <w:spacing w:after="0" w:line="240" w:lineRule="auto"/>
              <w:rPr>
                <w:rFonts w:ascii="Calibri" w:hAnsi="Calibri"/>
              </w:rPr>
            </w:pPr>
            <w:r>
              <w:t>logistic</w:t>
            </w:r>
          </w:p>
        </w:tc>
        <w:tc>
          <w:tcPr>
            <w:tcW w:w="911" w:type="pct"/>
            <w:tcBorders>
              <w:top w:val="nil"/>
              <w:left w:val="nil"/>
              <w:bottom w:val="nil"/>
              <w:right w:val="nil"/>
            </w:tcBorders>
            <w:vAlign w:val="center"/>
          </w:tcPr>
          <w:p w14:paraId="20520B24" w14:textId="315E8EBE" w:rsidR="00974D82" w:rsidRDefault="00974D82" w:rsidP="00974D82">
            <w:pPr>
              <w:keepNext/>
              <w:keepLines/>
              <w:spacing w:after="0" w:line="240" w:lineRule="auto"/>
              <w:rPr>
                <w:rFonts w:ascii="Calibri" w:hAnsi="Calibri"/>
              </w:rPr>
            </w:pPr>
            <w:r>
              <w:t>62.0097</w:t>
            </w:r>
          </w:p>
        </w:tc>
        <w:tc>
          <w:tcPr>
            <w:tcW w:w="846" w:type="pct"/>
            <w:tcBorders>
              <w:top w:val="nil"/>
              <w:left w:val="nil"/>
              <w:bottom w:val="nil"/>
              <w:right w:val="nil"/>
            </w:tcBorders>
            <w:vAlign w:val="center"/>
          </w:tcPr>
          <w:p w14:paraId="06822F63" w14:textId="1B51476C" w:rsidR="00974D82" w:rsidRDefault="00974D82" w:rsidP="00974D82">
            <w:pPr>
              <w:keepNext/>
              <w:keepLines/>
              <w:spacing w:after="0" w:line="240" w:lineRule="auto"/>
              <w:rPr>
                <w:rFonts w:ascii="Calibri" w:hAnsi="Calibri"/>
              </w:rPr>
            </w:pPr>
            <w:r>
              <w:t>2.4854</w:t>
            </w:r>
          </w:p>
        </w:tc>
        <w:tc>
          <w:tcPr>
            <w:tcW w:w="717" w:type="pct"/>
            <w:tcBorders>
              <w:top w:val="nil"/>
              <w:left w:val="nil"/>
              <w:bottom w:val="nil"/>
              <w:right w:val="nil"/>
            </w:tcBorders>
            <w:vAlign w:val="center"/>
          </w:tcPr>
          <w:p w14:paraId="4B608B22" w14:textId="2DCC7581" w:rsidR="00974D82" w:rsidRDefault="00974D82" w:rsidP="00974D82">
            <w:pPr>
              <w:keepNext/>
              <w:keepLines/>
              <w:spacing w:after="0" w:line="240" w:lineRule="auto"/>
              <w:rPr>
                <w:rFonts w:ascii="Calibri" w:hAnsi="Calibri"/>
              </w:rPr>
            </w:pPr>
            <w:r>
              <w:t>0.1454</w:t>
            </w:r>
          </w:p>
        </w:tc>
        <w:tc>
          <w:tcPr>
            <w:tcW w:w="586" w:type="pct"/>
            <w:tcBorders>
              <w:top w:val="nil"/>
              <w:left w:val="nil"/>
              <w:bottom w:val="nil"/>
              <w:right w:val="nil"/>
            </w:tcBorders>
            <w:vAlign w:val="center"/>
          </w:tcPr>
          <w:p w14:paraId="51C66A99" w14:textId="6BAFEAF0" w:rsidR="00974D82" w:rsidRDefault="00974D82" w:rsidP="00974D82">
            <w:pPr>
              <w:keepNext/>
              <w:keepLines/>
              <w:spacing w:after="0" w:line="240" w:lineRule="auto"/>
              <w:rPr>
                <w:rFonts w:ascii="Calibri" w:hAnsi="Calibri"/>
              </w:rPr>
            </w:pPr>
            <w:r>
              <w:t>0.0121</w:t>
            </w:r>
          </w:p>
        </w:tc>
        <w:tc>
          <w:tcPr>
            <w:tcW w:w="716" w:type="pct"/>
            <w:tcBorders>
              <w:top w:val="nil"/>
              <w:left w:val="nil"/>
              <w:bottom w:val="nil"/>
              <w:right w:val="nil"/>
            </w:tcBorders>
            <w:vAlign w:val="center"/>
          </w:tcPr>
          <w:p w14:paraId="43F441DA" w14:textId="3F3493E8" w:rsidR="00974D82" w:rsidRDefault="00974D82" w:rsidP="00974D82">
            <w:pPr>
              <w:keepNext/>
              <w:keepLines/>
              <w:spacing w:after="0" w:line="240" w:lineRule="auto"/>
              <w:rPr>
                <w:rFonts w:ascii="Calibri" w:hAnsi="Calibri"/>
              </w:rPr>
            </w:pPr>
            <w:r>
              <w:t>0.0146</w:t>
            </w:r>
          </w:p>
        </w:tc>
      </w:tr>
      <w:tr w:rsidR="00974D82" w:rsidRPr="00931CF0" w14:paraId="4D291F01" w14:textId="77777777" w:rsidTr="00D147A6">
        <w:tc>
          <w:tcPr>
            <w:tcW w:w="1224" w:type="pct"/>
            <w:tcBorders>
              <w:top w:val="nil"/>
              <w:left w:val="nil"/>
              <w:bottom w:val="nil"/>
              <w:right w:val="nil"/>
            </w:tcBorders>
            <w:vAlign w:val="center"/>
          </w:tcPr>
          <w:p w14:paraId="6CA327B6" w14:textId="29C2F1E5" w:rsidR="00974D82" w:rsidRDefault="00974D82" w:rsidP="00974D82">
            <w:pPr>
              <w:keepNext/>
              <w:keepLines/>
              <w:spacing w:after="0" w:line="240" w:lineRule="auto"/>
              <w:rPr>
                <w:rFonts w:ascii="Calibri" w:hAnsi="Calibri"/>
              </w:rPr>
            </w:pPr>
            <w:r>
              <w:t>gumbel</w:t>
            </w:r>
          </w:p>
        </w:tc>
        <w:tc>
          <w:tcPr>
            <w:tcW w:w="911" w:type="pct"/>
            <w:tcBorders>
              <w:top w:val="nil"/>
              <w:left w:val="nil"/>
              <w:bottom w:val="nil"/>
              <w:right w:val="nil"/>
            </w:tcBorders>
            <w:vAlign w:val="center"/>
          </w:tcPr>
          <w:p w14:paraId="4A37663B" w14:textId="7C4D6D97" w:rsidR="00974D82" w:rsidRDefault="00974D82" w:rsidP="00974D82">
            <w:pPr>
              <w:keepNext/>
              <w:keepLines/>
              <w:spacing w:after="0" w:line="240" w:lineRule="auto"/>
              <w:rPr>
                <w:rFonts w:ascii="Calibri" w:hAnsi="Calibri"/>
              </w:rPr>
            </w:pPr>
            <w:r>
              <w:t>62.5490</w:t>
            </w:r>
          </w:p>
        </w:tc>
        <w:tc>
          <w:tcPr>
            <w:tcW w:w="846" w:type="pct"/>
            <w:tcBorders>
              <w:top w:val="nil"/>
              <w:left w:val="nil"/>
              <w:bottom w:val="nil"/>
              <w:right w:val="nil"/>
            </w:tcBorders>
            <w:vAlign w:val="center"/>
          </w:tcPr>
          <w:p w14:paraId="4A59BBAD" w14:textId="5472570F" w:rsidR="00974D82" w:rsidRDefault="00974D82" w:rsidP="00974D82">
            <w:pPr>
              <w:keepNext/>
              <w:keepLines/>
              <w:spacing w:after="0" w:line="240" w:lineRule="auto"/>
              <w:rPr>
                <w:rFonts w:ascii="Calibri" w:hAnsi="Calibri"/>
              </w:rPr>
            </w:pPr>
            <w:r>
              <w:t>3.0247</w:t>
            </w:r>
          </w:p>
        </w:tc>
        <w:tc>
          <w:tcPr>
            <w:tcW w:w="717" w:type="pct"/>
            <w:tcBorders>
              <w:top w:val="nil"/>
              <w:left w:val="nil"/>
              <w:bottom w:val="nil"/>
              <w:right w:val="nil"/>
            </w:tcBorders>
            <w:vAlign w:val="center"/>
          </w:tcPr>
          <w:p w14:paraId="6F81B84E" w14:textId="4D11FAA7" w:rsidR="00974D82" w:rsidRDefault="00974D82" w:rsidP="00974D82">
            <w:pPr>
              <w:keepNext/>
              <w:keepLines/>
              <w:spacing w:after="0" w:line="240" w:lineRule="auto"/>
              <w:rPr>
                <w:rFonts w:ascii="Calibri" w:hAnsi="Calibri"/>
              </w:rPr>
            </w:pPr>
            <w:r>
              <w:t>0.1111</w:t>
            </w:r>
          </w:p>
        </w:tc>
        <w:tc>
          <w:tcPr>
            <w:tcW w:w="586" w:type="pct"/>
            <w:tcBorders>
              <w:top w:val="nil"/>
              <w:left w:val="nil"/>
              <w:bottom w:val="nil"/>
              <w:right w:val="nil"/>
            </w:tcBorders>
            <w:vAlign w:val="center"/>
          </w:tcPr>
          <w:p w14:paraId="5E888E15" w14:textId="64146AF1" w:rsidR="00974D82" w:rsidRDefault="00974D82" w:rsidP="00974D82">
            <w:pPr>
              <w:keepNext/>
              <w:keepLines/>
              <w:spacing w:after="0" w:line="240" w:lineRule="auto"/>
              <w:rPr>
                <w:rFonts w:ascii="Calibri" w:hAnsi="Calibri"/>
              </w:rPr>
            </w:pPr>
            <w:r>
              <w:t>0.0196</w:t>
            </w:r>
          </w:p>
        </w:tc>
        <w:tc>
          <w:tcPr>
            <w:tcW w:w="716" w:type="pct"/>
            <w:tcBorders>
              <w:top w:val="nil"/>
              <w:left w:val="nil"/>
              <w:bottom w:val="nil"/>
              <w:right w:val="nil"/>
            </w:tcBorders>
            <w:vAlign w:val="center"/>
          </w:tcPr>
          <w:p w14:paraId="37BF9E4F" w14:textId="0084B8B7" w:rsidR="00974D82" w:rsidRDefault="00974D82" w:rsidP="00974D82">
            <w:pPr>
              <w:keepNext/>
              <w:keepLines/>
              <w:spacing w:after="0" w:line="240" w:lineRule="auto"/>
              <w:rPr>
                <w:rFonts w:ascii="Calibri" w:hAnsi="Calibri"/>
              </w:rPr>
            </w:pPr>
            <w:r>
              <w:t>0.0139</w:t>
            </w:r>
          </w:p>
        </w:tc>
      </w:tr>
      <w:tr w:rsidR="00974D82" w:rsidRPr="00931CF0" w14:paraId="4EC1AB21" w14:textId="77777777" w:rsidTr="00D147A6">
        <w:tc>
          <w:tcPr>
            <w:tcW w:w="1224" w:type="pct"/>
            <w:tcBorders>
              <w:top w:val="nil"/>
              <w:left w:val="nil"/>
              <w:bottom w:val="single" w:sz="8" w:space="0" w:color="000000"/>
              <w:right w:val="nil"/>
            </w:tcBorders>
            <w:vAlign w:val="center"/>
          </w:tcPr>
          <w:p w14:paraId="3D974F31" w14:textId="18A20CBC" w:rsidR="00974D82" w:rsidRDefault="00974D82" w:rsidP="00974D82">
            <w:pPr>
              <w:keepNext/>
              <w:keepLines/>
              <w:spacing w:after="0" w:line="240" w:lineRule="auto"/>
            </w:pPr>
            <w:r>
              <w:t>burr</w:t>
            </w:r>
          </w:p>
        </w:tc>
        <w:tc>
          <w:tcPr>
            <w:tcW w:w="911" w:type="pct"/>
            <w:tcBorders>
              <w:top w:val="nil"/>
              <w:left w:val="nil"/>
              <w:bottom w:val="single" w:sz="8" w:space="0" w:color="000000"/>
              <w:right w:val="nil"/>
            </w:tcBorders>
            <w:vAlign w:val="center"/>
          </w:tcPr>
          <w:p w14:paraId="70C5DEDE" w14:textId="771B3946" w:rsidR="00974D82" w:rsidRDefault="00974D82" w:rsidP="00974D82">
            <w:pPr>
              <w:keepNext/>
              <w:keepLines/>
              <w:spacing w:after="0" w:line="240" w:lineRule="auto"/>
            </w:pPr>
            <w:r>
              <w:t>65.4754</w:t>
            </w:r>
          </w:p>
        </w:tc>
        <w:tc>
          <w:tcPr>
            <w:tcW w:w="846" w:type="pct"/>
            <w:tcBorders>
              <w:top w:val="nil"/>
              <w:left w:val="nil"/>
              <w:bottom w:val="single" w:sz="8" w:space="0" w:color="000000"/>
              <w:right w:val="nil"/>
            </w:tcBorders>
            <w:vAlign w:val="center"/>
          </w:tcPr>
          <w:p w14:paraId="7203E335" w14:textId="10E762AD" w:rsidR="00974D82" w:rsidRDefault="00974D82" w:rsidP="00974D82">
            <w:pPr>
              <w:keepNext/>
              <w:keepLines/>
              <w:spacing w:after="0" w:line="240" w:lineRule="auto"/>
            </w:pPr>
            <w:r>
              <w:t>5.9511</w:t>
            </w:r>
          </w:p>
        </w:tc>
        <w:tc>
          <w:tcPr>
            <w:tcW w:w="717" w:type="pct"/>
            <w:tcBorders>
              <w:top w:val="nil"/>
              <w:left w:val="nil"/>
              <w:bottom w:val="single" w:sz="8" w:space="0" w:color="000000"/>
              <w:right w:val="nil"/>
            </w:tcBorders>
            <w:vAlign w:val="center"/>
          </w:tcPr>
          <w:p w14:paraId="1A304C23" w14:textId="69D0805E" w:rsidR="00974D82" w:rsidRDefault="00974D82" w:rsidP="00974D82">
            <w:pPr>
              <w:keepNext/>
              <w:keepLines/>
              <w:spacing w:after="0" w:line="240" w:lineRule="auto"/>
            </w:pPr>
            <w:r>
              <w:t>0.0257</w:t>
            </w:r>
          </w:p>
        </w:tc>
        <w:tc>
          <w:tcPr>
            <w:tcW w:w="586" w:type="pct"/>
            <w:tcBorders>
              <w:top w:val="nil"/>
              <w:left w:val="nil"/>
              <w:bottom w:val="single" w:sz="8" w:space="0" w:color="000000"/>
              <w:right w:val="nil"/>
            </w:tcBorders>
            <w:vAlign w:val="center"/>
          </w:tcPr>
          <w:p w14:paraId="49E59323" w14:textId="7902D38D" w:rsidR="00974D82" w:rsidRDefault="00974D82" w:rsidP="00974D82">
            <w:pPr>
              <w:keepNext/>
              <w:keepLines/>
              <w:spacing w:after="0" w:line="240" w:lineRule="auto"/>
            </w:pPr>
            <w:r>
              <w:t>0.0125</w:t>
            </w:r>
          </w:p>
        </w:tc>
        <w:tc>
          <w:tcPr>
            <w:tcW w:w="716" w:type="pct"/>
            <w:tcBorders>
              <w:top w:val="nil"/>
              <w:left w:val="nil"/>
              <w:bottom w:val="single" w:sz="8" w:space="0" w:color="000000"/>
              <w:right w:val="nil"/>
            </w:tcBorders>
            <w:vAlign w:val="center"/>
          </w:tcPr>
          <w:p w14:paraId="074A76F1" w14:textId="0AC16DDE" w:rsidR="00974D82" w:rsidRDefault="00974D82" w:rsidP="00974D82">
            <w:pPr>
              <w:keepNext/>
              <w:keepLines/>
              <w:spacing w:after="0" w:line="240" w:lineRule="auto"/>
            </w:pPr>
            <w:r>
              <w:t>0.0204</w:t>
            </w:r>
          </w:p>
        </w:tc>
      </w:tr>
    </w:tbl>
    <w:p w14:paraId="75D8241A" w14:textId="77777777" w:rsidR="00A30D2D" w:rsidRPr="00BA3D16" w:rsidRDefault="00A30D2D" w:rsidP="00540285">
      <w:pPr>
        <w:spacing w:after="0" w:line="240" w:lineRule="auto"/>
        <w:rPr>
          <w:bCs/>
        </w:rPr>
      </w:pPr>
    </w:p>
    <w:p w14:paraId="00FF4C44" w14:textId="77777777" w:rsidR="00C74ECB" w:rsidRPr="0046077F" w:rsidRDefault="00C74ECB" w:rsidP="00EA6C73">
      <w:pPr>
        <w:pStyle w:val="Heading1"/>
        <w:spacing w:before="0"/>
        <w:rPr>
          <w:b/>
          <w:bCs/>
        </w:rPr>
      </w:pPr>
      <w:r w:rsidRPr="0046077F">
        <w:rPr>
          <w:b/>
          <w:bCs/>
        </w:rPr>
        <w:t>Distributions</w:t>
      </w:r>
    </w:p>
    <w:p w14:paraId="5D1D85DF" w14:textId="77777777" w:rsidR="00C74ECB" w:rsidRPr="005432AB" w:rsidRDefault="00C74ECB" w:rsidP="00C74ECB">
      <w:pPr>
        <w:spacing w:after="0" w:line="240" w:lineRule="auto"/>
      </w:pPr>
    </w:p>
    <w:p w14:paraId="50A5AC8E" w14:textId="278EE7EC" w:rsidR="00C74ECB" w:rsidRPr="001D0324" w:rsidRDefault="00C74ECB" w:rsidP="00C74ECB">
      <w:pPr>
        <w:spacing w:after="0" w:line="240" w:lineRule="auto"/>
        <w:rPr>
          <w:color w:val="FF0000"/>
        </w:rPr>
      </w:pPr>
      <w:r w:rsidRPr="00B83D1A">
        <w:t xml:space="preserve">The cumulative distribution functions </w:t>
      </w:r>
      <w:r w:rsidR="004F71FD" w:rsidRPr="00B83D1A">
        <w:t>for</w:t>
      </w:r>
      <w:r w:rsidRPr="00B83D1A">
        <w:t xml:space="preserve"> </w:t>
      </w:r>
      <w:r w:rsidR="008446A6">
        <w:t>terrestrial</w:t>
      </w:r>
      <w:r w:rsidR="00AD026D">
        <w:t xml:space="preserve"> </w:t>
      </w:r>
      <w:r w:rsidR="004F71FD" w:rsidRPr="00B83D1A">
        <w:t>invertebrate</w:t>
      </w:r>
      <w:r w:rsidR="004F71FD" w:rsidRPr="001D0324">
        <w:rPr>
          <w:color w:val="FF0000"/>
        </w:rPr>
        <w:t xml:space="preserve"> </w:t>
      </w:r>
      <w:r w:rsidRPr="00B83D1A">
        <w:t xml:space="preserve">SSDs </w:t>
      </w:r>
      <w:r w:rsidR="00D94DFB" w:rsidRPr="00B83D1A">
        <w:rPr>
          <w:bCs/>
        </w:rPr>
        <w:t>for the</w:t>
      </w:r>
      <w:r w:rsidR="00AD026D">
        <w:rPr>
          <w:bCs/>
        </w:rPr>
        <w:t xml:space="preserve"> respective</w:t>
      </w:r>
      <w:r w:rsidR="00D94DFB" w:rsidRPr="00B83D1A">
        <w:rPr>
          <w:bCs/>
        </w:rPr>
        <w:t xml:space="preserve"> distributions </w:t>
      </w:r>
      <w:r w:rsidR="004F71FD" w:rsidRPr="00B83D1A">
        <w:t>are</w:t>
      </w:r>
      <w:r w:rsidRPr="00B83D1A">
        <w:t xml:space="preserve"> </w:t>
      </w:r>
      <w:r w:rsidR="00D94DFB" w:rsidRPr="00B83D1A">
        <w:t xml:space="preserve">discussed in this section. </w:t>
      </w:r>
      <w:r w:rsidRPr="00B83D1A">
        <w:t xml:space="preserve"> </w:t>
      </w:r>
      <w:r w:rsidRPr="001D0324">
        <w:rPr>
          <w:color w:val="FF0000"/>
        </w:rPr>
        <w:t xml:space="preserve">    </w:t>
      </w:r>
    </w:p>
    <w:p w14:paraId="6CE7E546" w14:textId="4916862F" w:rsidR="00C11D36" w:rsidRPr="003F427C" w:rsidRDefault="00C11D36" w:rsidP="00C74ECB">
      <w:pPr>
        <w:spacing w:after="0" w:line="240" w:lineRule="auto"/>
        <w:rPr>
          <w:sz w:val="20"/>
          <w:szCs w:val="20"/>
        </w:rPr>
      </w:pPr>
    </w:p>
    <w:p w14:paraId="00269790" w14:textId="32C9BCDB" w:rsidR="00C11D36" w:rsidRPr="003F427C" w:rsidRDefault="00A30D2D" w:rsidP="00A30D2D">
      <w:pPr>
        <w:pStyle w:val="Heading2"/>
        <w:rPr>
          <w:sz w:val="22"/>
          <w:szCs w:val="22"/>
        </w:rPr>
      </w:pPr>
      <w:r w:rsidRPr="003F427C">
        <w:rPr>
          <w:sz w:val="22"/>
          <w:szCs w:val="22"/>
        </w:rPr>
        <w:t>Dietary exposure</w:t>
      </w:r>
    </w:p>
    <w:p w14:paraId="1EF51CFC" w14:textId="77777777" w:rsidR="00A30D2D" w:rsidRDefault="00A30D2D" w:rsidP="00A30D2D">
      <w:pPr>
        <w:spacing w:after="0"/>
      </w:pPr>
    </w:p>
    <w:p w14:paraId="7C8E8A04" w14:textId="59CA28F5" w:rsidR="00526B87" w:rsidRPr="00BB49DE" w:rsidRDefault="003F427C" w:rsidP="00C74ECB">
      <w:r w:rsidRPr="003F427C">
        <w:rPr>
          <w:b/>
          <w:bCs/>
        </w:rPr>
        <w:fldChar w:fldCharType="begin"/>
      </w:r>
      <w:r w:rsidRPr="003F427C">
        <w:instrText xml:space="preserve"> REF _Ref80170169 \h </w:instrText>
      </w:r>
      <w:r w:rsidRPr="003F427C">
        <w:rPr>
          <w:b/>
          <w:bCs/>
        </w:rPr>
        <w:instrText xml:space="preserve"> \* MERGEFORMAT </w:instrText>
      </w:r>
      <w:r w:rsidRPr="003F427C">
        <w:rPr>
          <w:b/>
          <w:bCs/>
        </w:rPr>
      </w:r>
      <w:r w:rsidRPr="003F427C">
        <w:rPr>
          <w:b/>
          <w:bCs/>
        </w:rPr>
        <w:fldChar w:fldCharType="separate"/>
      </w:r>
      <w:r w:rsidRPr="003F427C">
        <w:rPr>
          <w:b/>
          <w:bCs/>
          <w:color w:val="000000" w:themeColor="text1"/>
        </w:rPr>
        <w:t xml:space="preserve">Figure </w:t>
      </w:r>
      <w:r w:rsidRPr="003F427C">
        <w:rPr>
          <w:b/>
          <w:bCs/>
          <w:noProof/>
          <w:color w:val="000000" w:themeColor="text1"/>
        </w:rPr>
        <w:t>1</w:t>
      </w:r>
      <w:r w:rsidRPr="003F427C">
        <w:rPr>
          <w:b/>
          <w:bCs/>
        </w:rPr>
        <w:fldChar w:fldCharType="end"/>
      </w:r>
      <w:r w:rsidRPr="003F427C">
        <w:rPr>
          <w:b/>
          <w:bCs/>
        </w:rPr>
        <w:t xml:space="preserve"> </w:t>
      </w:r>
      <w:r w:rsidRPr="003F427C">
        <w:t>through</w:t>
      </w:r>
      <w:r w:rsidRPr="003F427C">
        <w:rPr>
          <w:b/>
          <w:bCs/>
        </w:rPr>
        <w:t xml:space="preserve"> </w:t>
      </w:r>
      <w:r w:rsidRPr="003F427C">
        <w:rPr>
          <w:b/>
          <w:bCs/>
        </w:rPr>
        <w:fldChar w:fldCharType="begin"/>
      </w:r>
      <w:r w:rsidRPr="003F427C">
        <w:rPr>
          <w:b/>
          <w:bCs/>
        </w:rPr>
        <w:instrText xml:space="preserve"> REF _Ref80170214 \h  \* MERGEFORMAT </w:instrText>
      </w:r>
      <w:r w:rsidRPr="003F427C">
        <w:rPr>
          <w:b/>
          <w:bCs/>
        </w:rPr>
      </w:r>
      <w:r w:rsidRPr="003F427C">
        <w:rPr>
          <w:b/>
          <w:bCs/>
        </w:rPr>
        <w:fldChar w:fldCharType="separate"/>
      </w:r>
      <w:r w:rsidRPr="003F427C">
        <w:rPr>
          <w:b/>
          <w:bCs/>
          <w:color w:val="000000" w:themeColor="text1"/>
        </w:rPr>
        <w:t xml:space="preserve">Figure </w:t>
      </w:r>
      <w:r w:rsidRPr="003F427C">
        <w:rPr>
          <w:b/>
          <w:bCs/>
          <w:noProof/>
          <w:color w:val="000000" w:themeColor="text1"/>
        </w:rPr>
        <w:t>4</w:t>
      </w:r>
      <w:r w:rsidRPr="003F427C">
        <w:rPr>
          <w:b/>
          <w:bCs/>
        </w:rPr>
        <w:fldChar w:fldCharType="end"/>
      </w:r>
      <w:r w:rsidR="00ED2B70" w:rsidRPr="00B83D1A">
        <w:t xml:space="preserve"> depict the </w:t>
      </w:r>
      <w:r w:rsidR="000A38EC">
        <w:t>four</w:t>
      </w:r>
      <w:r w:rsidR="00ED2B70" w:rsidRPr="00B83D1A">
        <w:t xml:space="preserve"> distributions fit to the EC/LC</w:t>
      </w:r>
      <w:r w:rsidR="00ED2B70" w:rsidRPr="00B83D1A">
        <w:rPr>
          <w:vertAlign w:val="subscript"/>
        </w:rPr>
        <w:t>50</w:t>
      </w:r>
      <w:r w:rsidR="00ED2B70" w:rsidRPr="00B83D1A">
        <w:t xml:space="preserve"> values for </w:t>
      </w:r>
      <w:r w:rsidR="00A30D2D">
        <w:t>dietary exposure</w:t>
      </w:r>
      <w:r w:rsidR="00ED2B70" w:rsidRPr="00B83D1A">
        <w:t xml:space="preserve">. </w:t>
      </w:r>
      <w:r w:rsidRPr="003F427C">
        <w:rPr>
          <w:b/>
          <w:bCs/>
        </w:rPr>
        <w:fldChar w:fldCharType="begin"/>
      </w:r>
      <w:r w:rsidRPr="003F427C">
        <w:rPr>
          <w:b/>
          <w:bCs/>
        </w:rPr>
        <w:instrText xml:space="preserve"> REF _Ref80170254 \h  \* MERGEFORMAT </w:instrText>
      </w:r>
      <w:r w:rsidRPr="003F427C">
        <w:rPr>
          <w:b/>
          <w:bCs/>
        </w:rPr>
      </w:r>
      <w:r w:rsidRPr="003F427C">
        <w:rPr>
          <w:b/>
          <w:bCs/>
        </w:rPr>
        <w:fldChar w:fldCharType="separate"/>
      </w:r>
      <w:r w:rsidRPr="003F427C">
        <w:rPr>
          <w:b/>
          <w:bCs/>
          <w:color w:val="000000" w:themeColor="text1"/>
        </w:rPr>
        <w:t xml:space="preserve">Table </w:t>
      </w:r>
      <w:r w:rsidRPr="003F427C">
        <w:rPr>
          <w:b/>
          <w:bCs/>
          <w:noProof/>
          <w:color w:val="000000" w:themeColor="text1"/>
        </w:rPr>
        <w:t>8</w:t>
      </w:r>
      <w:r w:rsidRPr="003F427C">
        <w:rPr>
          <w:b/>
          <w:bCs/>
        </w:rPr>
        <w:fldChar w:fldCharType="end"/>
      </w:r>
      <w:r w:rsidR="00ED2B70" w:rsidRPr="00B83D1A">
        <w:t xml:space="preserve"> includes the HC</w:t>
      </w:r>
      <w:r w:rsidR="00ED2B70" w:rsidRPr="00B83D1A">
        <w:rPr>
          <w:vertAlign w:val="subscript"/>
        </w:rPr>
        <w:t>05</w:t>
      </w:r>
      <w:r w:rsidR="00ED2B70" w:rsidRPr="00B83D1A">
        <w:t xml:space="preserve"> and HC</w:t>
      </w:r>
      <w:r w:rsidR="00ED2B70" w:rsidRPr="00B83D1A">
        <w:rPr>
          <w:vertAlign w:val="subscript"/>
        </w:rPr>
        <w:t>50</w:t>
      </w:r>
      <w:r w:rsidR="00ED2B70" w:rsidRPr="00B83D1A">
        <w:t xml:space="preserve"> values for </w:t>
      </w:r>
      <w:r w:rsidR="009B29E7">
        <w:t xml:space="preserve">the </w:t>
      </w:r>
      <w:r w:rsidR="000A38EC">
        <w:t>for</w:t>
      </w:r>
      <w:r w:rsidR="00ED2B70" w:rsidRPr="00B83D1A">
        <w:t xml:space="preserve"> distributions, along with the associated 95% confidence intervals. </w:t>
      </w:r>
      <w:r w:rsidR="00436302" w:rsidRPr="00B83D1A">
        <w:t xml:space="preserve">When comparing the </w:t>
      </w:r>
      <w:r w:rsidR="00BB49DE">
        <w:t>four</w:t>
      </w:r>
      <w:r w:rsidR="00436302" w:rsidRPr="00B83D1A">
        <w:t xml:space="preserve"> </w:t>
      </w:r>
      <w:r w:rsidR="00436302" w:rsidRPr="00BB49DE">
        <w:t>distributions to the individual toxicity data,</w:t>
      </w:r>
      <w:r w:rsidR="00BB49DE" w:rsidRPr="00BB49DE">
        <w:t xml:space="preserve"> the triangular distribution does not appear </w:t>
      </w:r>
      <w:r w:rsidR="00436302" w:rsidRPr="00BB49DE">
        <w:t xml:space="preserve">to be </w:t>
      </w:r>
      <w:r w:rsidR="00074083">
        <w:t xml:space="preserve">a </w:t>
      </w:r>
      <w:r w:rsidR="00436302" w:rsidRPr="00BB49DE">
        <w:t>good fit for the data</w:t>
      </w:r>
      <w:r w:rsidR="00526B87" w:rsidRPr="00BB49DE">
        <w:t xml:space="preserve"> (</w:t>
      </w:r>
      <w:r w:rsidRPr="003F427C">
        <w:rPr>
          <w:b/>
          <w:bCs/>
        </w:rPr>
        <w:fldChar w:fldCharType="begin"/>
      </w:r>
      <w:r w:rsidRPr="003F427C">
        <w:instrText xml:space="preserve"> REF _Ref80170169 \h </w:instrText>
      </w:r>
      <w:r w:rsidRPr="003F427C">
        <w:rPr>
          <w:b/>
          <w:bCs/>
        </w:rPr>
        <w:instrText xml:space="preserve"> \* MERGEFORMAT </w:instrText>
      </w:r>
      <w:r w:rsidRPr="003F427C">
        <w:rPr>
          <w:b/>
          <w:bCs/>
        </w:rPr>
      </w:r>
      <w:r w:rsidRPr="003F427C">
        <w:rPr>
          <w:b/>
          <w:bCs/>
        </w:rPr>
        <w:fldChar w:fldCharType="separate"/>
      </w:r>
      <w:r w:rsidRPr="003F427C">
        <w:rPr>
          <w:b/>
          <w:bCs/>
          <w:color w:val="000000" w:themeColor="text1"/>
        </w:rPr>
        <w:t xml:space="preserve">Figure </w:t>
      </w:r>
      <w:r w:rsidRPr="003F427C">
        <w:rPr>
          <w:b/>
          <w:bCs/>
          <w:noProof/>
          <w:color w:val="000000" w:themeColor="text1"/>
        </w:rPr>
        <w:t>1</w:t>
      </w:r>
      <w:r w:rsidRPr="003F427C">
        <w:rPr>
          <w:b/>
          <w:bCs/>
        </w:rPr>
        <w:fldChar w:fldCharType="end"/>
      </w:r>
      <w:r w:rsidR="00526B87" w:rsidRPr="00BB49DE">
        <w:t>)</w:t>
      </w:r>
      <w:r w:rsidR="00436302" w:rsidRPr="00BB49DE">
        <w:t xml:space="preserve">. </w:t>
      </w:r>
    </w:p>
    <w:p w14:paraId="7BB3190A" w14:textId="0817B7D4" w:rsidR="006606F9" w:rsidRPr="00D417F3" w:rsidRDefault="00436302" w:rsidP="00BB49DE">
      <w:pPr>
        <w:spacing w:after="0"/>
      </w:pPr>
      <w:r w:rsidRPr="00D417F3">
        <w:t xml:space="preserve">As depicted in the </w:t>
      </w:r>
      <w:r w:rsidR="00BB49DE" w:rsidRPr="00D417F3">
        <w:t>four</w:t>
      </w:r>
      <w:r w:rsidRPr="00D417F3">
        <w:t xml:space="preserve"> figures, the lowest available toxicity value (i.e., </w:t>
      </w:r>
      <w:r w:rsidR="005F2AF7" w:rsidRPr="00D417F3">
        <w:t>0.</w:t>
      </w:r>
      <w:r w:rsidR="00BB49DE" w:rsidRPr="00D417F3">
        <w:t>13</w:t>
      </w:r>
      <w:r w:rsidRPr="00D417F3">
        <w:t xml:space="preserve"> </w:t>
      </w:r>
      <w:r w:rsidR="00074083">
        <w:t>m</w:t>
      </w:r>
      <w:r w:rsidRPr="00D417F3">
        <w:t>g a.i./</w:t>
      </w:r>
      <w:r w:rsidR="00074083">
        <w:t>kg-food</w:t>
      </w:r>
      <w:r w:rsidRPr="00D417F3">
        <w:t xml:space="preserve"> for </w:t>
      </w:r>
      <w:r w:rsidR="00BB49DE" w:rsidRPr="00D417F3">
        <w:rPr>
          <w:rFonts w:ascii="Calibri" w:hAnsi="Calibri" w:cs="Calibri"/>
          <w:i/>
          <w:iCs/>
        </w:rPr>
        <w:t>Bombyx mori</w:t>
      </w:r>
      <w:r w:rsidRPr="00D417F3">
        <w:rPr>
          <w:rFonts w:ascii="Calibri" w:hAnsi="Calibri" w:cs="Calibri"/>
          <w:i/>
          <w:iCs/>
        </w:rPr>
        <w:t xml:space="preserve">; </w:t>
      </w:r>
      <w:r w:rsidRPr="00D417F3">
        <w:rPr>
          <w:rFonts w:ascii="Calibri" w:hAnsi="Calibri" w:cs="Calibri"/>
        </w:rPr>
        <w:t xml:space="preserve">ECOTOX # </w:t>
      </w:r>
      <w:r w:rsidR="00BB49DE" w:rsidRPr="00D417F3">
        <w:rPr>
          <w:rFonts w:ascii="Calibri" w:hAnsi="Calibri" w:cs="Calibri"/>
        </w:rPr>
        <w:t>162856</w:t>
      </w:r>
      <w:r w:rsidRPr="00D417F3">
        <w:rPr>
          <w:rFonts w:ascii="Calibri" w:hAnsi="Calibri" w:cs="Calibri"/>
        </w:rPr>
        <w:t>)</w:t>
      </w:r>
      <w:r w:rsidR="00526B87" w:rsidRPr="00D417F3">
        <w:rPr>
          <w:rFonts w:ascii="Calibri" w:hAnsi="Calibri" w:cs="Calibri"/>
        </w:rPr>
        <w:t xml:space="preserve"> appears to be close to the HC</w:t>
      </w:r>
      <w:r w:rsidR="00526B87" w:rsidRPr="00D417F3">
        <w:rPr>
          <w:rFonts w:ascii="Calibri" w:hAnsi="Calibri" w:cs="Calibri"/>
          <w:vertAlign w:val="subscript"/>
        </w:rPr>
        <w:t>05</w:t>
      </w:r>
      <w:r w:rsidRPr="00D417F3">
        <w:rPr>
          <w:rFonts w:ascii="Calibri" w:hAnsi="Calibri" w:cs="Calibri"/>
        </w:rPr>
        <w:t>.</w:t>
      </w:r>
      <w:r w:rsidRPr="00D417F3">
        <w:rPr>
          <w:rFonts w:ascii="Calibri" w:hAnsi="Calibri" w:cs="Calibri"/>
          <w:i/>
          <w:iCs/>
        </w:rPr>
        <w:t xml:space="preserve"> </w:t>
      </w:r>
      <w:r w:rsidR="00526B87" w:rsidRPr="00D417F3">
        <w:t>Since the HC</w:t>
      </w:r>
      <w:r w:rsidR="00526B87" w:rsidRPr="00D417F3">
        <w:rPr>
          <w:vertAlign w:val="subscript"/>
        </w:rPr>
        <w:t>05</w:t>
      </w:r>
      <w:r w:rsidR="00526B87" w:rsidRPr="00D417F3">
        <w:t xml:space="preserve"> is an important </w:t>
      </w:r>
      <w:r w:rsidR="00275E60" w:rsidRPr="00D417F3">
        <w:t xml:space="preserve">endpoint </w:t>
      </w:r>
      <w:r w:rsidR="00526B87" w:rsidRPr="00D417F3">
        <w:t>used in the BE, the estimated HC</w:t>
      </w:r>
      <w:r w:rsidR="00526B87" w:rsidRPr="00D417F3">
        <w:rPr>
          <w:vertAlign w:val="subscript"/>
        </w:rPr>
        <w:t>05</w:t>
      </w:r>
      <w:r w:rsidR="00526B87" w:rsidRPr="00D417F3">
        <w:t xml:space="preserve"> of the </w:t>
      </w:r>
      <w:r w:rsidR="005F2AF7" w:rsidRPr="00D417F3">
        <w:t>three</w:t>
      </w:r>
      <w:r w:rsidR="00526B87" w:rsidRPr="00D417F3">
        <w:t xml:space="preserve"> </w:t>
      </w:r>
      <w:r w:rsidR="00D417F3" w:rsidRPr="00D417F3">
        <w:t xml:space="preserve">remaining </w:t>
      </w:r>
      <w:r w:rsidR="00526B87" w:rsidRPr="00D417F3">
        <w:t xml:space="preserve">distributions is used </w:t>
      </w:r>
      <w:r w:rsidR="005F2AF7" w:rsidRPr="00D417F3">
        <w:t xml:space="preserve">in conjunction with goodness of </w:t>
      </w:r>
      <w:r w:rsidR="005F2AF7" w:rsidRPr="00D417F3">
        <w:lastRenderedPageBreak/>
        <w:t xml:space="preserve">fit </w:t>
      </w:r>
      <w:r w:rsidR="00526B87" w:rsidRPr="00D417F3">
        <w:t xml:space="preserve">to select the </w:t>
      </w:r>
      <w:r w:rsidR="005F2AF7" w:rsidRPr="00D417F3">
        <w:t>endpoint</w:t>
      </w:r>
      <w:r w:rsidR="00526B87" w:rsidRPr="00D417F3">
        <w:t>.</w:t>
      </w:r>
      <w:r w:rsidR="00057D38" w:rsidRPr="00D417F3">
        <w:t xml:space="preserve"> </w:t>
      </w:r>
      <w:r w:rsidR="00D417F3" w:rsidRPr="00D417F3">
        <w:t>T</w:t>
      </w:r>
      <w:r w:rsidR="00057D38" w:rsidRPr="00D417F3">
        <w:t xml:space="preserve">he </w:t>
      </w:r>
      <w:r w:rsidR="00D417F3" w:rsidRPr="00D417F3">
        <w:t>logistic</w:t>
      </w:r>
      <w:r w:rsidR="00057D38" w:rsidRPr="00D417F3">
        <w:t xml:space="preserve"> distribution is chosen because it </w:t>
      </w:r>
      <w:r w:rsidR="002740EC">
        <w:t>appears visually to have the best fit both near the HC</w:t>
      </w:r>
      <w:r w:rsidR="002740EC" w:rsidRPr="002740EC">
        <w:rPr>
          <w:vertAlign w:val="subscript"/>
        </w:rPr>
        <w:t>05</w:t>
      </w:r>
      <w:r w:rsidR="002740EC">
        <w:t xml:space="preserve"> and HC</w:t>
      </w:r>
      <w:r w:rsidR="002740EC" w:rsidRPr="002740EC">
        <w:rPr>
          <w:vertAlign w:val="subscript"/>
        </w:rPr>
        <w:t>50</w:t>
      </w:r>
      <w:r w:rsidR="002740EC">
        <w:t xml:space="preserve">, </w:t>
      </w:r>
      <w:r w:rsidR="00FC7C8C" w:rsidRPr="00D417F3">
        <w:t xml:space="preserve">is within the top </w:t>
      </w:r>
      <w:r w:rsidR="00FC7C8C">
        <w:t xml:space="preserve">3 </w:t>
      </w:r>
      <w:r w:rsidR="00FC7C8C" w:rsidRPr="00D417F3">
        <w:t>AIC</w:t>
      </w:r>
      <w:r w:rsidR="00FC7C8C">
        <w:t>c</w:t>
      </w:r>
      <w:r w:rsidR="00FC7C8C" w:rsidRPr="00D417F3">
        <w:t xml:space="preserve"> for goodness of fit</w:t>
      </w:r>
      <w:r w:rsidR="00FC7C8C">
        <w:t xml:space="preserve">, has a reasonable range for its </w:t>
      </w:r>
      <w:r w:rsidR="005F2AF7" w:rsidRPr="00D417F3">
        <w:t>confidence interval</w:t>
      </w:r>
      <w:r w:rsidR="00FC7C8C">
        <w:t xml:space="preserve"> and </w:t>
      </w:r>
      <w:r w:rsidR="00877F47">
        <w:t xml:space="preserve">model fit is indicated as acceptable based on the </w:t>
      </w:r>
      <w:r w:rsidR="00D417F3" w:rsidRPr="00D417F3">
        <w:t>p value</w:t>
      </w:r>
      <w:r w:rsidR="00877F47">
        <w:t>.</w:t>
      </w:r>
    </w:p>
    <w:p w14:paraId="586ED5C0" w14:textId="77777777" w:rsidR="00CA5915" w:rsidRPr="001D0324" w:rsidRDefault="00CA5915" w:rsidP="00F11E09">
      <w:pPr>
        <w:spacing w:after="0"/>
        <w:rPr>
          <w:color w:val="FF0000"/>
        </w:rPr>
      </w:pPr>
    </w:p>
    <w:p w14:paraId="3C52EA62" w14:textId="7E5E3BA2" w:rsidR="006606F9" w:rsidRPr="00D147A6" w:rsidRDefault="00D147A6" w:rsidP="00D147A6">
      <w:pPr>
        <w:pStyle w:val="Caption"/>
        <w:rPr>
          <w:b/>
          <w:bCs/>
          <w:i w:val="0"/>
          <w:iCs w:val="0"/>
          <w:color w:val="000000" w:themeColor="text1"/>
          <w:sz w:val="22"/>
          <w:szCs w:val="22"/>
        </w:rPr>
      </w:pPr>
      <w:bookmarkStart w:id="8" w:name="_Ref80170254"/>
      <w:r w:rsidRPr="00D147A6">
        <w:rPr>
          <w:b/>
          <w:bCs/>
          <w:i w:val="0"/>
          <w:iCs w:val="0"/>
          <w:color w:val="000000" w:themeColor="text1"/>
          <w:sz w:val="22"/>
          <w:szCs w:val="22"/>
        </w:rPr>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Pr>
          <w:b/>
          <w:bCs/>
          <w:i w:val="0"/>
          <w:iCs w:val="0"/>
          <w:noProof/>
          <w:color w:val="000000" w:themeColor="text1"/>
          <w:sz w:val="22"/>
          <w:szCs w:val="22"/>
        </w:rPr>
        <w:t>8</w:t>
      </w:r>
      <w:r w:rsidRPr="00D147A6">
        <w:rPr>
          <w:b/>
          <w:bCs/>
          <w:i w:val="0"/>
          <w:iCs w:val="0"/>
          <w:color w:val="000000" w:themeColor="text1"/>
          <w:sz w:val="22"/>
          <w:szCs w:val="22"/>
        </w:rPr>
        <w:fldChar w:fldCharType="end"/>
      </w:r>
      <w:bookmarkEnd w:id="8"/>
      <w:r w:rsidRPr="00D147A6">
        <w:rPr>
          <w:b/>
          <w:bCs/>
          <w:i w:val="0"/>
          <w:iCs w:val="0"/>
          <w:color w:val="000000" w:themeColor="text1"/>
          <w:sz w:val="22"/>
          <w:szCs w:val="22"/>
        </w:rPr>
        <w:t>.  HC</w:t>
      </w:r>
      <w:r w:rsidRPr="00D147A6">
        <w:rPr>
          <w:b/>
          <w:bCs/>
          <w:i w:val="0"/>
          <w:iCs w:val="0"/>
          <w:color w:val="000000" w:themeColor="text1"/>
          <w:sz w:val="22"/>
          <w:szCs w:val="22"/>
          <w:vertAlign w:val="subscript"/>
        </w:rPr>
        <w:t>05</w:t>
      </w:r>
      <w:r w:rsidRPr="00D147A6">
        <w:rPr>
          <w:b/>
          <w:bCs/>
          <w:i w:val="0"/>
          <w:iCs w:val="0"/>
          <w:color w:val="000000" w:themeColor="text1"/>
          <w:sz w:val="22"/>
          <w:szCs w:val="22"/>
        </w:rPr>
        <w:t xml:space="preserve"> and HC</w:t>
      </w:r>
      <w:r w:rsidRPr="00D147A6">
        <w:rPr>
          <w:b/>
          <w:bCs/>
          <w:i w:val="0"/>
          <w:iCs w:val="0"/>
          <w:color w:val="000000" w:themeColor="text1"/>
          <w:sz w:val="22"/>
          <w:szCs w:val="22"/>
          <w:vertAlign w:val="subscript"/>
        </w:rPr>
        <w:t>50</w:t>
      </w:r>
      <w:r w:rsidRPr="00D147A6">
        <w:rPr>
          <w:b/>
          <w:bCs/>
          <w:i w:val="0"/>
          <w:iCs w:val="0"/>
          <w:color w:val="000000" w:themeColor="text1"/>
          <w:sz w:val="22"/>
          <w:szCs w:val="22"/>
        </w:rPr>
        <w:t xml:space="preserve"> values for distributions based on dietary invertebrate EC/LC50 values.</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606F9" w14:paraId="367C2404" w14:textId="77777777" w:rsidTr="002A07A5">
        <w:tc>
          <w:tcPr>
            <w:tcW w:w="3116" w:type="dxa"/>
            <w:tcBorders>
              <w:top w:val="single" w:sz="12" w:space="0" w:color="auto"/>
              <w:bottom w:val="single" w:sz="12" w:space="0" w:color="auto"/>
            </w:tcBorders>
          </w:tcPr>
          <w:p w14:paraId="617B5803" w14:textId="545B7A68" w:rsidR="006606F9" w:rsidRPr="002740EC" w:rsidRDefault="006606F9" w:rsidP="00C74ECB">
            <w:pPr>
              <w:rPr>
                <w:b/>
                <w:bCs/>
              </w:rPr>
            </w:pPr>
            <w:r w:rsidRPr="002740EC">
              <w:rPr>
                <w:b/>
                <w:bCs/>
              </w:rPr>
              <w:t>Distribution</w:t>
            </w:r>
          </w:p>
        </w:tc>
        <w:tc>
          <w:tcPr>
            <w:tcW w:w="3117" w:type="dxa"/>
            <w:tcBorders>
              <w:top w:val="single" w:sz="12" w:space="0" w:color="auto"/>
              <w:bottom w:val="single" w:sz="12" w:space="0" w:color="auto"/>
            </w:tcBorders>
          </w:tcPr>
          <w:p w14:paraId="53EC5530" w14:textId="6A75B74E" w:rsidR="006606F9" w:rsidRPr="002740EC" w:rsidRDefault="006606F9" w:rsidP="00C74ECB">
            <w:pPr>
              <w:rPr>
                <w:b/>
                <w:bCs/>
              </w:rPr>
            </w:pPr>
            <w:r w:rsidRPr="002740EC">
              <w:rPr>
                <w:b/>
                <w:bCs/>
              </w:rPr>
              <w:t>HC</w:t>
            </w:r>
            <w:r w:rsidRPr="002740EC">
              <w:rPr>
                <w:b/>
                <w:bCs/>
                <w:vertAlign w:val="subscript"/>
              </w:rPr>
              <w:t>05</w:t>
            </w:r>
            <w:r w:rsidRPr="002740EC">
              <w:rPr>
                <w:b/>
                <w:bCs/>
              </w:rPr>
              <w:t xml:space="preserve"> (95% CI)</w:t>
            </w:r>
          </w:p>
        </w:tc>
        <w:tc>
          <w:tcPr>
            <w:tcW w:w="3117" w:type="dxa"/>
            <w:tcBorders>
              <w:top w:val="single" w:sz="12" w:space="0" w:color="auto"/>
              <w:bottom w:val="single" w:sz="12" w:space="0" w:color="auto"/>
            </w:tcBorders>
          </w:tcPr>
          <w:p w14:paraId="2C8CF412" w14:textId="24FA2EDE" w:rsidR="006606F9" w:rsidRPr="002740EC" w:rsidRDefault="006606F9" w:rsidP="00C74ECB">
            <w:pPr>
              <w:rPr>
                <w:b/>
                <w:bCs/>
              </w:rPr>
            </w:pPr>
            <w:r w:rsidRPr="002740EC">
              <w:rPr>
                <w:b/>
                <w:bCs/>
              </w:rPr>
              <w:t>HC</w:t>
            </w:r>
            <w:r w:rsidRPr="002740EC">
              <w:rPr>
                <w:b/>
                <w:bCs/>
                <w:vertAlign w:val="subscript"/>
              </w:rPr>
              <w:t xml:space="preserve">50 </w:t>
            </w:r>
            <w:r w:rsidRPr="002740EC">
              <w:rPr>
                <w:b/>
                <w:bCs/>
              </w:rPr>
              <w:t>(95% CI)</w:t>
            </w:r>
          </w:p>
        </w:tc>
      </w:tr>
      <w:tr w:rsidR="006A7C13" w14:paraId="22240502" w14:textId="77777777" w:rsidTr="0085649A">
        <w:tc>
          <w:tcPr>
            <w:tcW w:w="3116" w:type="dxa"/>
            <w:tcBorders>
              <w:top w:val="single" w:sz="12" w:space="0" w:color="auto"/>
            </w:tcBorders>
            <w:vAlign w:val="center"/>
          </w:tcPr>
          <w:p w14:paraId="537E803F" w14:textId="1F489CA4" w:rsidR="006A7C13" w:rsidRPr="006A7C13" w:rsidRDefault="006A7C13" w:rsidP="006A7C13">
            <w:r w:rsidRPr="006A7C13">
              <w:t>gumbel</w:t>
            </w:r>
          </w:p>
        </w:tc>
        <w:tc>
          <w:tcPr>
            <w:tcW w:w="3117" w:type="dxa"/>
            <w:tcBorders>
              <w:top w:val="single" w:sz="12" w:space="0" w:color="auto"/>
            </w:tcBorders>
            <w:vAlign w:val="center"/>
          </w:tcPr>
          <w:p w14:paraId="370AE613" w14:textId="7AADC2DB" w:rsidR="006A7C13" w:rsidRDefault="006A7C13" w:rsidP="006A7C13">
            <w:r>
              <w:t>0.1</w:t>
            </w:r>
            <w:r w:rsidR="0077238D">
              <w:t>6</w:t>
            </w:r>
            <w:r>
              <w:t xml:space="preserve"> (</w:t>
            </w:r>
            <w:r w:rsidRPr="00242DA0">
              <w:t>0.0</w:t>
            </w:r>
            <w:r w:rsidR="00C54724">
              <w:t>49</w:t>
            </w:r>
            <w:r>
              <w:t>-0</w:t>
            </w:r>
            <w:r w:rsidRPr="00242DA0">
              <w:t>.</w:t>
            </w:r>
            <w:r w:rsidR="00C54724">
              <w:t>92</w:t>
            </w:r>
            <w:r>
              <w:t>)</w:t>
            </w:r>
          </w:p>
        </w:tc>
        <w:tc>
          <w:tcPr>
            <w:tcW w:w="3117" w:type="dxa"/>
            <w:tcBorders>
              <w:top w:val="single" w:sz="12" w:space="0" w:color="auto"/>
            </w:tcBorders>
          </w:tcPr>
          <w:p w14:paraId="3829440A" w14:textId="1F6CCD6B" w:rsidR="006A7C13" w:rsidRDefault="00C54724" w:rsidP="006A7C13">
            <w:r>
              <w:t>2.7</w:t>
            </w:r>
            <w:r w:rsidR="00B047D0">
              <w:t>2</w:t>
            </w:r>
            <w:r w:rsidR="006A7C13">
              <w:t xml:space="preserve"> </w:t>
            </w:r>
            <w:r w:rsidR="0077238D">
              <w:t>(</w:t>
            </w:r>
            <w:r w:rsidR="00B047D0">
              <w:t>0.75-16.9</w:t>
            </w:r>
            <w:r w:rsidR="0077238D">
              <w:t>)</w:t>
            </w:r>
          </w:p>
        </w:tc>
      </w:tr>
      <w:tr w:rsidR="006A7C13" w14:paraId="5DBB1450" w14:textId="77777777" w:rsidTr="0085649A">
        <w:tc>
          <w:tcPr>
            <w:tcW w:w="3116" w:type="dxa"/>
            <w:vAlign w:val="center"/>
          </w:tcPr>
          <w:p w14:paraId="63CCB168" w14:textId="10C22135" w:rsidR="006A7C13" w:rsidRPr="006A7C13" w:rsidRDefault="006A7C13" w:rsidP="006A7C13">
            <w:r w:rsidRPr="006A7C13">
              <w:t>triangular</w:t>
            </w:r>
          </w:p>
        </w:tc>
        <w:tc>
          <w:tcPr>
            <w:tcW w:w="3117" w:type="dxa"/>
            <w:vAlign w:val="center"/>
          </w:tcPr>
          <w:p w14:paraId="3EBEC7DC" w14:textId="6A15C2B0" w:rsidR="006A7C13" w:rsidRDefault="006A7C13" w:rsidP="006A7C13">
            <w:r>
              <w:t>0.</w:t>
            </w:r>
            <w:r w:rsidR="0077238D">
              <w:t>1</w:t>
            </w:r>
            <w:r w:rsidR="00C54724">
              <w:t>1</w:t>
            </w:r>
            <w:r>
              <w:t xml:space="preserve"> (</w:t>
            </w:r>
            <w:r w:rsidRPr="00242DA0">
              <w:t>0.0</w:t>
            </w:r>
            <w:r w:rsidR="00C54724">
              <w:t>32</w:t>
            </w:r>
            <w:r>
              <w:t>-</w:t>
            </w:r>
            <w:r w:rsidR="00C54724">
              <w:t>1.42</w:t>
            </w:r>
            <w:r>
              <w:t>)</w:t>
            </w:r>
          </w:p>
        </w:tc>
        <w:tc>
          <w:tcPr>
            <w:tcW w:w="3117" w:type="dxa"/>
          </w:tcPr>
          <w:p w14:paraId="38061E09" w14:textId="1AC660E8" w:rsidR="006A7C13" w:rsidRDefault="00C54724" w:rsidP="006A7C13">
            <w:r>
              <w:t>5.37</w:t>
            </w:r>
            <w:r w:rsidR="006A7C13">
              <w:t xml:space="preserve"> </w:t>
            </w:r>
            <w:r w:rsidR="0077238D">
              <w:t>(</w:t>
            </w:r>
            <w:r>
              <w:t>1.29-21.6</w:t>
            </w:r>
            <w:r w:rsidR="0077238D">
              <w:t>)</w:t>
            </w:r>
          </w:p>
        </w:tc>
      </w:tr>
      <w:tr w:rsidR="006A7C13" w14:paraId="13BE7CFF" w14:textId="77777777" w:rsidTr="00D147A6">
        <w:tc>
          <w:tcPr>
            <w:tcW w:w="3116" w:type="dxa"/>
            <w:tcBorders>
              <w:bottom w:val="nil"/>
            </w:tcBorders>
            <w:vAlign w:val="center"/>
          </w:tcPr>
          <w:p w14:paraId="167B1AD1" w14:textId="1D2804D5" w:rsidR="006A7C13" w:rsidRPr="00FC7C8C" w:rsidRDefault="006A7C13" w:rsidP="006A7C13">
            <w:pPr>
              <w:rPr>
                <w:b/>
                <w:bCs/>
              </w:rPr>
            </w:pPr>
            <w:r w:rsidRPr="00FC7C8C">
              <w:rPr>
                <w:b/>
                <w:bCs/>
              </w:rPr>
              <w:t>logistic</w:t>
            </w:r>
          </w:p>
        </w:tc>
        <w:tc>
          <w:tcPr>
            <w:tcW w:w="3117" w:type="dxa"/>
            <w:tcBorders>
              <w:bottom w:val="nil"/>
            </w:tcBorders>
            <w:vAlign w:val="center"/>
          </w:tcPr>
          <w:p w14:paraId="0BC073CF" w14:textId="000C5164" w:rsidR="006A7C13" w:rsidRPr="00FC7C8C" w:rsidRDefault="006A7C13" w:rsidP="006A7C13">
            <w:pPr>
              <w:rPr>
                <w:b/>
                <w:bCs/>
              </w:rPr>
            </w:pPr>
            <w:r w:rsidRPr="00FC7C8C">
              <w:rPr>
                <w:b/>
                <w:bCs/>
              </w:rPr>
              <w:t>0.0</w:t>
            </w:r>
            <w:r w:rsidR="00C54724">
              <w:rPr>
                <w:b/>
                <w:bCs/>
              </w:rPr>
              <w:t>64</w:t>
            </w:r>
            <w:r w:rsidRPr="00FC7C8C">
              <w:rPr>
                <w:b/>
                <w:bCs/>
              </w:rPr>
              <w:t xml:space="preserve"> </w:t>
            </w:r>
            <w:bookmarkStart w:id="9" w:name="_Hlk68089358"/>
            <w:r w:rsidRPr="00FC7C8C">
              <w:rPr>
                <w:b/>
                <w:bCs/>
              </w:rPr>
              <w:t>(0.00</w:t>
            </w:r>
            <w:r w:rsidR="00C54724">
              <w:rPr>
                <w:b/>
                <w:bCs/>
              </w:rPr>
              <w:t>45</w:t>
            </w:r>
            <w:r w:rsidRPr="00FC7C8C">
              <w:rPr>
                <w:b/>
                <w:bCs/>
              </w:rPr>
              <w:t>-0.</w:t>
            </w:r>
            <w:r w:rsidR="00C54724">
              <w:rPr>
                <w:b/>
                <w:bCs/>
              </w:rPr>
              <w:t>81</w:t>
            </w:r>
            <w:r w:rsidRPr="00FC7C8C">
              <w:rPr>
                <w:b/>
                <w:bCs/>
              </w:rPr>
              <w:t>)</w:t>
            </w:r>
            <w:bookmarkEnd w:id="9"/>
          </w:p>
        </w:tc>
        <w:tc>
          <w:tcPr>
            <w:tcW w:w="3117" w:type="dxa"/>
            <w:tcBorders>
              <w:bottom w:val="nil"/>
            </w:tcBorders>
          </w:tcPr>
          <w:p w14:paraId="7127824B" w14:textId="41172752" w:rsidR="006A7C13" w:rsidRPr="00FC7C8C" w:rsidRDefault="00C54724" w:rsidP="006A7C13">
            <w:pPr>
              <w:rPr>
                <w:b/>
                <w:bCs/>
              </w:rPr>
            </w:pPr>
            <w:bookmarkStart w:id="10" w:name="_Hlk68089370"/>
            <w:r>
              <w:rPr>
                <w:b/>
                <w:bCs/>
              </w:rPr>
              <w:t>3.48</w:t>
            </w:r>
            <w:r w:rsidR="006A7C13" w:rsidRPr="00FC7C8C">
              <w:rPr>
                <w:b/>
                <w:bCs/>
              </w:rPr>
              <w:t xml:space="preserve"> </w:t>
            </w:r>
            <w:bookmarkEnd w:id="10"/>
            <w:r w:rsidR="0077238D">
              <w:rPr>
                <w:b/>
                <w:bCs/>
              </w:rPr>
              <w:t>(</w:t>
            </w:r>
            <w:r>
              <w:rPr>
                <w:b/>
                <w:bCs/>
              </w:rPr>
              <w:t>0.79-15.8</w:t>
            </w:r>
            <w:r w:rsidR="0077238D">
              <w:rPr>
                <w:b/>
                <w:bCs/>
              </w:rPr>
              <w:t>)</w:t>
            </w:r>
          </w:p>
        </w:tc>
      </w:tr>
      <w:tr w:rsidR="006A7C13" w14:paraId="23FD7535" w14:textId="77777777" w:rsidTr="00D147A6">
        <w:tc>
          <w:tcPr>
            <w:tcW w:w="3116" w:type="dxa"/>
            <w:tcBorders>
              <w:top w:val="nil"/>
              <w:bottom w:val="single" w:sz="8" w:space="0" w:color="000000"/>
            </w:tcBorders>
            <w:vAlign w:val="center"/>
          </w:tcPr>
          <w:p w14:paraId="7FF8DD5C" w14:textId="0489CBFF" w:rsidR="006A7C13" w:rsidRPr="006A7C13" w:rsidRDefault="006A7C13" w:rsidP="006A7C13">
            <w:r w:rsidRPr="006A7C13">
              <w:t>normal</w:t>
            </w:r>
          </w:p>
        </w:tc>
        <w:tc>
          <w:tcPr>
            <w:tcW w:w="3117" w:type="dxa"/>
            <w:tcBorders>
              <w:top w:val="nil"/>
              <w:bottom w:val="single" w:sz="8" w:space="0" w:color="000000"/>
            </w:tcBorders>
            <w:vAlign w:val="center"/>
          </w:tcPr>
          <w:p w14:paraId="095118FF" w14:textId="2A2AA31B" w:rsidR="006A7C13" w:rsidRDefault="006A7C13" w:rsidP="006A7C13">
            <w:r>
              <w:t>0.</w:t>
            </w:r>
            <w:r w:rsidR="00C54724">
              <w:t>081</w:t>
            </w:r>
            <w:r>
              <w:t xml:space="preserve"> (0.00</w:t>
            </w:r>
            <w:r w:rsidR="00C54724">
              <w:t>8</w:t>
            </w:r>
            <w:r w:rsidR="0077238D">
              <w:t>4</w:t>
            </w:r>
            <w:r>
              <w:t>-0.</w:t>
            </w:r>
            <w:r w:rsidR="00C54724">
              <w:t>99</w:t>
            </w:r>
            <w:r>
              <w:t>)</w:t>
            </w:r>
          </w:p>
        </w:tc>
        <w:tc>
          <w:tcPr>
            <w:tcW w:w="3117" w:type="dxa"/>
            <w:tcBorders>
              <w:top w:val="nil"/>
              <w:bottom w:val="single" w:sz="8" w:space="0" w:color="000000"/>
            </w:tcBorders>
          </w:tcPr>
          <w:p w14:paraId="0738AACF" w14:textId="10C35B38" w:rsidR="006A7C13" w:rsidRDefault="00C54724" w:rsidP="006A7C13">
            <w:r>
              <w:t>4.07</w:t>
            </w:r>
            <w:r w:rsidR="0077238D">
              <w:t xml:space="preserve"> (</w:t>
            </w:r>
            <w:r>
              <w:t>0.95-17.9</w:t>
            </w:r>
            <w:r w:rsidR="0077238D">
              <w:t>)</w:t>
            </w:r>
          </w:p>
        </w:tc>
      </w:tr>
    </w:tbl>
    <w:p w14:paraId="20E46BA0" w14:textId="750A61A0" w:rsidR="00B563F5" w:rsidRDefault="00FC7C8C">
      <w:pPr>
        <w:rPr>
          <w:sz w:val="20"/>
          <w:szCs w:val="20"/>
        </w:rPr>
      </w:pPr>
      <w:r w:rsidRPr="00FC7C8C">
        <w:rPr>
          <w:b/>
          <w:bCs/>
          <w:sz w:val="20"/>
          <w:szCs w:val="20"/>
        </w:rPr>
        <w:t xml:space="preserve">Bold </w:t>
      </w:r>
      <w:r w:rsidRPr="00FC7C8C">
        <w:rPr>
          <w:sz w:val="20"/>
          <w:szCs w:val="20"/>
        </w:rPr>
        <w:t>information indicates model chosen for the SSD.</w:t>
      </w:r>
    </w:p>
    <w:p w14:paraId="590FC469" w14:textId="34D872C6" w:rsidR="00BE7CE3" w:rsidRPr="00BE7CE3" w:rsidRDefault="00BE7CE3" w:rsidP="00BE7CE3">
      <w:pPr>
        <w:spacing w:after="0" w:line="240" w:lineRule="auto"/>
        <w:rPr>
          <w:rFonts w:ascii="Calibri" w:eastAsia="Times New Roman" w:hAnsi="Calibri" w:cs="Calibri"/>
        </w:rPr>
      </w:pPr>
    </w:p>
    <w:p w14:paraId="2943CB3F" w14:textId="77777777" w:rsidR="003F427C" w:rsidRDefault="004E467F" w:rsidP="003F427C">
      <w:pPr>
        <w:keepNext/>
        <w:spacing w:after="0" w:line="240" w:lineRule="auto"/>
      </w:pPr>
      <w:r>
        <w:rPr>
          <w:rFonts w:ascii="Calibri" w:eastAsia="Times New Roman" w:hAnsi="Calibri" w:cs="Calibri"/>
          <w:noProof/>
        </w:rPr>
        <w:drawing>
          <wp:inline distT="0" distB="0" distL="0" distR="0" wp14:anchorId="4BC895AD" wp14:editId="73D82DEB">
            <wp:extent cx="5943600" cy="3851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51910"/>
                    </a:xfrm>
                    <a:prstGeom prst="rect">
                      <a:avLst/>
                    </a:prstGeom>
                    <a:noFill/>
                    <a:ln>
                      <a:noFill/>
                    </a:ln>
                  </pic:spPr>
                </pic:pic>
              </a:graphicData>
            </a:graphic>
          </wp:inline>
        </w:drawing>
      </w:r>
    </w:p>
    <w:p w14:paraId="2A50359B" w14:textId="2F8B6694" w:rsidR="00BE7CE3" w:rsidRPr="003F427C" w:rsidRDefault="003F427C" w:rsidP="003F427C">
      <w:pPr>
        <w:pStyle w:val="Caption"/>
        <w:rPr>
          <w:rFonts w:ascii="Calibri" w:eastAsia="Times New Roman" w:hAnsi="Calibri" w:cs="Calibri"/>
          <w:b/>
          <w:bCs/>
          <w:i w:val="0"/>
          <w:iCs w:val="0"/>
          <w:color w:val="000000" w:themeColor="text1"/>
          <w:sz w:val="22"/>
          <w:szCs w:val="22"/>
        </w:rPr>
      </w:pPr>
      <w:bookmarkStart w:id="11" w:name="_Ref80170169"/>
      <w:r w:rsidRPr="003F427C">
        <w:rPr>
          <w:b/>
          <w:bCs/>
          <w:i w:val="0"/>
          <w:iCs w:val="0"/>
          <w:color w:val="000000" w:themeColor="text1"/>
          <w:sz w:val="22"/>
          <w:szCs w:val="22"/>
        </w:rPr>
        <w:t xml:space="preserve">Figure </w:t>
      </w:r>
      <w:r w:rsidRPr="003F427C">
        <w:rPr>
          <w:b/>
          <w:bCs/>
          <w:i w:val="0"/>
          <w:iCs w:val="0"/>
          <w:color w:val="000000" w:themeColor="text1"/>
          <w:sz w:val="22"/>
          <w:szCs w:val="22"/>
        </w:rPr>
        <w:fldChar w:fldCharType="begin"/>
      </w:r>
      <w:r w:rsidRPr="003F427C">
        <w:rPr>
          <w:b/>
          <w:bCs/>
          <w:i w:val="0"/>
          <w:iCs w:val="0"/>
          <w:color w:val="000000" w:themeColor="text1"/>
          <w:sz w:val="22"/>
          <w:szCs w:val="22"/>
        </w:rPr>
        <w:instrText xml:space="preserve"> SEQ Figure \* ARABIC </w:instrText>
      </w:r>
      <w:r w:rsidRPr="003F427C">
        <w:rPr>
          <w:b/>
          <w:bCs/>
          <w:i w:val="0"/>
          <w:iCs w:val="0"/>
          <w:color w:val="000000" w:themeColor="text1"/>
          <w:sz w:val="22"/>
          <w:szCs w:val="22"/>
        </w:rPr>
        <w:fldChar w:fldCharType="separate"/>
      </w:r>
      <w:r>
        <w:rPr>
          <w:b/>
          <w:bCs/>
          <w:i w:val="0"/>
          <w:iCs w:val="0"/>
          <w:noProof/>
          <w:color w:val="000000" w:themeColor="text1"/>
          <w:sz w:val="22"/>
          <w:szCs w:val="22"/>
        </w:rPr>
        <w:t>1</w:t>
      </w:r>
      <w:r w:rsidRPr="003F427C">
        <w:rPr>
          <w:b/>
          <w:bCs/>
          <w:i w:val="0"/>
          <w:iCs w:val="0"/>
          <w:color w:val="000000" w:themeColor="text1"/>
          <w:sz w:val="22"/>
          <w:szCs w:val="22"/>
        </w:rPr>
        <w:fldChar w:fldCharType="end"/>
      </w:r>
      <w:bookmarkEnd w:id="11"/>
      <w:r w:rsidRPr="003F427C">
        <w:rPr>
          <w:b/>
          <w:bCs/>
          <w:i w:val="0"/>
          <w:iCs w:val="0"/>
          <w:color w:val="000000" w:themeColor="text1"/>
          <w:sz w:val="22"/>
          <w:szCs w:val="22"/>
        </w:rPr>
        <w:t>. Triangular SSD for imidacloprid toxicity values for terrestrial invertebrates.</w:t>
      </w:r>
    </w:p>
    <w:p w14:paraId="09F272A3" w14:textId="77777777" w:rsidR="003F427C" w:rsidRDefault="004E467F" w:rsidP="003F427C">
      <w:pPr>
        <w:keepNext/>
        <w:spacing w:after="0" w:line="240" w:lineRule="auto"/>
      </w:pPr>
      <w:r>
        <w:rPr>
          <w:rFonts w:ascii="Calibri" w:eastAsia="Times New Roman" w:hAnsi="Calibri" w:cs="Calibri"/>
          <w:noProof/>
        </w:rPr>
        <w:lastRenderedPageBreak/>
        <w:drawing>
          <wp:inline distT="0" distB="0" distL="0" distR="0" wp14:anchorId="7A6A9B5E" wp14:editId="167E818D">
            <wp:extent cx="5943600" cy="3677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77285"/>
                    </a:xfrm>
                    <a:prstGeom prst="rect">
                      <a:avLst/>
                    </a:prstGeom>
                    <a:noFill/>
                    <a:ln>
                      <a:noFill/>
                    </a:ln>
                  </pic:spPr>
                </pic:pic>
              </a:graphicData>
            </a:graphic>
          </wp:inline>
        </w:drawing>
      </w:r>
    </w:p>
    <w:p w14:paraId="39B18350" w14:textId="41521D90" w:rsidR="00BE7CE3" w:rsidRPr="003F427C" w:rsidRDefault="003F427C" w:rsidP="003F427C">
      <w:pPr>
        <w:pStyle w:val="Caption"/>
        <w:rPr>
          <w:rFonts w:ascii="Calibri" w:eastAsia="Times New Roman" w:hAnsi="Calibri" w:cs="Calibri"/>
          <w:b/>
          <w:bCs/>
          <w:i w:val="0"/>
          <w:iCs w:val="0"/>
          <w:color w:val="000000" w:themeColor="text1"/>
          <w:sz w:val="22"/>
          <w:szCs w:val="22"/>
        </w:rPr>
      </w:pPr>
      <w:r w:rsidRPr="003F427C">
        <w:rPr>
          <w:b/>
          <w:bCs/>
          <w:i w:val="0"/>
          <w:iCs w:val="0"/>
          <w:color w:val="000000" w:themeColor="text1"/>
          <w:sz w:val="22"/>
          <w:szCs w:val="22"/>
        </w:rPr>
        <w:t xml:space="preserve">Figure </w:t>
      </w:r>
      <w:r w:rsidRPr="003F427C">
        <w:rPr>
          <w:b/>
          <w:bCs/>
          <w:i w:val="0"/>
          <w:iCs w:val="0"/>
          <w:color w:val="000000" w:themeColor="text1"/>
          <w:sz w:val="22"/>
          <w:szCs w:val="22"/>
        </w:rPr>
        <w:fldChar w:fldCharType="begin"/>
      </w:r>
      <w:r w:rsidRPr="003F427C">
        <w:rPr>
          <w:b/>
          <w:bCs/>
          <w:i w:val="0"/>
          <w:iCs w:val="0"/>
          <w:color w:val="000000" w:themeColor="text1"/>
          <w:sz w:val="22"/>
          <w:szCs w:val="22"/>
        </w:rPr>
        <w:instrText xml:space="preserve"> SEQ Figure \* ARABIC </w:instrText>
      </w:r>
      <w:r w:rsidRPr="003F427C">
        <w:rPr>
          <w:b/>
          <w:bCs/>
          <w:i w:val="0"/>
          <w:iCs w:val="0"/>
          <w:color w:val="000000" w:themeColor="text1"/>
          <w:sz w:val="22"/>
          <w:szCs w:val="22"/>
        </w:rPr>
        <w:fldChar w:fldCharType="separate"/>
      </w:r>
      <w:r>
        <w:rPr>
          <w:b/>
          <w:bCs/>
          <w:i w:val="0"/>
          <w:iCs w:val="0"/>
          <w:noProof/>
          <w:color w:val="000000" w:themeColor="text1"/>
          <w:sz w:val="22"/>
          <w:szCs w:val="22"/>
        </w:rPr>
        <w:t>2</w:t>
      </w:r>
      <w:r w:rsidRPr="003F427C">
        <w:rPr>
          <w:b/>
          <w:bCs/>
          <w:i w:val="0"/>
          <w:iCs w:val="0"/>
          <w:color w:val="000000" w:themeColor="text1"/>
          <w:sz w:val="22"/>
          <w:szCs w:val="22"/>
        </w:rPr>
        <w:fldChar w:fldCharType="end"/>
      </w:r>
      <w:r w:rsidRPr="003F427C">
        <w:rPr>
          <w:b/>
          <w:bCs/>
          <w:i w:val="0"/>
          <w:iCs w:val="0"/>
          <w:color w:val="000000" w:themeColor="text1"/>
          <w:sz w:val="22"/>
          <w:szCs w:val="22"/>
        </w:rPr>
        <w:t>.  Gumbel SSD for imidacloprid toxicity values for terrestrial invertebrates.</w:t>
      </w:r>
    </w:p>
    <w:p w14:paraId="0D95788C" w14:textId="7284DE9B" w:rsidR="004F71FD" w:rsidRPr="00E573C4" w:rsidRDefault="004F71FD" w:rsidP="009F4C29">
      <w:pPr>
        <w:spacing w:after="0"/>
      </w:pPr>
    </w:p>
    <w:p w14:paraId="7D3D808E" w14:textId="77777777" w:rsidR="003F427C" w:rsidRDefault="004E467F" w:rsidP="003F427C">
      <w:pPr>
        <w:keepNext/>
        <w:spacing w:after="0" w:line="240" w:lineRule="auto"/>
      </w:pPr>
      <w:r>
        <w:rPr>
          <w:rFonts w:ascii="Calibri" w:eastAsia="Times New Roman" w:hAnsi="Calibri" w:cs="Calibri"/>
          <w:noProof/>
        </w:rPr>
        <w:drawing>
          <wp:inline distT="0" distB="0" distL="0" distR="0" wp14:anchorId="59709C40" wp14:editId="697CACBB">
            <wp:extent cx="5943600" cy="3132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32455"/>
                    </a:xfrm>
                    <a:prstGeom prst="rect">
                      <a:avLst/>
                    </a:prstGeom>
                    <a:noFill/>
                    <a:ln>
                      <a:noFill/>
                    </a:ln>
                  </pic:spPr>
                </pic:pic>
              </a:graphicData>
            </a:graphic>
          </wp:inline>
        </w:drawing>
      </w:r>
    </w:p>
    <w:p w14:paraId="1C16CCC0" w14:textId="34B63C10" w:rsidR="004F71FD" w:rsidRPr="003F427C" w:rsidRDefault="003F427C" w:rsidP="003F427C">
      <w:pPr>
        <w:pStyle w:val="Caption"/>
        <w:rPr>
          <w:rFonts w:ascii="Calibri" w:eastAsia="Times New Roman" w:hAnsi="Calibri" w:cs="Calibri"/>
          <w:b/>
          <w:bCs/>
          <w:i w:val="0"/>
          <w:iCs w:val="0"/>
          <w:color w:val="000000" w:themeColor="text1"/>
          <w:sz w:val="22"/>
          <w:szCs w:val="22"/>
        </w:rPr>
      </w:pPr>
      <w:r w:rsidRPr="003F427C">
        <w:rPr>
          <w:b/>
          <w:bCs/>
          <w:i w:val="0"/>
          <w:iCs w:val="0"/>
          <w:color w:val="000000" w:themeColor="text1"/>
          <w:sz w:val="22"/>
          <w:szCs w:val="22"/>
        </w:rPr>
        <w:t xml:space="preserve">Figure </w:t>
      </w:r>
      <w:r w:rsidRPr="003F427C">
        <w:rPr>
          <w:b/>
          <w:bCs/>
          <w:i w:val="0"/>
          <w:iCs w:val="0"/>
          <w:color w:val="000000" w:themeColor="text1"/>
          <w:sz w:val="22"/>
          <w:szCs w:val="22"/>
        </w:rPr>
        <w:fldChar w:fldCharType="begin"/>
      </w:r>
      <w:r w:rsidRPr="003F427C">
        <w:rPr>
          <w:b/>
          <w:bCs/>
          <w:i w:val="0"/>
          <w:iCs w:val="0"/>
          <w:color w:val="000000" w:themeColor="text1"/>
          <w:sz w:val="22"/>
          <w:szCs w:val="22"/>
        </w:rPr>
        <w:instrText xml:space="preserve"> SEQ Figure \* ARABIC </w:instrText>
      </w:r>
      <w:r w:rsidRPr="003F427C">
        <w:rPr>
          <w:b/>
          <w:bCs/>
          <w:i w:val="0"/>
          <w:iCs w:val="0"/>
          <w:color w:val="000000" w:themeColor="text1"/>
          <w:sz w:val="22"/>
          <w:szCs w:val="22"/>
        </w:rPr>
        <w:fldChar w:fldCharType="separate"/>
      </w:r>
      <w:r>
        <w:rPr>
          <w:b/>
          <w:bCs/>
          <w:i w:val="0"/>
          <w:iCs w:val="0"/>
          <w:noProof/>
          <w:color w:val="000000" w:themeColor="text1"/>
          <w:sz w:val="22"/>
          <w:szCs w:val="22"/>
        </w:rPr>
        <w:t>3</w:t>
      </w:r>
      <w:r w:rsidRPr="003F427C">
        <w:rPr>
          <w:b/>
          <w:bCs/>
          <w:i w:val="0"/>
          <w:iCs w:val="0"/>
          <w:color w:val="000000" w:themeColor="text1"/>
          <w:sz w:val="22"/>
          <w:szCs w:val="22"/>
        </w:rPr>
        <w:fldChar w:fldCharType="end"/>
      </w:r>
      <w:r w:rsidRPr="003F427C">
        <w:rPr>
          <w:b/>
          <w:bCs/>
          <w:i w:val="0"/>
          <w:iCs w:val="0"/>
          <w:color w:val="000000" w:themeColor="text1"/>
          <w:sz w:val="22"/>
          <w:szCs w:val="22"/>
        </w:rPr>
        <w:t>.  Normal SSD for imidacloprid toxicity values for terrestrial invertebrates.</w:t>
      </w:r>
    </w:p>
    <w:p w14:paraId="728D27BC" w14:textId="618FF4F3" w:rsidR="00D97305" w:rsidRDefault="00D97305" w:rsidP="00743680"/>
    <w:p w14:paraId="0314DF5C" w14:textId="77777777" w:rsidR="003F427C" w:rsidRDefault="004E467F" w:rsidP="003F427C">
      <w:pPr>
        <w:keepNext/>
        <w:spacing w:after="0" w:line="240" w:lineRule="auto"/>
      </w:pPr>
      <w:r>
        <w:rPr>
          <w:rFonts w:ascii="Calibri" w:eastAsia="Times New Roman" w:hAnsi="Calibri" w:cs="Calibri"/>
          <w:noProof/>
        </w:rPr>
        <w:lastRenderedPageBreak/>
        <w:drawing>
          <wp:inline distT="0" distB="0" distL="0" distR="0" wp14:anchorId="0B42EBE3" wp14:editId="3A88412A">
            <wp:extent cx="5943600" cy="34239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23920"/>
                    </a:xfrm>
                    <a:prstGeom prst="rect">
                      <a:avLst/>
                    </a:prstGeom>
                    <a:noFill/>
                    <a:ln>
                      <a:noFill/>
                    </a:ln>
                  </pic:spPr>
                </pic:pic>
              </a:graphicData>
            </a:graphic>
          </wp:inline>
        </w:drawing>
      </w:r>
    </w:p>
    <w:p w14:paraId="01963C1A" w14:textId="0A72BFB1" w:rsidR="00BB49DE" w:rsidRPr="003F427C" w:rsidRDefault="003F427C" w:rsidP="003F427C">
      <w:pPr>
        <w:pStyle w:val="Caption"/>
        <w:rPr>
          <w:rFonts w:ascii="Calibri" w:eastAsia="Times New Roman" w:hAnsi="Calibri" w:cs="Calibri"/>
          <w:b/>
          <w:bCs/>
          <w:i w:val="0"/>
          <w:iCs w:val="0"/>
          <w:color w:val="000000" w:themeColor="text1"/>
          <w:sz w:val="22"/>
          <w:szCs w:val="22"/>
        </w:rPr>
      </w:pPr>
      <w:bookmarkStart w:id="12" w:name="_Ref80170214"/>
      <w:r w:rsidRPr="003F427C">
        <w:rPr>
          <w:b/>
          <w:bCs/>
          <w:i w:val="0"/>
          <w:iCs w:val="0"/>
          <w:color w:val="000000" w:themeColor="text1"/>
          <w:sz w:val="22"/>
          <w:szCs w:val="22"/>
        </w:rPr>
        <w:t xml:space="preserve">Figure </w:t>
      </w:r>
      <w:r w:rsidRPr="003F427C">
        <w:rPr>
          <w:b/>
          <w:bCs/>
          <w:i w:val="0"/>
          <w:iCs w:val="0"/>
          <w:color w:val="000000" w:themeColor="text1"/>
          <w:sz w:val="22"/>
          <w:szCs w:val="22"/>
        </w:rPr>
        <w:fldChar w:fldCharType="begin"/>
      </w:r>
      <w:r w:rsidRPr="003F427C">
        <w:rPr>
          <w:b/>
          <w:bCs/>
          <w:i w:val="0"/>
          <w:iCs w:val="0"/>
          <w:color w:val="000000" w:themeColor="text1"/>
          <w:sz w:val="22"/>
          <w:szCs w:val="22"/>
        </w:rPr>
        <w:instrText xml:space="preserve"> SEQ Figure \* ARABIC </w:instrText>
      </w:r>
      <w:r w:rsidRPr="003F427C">
        <w:rPr>
          <w:b/>
          <w:bCs/>
          <w:i w:val="0"/>
          <w:iCs w:val="0"/>
          <w:color w:val="000000" w:themeColor="text1"/>
          <w:sz w:val="22"/>
          <w:szCs w:val="22"/>
        </w:rPr>
        <w:fldChar w:fldCharType="separate"/>
      </w:r>
      <w:r>
        <w:rPr>
          <w:b/>
          <w:bCs/>
          <w:i w:val="0"/>
          <w:iCs w:val="0"/>
          <w:noProof/>
          <w:color w:val="000000" w:themeColor="text1"/>
          <w:sz w:val="22"/>
          <w:szCs w:val="22"/>
        </w:rPr>
        <w:t>4</w:t>
      </w:r>
      <w:r w:rsidRPr="003F427C">
        <w:rPr>
          <w:b/>
          <w:bCs/>
          <w:i w:val="0"/>
          <w:iCs w:val="0"/>
          <w:color w:val="000000" w:themeColor="text1"/>
          <w:sz w:val="22"/>
          <w:szCs w:val="22"/>
        </w:rPr>
        <w:fldChar w:fldCharType="end"/>
      </w:r>
      <w:bookmarkEnd w:id="12"/>
      <w:r w:rsidRPr="003F427C">
        <w:rPr>
          <w:b/>
          <w:bCs/>
          <w:i w:val="0"/>
          <w:iCs w:val="0"/>
          <w:color w:val="000000" w:themeColor="text1"/>
          <w:sz w:val="22"/>
          <w:szCs w:val="22"/>
        </w:rPr>
        <w:t>. Logistic SSD for imidacloprid toxicity values for terrestrial invertebrates.</w:t>
      </w:r>
    </w:p>
    <w:p w14:paraId="74444D48" w14:textId="62D7DFF1" w:rsidR="00974D82" w:rsidRPr="003F427C" w:rsidRDefault="00C86C77" w:rsidP="00A30D2D">
      <w:pPr>
        <w:pStyle w:val="Heading2"/>
        <w:rPr>
          <w:sz w:val="22"/>
          <w:szCs w:val="22"/>
        </w:rPr>
      </w:pPr>
      <w:r w:rsidRPr="003F427C">
        <w:rPr>
          <w:sz w:val="22"/>
          <w:szCs w:val="22"/>
        </w:rPr>
        <w:t>Contact exposure</w:t>
      </w:r>
    </w:p>
    <w:p w14:paraId="186C56B1" w14:textId="77777777" w:rsidR="00974D82" w:rsidRDefault="00974D82" w:rsidP="00A30D2D">
      <w:pPr>
        <w:spacing w:after="0"/>
        <w:rPr>
          <w:b/>
          <w:bCs/>
        </w:rPr>
      </w:pPr>
    </w:p>
    <w:p w14:paraId="7B55A6F5" w14:textId="00BDCBA4" w:rsidR="00974D82" w:rsidRPr="00BB49DE" w:rsidRDefault="003F427C" w:rsidP="00974D82">
      <w:r w:rsidRPr="003F427C">
        <w:rPr>
          <w:b/>
          <w:bCs/>
        </w:rPr>
        <w:fldChar w:fldCharType="begin"/>
      </w:r>
      <w:r w:rsidRPr="003F427C">
        <w:instrText xml:space="preserve"> REF _Ref80170108 \h </w:instrText>
      </w:r>
      <w:r w:rsidRPr="003F427C">
        <w:rPr>
          <w:b/>
          <w:bCs/>
        </w:rPr>
        <w:instrText xml:space="preserve"> \* MERGEFORMAT </w:instrText>
      </w:r>
      <w:r w:rsidRPr="003F427C">
        <w:rPr>
          <w:b/>
          <w:bCs/>
        </w:rPr>
      </w:r>
      <w:r w:rsidRPr="003F427C">
        <w:rPr>
          <w:b/>
          <w:bCs/>
        </w:rPr>
        <w:fldChar w:fldCharType="separate"/>
      </w:r>
      <w:r w:rsidRPr="003F427C">
        <w:rPr>
          <w:b/>
          <w:bCs/>
          <w:color w:val="000000" w:themeColor="text1"/>
        </w:rPr>
        <w:t xml:space="preserve">Figure </w:t>
      </w:r>
      <w:r w:rsidRPr="003F427C">
        <w:rPr>
          <w:b/>
          <w:bCs/>
          <w:noProof/>
          <w:color w:val="000000" w:themeColor="text1"/>
        </w:rPr>
        <w:t>5</w:t>
      </w:r>
      <w:r w:rsidRPr="003F427C">
        <w:rPr>
          <w:b/>
          <w:bCs/>
        </w:rPr>
        <w:fldChar w:fldCharType="end"/>
      </w:r>
      <w:r w:rsidRPr="003F427C">
        <w:rPr>
          <w:b/>
          <w:bCs/>
        </w:rPr>
        <w:t xml:space="preserve"> </w:t>
      </w:r>
      <w:r w:rsidRPr="003F427C">
        <w:t xml:space="preserve">and </w:t>
      </w:r>
      <w:r w:rsidRPr="003F427C">
        <w:rPr>
          <w:b/>
          <w:bCs/>
        </w:rPr>
        <w:fldChar w:fldCharType="begin"/>
      </w:r>
      <w:r w:rsidRPr="003F427C">
        <w:rPr>
          <w:b/>
          <w:bCs/>
        </w:rPr>
        <w:instrText xml:space="preserve"> REF _Ref80170114 \h  \* MERGEFORMAT </w:instrText>
      </w:r>
      <w:r w:rsidRPr="003F427C">
        <w:rPr>
          <w:b/>
          <w:bCs/>
        </w:rPr>
      </w:r>
      <w:r w:rsidRPr="003F427C">
        <w:rPr>
          <w:b/>
          <w:bCs/>
        </w:rPr>
        <w:fldChar w:fldCharType="separate"/>
      </w:r>
      <w:r w:rsidRPr="003F427C">
        <w:rPr>
          <w:b/>
          <w:bCs/>
          <w:color w:val="000000" w:themeColor="text1"/>
        </w:rPr>
        <w:t xml:space="preserve">Figure </w:t>
      </w:r>
      <w:r w:rsidRPr="003F427C">
        <w:rPr>
          <w:b/>
          <w:bCs/>
          <w:noProof/>
          <w:color w:val="000000" w:themeColor="text1"/>
        </w:rPr>
        <w:t>6</w:t>
      </w:r>
      <w:r w:rsidRPr="003F427C">
        <w:rPr>
          <w:b/>
          <w:bCs/>
        </w:rPr>
        <w:fldChar w:fldCharType="end"/>
      </w:r>
      <w:r>
        <w:rPr>
          <w:b/>
          <w:bCs/>
        </w:rPr>
        <w:t xml:space="preserve"> </w:t>
      </w:r>
      <w:r w:rsidR="00974D82" w:rsidRPr="00B83D1A">
        <w:t xml:space="preserve">depict the </w:t>
      </w:r>
      <w:r w:rsidR="00974D82">
        <w:t>two</w:t>
      </w:r>
      <w:r w:rsidR="00974D82" w:rsidRPr="00B83D1A">
        <w:t xml:space="preserve"> distributions fit to the EC/LC</w:t>
      </w:r>
      <w:r w:rsidR="00974D82" w:rsidRPr="00B83D1A">
        <w:rPr>
          <w:vertAlign w:val="subscript"/>
        </w:rPr>
        <w:t>50</w:t>
      </w:r>
      <w:r w:rsidR="00974D82" w:rsidRPr="00B83D1A">
        <w:t xml:space="preserve"> values for </w:t>
      </w:r>
      <w:r w:rsidR="00074083">
        <w:t>contact exposure</w:t>
      </w:r>
      <w:r w:rsidR="00974D82" w:rsidRPr="00B83D1A">
        <w:t xml:space="preserve">. </w:t>
      </w:r>
      <w:r w:rsidRPr="003F427C">
        <w:rPr>
          <w:b/>
          <w:bCs/>
        </w:rPr>
        <w:fldChar w:fldCharType="begin"/>
      </w:r>
      <w:r w:rsidRPr="003F427C">
        <w:rPr>
          <w:b/>
          <w:bCs/>
        </w:rPr>
        <w:instrText xml:space="preserve"> REF _Ref80170278 \h  \* MERGEFORMAT </w:instrText>
      </w:r>
      <w:r w:rsidRPr="003F427C">
        <w:rPr>
          <w:b/>
          <w:bCs/>
        </w:rPr>
      </w:r>
      <w:r w:rsidRPr="003F427C">
        <w:rPr>
          <w:b/>
          <w:bCs/>
        </w:rPr>
        <w:fldChar w:fldCharType="separate"/>
      </w:r>
      <w:r w:rsidRPr="003F427C">
        <w:rPr>
          <w:b/>
          <w:bCs/>
          <w:color w:val="000000" w:themeColor="text1"/>
        </w:rPr>
        <w:t xml:space="preserve">Table </w:t>
      </w:r>
      <w:r w:rsidRPr="003F427C">
        <w:rPr>
          <w:b/>
          <w:bCs/>
          <w:noProof/>
          <w:color w:val="000000" w:themeColor="text1"/>
        </w:rPr>
        <w:t>9</w:t>
      </w:r>
      <w:r w:rsidRPr="003F427C">
        <w:rPr>
          <w:b/>
          <w:bCs/>
        </w:rPr>
        <w:fldChar w:fldCharType="end"/>
      </w:r>
      <w:r w:rsidR="00974D82" w:rsidRPr="003F427C">
        <w:rPr>
          <w:b/>
          <w:bCs/>
        </w:rPr>
        <w:t xml:space="preserve"> </w:t>
      </w:r>
      <w:r w:rsidR="00974D82" w:rsidRPr="00B83D1A">
        <w:t>includes the HC</w:t>
      </w:r>
      <w:r w:rsidR="00974D82" w:rsidRPr="00B83D1A">
        <w:rPr>
          <w:vertAlign w:val="subscript"/>
        </w:rPr>
        <w:t>05</w:t>
      </w:r>
      <w:r w:rsidR="00974D82" w:rsidRPr="00B83D1A">
        <w:t xml:space="preserve"> and HC</w:t>
      </w:r>
      <w:r w:rsidR="00974D82" w:rsidRPr="00B83D1A">
        <w:rPr>
          <w:vertAlign w:val="subscript"/>
        </w:rPr>
        <w:t>50</w:t>
      </w:r>
      <w:r w:rsidR="00974D82" w:rsidRPr="00B83D1A">
        <w:t xml:space="preserve"> values for </w:t>
      </w:r>
      <w:r w:rsidR="00974D82">
        <w:t>the for</w:t>
      </w:r>
      <w:r w:rsidR="00974D82" w:rsidRPr="00B83D1A">
        <w:t xml:space="preserve"> distributions, along with the associated 95% confidence intervals. When comparing the </w:t>
      </w:r>
      <w:r w:rsidR="00974D82">
        <w:t>two</w:t>
      </w:r>
      <w:r w:rsidR="00974D82" w:rsidRPr="00B83D1A">
        <w:t xml:space="preserve"> </w:t>
      </w:r>
      <w:r w:rsidR="00974D82" w:rsidRPr="00BB49DE">
        <w:t xml:space="preserve">distributions to the individual toxicity data, the triangular distribution does not appear to be </w:t>
      </w:r>
      <w:r w:rsidR="00074083">
        <w:t xml:space="preserve">a </w:t>
      </w:r>
      <w:r w:rsidR="00974D82" w:rsidRPr="00BB49DE">
        <w:t>good fit for the data (</w:t>
      </w:r>
      <w:r w:rsidRPr="003F427C">
        <w:rPr>
          <w:b/>
          <w:bCs/>
        </w:rPr>
        <w:fldChar w:fldCharType="begin"/>
      </w:r>
      <w:r w:rsidRPr="003F427C">
        <w:rPr>
          <w:b/>
          <w:bCs/>
        </w:rPr>
        <w:instrText xml:space="preserve"> REF _Ref80170114 \h  \* MERGEFORMAT </w:instrText>
      </w:r>
      <w:r w:rsidRPr="003F427C">
        <w:rPr>
          <w:b/>
          <w:bCs/>
        </w:rPr>
      </w:r>
      <w:r w:rsidRPr="003F427C">
        <w:rPr>
          <w:b/>
          <w:bCs/>
        </w:rPr>
        <w:fldChar w:fldCharType="separate"/>
      </w:r>
      <w:r w:rsidRPr="003F427C">
        <w:rPr>
          <w:b/>
          <w:bCs/>
          <w:color w:val="000000" w:themeColor="text1"/>
        </w:rPr>
        <w:t xml:space="preserve">Figure </w:t>
      </w:r>
      <w:r w:rsidRPr="003F427C">
        <w:rPr>
          <w:b/>
          <w:bCs/>
          <w:noProof/>
          <w:color w:val="000000" w:themeColor="text1"/>
        </w:rPr>
        <w:t>6</w:t>
      </w:r>
      <w:r w:rsidRPr="003F427C">
        <w:rPr>
          <w:b/>
          <w:bCs/>
        </w:rPr>
        <w:fldChar w:fldCharType="end"/>
      </w:r>
      <w:r w:rsidR="00974D82" w:rsidRPr="00BB49DE">
        <w:t xml:space="preserve">). </w:t>
      </w:r>
    </w:p>
    <w:p w14:paraId="48CB179F" w14:textId="4DC2BEA8" w:rsidR="00974D82" w:rsidRDefault="00974D82" w:rsidP="00974D82">
      <w:pPr>
        <w:spacing w:after="0"/>
      </w:pPr>
      <w:r w:rsidRPr="00D417F3">
        <w:t xml:space="preserve">As depicted in the </w:t>
      </w:r>
      <w:r>
        <w:t>two</w:t>
      </w:r>
      <w:r w:rsidRPr="00D417F3">
        <w:t xml:space="preserve"> figures, the lowest available toxicity value (</w:t>
      </w:r>
      <w:r w:rsidRPr="00877F47">
        <w:rPr>
          <w:i/>
          <w:iCs/>
        </w:rPr>
        <w:t>i.e.,</w:t>
      </w:r>
      <w:r w:rsidRPr="00D417F3">
        <w:t xml:space="preserve"> 0.</w:t>
      </w:r>
      <w:r w:rsidR="00074083">
        <w:t>0</w:t>
      </w:r>
      <w:r w:rsidRPr="00D417F3">
        <w:t xml:space="preserve">13 </w:t>
      </w:r>
      <w:r w:rsidR="00074083">
        <w:t>m</w:t>
      </w:r>
      <w:r w:rsidRPr="00D417F3">
        <w:t>g a.i./</w:t>
      </w:r>
      <w:r w:rsidR="00074083">
        <w:t>kg-bw</w:t>
      </w:r>
      <w:r w:rsidRPr="00D417F3">
        <w:t xml:space="preserve"> for </w:t>
      </w:r>
      <w:r w:rsidR="00074083">
        <w:rPr>
          <w:rFonts w:ascii="Calibri" w:hAnsi="Calibri" w:cs="Calibri"/>
          <w:i/>
          <w:iCs/>
        </w:rPr>
        <w:t>Melipona scutellaris</w:t>
      </w:r>
      <w:r w:rsidRPr="00D417F3">
        <w:rPr>
          <w:rFonts w:ascii="Calibri" w:hAnsi="Calibri" w:cs="Calibri"/>
          <w:i/>
          <w:iCs/>
        </w:rPr>
        <w:t xml:space="preserve">; </w:t>
      </w:r>
      <w:r w:rsidRPr="00D417F3">
        <w:rPr>
          <w:rFonts w:ascii="Calibri" w:hAnsi="Calibri" w:cs="Calibri"/>
        </w:rPr>
        <w:t xml:space="preserve">ECOTOX # </w:t>
      </w:r>
      <w:r w:rsidR="00074083">
        <w:rPr>
          <w:rFonts w:ascii="Calibri" w:hAnsi="Calibri" w:cs="Calibri"/>
        </w:rPr>
        <w:t>184470</w:t>
      </w:r>
      <w:r w:rsidRPr="00D417F3">
        <w:rPr>
          <w:rFonts w:ascii="Calibri" w:hAnsi="Calibri" w:cs="Calibri"/>
        </w:rPr>
        <w:t>) appears to be close to the HC</w:t>
      </w:r>
      <w:r w:rsidRPr="00D417F3">
        <w:rPr>
          <w:rFonts w:ascii="Calibri" w:hAnsi="Calibri" w:cs="Calibri"/>
          <w:vertAlign w:val="subscript"/>
        </w:rPr>
        <w:t>05</w:t>
      </w:r>
      <w:r w:rsidRPr="00D417F3">
        <w:rPr>
          <w:rFonts w:ascii="Calibri" w:hAnsi="Calibri" w:cs="Calibri"/>
        </w:rPr>
        <w:t>.</w:t>
      </w:r>
      <w:r w:rsidRPr="00D417F3">
        <w:rPr>
          <w:rFonts w:ascii="Calibri" w:hAnsi="Calibri" w:cs="Calibri"/>
          <w:i/>
          <w:iCs/>
        </w:rPr>
        <w:t xml:space="preserve"> </w:t>
      </w:r>
      <w:r w:rsidRPr="00D417F3">
        <w:t>Since the HC</w:t>
      </w:r>
      <w:r w:rsidRPr="00D417F3">
        <w:rPr>
          <w:vertAlign w:val="subscript"/>
        </w:rPr>
        <w:t>05</w:t>
      </w:r>
      <w:r w:rsidRPr="00D417F3">
        <w:t xml:space="preserve"> is an important endpoint used in the BE, the estimated HC</w:t>
      </w:r>
      <w:r w:rsidRPr="00D417F3">
        <w:rPr>
          <w:vertAlign w:val="subscript"/>
        </w:rPr>
        <w:t>05</w:t>
      </w:r>
      <w:r w:rsidRPr="00D417F3">
        <w:t xml:space="preserve"> of the </w:t>
      </w:r>
      <w:r w:rsidR="00074083">
        <w:t>two</w:t>
      </w:r>
      <w:r w:rsidRPr="00D417F3">
        <w:t xml:space="preserve"> remaining distributions is used in conjunction with goodness of fit to select the endpoint. The </w:t>
      </w:r>
      <w:r w:rsidR="00074083">
        <w:t>normal</w:t>
      </w:r>
      <w:r w:rsidRPr="00D417F3">
        <w:t xml:space="preserve"> distribution is chosen because it has </w:t>
      </w:r>
      <w:r w:rsidR="00074083">
        <w:t>a satisfactory</w:t>
      </w:r>
      <w:r w:rsidRPr="00D417F3">
        <w:t xml:space="preserve"> p value, is within the top AIC</w:t>
      </w:r>
      <w:r>
        <w:t>c</w:t>
      </w:r>
      <w:r w:rsidR="00074083">
        <w:t xml:space="preserve"> weight</w:t>
      </w:r>
      <w:r w:rsidR="00877F47">
        <w:t>s</w:t>
      </w:r>
      <w:r w:rsidRPr="00D417F3">
        <w:t xml:space="preserve"> for goodness of fit</w:t>
      </w:r>
      <w:r w:rsidR="00877F47">
        <w:t xml:space="preserve"> and fits the data best near the </w:t>
      </w:r>
      <w:r w:rsidR="00877F47" w:rsidRPr="00D417F3">
        <w:t>HC</w:t>
      </w:r>
      <w:r w:rsidR="00877F47" w:rsidRPr="00D417F3">
        <w:rPr>
          <w:vertAlign w:val="subscript"/>
        </w:rPr>
        <w:t>05</w:t>
      </w:r>
      <w:r w:rsidR="00877F47">
        <w:rPr>
          <w:vertAlign w:val="subscript"/>
        </w:rPr>
        <w:t xml:space="preserve"> </w:t>
      </w:r>
      <w:r w:rsidR="00877F47">
        <w:t xml:space="preserve">and </w:t>
      </w:r>
      <w:r w:rsidR="00877F47" w:rsidRPr="00B83D1A">
        <w:t>HC</w:t>
      </w:r>
      <w:r w:rsidR="00877F47" w:rsidRPr="00B83D1A">
        <w:rPr>
          <w:vertAlign w:val="subscript"/>
        </w:rPr>
        <w:t>50</w:t>
      </w:r>
      <w:r w:rsidR="00877F47" w:rsidRPr="00B83D1A">
        <w:t xml:space="preserve"> values</w:t>
      </w:r>
      <w:r w:rsidR="00877F47">
        <w:t>.</w:t>
      </w:r>
    </w:p>
    <w:p w14:paraId="6076EF2F" w14:textId="77777777" w:rsidR="00877F47" w:rsidRPr="001D0324" w:rsidRDefault="00877F47" w:rsidP="00974D82">
      <w:pPr>
        <w:spacing w:after="0"/>
        <w:rPr>
          <w:color w:val="FF0000"/>
        </w:rPr>
      </w:pPr>
    </w:p>
    <w:p w14:paraId="32560F6C" w14:textId="03DBE11F" w:rsidR="00974D82" w:rsidRPr="00D147A6" w:rsidRDefault="00D147A6" w:rsidP="00D147A6">
      <w:pPr>
        <w:pStyle w:val="Caption"/>
        <w:rPr>
          <w:b/>
          <w:bCs/>
          <w:i w:val="0"/>
          <w:iCs w:val="0"/>
          <w:color w:val="000000" w:themeColor="text1"/>
          <w:sz w:val="22"/>
          <w:szCs w:val="22"/>
        </w:rPr>
      </w:pPr>
      <w:bookmarkStart w:id="13" w:name="_Ref80170278"/>
      <w:r w:rsidRPr="00D147A6">
        <w:rPr>
          <w:b/>
          <w:bCs/>
          <w:i w:val="0"/>
          <w:iCs w:val="0"/>
          <w:color w:val="000000" w:themeColor="text1"/>
          <w:sz w:val="22"/>
          <w:szCs w:val="22"/>
        </w:rPr>
        <w:t xml:space="preserve">Table </w:t>
      </w:r>
      <w:r w:rsidRPr="00D147A6">
        <w:rPr>
          <w:b/>
          <w:bCs/>
          <w:i w:val="0"/>
          <w:iCs w:val="0"/>
          <w:color w:val="000000" w:themeColor="text1"/>
          <w:sz w:val="22"/>
          <w:szCs w:val="22"/>
        </w:rPr>
        <w:fldChar w:fldCharType="begin"/>
      </w:r>
      <w:r w:rsidRPr="00D147A6">
        <w:rPr>
          <w:b/>
          <w:bCs/>
          <w:i w:val="0"/>
          <w:iCs w:val="0"/>
          <w:color w:val="000000" w:themeColor="text1"/>
          <w:sz w:val="22"/>
          <w:szCs w:val="22"/>
        </w:rPr>
        <w:instrText xml:space="preserve"> SEQ Table \* ARABIC </w:instrText>
      </w:r>
      <w:r w:rsidRPr="00D147A6">
        <w:rPr>
          <w:b/>
          <w:bCs/>
          <w:i w:val="0"/>
          <w:iCs w:val="0"/>
          <w:color w:val="000000" w:themeColor="text1"/>
          <w:sz w:val="22"/>
          <w:szCs w:val="22"/>
        </w:rPr>
        <w:fldChar w:fldCharType="separate"/>
      </w:r>
      <w:r w:rsidRPr="00D147A6">
        <w:rPr>
          <w:b/>
          <w:bCs/>
          <w:i w:val="0"/>
          <w:iCs w:val="0"/>
          <w:noProof/>
          <w:color w:val="000000" w:themeColor="text1"/>
          <w:sz w:val="22"/>
          <w:szCs w:val="22"/>
        </w:rPr>
        <w:t>9</w:t>
      </w:r>
      <w:r w:rsidRPr="00D147A6">
        <w:rPr>
          <w:b/>
          <w:bCs/>
          <w:i w:val="0"/>
          <w:iCs w:val="0"/>
          <w:color w:val="000000" w:themeColor="text1"/>
          <w:sz w:val="22"/>
          <w:szCs w:val="22"/>
        </w:rPr>
        <w:fldChar w:fldCharType="end"/>
      </w:r>
      <w:bookmarkEnd w:id="13"/>
      <w:r w:rsidRPr="00D147A6">
        <w:rPr>
          <w:b/>
          <w:bCs/>
          <w:i w:val="0"/>
          <w:iCs w:val="0"/>
          <w:color w:val="000000" w:themeColor="text1"/>
          <w:sz w:val="22"/>
          <w:szCs w:val="22"/>
        </w:rPr>
        <w:t>. HC05 and HC50 values for distributions based on contact invertebrate EC/LC50 values.</w:t>
      </w:r>
    </w:p>
    <w:tbl>
      <w:tblPr>
        <w:tblStyle w:val="TableGrid"/>
        <w:tblW w:w="0" w:type="auto"/>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4D82" w14:paraId="0173D915" w14:textId="77777777" w:rsidTr="0085649A">
        <w:tc>
          <w:tcPr>
            <w:tcW w:w="3116" w:type="dxa"/>
            <w:tcBorders>
              <w:top w:val="single" w:sz="12" w:space="0" w:color="auto"/>
              <w:bottom w:val="single" w:sz="12" w:space="0" w:color="auto"/>
            </w:tcBorders>
          </w:tcPr>
          <w:p w14:paraId="2A9A61DA" w14:textId="77777777" w:rsidR="00974D82" w:rsidRPr="002A07A5" w:rsidRDefault="00974D82" w:rsidP="0085649A">
            <w:r w:rsidRPr="002A07A5">
              <w:t>Distribution</w:t>
            </w:r>
          </w:p>
        </w:tc>
        <w:tc>
          <w:tcPr>
            <w:tcW w:w="3117" w:type="dxa"/>
            <w:tcBorders>
              <w:top w:val="single" w:sz="12" w:space="0" w:color="auto"/>
              <w:bottom w:val="single" w:sz="12" w:space="0" w:color="auto"/>
            </w:tcBorders>
          </w:tcPr>
          <w:p w14:paraId="7FA8A3D6" w14:textId="77777777" w:rsidR="00974D82" w:rsidRPr="002A07A5" w:rsidRDefault="00974D82" w:rsidP="0085649A">
            <w:r w:rsidRPr="002A07A5">
              <w:t>HC</w:t>
            </w:r>
            <w:r w:rsidRPr="003645D9">
              <w:rPr>
                <w:vertAlign w:val="subscript"/>
              </w:rPr>
              <w:t>05</w:t>
            </w:r>
            <w:r w:rsidRPr="002A07A5">
              <w:t xml:space="preserve"> (95% CI)</w:t>
            </w:r>
          </w:p>
        </w:tc>
        <w:tc>
          <w:tcPr>
            <w:tcW w:w="3117" w:type="dxa"/>
            <w:tcBorders>
              <w:top w:val="single" w:sz="12" w:space="0" w:color="auto"/>
              <w:bottom w:val="single" w:sz="12" w:space="0" w:color="auto"/>
            </w:tcBorders>
          </w:tcPr>
          <w:p w14:paraId="03A23910" w14:textId="77777777" w:rsidR="00974D82" w:rsidRPr="002A07A5" w:rsidRDefault="00974D82" w:rsidP="0085649A">
            <w:r w:rsidRPr="002A07A5">
              <w:t>HC</w:t>
            </w:r>
            <w:r w:rsidRPr="003645D9">
              <w:rPr>
                <w:vertAlign w:val="subscript"/>
              </w:rPr>
              <w:t xml:space="preserve">50 </w:t>
            </w:r>
            <w:r w:rsidRPr="002A07A5">
              <w:t>(95% CI)</w:t>
            </w:r>
          </w:p>
        </w:tc>
      </w:tr>
      <w:tr w:rsidR="00974D82" w14:paraId="02507077" w14:textId="77777777" w:rsidTr="0085649A">
        <w:tc>
          <w:tcPr>
            <w:tcW w:w="3116" w:type="dxa"/>
            <w:tcBorders>
              <w:top w:val="single" w:sz="12" w:space="0" w:color="auto"/>
            </w:tcBorders>
            <w:vAlign w:val="center"/>
          </w:tcPr>
          <w:p w14:paraId="545BABEE" w14:textId="77777777" w:rsidR="00974D82" w:rsidRDefault="00974D82" w:rsidP="0085649A">
            <w:r>
              <w:t>normal</w:t>
            </w:r>
          </w:p>
        </w:tc>
        <w:tc>
          <w:tcPr>
            <w:tcW w:w="3117" w:type="dxa"/>
            <w:tcBorders>
              <w:top w:val="single" w:sz="12" w:space="0" w:color="auto"/>
            </w:tcBorders>
            <w:vAlign w:val="center"/>
          </w:tcPr>
          <w:p w14:paraId="5BDFB73B" w14:textId="6881E6B7" w:rsidR="00974D82" w:rsidRDefault="00974D82" w:rsidP="0085649A">
            <w:r>
              <w:t>0.015 (</w:t>
            </w:r>
            <w:r w:rsidRPr="00242DA0">
              <w:t>0.0</w:t>
            </w:r>
            <w:r>
              <w:t>0</w:t>
            </w:r>
            <w:r w:rsidRPr="00242DA0">
              <w:t>1</w:t>
            </w:r>
            <w:r>
              <w:t>7-0.</w:t>
            </w:r>
            <w:r w:rsidRPr="00242DA0">
              <w:t>15</w:t>
            </w:r>
            <w:r>
              <w:t>)</w:t>
            </w:r>
          </w:p>
        </w:tc>
        <w:tc>
          <w:tcPr>
            <w:tcW w:w="3117" w:type="dxa"/>
            <w:tcBorders>
              <w:top w:val="single" w:sz="12" w:space="0" w:color="auto"/>
            </w:tcBorders>
          </w:tcPr>
          <w:p w14:paraId="30853BB6" w14:textId="429D93C2" w:rsidR="00974D82" w:rsidRDefault="0085649A" w:rsidP="0085649A">
            <w:r>
              <w:t>0.85</w:t>
            </w:r>
            <w:r w:rsidR="00974D82">
              <w:t xml:space="preserve"> (</w:t>
            </w:r>
            <w:r>
              <w:t>0.22</w:t>
            </w:r>
            <w:r w:rsidR="00974D82">
              <w:t>-</w:t>
            </w:r>
            <w:r w:rsidR="00974D82" w:rsidRPr="00242DA0">
              <w:t>3.</w:t>
            </w:r>
            <w:r>
              <w:t>37</w:t>
            </w:r>
            <w:r w:rsidR="00974D82">
              <w:t>)</w:t>
            </w:r>
          </w:p>
        </w:tc>
      </w:tr>
      <w:tr w:rsidR="00974D82" w14:paraId="3879A8D5" w14:textId="77777777" w:rsidTr="0085649A">
        <w:tc>
          <w:tcPr>
            <w:tcW w:w="3116" w:type="dxa"/>
            <w:vAlign w:val="center"/>
          </w:tcPr>
          <w:p w14:paraId="62F7334F" w14:textId="77777777" w:rsidR="00974D82" w:rsidRDefault="00974D82" w:rsidP="0085649A">
            <w:r>
              <w:t>triangular</w:t>
            </w:r>
          </w:p>
        </w:tc>
        <w:tc>
          <w:tcPr>
            <w:tcW w:w="3117" w:type="dxa"/>
            <w:vAlign w:val="center"/>
          </w:tcPr>
          <w:p w14:paraId="407852BD" w14:textId="4E6FB9B5" w:rsidR="00974D82" w:rsidRDefault="00974D82" w:rsidP="0085649A">
            <w:r>
              <w:t>0.</w:t>
            </w:r>
            <w:r w:rsidR="0085649A">
              <w:t>021</w:t>
            </w:r>
            <w:r>
              <w:t xml:space="preserve"> (</w:t>
            </w:r>
            <w:r w:rsidRPr="00242DA0">
              <w:t>0.0</w:t>
            </w:r>
            <w:r w:rsidR="0085649A">
              <w:t>074</w:t>
            </w:r>
            <w:r>
              <w:t>-</w:t>
            </w:r>
            <w:r w:rsidR="0085649A">
              <w:t>0</w:t>
            </w:r>
            <w:r w:rsidRPr="00242DA0">
              <w:t>.</w:t>
            </w:r>
            <w:r w:rsidR="0085649A">
              <w:t>18</w:t>
            </w:r>
            <w:r>
              <w:t>)</w:t>
            </w:r>
          </w:p>
        </w:tc>
        <w:tc>
          <w:tcPr>
            <w:tcW w:w="3117" w:type="dxa"/>
          </w:tcPr>
          <w:p w14:paraId="630B02DC" w14:textId="02662257" w:rsidR="00974D82" w:rsidRDefault="0085649A" w:rsidP="0085649A">
            <w:r>
              <w:t>0.</w:t>
            </w:r>
            <w:r w:rsidR="00974D82" w:rsidRPr="00242DA0">
              <w:t>8</w:t>
            </w:r>
            <w:r>
              <w:t>8</w:t>
            </w:r>
            <w:r w:rsidR="00974D82">
              <w:t xml:space="preserve"> (</w:t>
            </w:r>
            <w:r>
              <w:t>0.</w:t>
            </w:r>
            <w:r w:rsidR="00974D82" w:rsidRPr="00242DA0">
              <w:t>2</w:t>
            </w:r>
            <w:r>
              <w:t>8</w:t>
            </w:r>
            <w:r w:rsidR="00974D82">
              <w:t>-</w:t>
            </w:r>
            <w:r w:rsidR="00974D82" w:rsidRPr="00242DA0">
              <w:t>2</w:t>
            </w:r>
            <w:r>
              <w:t>.87</w:t>
            </w:r>
            <w:r w:rsidR="00974D82">
              <w:t>)</w:t>
            </w:r>
          </w:p>
        </w:tc>
      </w:tr>
    </w:tbl>
    <w:p w14:paraId="0436435B" w14:textId="77777777" w:rsidR="00974D82" w:rsidRDefault="00974D82" w:rsidP="00974D82">
      <w:pPr>
        <w:rPr>
          <w:b/>
        </w:rPr>
      </w:pPr>
    </w:p>
    <w:p w14:paraId="2EE1603C" w14:textId="77777777" w:rsidR="003F427C" w:rsidRDefault="00AE2394" w:rsidP="003F427C">
      <w:pPr>
        <w:keepNext/>
      </w:pPr>
      <w:r>
        <w:rPr>
          <w:noProof/>
        </w:rPr>
        <w:lastRenderedPageBreak/>
        <w:drawing>
          <wp:inline distT="0" distB="0" distL="0" distR="0" wp14:anchorId="623952C1" wp14:editId="5AE7BE1C">
            <wp:extent cx="5943600" cy="4002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002405"/>
                    </a:xfrm>
                    <a:prstGeom prst="rect">
                      <a:avLst/>
                    </a:prstGeom>
                    <a:noFill/>
                    <a:ln>
                      <a:noFill/>
                    </a:ln>
                  </pic:spPr>
                </pic:pic>
              </a:graphicData>
            </a:graphic>
          </wp:inline>
        </w:drawing>
      </w:r>
    </w:p>
    <w:p w14:paraId="173597B8" w14:textId="42209F49" w:rsidR="003F427C" w:rsidRPr="003F427C" w:rsidRDefault="003F427C" w:rsidP="003F427C">
      <w:pPr>
        <w:pStyle w:val="Caption"/>
        <w:rPr>
          <w:b/>
          <w:bCs/>
          <w:i w:val="0"/>
          <w:iCs w:val="0"/>
          <w:color w:val="000000" w:themeColor="text1"/>
          <w:sz w:val="22"/>
          <w:szCs w:val="22"/>
        </w:rPr>
      </w:pPr>
      <w:bookmarkStart w:id="14" w:name="_Ref80170108"/>
      <w:r w:rsidRPr="003F427C">
        <w:rPr>
          <w:b/>
          <w:bCs/>
          <w:i w:val="0"/>
          <w:iCs w:val="0"/>
          <w:color w:val="000000" w:themeColor="text1"/>
          <w:sz w:val="22"/>
          <w:szCs w:val="22"/>
        </w:rPr>
        <w:t xml:space="preserve">Figure </w:t>
      </w:r>
      <w:r w:rsidRPr="003F427C">
        <w:rPr>
          <w:b/>
          <w:bCs/>
          <w:i w:val="0"/>
          <w:iCs w:val="0"/>
          <w:color w:val="000000" w:themeColor="text1"/>
          <w:sz w:val="22"/>
          <w:szCs w:val="22"/>
        </w:rPr>
        <w:fldChar w:fldCharType="begin"/>
      </w:r>
      <w:r w:rsidRPr="003F427C">
        <w:rPr>
          <w:b/>
          <w:bCs/>
          <w:i w:val="0"/>
          <w:iCs w:val="0"/>
          <w:color w:val="000000" w:themeColor="text1"/>
          <w:sz w:val="22"/>
          <w:szCs w:val="22"/>
        </w:rPr>
        <w:instrText xml:space="preserve"> SEQ Figure \* ARABIC </w:instrText>
      </w:r>
      <w:r w:rsidRPr="003F427C">
        <w:rPr>
          <w:b/>
          <w:bCs/>
          <w:i w:val="0"/>
          <w:iCs w:val="0"/>
          <w:color w:val="000000" w:themeColor="text1"/>
          <w:sz w:val="22"/>
          <w:szCs w:val="22"/>
        </w:rPr>
        <w:fldChar w:fldCharType="separate"/>
      </w:r>
      <w:r>
        <w:rPr>
          <w:b/>
          <w:bCs/>
          <w:i w:val="0"/>
          <w:iCs w:val="0"/>
          <w:noProof/>
          <w:color w:val="000000" w:themeColor="text1"/>
          <w:sz w:val="22"/>
          <w:szCs w:val="22"/>
        </w:rPr>
        <w:t>5</w:t>
      </w:r>
      <w:r w:rsidRPr="003F427C">
        <w:rPr>
          <w:b/>
          <w:bCs/>
          <w:i w:val="0"/>
          <w:iCs w:val="0"/>
          <w:color w:val="000000" w:themeColor="text1"/>
          <w:sz w:val="22"/>
          <w:szCs w:val="22"/>
        </w:rPr>
        <w:fldChar w:fldCharType="end"/>
      </w:r>
      <w:bookmarkEnd w:id="14"/>
      <w:r w:rsidRPr="003F427C">
        <w:rPr>
          <w:b/>
          <w:bCs/>
          <w:i w:val="0"/>
          <w:iCs w:val="0"/>
          <w:color w:val="000000" w:themeColor="text1"/>
          <w:sz w:val="22"/>
          <w:szCs w:val="22"/>
        </w:rPr>
        <w:t>. Normal SSD for imidacloprid toxicity values for terrestrial invertebrates.</w:t>
      </w:r>
    </w:p>
    <w:p w14:paraId="30C29D34" w14:textId="453F77BD" w:rsidR="00974D82" w:rsidRPr="00E573C4" w:rsidRDefault="00974D82" w:rsidP="00974D82">
      <w:pPr>
        <w:rPr>
          <w:b/>
        </w:rPr>
      </w:pPr>
      <w:r w:rsidRPr="00E573C4">
        <w:t xml:space="preserve"> </w:t>
      </w:r>
    </w:p>
    <w:p w14:paraId="35158EA3" w14:textId="77777777" w:rsidR="00974D82" w:rsidRDefault="00974D82" w:rsidP="00974D82"/>
    <w:p w14:paraId="685537F9" w14:textId="77777777" w:rsidR="003F427C" w:rsidRDefault="00AE2394" w:rsidP="003F427C">
      <w:pPr>
        <w:keepNext/>
      </w:pPr>
      <w:r>
        <w:rPr>
          <w:noProof/>
        </w:rPr>
        <w:lastRenderedPageBreak/>
        <w:drawing>
          <wp:inline distT="0" distB="0" distL="0" distR="0" wp14:anchorId="31C6E85E" wp14:editId="4F825A72">
            <wp:extent cx="5943600" cy="39998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99865"/>
                    </a:xfrm>
                    <a:prstGeom prst="rect">
                      <a:avLst/>
                    </a:prstGeom>
                    <a:noFill/>
                    <a:ln>
                      <a:noFill/>
                    </a:ln>
                  </pic:spPr>
                </pic:pic>
              </a:graphicData>
            </a:graphic>
          </wp:inline>
        </w:drawing>
      </w:r>
    </w:p>
    <w:p w14:paraId="26435EBD" w14:textId="7D24D63F" w:rsidR="00BB49DE" w:rsidRPr="003F427C" w:rsidRDefault="003F427C" w:rsidP="003F427C">
      <w:pPr>
        <w:pStyle w:val="Caption"/>
        <w:rPr>
          <w:b/>
          <w:bCs/>
          <w:i w:val="0"/>
          <w:iCs w:val="0"/>
          <w:color w:val="000000" w:themeColor="text1"/>
          <w:sz w:val="22"/>
          <w:szCs w:val="22"/>
        </w:rPr>
      </w:pPr>
      <w:bookmarkStart w:id="15" w:name="_Ref80170114"/>
      <w:r w:rsidRPr="003F427C">
        <w:rPr>
          <w:b/>
          <w:bCs/>
          <w:i w:val="0"/>
          <w:iCs w:val="0"/>
          <w:color w:val="000000" w:themeColor="text1"/>
          <w:sz w:val="22"/>
          <w:szCs w:val="22"/>
        </w:rPr>
        <w:t xml:space="preserve">Figure </w:t>
      </w:r>
      <w:r w:rsidRPr="003F427C">
        <w:rPr>
          <w:b/>
          <w:bCs/>
          <w:i w:val="0"/>
          <w:iCs w:val="0"/>
          <w:color w:val="000000" w:themeColor="text1"/>
          <w:sz w:val="22"/>
          <w:szCs w:val="22"/>
        </w:rPr>
        <w:fldChar w:fldCharType="begin"/>
      </w:r>
      <w:r w:rsidRPr="003F427C">
        <w:rPr>
          <w:b/>
          <w:bCs/>
          <w:i w:val="0"/>
          <w:iCs w:val="0"/>
          <w:color w:val="000000" w:themeColor="text1"/>
          <w:sz w:val="22"/>
          <w:szCs w:val="22"/>
        </w:rPr>
        <w:instrText xml:space="preserve"> SEQ Figure \* ARABIC </w:instrText>
      </w:r>
      <w:r w:rsidRPr="003F427C">
        <w:rPr>
          <w:b/>
          <w:bCs/>
          <w:i w:val="0"/>
          <w:iCs w:val="0"/>
          <w:color w:val="000000" w:themeColor="text1"/>
          <w:sz w:val="22"/>
          <w:szCs w:val="22"/>
        </w:rPr>
        <w:fldChar w:fldCharType="separate"/>
      </w:r>
      <w:r>
        <w:rPr>
          <w:b/>
          <w:bCs/>
          <w:i w:val="0"/>
          <w:iCs w:val="0"/>
          <w:noProof/>
          <w:color w:val="000000" w:themeColor="text1"/>
          <w:sz w:val="22"/>
          <w:szCs w:val="22"/>
        </w:rPr>
        <w:t>6</w:t>
      </w:r>
      <w:r w:rsidRPr="003F427C">
        <w:rPr>
          <w:b/>
          <w:bCs/>
          <w:i w:val="0"/>
          <w:iCs w:val="0"/>
          <w:color w:val="000000" w:themeColor="text1"/>
          <w:sz w:val="22"/>
          <w:szCs w:val="22"/>
        </w:rPr>
        <w:fldChar w:fldCharType="end"/>
      </w:r>
      <w:bookmarkEnd w:id="15"/>
      <w:r w:rsidRPr="003F427C">
        <w:rPr>
          <w:b/>
          <w:bCs/>
          <w:i w:val="0"/>
          <w:iCs w:val="0"/>
          <w:color w:val="000000" w:themeColor="text1"/>
          <w:sz w:val="22"/>
          <w:szCs w:val="22"/>
        </w:rPr>
        <w:t>. Triangular SSD for imidacloprid toxicity values for terrestrial invertebrates.</w:t>
      </w:r>
    </w:p>
    <w:p w14:paraId="6D13C627" w14:textId="19B44C74" w:rsidR="00C74ECB" w:rsidRPr="0046077F" w:rsidRDefault="00DC43E6" w:rsidP="00D97305">
      <w:pPr>
        <w:pStyle w:val="Heading1"/>
        <w:rPr>
          <w:b/>
          <w:bCs/>
        </w:rPr>
      </w:pPr>
      <w:r w:rsidRPr="0046077F">
        <w:rPr>
          <w:b/>
          <w:bCs/>
        </w:rPr>
        <w:t>Conclusions</w:t>
      </w:r>
    </w:p>
    <w:p w14:paraId="6487AF31" w14:textId="77777777" w:rsidR="004008C9" w:rsidRDefault="004008C9" w:rsidP="004008C9">
      <w:pPr>
        <w:spacing w:after="0" w:line="240" w:lineRule="auto"/>
      </w:pPr>
    </w:p>
    <w:p w14:paraId="329467A3" w14:textId="6215AFBF" w:rsidR="00FD07FC" w:rsidRPr="00D417F3" w:rsidRDefault="00FD07FC" w:rsidP="00FD07FC">
      <w:pPr>
        <w:spacing w:after="0" w:line="240" w:lineRule="auto"/>
      </w:pPr>
      <w:r w:rsidRPr="00D417F3">
        <w:t xml:space="preserve">For </w:t>
      </w:r>
      <w:r w:rsidR="00AE2394">
        <w:t xml:space="preserve">dietary exposure to </w:t>
      </w:r>
      <w:r w:rsidR="00D417F3" w:rsidRPr="00D417F3">
        <w:t>terrestrial</w:t>
      </w:r>
      <w:r w:rsidR="00E573C4" w:rsidRPr="00D417F3">
        <w:t xml:space="preserve"> invertebrates</w:t>
      </w:r>
      <w:r w:rsidR="00AE2394">
        <w:t xml:space="preserve"> </w:t>
      </w:r>
      <w:r w:rsidRPr="00D417F3">
        <w:t xml:space="preserve">the </w:t>
      </w:r>
      <w:r w:rsidR="00C223BF" w:rsidRPr="00D417F3">
        <w:t xml:space="preserve">logistic </w:t>
      </w:r>
      <w:r w:rsidRPr="00D417F3">
        <w:t>distribution provided the best fit for the dataset</w:t>
      </w:r>
      <w:r w:rsidR="00AE2394">
        <w:t xml:space="preserve"> while for contact exposure the normal distribution provides the best fit</w:t>
      </w:r>
      <w:r w:rsidRPr="00D417F3">
        <w:t>. This decision was based on the AIC</w:t>
      </w:r>
      <w:r w:rsidR="00D417F3" w:rsidRPr="00D417F3">
        <w:t>c</w:t>
      </w:r>
      <w:r w:rsidRPr="00D417F3">
        <w:rPr>
          <w:vertAlign w:val="subscript"/>
        </w:rPr>
        <w:t>c</w:t>
      </w:r>
      <w:r w:rsidRPr="00D417F3">
        <w:t xml:space="preserve"> weight, </w:t>
      </w:r>
      <w:r w:rsidR="00D417F3" w:rsidRPr="00D417F3">
        <w:t xml:space="preserve">p-value, </w:t>
      </w:r>
      <w:r w:rsidRPr="00D417F3">
        <w:t>confidence limits for the different distributions (especially around the HC</w:t>
      </w:r>
      <w:r w:rsidRPr="00D417F3">
        <w:rPr>
          <w:vertAlign w:val="subscript"/>
        </w:rPr>
        <w:t>05</w:t>
      </w:r>
      <w:r w:rsidRPr="00D417F3">
        <w:t xml:space="preserve"> and HC</w:t>
      </w:r>
      <w:r w:rsidRPr="00D417F3">
        <w:rPr>
          <w:vertAlign w:val="subscript"/>
        </w:rPr>
        <w:t>50</w:t>
      </w:r>
      <w:r w:rsidRPr="00D417F3">
        <w:t xml:space="preserve">) and by visually examining the distributions and their consistency with the toxicity data. </w:t>
      </w:r>
      <w:r w:rsidR="00D417F3">
        <w:t xml:space="preserve">The SSD </w:t>
      </w:r>
      <w:r w:rsidR="00D417F3" w:rsidRPr="00D417F3">
        <w:t>logistic</w:t>
      </w:r>
      <w:r w:rsidR="00AE2394">
        <w:t xml:space="preserve"> and normal</w:t>
      </w:r>
      <w:r w:rsidR="00D417F3" w:rsidRPr="00D417F3">
        <w:t xml:space="preserve"> </w:t>
      </w:r>
      <w:r w:rsidRPr="00D417F3">
        <w:t>distribution</w:t>
      </w:r>
      <w:r w:rsidR="00AE2394">
        <w:t>, respectively,</w:t>
      </w:r>
      <w:r w:rsidRPr="00D417F3">
        <w:t xml:space="preserve"> </w:t>
      </w:r>
      <w:r w:rsidR="00757993" w:rsidRPr="00D417F3">
        <w:t xml:space="preserve">will be used </w:t>
      </w:r>
      <w:r w:rsidR="00F57DCC" w:rsidRPr="00D417F3">
        <w:t xml:space="preserve">for assessing direct effects to listed </w:t>
      </w:r>
      <w:r w:rsidR="00D417F3" w:rsidRPr="00D417F3">
        <w:t>terrestrial</w:t>
      </w:r>
      <w:r w:rsidR="00F57DCC" w:rsidRPr="00D417F3">
        <w:t xml:space="preserve"> invertebrates associated wth PPHD</w:t>
      </w:r>
      <w:r w:rsidRPr="00D417F3">
        <w:t xml:space="preserve"> </w:t>
      </w:r>
      <w:r w:rsidR="00757993" w:rsidRPr="00D417F3">
        <w:t>in each category</w:t>
      </w:r>
      <w:r w:rsidR="003F427C">
        <w:t xml:space="preserve"> (</w:t>
      </w:r>
      <w:r w:rsidR="003F427C" w:rsidRPr="003F427C">
        <w:fldChar w:fldCharType="begin"/>
      </w:r>
      <w:r w:rsidR="003F427C" w:rsidRPr="003F427C">
        <w:instrText xml:space="preserve"> REF _Ref80170069 \h  \* MERGEFORMAT </w:instrText>
      </w:r>
      <w:r w:rsidR="003F427C" w:rsidRPr="003F427C">
        <w:fldChar w:fldCharType="separate"/>
      </w:r>
      <w:r w:rsidR="003F427C" w:rsidRPr="003F427C">
        <w:rPr>
          <w:b/>
          <w:bCs/>
          <w:color w:val="000000" w:themeColor="text1"/>
        </w:rPr>
        <w:t xml:space="preserve">Figure </w:t>
      </w:r>
      <w:r w:rsidR="003F427C" w:rsidRPr="003F427C">
        <w:rPr>
          <w:b/>
          <w:bCs/>
          <w:noProof/>
          <w:color w:val="000000" w:themeColor="text1"/>
        </w:rPr>
        <w:t>7</w:t>
      </w:r>
      <w:r w:rsidR="003F427C" w:rsidRPr="003F427C">
        <w:fldChar w:fldCharType="end"/>
      </w:r>
      <w:r w:rsidR="003F427C" w:rsidRPr="003F427C">
        <w:t xml:space="preserve"> and</w:t>
      </w:r>
      <w:r w:rsidR="003F427C">
        <w:t xml:space="preserve"> </w:t>
      </w:r>
      <w:r w:rsidR="003F427C" w:rsidRPr="003F427C">
        <w:fldChar w:fldCharType="begin"/>
      </w:r>
      <w:r w:rsidR="003F427C" w:rsidRPr="003F427C">
        <w:instrText xml:space="preserve"> REF _Ref80170072 \h  \* MERGEFORMAT </w:instrText>
      </w:r>
      <w:r w:rsidR="003F427C" w:rsidRPr="003F427C">
        <w:fldChar w:fldCharType="separate"/>
      </w:r>
      <w:r w:rsidR="003F427C" w:rsidRPr="003F427C">
        <w:rPr>
          <w:b/>
          <w:bCs/>
          <w:color w:val="000000" w:themeColor="text1"/>
        </w:rPr>
        <w:t xml:space="preserve">Figure </w:t>
      </w:r>
      <w:r w:rsidR="003F427C" w:rsidRPr="003F427C">
        <w:rPr>
          <w:b/>
          <w:bCs/>
          <w:noProof/>
          <w:color w:val="000000" w:themeColor="text1"/>
        </w:rPr>
        <w:t>8</w:t>
      </w:r>
      <w:r w:rsidR="003F427C" w:rsidRPr="003F427C">
        <w:fldChar w:fldCharType="end"/>
      </w:r>
      <w:r w:rsidR="003F427C">
        <w:t xml:space="preserve"> </w:t>
      </w:r>
      <w:r w:rsidRPr="00D417F3">
        <w:t xml:space="preserve">). </w:t>
      </w:r>
    </w:p>
    <w:p w14:paraId="4C3345EB" w14:textId="660E268E" w:rsidR="00EF1331" w:rsidRPr="001D0324" w:rsidRDefault="00EF1331" w:rsidP="00FD07FC">
      <w:pPr>
        <w:spacing w:after="0" w:line="240" w:lineRule="auto"/>
        <w:rPr>
          <w:color w:val="FF0000"/>
        </w:rPr>
      </w:pPr>
    </w:p>
    <w:p w14:paraId="766D44ED" w14:textId="5F77EC30" w:rsidR="00EF1331" w:rsidRDefault="00EF1331" w:rsidP="00EF1331">
      <w:pPr>
        <w:spacing w:after="0" w:line="240" w:lineRule="auto"/>
        <w:rPr>
          <w:rFonts w:ascii="Calibri" w:eastAsia="Calibri" w:hAnsi="Calibri" w:cs="Times New Roman"/>
        </w:rPr>
      </w:pPr>
    </w:p>
    <w:p w14:paraId="5004EAB5" w14:textId="77777777" w:rsidR="003F427C" w:rsidRDefault="00AE2394" w:rsidP="003F427C">
      <w:pPr>
        <w:keepNext/>
      </w:pPr>
      <w:r>
        <w:rPr>
          <w:noProof/>
        </w:rPr>
        <w:lastRenderedPageBreak/>
        <w:drawing>
          <wp:inline distT="0" distB="0" distL="0" distR="0" wp14:anchorId="04ABC309" wp14:editId="4C895001">
            <wp:extent cx="5943600" cy="32740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74060"/>
                    </a:xfrm>
                    <a:prstGeom prst="rect">
                      <a:avLst/>
                    </a:prstGeom>
                    <a:noFill/>
                    <a:ln>
                      <a:noFill/>
                    </a:ln>
                  </pic:spPr>
                </pic:pic>
              </a:graphicData>
            </a:graphic>
          </wp:inline>
        </w:drawing>
      </w:r>
    </w:p>
    <w:p w14:paraId="6EEAC203" w14:textId="1EC1757A" w:rsidR="00D417F3" w:rsidRPr="003F427C" w:rsidRDefault="003F427C" w:rsidP="003F427C">
      <w:pPr>
        <w:pStyle w:val="Caption"/>
        <w:rPr>
          <w:b/>
          <w:bCs/>
          <w:i w:val="0"/>
          <w:iCs w:val="0"/>
          <w:color w:val="000000" w:themeColor="text1"/>
          <w:sz w:val="22"/>
          <w:szCs w:val="22"/>
        </w:rPr>
      </w:pPr>
      <w:bookmarkStart w:id="16" w:name="_Ref80170069"/>
      <w:r w:rsidRPr="003F427C">
        <w:rPr>
          <w:b/>
          <w:bCs/>
          <w:i w:val="0"/>
          <w:iCs w:val="0"/>
          <w:color w:val="000000" w:themeColor="text1"/>
          <w:sz w:val="22"/>
          <w:szCs w:val="22"/>
        </w:rPr>
        <w:t xml:space="preserve">Figure </w:t>
      </w:r>
      <w:r w:rsidRPr="003F427C">
        <w:rPr>
          <w:b/>
          <w:bCs/>
          <w:i w:val="0"/>
          <w:iCs w:val="0"/>
          <w:color w:val="000000" w:themeColor="text1"/>
          <w:sz w:val="22"/>
          <w:szCs w:val="22"/>
        </w:rPr>
        <w:fldChar w:fldCharType="begin"/>
      </w:r>
      <w:r w:rsidRPr="003F427C">
        <w:rPr>
          <w:b/>
          <w:bCs/>
          <w:i w:val="0"/>
          <w:iCs w:val="0"/>
          <w:color w:val="000000" w:themeColor="text1"/>
          <w:sz w:val="22"/>
          <w:szCs w:val="22"/>
        </w:rPr>
        <w:instrText xml:space="preserve"> SEQ Figure \* ARABIC </w:instrText>
      </w:r>
      <w:r w:rsidRPr="003F427C">
        <w:rPr>
          <w:b/>
          <w:bCs/>
          <w:i w:val="0"/>
          <w:iCs w:val="0"/>
          <w:color w:val="000000" w:themeColor="text1"/>
          <w:sz w:val="22"/>
          <w:szCs w:val="22"/>
        </w:rPr>
        <w:fldChar w:fldCharType="separate"/>
      </w:r>
      <w:r>
        <w:rPr>
          <w:b/>
          <w:bCs/>
          <w:i w:val="0"/>
          <w:iCs w:val="0"/>
          <w:noProof/>
          <w:color w:val="000000" w:themeColor="text1"/>
          <w:sz w:val="22"/>
          <w:szCs w:val="22"/>
        </w:rPr>
        <w:t>7</w:t>
      </w:r>
      <w:r w:rsidRPr="003F427C">
        <w:rPr>
          <w:b/>
          <w:bCs/>
          <w:i w:val="0"/>
          <w:iCs w:val="0"/>
          <w:color w:val="000000" w:themeColor="text1"/>
          <w:sz w:val="22"/>
          <w:szCs w:val="22"/>
        </w:rPr>
        <w:fldChar w:fldCharType="end"/>
      </w:r>
      <w:bookmarkEnd w:id="16"/>
      <w:r w:rsidRPr="003F427C">
        <w:rPr>
          <w:b/>
          <w:bCs/>
          <w:i w:val="0"/>
          <w:iCs w:val="0"/>
          <w:color w:val="000000" w:themeColor="text1"/>
          <w:sz w:val="22"/>
          <w:szCs w:val="22"/>
        </w:rPr>
        <w:t>. Logistic SSD for imidacloprid toxicity values for dietary exposure to terrestrial invertebrates.</w:t>
      </w:r>
    </w:p>
    <w:p w14:paraId="4463C709" w14:textId="77777777" w:rsidR="003F427C" w:rsidRDefault="00AE2394" w:rsidP="003F427C">
      <w:pPr>
        <w:keepNext/>
      </w:pPr>
      <w:r>
        <w:rPr>
          <w:noProof/>
        </w:rPr>
        <w:drawing>
          <wp:inline distT="0" distB="0" distL="0" distR="0" wp14:anchorId="2096BF08" wp14:editId="0C0BB295">
            <wp:extent cx="5943600" cy="37064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06495"/>
                    </a:xfrm>
                    <a:prstGeom prst="rect">
                      <a:avLst/>
                    </a:prstGeom>
                    <a:noFill/>
                    <a:ln>
                      <a:noFill/>
                    </a:ln>
                  </pic:spPr>
                </pic:pic>
              </a:graphicData>
            </a:graphic>
          </wp:inline>
        </w:drawing>
      </w:r>
    </w:p>
    <w:p w14:paraId="0C36AAF0" w14:textId="3E1EEAB3" w:rsidR="00AE2394" w:rsidRPr="003F427C" w:rsidRDefault="003F427C" w:rsidP="003F427C">
      <w:pPr>
        <w:pStyle w:val="Caption"/>
        <w:rPr>
          <w:b/>
          <w:bCs/>
          <w:i w:val="0"/>
          <w:iCs w:val="0"/>
          <w:color w:val="000000" w:themeColor="text1"/>
          <w:sz w:val="22"/>
          <w:szCs w:val="22"/>
        </w:rPr>
      </w:pPr>
      <w:bookmarkStart w:id="17" w:name="_Ref80170072"/>
      <w:r w:rsidRPr="003F427C">
        <w:rPr>
          <w:b/>
          <w:bCs/>
          <w:i w:val="0"/>
          <w:iCs w:val="0"/>
          <w:color w:val="000000" w:themeColor="text1"/>
          <w:sz w:val="22"/>
          <w:szCs w:val="22"/>
        </w:rPr>
        <w:t xml:space="preserve">Figure </w:t>
      </w:r>
      <w:r w:rsidRPr="003F427C">
        <w:rPr>
          <w:b/>
          <w:bCs/>
          <w:i w:val="0"/>
          <w:iCs w:val="0"/>
          <w:color w:val="000000" w:themeColor="text1"/>
          <w:sz w:val="22"/>
          <w:szCs w:val="22"/>
        </w:rPr>
        <w:fldChar w:fldCharType="begin"/>
      </w:r>
      <w:r w:rsidRPr="003F427C">
        <w:rPr>
          <w:b/>
          <w:bCs/>
          <w:i w:val="0"/>
          <w:iCs w:val="0"/>
          <w:color w:val="000000" w:themeColor="text1"/>
          <w:sz w:val="22"/>
          <w:szCs w:val="22"/>
        </w:rPr>
        <w:instrText xml:space="preserve"> SEQ Figure \* ARABIC </w:instrText>
      </w:r>
      <w:r w:rsidRPr="003F427C">
        <w:rPr>
          <w:b/>
          <w:bCs/>
          <w:i w:val="0"/>
          <w:iCs w:val="0"/>
          <w:color w:val="000000" w:themeColor="text1"/>
          <w:sz w:val="22"/>
          <w:szCs w:val="22"/>
        </w:rPr>
        <w:fldChar w:fldCharType="separate"/>
      </w:r>
      <w:r w:rsidRPr="003F427C">
        <w:rPr>
          <w:b/>
          <w:bCs/>
          <w:i w:val="0"/>
          <w:iCs w:val="0"/>
          <w:noProof/>
          <w:color w:val="000000" w:themeColor="text1"/>
          <w:sz w:val="22"/>
          <w:szCs w:val="22"/>
        </w:rPr>
        <w:t>8</w:t>
      </w:r>
      <w:r w:rsidRPr="003F427C">
        <w:rPr>
          <w:b/>
          <w:bCs/>
          <w:i w:val="0"/>
          <w:iCs w:val="0"/>
          <w:color w:val="000000" w:themeColor="text1"/>
          <w:sz w:val="22"/>
          <w:szCs w:val="22"/>
        </w:rPr>
        <w:fldChar w:fldCharType="end"/>
      </w:r>
      <w:bookmarkEnd w:id="17"/>
      <w:r w:rsidRPr="003F427C">
        <w:rPr>
          <w:b/>
          <w:bCs/>
          <w:i w:val="0"/>
          <w:iCs w:val="0"/>
          <w:color w:val="000000" w:themeColor="text1"/>
          <w:sz w:val="22"/>
          <w:szCs w:val="22"/>
        </w:rPr>
        <w:t>. Normal SSD for imidacloprid toxicity values for contact exposure to terrestrial invertebrates.</w:t>
      </w:r>
    </w:p>
    <w:sectPr w:rsidR="00AE2394" w:rsidRPr="003F427C" w:rsidSect="0059497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05125" w14:textId="77777777" w:rsidR="00D147A6" w:rsidRDefault="00D147A6">
      <w:pPr>
        <w:spacing w:after="0" w:line="240" w:lineRule="auto"/>
      </w:pPr>
      <w:r>
        <w:separator/>
      </w:r>
    </w:p>
  </w:endnote>
  <w:endnote w:type="continuationSeparator" w:id="0">
    <w:p w14:paraId="776D9A21" w14:textId="77777777" w:rsidR="00D147A6" w:rsidRDefault="00D1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2709" w14:textId="77777777" w:rsidR="00D147A6" w:rsidRDefault="00D14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432843"/>
      <w:docPartObj>
        <w:docPartGallery w:val="Page Numbers (Bottom of Page)"/>
        <w:docPartUnique/>
      </w:docPartObj>
    </w:sdtPr>
    <w:sdtEndPr>
      <w:rPr>
        <w:noProof/>
      </w:rPr>
    </w:sdtEndPr>
    <w:sdtContent>
      <w:p w14:paraId="75C40AA2" w14:textId="77777777" w:rsidR="00D147A6" w:rsidRDefault="00D147A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CD8E1A2" w14:textId="77777777" w:rsidR="00D147A6" w:rsidRDefault="00D14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557E" w14:textId="77777777" w:rsidR="00D147A6" w:rsidRDefault="00D1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B843" w14:textId="77777777" w:rsidR="00D147A6" w:rsidRDefault="00D147A6">
      <w:pPr>
        <w:spacing w:after="0" w:line="240" w:lineRule="auto"/>
      </w:pPr>
      <w:r>
        <w:separator/>
      </w:r>
    </w:p>
  </w:footnote>
  <w:footnote w:type="continuationSeparator" w:id="0">
    <w:p w14:paraId="1D3A45B1" w14:textId="77777777" w:rsidR="00D147A6" w:rsidRDefault="00D147A6">
      <w:pPr>
        <w:spacing w:after="0" w:line="240" w:lineRule="auto"/>
      </w:pPr>
      <w:r>
        <w:continuationSeparator/>
      </w:r>
    </w:p>
  </w:footnote>
  <w:footnote w:id="1">
    <w:p w14:paraId="58E652B4" w14:textId="77777777" w:rsidR="00D147A6" w:rsidRDefault="00D147A6" w:rsidP="005C6281">
      <w:pPr>
        <w:pStyle w:val="FootnoteText"/>
      </w:pPr>
      <w:r>
        <w:rPr>
          <w:rStyle w:val="FootnoteReference"/>
        </w:rPr>
        <w:footnoteRef/>
      </w:r>
      <w:r>
        <w:t xml:space="preserve"> Etterson, M. 2011. Appendix C. Analyses of sensitivity distributions for estimation of acute hazard concentrations to aquatic animals. </w:t>
      </w:r>
      <w:r w:rsidRPr="00075D85">
        <w:t>https://www.regulations.gov/document?D=EPA-HQ-OPP-2011-0898-0009</w:t>
      </w:r>
    </w:p>
  </w:footnote>
  <w:footnote w:id="2">
    <w:p w14:paraId="0AB2B94E" w14:textId="3FAE54B0" w:rsidR="00D147A6" w:rsidRDefault="00D147A6">
      <w:pPr>
        <w:pStyle w:val="FootnoteText"/>
      </w:pPr>
      <w:r>
        <w:rPr>
          <w:rStyle w:val="FootnoteReference"/>
        </w:rPr>
        <w:footnoteRef/>
      </w:r>
      <w:r>
        <w:t xml:space="preserve"> Etterson, M. 2011. Appendix C. Analyses of sensitivity distributions for estimation of acute hazard concentrations to aquatic animals. </w:t>
      </w:r>
      <w:r w:rsidRPr="00075D85">
        <w:t>https://www.regulations.gov/document?D=EPA-HQ-OPP-2011-0898-0009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925A" w14:textId="77777777" w:rsidR="00D147A6" w:rsidRDefault="00D14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57793" w14:textId="77777777" w:rsidR="00D147A6" w:rsidRDefault="00D14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EBC5" w14:textId="77777777" w:rsidR="00D147A6" w:rsidRDefault="00D14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980"/>
    <w:multiLevelType w:val="hybridMultilevel"/>
    <w:tmpl w:val="3CDAF656"/>
    <w:lvl w:ilvl="0" w:tplc="79FAC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F08D7"/>
    <w:multiLevelType w:val="hybridMultilevel"/>
    <w:tmpl w:val="7D76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23452"/>
    <w:multiLevelType w:val="multilevel"/>
    <w:tmpl w:val="9F0659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9E012A5"/>
    <w:multiLevelType w:val="hybridMultilevel"/>
    <w:tmpl w:val="D568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Pau8VlplQz1yD+E4dEuexewkf8G98aUX7ZBHNr5XJLQnKivyD4XrwfKlhOsCOa+Sr2605MgRaGxNUZ3Y1ItNKw==" w:salt="Q2/tRxQxMH3KccdN2WkAp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CB"/>
    <w:rsid w:val="00001A0A"/>
    <w:rsid w:val="0002059D"/>
    <w:rsid w:val="00030492"/>
    <w:rsid w:val="00033247"/>
    <w:rsid w:val="000507BB"/>
    <w:rsid w:val="0005350B"/>
    <w:rsid w:val="000572CA"/>
    <w:rsid w:val="00057D38"/>
    <w:rsid w:val="0007267C"/>
    <w:rsid w:val="00073247"/>
    <w:rsid w:val="00074083"/>
    <w:rsid w:val="00075D85"/>
    <w:rsid w:val="00085821"/>
    <w:rsid w:val="0008640D"/>
    <w:rsid w:val="000A38EC"/>
    <w:rsid w:val="000B4E23"/>
    <w:rsid w:val="000B574A"/>
    <w:rsid w:val="000C0F2D"/>
    <w:rsid w:val="001065C8"/>
    <w:rsid w:val="00124A13"/>
    <w:rsid w:val="001324E6"/>
    <w:rsid w:val="00132D2A"/>
    <w:rsid w:val="00137355"/>
    <w:rsid w:val="001373F1"/>
    <w:rsid w:val="001605EC"/>
    <w:rsid w:val="00161B8C"/>
    <w:rsid w:val="00177166"/>
    <w:rsid w:val="0018537A"/>
    <w:rsid w:val="00190AA8"/>
    <w:rsid w:val="00190B18"/>
    <w:rsid w:val="001977A4"/>
    <w:rsid w:val="001C772C"/>
    <w:rsid w:val="001D0324"/>
    <w:rsid w:val="001D791A"/>
    <w:rsid w:val="001E1879"/>
    <w:rsid w:val="001E39CE"/>
    <w:rsid w:val="001E6059"/>
    <w:rsid w:val="00202BA7"/>
    <w:rsid w:val="00215C54"/>
    <w:rsid w:val="00227347"/>
    <w:rsid w:val="00242DA0"/>
    <w:rsid w:val="00254ADD"/>
    <w:rsid w:val="002740EC"/>
    <w:rsid w:val="00275E60"/>
    <w:rsid w:val="00284286"/>
    <w:rsid w:val="00285050"/>
    <w:rsid w:val="002A07A5"/>
    <w:rsid w:val="002B7AD6"/>
    <w:rsid w:val="002D2ECF"/>
    <w:rsid w:val="002E7C64"/>
    <w:rsid w:val="0030359B"/>
    <w:rsid w:val="003224DA"/>
    <w:rsid w:val="00331BCF"/>
    <w:rsid w:val="00341928"/>
    <w:rsid w:val="00362368"/>
    <w:rsid w:val="003645D9"/>
    <w:rsid w:val="00372827"/>
    <w:rsid w:val="003900D1"/>
    <w:rsid w:val="00390239"/>
    <w:rsid w:val="003A7C53"/>
    <w:rsid w:val="003B3CBE"/>
    <w:rsid w:val="003B7C1B"/>
    <w:rsid w:val="003D645D"/>
    <w:rsid w:val="003E36E5"/>
    <w:rsid w:val="003F134F"/>
    <w:rsid w:val="003F427C"/>
    <w:rsid w:val="004008C9"/>
    <w:rsid w:val="0041408E"/>
    <w:rsid w:val="0041748E"/>
    <w:rsid w:val="004247DA"/>
    <w:rsid w:val="004358B8"/>
    <w:rsid w:val="004360D1"/>
    <w:rsid w:val="004360F2"/>
    <w:rsid w:val="00436302"/>
    <w:rsid w:val="0043683D"/>
    <w:rsid w:val="00437C56"/>
    <w:rsid w:val="00444B55"/>
    <w:rsid w:val="00455EE8"/>
    <w:rsid w:val="0045676A"/>
    <w:rsid w:val="0046077F"/>
    <w:rsid w:val="00461323"/>
    <w:rsid w:val="00464995"/>
    <w:rsid w:val="004846E6"/>
    <w:rsid w:val="00486401"/>
    <w:rsid w:val="004A5B4B"/>
    <w:rsid w:val="004B1D43"/>
    <w:rsid w:val="004B3EFF"/>
    <w:rsid w:val="004B72CA"/>
    <w:rsid w:val="004D2917"/>
    <w:rsid w:val="004E467F"/>
    <w:rsid w:val="004E7761"/>
    <w:rsid w:val="004F71FD"/>
    <w:rsid w:val="00501338"/>
    <w:rsid w:val="005037C7"/>
    <w:rsid w:val="00507D7C"/>
    <w:rsid w:val="005102EE"/>
    <w:rsid w:val="00526B87"/>
    <w:rsid w:val="00532B47"/>
    <w:rsid w:val="00540285"/>
    <w:rsid w:val="005431F5"/>
    <w:rsid w:val="00561F32"/>
    <w:rsid w:val="005628DF"/>
    <w:rsid w:val="00564571"/>
    <w:rsid w:val="00590AAF"/>
    <w:rsid w:val="00593C5D"/>
    <w:rsid w:val="0059497B"/>
    <w:rsid w:val="005A771A"/>
    <w:rsid w:val="005C6281"/>
    <w:rsid w:val="005E0E66"/>
    <w:rsid w:val="005E51DE"/>
    <w:rsid w:val="005F2AF7"/>
    <w:rsid w:val="005F31AD"/>
    <w:rsid w:val="00600CFC"/>
    <w:rsid w:val="006054E0"/>
    <w:rsid w:val="00620BE1"/>
    <w:rsid w:val="00642B32"/>
    <w:rsid w:val="0064487D"/>
    <w:rsid w:val="006606F9"/>
    <w:rsid w:val="00690F54"/>
    <w:rsid w:val="00693B8A"/>
    <w:rsid w:val="00694F06"/>
    <w:rsid w:val="006953FF"/>
    <w:rsid w:val="006A2726"/>
    <w:rsid w:val="006A41EC"/>
    <w:rsid w:val="006A49FF"/>
    <w:rsid w:val="006A7C13"/>
    <w:rsid w:val="006B3586"/>
    <w:rsid w:val="006D757C"/>
    <w:rsid w:val="006E514B"/>
    <w:rsid w:val="00703495"/>
    <w:rsid w:val="00705BC4"/>
    <w:rsid w:val="00706450"/>
    <w:rsid w:val="007074B5"/>
    <w:rsid w:val="00721A01"/>
    <w:rsid w:val="0073794C"/>
    <w:rsid w:val="00743680"/>
    <w:rsid w:val="0075650E"/>
    <w:rsid w:val="00757993"/>
    <w:rsid w:val="0077238D"/>
    <w:rsid w:val="00784B7D"/>
    <w:rsid w:val="007864C2"/>
    <w:rsid w:val="00790F07"/>
    <w:rsid w:val="007A46E0"/>
    <w:rsid w:val="007B0662"/>
    <w:rsid w:val="007B5D60"/>
    <w:rsid w:val="007B65AA"/>
    <w:rsid w:val="007C2708"/>
    <w:rsid w:val="007C7BAB"/>
    <w:rsid w:val="007E1080"/>
    <w:rsid w:val="007E3E5E"/>
    <w:rsid w:val="007F1086"/>
    <w:rsid w:val="00806A87"/>
    <w:rsid w:val="00814BA5"/>
    <w:rsid w:val="008157B7"/>
    <w:rsid w:val="008406AC"/>
    <w:rsid w:val="008446A6"/>
    <w:rsid w:val="00851E7A"/>
    <w:rsid w:val="0085649A"/>
    <w:rsid w:val="00862CF2"/>
    <w:rsid w:val="008733EC"/>
    <w:rsid w:val="00877F47"/>
    <w:rsid w:val="008A017B"/>
    <w:rsid w:val="008E1BAF"/>
    <w:rsid w:val="008F1CE6"/>
    <w:rsid w:val="00901BCE"/>
    <w:rsid w:val="00912C57"/>
    <w:rsid w:val="009153CF"/>
    <w:rsid w:val="00953B50"/>
    <w:rsid w:val="00960629"/>
    <w:rsid w:val="00974D82"/>
    <w:rsid w:val="00983A2E"/>
    <w:rsid w:val="00995B06"/>
    <w:rsid w:val="009B29E7"/>
    <w:rsid w:val="009B31C1"/>
    <w:rsid w:val="009F4C29"/>
    <w:rsid w:val="009F5BE6"/>
    <w:rsid w:val="009F7F38"/>
    <w:rsid w:val="00A011AF"/>
    <w:rsid w:val="00A17A1C"/>
    <w:rsid w:val="00A30D2D"/>
    <w:rsid w:val="00A469C5"/>
    <w:rsid w:val="00A62286"/>
    <w:rsid w:val="00A634A6"/>
    <w:rsid w:val="00A756A2"/>
    <w:rsid w:val="00A8004E"/>
    <w:rsid w:val="00AA45DE"/>
    <w:rsid w:val="00AD026D"/>
    <w:rsid w:val="00AD3802"/>
    <w:rsid w:val="00AE2394"/>
    <w:rsid w:val="00AE51ED"/>
    <w:rsid w:val="00AF27B8"/>
    <w:rsid w:val="00AF7613"/>
    <w:rsid w:val="00B022B3"/>
    <w:rsid w:val="00B02F08"/>
    <w:rsid w:val="00B047D0"/>
    <w:rsid w:val="00B16D97"/>
    <w:rsid w:val="00B23C24"/>
    <w:rsid w:val="00B301F0"/>
    <w:rsid w:val="00B36B15"/>
    <w:rsid w:val="00B4201C"/>
    <w:rsid w:val="00B563F5"/>
    <w:rsid w:val="00B67665"/>
    <w:rsid w:val="00B83160"/>
    <w:rsid w:val="00B83D1A"/>
    <w:rsid w:val="00BA3D16"/>
    <w:rsid w:val="00BA7D3A"/>
    <w:rsid w:val="00BB49DE"/>
    <w:rsid w:val="00BB7F94"/>
    <w:rsid w:val="00BC6E87"/>
    <w:rsid w:val="00BD4C61"/>
    <w:rsid w:val="00BE07C9"/>
    <w:rsid w:val="00BE4FAF"/>
    <w:rsid w:val="00BE7CE3"/>
    <w:rsid w:val="00C11D11"/>
    <w:rsid w:val="00C11D36"/>
    <w:rsid w:val="00C17AF1"/>
    <w:rsid w:val="00C223BF"/>
    <w:rsid w:val="00C23BEE"/>
    <w:rsid w:val="00C24A2F"/>
    <w:rsid w:val="00C25213"/>
    <w:rsid w:val="00C4142F"/>
    <w:rsid w:val="00C54724"/>
    <w:rsid w:val="00C64150"/>
    <w:rsid w:val="00C64220"/>
    <w:rsid w:val="00C65585"/>
    <w:rsid w:val="00C70B13"/>
    <w:rsid w:val="00C74ECB"/>
    <w:rsid w:val="00C77CFF"/>
    <w:rsid w:val="00C86C77"/>
    <w:rsid w:val="00C915E6"/>
    <w:rsid w:val="00CA326F"/>
    <w:rsid w:val="00CA5915"/>
    <w:rsid w:val="00CB0779"/>
    <w:rsid w:val="00CB3E20"/>
    <w:rsid w:val="00CC5301"/>
    <w:rsid w:val="00CD2F02"/>
    <w:rsid w:val="00CE2F63"/>
    <w:rsid w:val="00D03E22"/>
    <w:rsid w:val="00D10A14"/>
    <w:rsid w:val="00D147A6"/>
    <w:rsid w:val="00D417F3"/>
    <w:rsid w:val="00D54CE0"/>
    <w:rsid w:val="00D6458B"/>
    <w:rsid w:val="00D67FB5"/>
    <w:rsid w:val="00D72EFA"/>
    <w:rsid w:val="00D86142"/>
    <w:rsid w:val="00D94DFB"/>
    <w:rsid w:val="00D97305"/>
    <w:rsid w:val="00DC43E6"/>
    <w:rsid w:val="00E01F31"/>
    <w:rsid w:val="00E13BEE"/>
    <w:rsid w:val="00E221D4"/>
    <w:rsid w:val="00E31724"/>
    <w:rsid w:val="00E3295B"/>
    <w:rsid w:val="00E573C4"/>
    <w:rsid w:val="00E66D2F"/>
    <w:rsid w:val="00E81E98"/>
    <w:rsid w:val="00EA6C73"/>
    <w:rsid w:val="00EC6C1A"/>
    <w:rsid w:val="00EC74F0"/>
    <w:rsid w:val="00ED2B70"/>
    <w:rsid w:val="00EE7BDB"/>
    <w:rsid w:val="00EF1331"/>
    <w:rsid w:val="00EF7608"/>
    <w:rsid w:val="00F00C1B"/>
    <w:rsid w:val="00F065D6"/>
    <w:rsid w:val="00F11E09"/>
    <w:rsid w:val="00F14327"/>
    <w:rsid w:val="00F15638"/>
    <w:rsid w:val="00F1731C"/>
    <w:rsid w:val="00F20151"/>
    <w:rsid w:val="00F21555"/>
    <w:rsid w:val="00F2641C"/>
    <w:rsid w:val="00F34EC1"/>
    <w:rsid w:val="00F4439C"/>
    <w:rsid w:val="00F45E71"/>
    <w:rsid w:val="00F548A8"/>
    <w:rsid w:val="00F549E2"/>
    <w:rsid w:val="00F57DCC"/>
    <w:rsid w:val="00F70667"/>
    <w:rsid w:val="00F75B51"/>
    <w:rsid w:val="00F801DB"/>
    <w:rsid w:val="00F87DFE"/>
    <w:rsid w:val="00FB1635"/>
    <w:rsid w:val="00FC7C8C"/>
    <w:rsid w:val="00FD07FC"/>
    <w:rsid w:val="00FE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880B"/>
  <w15:chartTrackingRefBased/>
  <w15:docId w15:val="{56E2DDD4-6E6B-4A27-8E0C-0DFED61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CB"/>
  </w:style>
  <w:style w:type="paragraph" w:styleId="Heading1">
    <w:name w:val="heading 1"/>
    <w:basedOn w:val="Normal"/>
    <w:next w:val="Normal"/>
    <w:link w:val="Heading1Char"/>
    <w:uiPriority w:val="9"/>
    <w:qFormat/>
    <w:rsid w:val="00C74ECB"/>
    <w:pPr>
      <w:keepNext/>
      <w:keepLines/>
      <w:numPr>
        <w:numId w:val="2"/>
      </w:numPr>
      <w:spacing w:before="240" w:after="0"/>
      <w:outlineLvl w:val="0"/>
    </w:pPr>
    <w:rPr>
      <w:rFonts w:eastAsiaTheme="majorEastAsia" w:cstheme="minorHAnsi"/>
      <w:color w:val="2F5496" w:themeColor="accent1" w:themeShade="BF"/>
      <w:sz w:val="24"/>
      <w:szCs w:val="24"/>
    </w:rPr>
  </w:style>
  <w:style w:type="paragraph" w:styleId="Heading2">
    <w:name w:val="heading 2"/>
    <w:basedOn w:val="Normal"/>
    <w:next w:val="Normal"/>
    <w:link w:val="Heading2Char"/>
    <w:uiPriority w:val="9"/>
    <w:unhideWhenUsed/>
    <w:qFormat/>
    <w:rsid w:val="00C74EC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4EC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74EC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4EC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4EC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EC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EC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EC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ECB"/>
    <w:rPr>
      <w:rFonts w:eastAsiaTheme="majorEastAsia" w:cstheme="minorHAnsi"/>
      <w:color w:val="2F5496" w:themeColor="accent1" w:themeShade="BF"/>
      <w:sz w:val="24"/>
      <w:szCs w:val="24"/>
    </w:rPr>
  </w:style>
  <w:style w:type="character" w:customStyle="1" w:styleId="Heading2Char">
    <w:name w:val="Heading 2 Char"/>
    <w:basedOn w:val="DefaultParagraphFont"/>
    <w:link w:val="Heading2"/>
    <w:uiPriority w:val="9"/>
    <w:rsid w:val="00C74E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4E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4E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4E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4E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4E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4E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EC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7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CB"/>
  </w:style>
  <w:style w:type="paragraph" w:styleId="Footer">
    <w:name w:val="footer"/>
    <w:basedOn w:val="Normal"/>
    <w:link w:val="FooterChar"/>
    <w:uiPriority w:val="99"/>
    <w:unhideWhenUsed/>
    <w:rsid w:val="00C7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CB"/>
  </w:style>
  <w:style w:type="character" w:styleId="CommentReference">
    <w:name w:val="annotation reference"/>
    <w:basedOn w:val="DefaultParagraphFont"/>
    <w:uiPriority w:val="99"/>
    <w:semiHidden/>
    <w:unhideWhenUsed/>
    <w:rsid w:val="00C74ECB"/>
    <w:rPr>
      <w:sz w:val="16"/>
      <w:szCs w:val="16"/>
    </w:rPr>
  </w:style>
  <w:style w:type="paragraph" w:styleId="CommentText">
    <w:name w:val="annotation text"/>
    <w:basedOn w:val="Normal"/>
    <w:link w:val="CommentTextChar"/>
    <w:uiPriority w:val="99"/>
    <w:unhideWhenUsed/>
    <w:rsid w:val="00C74ECB"/>
    <w:pPr>
      <w:spacing w:line="240" w:lineRule="auto"/>
    </w:pPr>
    <w:rPr>
      <w:sz w:val="20"/>
      <w:szCs w:val="20"/>
    </w:rPr>
  </w:style>
  <w:style w:type="character" w:customStyle="1" w:styleId="CommentTextChar">
    <w:name w:val="Comment Text Char"/>
    <w:basedOn w:val="DefaultParagraphFont"/>
    <w:link w:val="CommentText"/>
    <w:uiPriority w:val="99"/>
    <w:rsid w:val="00C74ECB"/>
    <w:rPr>
      <w:sz w:val="20"/>
      <w:szCs w:val="20"/>
    </w:rPr>
  </w:style>
  <w:style w:type="paragraph" w:styleId="CommentSubject">
    <w:name w:val="annotation subject"/>
    <w:basedOn w:val="CommentText"/>
    <w:next w:val="CommentText"/>
    <w:link w:val="CommentSubjectChar"/>
    <w:uiPriority w:val="99"/>
    <w:semiHidden/>
    <w:unhideWhenUsed/>
    <w:rsid w:val="00C74ECB"/>
    <w:rPr>
      <w:b/>
      <w:bCs/>
    </w:rPr>
  </w:style>
  <w:style w:type="character" w:customStyle="1" w:styleId="CommentSubjectChar">
    <w:name w:val="Comment Subject Char"/>
    <w:basedOn w:val="CommentTextChar"/>
    <w:link w:val="CommentSubject"/>
    <w:uiPriority w:val="99"/>
    <w:semiHidden/>
    <w:rsid w:val="00C74ECB"/>
    <w:rPr>
      <w:b/>
      <w:bCs/>
      <w:sz w:val="20"/>
      <w:szCs w:val="20"/>
    </w:rPr>
  </w:style>
  <w:style w:type="paragraph" w:styleId="BalloonText">
    <w:name w:val="Balloon Text"/>
    <w:basedOn w:val="Normal"/>
    <w:link w:val="BalloonTextChar"/>
    <w:uiPriority w:val="99"/>
    <w:semiHidden/>
    <w:unhideWhenUsed/>
    <w:rsid w:val="00C7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CB"/>
    <w:rPr>
      <w:rFonts w:ascii="Segoe UI" w:hAnsi="Segoe UI" w:cs="Segoe UI"/>
      <w:sz w:val="18"/>
      <w:szCs w:val="18"/>
    </w:rPr>
  </w:style>
  <w:style w:type="paragraph" w:styleId="ListParagraph">
    <w:name w:val="List Paragraph"/>
    <w:basedOn w:val="Normal"/>
    <w:uiPriority w:val="34"/>
    <w:qFormat/>
    <w:rsid w:val="00C74ECB"/>
    <w:pPr>
      <w:ind w:left="720"/>
      <w:contextualSpacing/>
    </w:pPr>
  </w:style>
  <w:style w:type="character" w:styleId="PlaceholderText">
    <w:name w:val="Placeholder Text"/>
    <w:basedOn w:val="DefaultParagraphFont"/>
    <w:uiPriority w:val="99"/>
    <w:semiHidden/>
    <w:rsid w:val="00F14327"/>
    <w:rPr>
      <w:color w:val="808080"/>
    </w:rPr>
  </w:style>
  <w:style w:type="paragraph" w:styleId="Revision">
    <w:name w:val="Revision"/>
    <w:hidden/>
    <w:uiPriority w:val="99"/>
    <w:semiHidden/>
    <w:rsid w:val="003D645D"/>
    <w:pPr>
      <w:spacing w:after="0" w:line="240" w:lineRule="auto"/>
    </w:pPr>
  </w:style>
  <w:style w:type="paragraph" w:styleId="FootnoteText">
    <w:name w:val="footnote text"/>
    <w:basedOn w:val="Normal"/>
    <w:link w:val="FootnoteTextChar"/>
    <w:uiPriority w:val="99"/>
    <w:semiHidden/>
    <w:unhideWhenUsed/>
    <w:rsid w:val="00F45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E71"/>
    <w:rPr>
      <w:sz w:val="20"/>
      <w:szCs w:val="20"/>
    </w:rPr>
  </w:style>
  <w:style w:type="character" w:styleId="FootnoteReference">
    <w:name w:val="footnote reference"/>
    <w:basedOn w:val="DefaultParagraphFont"/>
    <w:uiPriority w:val="99"/>
    <w:semiHidden/>
    <w:unhideWhenUsed/>
    <w:rsid w:val="00F45E71"/>
    <w:rPr>
      <w:vertAlign w:val="superscript"/>
    </w:rPr>
  </w:style>
  <w:style w:type="paragraph" w:styleId="Caption">
    <w:name w:val="caption"/>
    <w:basedOn w:val="Normal"/>
    <w:next w:val="Normal"/>
    <w:uiPriority w:val="35"/>
    <w:unhideWhenUsed/>
    <w:qFormat/>
    <w:rsid w:val="00D147A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36544">
      <w:bodyDiv w:val="1"/>
      <w:marLeft w:val="0"/>
      <w:marRight w:val="0"/>
      <w:marTop w:val="0"/>
      <w:marBottom w:val="0"/>
      <w:divBdr>
        <w:top w:val="none" w:sz="0" w:space="0" w:color="auto"/>
        <w:left w:val="none" w:sz="0" w:space="0" w:color="auto"/>
        <w:bottom w:val="none" w:sz="0" w:space="0" w:color="auto"/>
        <w:right w:val="none" w:sz="0" w:space="0" w:color="auto"/>
      </w:divBdr>
    </w:div>
    <w:div w:id="641423480">
      <w:bodyDiv w:val="1"/>
      <w:marLeft w:val="0"/>
      <w:marRight w:val="0"/>
      <w:marTop w:val="0"/>
      <w:marBottom w:val="0"/>
      <w:divBdr>
        <w:top w:val="none" w:sz="0" w:space="0" w:color="auto"/>
        <w:left w:val="none" w:sz="0" w:space="0" w:color="auto"/>
        <w:bottom w:val="none" w:sz="0" w:space="0" w:color="auto"/>
        <w:right w:val="none" w:sz="0" w:space="0" w:color="auto"/>
      </w:divBdr>
      <w:divsChild>
        <w:div w:id="1392458834">
          <w:marLeft w:val="0"/>
          <w:marRight w:val="0"/>
          <w:marTop w:val="0"/>
          <w:marBottom w:val="0"/>
          <w:divBdr>
            <w:top w:val="none" w:sz="0" w:space="0" w:color="auto"/>
            <w:left w:val="none" w:sz="0" w:space="0" w:color="auto"/>
            <w:bottom w:val="none" w:sz="0" w:space="0" w:color="auto"/>
            <w:right w:val="none" w:sz="0" w:space="0" w:color="auto"/>
          </w:divBdr>
          <w:divsChild>
            <w:div w:id="1932423431">
              <w:marLeft w:val="0"/>
              <w:marRight w:val="0"/>
              <w:marTop w:val="0"/>
              <w:marBottom w:val="0"/>
              <w:divBdr>
                <w:top w:val="none" w:sz="0" w:space="0" w:color="auto"/>
                <w:left w:val="none" w:sz="0" w:space="0" w:color="auto"/>
                <w:bottom w:val="none" w:sz="0" w:space="0" w:color="auto"/>
                <w:right w:val="none" w:sz="0" w:space="0" w:color="auto"/>
              </w:divBdr>
              <w:divsChild>
                <w:div w:id="1613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2654">
      <w:bodyDiv w:val="1"/>
      <w:marLeft w:val="0"/>
      <w:marRight w:val="0"/>
      <w:marTop w:val="0"/>
      <w:marBottom w:val="0"/>
      <w:divBdr>
        <w:top w:val="none" w:sz="0" w:space="0" w:color="auto"/>
        <w:left w:val="none" w:sz="0" w:space="0" w:color="auto"/>
        <w:bottom w:val="none" w:sz="0" w:space="0" w:color="auto"/>
        <w:right w:val="none" w:sz="0" w:space="0" w:color="auto"/>
      </w:divBdr>
    </w:div>
    <w:div w:id="703137937">
      <w:bodyDiv w:val="1"/>
      <w:marLeft w:val="0"/>
      <w:marRight w:val="0"/>
      <w:marTop w:val="0"/>
      <w:marBottom w:val="0"/>
      <w:divBdr>
        <w:top w:val="none" w:sz="0" w:space="0" w:color="auto"/>
        <w:left w:val="none" w:sz="0" w:space="0" w:color="auto"/>
        <w:bottom w:val="none" w:sz="0" w:space="0" w:color="auto"/>
        <w:right w:val="none" w:sz="0" w:space="0" w:color="auto"/>
      </w:divBdr>
      <w:divsChild>
        <w:div w:id="728848765">
          <w:marLeft w:val="0"/>
          <w:marRight w:val="0"/>
          <w:marTop w:val="0"/>
          <w:marBottom w:val="0"/>
          <w:divBdr>
            <w:top w:val="none" w:sz="0" w:space="0" w:color="auto"/>
            <w:left w:val="none" w:sz="0" w:space="0" w:color="auto"/>
            <w:bottom w:val="none" w:sz="0" w:space="0" w:color="auto"/>
            <w:right w:val="none" w:sz="0" w:space="0" w:color="auto"/>
          </w:divBdr>
          <w:divsChild>
            <w:div w:id="1230652765">
              <w:marLeft w:val="0"/>
              <w:marRight w:val="0"/>
              <w:marTop w:val="0"/>
              <w:marBottom w:val="0"/>
              <w:divBdr>
                <w:top w:val="none" w:sz="0" w:space="0" w:color="auto"/>
                <w:left w:val="none" w:sz="0" w:space="0" w:color="auto"/>
                <w:bottom w:val="none" w:sz="0" w:space="0" w:color="auto"/>
                <w:right w:val="none" w:sz="0" w:space="0" w:color="auto"/>
              </w:divBdr>
              <w:divsChild>
                <w:div w:id="8924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976">
      <w:bodyDiv w:val="1"/>
      <w:marLeft w:val="0"/>
      <w:marRight w:val="0"/>
      <w:marTop w:val="0"/>
      <w:marBottom w:val="0"/>
      <w:divBdr>
        <w:top w:val="none" w:sz="0" w:space="0" w:color="auto"/>
        <w:left w:val="none" w:sz="0" w:space="0" w:color="auto"/>
        <w:bottom w:val="none" w:sz="0" w:space="0" w:color="auto"/>
        <w:right w:val="none" w:sz="0" w:space="0" w:color="auto"/>
      </w:divBdr>
      <w:divsChild>
        <w:div w:id="1475757632">
          <w:marLeft w:val="0"/>
          <w:marRight w:val="0"/>
          <w:marTop w:val="0"/>
          <w:marBottom w:val="0"/>
          <w:divBdr>
            <w:top w:val="none" w:sz="0" w:space="0" w:color="auto"/>
            <w:left w:val="none" w:sz="0" w:space="0" w:color="auto"/>
            <w:bottom w:val="none" w:sz="0" w:space="0" w:color="auto"/>
            <w:right w:val="none" w:sz="0" w:space="0" w:color="auto"/>
          </w:divBdr>
          <w:divsChild>
            <w:div w:id="1906988520">
              <w:marLeft w:val="0"/>
              <w:marRight w:val="0"/>
              <w:marTop w:val="0"/>
              <w:marBottom w:val="0"/>
              <w:divBdr>
                <w:top w:val="none" w:sz="0" w:space="0" w:color="auto"/>
                <w:left w:val="none" w:sz="0" w:space="0" w:color="auto"/>
                <w:bottom w:val="none" w:sz="0" w:space="0" w:color="auto"/>
                <w:right w:val="none" w:sz="0" w:space="0" w:color="auto"/>
              </w:divBdr>
              <w:divsChild>
                <w:div w:id="6170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6315">
      <w:bodyDiv w:val="1"/>
      <w:marLeft w:val="0"/>
      <w:marRight w:val="0"/>
      <w:marTop w:val="0"/>
      <w:marBottom w:val="0"/>
      <w:divBdr>
        <w:top w:val="none" w:sz="0" w:space="0" w:color="auto"/>
        <w:left w:val="none" w:sz="0" w:space="0" w:color="auto"/>
        <w:bottom w:val="none" w:sz="0" w:space="0" w:color="auto"/>
        <w:right w:val="none" w:sz="0" w:space="0" w:color="auto"/>
      </w:divBdr>
    </w:div>
    <w:div w:id="1128233830">
      <w:bodyDiv w:val="1"/>
      <w:marLeft w:val="0"/>
      <w:marRight w:val="0"/>
      <w:marTop w:val="0"/>
      <w:marBottom w:val="0"/>
      <w:divBdr>
        <w:top w:val="none" w:sz="0" w:space="0" w:color="auto"/>
        <w:left w:val="none" w:sz="0" w:space="0" w:color="auto"/>
        <w:bottom w:val="none" w:sz="0" w:space="0" w:color="auto"/>
        <w:right w:val="none" w:sz="0" w:space="0" w:color="auto"/>
      </w:divBdr>
    </w:div>
    <w:div w:id="1156841972">
      <w:bodyDiv w:val="1"/>
      <w:marLeft w:val="0"/>
      <w:marRight w:val="0"/>
      <w:marTop w:val="0"/>
      <w:marBottom w:val="0"/>
      <w:divBdr>
        <w:top w:val="none" w:sz="0" w:space="0" w:color="auto"/>
        <w:left w:val="none" w:sz="0" w:space="0" w:color="auto"/>
        <w:bottom w:val="none" w:sz="0" w:space="0" w:color="auto"/>
        <w:right w:val="none" w:sz="0" w:space="0" w:color="auto"/>
      </w:divBdr>
    </w:div>
    <w:div w:id="1584609159">
      <w:bodyDiv w:val="1"/>
      <w:marLeft w:val="0"/>
      <w:marRight w:val="0"/>
      <w:marTop w:val="0"/>
      <w:marBottom w:val="0"/>
      <w:divBdr>
        <w:top w:val="none" w:sz="0" w:space="0" w:color="auto"/>
        <w:left w:val="none" w:sz="0" w:space="0" w:color="auto"/>
        <w:bottom w:val="none" w:sz="0" w:space="0" w:color="auto"/>
        <w:right w:val="none" w:sz="0" w:space="0" w:color="auto"/>
      </w:divBdr>
      <w:divsChild>
        <w:div w:id="260652539">
          <w:marLeft w:val="0"/>
          <w:marRight w:val="0"/>
          <w:marTop w:val="0"/>
          <w:marBottom w:val="0"/>
          <w:divBdr>
            <w:top w:val="none" w:sz="0" w:space="0" w:color="auto"/>
            <w:left w:val="none" w:sz="0" w:space="0" w:color="auto"/>
            <w:bottom w:val="none" w:sz="0" w:space="0" w:color="auto"/>
            <w:right w:val="none" w:sz="0" w:space="0" w:color="auto"/>
          </w:divBdr>
          <w:divsChild>
            <w:div w:id="500775360">
              <w:marLeft w:val="0"/>
              <w:marRight w:val="0"/>
              <w:marTop w:val="0"/>
              <w:marBottom w:val="0"/>
              <w:divBdr>
                <w:top w:val="none" w:sz="0" w:space="0" w:color="auto"/>
                <w:left w:val="none" w:sz="0" w:space="0" w:color="auto"/>
                <w:bottom w:val="none" w:sz="0" w:space="0" w:color="auto"/>
                <w:right w:val="none" w:sz="0" w:space="0" w:color="auto"/>
              </w:divBdr>
              <w:divsChild>
                <w:div w:id="6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7578">
      <w:bodyDiv w:val="1"/>
      <w:marLeft w:val="0"/>
      <w:marRight w:val="0"/>
      <w:marTop w:val="0"/>
      <w:marBottom w:val="0"/>
      <w:divBdr>
        <w:top w:val="none" w:sz="0" w:space="0" w:color="auto"/>
        <w:left w:val="none" w:sz="0" w:space="0" w:color="auto"/>
        <w:bottom w:val="none" w:sz="0" w:space="0" w:color="auto"/>
        <w:right w:val="none" w:sz="0" w:space="0" w:color="auto"/>
      </w:divBdr>
    </w:div>
    <w:div w:id="1785034306">
      <w:bodyDiv w:val="1"/>
      <w:marLeft w:val="0"/>
      <w:marRight w:val="0"/>
      <w:marTop w:val="0"/>
      <w:marBottom w:val="0"/>
      <w:divBdr>
        <w:top w:val="none" w:sz="0" w:space="0" w:color="auto"/>
        <w:left w:val="none" w:sz="0" w:space="0" w:color="auto"/>
        <w:bottom w:val="none" w:sz="0" w:space="0" w:color="auto"/>
        <w:right w:val="none" w:sz="0" w:space="0" w:color="auto"/>
      </w:divBdr>
    </w:div>
    <w:div w:id="1850948834">
      <w:bodyDiv w:val="1"/>
      <w:marLeft w:val="0"/>
      <w:marRight w:val="0"/>
      <w:marTop w:val="0"/>
      <w:marBottom w:val="0"/>
      <w:divBdr>
        <w:top w:val="none" w:sz="0" w:space="0" w:color="auto"/>
        <w:left w:val="none" w:sz="0" w:space="0" w:color="auto"/>
        <w:bottom w:val="none" w:sz="0" w:space="0" w:color="auto"/>
        <w:right w:val="none" w:sz="0" w:space="0" w:color="auto"/>
      </w:divBdr>
    </w:div>
    <w:div w:id="1854421458">
      <w:bodyDiv w:val="1"/>
      <w:marLeft w:val="0"/>
      <w:marRight w:val="0"/>
      <w:marTop w:val="0"/>
      <w:marBottom w:val="0"/>
      <w:divBdr>
        <w:top w:val="none" w:sz="0" w:space="0" w:color="auto"/>
        <w:left w:val="none" w:sz="0" w:space="0" w:color="auto"/>
        <w:bottom w:val="none" w:sz="0" w:space="0" w:color="auto"/>
        <w:right w:val="none" w:sz="0" w:space="0" w:color="auto"/>
      </w:divBdr>
    </w:div>
    <w:div w:id="1954628769">
      <w:bodyDiv w:val="1"/>
      <w:marLeft w:val="0"/>
      <w:marRight w:val="0"/>
      <w:marTop w:val="0"/>
      <w:marBottom w:val="0"/>
      <w:divBdr>
        <w:top w:val="none" w:sz="0" w:space="0" w:color="auto"/>
        <w:left w:val="none" w:sz="0" w:space="0" w:color="auto"/>
        <w:bottom w:val="none" w:sz="0" w:space="0" w:color="auto"/>
        <w:right w:val="none" w:sz="0" w:space="0" w:color="auto"/>
      </w:divBdr>
      <w:divsChild>
        <w:div w:id="250551521">
          <w:marLeft w:val="0"/>
          <w:marRight w:val="0"/>
          <w:marTop w:val="0"/>
          <w:marBottom w:val="0"/>
          <w:divBdr>
            <w:top w:val="none" w:sz="0" w:space="0" w:color="auto"/>
            <w:left w:val="none" w:sz="0" w:space="0" w:color="auto"/>
            <w:bottom w:val="none" w:sz="0" w:space="0" w:color="auto"/>
            <w:right w:val="none" w:sz="0" w:space="0" w:color="auto"/>
          </w:divBdr>
          <w:divsChild>
            <w:div w:id="1133644067">
              <w:marLeft w:val="0"/>
              <w:marRight w:val="0"/>
              <w:marTop w:val="0"/>
              <w:marBottom w:val="0"/>
              <w:divBdr>
                <w:top w:val="none" w:sz="0" w:space="0" w:color="auto"/>
                <w:left w:val="none" w:sz="0" w:space="0" w:color="auto"/>
                <w:bottom w:val="none" w:sz="0" w:space="0" w:color="auto"/>
                <w:right w:val="none" w:sz="0" w:space="0" w:color="auto"/>
              </w:divBdr>
              <w:divsChild>
                <w:div w:id="1878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2021-01-27T12:58:49+00:00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2D75E47E-E154-477E-9728-D3D788869C7F}">
  <ds:schemaRefs>
    <ds:schemaRef ds:uri="http://schemas.openxmlformats.org/officeDocument/2006/bibliography"/>
  </ds:schemaRefs>
</ds:datastoreItem>
</file>

<file path=customXml/itemProps2.xml><?xml version="1.0" encoding="utf-8"?>
<ds:datastoreItem xmlns:ds="http://schemas.openxmlformats.org/officeDocument/2006/customXml" ds:itemID="{159D8072-B9AB-4B54-96D4-BFEC1D4BE5C0}">
  <ds:schemaRefs>
    <ds:schemaRef ds:uri="http://schemas.microsoft.com/sharepoint/v3/contenttype/forms"/>
  </ds:schemaRefs>
</ds:datastoreItem>
</file>

<file path=customXml/itemProps3.xml><?xml version="1.0" encoding="utf-8"?>
<ds:datastoreItem xmlns:ds="http://schemas.openxmlformats.org/officeDocument/2006/customXml" ds:itemID="{48D52893-5D73-4D7A-B1D9-DCD5326F8600}">
  <ds:schemaRefs>
    <ds:schemaRef ds:uri="http://purl.org/dc/terms/"/>
    <ds:schemaRef ds:uri="http://schemas.microsoft.com/office/2006/metadata/properties"/>
    <ds:schemaRef ds:uri="http://purl.org/dc/dcmitype/"/>
    <ds:schemaRef ds:uri="http://schemas.microsoft.com/sharepoint/v3"/>
    <ds:schemaRef ds:uri="http://schemas.microsoft.com/sharepoint/v3/field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b69afd8-9bdb-481b-b26a-06cbd17fa30c"/>
    <ds:schemaRef ds:uri="a5d1ca4e-0a3f-4119-b619-e20b93ebd1aa"/>
    <ds:schemaRef ds:uri="http://schemas.microsoft.com/sharepoint.v3"/>
    <ds:schemaRef ds:uri="4ffa91fb-a0ff-4ac5-b2db-65c790d184a4"/>
    <ds:schemaRef ds:uri="http://www.w3.org/XML/1998/namespace"/>
  </ds:schemaRefs>
</ds:datastoreItem>
</file>

<file path=customXml/itemProps4.xml><?xml version="1.0" encoding="utf-8"?>
<ds:datastoreItem xmlns:ds="http://schemas.openxmlformats.org/officeDocument/2006/customXml" ds:itemID="{E936A95E-73BE-4A94-9600-21454D44E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FCFCB0-DA27-452F-BDA5-35D146D581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11</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Wuerthner, Vanessa</dc:creator>
  <cp:keywords/>
  <dc:description/>
  <cp:lastModifiedBy>Sinnathamby, Sumathy</cp:lastModifiedBy>
  <cp:revision>10</cp:revision>
  <dcterms:created xsi:type="dcterms:W3CDTF">2021-04-28T14:06:00Z</dcterms:created>
  <dcterms:modified xsi:type="dcterms:W3CDTF">2021-08-18T16:04:00Z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_x0020_Subject">
    <vt:lpwstr/>
  </property>
  <property fmtid="{D5CDD505-2E9C-101B-9397-08002B2CF9AE}" pid="5" name="Document Type">
    <vt:lpwstr/>
  </property>
  <property fmtid="{D5CDD505-2E9C-101B-9397-08002B2CF9AE}" pid="6" name="EPA Subject">
    <vt:lpwstr/>
  </property>
</Properties>
</file>