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FB30A" w14:textId="5046D30A" w:rsidR="00B16D28" w:rsidRPr="00086360" w:rsidRDefault="00B16D28" w:rsidP="00B16D28">
      <w:pPr>
        <w:pStyle w:val="BETitle"/>
      </w:pPr>
      <w:r>
        <w:t xml:space="preserve">APPENDIX 1-8. Determination of Overlap of Likely </w:t>
      </w:r>
      <w:r w:rsidR="5C0559FD">
        <w:t>i</w:t>
      </w:r>
      <w:r w:rsidR="18F7977B">
        <w:t>midacloprid</w:t>
      </w:r>
      <w:r>
        <w:t xml:space="preserve"> Exposure Area and Species Ranges and Critical Habitat for Species Located Outside of the 48 Contiguous States (NL48)</w:t>
      </w:r>
    </w:p>
    <w:p w14:paraId="4B442040" w14:textId="3A529CC8" w:rsidR="706B40F6" w:rsidRDefault="706B40F6"/>
    <w:p w14:paraId="1F7476F4" w14:textId="528409A5" w:rsidR="00B16D28" w:rsidRPr="00333FEF" w:rsidRDefault="00B16D28" w:rsidP="00B16D28">
      <w:pPr>
        <w:rPr>
          <w:color w:val="000000" w:themeColor="text1"/>
        </w:rPr>
      </w:pPr>
      <w:r>
        <w:t xml:space="preserve">The overlap extent of </w:t>
      </w:r>
      <w:r w:rsidR="69C4B6E6">
        <w:t>i</w:t>
      </w:r>
      <w:r w:rsidR="18F7977B">
        <w:t>midacloprid</w:t>
      </w:r>
      <w:r>
        <w:t xml:space="preserve">’s likely </w:t>
      </w:r>
      <w:r w:rsidRPr="00D93893">
        <w:t>exposure areas and the range</w:t>
      </w:r>
      <w:r>
        <w:t xml:space="preserve"> </w:t>
      </w:r>
      <w:bookmarkStart w:id="0" w:name="_Hlk56432806"/>
      <w:r>
        <w:t>(or critical habitat)</w:t>
      </w:r>
      <w:bookmarkEnd w:id="0"/>
      <w:r w:rsidRPr="00D93893">
        <w:t xml:space="preserve"> of a species integrates information on potential use sites and usage data. This approach considers overlap of the species range </w:t>
      </w:r>
      <w:r>
        <w:t xml:space="preserve">(or critical habitat) </w:t>
      </w:r>
      <w:r w:rsidRPr="00D93893">
        <w:t xml:space="preserve">with areas directly treated </w:t>
      </w:r>
      <w:r>
        <w:t xml:space="preserve">with </w:t>
      </w:r>
      <w:r w:rsidR="2C9775D3">
        <w:t>i</w:t>
      </w:r>
      <w:r w:rsidR="18F7977B">
        <w:t>midacloprid</w:t>
      </w:r>
      <w:r>
        <w:t xml:space="preserve"> </w:t>
      </w:r>
      <w:r w:rsidRPr="00D93893">
        <w:t>and those receiving spray drift</w:t>
      </w:r>
      <w:bookmarkStart w:id="1" w:name="_Hlk79395342"/>
      <w:r w:rsidR="0005274A">
        <w:t>,</w:t>
      </w:r>
      <w:r w:rsidR="0005274A" w:rsidRPr="001371B0">
        <w:t xml:space="preserve"> </w:t>
      </w:r>
      <w:r w:rsidR="0005274A">
        <w:t xml:space="preserve">as well as a poultry litter layer that accounts for </w:t>
      </w:r>
      <w:r w:rsidR="00590301">
        <w:t>imidac</w:t>
      </w:r>
      <w:r w:rsidR="54078362">
        <w:t>l</w:t>
      </w:r>
      <w:r w:rsidR="00590301">
        <w:t>oprid</w:t>
      </w:r>
      <w:r w:rsidR="0005274A">
        <w:t>-treated poultry litter that is used as soil amendments to agricultural fields</w:t>
      </w:r>
      <w:bookmarkEnd w:id="1"/>
      <w:r w:rsidRPr="00D93893">
        <w:t>. To address uncertainties associated with how treated acres may be distributed within a state (relative to a species range</w:t>
      </w:r>
      <w:r>
        <w:t xml:space="preserve"> or critical habitat</w:t>
      </w:r>
      <w:r w:rsidRPr="00D93893">
        <w:t>),</w:t>
      </w:r>
      <w:r>
        <w:t xml:space="preserve"> and the magnitude of usage on any given year,</w:t>
      </w:r>
      <w:r w:rsidRPr="00D93893">
        <w:t xml:space="preserve"> approaches are employed to represent a </w:t>
      </w:r>
      <w:r>
        <w:t>central</w:t>
      </w:r>
      <w:r w:rsidRPr="00D93893">
        <w:t xml:space="preserve"> estimate of overlap as well as upper and lower bounds. These different estimates are considered in the </w:t>
      </w:r>
      <w:r>
        <w:t>W</w:t>
      </w:r>
      <w:r w:rsidRPr="00D93893">
        <w:t xml:space="preserve">eight of </w:t>
      </w:r>
      <w:r>
        <w:t>E</w:t>
      </w:r>
      <w:r w:rsidRPr="00D93893">
        <w:t>vidence</w:t>
      </w:r>
      <w:r>
        <w:t xml:space="preserve"> when deciding whether use of </w:t>
      </w:r>
      <w:r w:rsidR="744D56A8">
        <w:t>i</w:t>
      </w:r>
      <w:r w:rsidR="18F7977B">
        <w:t>midacloprid</w:t>
      </w:r>
      <w:r>
        <w:t xml:space="preserve"> is likely or not likely to adversely affect (LAA or NLAA) an individual of an assessed species</w:t>
      </w:r>
      <w:r w:rsidRPr="00D93893">
        <w:t>.</w:t>
      </w:r>
      <w:r>
        <w:t xml:space="preserve"> </w:t>
      </w:r>
      <w:r w:rsidRPr="00D93893">
        <w:rPr>
          <w:color w:val="000000" w:themeColor="text1"/>
        </w:rPr>
        <w:t xml:space="preserve">The estimated </w:t>
      </w:r>
      <w:r>
        <w:rPr>
          <w:color w:val="000000" w:themeColor="text1"/>
        </w:rPr>
        <w:t xml:space="preserve">overlap </w:t>
      </w:r>
      <w:r w:rsidRPr="00D93893">
        <w:rPr>
          <w:color w:val="000000" w:themeColor="text1"/>
        </w:rPr>
        <w:t xml:space="preserve">extent </w:t>
      </w:r>
      <w:r>
        <w:rPr>
          <w:color w:val="000000" w:themeColor="text1"/>
        </w:rPr>
        <w:t>of the likely exposure area and species range (or critical habitat)</w:t>
      </w:r>
      <w:r w:rsidRPr="00D93893">
        <w:rPr>
          <w:color w:val="000000" w:themeColor="text1"/>
        </w:rPr>
        <w:t xml:space="preserve"> is used in Step 2 as a surrogate for the percent of the </w:t>
      </w:r>
      <w:r>
        <w:rPr>
          <w:color w:val="000000" w:themeColor="text1"/>
        </w:rPr>
        <w:t xml:space="preserve">listed population that could be exposed to </w:t>
      </w:r>
      <w:r w:rsidR="38ED9A44">
        <w:rPr>
          <w:color w:val="000000" w:themeColor="text1"/>
        </w:rPr>
        <w:t>i</w:t>
      </w:r>
      <w:r w:rsidR="18F7977B" w:rsidRPr="002035CB">
        <w:rPr>
          <w:color w:val="000000" w:themeColor="text1"/>
        </w:rPr>
        <w:t>midacloprid</w:t>
      </w:r>
      <w:r>
        <w:rPr>
          <w:color w:val="000000" w:themeColor="text1"/>
        </w:rPr>
        <w:t>.</w:t>
      </w:r>
      <w:r w:rsidRPr="001C3935">
        <w:rPr>
          <w:color w:val="000000" w:themeColor="text1"/>
        </w:rPr>
        <w:t xml:space="preserve"> </w:t>
      </w:r>
      <w:r w:rsidRPr="00FD1DE4">
        <w:rPr>
          <w:color w:val="000000" w:themeColor="text1"/>
        </w:rPr>
        <w:t>Additional details are provided in the Revised Method</w:t>
      </w:r>
      <w:r>
        <w:rPr>
          <w:rStyle w:val="FootnoteReference"/>
          <w:color w:val="000000" w:themeColor="text1"/>
        </w:rPr>
        <w:footnoteReference w:id="2"/>
      </w:r>
      <w:r w:rsidRPr="00FD1DE4">
        <w:rPr>
          <w:color w:val="000000" w:themeColor="text1"/>
        </w:rPr>
        <w:t xml:space="preserve"> document. This appendix describes the approach for determining the extent of overlap</w:t>
      </w:r>
      <w:r>
        <w:rPr>
          <w:color w:val="000000" w:themeColor="text1"/>
        </w:rPr>
        <w:t xml:space="preserve"> </w:t>
      </w:r>
      <w:bookmarkStart w:id="2" w:name="_Hlk66724308"/>
      <w:r>
        <w:rPr>
          <w:color w:val="000000" w:themeColor="text1"/>
        </w:rPr>
        <w:t>outside of the 48 Contiguous States (represented by non-lower 48 states and abbreviated with NL48)</w:t>
      </w:r>
      <w:r w:rsidRPr="00FD1DE4">
        <w:rPr>
          <w:color w:val="000000" w:themeColor="text1"/>
        </w:rPr>
        <w:t>.</w:t>
      </w:r>
      <w:bookmarkEnd w:id="2"/>
    </w:p>
    <w:p w14:paraId="52042CE8" w14:textId="660F7375" w:rsidR="00B16D28" w:rsidRPr="007A7038" w:rsidRDefault="00AC529F" w:rsidP="00B16D28">
      <w:r>
        <w:t xml:space="preserve">Outside of the 48 contiguous states (NL48), usage data relevant to </w:t>
      </w:r>
      <w:r w:rsidR="31F90B38">
        <w:t>imidacloprid</w:t>
      </w:r>
      <w:r>
        <w:t xml:space="preserve"> are only available for Hawaii and Puerto Rico</w:t>
      </w:r>
      <w:r w:rsidR="00B16D28">
        <w:t>.</w:t>
      </w:r>
      <w:r w:rsidR="00A841F7">
        <w:t xml:space="preserve"> Therefore, in</w:t>
      </w:r>
      <w:r w:rsidR="00B16D28">
        <w:t xml:space="preserve"> Alaska, the </w:t>
      </w:r>
      <w:r w:rsidR="00B16D28" w:rsidRPr="615F82BF">
        <w:rPr>
          <w:rFonts w:eastAsia="Times New Roman"/>
        </w:rPr>
        <w:t>Commonwealth of the Northern Mariana Islands, Guam</w:t>
      </w:r>
      <w:r w:rsidR="00B16D28">
        <w:t xml:space="preserve">, </w:t>
      </w:r>
      <w:r w:rsidR="00B16D28" w:rsidRPr="615F82BF">
        <w:rPr>
          <w:rFonts w:eastAsia="Times New Roman"/>
        </w:rPr>
        <w:t>America Samoa and the US Virgin Island usage is assumed to be 100% for agricultural use sites and a surrogate is used for non-agricultural use sites.</w:t>
      </w:r>
      <w:r w:rsidR="00B16D28">
        <w:t xml:space="preserve"> </w:t>
      </w:r>
      <w:r w:rsidR="7B1467B7">
        <w:t xml:space="preserve">Although, in Alaska PCT’s were sometimes less the 100% once non-registered crops (0%) were accounted for. </w:t>
      </w:r>
    </w:p>
    <w:p w14:paraId="053B97F4" w14:textId="77777777" w:rsidR="00B16D28" w:rsidRPr="00626F43" w:rsidRDefault="00B16D28" w:rsidP="00626F43">
      <w:pPr>
        <w:pStyle w:val="BEHeader1"/>
      </w:pPr>
      <w:r w:rsidRPr="00626F43">
        <w:t>Potential Use Sites</w:t>
      </w:r>
    </w:p>
    <w:p w14:paraId="5A410CAF" w14:textId="6D373A2C" w:rsidR="00B16D28" w:rsidRDefault="00B16D28" w:rsidP="00B16D28">
      <w:r>
        <w:t xml:space="preserve">The landcovers representing potential </w:t>
      </w:r>
      <w:r w:rsidR="3A94FB00">
        <w:t>i</w:t>
      </w:r>
      <w:r w:rsidR="18F7977B">
        <w:t>midacloprid</w:t>
      </w:r>
      <w:r>
        <w:t xml:space="preserve"> use sites in </w:t>
      </w:r>
      <w:r w:rsidR="00D33DBF">
        <w:t xml:space="preserve">Alaska, </w:t>
      </w:r>
      <w:r>
        <w:t xml:space="preserve">Hawaii, Puerto Rico, and the United States Virgin Islands include the following: </w:t>
      </w:r>
    </w:p>
    <w:p w14:paraId="0C907363" w14:textId="77777777" w:rsidR="00B16D28" w:rsidRDefault="00B16D28" w:rsidP="00B16D28">
      <w:pPr>
        <w:pStyle w:val="ListParagraph"/>
        <w:numPr>
          <w:ilvl w:val="1"/>
          <w:numId w:val="34"/>
        </w:numPr>
        <w:rPr>
          <w:rFonts w:eastAsia="Times New Roman"/>
        </w:rPr>
      </w:pPr>
      <w:r w:rsidRPr="00352283">
        <w:rPr>
          <w:rFonts w:eastAsia="Times New Roman"/>
        </w:rPr>
        <w:t>Agriculture</w:t>
      </w:r>
    </w:p>
    <w:p w14:paraId="1CA76054" w14:textId="2A3C63A3" w:rsidR="00B16D28" w:rsidRPr="000D32F3" w:rsidRDefault="00A97456" w:rsidP="00B16D28">
      <w:pPr>
        <w:pStyle w:val="ListParagraph"/>
        <w:numPr>
          <w:ilvl w:val="1"/>
          <w:numId w:val="34"/>
        </w:numPr>
        <w:rPr>
          <w:rFonts w:eastAsia="Times New Roman"/>
        </w:rPr>
      </w:pPr>
      <w:r>
        <w:rPr>
          <w:rFonts w:eastAsia="Times New Roman"/>
        </w:rPr>
        <w:t xml:space="preserve">Field </w:t>
      </w:r>
      <w:r w:rsidR="00B16D28">
        <w:rPr>
          <w:rFonts w:eastAsia="Times New Roman"/>
        </w:rPr>
        <w:t>Nurseries</w:t>
      </w:r>
    </w:p>
    <w:p w14:paraId="6734D36A" w14:textId="77777777" w:rsidR="00B16D28" w:rsidRDefault="00B16D28" w:rsidP="00B16D28">
      <w:pPr>
        <w:pStyle w:val="ListParagraph"/>
        <w:numPr>
          <w:ilvl w:val="1"/>
          <w:numId w:val="34"/>
        </w:numPr>
        <w:rPr>
          <w:rFonts w:eastAsia="Times New Roman"/>
        </w:rPr>
      </w:pPr>
      <w:r>
        <w:rPr>
          <w:rFonts w:eastAsia="Times New Roman"/>
        </w:rPr>
        <w:t>Developed</w:t>
      </w:r>
    </w:p>
    <w:p w14:paraId="709F80CA" w14:textId="77777777" w:rsidR="00B16D28" w:rsidRDefault="00B16D28" w:rsidP="00B16D28">
      <w:pPr>
        <w:pStyle w:val="ListParagraph"/>
        <w:numPr>
          <w:ilvl w:val="1"/>
          <w:numId w:val="34"/>
        </w:numPr>
        <w:rPr>
          <w:rFonts w:eastAsia="Times New Roman"/>
        </w:rPr>
      </w:pPr>
      <w:r>
        <w:rPr>
          <w:rFonts w:eastAsia="Times New Roman"/>
        </w:rPr>
        <w:t>Open Space Developed</w:t>
      </w:r>
    </w:p>
    <w:p w14:paraId="15D1D1DC" w14:textId="17FF09AC" w:rsidR="00B16D28" w:rsidRDefault="00A841F7" w:rsidP="00B16D28">
      <w:pPr>
        <w:pStyle w:val="ListParagraph"/>
        <w:numPr>
          <w:ilvl w:val="1"/>
          <w:numId w:val="34"/>
        </w:numPr>
        <w:rPr>
          <w:rFonts w:eastAsia="Times New Roman"/>
        </w:rPr>
      </w:pPr>
      <w:r>
        <w:rPr>
          <w:rFonts w:eastAsia="Times New Roman"/>
        </w:rPr>
        <w:t>Managed Forests (pulp/timber)</w:t>
      </w:r>
    </w:p>
    <w:p w14:paraId="2E22C81A" w14:textId="288DDD95" w:rsidR="00A841F7" w:rsidRDefault="00A841F7" w:rsidP="00B16D28">
      <w:pPr>
        <w:pStyle w:val="ListParagraph"/>
        <w:numPr>
          <w:ilvl w:val="1"/>
          <w:numId w:val="34"/>
        </w:numPr>
        <w:rPr>
          <w:rFonts w:eastAsia="Times New Roman"/>
        </w:rPr>
      </w:pPr>
      <w:r>
        <w:rPr>
          <w:rFonts w:eastAsia="Times New Roman"/>
        </w:rPr>
        <w:t>Christmas Trees (Alaska only)</w:t>
      </w:r>
    </w:p>
    <w:p w14:paraId="657A6F2C" w14:textId="1876E0F1" w:rsidR="00A841F7" w:rsidRPr="00920D93" w:rsidRDefault="00A841F7" w:rsidP="00B16D28">
      <w:pPr>
        <w:pStyle w:val="ListParagraph"/>
        <w:numPr>
          <w:ilvl w:val="1"/>
          <w:numId w:val="34"/>
        </w:numPr>
        <w:rPr>
          <w:rFonts w:eastAsia="Times New Roman"/>
        </w:rPr>
      </w:pPr>
      <w:r>
        <w:rPr>
          <w:rFonts w:eastAsia="Times New Roman"/>
        </w:rPr>
        <w:lastRenderedPageBreak/>
        <w:t>Poultry Litter</w:t>
      </w:r>
    </w:p>
    <w:p w14:paraId="2D6CB3E6" w14:textId="19E383CC" w:rsidR="00B16D28" w:rsidRDefault="00B16D28" w:rsidP="00B16D28">
      <w:pPr>
        <w:rPr>
          <w:rFonts w:eastAsia="Times New Roman"/>
        </w:rPr>
      </w:pPr>
      <w:r>
        <w:rPr>
          <w:rFonts w:eastAsia="Times New Roman"/>
        </w:rPr>
        <w:t xml:space="preserve">Some of these landcovers are not available in the remaining territories. Landcovers representing potential use sites in the </w:t>
      </w:r>
      <w:bookmarkStart w:id="3" w:name="_Hlk14799151"/>
      <w:r w:rsidR="00D33DBF">
        <w:rPr>
          <w:rFonts w:eastAsia="Times New Roman"/>
        </w:rPr>
        <w:t xml:space="preserve">American Samoa, </w:t>
      </w:r>
      <w:r>
        <w:rPr>
          <w:rFonts w:eastAsia="Times New Roman"/>
        </w:rPr>
        <w:t xml:space="preserve">Commonwealth of the Northern Mariana Islands and Guam </w:t>
      </w:r>
      <w:bookmarkEnd w:id="3"/>
      <w:r>
        <w:rPr>
          <w:rFonts w:eastAsia="Times New Roman"/>
        </w:rPr>
        <w:t xml:space="preserve">include: </w:t>
      </w:r>
    </w:p>
    <w:p w14:paraId="3E3E4344" w14:textId="77777777" w:rsidR="00B16D28" w:rsidRDefault="00B16D28" w:rsidP="00B16D28">
      <w:pPr>
        <w:pStyle w:val="ListParagraph"/>
        <w:numPr>
          <w:ilvl w:val="0"/>
          <w:numId w:val="37"/>
        </w:numPr>
        <w:rPr>
          <w:rFonts w:eastAsia="Times New Roman"/>
        </w:rPr>
      </w:pPr>
      <w:r w:rsidRPr="00352283">
        <w:rPr>
          <w:rFonts w:eastAsia="Times New Roman"/>
        </w:rPr>
        <w:t>Agriculture</w:t>
      </w:r>
    </w:p>
    <w:p w14:paraId="2ED4E002" w14:textId="77777777" w:rsidR="00B16D28" w:rsidRDefault="00B16D28" w:rsidP="00B16D28">
      <w:pPr>
        <w:pStyle w:val="ListParagraph"/>
        <w:numPr>
          <w:ilvl w:val="0"/>
          <w:numId w:val="37"/>
        </w:numPr>
        <w:rPr>
          <w:rFonts w:eastAsia="Times New Roman"/>
        </w:rPr>
      </w:pPr>
      <w:r>
        <w:rPr>
          <w:rFonts w:eastAsia="Times New Roman"/>
        </w:rPr>
        <w:t>Developed</w:t>
      </w:r>
    </w:p>
    <w:p w14:paraId="37A28478" w14:textId="77777777" w:rsidR="00B16D28" w:rsidRDefault="00B16D28" w:rsidP="00B16D28">
      <w:pPr>
        <w:pStyle w:val="ListParagraph"/>
        <w:numPr>
          <w:ilvl w:val="0"/>
          <w:numId w:val="37"/>
        </w:numPr>
        <w:rPr>
          <w:rFonts w:eastAsia="Times New Roman"/>
        </w:rPr>
      </w:pPr>
      <w:r>
        <w:rPr>
          <w:rFonts w:eastAsia="Times New Roman"/>
        </w:rPr>
        <w:t>Open Space Developed</w:t>
      </w:r>
    </w:p>
    <w:p w14:paraId="2D44ACC9" w14:textId="05FAC32F" w:rsidR="00B16D28" w:rsidRDefault="00D33DBF" w:rsidP="00B16D28">
      <w:pPr>
        <w:pStyle w:val="ListParagraph"/>
        <w:numPr>
          <w:ilvl w:val="0"/>
          <w:numId w:val="37"/>
        </w:numPr>
        <w:rPr>
          <w:rFonts w:eastAsia="Times New Roman"/>
        </w:rPr>
      </w:pPr>
      <w:r>
        <w:rPr>
          <w:rFonts w:eastAsia="Times New Roman"/>
        </w:rPr>
        <w:t xml:space="preserve">Managed Forests </w:t>
      </w:r>
    </w:p>
    <w:p w14:paraId="001EA66A" w14:textId="720EA097" w:rsidR="00D33DBF" w:rsidRPr="00780469" w:rsidRDefault="00D33DBF" w:rsidP="00B16D28">
      <w:pPr>
        <w:pStyle w:val="ListParagraph"/>
        <w:numPr>
          <w:ilvl w:val="0"/>
          <w:numId w:val="37"/>
        </w:numPr>
        <w:rPr>
          <w:rFonts w:eastAsia="Times New Roman"/>
        </w:rPr>
      </w:pPr>
      <w:r>
        <w:rPr>
          <w:rFonts w:eastAsia="Times New Roman"/>
        </w:rPr>
        <w:t>Poultry Litter</w:t>
      </w:r>
    </w:p>
    <w:p w14:paraId="02921011" w14:textId="77777777" w:rsidR="00B16D28" w:rsidRPr="00524A54" w:rsidRDefault="00B16D28" w:rsidP="00626F43">
      <w:pPr>
        <w:pStyle w:val="BEHeader1"/>
      </w:pPr>
      <w:r w:rsidRPr="00524A54">
        <w:t xml:space="preserve">Applying Usage </w:t>
      </w:r>
      <w:r w:rsidRPr="00861D12">
        <w:t>Data</w:t>
      </w:r>
      <w:r w:rsidRPr="00524A54">
        <w:t xml:space="preserve"> to UDLs</w:t>
      </w:r>
    </w:p>
    <w:p w14:paraId="387F113A" w14:textId="2173707E" w:rsidR="00B16D28" w:rsidRDefault="002D67BD" w:rsidP="00B16D28">
      <w:pPr>
        <w:pStyle w:val="NoSpacing"/>
      </w:pPr>
      <w:r>
        <w:t>To account for</w:t>
      </w:r>
      <w:r w:rsidR="00B16D28">
        <w:t xml:space="preserve"> </w:t>
      </w:r>
      <w:r w:rsidR="31CC8A2D">
        <w:t>i</w:t>
      </w:r>
      <w:r w:rsidR="18F7977B">
        <w:t>midacloprid</w:t>
      </w:r>
      <w:r w:rsidR="00D33DBF">
        <w:t>’</w:t>
      </w:r>
      <w:r w:rsidR="00B16D28">
        <w:t xml:space="preserve">s registered for all these use sites, this method considers all these potential use sites and relevant usage data. The sections below discuss the usage data available for each potential use site. As part of the Weight of Evidence analysis, maximum, average and minimum assumptions regarding the amount of usage are considered with different distributions of the treated acres. Landcover is available in Alaska but is not included because species are not assessed quantitatively. </w:t>
      </w:r>
      <w:r w:rsidR="00B16D28" w:rsidRPr="722E0A29">
        <w:rPr>
          <w:b/>
          <w:bCs/>
        </w:rPr>
        <w:t>APPENDIX 1-6</w:t>
      </w:r>
      <w:r w:rsidR="00B16D28">
        <w:t xml:space="preserve"> provides a </w:t>
      </w:r>
      <w:r w:rsidR="231EF49D">
        <w:t>i</w:t>
      </w:r>
      <w:r w:rsidR="18F7977B">
        <w:t>midacloprid</w:t>
      </w:r>
      <w:r w:rsidR="00B16D28">
        <w:t xml:space="preserve"> specific crosswalk across crop data sources for </w:t>
      </w:r>
      <w:r w:rsidR="0B8CA2DD">
        <w:t>i</w:t>
      </w:r>
      <w:r w:rsidR="18F7977B">
        <w:t>midacloprid</w:t>
      </w:r>
      <w:r w:rsidR="00B16D28">
        <w:t xml:space="preserve"> uses.</w:t>
      </w:r>
    </w:p>
    <w:p w14:paraId="7DC4A89F" w14:textId="77777777" w:rsidR="00B16D28" w:rsidRDefault="00B16D28" w:rsidP="00B16D28">
      <w:pPr>
        <w:pStyle w:val="NoSpacing"/>
      </w:pPr>
    </w:p>
    <w:p w14:paraId="7C85E8B3" w14:textId="77777777" w:rsidR="00B16D28" w:rsidRPr="00960BCE" w:rsidRDefault="00B16D28" w:rsidP="00626F43">
      <w:pPr>
        <w:pStyle w:val="Heading2"/>
      </w:pPr>
      <w:bookmarkStart w:id="4" w:name="_Hlk32167273"/>
      <w:r w:rsidRPr="00960BCE">
        <w:t>Agriculture</w:t>
      </w:r>
      <w:bookmarkEnd w:id="4"/>
      <w:r>
        <w:t xml:space="preserve"> and </w:t>
      </w:r>
      <w:r w:rsidRPr="00861D12">
        <w:t>Pasture</w:t>
      </w:r>
      <w:r>
        <w:t>/</w:t>
      </w:r>
      <w:r w:rsidRPr="00960BCE">
        <w:t>Rangeland</w:t>
      </w:r>
    </w:p>
    <w:p w14:paraId="582F0BA8" w14:textId="50904BED" w:rsidR="00B16D28" w:rsidRPr="00FF581C" w:rsidRDefault="00B16D28" w:rsidP="00B16D28">
      <w:pPr>
        <w:rPr>
          <w:rFonts w:eastAsia="Times New Roman"/>
        </w:rPr>
      </w:pPr>
      <w:r>
        <w:t xml:space="preserve">Pesticide usage data are collected for Hawaii and Puerto Rico as part of USDA’s Census of Agriculture (CoA). Data are reported as broad categories, </w:t>
      </w:r>
      <w:r w:rsidRPr="722E0A29">
        <w:rPr>
          <w:i/>
          <w:iCs/>
        </w:rPr>
        <w:t>i.e.,</w:t>
      </w:r>
      <w:r>
        <w:t xml:space="preserve"> insecticide, herbicide and fungicide. Although these data are not pesticide specific, they are useful in defining the proportion of agricultural areas where insecticides may be applied. In the future, when the landcover data representing the potential use sites are updated to account for the new census, the usage data will also be updated. Regardless of the year that is used, the assumption that the usage data for all insecticides represents usage of </w:t>
      </w:r>
      <w:r w:rsidR="18F7977B">
        <w:t>Imidacloprid</w:t>
      </w:r>
      <w:r>
        <w:t xml:space="preserve"> is conservative.</w:t>
      </w:r>
    </w:p>
    <w:p w14:paraId="1FDF032D" w14:textId="77777777" w:rsidR="00B16D28" w:rsidRPr="00960BCE" w:rsidRDefault="00B16D28" w:rsidP="00B16D28">
      <w:pPr>
        <w:pStyle w:val="NoSpacing"/>
      </w:pPr>
    </w:p>
    <w:p w14:paraId="49899257" w14:textId="70288E9D" w:rsidR="00B16D28" w:rsidRDefault="00B16D28" w:rsidP="00B16D28">
      <w:pPr>
        <w:rPr>
          <w:rFonts w:eastAsia="Times New Roman"/>
        </w:rPr>
      </w:pPr>
      <w:r>
        <w:t xml:space="preserve">The CoA data reports the number of acres of agriculture that were treated for insect pests. </w:t>
      </w:r>
      <w:r w:rsidRPr="722E0A29">
        <w:rPr>
          <w:b/>
          <w:bCs/>
        </w:rPr>
        <w:t>Table 1</w:t>
      </w:r>
      <w:r>
        <w:t xml:space="preserve"> includes the total cropland acres treated with insecticides and the total cropland acres that were reported in the 2012 census. These values were used to derive percent crop treated (PCT) values for potential use sites represented by agriculture located in Hawaii (1</w:t>
      </w:r>
      <w:r w:rsidR="00E4558B">
        <w:t>8</w:t>
      </w:r>
      <w:r>
        <w:t>%) and Puerto Rico (1</w:t>
      </w:r>
      <w:r w:rsidR="00E4558B">
        <w:t>1</w:t>
      </w:r>
      <w:r>
        <w:t xml:space="preserve">%). </w:t>
      </w:r>
      <w:r w:rsidRPr="722E0A29">
        <w:rPr>
          <w:rFonts w:eastAsia="Times New Roman"/>
        </w:rPr>
        <w:t xml:space="preserve">This approach is conservative and overrepresents the usage of a single active ingredient because it assumes that all applications of insecticides (which include multiple active ingredients) are represented only by </w:t>
      </w:r>
      <w:r w:rsidR="18F7977B" w:rsidRPr="722E0A29">
        <w:rPr>
          <w:rFonts w:eastAsia="Times New Roman"/>
        </w:rPr>
        <w:t>Imidacloprid</w:t>
      </w:r>
      <w:r w:rsidRPr="722E0A29">
        <w:rPr>
          <w:rFonts w:eastAsia="Times New Roman"/>
        </w:rPr>
        <w:t>.</w:t>
      </w:r>
      <w:r w:rsidR="002D67BD" w:rsidRPr="722E0A29">
        <w:rPr>
          <w:rFonts w:eastAsia="Times New Roman"/>
        </w:rPr>
        <w:t xml:space="preserve"> These values are further refined by accounting for unregistered grown in the regions when calculated the aggregated PCTs. Unregistered cannot be treated and therefore are given a PCT of 0%, all registered crops received the all insecticide PCT. For Alaska, usage data is unavailable, registered crops receive a PCT of 100% and unregistered crops receive a PCT of 0%. The results aggregated PCT is </w:t>
      </w:r>
      <w:r w:rsidR="00423878" w:rsidRPr="722E0A29">
        <w:rPr>
          <w:rFonts w:eastAsia="Times New Roman"/>
        </w:rPr>
        <w:t>82</w:t>
      </w:r>
      <w:r w:rsidR="002D67BD" w:rsidRPr="722E0A29">
        <w:rPr>
          <w:rFonts w:eastAsia="Times New Roman"/>
        </w:rPr>
        <w:t>%.</w:t>
      </w:r>
    </w:p>
    <w:p w14:paraId="3DBFE7E6" w14:textId="77777777" w:rsidR="00B16D28" w:rsidRPr="001E0BD4" w:rsidRDefault="00B16D28" w:rsidP="00B16D28">
      <w:pPr>
        <w:pStyle w:val="NoSpacing"/>
      </w:pPr>
    </w:p>
    <w:p w14:paraId="063049A9" w14:textId="77777777" w:rsidR="00B16D28" w:rsidRPr="009B46B4" w:rsidRDefault="00B16D28" w:rsidP="722E0A29">
      <w:pPr>
        <w:keepNext/>
        <w:rPr>
          <w:b/>
          <w:bCs/>
        </w:rPr>
      </w:pPr>
      <w:r w:rsidRPr="722E0A29">
        <w:rPr>
          <w:b/>
          <w:bCs/>
        </w:rPr>
        <w:lastRenderedPageBreak/>
        <w:t xml:space="preserve">Table </w:t>
      </w:r>
      <w:r w:rsidRPr="722E0A29">
        <w:rPr>
          <w:b/>
          <w:bCs/>
        </w:rPr>
        <w:fldChar w:fldCharType="begin"/>
      </w:r>
      <w:r w:rsidRPr="722E0A29">
        <w:rPr>
          <w:b/>
          <w:bCs/>
        </w:rPr>
        <w:instrText xml:space="preserve"> SEQ Table \* ARABIC </w:instrText>
      </w:r>
      <w:r w:rsidRPr="722E0A29">
        <w:rPr>
          <w:b/>
          <w:bCs/>
        </w:rPr>
        <w:fldChar w:fldCharType="separate"/>
      </w:r>
      <w:r w:rsidRPr="722E0A29">
        <w:rPr>
          <w:b/>
          <w:bCs/>
          <w:noProof/>
        </w:rPr>
        <w:t>1</w:t>
      </w:r>
      <w:r w:rsidRPr="722E0A29">
        <w:rPr>
          <w:b/>
          <w:bCs/>
        </w:rPr>
        <w:fldChar w:fldCharType="end"/>
      </w:r>
      <w:r w:rsidRPr="722E0A29">
        <w:rPr>
          <w:b/>
          <w:bCs/>
        </w:rPr>
        <w:t>. 2012 CoA data for acres treated with insecticide and total acres grown of crop in Hawaii (HI) and Puerto Rico (PR).</w:t>
      </w:r>
    </w:p>
    <w:tbl>
      <w:tblPr>
        <w:tblStyle w:val="TableGrid"/>
        <w:tblW w:w="0" w:type="auto"/>
        <w:tblLook w:val="04A0" w:firstRow="1" w:lastRow="0" w:firstColumn="1" w:lastColumn="0" w:noHBand="0" w:noVBand="1"/>
      </w:tblPr>
      <w:tblGrid>
        <w:gridCol w:w="1744"/>
        <w:gridCol w:w="1540"/>
        <w:gridCol w:w="1668"/>
        <w:gridCol w:w="1613"/>
        <w:gridCol w:w="1472"/>
        <w:gridCol w:w="1313"/>
      </w:tblGrid>
      <w:tr w:rsidR="002D67BD" w:rsidRPr="009B46B4" w14:paraId="6D6CD972" w14:textId="36A540CE" w:rsidTr="002D67BD">
        <w:tc>
          <w:tcPr>
            <w:tcW w:w="1744" w:type="dxa"/>
          </w:tcPr>
          <w:p w14:paraId="0586897A" w14:textId="77777777" w:rsidR="002D67BD" w:rsidRPr="009B46B4" w:rsidRDefault="002D67BD" w:rsidP="00794EBE">
            <w:pPr>
              <w:keepNext/>
              <w:rPr>
                <w:b/>
              </w:rPr>
            </w:pPr>
            <w:r>
              <w:rPr>
                <w:b/>
              </w:rPr>
              <w:t>Use</w:t>
            </w:r>
          </w:p>
        </w:tc>
        <w:tc>
          <w:tcPr>
            <w:tcW w:w="1540" w:type="dxa"/>
          </w:tcPr>
          <w:p w14:paraId="1554BFD3" w14:textId="77777777" w:rsidR="002D67BD" w:rsidRPr="009B46B4" w:rsidRDefault="002D67BD" w:rsidP="00794EBE">
            <w:pPr>
              <w:keepNext/>
              <w:rPr>
                <w:b/>
              </w:rPr>
            </w:pPr>
            <w:r w:rsidRPr="009B46B4">
              <w:rPr>
                <w:b/>
              </w:rPr>
              <w:t>Location</w:t>
            </w:r>
          </w:p>
        </w:tc>
        <w:tc>
          <w:tcPr>
            <w:tcW w:w="1668" w:type="dxa"/>
          </w:tcPr>
          <w:p w14:paraId="6F4FC576" w14:textId="77777777" w:rsidR="002D67BD" w:rsidRPr="009B46B4" w:rsidRDefault="002D67BD" w:rsidP="00794EBE">
            <w:pPr>
              <w:keepNext/>
              <w:rPr>
                <w:b/>
              </w:rPr>
            </w:pPr>
            <w:r w:rsidRPr="009B46B4">
              <w:rPr>
                <w:b/>
              </w:rPr>
              <w:t>Acres treated*</w:t>
            </w:r>
          </w:p>
        </w:tc>
        <w:tc>
          <w:tcPr>
            <w:tcW w:w="1613" w:type="dxa"/>
          </w:tcPr>
          <w:p w14:paraId="62572877" w14:textId="77777777" w:rsidR="002D67BD" w:rsidRPr="009B46B4" w:rsidRDefault="002D67BD" w:rsidP="00794EBE">
            <w:pPr>
              <w:keepNext/>
              <w:rPr>
                <w:b/>
              </w:rPr>
            </w:pPr>
            <w:r w:rsidRPr="009B46B4">
              <w:rPr>
                <w:b/>
              </w:rPr>
              <w:t>Total acres*</w:t>
            </w:r>
          </w:p>
        </w:tc>
        <w:tc>
          <w:tcPr>
            <w:tcW w:w="1472" w:type="dxa"/>
          </w:tcPr>
          <w:p w14:paraId="44B84CF3" w14:textId="77777777" w:rsidR="002D67BD" w:rsidRPr="009B46B4" w:rsidRDefault="002D67BD" w:rsidP="00794EBE">
            <w:pPr>
              <w:keepNext/>
              <w:rPr>
                <w:b/>
              </w:rPr>
            </w:pPr>
            <w:r w:rsidRPr="009B46B4">
              <w:rPr>
                <w:b/>
              </w:rPr>
              <w:t>PCT</w:t>
            </w:r>
          </w:p>
        </w:tc>
        <w:tc>
          <w:tcPr>
            <w:tcW w:w="1313" w:type="dxa"/>
          </w:tcPr>
          <w:p w14:paraId="7CB402DD" w14:textId="746E7FDB" w:rsidR="002D67BD" w:rsidRPr="009B46B4" w:rsidRDefault="002D67BD" w:rsidP="00794EBE">
            <w:pPr>
              <w:keepNext/>
              <w:rPr>
                <w:b/>
              </w:rPr>
            </w:pPr>
            <w:r>
              <w:rPr>
                <w:b/>
              </w:rPr>
              <w:t xml:space="preserve">Aggregated </w:t>
            </w:r>
            <w:r w:rsidRPr="009B46B4">
              <w:rPr>
                <w:b/>
              </w:rPr>
              <w:t>PCT</w:t>
            </w:r>
          </w:p>
        </w:tc>
      </w:tr>
      <w:tr w:rsidR="002D67BD" w14:paraId="658D54CC" w14:textId="331F9A4C" w:rsidTr="002D67BD">
        <w:tc>
          <w:tcPr>
            <w:tcW w:w="1744" w:type="dxa"/>
            <w:vMerge w:val="restart"/>
          </w:tcPr>
          <w:p w14:paraId="03DEDC16" w14:textId="77777777" w:rsidR="002D67BD" w:rsidRDefault="002D67BD" w:rsidP="002D67BD">
            <w:r>
              <w:t>Agriculture</w:t>
            </w:r>
          </w:p>
        </w:tc>
        <w:tc>
          <w:tcPr>
            <w:tcW w:w="1540" w:type="dxa"/>
          </w:tcPr>
          <w:p w14:paraId="17ADDA3D" w14:textId="77777777" w:rsidR="002D67BD" w:rsidRDefault="002D67BD" w:rsidP="002D67BD">
            <w:r>
              <w:t>HI</w:t>
            </w:r>
          </w:p>
        </w:tc>
        <w:tc>
          <w:tcPr>
            <w:tcW w:w="1668" w:type="dxa"/>
          </w:tcPr>
          <w:p w14:paraId="039A0A04" w14:textId="144884E4" w:rsidR="003D0F06" w:rsidRDefault="003D0F06" w:rsidP="002D67BD">
            <w:r>
              <w:t>26,468</w:t>
            </w:r>
          </w:p>
        </w:tc>
        <w:tc>
          <w:tcPr>
            <w:tcW w:w="1613" w:type="dxa"/>
          </w:tcPr>
          <w:p w14:paraId="477EE33D" w14:textId="77777777" w:rsidR="002D67BD" w:rsidRDefault="002D67BD" w:rsidP="002D67BD">
            <w:r>
              <w:t>174,042</w:t>
            </w:r>
          </w:p>
        </w:tc>
        <w:tc>
          <w:tcPr>
            <w:tcW w:w="1472" w:type="dxa"/>
          </w:tcPr>
          <w:p w14:paraId="69E0864E" w14:textId="2CA40A12" w:rsidR="002D67BD" w:rsidRDefault="002D67BD" w:rsidP="002D67BD">
            <w:r>
              <w:t>1</w:t>
            </w:r>
            <w:r w:rsidR="003D0F06">
              <w:t>8</w:t>
            </w:r>
            <w:r>
              <w:t>%</w:t>
            </w:r>
          </w:p>
        </w:tc>
        <w:tc>
          <w:tcPr>
            <w:tcW w:w="1313" w:type="dxa"/>
          </w:tcPr>
          <w:p w14:paraId="5E6F2CE6" w14:textId="37022F8D" w:rsidR="002D67BD" w:rsidRDefault="002D67BD" w:rsidP="002D67BD">
            <w:r>
              <w:t>1</w:t>
            </w:r>
            <w:r w:rsidR="003D0F06">
              <w:t>7</w:t>
            </w:r>
            <w:r>
              <w:t>%</w:t>
            </w:r>
          </w:p>
        </w:tc>
      </w:tr>
      <w:tr w:rsidR="002D67BD" w14:paraId="0BEBDF97" w14:textId="1B1159F4" w:rsidTr="002D67BD">
        <w:tc>
          <w:tcPr>
            <w:tcW w:w="1744" w:type="dxa"/>
            <w:vMerge/>
          </w:tcPr>
          <w:p w14:paraId="79FAF69D" w14:textId="77777777" w:rsidR="002D67BD" w:rsidRDefault="002D67BD" w:rsidP="002D67BD"/>
        </w:tc>
        <w:tc>
          <w:tcPr>
            <w:tcW w:w="1540" w:type="dxa"/>
          </w:tcPr>
          <w:p w14:paraId="2BD3E371" w14:textId="77777777" w:rsidR="002D67BD" w:rsidRDefault="002D67BD" w:rsidP="002D67BD">
            <w:r>
              <w:t>PR</w:t>
            </w:r>
          </w:p>
        </w:tc>
        <w:tc>
          <w:tcPr>
            <w:tcW w:w="1668" w:type="dxa"/>
          </w:tcPr>
          <w:p w14:paraId="7AC92A02" w14:textId="395E1746" w:rsidR="002D67BD" w:rsidRDefault="003D0F06" w:rsidP="002D67BD">
            <w:r>
              <w:t>46,315</w:t>
            </w:r>
          </w:p>
        </w:tc>
        <w:tc>
          <w:tcPr>
            <w:tcW w:w="1613" w:type="dxa"/>
          </w:tcPr>
          <w:p w14:paraId="125D8544" w14:textId="77777777" w:rsidR="002D67BD" w:rsidRDefault="002D67BD" w:rsidP="002D67BD">
            <w:r>
              <w:t>421,043</w:t>
            </w:r>
          </w:p>
        </w:tc>
        <w:tc>
          <w:tcPr>
            <w:tcW w:w="1472" w:type="dxa"/>
          </w:tcPr>
          <w:p w14:paraId="28CE42F8" w14:textId="6ADC6CD3" w:rsidR="002D67BD" w:rsidRDefault="002D67BD" w:rsidP="002D67BD">
            <w:r>
              <w:t>1</w:t>
            </w:r>
            <w:r w:rsidR="003D0F06">
              <w:t>1</w:t>
            </w:r>
            <w:r>
              <w:t>%</w:t>
            </w:r>
          </w:p>
        </w:tc>
        <w:tc>
          <w:tcPr>
            <w:tcW w:w="1313" w:type="dxa"/>
          </w:tcPr>
          <w:p w14:paraId="03B4B60B" w14:textId="2317209C" w:rsidR="002D67BD" w:rsidRDefault="002D67BD" w:rsidP="002D67BD">
            <w:r>
              <w:t>11%</w:t>
            </w:r>
          </w:p>
        </w:tc>
      </w:tr>
      <w:tr w:rsidR="002D67BD" w14:paraId="5EB47B42" w14:textId="151E9775" w:rsidTr="002D67BD">
        <w:tc>
          <w:tcPr>
            <w:tcW w:w="1744" w:type="dxa"/>
          </w:tcPr>
          <w:p w14:paraId="4B6DBF22" w14:textId="77777777" w:rsidR="002D67BD" w:rsidRDefault="002D67BD" w:rsidP="002D67BD"/>
        </w:tc>
        <w:tc>
          <w:tcPr>
            <w:tcW w:w="1540" w:type="dxa"/>
          </w:tcPr>
          <w:p w14:paraId="4C4A672C" w14:textId="36365A91" w:rsidR="002D67BD" w:rsidRDefault="002D67BD" w:rsidP="002D67BD">
            <w:r>
              <w:t>AK</w:t>
            </w:r>
          </w:p>
        </w:tc>
        <w:tc>
          <w:tcPr>
            <w:tcW w:w="1668" w:type="dxa"/>
          </w:tcPr>
          <w:p w14:paraId="5D64EB6F" w14:textId="19FCE0F6" w:rsidR="002D67BD" w:rsidRDefault="002D67BD" w:rsidP="002D67BD">
            <w:r>
              <w:t>--</w:t>
            </w:r>
          </w:p>
        </w:tc>
        <w:tc>
          <w:tcPr>
            <w:tcW w:w="1613" w:type="dxa"/>
          </w:tcPr>
          <w:p w14:paraId="03A8E31C" w14:textId="154F0FA4" w:rsidR="002D67BD" w:rsidRDefault="002D67BD" w:rsidP="002D67BD">
            <w:r>
              <w:t>--</w:t>
            </w:r>
          </w:p>
        </w:tc>
        <w:tc>
          <w:tcPr>
            <w:tcW w:w="1472" w:type="dxa"/>
          </w:tcPr>
          <w:p w14:paraId="011D5E3A" w14:textId="1517CAFE" w:rsidR="002D67BD" w:rsidRDefault="002D67BD" w:rsidP="002D67BD">
            <w:r>
              <w:t>100</w:t>
            </w:r>
          </w:p>
        </w:tc>
        <w:tc>
          <w:tcPr>
            <w:tcW w:w="1313" w:type="dxa"/>
            <w:vAlign w:val="center"/>
          </w:tcPr>
          <w:p w14:paraId="51A51E9F" w14:textId="5F236E9B" w:rsidR="002D67BD" w:rsidRDefault="003D0F06" w:rsidP="002D67BD">
            <w:r>
              <w:t>82</w:t>
            </w:r>
            <w:r w:rsidR="002D67BD">
              <w:t>%</w:t>
            </w:r>
          </w:p>
        </w:tc>
      </w:tr>
    </w:tbl>
    <w:p w14:paraId="4F8F4E34" w14:textId="77777777" w:rsidR="00B16D28" w:rsidRPr="00714AF0" w:rsidRDefault="00B16D28" w:rsidP="00B16D28">
      <w:r>
        <w:t>*From 2012 census</w:t>
      </w:r>
    </w:p>
    <w:p w14:paraId="47B80CA3" w14:textId="77777777" w:rsidR="00B16D28" w:rsidRPr="00960BCE" w:rsidRDefault="00B16D28" w:rsidP="00B16D28">
      <w:pPr>
        <w:pStyle w:val="NoSpacing"/>
      </w:pPr>
    </w:p>
    <w:p w14:paraId="25A65492" w14:textId="07F1D6E2" w:rsidR="00B16D28" w:rsidRDefault="00B16D28" w:rsidP="00B16D28">
      <w:r>
        <w:t xml:space="preserve">No pesticide-specific or general insecticide usage data are available for any of the other US territories where federally listed species occur, and there is no available reliable surrogate to allow for a reliable estimate of usage in other territories at this time. Therefore, usage data will not be considered for territories other than Puerto Rico. When no usage data are applied, to overlap of potential use sites and species ranges represents an overestimate of the area where individuals of a listed species are expected to be exposed </w:t>
      </w:r>
      <w:r w:rsidR="03B431F5">
        <w:t>i</w:t>
      </w:r>
      <w:r w:rsidR="18F7977B">
        <w:t>midacloprid</w:t>
      </w:r>
      <w:r>
        <w:t>.</w:t>
      </w:r>
    </w:p>
    <w:p w14:paraId="790719B6" w14:textId="77777777" w:rsidR="00B16D28" w:rsidRDefault="00B16D28" w:rsidP="00626F43">
      <w:pPr>
        <w:pStyle w:val="Heading2"/>
      </w:pPr>
      <w:bookmarkStart w:id="5" w:name="_Hlk33869642"/>
      <w:r w:rsidRPr="00834CD4">
        <w:t>Non-Agricultural Uses</w:t>
      </w:r>
    </w:p>
    <w:p w14:paraId="20724F8F" w14:textId="77777777" w:rsidR="00B16D28" w:rsidRDefault="00B16D28" w:rsidP="00B16D28">
      <w:pPr>
        <w:spacing w:after="0"/>
        <w:rPr>
          <w:rFonts w:eastAsia="Times New Roman"/>
          <w:color w:val="000000" w:themeColor="text1"/>
        </w:rPr>
      </w:pPr>
      <w:bookmarkStart w:id="6" w:name="_Hlk49176920"/>
      <w:bookmarkStart w:id="7" w:name="_Hlk49176071"/>
      <w:r>
        <w:t>Non-agricultural n</w:t>
      </w:r>
      <w:r w:rsidRPr="00CD35F8">
        <w:t xml:space="preserve">ational level usage data for the contiguous United States (ConUS) are available </w:t>
      </w:r>
      <w:r>
        <w:t>in the SUUM (</w:t>
      </w:r>
      <w:r w:rsidRPr="00DE3FF9">
        <w:rPr>
          <w:rFonts w:eastAsia="Times New Roman"/>
          <w:b/>
          <w:bCs/>
          <w:color w:val="000000" w:themeColor="text1"/>
        </w:rPr>
        <w:t>APPENDIX 1-4</w:t>
      </w:r>
      <w:r>
        <w:rPr>
          <w:rFonts w:eastAsia="Times New Roman"/>
          <w:b/>
          <w:bCs/>
          <w:color w:val="000000" w:themeColor="text1"/>
        </w:rPr>
        <w:t xml:space="preserve">; </w:t>
      </w:r>
      <w:r w:rsidRPr="003E1429">
        <w:rPr>
          <w:rFonts w:eastAsia="Times New Roman"/>
          <w:color w:val="000000" w:themeColor="text1"/>
        </w:rPr>
        <w:t xml:space="preserve">see </w:t>
      </w:r>
      <w:r w:rsidRPr="00030962">
        <w:rPr>
          <w:rFonts w:eastAsia="Times New Roman"/>
          <w:b/>
          <w:color w:val="000000" w:themeColor="text1"/>
        </w:rPr>
        <w:t>Table 3</w:t>
      </w:r>
      <w:r w:rsidRPr="003E1429">
        <w:rPr>
          <w:rFonts w:eastAsia="Times New Roman"/>
          <w:color w:val="000000" w:themeColor="text1"/>
        </w:rPr>
        <w:t xml:space="preserve"> in the SUUM</w:t>
      </w:r>
      <w:r>
        <w:rPr>
          <w:rFonts w:eastAsia="Times New Roman"/>
          <w:b/>
          <w:bCs/>
          <w:color w:val="000000" w:themeColor="text1"/>
        </w:rPr>
        <w:t xml:space="preserve">). </w:t>
      </w:r>
      <w:r w:rsidRPr="00CD35F8">
        <w:rPr>
          <w:rFonts w:eastAsia="Times New Roman"/>
          <w:color w:val="000000" w:themeColor="text1"/>
        </w:rPr>
        <w:t>The usage information can be available as treated area based on survey data or reported as average pound applied for the use.</w:t>
      </w:r>
      <w:r>
        <w:rPr>
          <w:rFonts w:eastAsia="Times New Roman"/>
          <w:b/>
          <w:bCs/>
          <w:color w:val="000000" w:themeColor="text1"/>
        </w:rPr>
        <w:t xml:space="preserve">  </w:t>
      </w:r>
      <w:r>
        <w:rPr>
          <w:rFonts w:eastAsia="Times New Roman"/>
          <w:color w:val="000000" w:themeColor="text1"/>
        </w:rPr>
        <w:t xml:space="preserve">Similar to the agricultural uses, if a single UDL represents multiple use sites found in the SUUM these usage data are aggregated into aggregated PCTs. </w:t>
      </w:r>
    </w:p>
    <w:p w14:paraId="5C62DEEA" w14:textId="77777777" w:rsidR="00B16D28" w:rsidRPr="00953BCC" w:rsidRDefault="00B16D28" w:rsidP="00B16D28">
      <w:pPr>
        <w:spacing w:after="0"/>
        <w:rPr>
          <w:rFonts w:eastAsia="Times New Roman"/>
          <w:color w:val="000000" w:themeColor="text1"/>
        </w:rPr>
      </w:pPr>
    </w:p>
    <w:p w14:paraId="580E992A" w14:textId="5BEB7FFA" w:rsidR="00B16D28" w:rsidRDefault="00B16D28" w:rsidP="722E0A29">
      <w:r w:rsidRPr="218A8BFF">
        <w:t xml:space="preserve">If information on treatable acres, base acres treated for all </w:t>
      </w:r>
      <w:r w:rsidR="009800F4" w:rsidRPr="218A8BFF">
        <w:t>insecticides</w:t>
      </w:r>
      <w:r w:rsidRPr="218A8BFF">
        <w:t xml:space="preserve"> and/or treated acres for </w:t>
      </w:r>
      <w:r w:rsidR="5C2A1BFF" w:rsidRPr="218A8BFF">
        <w:t>i</w:t>
      </w:r>
      <w:r w:rsidR="18F7977B" w:rsidRPr="218A8BFF">
        <w:t>midacloprid</w:t>
      </w:r>
      <w:r w:rsidRPr="218A8BFF">
        <w:t xml:space="preserve"> is available from the market research survey data this information is used in the calculation of the non-agricultural PCTs. Treated acres specific to </w:t>
      </w:r>
      <w:r w:rsidR="3C1DF670" w:rsidRPr="218A8BFF">
        <w:t>i</w:t>
      </w:r>
      <w:r w:rsidR="18F7977B" w:rsidRPr="218A8BFF">
        <w:t>midacloprid</w:t>
      </w:r>
      <w:r w:rsidRPr="218A8BFF">
        <w:t xml:space="preserve"> usage </w:t>
      </w:r>
      <w:r w:rsidR="002D67BD" w:rsidRPr="218A8BFF">
        <w:t>are not</w:t>
      </w:r>
      <w:r w:rsidRPr="218A8BFF">
        <w:t xml:space="preserve"> available for many non-agricultural use site</w:t>
      </w:r>
      <w:r w:rsidR="00984CF3" w:rsidRPr="218A8BFF">
        <w:t>, but w</w:t>
      </w:r>
      <w:r w:rsidR="002D67BD" w:rsidRPr="218A8BFF">
        <w:t>hen available</w:t>
      </w:r>
      <w:r w:rsidRPr="218A8BFF">
        <w:t xml:space="preserve"> this information is used in the calculation of non-agricultural maximum </w:t>
      </w:r>
      <w:r w:rsidR="002D67BD" w:rsidRPr="218A8BFF">
        <w:t xml:space="preserve">and/or average </w:t>
      </w:r>
      <w:r w:rsidRPr="218A8BFF">
        <w:t xml:space="preserve">PCT. </w:t>
      </w:r>
      <w:bookmarkEnd w:id="6"/>
      <w:r w:rsidR="002D67BD" w:rsidRPr="218A8BFF">
        <w:t xml:space="preserve">When base acres treated is available, </w:t>
      </w:r>
      <w:r w:rsidR="002D67BD" w:rsidRPr="218A8BFF">
        <w:rPr>
          <w:rFonts w:eastAsia="Times New Roman"/>
          <w:color w:val="000000" w:themeColor="text1"/>
        </w:rPr>
        <w:t>t</w:t>
      </w:r>
      <w:r w:rsidR="002D67BD">
        <w:t>he</w:t>
      </w:r>
      <w:r>
        <w:t xml:space="preserve"> maximum PCT is based on the ratio of </w:t>
      </w:r>
      <w:r w:rsidR="00381768">
        <w:t xml:space="preserve">base </w:t>
      </w:r>
      <w:r>
        <w:t xml:space="preserve">acres treated with </w:t>
      </w:r>
      <w:r w:rsidR="69D63C51">
        <w:t>i</w:t>
      </w:r>
      <w:r w:rsidR="18F7977B" w:rsidRPr="218A8BFF">
        <w:t>midacloprid</w:t>
      </w:r>
      <w:r w:rsidRPr="218A8BFF">
        <w:t xml:space="preserve"> </w:t>
      </w:r>
      <w:r>
        <w:t xml:space="preserve">to the total treatable acres for the non-agricultural use </w:t>
      </w:r>
      <w:r w:rsidRPr="218A8BFF">
        <w:t>(</w:t>
      </w:r>
      <w:r w:rsidRPr="218A8BFF">
        <w:rPr>
          <w:b/>
          <w:bCs/>
        </w:rPr>
        <w:t>Equation 1</w:t>
      </w:r>
      <w:r w:rsidR="00381768" w:rsidRPr="218A8BFF">
        <w:rPr>
          <w:b/>
          <w:bCs/>
        </w:rPr>
        <w:t>-1</w:t>
      </w:r>
      <w:r w:rsidRPr="218A8BFF">
        <w:rPr>
          <w:b/>
          <w:bCs/>
        </w:rPr>
        <w:t>)</w:t>
      </w:r>
      <w:r>
        <w:t>.</w:t>
      </w:r>
      <w:r w:rsidR="00381768" w:rsidRPr="218A8BFF">
        <w:t xml:space="preserve"> And the average aggregated PCT is based on the ratio of acres treated with clothianidin to the total treatable acres (</w:t>
      </w:r>
      <w:r w:rsidR="00381768" w:rsidRPr="218A8BFF">
        <w:rPr>
          <w:b/>
          <w:bCs/>
        </w:rPr>
        <w:t>Equation 1-2)</w:t>
      </w:r>
      <w:r w:rsidR="00381768" w:rsidRPr="218A8BFF">
        <w:t>. If the base aces treated is not available but the treated area for clothianidin is then this information is used to calculate the maximum aggregated PCT (</w:t>
      </w:r>
      <w:r w:rsidR="00381768" w:rsidRPr="218A8BFF">
        <w:rPr>
          <w:b/>
          <w:bCs/>
        </w:rPr>
        <w:t>Equation 1-2).</w:t>
      </w:r>
    </w:p>
    <w:p w14:paraId="5FD9C54A" w14:textId="77777777" w:rsidR="00381768" w:rsidRPr="005D2A6C" w:rsidRDefault="00381768" w:rsidP="00381768">
      <w:pPr>
        <w:keepNext/>
        <w:rPr>
          <w:b/>
          <w:bCs/>
        </w:rPr>
      </w:pPr>
      <w:r w:rsidRPr="00581938">
        <w:rPr>
          <w:b/>
          <w:bCs/>
        </w:rPr>
        <w:lastRenderedPageBreak/>
        <w:t>Equation 1</w:t>
      </w:r>
      <w:r>
        <w:rPr>
          <w:b/>
          <w:bCs/>
        </w:rPr>
        <w:t>-1</w:t>
      </w:r>
      <w:r w:rsidRPr="005D2A6C">
        <w:rPr>
          <w:b/>
          <w:bCs/>
        </w:rPr>
        <w:t>.</w:t>
      </w:r>
    </w:p>
    <w:p w14:paraId="407291FB" w14:textId="77777777" w:rsidR="00381768" w:rsidRDefault="00381768" w:rsidP="00381768">
      <w:pPr>
        <w:keepNext/>
      </w:pPr>
      <w:r w:rsidRPr="007D26EE">
        <w:rPr>
          <w:noProof/>
        </w:rPr>
        <mc:AlternateContent>
          <mc:Choice Requires="wps">
            <w:drawing>
              <wp:anchor distT="0" distB="0" distL="114300" distR="114300" simplePos="0" relativeHeight="251684864" behindDoc="0" locked="0" layoutInCell="1" allowOverlap="1" wp14:anchorId="601131C0" wp14:editId="0EAE8565">
                <wp:simplePos x="0" y="0"/>
                <wp:positionH relativeFrom="column">
                  <wp:posOffset>536649</wp:posOffset>
                </wp:positionH>
                <wp:positionV relativeFrom="paragraph">
                  <wp:posOffset>30893</wp:posOffset>
                </wp:positionV>
                <wp:extent cx="6252845" cy="851965"/>
                <wp:effectExtent l="0" t="0" r="0" b="0"/>
                <wp:wrapNone/>
                <wp:docPr id="1" name="Rectangle 4"/>
                <wp:cNvGraphicFramePr/>
                <a:graphic xmlns:a="http://schemas.openxmlformats.org/drawingml/2006/main">
                  <a:graphicData uri="http://schemas.microsoft.com/office/word/2010/wordprocessingShape">
                    <wps:wsp>
                      <wps:cNvSpPr/>
                      <wps:spPr>
                        <a:xfrm>
                          <a:off x="0" y="0"/>
                          <a:ext cx="6252845" cy="851965"/>
                        </a:xfrm>
                        <a:prstGeom prst="rect">
                          <a:avLst/>
                        </a:prstGeom>
                      </wps:spPr>
                      <wps:txbx>
                        <w:txbxContent>
                          <w:p w14:paraId="74AA3B5A" w14:textId="77777777" w:rsidR="00E33F7C" w:rsidRPr="007D26EE" w:rsidRDefault="000F0EF1" w:rsidP="00381768">
                            <w:pPr>
                              <w:kinsoku w:val="0"/>
                              <w:overflowPunct w:val="0"/>
                              <w:textAlignment w:val="baseline"/>
                              <w:rPr>
                                <w:sz w:val="24"/>
                                <w:szCs w:val="24"/>
                              </w:rPr>
                            </w:pPr>
                            <m:oMathPara>
                              <m:oMathParaPr>
                                <m:jc m:val="left"/>
                              </m:oMathParaPr>
                              <m:oMath>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PCT</m:t>
                                    </m:r>
                                  </m:e>
                                  <m:sub>
                                    <m:r>
                                      <w:rPr>
                                        <w:rFonts w:ascii="Cambria Math" w:eastAsia="MS PGothic" w:hAnsi="Cambria Math" w:cs="MS PGothic"/>
                                        <w:color w:val="000000" w:themeColor="text1"/>
                                        <w:kern w:val="24"/>
                                        <w:sz w:val="24"/>
                                        <w:szCs w:val="24"/>
                                      </w:rPr>
                                      <m:t>max</m:t>
                                    </m:r>
                                  </m:sub>
                                </m:sSub>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Base Acres </m:t>
                                    </m:r>
                                    <m:sSub>
                                      <m:sSubPr>
                                        <m:ctrlPr>
                                          <w:rPr>
                                            <w:rFonts w:ascii="Cambria Math" w:eastAsia="MS PGothic" w:hAnsi="Cambria Math" w:cs="MS PGothic"/>
                                            <w:i/>
                                            <w:color w:val="000000" w:themeColor="text1"/>
                                            <w:kern w:val="24"/>
                                            <w:sz w:val="24"/>
                                            <w:szCs w:val="24"/>
                                          </w:rPr>
                                        </m:ctrlPr>
                                      </m:sSubPr>
                                      <m:e>
                                        <m:r>
                                          <w:rPr>
                                            <w:rFonts w:ascii="Cambria Math" w:eastAsia="MS PGothic" w:hAnsi="Cambria Math" w:cs="MS PGothic"/>
                                            <w:color w:val="000000" w:themeColor="text1"/>
                                            <w:kern w:val="24"/>
                                            <w:sz w:val="24"/>
                                            <w:szCs w:val="24"/>
                                          </w:rPr>
                                          <m:t>treated</m:t>
                                        </m:r>
                                      </m:e>
                                      <m:sub>
                                        <m:r>
                                          <w:rPr>
                                            <w:rFonts w:ascii="Cambria Math" w:eastAsia="MS PGothic" w:hAnsi="Cambria Math" w:cs="MS PGothic"/>
                                            <w:color w:val="000000" w:themeColor="text1"/>
                                            <w:kern w:val="24"/>
                                            <w:sz w:val="24"/>
                                            <w:szCs w:val="24"/>
                                          </w:rPr>
                                          <m:t>chem class</m:t>
                                        </m:r>
                                      </m:sub>
                                    </m:sSub>
                                  </m:num>
                                  <m:den>
                                    <m:r>
                                      <w:rPr>
                                        <w:rFonts w:ascii="Cambria Math" w:eastAsia="MS PGothic" w:hAnsi="Cambria Math" w:cs="MS PGothic"/>
                                        <w:color w:val="000000" w:themeColor="text1"/>
                                        <w:kern w:val="24"/>
                                        <w:sz w:val="24"/>
                                        <w:szCs w:val="24"/>
                                      </w:rPr>
                                      <m:t>Total Treatable Acres</m:t>
                                    </m:r>
                                  </m:den>
                                </m:f>
                                <m:r>
                                  <m:rPr>
                                    <m:sty m:val="p"/>
                                  </m:rPr>
                                  <w:rPr>
                                    <w:rFonts w:ascii="Cambria Math" w:eastAsia="MS PGothic" w:hAnsi="Cambria Math" w:cs="MS PGothic"/>
                                    <w:color w:val="000000" w:themeColor="text1"/>
                                    <w:kern w:val="24"/>
                                    <w:sz w:val="24"/>
                                    <w:szCs w:val="24"/>
                                  </w:rPr>
                                  <m:t> </m:t>
                                </m:r>
                              </m:oMath>
                            </m:oMathPara>
                          </w:p>
                          <w:p w14:paraId="41B3F3C4" w14:textId="77777777" w:rsidR="00E33F7C" w:rsidRPr="007D26EE" w:rsidRDefault="00E33F7C" w:rsidP="00381768">
                            <w:pPr>
                              <w:kinsoku w:val="0"/>
                              <w:overflowPunct w:val="0"/>
                              <w:textAlignment w:val="baseline"/>
                              <w:rPr>
                                <w:sz w:val="24"/>
                                <w:szCs w:val="24"/>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601131C0" id="Rectangle 4" o:spid="_x0000_s1026" style="position:absolute;margin-left:42.25pt;margin-top:2.45pt;width:492.35pt;height:67.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" filled="f" stroked="f">
                <v:textbox style="mso-fit-shape-to-text:t">
                  <w:txbxContent>
                    <w:p w14:paraId="74AA3B5A" w14:textId="77777777" w:rsidR="00E33F7C" w:rsidRPr="007D26EE" w:rsidRDefault="000F0EF1" w:rsidP="00381768">
                      <w:pPr>
                        <w:kinsoku w:val="0"/>
                        <w:overflowPunct w:val="0"/>
                        <w:textAlignment w:val="baseline"/>
                        <w:rPr>
                          <w:sz w:val="24"/>
                          <w:szCs w:val="24"/>
                        </w:rPr>
                      </w:pPr>
                      <m:oMathPara>
                        <m:oMathParaPr>
                          <m:jc m:val="left"/>
                        </m:oMathParaPr>
                        <m:oMath>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PCT</m:t>
                              </m:r>
                            </m:e>
                            <m:sub>
                              <m:r>
                                <w:rPr>
                                  <w:rFonts w:ascii="Cambria Math" w:eastAsia="MS PGothic" w:hAnsi="Cambria Math" w:cs="MS PGothic"/>
                                  <w:color w:val="000000" w:themeColor="text1"/>
                                  <w:kern w:val="24"/>
                                  <w:sz w:val="24"/>
                                  <w:szCs w:val="24"/>
                                </w:rPr>
                                <m:t>max</m:t>
                              </m:r>
                            </m:sub>
                          </m:sSub>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Base Acres </m:t>
                              </m:r>
                              <m:sSub>
                                <m:sSubPr>
                                  <m:ctrlPr>
                                    <w:rPr>
                                      <w:rFonts w:ascii="Cambria Math" w:eastAsia="MS PGothic" w:hAnsi="Cambria Math" w:cs="MS PGothic"/>
                                      <w:i/>
                                      <w:color w:val="000000" w:themeColor="text1"/>
                                      <w:kern w:val="24"/>
                                      <w:sz w:val="24"/>
                                      <w:szCs w:val="24"/>
                                    </w:rPr>
                                  </m:ctrlPr>
                                </m:sSubPr>
                                <m:e>
                                  <m:r>
                                    <w:rPr>
                                      <w:rFonts w:ascii="Cambria Math" w:eastAsia="MS PGothic" w:hAnsi="Cambria Math" w:cs="MS PGothic"/>
                                      <w:color w:val="000000" w:themeColor="text1"/>
                                      <w:kern w:val="24"/>
                                      <w:sz w:val="24"/>
                                      <w:szCs w:val="24"/>
                                    </w:rPr>
                                    <m:t>treated</m:t>
                                  </m:r>
                                </m:e>
                                <m:sub>
                                  <m:r>
                                    <w:rPr>
                                      <w:rFonts w:ascii="Cambria Math" w:eastAsia="MS PGothic" w:hAnsi="Cambria Math" w:cs="MS PGothic"/>
                                      <w:color w:val="000000" w:themeColor="text1"/>
                                      <w:kern w:val="24"/>
                                      <w:sz w:val="24"/>
                                      <w:szCs w:val="24"/>
                                    </w:rPr>
                                    <m:t>chem class</m:t>
                                  </m:r>
                                </m:sub>
                              </m:sSub>
                            </m:num>
                            <m:den>
                              <m:r>
                                <w:rPr>
                                  <w:rFonts w:ascii="Cambria Math" w:eastAsia="MS PGothic" w:hAnsi="Cambria Math" w:cs="MS PGothic"/>
                                  <w:color w:val="000000" w:themeColor="text1"/>
                                  <w:kern w:val="24"/>
                                  <w:sz w:val="24"/>
                                  <w:szCs w:val="24"/>
                                </w:rPr>
                                <m:t>Total Treatable Acres</m:t>
                              </m:r>
                            </m:den>
                          </m:f>
                          <m:r>
                            <m:rPr>
                              <m:sty m:val="p"/>
                            </m:rPr>
                            <w:rPr>
                              <w:rFonts w:ascii="Cambria Math" w:eastAsia="MS PGothic" w:hAnsi="Cambria Math" w:cs="MS PGothic"/>
                              <w:color w:val="000000" w:themeColor="text1"/>
                              <w:kern w:val="24"/>
                              <w:sz w:val="24"/>
                              <w:szCs w:val="24"/>
                            </w:rPr>
                            <m:t> </m:t>
                          </m:r>
                        </m:oMath>
                      </m:oMathPara>
                    </w:p>
                    <w:p w14:paraId="41B3F3C4" w14:textId="77777777" w:rsidR="00E33F7C" w:rsidRPr="007D26EE" w:rsidRDefault="00E33F7C" w:rsidP="00381768">
                      <w:pPr>
                        <w:kinsoku w:val="0"/>
                        <w:overflowPunct w:val="0"/>
                        <w:textAlignment w:val="baseline"/>
                        <w:rPr>
                          <w:sz w:val="24"/>
                          <w:szCs w:val="24"/>
                        </w:rPr>
                      </w:pPr>
                    </w:p>
                  </w:txbxContent>
                </v:textbox>
              </v:rect>
            </w:pict>
          </mc:Fallback>
        </mc:AlternateContent>
      </w:r>
    </w:p>
    <w:p w14:paraId="06572BD2" w14:textId="77777777" w:rsidR="00381768" w:rsidRDefault="00381768" w:rsidP="00381768">
      <w:pPr>
        <w:keepNext/>
      </w:pPr>
    </w:p>
    <w:p w14:paraId="5938BE67" w14:textId="77777777" w:rsidR="00381768" w:rsidRDefault="00381768" w:rsidP="00381768">
      <w:pPr>
        <w:keepNext/>
      </w:pPr>
      <w:bookmarkStart w:id="8" w:name="_Hlk77599826"/>
      <w:r>
        <w:t xml:space="preserve">Where: </w:t>
      </w:r>
    </w:p>
    <w:tbl>
      <w:tblPr>
        <w:tblW w:w="9350" w:type="dxa"/>
        <w:shd w:val="clear" w:color="auto" w:fill="FFFFFF" w:themeFill="background1"/>
        <w:tblCellMar>
          <w:left w:w="0" w:type="dxa"/>
          <w:right w:w="0" w:type="dxa"/>
        </w:tblCellMar>
        <w:tblLook w:val="0600" w:firstRow="0" w:lastRow="0" w:firstColumn="0" w:lastColumn="0" w:noHBand="1" w:noVBand="1"/>
      </w:tblPr>
      <w:tblGrid>
        <w:gridCol w:w="2960"/>
        <w:gridCol w:w="5760"/>
        <w:gridCol w:w="630"/>
      </w:tblGrid>
      <w:tr w:rsidR="00381768" w:rsidRPr="00394241" w14:paraId="220E9FF9" w14:textId="77777777" w:rsidTr="00E33F7C">
        <w:trPr>
          <w:trHeight w:val="185"/>
        </w:trPr>
        <w:tc>
          <w:tcPr>
            <w:tcW w:w="296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70ED4836" w14:textId="77777777" w:rsidR="00381768" w:rsidRPr="00394241" w:rsidRDefault="00381768" w:rsidP="00E33F7C">
            <w:pPr>
              <w:pStyle w:val="NoSpacing"/>
              <w:keepNext/>
              <w:jc w:val="right"/>
            </w:pPr>
            <w:r>
              <w:t xml:space="preserve">Acres treated </w:t>
            </w:r>
            <w:r>
              <w:rPr>
                <w:vertAlign w:val="subscript"/>
              </w:rPr>
              <w:t>chem classes</w:t>
            </w:r>
            <w:r w:rsidRPr="00394241">
              <w:t xml:space="preserve"> =</w:t>
            </w:r>
          </w:p>
        </w:tc>
        <w:tc>
          <w:tcPr>
            <w:tcW w:w="6390" w:type="dxa"/>
            <w:gridSpan w:val="2"/>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59F834CE" w14:textId="77777777" w:rsidR="00381768" w:rsidRPr="00394241" w:rsidRDefault="00381768" w:rsidP="00E33F7C">
            <w:pPr>
              <w:pStyle w:val="NoSpacing"/>
              <w:keepNext/>
            </w:pPr>
            <w:r w:rsidRPr="00394241">
              <w:t xml:space="preserve"> </w:t>
            </w:r>
            <w:r>
              <w:t>Acres treated for the chemical class based on survey information.</w:t>
            </w:r>
          </w:p>
        </w:tc>
      </w:tr>
      <w:tr w:rsidR="00381768" w:rsidRPr="00394241" w14:paraId="3A923BE7" w14:textId="77777777" w:rsidTr="00E33F7C">
        <w:trPr>
          <w:gridAfter w:val="1"/>
          <w:wAfter w:w="630" w:type="dxa"/>
          <w:trHeight w:val="43"/>
        </w:trPr>
        <w:tc>
          <w:tcPr>
            <w:tcW w:w="296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261BE4D5" w14:textId="77777777" w:rsidR="00381768" w:rsidRPr="00394241" w:rsidRDefault="00381768" w:rsidP="00E33F7C">
            <w:pPr>
              <w:pStyle w:val="NoSpacing"/>
              <w:keepNext/>
              <w:jc w:val="right"/>
            </w:pPr>
            <w:r>
              <w:t>Total Treatable Acres</w:t>
            </w:r>
            <w:r>
              <w:rPr>
                <w:vertAlign w:val="subscript"/>
              </w:rPr>
              <w:t xml:space="preserve"> </w:t>
            </w:r>
            <w:r w:rsidRPr="00394241">
              <w:t>=</w:t>
            </w:r>
          </w:p>
        </w:tc>
        <w:tc>
          <w:tcPr>
            <w:tcW w:w="576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17267CE6" w14:textId="77777777" w:rsidR="00381768" w:rsidRPr="00394241" w:rsidRDefault="00381768" w:rsidP="00E33F7C">
            <w:pPr>
              <w:pStyle w:val="NoSpacing"/>
              <w:keepNext/>
            </w:pPr>
            <w:r w:rsidRPr="00394241">
              <w:t xml:space="preserve"> </w:t>
            </w:r>
            <w:r>
              <w:t xml:space="preserve">Total treatable area for uses based on survey information </w:t>
            </w:r>
          </w:p>
        </w:tc>
      </w:tr>
      <w:tr w:rsidR="00381768" w:rsidRPr="00394241" w14:paraId="47FEEBF0" w14:textId="77777777" w:rsidTr="00E33F7C">
        <w:trPr>
          <w:trHeight w:val="58"/>
        </w:trPr>
        <w:tc>
          <w:tcPr>
            <w:tcW w:w="296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1710D72D" w14:textId="77777777" w:rsidR="00381768" w:rsidRPr="00394241" w:rsidRDefault="00381768" w:rsidP="00E33F7C">
            <w:pPr>
              <w:pStyle w:val="NoSpacing"/>
              <w:keepNext/>
              <w:jc w:val="right"/>
            </w:pPr>
            <w:r w:rsidRPr="00394241">
              <w:t>PC</w:t>
            </w:r>
            <w:r>
              <w:t>T max</w:t>
            </w:r>
            <w:r w:rsidRPr="00394241">
              <w:t xml:space="preserve"> =</w:t>
            </w:r>
          </w:p>
        </w:tc>
        <w:tc>
          <w:tcPr>
            <w:tcW w:w="6390" w:type="dxa"/>
            <w:gridSpan w:val="2"/>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7C1B8D0B" w14:textId="77777777" w:rsidR="00381768" w:rsidRPr="00394241" w:rsidRDefault="00381768" w:rsidP="00E33F7C">
            <w:pPr>
              <w:pStyle w:val="NoSpacing"/>
              <w:keepNext/>
            </w:pPr>
            <w:r>
              <w:t>Calculated maximum PCT</w:t>
            </w:r>
          </w:p>
        </w:tc>
      </w:tr>
    </w:tbl>
    <w:p w14:paraId="19AE234B" w14:textId="77777777" w:rsidR="00381768" w:rsidRDefault="00381768" w:rsidP="00381768">
      <w:bookmarkStart w:id="9" w:name="_Hlk77600343"/>
      <w:bookmarkEnd w:id="8"/>
    </w:p>
    <w:p w14:paraId="488CA433" w14:textId="77777777" w:rsidR="00381768" w:rsidRPr="005D2A6C" w:rsidRDefault="00381768" w:rsidP="00381768">
      <w:pPr>
        <w:keepNext/>
        <w:rPr>
          <w:b/>
          <w:bCs/>
        </w:rPr>
      </w:pPr>
      <w:r w:rsidRPr="00581938">
        <w:rPr>
          <w:b/>
          <w:bCs/>
        </w:rPr>
        <w:t>Equation 1</w:t>
      </w:r>
      <w:r>
        <w:rPr>
          <w:b/>
          <w:bCs/>
        </w:rPr>
        <w:t>-2</w:t>
      </w:r>
      <w:r w:rsidRPr="005D2A6C">
        <w:rPr>
          <w:b/>
          <w:bCs/>
        </w:rPr>
        <w:t>.</w:t>
      </w:r>
    </w:p>
    <w:p w14:paraId="56841BF5" w14:textId="77777777" w:rsidR="00381768" w:rsidRDefault="00381768" w:rsidP="00381768">
      <w:pPr>
        <w:keepNext/>
      </w:pPr>
      <w:r w:rsidRPr="007D26EE">
        <w:rPr>
          <w:noProof/>
        </w:rPr>
        <mc:AlternateContent>
          <mc:Choice Requires="wps">
            <w:drawing>
              <wp:anchor distT="0" distB="0" distL="114300" distR="114300" simplePos="0" relativeHeight="251685888" behindDoc="0" locked="0" layoutInCell="1" allowOverlap="1" wp14:anchorId="584023B8" wp14:editId="2FA7343E">
                <wp:simplePos x="0" y="0"/>
                <wp:positionH relativeFrom="column">
                  <wp:posOffset>536649</wp:posOffset>
                </wp:positionH>
                <wp:positionV relativeFrom="paragraph">
                  <wp:posOffset>30893</wp:posOffset>
                </wp:positionV>
                <wp:extent cx="6252845" cy="851965"/>
                <wp:effectExtent l="0" t="0" r="0" b="0"/>
                <wp:wrapNone/>
                <wp:docPr id="2" name="Rectangle 4"/>
                <wp:cNvGraphicFramePr/>
                <a:graphic xmlns:a="http://schemas.openxmlformats.org/drawingml/2006/main">
                  <a:graphicData uri="http://schemas.microsoft.com/office/word/2010/wordprocessingShape">
                    <wps:wsp>
                      <wps:cNvSpPr/>
                      <wps:spPr>
                        <a:xfrm>
                          <a:off x="0" y="0"/>
                          <a:ext cx="6252845" cy="851965"/>
                        </a:xfrm>
                        <a:prstGeom prst="rect">
                          <a:avLst/>
                        </a:prstGeom>
                      </wps:spPr>
                      <wps:txbx>
                        <w:txbxContent>
                          <w:p w14:paraId="2F9B7AA6" w14:textId="77777777" w:rsidR="00E33F7C" w:rsidRPr="007D26EE" w:rsidRDefault="000F0EF1" w:rsidP="00381768">
                            <w:pPr>
                              <w:kinsoku w:val="0"/>
                              <w:overflowPunct w:val="0"/>
                              <w:textAlignment w:val="baseline"/>
                              <w:rPr>
                                <w:sz w:val="24"/>
                                <w:szCs w:val="24"/>
                              </w:rPr>
                            </w:pPr>
                            <m:oMathPara>
                              <m:oMathParaPr>
                                <m:jc m:val="left"/>
                              </m:oMathParaPr>
                              <m:oMath>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PCT</m:t>
                                    </m:r>
                                  </m:e>
                                  <m:sub>
                                    <m:func>
                                      <m:funcPr>
                                        <m:ctrlPr>
                                          <w:rPr>
                                            <w:rFonts w:ascii="Cambria Math" w:eastAsia="MS PGothic" w:hAnsi="Cambria Math" w:cs="MS PGothic"/>
                                            <w:i/>
                                            <w:color w:val="000000" w:themeColor="text1"/>
                                            <w:kern w:val="24"/>
                                            <w:sz w:val="24"/>
                                            <w:szCs w:val="24"/>
                                          </w:rPr>
                                        </m:ctrlPr>
                                      </m:funcPr>
                                      <m:fName>
                                        <m:r>
                                          <m:rPr>
                                            <m:sty m:val="p"/>
                                          </m:rPr>
                                          <w:rPr>
                                            <w:rFonts w:ascii="Cambria Math" w:eastAsia="MS PGothic" w:hAnsi="Cambria Math" w:cs="MS PGothic"/>
                                            <w:color w:val="000000" w:themeColor="text1"/>
                                            <w:kern w:val="24"/>
                                            <w:sz w:val="24"/>
                                            <w:szCs w:val="24"/>
                                          </w:rPr>
                                          <m:t>max</m:t>
                                        </m:r>
                                      </m:fName>
                                      <m:e>
                                        <m:r>
                                          <w:rPr>
                                            <w:rFonts w:ascii="Cambria Math" w:eastAsia="MS PGothic" w:hAnsi="Cambria Math" w:cs="MS PGothic"/>
                                            <w:color w:val="000000" w:themeColor="text1"/>
                                            <w:kern w:val="24"/>
                                            <w:sz w:val="24"/>
                                            <w:szCs w:val="24"/>
                                          </w:rPr>
                                          <m:t xml:space="preserve">or </m:t>
                                        </m:r>
                                      </m:e>
                                    </m:func>
                                    <m:r>
                                      <w:rPr>
                                        <w:rFonts w:ascii="Cambria Math" w:eastAsia="MS PGothic" w:hAnsi="Cambria Math" w:cs="MS PGothic"/>
                                        <w:color w:val="000000" w:themeColor="text1"/>
                                        <w:kern w:val="24"/>
                                        <w:sz w:val="24"/>
                                        <w:szCs w:val="24"/>
                                      </w:rPr>
                                      <m:t>avg</m:t>
                                    </m:r>
                                  </m:sub>
                                </m:sSub>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Acres </m:t>
                                    </m:r>
                                    <m:sSub>
                                      <m:sSubPr>
                                        <m:ctrlPr>
                                          <w:rPr>
                                            <w:rFonts w:ascii="Cambria Math" w:eastAsia="MS PGothic" w:hAnsi="Cambria Math" w:cs="MS PGothic"/>
                                            <w:i/>
                                            <w:color w:val="000000" w:themeColor="text1"/>
                                            <w:kern w:val="24"/>
                                            <w:sz w:val="24"/>
                                            <w:szCs w:val="24"/>
                                          </w:rPr>
                                        </m:ctrlPr>
                                      </m:sSubPr>
                                      <m:e>
                                        <m:r>
                                          <w:rPr>
                                            <w:rFonts w:ascii="Cambria Math" w:eastAsia="MS PGothic" w:hAnsi="Cambria Math" w:cs="MS PGothic"/>
                                            <w:color w:val="000000" w:themeColor="text1"/>
                                            <w:kern w:val="24"/>
                                            <w:sz w:val="24"/>
                                            <w:szCs w:val="24"/>
                                          </w:rPr>
                                          <m:t>treated</m:t>
                                        </m:r>
                                      </m:e>
                                      <m:sub>
                                        <m:r>
                                          <w:rPr>
                                            <w:rFonts w:ascii="Cambria Math" w:eastAsia="MS PGothic" w:hAnsi="Cambria Math" w:cs="MS PGothic"/>
                                            <w:color w:val="000000" w:themeColor="text1"/>
                                            <w:kern w:val="24"/>
                                            <w:sz w:val="24"/>
                                            <w:szCs w:val="24"/>
                                          </w:rPr>
                                          <m:t xml:space="preserve">chem </m:t>
                                        </m:r>
                                      </m:sub>
                                    </m:sSub>
                                  </m:num>
                                  <m:den>
                                    <m:r>
                                      <w:rPr>
                                        <w:rFonts w:ascii="Cambria Math" w:eastAsia="MS PGothic" w:hAnsi="Cambria Math" w:cs="MS PGothic"/>
                                        <w:color w:val="000000" w:themeColor="text1"/>
                                        <w:kern w:val="24"/>
                                        <w:sz w:val="24"/>
                                        <w:szCs w:val="24"/>
                                      </w:rPr>
                                      <m:t>Total Treatable Acres</m:t>
                                    </m:r>
                                  </m:den>
                                </m:f>
                                <m:r>
                                  <m:rPr>
                                    <m:sty m:val="p"/>
                                  </m:rPr>
                                  <w:rPr>
                                    <w:rFonts w:ascii="Cambria Math" w:eastAsia="MS PGothic" w:hAnsi="Cambria Math" w:cs="MS PGothic"/>
                                    <w:color w:val="000000" w:themeColor="text1"/>
                                    <w:kern w:val="24"/>
                                    <w:sz w:val="24"/>
                                    <w:szCs w:val="24"/>
                                  </w:rPr>
                                  <m:t> </m:t>
                                </m:r>
                              </m:oMath>
                            </m:oMathPara>
                          </w:p>
                          <w:p w14:paraId="7ABD00FA" w14:textId="77777777" w:rsidR="00E33F7C" w:rsidRPr="007D26EE" w:rsidRDefault="00E33F7C" w:rsidP="00381768">
                            <w:pPr>
                              <w:kinsoku w:val="0"/>
                              <w:overflowPunct w:val="0"/>
                              <w:textAlignment w:val="baseline"/>
                              <w:rPr>
                                <w:sz w:val="24"/>
                                <w:szCs w:val="24"/>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584023B8" id="_x0000_s1027" style="position:absolute;margin-left:42.25pt;margin-top:2.45pt;width:492.35pt;height:67.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" filled="f" stroked="f">
                <v:textbox style="mso-fit-shape-to-text:t">
                  <w:txbxContent>
                    <w:p w14:paraId="2F9B7AA6" w14:textId="77777777" w:rsidR="00E33F7C" w:rsidRPr="007D26EE" w:rsidRDefault="000F0EF1" w:rsidP="00381768">
                      <w:pPr>
                        <w:kinsoku w:val="0"/>
                        <w:overflowPunct w:val="0"/>
                        <w:textAlignment w:val="baseline"/>
                        <w:rPr>
                          <w:sz w:val="24"/>
                          <w:szCs w:val="24"/>
                        </w:rPr>
                      </w:pPr>
                      <m:oMathPara>
                        <m:oMathParaPr>
                          <m:jc m:val="left"/>
                        </m:oMathParaPr>
                        <m:oMath>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PCT</m:t>
                              </m:r>
                            </m:e>
                            <m:sub>
                              <m:func>
                                <m:funcPr>
                                  <m:ctrlPr>
                                    <w:rPr>
                                      <w:rFonts w:ascii="Cambria Math" w:eastAsia="MS PGothic" w:hAnsi="Cambria Math" w:cs="MS PGothic"/>
                                      <w:i/>
                                      <w:color w:val="000000" w:themeColor="text1"/>
                                      <w:kern w:val="24"/>
                                      <w:sz w:val="24"/>
                                      <w:szCs w:val="24"/>
                                    </w:rPr>
                                  </m:ctrlPr>
                                </m:funcPr>
                                <m:fName>
                                  <m:r>
                                    <m:rPr>
                                      <m:sty m:val="p"/>
                                    </m:rPr>
                                    <w:rPr>
                                      <w:rFonts w:ascii="Cambria Math" w:eastAsia="MS PGothic" w:hAnsi="Cambria Math" w:cs="MS PGothic"/>
                                      <w:color w:val="000000" w:themeColor="text1"/>
                                      <w:kern w:val="24"/>
                                      <w:sz w:val="24"/>
                                      <w:szCs w:val="24"/>
                                    </w:rPr>
                                    <m:t>max</m:t>
                                  </m:r>
                                </m:fName>
                                <m:e>
                                  <m:r>
                                    <w:rPr>
                                      <w:rFonts w:ascii="Cambria Math" w:eastAsia="MS PGothic" w:hAnsi="Cambria Math" w:cs="MS PGothic"/>
                                      <w:color w:val="000000" w:themeColor="text1"/>
                                      <w:kern w:val="24"/>
                                      <w:sz w:val="24"/>
                                      <w:szCs w:val="24"/>
                                    </w:rPr>
                                    <m:t xml:space="preserve">or </m:t>
                                  </m:r>
                                </m:e>
                              </m:func>
                              <m:r>
                                <w:rPr>
                                  <w:rFonts w:ascii="Cambria Math" w:eastAsia="MS PGothic" w:hAnsi="Cambria Math" w:cs="MS PGothic"/>
                                  <w:color w:val="000000" w:themeColor="text1"/>
                                  <w:kern w:val="24"/>
                                  <w:sz w:val="24"/>
                                  <w:szCs w:val="24"/>
                                </w:rPr>
                                <m:t>avg</m:t>
                              </m:r>
                            </m:sub>
                          </m:sSub>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Acres </m:t>
                              </m:r>
                              <m:sSub>
                                <m:sSubPr>
                                  <m:ctrlPr>
                                    <w:rPr>
                                      <w:rFonts w:ascii="Cambria Math" w:eastAsia="MS PGothic" w:hAnsi="Cambria Math" w:cs="MS PGothic"/>
                                      <w:i/>
                                      <w:color w:val="000000" w:themeColor="text1"/>
                                      <w:kern w:val="24"/>
                                      <w:sz w:val="24"/>
                                      <w:szCs w:val="24"/>
                                    </w:rPr>
                                  </m:ctrlPr>
                                </m:sSubPr>
                                <m:e>
                                  <m:r>
                                    <w:rPr>
                                      <w:rFonts w:ascii="Cambria Math" w:eastAsia="MS PGothic" w:hAnsi="Cambria Math" w:cs="MS PGothic"/>
                                      <w:color w:val="000000" w:themeColor="text1"/>
                                      <w:kern w:val="24"/>
                                      <w:sz w:val="24"/>
                                      <w:szCs w:val="24"/>
                                    </w:rPr>
                                    <m:t>treated</m:t>
                                  </m:r>
                                </m:e>
                                <m:sub>
                                  <m:r>
                                    <w:rPr>
                                      <w:rFonts w:ascii="Cambria Math" w:eastAsia="MS PGothic" w:hAnsi="Cambria Math" w:cs="MS PGothic"/>
                                      <w:color w:val="000000" w:themeColor="text1"/>
                                      <w:kern w:val="24"/>
                                      <w:sz w:val="24"/>
                                      <w:szCs w:val="24"/>
                                    </w:rPr>
                                    <m:t xml:space="preserve">chem </m:t>
                                  </m:r>
                                </m:sub>
                              </m:sSub>
                            </m:num>
                            <m:den>
                              <m:r>
                                <w:rPr>
                                  <w:rFonts w:ascii="Cambria Math" w:eastAsia="MS PGothic" w:hAnsi="Cambria Math" w:cs="MS PGothic"/>
                                  <w:color w:val="000000" w:themeColor="text1"/>
                                  <w:kern w:val="24"/>
                                  <w:sz w:val="24"/>
                                  <w:szCs w:val="24"/>
                                </w:rPr>
                                <m:t>Total Treatable Acres</m:t>
                              </m:r>
                            </m:den>
                          </m:f>
                          <m:r>
                            <m:rPr>
                              <m:sty m:val="p"/>
                            </m:rPr>
                            <w:rPr>
                              <w:rFonts w:ascii="Cambria Math" w:eastAsia="MS PGothic" w:hAnsi="Cambria Math" w:cs="MS PGothic"/>
                              <w:color w:val="000000" w:themeColor="text1"/>
                              <w:kern w:val="24"/>
                              <w:sz w:val="24"/>
                              <w:szCs w:val="24"/>
                            </w:rPr>
                            <m:t> </m:t>
                          </m:r>
                        </m:oMath>
                      </m:oMathPara>
                    </w:p>
                    <w:p w14:paraId="7ABD00FA" w14:textId="77777777" w:rsidR="00E33F7C" w:rsidRPr="007D26EE" w:rsidRDefault="00E33F7C" w:rsidP="00381768">
                      <w:pPr>
                        <w:kinsoku w:val="0"/>
                        <w:overflowPunct w:val="0"/>
                        <w:textAlignment w:val="baseline"/>
                        <w:rPr>
                          <w:sz w:val="24"/>
                          <w:szCs w:val="24"/>
                        </w:rPr>
                      </w:pPr>
                    </w:p>
                  </w:txbxContent>
                </v:textbox>
              </v:rect>
            </w:pict>
          </mc:Fallback>
        </mc:AlternateContent>
      </w:r>
    </w:p>
    <w:p w14:paraId="25316145" w14:textId="77777777" w:rsidR="00381768" w:rsidRDefault="00381768" w:rsidP="00381768">
      <w:pPr>
        <w:keepNext/>
      </w:pPr>
    </w:p>
    <w:p w14:paraId="726D50AE" w14:textId="77777777" w:rsidR="00381768" w:rsidRDefault="00381768" w:rsidP="00381768">
      <w:pPr>
        <w:keepNext/>
      </w:pPr>
      <w:r>
        <w:t xml:space="preserve">Where: </w:t>
      </w:r>
    </w:p>
    <w:tbl>
      <w:tblPr>
        <w:tblW w:w="9350" w:type="dxa"/>
        <w:shd w:val="clear" w:color="auto" w:fill="FFFFFF" w:themeFill="background1"/>
        <w:tblCellMar>
          <w:left w:w="0" w:type="dxa"/>
          <w:right w:w="0" w:type="dxa"/>
        </w:tblCellMar>
        <w:tblLook w:val="0600" w:firstRow="0" w:lastRow="0" w:firstColumn="0" w:lastColumn="0" w:noHBand="1" w:noVBand="1"/>
      </w:tblPr>
      <w:tblGrid>
        <w:gridCol w:w="2960"/>
        <w:gridCol w:w="5760"/>
        <w:gridCol w:w="630"/>
      </w:tblGrid>
      <w:tr w:rsidR="00381768" w:rsidRPr="00394241" w14:paraId="0023720F" w14:textId="77777777" w:rsidTr="00E33F7C">
        <w:trPr>
          <w:trHeight w:val="185"/>
        </w:trPr>
        <w:tc>
          <w:tcPr>
            <w:tcW w:w="296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66BD2163" w14:textId="77777777" w:rsidR="00381768" w:rsidRPr="00394241" w:rsidRDefault="00381768" w:rsidP="00E33F7C">
            <w:pPr>
              <w:pStyle w:val="NoSpacing"/>
              <w:keepNext/>
              <w:jc w:val="right"/>
            </w:pPr>
            <w:r>
              <w:t xml:space="preserve">Acres treated </w:t>
            </w:r>
            <w:r>
              <w:rPr>
                <w:vertAlign w:val="subscript"/>
              </w:rPr>
              <w:t>chem classes</w:t>
            </w:r>
            <w:r w:rsidRPr="00394241">
              <w:t xml:space="preserve"> =</w:t>
            </w:r>
          </w:p>
        </w:tc>
        <w:tc>
          <w:tcPr>
            <w:tcW w:w="6390" w:type="dxa"/>
            <w:gridSpan w:val="2"/>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00B6CEAD" w14:textId="77777777" w:rsidR="00381768" w:rsidRPr="00394241" w:rsidRDefault="00381768" w:rsidP="00E33F7C">
            <w:pPr>
              <w:pStyle w:val="NoSpacing"/>
              <w:keepNext/>
            </w:pPr>
            <w:r w:rsidRPr="00394241">
              <w:t xml:space="preserve"> </w:t>
            </w:r>
            <w:r>
              <w:t>Acres treated for the chemical class based on survey information.</w:t>
            </w:r>
          </w:p>
        </w:tc>
      </w:tr>
      <w:tr w:rsidR="00381768" w:rsidRPr="00394241" w14:paraId="3B73AFC5" w14:textId="77777777" w:rsidTr="00E33F7C">
        <w:trPr>
          <w:gridAfter w:val="1"/>
          <w:wAfter w:w="630" w:type="dxa"/>
          <w:trHeight w:val="43"/>
        </w:trPr>
        <w:tc>
          <w:tcPr>
            <w:tcW w:w="296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6ADB4732" w14:textId="77777777" w:rsidR="00381768" w:rsidRPr="00394241" w:rsidRDefault="00381768" w:rsidP="00E33F7C">
            <w:pPr>
              <w:pStyle w:val="NoSpacing"/>
              <w:keepNext/>
              <w:jc w:val="right"/>
            </w:pPr>
            <w:r>
              <w:t>Total Treatable Acres</w:t>
            </w:r>
            <w:r>
              <w:rPr>
                <w:vertAlign w:val="subscript"/>
              </w:rPr>
              <w:t xml:space="preserve"> </w:t>
            </w:r>
            <w:r w:rsidRPr="00394241">
              <w:t>=</w:t>
            </w:r>
          </w:p>
        </w:tc>
        <w:tc>
          <w:tcPr>
            <w:tcW w:w="576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794732C5" w14:textId="77777777" w:rsidR="00381768" w:rsidRPr="00394241" w:rsidRDefault="00381768" w:rsidP="00E33F7C">
            <w:pPr>
              <w:pStyle w:val="NoSpacing"/>
              <w:keepNext/>
            </w:pPr>
            <w:r w:rsidRPr="00394241">
              <w:t xml:space="preserve"> </w:t>
            </w:r>
            <w:r>
              <w:t xml:space="preserve">Total treatable area for uses based on survey information </w:t>
            </w:r>
          </w:p>
        </w:tc>
      </w:tr>
      <w:tr w:rsidR="00381768" w:rsidRPr="00394241" w14:paraId="6A66FC56" w14:textId="77777777" w:rsidTr="00E33F7C">
        <w:trPr>
          <w:trHeight w:val="58"/>
        </w:trPr>
        <w:tc>
          <w:tcPr>
            <w:tcW w:w="296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602AEA50" w14:textId="77777777" w:rsidR="00381768" w:rsidRPr="00394241" w:rsidRDefault="00381768" w:rsidP="00E33F7C">
            <w:pPr>
              <w:pStyle w:val="NoSpacing"/>
              <w:keepNext/>
              <w:jc w:val="right"/>
            </w:pPr>
            <w:r w:rsidRPr="00394241">
              <w:t>PC</w:t>
            </w:r>
            <w:r>
              <w:t>T max or avg</w:t>
            </w:r>
            <w:r w:rsidRPr="00394241">
              <w:t xml:space="preserve"> =</w:t>
            </w:r>
          </w:p>
        </w:tc>
        <w:tc>
          <w:tcPr>
            <w:tcW w:w="6390" w:type="dxa"/>
            <w:gridSpan w:val="2"/>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696BDF6B" w14:textId="77777777" w:rsidR="00381768" w:rsidRPr="00394241" w:rsidRDefault="00381768" w:rsidP="00E33F7C">
            <w:pPr>
              <w:pStyle w:val="NoSpacing"/>
              <w:keepNext/>
            </w:pPr>
            <w:r>
              <w:t>Calculated maximum or average PCT</w:t>
            </w:r>
          </w:p>
        </w:tc>
      </w:tr>
      <w:bookmarkEnd w:id="9"/>
    </w:tbl>
    <w:p w14:paraId="0BEB61BC" w14:textId="77777777" w:rsidR="00381768" w:rsidRDefault="00381768" w:rsidP="00381768"/>
    <w:p w14:paraId="66BCDFE5" w14:textId="7FB54048" w:rsidR="00B16D28" w:rsidRDefault="00B16D28" w:rsidP="722E0A29">
      <w:bookmarkStart w:id="10" w:name="_Hlk49179453"/>
      <w:r w:rsidRPr="218A8BFF">
        <w:t xml:space="preserve">When </w:t>
      </w:r>
      <w:r w:rsidR="00381768" w:rsidRPr="218A8BFF">
        <w:t xml:space="preserve">base and/or </w:t>
      </w:r>
      <w:r w:rsidR="00A97456" w:rsidRPr="218A8BFF">
        <w:t xml:space="preserve">chemical </w:t>
      </w:r>
      <w:r w:rsidRPr="218A8BFF">
        <w:t xml:space="preserve">treated acres is unavailable in the survey information related, estimates of treated area are calculated based on the avg. annual pounds active ingredient (a.i.) applied, </w:t>
      </w:r>
      <w:bookmarkStart w:id="11" w:name="_Hlk56704970"/>
      <w:r w:rsidRPr="218A8BFF">
        <w:t>minimum max label rate</w:t>
      </w:r>
      <w:bookmarkEnd w:id="11"/>
      <w:r w:rsidRPr="218A8BFF">
        <w:t>, and maximum label rate found in the SUUM (</w:t>
      </w:r>
      <w:r w:rsidRPr="218A8BFF">
        <w:rPr>
          <w:b/>
          <w:bCs/>
        </w:rPr>
        <w:t>Equation 2-1, 2-2, 2-3</w:t>
      </w:r>
      <w:r w:rsidRPr="218A8BFF">
        <w:t>)</w:t>
      </w:r>
      <w:r>
        <w:t xml:space="preserve">. In this situation, the maximum estimated treated acres are equal to the average reported annual pounds a.i. applied divided by the minimum max labeled application rate. The average number of treated acres is estimated by taking the number of average reported pounds applied and dividing by ½ of the maximum labeled application plus the minimum max labeled application rate. The minimum is generated by dividing the average reported pounds applied divided by the maximum labeled application rate. For </w:t>
      </w:r>
      <w:r w:rsidR="6CC463CA">
        <w:t>i</w:t>
      </w:r>
      <w:r w:rsidR="18F7977B">
        <w:t>midacloprid</w:t>
      </w:r>
      <w:r>
        <w:t xml:space="preserve"> this method for estimating treated is only need for the average and minimum PCTs. </w:t>
      </w:r>
      <w:bookmarkStart w:id="12" w:name="_Hlk76246539"/>
      <w:bookmarkEnd w:id="10"/>
      <w:r w:rsidR="00381768">
        <w:t>If usage data is unavailable a PCT of 100% is used.</w:t>
      </w:r>
      <w:bookmarkEnd w:id="12"/>
    </w:p>
    <w:p w14:paraId="76E6543E" w14:textId="77777777" w:rsidR="00B16D28" w:rsidRDefault="00B16D28" w:rsidP="00B16D28">
      <w:pPr>
        <w:keepNext/>
      </w:pPr>
      <w:r w:rsidRPr="007D26EE">
        <w:rPr>
          <w:noProof/>
        </w:rPr>
        <w:lastRenderedPageBreak/>
        <mc:AlternateContent>
          <mc:Choice Requires="wps">
            <w:drawing>
              <wp:anchor distT="0" distB="0" distL="114300" distR="114300" simplePos="0" relativeHeight="251660288" behindDoc="0" locked="0" layoutInCell="1" allowOverlap="1" wp14:anchorId="51D736E4" wp14:editId="4861AEF5">
                <wp:simplePos x="0" y="0"/>
                <wp:positionH relativeFrom="column">
                  <wp:posOffset>776177</wp:posOffset>
                </wp:positionH>
                <wp:positionV relativeFrom="paragraph">
                  <wp:posOffset>0</wp:posOffset>
                </wp:positionV>
                <wp:extent cx="6252845" cy="851535"/>
                <wp:effectExtent l="0" t="0" r="0" b="0"/>
                <wp:wrapNone/>
                <wp:docPr id="37" name="Rectangle 4"/>
                <wp:cNvGraphicFramePr/>
                <a:graphic xmlns:a="http://schemas.openxmlformats.org/drawingml/2006/main">
                  <a:graphicData uri="http://schemas.microsoft.com/office/word/2010/wordprocessingShape">
                    <wps:wsp>
                      <wps:cNvSpPr/>
                      <wps:spPr>
                        <a:xfrm>
                          <a:off x="0" y="0"/>
                          <a:ext cx="6252845" cy="851535"/>
                        </a:xfrm>
                        <a:prstGeom prst="rect">
                          <a:avLst/>
                        </a:prstGeom>
                      </wps:spPr>
                      <wps:txbx>
                        <w:txbxContent>
                          <w:p w14:paraId="0633E56C" w14:textId="77777777" w:rsidR="00E33F7C" w:rsidRPr="007D26EE" w:rsidRDefault="000F0EF1" w:rsidP="00B16D28">
                            <w:pPr>
                              <w:kinsoku w:val="0"/>
                              <w:overflowPunct w:val="0"/>
                              <w:textAlignment w:val="baseline"/>
                              <w:rPr>
                                <w:sz w:val="24"/>
                                <w:szCs w:val="24"/>
                              </w:rPr>
                            </w:pPr>
                            <m:oMathPara>
                              <m:oMathParaPr>
                                <m:jc m:val="left"/>
                              </m:oMathParaPr>
                              <m:oMath>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Treated Acres</m:t>
                                    </m:r>
                                  </m:e>
                                  <m:sub>
                                    <m:r>
                                      <w:rPr>
                                        <w:rFonts w:ascii="Cambria Math" w:eastAsia="MS PGothic" w:hAnsi="Cambria Math" w:cs="MS PGothic"/>
                                        <w:color w:val="000000" w:themeColor="text1"/>
                                        <w:kern w:val="24"/>
                                        <w:sz w:val="24"/>
                                        <w:szCs w:val="24"/>
                                      </w:rPr>
                                      <m:t>max</m:t>
                                    </m:r>
                                  </m:sub>
                                </m:sSub>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 xml:space="preserve">Annual pounds AI </m:t>
                                    </m:r>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applied</m:t>
                                        </m:r>
                                      </m:e>
                                      <m:sub>
                                        <m:r>
                                          <w:rPr>
                                            <w:rFonts w:ascii="Cambria Math" w:eastAsia="MS PGothic" w:hAnsi="Cambria Math" w:cs="MS PGothic"/>
                                            <w:color w:val="000000" w:themeColor="text1"/>
                                            <w:kern w:val="24"/>
                                            <w:sz w:val="24"/>
                                            <w:szCs w:val="24"/>
                                          </w:rPr>
                                          <m:t>avg</m:t>
                                        </m:r>
                                      </m:sub>
                                    </m:sSub>
                                  </m:num>
                                  <m:den>
                                    <m:r>
                                      <w:rPr>
                                        <w:rFonts w:ascii="Cambria Math" w:eastAsia="MS PGothic" w:hAnsi="Cambria Math" w:cs="MS PGothic"/>
                                        <w:color w:val="000000" w:themeColor="text1"/>
                                        <w:kern w:val="24"/>
                                        <w:sz w:val="24"/>
                                        <w:szCs w:val="24"/>
                                      </w:rPr>
                                      <m:t xml:space="preserve">Label </m:t>
                                    </m:r>
                                    <m:sSub>
                                      <m:sSubPr>
                                        <m:ctrlPr>
                                          <w:rPr>
                                            <w:rFonts w:ascii="Cambria Math" w:eastAsia="MS PGothic" w:hAnsi="Cambria Math" w:cs="MS PGothic"/>
                                            <w:i/>
                                            <w:color w:val="000000" w:themeColor="text1"/>
                                            <w:kern w:val="24"/>
                                            <w:sz w:val="24"/>
                                            <w:szCs w:val="24"/>
                                          </w:rPr>
                                        </m:ctrlPr>
                                      </m:sSubPr>
                                      <m:e>
                                        <m:r>
                                          <w:rPr>
                                            <w:rFonts w:ascii="Cambria Math" w:eastAsia="MS PGothic" w:hAnsi="Cambria Math" w:cs="MS PGothic"/>
                                            <w:color w:val="000000" w:themeColor="text1"/>
                                            <w:kern w:val="24"/>
                                            <w:sz w:val="24"/>
                                            <w:szCs w:val="24"/>
                                          </w:rPr>
                                          <m:t>Rate</m:t>
                                        </m:r>
                                      </m:e>
                                      <m:sub>
                                        <m:r>
                                          <w:rPr>
                                            <w:rFonts w:ascii="Cambria Math" w:eastAsia="MS PGothic" w:hAnsi="Cambria Math" w:cs="MS PGothic"/>
                                            <w:color w:val="000000" w:themeColor="text1"/>
                                            <w:kern w:val="24"/>
                                            <w:sz w:val="24"/>
                                            <w:szCs w:val="24"/>
                                          </w:rPr>
                                          <m:t>min</m:t>
                                        </m:r>
                                      </m:sub>
                                    </m:sSub>
                                  </m:den>
                                </m:f>
                                <m:r>
                                  <m:rPr>
                                    <m:sty m:val="p"/>
                                  </m:rPr>
                                  <w:rPr>
                                    <w:rFonts w:ascii="Cambria Math" w:eastAsia="MS PGothic" w:hAnsi="Cambria Math" w:cs="MS PGothic"/>
                                    <w:color w:val="000000" w:themeColor="text1"/>
                                    <w:kern w:val="24"/>
                                    <w:sz w:val="24"/>
                                    <w:szCs w:val="24"/>
                                  </w:rPr>
                                  <m:t> </m:t>
                                </m:r>
                              </m:oMath>
                            </m:oMathPara>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51D736E4" id="_x0000_s1028" style="position:absolute;margin-left:61.1pt;margin-top:0;width:492.35pt;height:6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" filled="f" stroked="f">
                <v:textbox style="mso-fit-shape-to-text:t">
                  <w:txbxContent>
                    <w:p w14:paraId="0633E56C" w14:textId="77777777" w:rsidR="00E33F7C" w:rsidRPr="007D26EE" w:rsidRDefault="000F0EF1" w:rsidP="00B16D28">
                      <w:pPr>
                        <w:kinsoku w:val="0"/>
                        <w:overflowPunct w:val="0"/>
                        <w:textAlignment w:val="baseline"/>
                        <w:rPr>
                          <w:sz w:val="24"/>
                          <w:szCs w:val="24"/>
                        </w:rPr>
                      </w:pPr>
                      <m:oMathPara>
                        <m:oMathParaPr>
                          <m:jc m:val="left"/>
                        </m:oMathParaPr>
                        <m:oMath>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Treated Acres</m:t>
                              </m:r>
                            </m:e>
                            <m:sub>
                              <m:r>
                                <w:rPr>
                                  <w:rFonts w:ascii="Cambria Math" w:eastAsia="MS PGothic" w:hAnsi="Cambria Math" w:cs="MS PGothic"/>
                                  <w:color w:val="000000" w:themeColor="text1"/>
                                  <w:kern w:val="24"/>
                                  <w:sz w:val="24"/>
                                  <w:szCs w:val="24"/>
                                </w:rPr>
                                <m:t>max</m:t>
                              </m:r>
                            </m:sub>
                          </m:sSub>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 xml:space="preserve">Annual pounds AI </m:t>
                              </m:r>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applied</m:t>
                                  </m:r>
                                </m:e>
                                <m:sub>
                                  <m:r>
                                    <w:rPr>
                                      <w:rFonts w:ascii="Cambria Math" w:eastAsia="MS PGothic" w:hAnsi="Cambria Math" w:cs="MS PGothic"/>
                                      <w:color w:val="000000" w:themeColor="text1"/>
                                      <w:kern w:val="24"/>
                                      <w:sz w:val="24"/>
                                      <w:szCs w:val="24"/>
                                    </w:rPr>
                                    <m:t>avg</m:t>
                                  </m:r>
                                </m:sub>
                              </m:sSub>
                            </m:num>
                            <m:den>
                              <m:r>
                                <w:rPr>
                                  <w:rFonts w:ascii="Cambria Math" w:eastAsia="MS PGothic" w:hAnsi="Cambria Math" w:cs="MS PGothic"/>
                                  <w:color w:val="000000" w:themeColor="text1"/>
                                  <w:kern w:val="24"/>
                                  <w:sz w:val="24"/>
                                  <w:szCs w:val="24"/>
                                </w:rPr>
                                <m:t xml:space="preserve">Label </m:t>
                              </m:r>
                              <m:sSub>
                                <m:sSubPr>
                                  <m:ctrlPr>
                                    <w:rPr>
                                      <w:rFonts w:ascii="Cambria Math" w:eastAsia="MS PGothic" w:hAnsi="Cambria Math" w:cs="MS PGothic"/>
                                      <w:i/>
                                      <w:color w:val="000000" w:themeColor="text1"/>
                                      <w:kern w:val="24"/>
                                      <w:sz w:val="24"/>
                                      <w:szCs w:val="24"/>
                                    </w:rPr>
                                  </m:ctrlPr>
                                </m:sSubPr>
                                <m:e>
                                  <m:r>
                                    <w:rPr>
                                      <w:rFonts w:ascii="Cambria Math" w:eastAsia="MS PGothic" w:hAnsi="Cambria Math" w:cs="MS PGothic"/>
                                      <w:color w:val="000000" w:themeColor="text1"/>
                                      <w:kern w:val="24"/>
                                      <w:sz w:val="24"/>
                                      <w:szCs w:val="24"/>
                                    </w:rPr>
                                    <m:t>Rate</m:t>
                                  </m:r>
                                </m:e>
                                <m:sub>
                                  <m:r>
                                    <w:rPr>
                                      <w:rFonts w:ascii="Cambria Math" w:eastAsia="MS PGothic" w:hAnsi="Cambria Math" w:cs="MS PGothic"/>
                                      <w:color w:val="000000" w:themeColor="text1"/>
                                      <w:kern w:val="24"/>
                                      <w:sz w:val="24"/>
                                      <w:szCs w:val="24"/>
                                    </w:rPr>
                                    <m:t>min</m:t>
                                  </m:r>
                                </m:sub>
                              </m:sSub>
                            </m:den>
                          </m:f>
                          <m:r>
                            <m:rPr>
                              <m:sty m:val="p"/>
                            </m:rPr>
                            <w:rPr>
                              <w:rFonts w:ascii="Cambria Math" w:eastAsia="MS PGothic" w:hAnsi="Cambria Math" w:cs="MS PGothic"/>
                              <w:color w:val="000000" w:themeColor="text1"/>
                              <w:kern w:val="24"/>
                              <w:sz w:val="24"/>
                              <w:szCs w:val="24"/>
                            </w:rPr>
                            <m:t> </m:t>
                          </m:r>
                        </m:oMath>
                      </m:oMathPara>
                    </w:p>
                  </w:txbxContent>
                </v:textbox>
              </v:rect>
            </w:pict>
          </mc:Fallback>
        </mc:AlternateContent>
      </w:r>
      <w:r w:rsidRPr="00013559">
        <w:rPr>
          <w:b/>
          <w:bCs/>
        </w:rPr>
        <w:t xml:space="preserve">Equation </w:t>
      </w:r>
      <w:r>
        <w:rPr>
          <w:b/>
          <w:bCs/>
        </w:rPr>
        <w:t>2-1</w:t>
      </w:r>
      <w:r>
        <w:t xml:space="preserve">. </w:t>
      </w:r>
    </w:p>
    <w:p w14:paraId="7D3AB89E" w14:textId="77777777" w:rsidR="00B16D28" w:rsidRDefault="00B16D28" w:rsidP="00B16D28">
      <w:pPr>
        <w:keepNext/>
      </w:pPr>
    </w:p>
    <w:p w14:paraId="50C98D65" w14:textId="77777777" w:rsidR="00B16D28" w:rsidRDefault="00B16D28" w:rsidP="00B16D28">
      <w:pPr>
        <w:keepNext/>
      </w:pPr>
      <w:r>
        <w:t xml:space="preserve">Where: </w:t>
      </w:r>
    </w:p>
    <w:tbl>
      <w:tblPr>
        <w:tblW w:w="7874" w:type="dxa"/>
        <w:shd w:val="clear" w:color="auto" w:fill="FFFFFF" w:themeFill="background1"/>
        <w:tblCellMar>
          <w:left w:w="0" w:type="dxa"/>
          <w:right w:w="0" w:type="dxa"/>
        </w:tblCellMar>
        <w:tblLook w:val="0600" w:firstRow="0" w:lastRow="0" w:firstColumn="0" w:lastColumn="0" w:noHBand="1" w:noVBand="1"/>
      </w:tblPr>
      <w:tblGrid>
        <w:gridCol w:w="2401"/>
        <w:gridCol w:w="5473"/>
      </w:tblGrid>
      <w:tr w:rsidR="00B16D28" w:rsidRPr="00394241" w14:paraId="75B22695" w14:textId="77777777" w:rsidTr="002D67BD">
        <w:trPr>
          <w:trHeight w:val="185"/>
        </w:trPr>
        <w:tc>
          <w:tcPr>
            <w:tcW w:w="2401"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5F42293E" w14:textId="77777777" w:rsidR="00B16D28" w:rsidRPr="00394241" w:rsidRDefault="00B16D28" w:rsidP="002D67BD">
            <w:pPr>
              <w:pStyle w:val="NoSpacing"/>
              <w:keepNext/>
              <w:jc w:val="right"/>
            </w:pPr>
            <w:r>
              <w:t xml:space="preserve">Acres treated </w:t>
            </w:r>
            <w:r>
              <w:rPr>
                <w:vertAlign w:val="subscript"/>
              </w:rPr>
              <w:t>chem</w:t>
            </w:r>
            <w:r w:rsidRPr="00394241">
              <w:t xml:space="preserve"> =</w:t>
            </w:r>
          </w:p>
        </w:tc>
        <w:tc>
          <w:tcPr>
            <w:tcW w:w="5473"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0835094B" w14:textId="77777777" w:rsidR="00B16D28" w:rsidRPr="00394241" w:rsidRDefault="00B16D28" w:rsidP="002D67BD">
            <w:pPr>
              <w:pStyle w:val="NoSpacing"/>
              <w:keepNext/>
            </w:pPr>
            <w:r w:rsidRPr="00394241">
              <w:t xml:space="preserve"> </w:t>
            </w:r>
            <w:r>
              <w:t xml:space="preserve">Acreage that is treated </w:t>
            </w:r>
          </w:p>
        </w:tc>
      </w:tr>
      <w:tr w:rsidR="00B16D28" w:rsidRPr="00394241" w14:paraId="35E48741" w14:textId="77777777" w:rsidTr="002D67BD">
        <w:trPr>
          <w:trHeight w:val="43"/>
        </w:trPr>
        <w:tc>
          <w:tcPr>
            <w:tcW w:w="2401"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4E7F2601" w14:textId="77777777" w:rsidR="00B16D28" w:rsidRPr="00394241" w:rsidRDefault="00B16D28" w:rsidP="002D67BD">
            <w:pPr>
              <w:pStyle w:val="NoSpacing"/>
              <w:keepNext/>
              <w:jc w:val="right"/>
            </w:pPr>
            <w:r>
              <w:t>Total Treatable Acres</w:t>
            </w:r>
            <w:r w:rsidRPr="00394241">
              <w:t xml:space="preserve"> =</w:t>
            </w:r>
          </w:p>
        </w:tc>
        <w:tc>
          <w:tcPr>
            <w:tcW w:w="5473"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7EE1C236" w14:textId="77777777" w:rsidR="00B16D28" w:rsidRPr="00394241" w:rsidRDefault="00B16D28" w:rsidP="002D67BD">
            <w:pPr>
              <w:pStyle w:val="NoSpacing"/>
              <w:keepNext/>
            </w:pPr>
            <w:r w:rsidRPr="00394241">
              <w:t xml:space="preserve"> land cover class</w:t>
            </w:r>
          </w:p>
        </w:tc>
      </w:tr>
      <w:tr w:rsidR="00B16D28" w:rsidRPr="00394241" w14:paraId="092ACBE6" w14:textId="77777777" w:rsidTr="002D67BD">
        <w:trPr>
          <w:trHeight w:val="58"/>
        </w:trPr>
        <w:tc>
          <w:tcPr>
            <w:tcW w:w="2401"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1B25A959" w14:textId="77777777" w:rsidR="00B16D28" w:rsidRPr="00394241" w:rsidRDefault="00B16D28" w:rsidP="002D67BD">
            <w:pPr>
              <w:pStyle w:val="NoSpacing"/>
              <w:keepNext/>
              <w:jc w:val="right"/>
            </w:pPr>
            <w:r w:rsidRPr="00394241">
              <w:t>PC</w:t>
            </w:r>
            <w:r>
              <w:t xml:space="preserve">T </w:t>
            </w:r>
            <w:r w:rsidRPr="0074160C">
              <w:rPr>
                <w:vertAlign w:val="subscript"/>
              </w:rPr>
              <w:t>avg</w:t>
            </w:r>
            <w:r w:rsidRPr="00394241">
              <w:t xml:space="preserve"> =</w:t>
            </w:r>
          </w:p>
        </w:tc>
        <w:tc>
          <w:tcPr>
            <w:tcW w:w="5473"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0EDE81EB" w14:textId="77777777" w:rsidR="00B16D28" w:rsidRPr="00394241" w:rsidRDefault="00B16D28" w:rsidP="002D67BD">
            <w:pPr>
              <w:pStyle w:val="NoSpacing"/>
              <w:keepNext/>
            </w:pPr>
            <w:r>
              <w:t>Calculated average PCT</w:t>
            </w:r>
          </w:p>
        </w:tc>
      </w:tr>
    </w:tbl>
    <w:p w14:paraId="49DCDA85" w14:textId="77777777" w:rsidR="00B16D28" w:rsidRDefault="00B16D28" w:rsidP="00B16D28">
      <w:pPr>
        <w:keepNext/>
        <w:rPr>
          <w:b/>
          <w:bCs/>
        </w:rPr>
      </w:pPr>
    </w:p>
    <w:p w14:paraId="38B80159" w14:textId="77777777" w:rsidR="00B16D28" w:rsidRDefault="00B16D28" w:rsidP="00B16D28">
      <w:pPr>
        <w:keepNext/>
      </w:pPr>
      <w:r w:rsidRPr="007D26EE">
        <w:rPr>
          <w:noProof/>
        </w:rPr>
        <mc:AlternateContent>
          <mc:Choice Requires="wps">
            <w:drawing>
              <wp:anchor distT="0" distB="0" distL="114300" distR="114300" simplePos="0" relativeHeight="251661312" behindDoc="0" locked="0" layoutInCell="1" allowOverlap="1" wp14:anchorId="6681B695" wp14:editId="19465A35">
                <wp:simplePos x="0" y="0"/>
                <wp:positionH relativeFrom="column">
                  <wp:posOffset>776177</wp:posOffset>
                </wp:positionH>
                <wp:positionV relativeFrom="paragraph">
                  <wp:posOffset>0</wp:posOffset>
                </wp:positionV>
                <wp:extent cx="6252845" cy="851535"/>
                <wp:effectExtent l="0" t="0" r="0" b="0"/>
                <wp:wrapNone/>
                <wp:docPr id="38" name="Rectangle 4"/>
                <wp:cNvGraphicFramePr/>
                <a:graphic xmlns:a="http://schemas.openxmlformats.org/drawingml/2006/main">
                  <a:graphicData uri="http://schemas.microsoft.com/office/word/2010/wordprocessingShape">
                    <wps:wsp>
                      <wps:cNvSpPr/>
                      <wps:spPr>
                        <a:xfrm>
                          <a:off x="0" y="0"/>
                          <a:ext cx="6252845" cy="851535"/>
                        </a:xfrm>
                        <a:prstGeom prst="rect">
                          <a:avLst/>
                        </a:prstGeom>
                      </wps:spPr>
                      <wps:txbx>
                        <w:txbxContent>
                          <w:p w14:paraId="0FF51117" w14:textId="77777777" w:rsidR="00E33F7C" w:rsidRPr="007D26EE" w:rsidRDefault="000F0EF1" w:rsidP="00B16D28">
                            <w:pPr>
                              <w:kinsoku w:val="0"/>
                              <w:overflowPunct w:val="0"/>
                              <w:textAlignment w:val="baseline"/>
                              <w:rPr>
                                <w:sz w:val="24"/>
                                <w:szCs w:val="24"/>
                              </w:rPr>
                            </w:pPr>
                            <m:oMathPara>
                              <m:oMathParaPr>
                                <m:jc m:val="left"/>
                              </m:oMathParaPr>
                              <m:oMath>
                                <m:sSub>
                                  <m:sSubPr>
                                    <m:ctrlPr>
                                      <w:rPr>
                                        <w:rFonts w:ascii="Cambria Math" w:eastAsia="MS PGothic" w:hAnsi="Cambria Math" w:cs="MS PGothic"/>
                                        <w:i/>
                                        <w:iCs/>
                                        <w:color w:val="000000" w:themeColor="text1"/>
                                        <w:kern w:val="24"/>
                                        <w:sz w:val="20"/>
                                        <w:szCs w:val="20"/>
                                      </w:rPr>
                                    </m:ctrlPr>
                                  </m:sSubPr>
                                  <m:e>
                                    <m:r>
                                      <w:rPr>
                                        <w:rFonts w:ascii="Cambria Math" w:eastAsia="MS PGothic" w:hAnsi="Cambria Math" w:cs="MS PGothic"/>
                                        <w:color w:val="000000" w:themeColor="text1"/>
                                        <w:kern w:val="24"/>
                                        <w:sz w:val="20"/>
                                        <w:szCs w:val="20"/>
                                      </w:rPr>
                                      <m:t>Treated Acres</m:t>
                                    </m:r>
                                  </m:e>
                                  <m:sub>
                                    <m:r>
                                      <w:rPr>
                                        <w:rFonts w:ascii="Cambria Math" w:eastAsia="MS PGothic" w:hAnsi="Cambria Math" w:cs="MS PGothic"/>
                                        <w:color w:val="000000" w:themeColor="text1"/>
                                        <w:kern w:val="24"/>
                                        <w:sz w:val="20"/>
                                        <w:szCs w:val="20"/>
                                      </w:rPr>
                                      <m:t>avg</m:t>
                                    </m:r>
                                  </m:sub>
                                </m:sSub>
                                <m:r>
                                  <m:rPr>
                                    <m:sty m:val="p"/>
                                  </m:rPr>
                                  <w:rPr>
                                    <w:rFonts w:ascii="Cambria Math" w:eastAsia="MS PGothic" w:hAnsi="Cambria Math" w:cs="MS PGothic"/>
                                    <w:color w:val="000000" w:themeColor="text1"/>
                                    <w:kern w:val="24"/>
                                    <w:sz w:val="20"/>
                                    <w:szCs w:val="20"/>
                                  </w:rPr>
                                  <m:t>=</m:t>
                                </m:r>
                                <m:f>
                                  <m:fPr>
                                    <m:ctrlPr>
                                      <w:rPr>
                                        <w:rFonts w:ascii="Cambria Math" w:eastAsia="MS PGothic" w:hAnsi="Cambria Math" w:cs="MS PGothic"/>
                                        <w:i/>
                                        <w:iCs/>
                                        <w:color w:val="000000" w:themeColor="text1"/>
                                        <w:kern w:val="24"/>
                                        <w:sz w:val="20"/>
                                        <w:szCs w:val="20"/>
                                      </w:rPr>
                                    </m:ctrlPr>
                                  </m:fPr>
                                  <m:num>
                                    <m:r>
                                      <w:rPr>
                                        <w:rFonts w:ascii="Cambria Math" w:eastAsia="MS PGothic" w:hAnsi="Cambria Math" w:cs="MS PGothic"/>
                                        <w:color w:val="000000" w:themeColor="text1"/>
                                        <w:kern w:val="24"/>
                                        <w:sz w:val="20"/>
                                        <w:szCs w:val="20"/>
                                      </w:rPr>
                                      <m:t xml:space="preserve">Annual pounds AI </m:t>
                                    </m:r>
                                    <m:sSub>
                                      <m:sSubPr>
                                        <m:ctrlPr>
                                          <w:rPr>
                                            <w:rFonts w:ascii="Cambria Math" w:eastAsia="MS PGothic" w:hAnsi="Cambria Math" w:cs="MS PGothic"/>
                                            <w:i/>
                                            <w:iCs/>
                                            <w:color w:val="000000" w:themeColor="text1"/>
                                            <w:kern w:val="24"/>
                                            <w:sz w:val="20"/>
                                            <w:szCs w:val="20"/>
                                          </w:rPr>
                                        </m:ctrlPr>
                                      </m:sSubPr>
                                      <m:e>
                                        <m:r>
                                          <w:rPr>
                                            <w:rFonts w:ascii="Cambria Math" w:eastAsia="MS PGothic" w:hAnsi="Cambria Math" w:cs="MS PGothic"/>
                                            <w:color w:val="000000" w:themeColor="text1"/>
                                            <w:kern w:val="24"/>
                                            <w:sz w:val="20"/>
                                            <w:szCs w:val="20"/>
                                          </w:rPr>
                                          <m:t>applied</m:t>
                                        </m:r>
                                      </m:e>
                                      <m:sub>
                                        <m:r>
                                          <w:rPr>
                                            <w:rFonts w:ascii="Cambria Math" w:eastAsia="MS PGothic" w:hAnsi="Cambria Math" w:cs="MS PGothic"/>
                                            <w:color w:val="000000" w:themeColor="text1"/>
                                            <w:kern w:val="24"/>
                                            <w:sz w:val="20"/>
                                            <w:szCs w:val="20"/>
                                          </w:rPr>
                                          <m:t>avg</m:t>
                                        </m:r>
                                      </m:sub>
                                    </m:sSub>
                                  </m:num>
                                  <m:den>
                                    <m:d>
                                      <m:dPr>
                                        <m:ctrlPr>
                                          <w:rPr>
                                            <w:rFonts w:ascii="Cambria Math" w:eastAsia="MS PGothic" w:hAnsi="Cambria Math" w:cs="MS PGothic"/>
                                            <w:i/>
                                            <w:iCs/>
                                            <w:color w:val="000000" w:themeColor="text1"/>
                                            <w:kern w:val="24"/>
                                            <w:sz w:val="20"/>
                                            <w:szCs w:val="20"/>
                                          </w:rPr>
                                        </m:ctrlPr>
                                      </m:dPr>
                                      <m:e>
                                        <m:f>
                                          <m:fPr>
                                            <m:ctrlPr>
                                              <w:rPr>
                                                <w:rFonts w:ascii="Cambria Math" w:eastAsia="MS PGothic" w:hAnsi="Cambria Math" w:cs="MS PGothic"/>
                                                <w:i/>
                                                <w:iCs/>
                                                <w:color w:val="000000" w:themeColor="text1"/>
                                                <w:kern w:val="24"/>
                                                <w:sz w:val="20"/>
                                                <w:szCs w:val="20"/>
                                              </w:rPr>
                                            </m:ctrlPr>
                                          </m:fPr>
                                          <m:num>
                                            <m:r>
                                              <w:rPr>
                                                <w:rFonts w:ascii="Cambria Math" w:eastAsia="MS PGothic" w:hAnsi="Cambria Math" w:cs="MS PGothic"/>
                                                <w:color w:val="000000" w:themeColor="text1"/>
                                                <w:kern w:val="24"/>
                                                <w:sz w:val="20"/>
                                                <w:szCs w:val="20"/>
                                              </w:rPr>
                                              <m:t xml:space="preserve">Label </m:t>
                                            </m:r>
                                            <m:sSub>
                                              <m:sSubPr>
                                                <m:ctrlPr>
                                                  <w:rPr>
                                                    <w:rFonts w:ascii="Cambria Math" w:eastAsia="MS PGothic" w:hAnsi="Cambria Math" w:cs="MS PGothic"/>
                                                    <w:i/>
                                                    <w:color w:val="000000" w:themeColor="text1"/>
                                                    <w:kern w:val="24"/>
                                                    <w:sz w:val="20"/>
                                                    <w:szCs w:val="20"/>
                                                  </w:rPr>
                                                </m:ctrlPr>
                                              </m:sSubPr>
                                              <m:e>
                                                <m:r>
                                                  <w:rPr>
                                                    <w:rFonts w:ascii="Cambria Math" w:eastAsia="MS PGothic" w:hAnsi="Cambria Math" w:cs="MS PGothic"/>
                                                    <w:color w:val="000000" w:themeColor="text1"/>
                                                    <w:kern w:val="24"/>
                                                    <w:sz w:val="20"/>
                                                    <w:szCs w:val="20"/>
                                                  </w:rPr>
                                                  <m:t>Rate</m:t>
                                                </m:r>
                                              </m:e>
                                              <m:sub>
                                                <m:r>
                                                  <w:rPr>
                                                    <w:rFonts w:ascii="Cambria Math" w:eastAsia="MS PGothic" w:hAnsi="Cambria Math" w:cs="MS PGothic"/>
                                                    <w:color w:val="000000" w:themeColor="text1"/>
                                                    <w:kern w:val="24"/>
                                                    <w:sz w:val="20"/>
                                                    <w:szCs w:val="20"/>
                                                  </w:rPr>
                                                  <m:t>min</m:t>
                                                </m:r>
                                              </m:sub>
                                            </m:sSub>
                                            <m:r>
                                              <w:rPr>
                                                <w:rFonts w:ascii="Cambria Math" w:eastAsia="MS PGothic" w:hAnsi="Cambria Math" w:cs="MS PGothic"/>
                                                <w:color w:val="000000" w:themeColor="text1"/>
                                                <w:kern w:val="24"/>
                                                <w:sz w:val="20"/>
                                                <w:szCs w:val="20"/>
                                              </w:rPr>
                                              <m:t xml:space="preserve">+Label </m:t>
                                            </m:r>
                                            <m:sSub>
                                              <m:sSubPr>
                                                <m:ctrlPr>
                                                  <w:rPr>
                                                    <w:rFonts w:ascii="Cambria Math" w:eastAsia="MS PGothic" w:hAnsi="Cambria Math" w:cs="MS PGothic"/>
                                                    <w:i/>
                                                    <w:color w:val="000000" w:themeColor="text1"/>
                                                    <w:kern w:val="24"/>
                                                    <w:sz w:val="20"/>
                                                    <w:szCs w:val="20"/>
                                                  </w:rPr>
                                                </m:ctrlPr>
                                              </m:sSubPr>
                                              <m:e>
                                                <m:r>
                                                  <w:rPr>
                                                    <w:rFonts w:ascii="Cambria Math" w:eastAsia="MS PGothic" w:hAnsi="Cambria Math" w:cs="MS PGothic"/>
                                                    <w:color w:val="000000" w:themeColor="text1"/>
                                                    <w:kern w:val="24"/>
                                                    <w:sz w:val="20"/>
                                                    <w:szCs w:val="20"/>
                                                  </w:rPr>
                                                  <m:t>Rate</m:t>
                                                </m:r>
                                              </m:e>
                                              <m:sub>
                                                <m:r>
                                                  <w:rPr>
                                                    <w:rFonts w:ascii="Cambria Math" w:eastAsia="MS PGothic" w:hAnsi="Cambria Math" w:cs="MS PGothic"/>
                                                    <w:color w:val="000000" w:themeColor="text1"/>
                                                    <w:kern w:val="24"/>
                                                    <w:sz w:val="20"/>
                                                    <w:szCs w:val="20"/>
                                                  </w:rPr>
                                                  <m:t>max</m:t>
                                                </m:r>
                                              </m:sub>
                                            </m:sSub>
                                          </m:num>
                                          <m:den>
                                            <m:r>
                                              <w:rPr>
                                                <w:rFonts w:ascii="Cambria Math" w:eastAsia="MS PGothic" w:hAnsi="Cambria Math" w:cs="MS PGothic"/>
                                                <w:color w:val="000000" w:themeColor="text1"/>
                                                <w:kern w:val="24"/>
                                                <w:sz w:val="20"/>
                                                <w:szCs w:val="20"/>
                                              </w:rPr>
                                              <m:t>2</m:t>
                                            </m:r>
                                          </m:den>
                                        </m:f>
                                      </m:e>
                                    </m:d>
                                  </m:den>
                                </m:f>
                                <m:r>
                                  <m:rPr>
                                    <m:sty m:val="p"/>
                                  </m:rPr>
                                  <w:rPr>
                                    <w:rFonts w:ascii="Cambria Math" w:eastAsia="MS PGothic" w:hAnsi="Cambria Math" w:cs="MS PGothic"/>
                                    <w:color w:val="000000" w:themeColor="text1"/>
                                    <w:kern w:val="24"/>
                                    <w:sz w:val="20"/>
                                    <w:szCs w:val="20"/>
                                  </w:rPr>
                                  <m:t> </m:t>
                                </m:r>
                              </m:oMath>
                            </m:oMathPara>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6681B695" id="_x0000_s1029" style="position:absolute;margin-left:61.1pt;margin-top:0;width:492.35pt;height:6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" filled="f" stroked="f">
                <v:textbox style="mso-fit-shape-to-text:t">
                  <w:txbxContent>
                    <w:p w14:paraId="0FF51117" w14:textId="77777777" w:rsidR="00E33F7C" w:rsidRPr="007D26EE" w:rsidRDefault="000F0EF1" w:rsidP="00B16D28">
                      <w:pPr>
                        <w:kinsoku w:val="0"/>
                        <w:overflowPunct w:val="0"/>
                        <w:textAlignment w:val="baseline"/>
                        <w:rPr>
                          <w:sz w:val="24"/>
                          <w:szCs w:val="24"/>
                        </w:rPr>
                      </w:pPr>
                      <m:oMathPara>
                        <m:oMathParaPr>
                          <m:jc m:val="left"/>
                        </m:oMathParaPr>
                        <m:oMath>
                          <m:sSub>
                            <m:sSubPr>
                              <m:ctrlPr>
                                <w:rPr>
                                  <w:rFonts w:ascii="Cambria Math" w:eastAsia="MS PGothic" w:hAnsi="Cambria Math" w:cs="MS PGothic"/>
                                  <w:i/>
                                  <w:iCs/>
                                  <w:color w:val="000000" w:themeColor="text1"/>
                                  <w:kern w:val="24"/>
                                  <w:sz w:val="20"/>
                                  <w:szCs w:val="20"/>
                                </w:rPr>
                              </m:ctrlPr>
                            </m:sSubPr>
                            <m:e>
                              <m:r>
                                <w:rPr>
                                  <w:rFonts w:ascii="Cambria Math" w:eastAsia="MS PGothic" w:hAnsi="Cambria Math" w:cs="MS PGothic"/>
                                  <w:color w:val="000000" w:themeColor="text1"/>
                                  <w:kern w:val="24"/>
                                  <w:sz w:val="20"/>
                                  <w:szCs w:val="20"/>
                                </w:rPr>
                                <m:t>Treated Acres</m:t>
                              </m:r>
                            </m:e>
                            <m:sub>
                              <m:r>
                                <w:rPr>
                                  <w:rFonts w:ascii="Cambria Math" w:eastAsia="MS PGothic" w:hAnsi="Cambria Math" w:cs="MS PGothic"/>
                                  <w:color w:val="000000" w:themeColor="text1"/>
                                  <w:kern w:val="24"/>
                                  <w:sz w:val="20"/>
                                  <w:szCs w:val="20"/>
                                </w:rPr>
                                <m:t>avg</m:t>
                              </m:r>
                            </m:sub>
                          </m:sSub>
                          <m:r>
                            <m:rPr>
                              <m:sty m:val="p"/>
                            </m:rPr>
                            <w:rPr>
                              <w:rFonts w:ascii="Cambria Math" w:eastAsia="MS PGothic" w:hAnsi="Cambria Math" w:cs="MS PGothic"/>
                              <w:color w:val="000000" w:themeColor="text1"/>
                              <w:kern w:val="24"/>
                              <w:sz w:val="20"/>
                              <w:szCs w:val="20"/>
                            </w:rPr>
                            <m:t>=</m:t>
                          </m:r>
                          <m:f>
                            <m:fPr>
                              <m:ctrlPr>
                                <w:rPr>
                                  <w:rFonts w:ascii="Cambria Math" w:eastAsia="MS PGothic" w:hAnsi="Cambria Math" w:cs="MS PGothic"/>
                                  <w:i/>
                                  <w:iCs/>
                                  <w:color w:val="000000" w:themeColor="text1"/>
                                  <w:kern w:val="24"/>
                                  <w:sz w:val="20"/>
                                  <w:szCs w:val="20"/>
                                </w:rPr>
                              </m:ctrlPr>
                            </m:fPr>
                            <m:num>
                              <m:r>
                                <w:rPr>
                                  <w:rFonts w:ascii="Cambria Math" w:eastAsia="MS PGothic" w:hAnsi="Cambria Math" w:cs="MS PGothic"/>
                                  <w:color w:val="000000" w:themeColor="text1"/>
                                  <w:kern w:val="24"/>
                                  <w:sz w:val="20"/>
                                  <w:szCs w:val="20"/>
                                </w:rPr>
                                <m:t xml:space="preserve">Annual pounds AI </m:t>
                              </m:r>
                              <m:sSub>
                                <m:sSubPr>
                                  <m:ctrlPr>
                                    <w:rPr>
                                      <w:rFonts w:ascii="Cambria Math" w:eastAsia="MS PGothic" w:hAnsi="Cambria Math" w:cs="MS PGothic"/>
                                      <w:i/>
                                      <w:iCs/>
                                      <w:color w:val="000000" w:themeColor="text1"/>
                                      <w:kern w:val="24"/>
                                      <w:sz w:val="20"/>
                                      <w:szCs w:val="20"/>
                                    </w:rPr>
                                  </m:ctrlPr>
                                </m:sSubPr>
                                <m:e>
                                  <m:r>
                                    <w:rPr>
                                      <w:rFonts w:ascii="Cambria Math" w:eastAsia="MS PGothic" w:hAnsi="Cambria Math" w:cs="MS PGothic"/>
                                      <w:color w:val="000000" w:themeColor="text1"/>
                                      <w:kern w:val="24"/>
                                      <w:sz w:val="20"/>
                                      <w:szCs w:val="20"/>
                                    </w:rPr>
                                    <m:t>applied</m:t>
                                  </m:r>
                                </m:e>
                                <m:sub>
                                  <m:r>
                                    <w:rPr>
                                      <w:rFonts w:ascii="Cambria Math" w:eastAsia="MS PGothic" w:hAnsi="Cambria Math" w:cs="MS PGothic"/>
                                      <w:color w:val="000000" w:themeColor="text1"/>
                                      <w:kern w:val="24"/>
                                      <w:sz w:val="20"/>
                                      <w:szCs w:val="20"/>
                                    </w:rPr>
                                    <m:t>avg</m:t>
                                  </m:r>
                                </m:sub>
                              </m:sSub>
                            </m:num>
                            <m:den>
                              <m:d>
                                <m:dPr>
                                  <m:ctrlPr>
                                    <w:rPr>
                                      <w:rFonts w:ascii="Cambria Math" w:eastAsia="MS PGothic" w:hAnsi="Cambria Math" w:cs="MS PGothic"/>
                                      <w:i/>
                                      <w:iCs/>
                                      <w:color w:val="000000" w:themeColor="text1"/>
                                      <w:kern w:val="24"/>
                                      <w:sz w:val="20"/>
                                      <w:szCs w:val="20"/>
                                    </w:rPr>
                                  </m:ctrlPr>
                                </m:dPr>
                                <m:e>
                                  <m:f>
                                    <m:fPr>
                                      <m:ctrlPr>
                                        <w:rPr>
                                          <w:rFonts w:ascii="Cambria Math" w:eastAsia="MS PGothic" w:hAnsi="Cambria Math" w:cs="MS PGothic"/>
                                          <w:i/>
                                          <w:iCs/>
                                          <w:color w:val="000000" w:themeColor="text1"/>
                                          <w:kern w:val="24"/>
                                          <w:sz w:val="20"/>
                                          <w:szCs w:val="20"/>
                                        </w:rPr>
                                      </m:ctrlPr>
                                    </m:fPr>
                                    <m:num>
                                      <m:r>
                                        <w:rPr>
                                          <w:rFonts w:ascii="Cambria Math" w:eastAsia="MS PGothic" w:hAnsi="Cambria Math" w:cs="MS PGothic"/>
                                          <w:color w:val="000000" w:themeColor="text1"/>
                                          <w:kern w:val="24"/>
                                          <w:sz w:val="20"/>
                                          <w:szCs w:val="20"/>
                                        </w:rPr>
                                        <m:t xml:space="preserve">Label </m:t>
                                      </m:r>
                                      <m:sSub>
                                        <m:sSubPr>
                                          <m:ctrlPr>
                                            <w:rPr>
                                              <w:rFonts w:ascii="Cambria Math" w:eastAsia="MS PGothic" w:hAnsi="Cambria Math" w:cs="MS PGothic"/>
                                              <w:i/>
                                              <w:color w:val="000000" w:themeColor="text1"/>
                                              <w:kern w:val="24"/>
                                              <w:sz w:val="20"/>
                                              <w:szCs w:val="20"/>
                                            </w:rPr>
                                          </m:ctrlPr>
                                        </m:sSubPr>
                                        <m:e>
                                          <m:r>
                                            <w:rPr>
                                              <w:rFonts w:ascii="Cambria Math" w:eastAsia="MS PGothic" w:hAnsi="Cambria Math" w:cs="MS PGothic"/>
                                              <w:color w:val="000000" w:themeColor="text1"/>
                                              <w:kern w:val="24"/>
                                              <w:sz w:val="20"/>
                                              <w:szCs w:val="20"/>
                                            </w:rPr>
                                            <m:t>Rate</m:t>
                                          </m:r>
                                        </m:e>
                                        <m:sub>
                                          <m:r>
                                            <w:rPr>
                                              <w:rFonts w:ascii="Cambria Math" w:eastAsia="MS PGothic" w:hAnsi="Cambria Math" w:cs="MS PGothic"/>
                                              <w:color w:val="000000" w:themeColor="text1"/>
                                              <w:kern w:val="24"/>
                                              <w:sz w:val="20"/>
                                              <w:szCs w:val="20"/>
                                            </w:rPr>
                                            <m:t>min</m:t>
                                          </m:r>
                                        </m:sub>
                                      </m:sSub>
                                      <m:r>
                                        <w:rPr>
                                          <w:rFonts w:ascii="Cambria Math" w:eastAsia="MS PGothic" w:hAnsi="Cambria Math" w:cs="MS PGothic"/>
                                          <w:color w:val="000000" w:themeColor="text1"/>
                                          <w:kern w:val="24"/>
                                          <w:sz w:val="20"/>
                                          <w:szCs w:val="20"/>
                                        </w:rPr>
                                        <m:t xml:space="preserve">+Label </m:t>
                                      </m:r>
                                      <m:sSub>
                                        <m:sSubPr>
                                          <m:ctrlPr>
                                            <w:rPr>
                                              <w:rFonts w:ascii="Cambria Math" w:eastAsia="MS PGothic" w:hAnsi="Cambria Math" w:cs="MS PGothic"/>
                                              <w:i/>
                                              <w:color w:val="000000" w:themeColor="text1"/>
                                              <w:kern w:val="24"/>
                                              <w:sz w:val="20"/>
                                              <w:szCs w:val="20"/>
                                            </w:rPr>
                                          </m:ctrlPr>
                                        </m:sSubPr>
                                        <m:e>
                                          <m:r>
                                            <w:rPr>
                                              <w:rFonts w:ascii="Cambria Math" w:eastAsia="MS PGothic" w:hAnsi="Cambria Math" w:cs="MS PGothic"/>
                                              <w:color w:val="000000" w:themeColor="text1"/>
                                              <w:kern w:val="24"/>
                                              <w:sz w:val="20"/>
                                              <w:szCs w:val="20"/>
                                            </w:rPr>
                                            <m:t>Rate</m:t>
                                          </m:r>
                                        </m:e>
                                        <m:sub>
                                          <m:r>
                                            <w:rPr>
                                              <w:rFonts w:ascii="Cambria Math" w:eastAsia="MS PGothic" w:hAnsi="Cambria Math" w:cs="MS PGothic"/>
                                              <w:color w:val="000000" w:themeColor="text1"/>
                                              <w:kern w:val="24"/>
                                              <w:sz w:val="20"/>
                                              <w:szCs w:val="20"/>
                                            </w:rPr>
                                            <m:t>max</m:t>
                                          </m:r>
                                        </m:sub>
                                      </m:sSub>
                                    </m:num>
                                    <m:den>
                                      <m:r>
                                        <w:rPr>
                                          <w:rFonts w:ascii="Cambria Math" w:eastAsia="MS PGothic" w:hAnsi="Cambria Math" w:cs="MS PGothic"/>
                                          <w:color w:val="000000" w:themeColor="text1"/>
                                          <w:kern w:val="24"/>
                                          <w:sz w:val="20"/>
                                          <w:szCs w:val="20"/>
                                        </w:rPr>
                                        <m:t>2</m:t>
                                      </m:r>
                                    </m:den>
                                  </m:f>
                                </m:e>
                              </m:d>
                            </m:den>
                          </m:f>
                          <m:r>
                            <m:rPr>
                              <m:sty m:val="p"/>
                            </m:rPr>
                            <w:rPr>
                              <w:rFonts w:ascii="Cambria Math" w:eastAsia="MS PGothic" w:hAnsi="Cambria Math" w:cs="MS PGothic"/>
                              <w:color w:val="000000" w:themeColor="text1"/>
                              <w:kern w:val="24"/>
                              <w:sz w:val="20"/>
                              <w:szCs w:val="20"/>
                            </w:rPr>
                            <m:t> </m:t>
                          </m:r>
                        </m:oMath>
                      </m:oMathPara>
                    </w:p>
                  </w:txbxContent>
                </v:textbox>
              </v:rect>
            </w:pict>
          </mc:Fallback>
        </mc:AlternateContent>
      </w:r>
      <w:r w:rsidRPr="00013559">
        <w:rPr>
          <w:b/>
          <w:bCs/>
        </w:rPr>
        <w:t xml:space="preserve">Equation </w:t>
      </w:r>
      <w:r>
        <w:rPr>
          <w:b/>
          <w:bCs/>
        </w:rPr>
        <w:t>2-2</w:t>
      </w:r>
      <w:r>
        <w:t xml:space="preserve">. </w:t>
      </w:r>
    </w:p>
    <w:p w14:paraId="061895CB" w14:textId="77777777" w:rsidR="00B16D28" w:rsidRDefault="00B16D28" w:rsidP="00B16D28">
      <w:pPr>
        <w:keepNext/>
      </w:pPr>
    </w:p>
    <w:p w14:paraId="783733C8" w14:textId="77777777" w:rsidR="00B16D28" w:rsidRDefault="00B16D28" w:rsidP="00B16D28">
      <w:pPr>
        <w:keepNext/>
      </w:pPr>
      <w:r>
        <w:t xml:space="preserve">Where: </w:t>
      </w:r>
    </w:p>
    <w:tbl>
      <w:tblPr>
        <w:tblW w:w="8270" w:type="dxa"/>
        <w:shd w:val="clear" w:color="auto" w:fill="FFFFFF" w:themeFill="background1"/>
        <w:tblCellMar>
          <w:left w:w="0" w:type="dxa"/>
          <w:right w:w="0" w:type="dxa"/>
        </w:tblCellMar>
        <w:tblLook w:val="0600" w:firstRow="0" w:lastRow="0" w:firstColumn="0" w:lastColumn="0" w:noHBand="1" w:noVBand="1"/>
      </w:tblPr>
      <w:tblGrid>
        <w:gridCol w:w="2330"/>
        <w:gridCol w:w="5940"/>
      </w:tblGrid>
      <w:tr w:rsidR="00B16D28" w:rsidRPr="00394241" w14:paraId="50ED0321" w14:textId="77777777" w:rsidTr="002D67BD">
        <w:trPr>
          <w:trHeight w:val="259"/>
        </w:trPr>
        <w:tc>
          <w:tcPr>
            <w:tcW w:w="233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78CA71D8" w14:textId="77777777" w:rsidR="00B16D28" w:rsidRPr="00394241" w:rsidRDefault="00B16D28" w:rsidP="002D67BD">
            <w:pPr>
              <w:pStyle w:val="NoSpacing"/>
              <w:keepNext/>
              <w:jc w:val="right"/>
            </w:pPr>
            <w:r w:rsidRPr="00281852">
              <w:rPr>
                <w:sz w:val="18"/>
                <w:szCs w:val="18"/>
              </w:rPr>
              <w:t>Annual pounds AI applied</w:t>
            </w:r>
            <w:r>
              <w:rPr>
                <w:sz w:val="18"/>
                <w:szCs w:val="18"/>
              </w:rPr>
              <w:t xml:space="preserve"> </w:t>
            </w:r>
            <w:r w:rsidRPr="00281852">
              <w:rPr>
                <w:sz w:val="18"/>
                <w:szCs w:val="18"/>
                <w:vertAlign w:val="subscript"/>
              </w:rPr>
              <w:t>avg</w:t>
            </w:r>
            <w:r w:rsidRPr="00281852">
              <w:rPr>
                <w:sz w:val="18"/>
                <w:szCs w:val="18"/>
              </w:rPr>
              <w:t xml:space="preserve"> </w:t>
            </w:r>
            <w:r w:rsidRPr="00394241">
              <w:t>=</w:t>
            </w:r>
          </w:p>
        </w:tc>
        <w:tc>
          <w:tcPr>
            <w:tcW w:w="594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097E64C8" w14:textId="77777777" w:rsidR="00B16D28" w:rsidRPr="00394241" w:rsidRDefault="00B16D28" w:rsidP="002D67BD">
            <w:pPr>
              <w:pStyle w:val="NoSpacing"/>
              <w:keepNext/>
            </w:pPr>
            <w:r w:rsidRPr="00394241">
              <w:t xml:space="preserve"> </w:t>
            </w:r>
            <w:r>
              <w:t xml:space="preserve">Annual average pounds applied of Active Ingredient  </w:t>
            </w:r>
          </w:p>
        </w:tc>
      </w:tr>
      <w:tr w:rsidR="00B16D28" w:rsidRPr="00394241" w14:paraId="4ADB5460" w14:textId="77777777" w:rsidTr="002D67BD">
        <w:trPr>
          <w:trHeight w:val="61"/>
        </w:trPr>
        <w:tc>
          <w:tcPr>
            <w:tcW w:w="233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2F9DE4DA" w14:textId="77777777" w:rsidR="00B16D28" w:rsidRPr="00394241" w:rsidRDefault="00B16D28" w:rsidP="002D67BD">
            <w:pPr>
              <w:pStyle w:val="NoSpacing"/>
              <w:keepNext/>
              <w:jc w:val="right"/>
            </w:pPr>
            <w:r>
              <w:t>Label Rate</w:t>
            </w:r>
            <w:r w:rsidRPr="00281852">
              <w:rPr>
                <w:vertAlign w:val="subscript"/>
              </w:rPr>
              <w:t>min</w:t>
            </w:r>
            <w:r w:rsidRPr="00394241">
              <w:t>=</w:t>
            </w:r>
          </w:p>
        </w:tc>
        <w:tc>
          <w:tcPr>
            <w:tcW w:w="594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57614D32" w14:textId="77777777" w:rsidR="00B16D28" w:rsidRPr="00394241" w:rsidRDefault="00B16D28" w:rsidP="002D67BD">
            <w:pPr>
              <w:pStyle w:val="NoSpacing"/>
              <w:keepNext/>
            </w:pPr>
            <w:r>
              <w:t xml:space="preserve"> </w:t>
            </w:r>
            <w:r w:rsidRPr="000A51C1">
              <w:rPr>
                <w:sz w:val="20"/>
                <w:szCs w:val="20"/>
              </w:rPr>
              <w:t xml:space="preserve">Minimum application rate for the chemical in the SUUM </w:t>
            </w:r>
            <w:r w:rsidRPr="000A51C1">
              <w:rPr>
                <w:sz w:val="16"/>
                <w:szCs w:val="16"/>
              </w:rPr>
              <w:t>(lb ai/a)</w:t>
            </w:r>
          </w:p>
        </w:tc>
      </w:tr>
      <w:tr w:rsidR="00B16D28" w:rsidRPr="00394241" w14:paraId="07FBB1BF" w14:textId="77777777" w:rsidTr="002D67BD">
        <w:trPr>
          <w:trHeight w:val="31"/>
        </w:trPr>
        <w:tc>
          <w:tcPr>
            <w:tcW w:w="233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5B40BF37" w14:textId="77777777" w:rsidR="00B16D28" w:rsidRPr="00394241" w:rsidRDefault="00B16D28" w:rsidP="002D67BD">
            <w:pPr>
              <w:pStyle w:val="NoSpacing"/>
              <w:keepNext/>
              <w:jc w:val="right"/>
            </w:pPr>
            <w:r>
              <w:t>Treated Acres</w:t>
            </w:r>
            <w:r w:rsidRPr="00A269C7">
              <w:rPr>
                <w:vertAlign w:val="subscript"/>
              </w:rPr>
              <w:t>max</w:t>
            </w:r>
            <w:r w:rsidRPr="00394241">
              <w:t xml:space="preserve"> =</w:t>
            </w:r>
          </w:p>
        </w:tc>
        <w:tc>
          <w:tcPr>
            <w:tcW w:w="594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5DF480BD" w14:textId="77777777" w:rsidR="00B16D28" w:rsidRPr="00394241" w:rsidRDefault="00B16D28" w:rsidP="002D67BD">
            <w:pPr>
              <w:pStyle w:val="NoSpacing"/>
              <w:keepNext/>
            </w:pPr>
            <w:r w:rsidRPr="00394241">
              <w:t xml:space="preserve"> </w:t>
            </w:r>
            <w:r>
              <w:t>Estimated maximum treated acres based on label rates</w:t>
            </w:r>
          </w:p>
        </w:tc>
      </w:tr>
    </w:tbl>
    <w:p w14:paraId="5DDEB31E" w14:textId="77777777" w:rsidR="00B16D28" w:rsidRDefault="00B16D28" w:rsidP="00B16D28">
      <w:pPr>
        <w:keepNext/>
        <w:rPr>
          <w:rFonts w:ascii="Times New Roman" w:hAnsi="Times New Roman"/>
        </w:rPr>
      </w:pPr>
    </w:p>
    <w:p w14:paraId="438A71B8" w14:textId="77777777" w:rsidR="00B16D28" w:rsidRDefault="00B16D28" w:rsidP="00B16D28">
      <w:pPr>
        <w:pStyle w:val="NoSpacing"/>
      </w:pPr>
    </w:p>
    <w:p w14:paraId="3139884C" w14:textId="77777777" w:rsidR="00B16D28" w:rsidRDefault="00B16D28" w:rsidP="00B16D28">
      <w:pPr>
        <w:keepNext/>
        <w:keepLines/>
      </w:pPr>
      <w:r w:rsidRPr="007D26EE">
        <w:rPr>
          <w:noProof/>
        </w:rPr>
        <mc:AlternateContent>
          <mc:Choice Requires="wps">
            <w:drawing>
              <wp:anchor distT="0" distB="0" distL="114300" distR="114300" simplePos="0" relativeHeight="251662336" behindDoc="0" locked="0" layoutInCell="1" allowOverlap="1" wp14:anchorId="3AFF6232" wp14:editId="7266E1D1">
                <wp:simplePos x="0" y="0"/>
                <wp:positionH relativeFrom="column">
                  <wp:posOffset>776177</wp:posOffset>
                </wp:positionH>
                <wp:positionV relativeFrom="paragraph">
                  <wp:posOffset>0</wp:posOffset>
                </wp:positionV>
                <wp:extent cx="6252845" cy="851535"/>
                <wp:effectExtent l="0" t="0" r="0" b="0"/>
                <wp:wrapNone/>
                <wp:docPr id="40" name="Rectangle 4"/>
                <wp:cNvGraphicFramePr/>
                <a:graphic xmlns:a="http://schemas.openxmlformats.org/drawingml/2006/main">
                  <a:graphicData uri="http://schemas.microsoft.com/office/word/2010/wordprocessingShape">
                    <wps:wsp>
                      <wps:cNvSpPr/>
                      <wps:spPr>
                        <a:xfrm>
                          <a:off x="0" y="0"/>
                          <a:ext cx="6252845" cy="851535"/>
                        </a:xfrm>
                        <a:prstGeom prst="rect">
                          <a:avLst/>
                        </a:prstGeom>
                      </wps:spPr>
                      <wps:txbx>
                        <w:txbxContent>
                          <w:p w14:paraId="479D6351" w14:textId="77777777" w:rsidR="00E33F7C" w:rsidRPr="007D26EE" w:rsidRDefault="000F0EF1" w:rsidP="00B16D28">
                            <w:pPr>
                              <w:kinsoku w:val="0"/>
                              <w:overflowPunct w:val="0"/>
                              <w:textAlignment w:val="baseline"/>
                              <w:rPr>
                                <w:sz w:val="24"/>
                                <w:szCs w:val="24"/>
                              </w:rPr>
                            </w:pPr>
                            <m:oMathPara>
                              <m:oMathParaPr>
                                <m:jc m:val="left"/>
                              </m:oMathParaPr>
                              <m:oMath>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Treated Acres</m:t>
                                    </m:r>
                                  </m:e>
                                  <m:sub>
                                    <m:r>
                                      <w:rPr>
                                        <w:rFonts w:ascii="Cambria Math" w:eastAsia="MS PGothic" w:hAnsi="Cambria Math" w:cs="MS PGothic"/>
                                        <w:color w:val="000000" w:themeColor="text1"/>
                                        <w:kern w:val="24"/>
                                        <w:sz w:val="24"/>
                                        <w:szCs w:val="24"/>
                                      </w:rPr>
                                      <m:t>min</m:t>
                                    </m:r>
                                  </m:sub>
                                </m:sSub>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 xml:space="preserve">Annual pounds AI </m:t>
                                    </m:r>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applied</m:t>
                                        </m:r>
                                      </m:e>
                                      <m:sub>
                                        <m:r>
                                          <w:rPr>
                                            <w:rFonts w:ascii="Cambria Math" w:eastAsia="MS PGothic" w:hAnsi="Cambria Math" w:cs="MS PGothic"/>
                                            <w:color w:val="000000" w:themeColor="text1"/>
                                            <w:kern w:val="24"/>
                                            <w:sz w:val="24"/>
                                            <w:szCs w:val="24"/>
                                          </w:rPr>
                                          <m:t>avg</m:t>
                                        </m:r>
                                      </m:sub>
                                    </m:sSub>
                                  </m:num>
                                  <m:den>
                                    <m:r>
                                      <w:rPr>
                                        <w:rFonts w:ascii="Cambria Math" w:eastAsia="MS PGothic" w:hAnsi="Cambria Math" w:cs="MS PGothic"/>
                                        <w:color w:val="000000" w:themeColor="text1"/>
                                        <w:kern w:val="24"/>
                                        <w:sz w:val="24"/>
                                        <w:szCs w:val="24"/>
                                      </w:rPr>
                                      <m:t xml:space="preserve">Label </m:t>
                                    </m:r>
                                    <m:sSub>
                                      <m:sSubPr>
                                        <m:ctrlPr>
                                          <w:rPr>
                                            <w:rFonts w:ascii="Cambria Math" w:eastAsia="MS PGothic" w:hAnsi="Cambria Math" w:cs="MS PGothic"/>
                                            <w:i/>
                                            <w:color w:val="000000" w:themeColor="text1"/>
                                            <w:kern w:val="24"/>
                                            <w:sz w:val="24"/>
                                            <w:szCs w:val="24"/>
                                          </w:rPr>
                                        </m:ctrlPr>
                                      </m:sSubPr>
                                      <m:e>
                                        <m:r>
                                          <w:rPr>
                                            <w:rFonts w:ascii="Cambria Math" w:eastAsia="MS PGothic" w:hAnsi="Cambria Math" w:cs="MS PGothic"/>
                                            <w:color w:val="000000" w:themeColor="text1"/>
                                            <w:kern w:val="24"/>
                                            <w:sz w:val="24"/>
                                            <w:szCs w:val="24"/>
                                          </w:rPr>
                                          <m:t>Rate</m:t>
                                        </m:r>
                                      </m:e>
                                      <m:sub>
                                        <m:r>
                                          <w:rPr>
                                            <w:rFonts w:ascii="Cambria Math" w:eastAsia="MS PGothic" w:hAnsi="Cambria Math" w:cs="MS PGothic"/>
                                            <w:color w:val="000000" w:themeColor="text1"/>
                                            <w:kern w:val="24"/>
                                            <w:sz w:val="24"/>
                                            <w:szCs w:val="24"/>
                                          </w:rPr>
                                          <m:t>max</m:t>
                                        </m:r>
                                      </m:sub>
                                    </m:sSub>
                                  </m:den>
                                </m:f>
                                <m:r>
                                  <m:rPr>
                                    <m:sty m:val="p"/>
                                  </m:rPr>
                                  <w:rPr>
                                    <w:rFonts w:ascii="Cambria Math" w:eastAsia="MS PGothic" w:hAnsi="Cambria Math" w:cs="MS PGothic"/>
                                    <w:color w:val="000000" w:themeColor="text1"/>
                                    <w:kern w:val="24"/>
                                    <w:sz w:val="24"/>
                                    <w:szCs w:val="24"/>
                                  </w:rPr>
                                  <m:t> </m:t>
                                </m:r>
                              </m:oMath>
                            </m:oMathPara>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3AFF6232" id="_x0000_s1030" style="position:absolute;margin-left:61.1pt;margin-top:0;width:492.35pt;height:6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" filled="f" stroked="f">
                <v:textbox style="mso-fit-shape-to-text:t">
                  <w:txbxContent>
                    <w:p w14:paraId="479D6351" w14:textId="77777777" w:rsidR="00E33F7C" w:rsidRPr="007D26EE" w:rsidRDefault="000F0EF1" w:rsidP="00B16D28">
                      <w:pPr>
                        <w:kinsoku w:val="0"/>
                        <w:overflowPunct w:val="0"/>
                        <w:textAlignment w:val="baseline"/>
                        <w:rPr>
                          <w:sz w:val="24"/>
                          <w:szCs w:val="24"/>
                        </w:rPr>
                      </w:pPr>
                      <m:oMathPara>
                        <m:oMathParaPr>
                          <m:jc m:val="left"/>
                        </m:oMathParaPr>
                        <m:oMath>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Treated Acres</m:t>
                              </m:r>
                            </m:e>
                            <m:sub>
                              <m:r>
                                <w:rPr>
                                  <w:rFonts w:ascii="Cambria Math" w:eastAsia="MS PGothic" w:hAnsi="Cambria Math" w:cs="MS PGothic"/>
                                  <w:color w:val="000000" w:themeColor="text1"/>
                                  <w:kern w:val="24"/>
                                  <w:sz w:val="24"/>
                                  <w:szCs w:val="24"/>
                                </w:rPr>
                                <m:t>min</m:t>
                              </m:r>
                            </m:sub>
                          </m:sSub>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 xml:space="preserve">Annual pounds AI </m:t>
                              </m:r>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applied</m:t>
                                  </m:r>
                                </m:e>
                                <m:sub>
                                  <m:r>
                                    <w:rPr>
                                      <w:rFonts w:ascii="Cambria Math" w:eastAsia="MS PGothic" w:hAnsi="Cambria Math" w:cs="MS PGothic"/>
                                      <w:color w:val="000000" w:themeColor="text1"/>
                                      <w:kern w:val="24"/>
                                      <w:sz w:val="24"/>
                                      <w:szCs w:val="24"/>
                                    </w:rPr>
                                    <m:t>avg</m:t>
                                  </m:r>
                                </m:sub>
                              </m:sSub>
                            </m:num>
                            <m:den>
                              <m:r>
                                <w:rPr>
                                  <w:rFonts w:ascii="Cambria Math" w:eastAsia="MS PGothic" w:hAnsi="Cambria Math" w:cs="MS PGothic"/>
                                  <w:color w:val="000000" w:themeColor="text1"/>
                                  <w:kern w:val="24"/>
                                  <w:sz w:val="24"/>
                                  <w:szCs w:val="24"/>
                                </w:rPr>
                                <m:t xml:space="preserve">Label </m:t>
                              </m:r>
                              <m:sSub>
                                <m:sSubPr>
                                  <m:ctrlPr>
                                    <w:rPr>
                                      <w:rFonts w:ascii="Cambria Math" w:eastAsia="MS PGothic" w:hAnsi="Cambria Math" w:cs="MS PGothic"/>
                                      <w:i/>
                                      <w:color w:val="000000" w:themeColor="text1"/>
                                      <w:kern w:val="24"/>
                                      <w:sz w:val="24"/>
                                      <w:szCs w:val="24"/>
                                    </w:rPr>
                                  </m:ctrlPr>
                                </m:sSubPr>
                                <m:e>
                                  <m:r>
                                    <w:rPr>
                                      <w:rFonts w:ascii="Cambria Math" w:eastAsia="MS PGothic" w:hAnsi="Cambria Math" w:cs="MS PGothic"/>
                                      <w:color w:val="000000" w:themeColor="text1"/>
                                      <w:kern w:val="24"/>
                                      <w:sz w:val="24"/>
                                      <w:szCs w:val="24"/>
                                    </w:rPr>
                                    <m:t>Rate</m:t>
                                  </m:r>
                                </m:e>
                                <m:sub>
                                  <m:r>
                                    <w:rPr>
                                      <w:rFonts w:ascii="Cambria Math" w:eastAsia="MS PGothic" w:hAnsi="Cambria Math" w:cs="MS PGothic"/>
                                      <w:color w:val="000000" w:themeColor="text1"/>
                                      <w:kern w:val="24"/>
                                      <w:sz w:val="24"/>
                                      <w:szCs w:val="24"/>
                                    </w:rPr>
                                    <m:t>max</m:t>
                                  </m:r>
                                </m:sub>
                              </m:sSub>
                            </m:den>
                          </m:f>
                          <m:r>
                            <m:rPr>
                              <m:sty m:val="p"/>
                            </m:rPr>
                            <w:rPr>
                              <w:rFonts w:ascii="Cambria Math" w:eastAsia="MS PGothic" w:hAnsi="Cambria Math" w:cs="MS PGothic"/>
                              <w:color w:val="000000" w:themeColor="text1"/>
                              <w:kern w:val="24"/>
                              <w:sz w:val="24"/>
                              <w:szCs w:val="24"/>
                            </w:rPr>
                            <m:t> </m:t>
                          </m:r>
                        </m:oMath>
                      </m:oMathPara>
                    </w:p>
                  </w:txbxContent>
                </v:textbox>
              </v:rect>
            </w:pict>
          </mc:Fallback>
        </mc:AlternateContent>
      </w:r>
      <w:r w:rsidRPr="00013559">
        <w:rPr>
          <w:b/>
          <w:bCs/>
        </w:rPr>
        <w:t xml:space="preserve">Equation </w:t>
      </w:r>
      <w:r>
        <w:rPr>
          <w:b/>
          <w:bCs/>
        </w:rPr>
        <w:t>2-3</w:t>
      </w:r>
      <w:r>
        <w:t xml:space="preserve">. </w:t>
      </w:r>
    </w:p>
    <w:p w14:paraId="072E8708" w14:textId="77777777" w:rsidR="00B16D28" w:rsidRDefault="00B16D28" w:rsidP="00B16D28">
      <w:pPr>
        <w:keepNext/>
        <w:keepLines/>
      </w:pPr>
    </w:p>
    <w:p w14:paraId="1EFEF2F5" w14:textId="77777777" w:rsidR="00B16D28" w:rsidRDefault="00B16D28" w:rsidP="00B16D28">
      <w:pPr>
        <w:keepNext/>
        <w:keepLines/>
      </w:pPr>
      <w:r>
        <w:t xml:space="preserve">Where: </w:t>
      </w:r>
    </w:p>
    <w:tbl>
      <w:tblPr>
        <w:tblW w:w="7640" w:type="dxa"/>
        <w:shd w:val="clear" w:color="auto" w:fill="FFFFFF" w:themeFill="background1"/>
        <w:tblCellMar>
          <w:left w:w="0" w:type="dxa"/>
          <w:right w:w="0" w:type="dxa"/>
        </w:tblCellMar>
        <w:tblLook w:val="0600" w:firstRow="0" w:lastRow="0" w:firstColumn="0" w:lastColumn="0" w:noHBand="1" w:noVBand="1"/>
      </w:tblPr>
      <w:tblGrid>
        <w:gridCol w:w="2330"/>
        <w:gridCol w:w="5310"/>
      </w:tblGrid>
      <w:tr w:rsidR="00B16D28" w:rsidRPr="00394241" w14:paraId="6EC516C5" w14:textId="77777777" w:rsidTr="002D67BD">
        <w:trPr>
          <w:trHeight w:val="259"/>
        </w:trPr>
        <w:tc>
          <w:tcPr>
            <w:tcW w:w="233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35BB6B8F" w14:textId="77777777" w:rsidR="00B16D28" w:rsidRPr="00394241" w:rsidRDefault="00B16D28" w:rsidP="002D67BD">
            <w:pPr>
              <w:pStyle w:val="NoSpacing"/>
              <w:keepNext/>
              <w:jc w:val="right"/>
            </w:pPr>
            <w:r w:rsidRPr="00281852">
              <w:rPr>
                <w:sz w:val="18"/>
                <w:szCs w:val="18"/>
              </w:rPr>
              <w:t>Annual pounds AI applied</w:t>
            </w:r>
            <w:r>
              <w:rPr>
                <w:sz w:val="18"/>
                <w:szCs w:val="18"/>
              </w:rPr>
              <w:t xml:space="preserve"> </w:t>
            </w:r>
            <w:r w:rsidRPr="00281852">
              <w:rPr>
                <w:sz w:val="18"/>
                <w:szCs w:val="18"/>
                <w:vertAlign w:val="subscript"/>
              </w:rPr>
              <w:t>avg</w:t>
            </w:r>
            <w:r w:rsidRPr="00281852">
              <w:rPr>
                <w:sz w:val="18"/>
                <w:szCs w:val="18"/>
              </w:rPr>
              <w:t xml:space="preserve"> </w:t>
            </w:r>
            <w:r w:rsidRPr="00394241">
              <w:t>=</w:t>
            </w:r>
          </w:p>
        </w:tc>
        <w:tc>
          <w:tcPr>
            <w:tcW w:w="531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721A1C85" w14:textId="77777777" w:rsidR="00B16D28" w:rsidRPr="00394241" w:rsidRDefault="00B16D28" w:rsidP="002D67BD">
            <w:pPr>
              <w:pStyle w:val="NoSpacing"/>
              <w:keepNext/>
            </w:pPr>
            <w:r w:rsidRPr="00394241">
              <w:t xml:space="preserve"> </w:t>
            </w:r>
            <w:r>
              <w:t xml:space="preserve">Annual average pounds applied of Active Ingredient  </w:t>
            </w:r>
          </w:p>
        </w:tc>
      </w:tr>
      <w:tr w:rsidR="00B16D28" w:rsidRPr="00394241" w14:paraId="5DBF47D2" w14:textId="77777777" w:rsidTr="002D67BD">
        <w:trPr>
          <w:trHeight w:val="61"/>
        </w:trPr>
        <w:tc>
          <w:tcPr>
            <w:tcW w:w="233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1A077888" w14:textId="77777777" w:rsidR="00B16D28" w:rsidRPr="00394241" w:rsidRDefault="00B16D28" w:rsidP="002D67BD">
            <w:pPr>
              <w:pStyle w:val="NoSpacing"/>
              <w:keepNext/>
              <w:jc w:val="right"/>
            </w:pPr>
            <w:r>
              <w:t xml:space="preserve">Label Rate </w:t>
            </w:r>
            <w:r w:rsidRPr="00281852">
              <w:rPr>
                <w:vertAlign w:val="subscript"/>
              </w:rPr>
              <w:t>min</w:t>
            </w:r>
            <w:r w:rsidRPr="00394241">
              <w:t>=</w:t>
            </w:r>
          </w:p>
        </w:tc>
        <w:tc>
          <w:tcPr>
            <w:tcW w:w="531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2BA7C1B7" w14:textId="77777777" w:rsidR="00B16D28" w:rsidRPr="00394241" w:rsidRDefault="00B16D28" w:rsidP="002D67BD">
            <w:pPr>
              <w:pStyle w:val="NoSpacing"/>
              <w:keepNext/>
            </w:pPr>
            <w:r>
              <w:t xml:space="preserve"> </w:t>
            </w:r>
            <w:r w:rsidRPr="000A51C1">
              <w:rPr>
                <w:sz w:val="20"/>
                <w:szCs w:val="20"/>
              </w:rPr>
              <w:t xml:space="preserve">Minimum application rate for the chemical in the SUUM </w:t>
            </w:r>
            <w:r w:rsidRPr="000A51C1">
              <w:rPr>
                <w:sz w:val="16"/>
                <w:szCs w:val="16"/>
              </w:rPr>
              <w:t>(lb ai/a)</w:t>
            </w:r>
          </w:p>
        </w:tc>
      </w:tr>
      <w:tr w:rsidR="00B16D28" w14:paraId="2AB141CA" w14:textId="77777777" w:rsidTr="002D67BD">
        <w:trPr>
          <w:trHeight w:val="61"/>
        </w:trPr>
        <w:tc>
          <w:tcPr>
            <w:tcW w:w="233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tcPr>
          <w:p w14:paraId="0E3321ED" w14:textId="77777777" w:rsidR="00B16D28" w:rsidRDefault="00B16D28" w:rsidP="002D67BD">
            <w:pPr>
              <w:pStyle w:val="NoSpacing"/>
              <w:keepNext/>
              <w:jc w:val="center"/>
            </w:pPr>
            <w:r>
              <w:t xml:space="preserve">                   Label Rate </w:t>
            </w:r>
            <w:r w:rsidRPr="00281852">
              <w:rPr>
                <w:vertAlign w:val="subscript"/>
              </w:rPr>
              <w:t>m</w:t>
            </w:r>
            <w:r>
              <w:rPr>
                <w:vertAlign w:val="subscript"/>
              </w:rPr>
              <w:t xml:space="preserve">ax </w:t>
            </w:r>
            <w:r w:rsidRPr="000A51C1">
              <w:t>=</w:t>
            </w:r>
          </w:p>
        </w:tc>
        <w:tc>
          <w:tcPr>
            <w:tcW w:w="531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tcPr>
          <w:p w14:paraId="5AA94462" w14:textId="77777777" w:rsidR="00B16D28" w:rsidRDefault="00B16D28" w:rsidP="002D67BD">
            <w:pPr>
              <w:pStyle w:val="NoSpacing"/>
              <w:keepNext/>
            </w:pPr>
            <w:r w:rsidRPr="000A51C1">
              <w:rPr>
                <w:sz w:val="18"/>
                <w:szCs w:val="18"/>
              </w:rPr>
              <w:t xml:space="preserve"> Maximum application rate for the chemical in the SUUM (lb ai/a) </w:t>
            </w:r>
          </w:p>
        </w:tc>
      </w:tr>
      <w:tr w:rsidR="00B16D28" w:rsidRPr="00394241" w14:paraId="5310E2A4" w14:textId="77777777" w:rsidTr="002D67BD">
        <w:trPr>
          <w:trHeight w:val="31"/>
        </w:trPr>
        <w:tc>
          <w:tcPr>
            <w:tcW w:w="233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6D35A238" w14:textId="77777777" w:rsidR="00B16D28" w:rsidRPr="00394241" w:rsidRDefault="00B16D28" w:rsidP="002D67BD">
            <w:pPr>
              <w:pStyle w:val="NoSpacing"/>
              <w:keepNext/>
              <w:jc w:val="right"/>
            </w:pPr>
            <w:r>
              <w:t xml:space="preserve">Treated Acres </w:t>
            </w:r>
            <w:r>
              <w:rPr>
                <w:vertAlign w:val="subscript"/>
              </w:rPr>
              <w:t>avg</w:t>
            </w:r>
            <w:r w:rsidRPr="00394241">
              <w:t xml:space="preserve"> =</w:t>
            </w:r>
          </w:p>
        </w:tc>
        <w:tc>
          <w:tcPr>
            <w:tcW w:w="531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3D9D3541" w14:textId="77777777" w:rsidR="00B16D28" w:rsidRPr="00394241" w:rsidRDefault="00B16D28" w:rsidP="002D67BD">
            <w:pPr>
              <w:pStyle w:val="NoSpacing"/>
              <w:keepNext/>
            </w:pPr>
            <w:r w:rsidRPr="00394241">
              <w:t xml:space="preserve"> </w:t>
            </w:r>
            <w:r>
              <w:t>Estimated maximum treated acres based on label rates</w:t>
            </w:r>
          </w:p>
        </w:tc>
      </w:tr>
    </w:tbl>
    <w:p w14:paraId="49D39A39" w14:textId="0AE0DC8D" w:rsidR="00B16D28" w:rsidRDefault="00B16D28" w:rsidP="00B16D28"/>
    <w:p w14:paraId="55D06515" w14:textId="51A2010A" w:rsidR="00B16D28" w:rsidRDefault="00381768" w:rsidP="00B16D28">
      <w:bookmarkStart w:id="13" w:name="_Hlk77600853"/>
      <w:r>
        <w:t>After calculating the estimated maximum, average and minimum treated acres based on the above methods, the associated aggregated</w:t>
      </w:r>
      <w:bookmarkEnd w:id="13"/>
      <w:r>
        <w:t xml:space="preserve"> </w:t>
      </w:r>
      <w:r w:rsidR="00B16D28">
        <w:t>PCT</w:t>
      </w:r>
      <w:r>
        <w:t>s equals</w:t>
      </w:r>
      <w:r w:rsidR="00B16D28">
        <w:t xml:space="preserve"> the treated acres are divided by total treatable acres reported in the SUUM when available, or the estimated treatable acres based on the area found in the UDL</w:t>
      </w:r>
      <w:r>
        <w:t xml:space="preserve"> </w:t>
      </w:r>
      <w:bookmarkStart w:id="14" w:name="_Hlk77600867"/>
      <w:r>
        <w:t>if the total treatable acres is not reported in the SUUM</w:t>
      </w:r>
      <w:bookmarkEnd w:id="14"/>
      <w:r w:rsidR="00B16D28">
        <w:t xml:space="preserve"> </w:t>
      </w:r>
      <w:r w:rsidR="00B16D28" w:rsidRPr="00353B9E">
        <w:rPr>
          <w:b/>
          <w:bCs/>
        </w:rPr>
        <w:t>(</w:t>
      </w:r>
      <w:r w:rsidR="00B16D28">
        <w:rPr>
          <w:b/>
          <w:bCs/>
        </w:rPr>
        <w:t>Equation 3)</w:t>
      </w:r>
      <w:r w:rsidR="00B16D28">
        <w:t>.</w:t>
      </w:r>
    </w:p>
    <w:p w14:paraId="36C2B171" w14:textId="77777777" w:rsidR="00B16D28" w:rsidRDefault="00B16D28" w:rsidP="00B16D28">
      <w:pPr>
        <w:keepNext/>
      </w:pPr>
      <w:r w:rsidRPr="007D26EE">
        <w:rPr>
          <w:noProof/>
        </w:rPr>
        <mc:AlternateContent>
          <mc:Choice Requires="wps">
            <w:drawing>
              <wp:anchor distT="0" distB="0" distL="114300" distR="114300" simplePos="0" relativeHeight="251663360" behindDoc="0" locked="0" layoutInCell="1" allowOverlap="1" wp14:anchorId="6FF1FDF8" wp14:editId="31A8F46D">
                <wp:simplePos x="0" y="0"/>
                <wp:positionH relativeFrom="column">
                  <wp:posOffset>776177</wp:posOffset>
                </wp:positionH>
                <wp:positionV relativeFrom="paragraph">
                  <wp:posOffset>0</wp:posOffset>
                </wp:positionV>
                <wp:extent cx="6252845" cy="851535"/>
                <wp:effectExtent l="0" t="0" r="0" b="0"/>
                <wp:wrapNone/>
                <wp:docPr id="57" name="Rectangle 4"/>
                <wp:cNvGraphicFramePr/>
                <a:graphic xmlns:a="http://schemas.openxmlformats.org/drawingml/2006/main">
                  <a:graphicData uri="http://schemas.microsoft.com/office/word/2010/wordprocessingShape">
                    <wps:wsp>
                      <wps:cNvSpPr/>
                      <wps:spPr>
                        <a:xfrm>
                          <a:off x="0" y="0"/>
                          <a:ext cx="6252845" cy="851535"/>
                        </a:xfrm>
                        <a:prstGeom prst="rect">
                          <a:avLst/>
                        </a:prstGeom>
                      </wps:spPr>
                      <wps:txbx>
                        <w:txbxContent>
                          <w:p w14:paraId="7BF7EA99" w14:textId="77777777" w:rsidR="00E33F7C" w:rsidRPr="007D26EE" w:rsidRDefault="000F0EF1" w:rsidP="00B16D28">
                            <w:pPr>
                              <w:kinsoku w:val="0"/>
                              <w:overflowPunct w:val="0"/>
                              <w:textAlignment w:val="baseline"/>
                              <w:rPr>
                                <w:sz w:val="24"/>
                                <w:szCs w:val="24"/>
                              </w:rPr>
                            </w:pPr>
                            <m:oMathPara>
                              <m:oMathParaPr>
                                <m:jc m:val="left"/>
                              </m:oMathParaPr>
                              <m:oMath>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PCT</m:t>
                                    </m:r>
                                  </m:e>
                                  <m:sub>
                                    <m:r>
                                      <w:rPr>
                                        <w:rFonts w:ascii="Cambria Math" w:eastAsia="MS PGothic" w:hAnsi="Cambria Math" w:cs="MS PGothic"/>
                                        <w:color w:val="000000" w:themeColor="text1"/>
                                        <w:kern w:val="24"/>
                                        <w:sz w:val="24"/>
                                        <w:szCs w:val="24"/>
                                      </w:rPr>
                                      <m:t>i</m:t>
                                    </m:r>
                                  </m:sub>
                                </m:sSub>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 xml:space="preserve"> </m:t>
                                    </m:r>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Treated Acres</m:t>
                                        </m:r>
                                      </m:e>
                                      <m:sub>
                                        <m:r>
                                          <w:rPr>
                                            <w:rFonts w:ascii="Cambria Math" w:eastAsia="MS PGothic" w:hAnsi="Cambria Math" w:cs="MS PGothic"/>
                                            <w:color w:val="000000" w:themeColor="text1"/>
                                            <w:kern w:val="24"/>
                                            <w:sz w:val="24"/>
                                            <w:szCs w:val="24"/>
                                          </w:rPr>
                                          <m:t>i</m:t>
                                        </m:r>
                                      </m:sub>
                                    </m:sSub>
                                  </m:num>
                                  <m:den>
                                    <m:r>
                                      <w:rPr>
                                        <w:rFonts w:ascii="Cambria Math" w:eastAsia="MS PGothic" w:hAnsi="Cambria Math" w:cs="MS PGothic"/>
                                        <w:color w:val="000000" w:themeColor="text1"/>
                                        <w:kern w:val="24"/>
                                        <w:sz w:val="24"/>
                                        <w:szCs w:val="24"/>
                                      </w:rPr>
                                      <m:t>Total Treatable Acres</m:t>
                                    </m:r>
                                  </m:den>
                                </m:f>
                                <m:r>
                                  <m:rPr>
                                    <m:sty m:val="p"/>
                                  </m:rPr>
                                  <w:rPr>
                                    <w:rFonts w:ascii="Cambria Math" w:eastAsia="MS PGothic" w:hAnsi="Cambria Math" w:cs="MS PGothic"/>
                                    <w:color w:val="000000" w:themeColor="text1"/>
                                    <w:kern w:val="24"/>
                                    <w:sz w:val="24"/>
                                    <w:szCs w:val="24"/>
                                  </w:rPr>
                                  <m:t> </m:t>
                                </m:r>
                              </m:oMath>
                            </m:oMathPara>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6FF1FDF8" id="_x0000_s1031" style="position:absolute;margin-left:61.1pt;margin-top:0;width:492.35pt;height:6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" filled="f" stroked="f">
                <v:textbox style="mso-fit-shape-to-text:t">
                  <w:txbxContent>
                    <w:p w14:paraId="7BF7EA99" w14:textId="77777777" w:rsidR="00E33F7C" w:rsidRPr="007D26EE" w:rsidRDefault="000F0EF1" w:rsidP="00B16D28">
                      <w:pPr>
                        <w:kinsoku w:val="0"/>
                        <w:overflowPunct w:val="0"/>
                        <w:textAlignment w:val="baseline"/>
                        <w:rPr>
                          <w:sz w:val="24"/>
                          <w:szCs w:val="24"/>
                        </w:rPr>
                      </w:pPr>
                      <m:oMathPara>
                        <m:oMathParaPr>
                          <m:jc m:val="left"/>
                        </m:oMathParaPr>
                        <m:oMath>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PCT</m:t>
                              </m:r>
                            </m:e>
                            <m:sub>
                              <m:r>
                                <w:rPr>
                                  <w:rFonts w:ascii="Cambria Math" w:eastAsia="MS PGothic" w:hAnsi="Cambria Math" w:cs="MS PGothic"/>
                                  <w:color w:val="000000" w:themeColor="text1"/>
                                  <w:kern w:val="24"/>
                                  <w:sz w:val="24"/>
                                  <w:szCs w:val="24"/>
                                </w:rPr>
                                <m:t>i</m:t>
                              </m:r>
                            </m:sub>
                          </m:sSub>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 xml:space="preserve"> </m:t>
                              </m:r>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Treated Acres</m:t>
                                  </m:r>
                                </m:e>
                                <m:sub>
                                  <m:r>
                                    <w:rPr>
                                      <w:rFonts w:ascii="Cambria Math" w:eastAsia="MS PGothic" w:hAnsi="Cambria Math" w:cs="MS PGothic"/>
                                      <w:color w:val="000000" w:themeColor="text1"/>
                                      <w:kern w:val="24"/>
                                      <w:sz w:val="24"/>
                                      <w:szCs w:val="24"/>
                                    </w:rPr>
                                    <m:t>i</m:t>
                                  </m:r>
                                </m:sub>
                              </m:sSub>
                            </m:num>
                            <m:den>
                              <m:r>
                                <w:rPr>
                                  <w:rFonts w:ascii="Cambria Math" w:eastAsia="MS PGothic" w:hAnsi="Cambria Math" w:cs="MS PGothic"/>
                                  <w:color w:val="000000" w:themeColor="text1"/>
                                  <w:kern w:val="24"/>
                                  <w:sz w:val="24"/>
                                  <w:szCs w:val="24"/>
                                </w:rPr>
                                <m:t>Total Treatable Acres</m:t>
                              </m:r>
                            </m:den>
                          </m:f>
                          <m:r>
                            <m:rPr>
                              <m:sty m:val="p"/>
                            </m:rPr>
                            <w:rPr>
                              <w:rFonts w:ascii="Cambria Math" w:eastAsia="MS PGothic" w:hAnsi="Cambria Math" w:cs="MS PGothic"/>
                              <w:color w:val="000000" w:themeColor="text1"/>
                              <w:kern w:val="24"/>
                              <w:sz w:val="24"/>
                              <w:szCs w:val="24"/>
                            </w:rPr>
                            <m:t> </m:t>
                          </m:r>
                        </m:oMath>
                      </m:oMathPara>
                    </w:p>
                  </w:txbxContent>
                </v:textbox>
              </v:rect>
            </w:pict>
          </mc:Fallback>
        </mc:AlternateContent>
      </w:r>
      <w:r w:rsidRPr="00013559">
        <w:rPr>
          <w:b/>
          <w:bCs/>
        </w:rPr>
        <w:t xml:space="preserve">Equation </w:t>
      </w:r>
      <w:r>
        <w:rPr>
          <w:b/>
          <w:bCs/>
        </w:rPr>
        <w:t>3</w:t>
      </w:r>
      <w:r>
        <w:t xml:space="preserve">. </w:t>
      </w:r>
    </w:p>
    <w:p w14:paraId="661E1B95" w14:textId="77777777" w:rsidR="00B16D28" w:rsidRDefault="00B16D28" w:rsidP="00B16D28">
      <w:pPr>
        <w:keepNext/>
      </w:pPr>
    </w:p>
    <w:p w14:paraId="2C1513AC" w14:textId="77777777" w:rsidR="00B16D28" w:rsidRDefault="00B16D28" w:rsidP="00B16D28">
      <w:pPr>
        <w:keepNext/>
      </w:pPr>
      <w:r>
        <w:t xml:space="preserve">Where: </w:t>
      </w:r>
    </w:p>
    <w:tbl>
      <w:tblPr>
        <w:tblW w:w="10247" w:type="dxa"/>
        <w:shd w:val="clear" w:color="auto" w:fill="FFFFFF" w:themeFill="background1"/>
        <w:tblCellMar>
          <w:left w:w="0" w:type="dxa"/>
          <w:right w:w="0" w:type="dxa"/>
        </w:tblCellMar>
        <w:tblLook w:val="0600" w:firstRow="0" w:lastRow="0" w:firstColumn="0" w:lastColumn="0" w:noHBand="1" w:noVBand="1"/>
      </w:tblPr>
      <w:tblGrid>
        <w:gridCol w:w="2150"/>
        <w:gridCol w:w="8097"/>
      </w:tblGrid>
      <w:tr w:rsidR="00B16D28" w:rsidRPr="00394241" w14:paraId="1FF2D9E2" w14:textId="77777777" w:rsidTr="002D67BD">
        <w:trPr>
          <w:trHeight w:val="259"/>
        </w:trPr>
        <w:tc>
          <w:tcPr>
            <w:tcW w:w="215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bottom"/>
            <w:hideMark/>
          </w:tcPr>
          <w:p w14:paraId="3FA08095" w14:textId="77777777" w:rsidR="00B16D28" w:rsidRPr="00394241" w:rsidRDefault="00B16D28" w:rsidP="002D67BD">
            <w:pPr>
              <w:pStyle w:val="NoSpacing"/>
              <w:keepNext/>
              <w:jc w:val="right"/>
            </w:pPr>
            <w:r>
              <w:rPr>
                <w:sz w:val="18"/>
                <w:szCs w:val="18"/>
              </w:rPr>
              <w:t>i</w:t>
            </w:r>
            <w:r>
              <w:t xml:space="preserve"> </w:t>
            </w:r>
            <w:r w:rsidRPr="00394241">
              <w:t>=</w:t>
            </w:r>
          </w:p>
        </w:tc>
        <w:tc>
          <w:tcPr>
            <w:tcW w:w="8097"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bottom"/>
            <w:hideMark/>
          </w:tcPr>
          <w:p w14:paraId="0B719878" w14:textId="77777777" w:rsidR="00B16D28" w:rsidRPr="00394241" w:rsidRDefault="00B16D28" w:rsidP="002D67BD">
            <w:pPr>
              <w:pStyle w:val="NoSpacing"/>
              <w:keepNext/>
            </w:pPr>
            <w:r>
              <w:t>PCT Estimate, max, avg, or min</w:t>
            </w:r>
          </w:p>
        </w:tc>
      </w:tr>
      <w:tr w:rsidR="00B16D28" w:rsidRPr="00394241" w14:paraId="41D0AB44" w14:textId="77777777" w:rsidTr="002D67BD">
        <w:trPr>
          <w:trHeight w:val="61"/>
        </w:trPr>
        <w:tc>
          <w:tcPr>
            <w:tcW w:w="215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bottom"/>
            <w:hideMark/>
          </w:tcPr>
          <w:p w14:paraId="429D85F9" w14:textId="77777777" w:rsidR="00B16D28" w:rsidRPr="00394241" w:rsidRDefault="00B16D28" w:rsidP="002D67BD">
            <w:pPr>
              <w:pStyle w:val="NoSpacing"/>
              <w:keepNext/>
              <w:jc w:val="right"/>
            </w:pPr>
            <w:r w:rsidRPr="00A55038">
              <w:t>Treated Acres</w:t>
            </w:r>
            <w:r>
              <w:rPr>
                <w:vertAlign w:val="subscript"/>
              </w:rPr>
              <w:t xml:space="preserve"> </w:t>
            </w:r>
            <w:r w:rsidRPr="00394241">
              <w:t>=</w:t>
            </w:r>
          </w:p>
        </w:tc>
        <w:tc>
          <w:tcPr>
            <w:tcW w:w="8097"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bottom"/>
            <w:hideMark/>
          </w:tcPr>
          <w:p w14:paraId="30297740" w14:textId="77777777" w:rsidR="00B16D28" w:rsidRPr="00394241" w:rsidRDefault="00B16D28" w:rsidP="002D67BD">
            <w:pPr>
              <w:pStyle w:val="NoSpacing"/>
              <w:keepNext/>
            </w:pPr>
            <w:r>
              <w:t>Estimated treated acres</w:t>
            </w:r>
          </w:p>
        </w:tc>
      </w:tr>
      <w:tr w:rsidR="00B16D28" w:rsidRPr="00394241" w14:paraId="6C601DF7" w14:textId="77777777" w:rsidTr="002D67BD">
        <w:trPr>
          <w:trHeight w:val="31"/>
        </w:trPr>
        <w:tc>
          <w:tcPr>
            <w:tcW w:w="215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bottom"/>
            <w:hideMark/>
          </w:tcPr>
          <w:p w14:paraId="7D472172" w14:textId="77777777" w:rsidR="00B16D28" w:rsidRPr="00394241" w:rsidRDefault="00B16D28" w:rsidP="002D67BD">
            <w:pPr>
              <w:pStyle w:val="NoSpacing"/>
              <w:keepNext/>
              <w:jc w:val="right"/>
            </w:pPr>
            <w:r w:rsidRPr="00A55038">
              <w:t>Total Treatable Acres</w:t>
            </w:r>
            <w:r w:rsidRPr="00394241">
              <w:t>=</w:t>
            </w:r>
          </w:p>
        </w:tc>
        <w:tc>
          <w:tcPr>
            <w:tcW w:w="8097"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bottom"/>
            <w:hideMark/>
          </w:tcPr>
          <w:p w14:paraId="2CDB1923" w14:textId="77777777" w:rsidR="00B16D28" w:rsidRPr="00394241" w:rsidRDefault="00B16D28" w:rsidP="002D67BD">
            <w:pPr>
              <w:pStyle w:val="NoSpacing"/>
              <w:keepNext/>
            </w:pPr>
            <w:r>
              <w:t>Total treated acres as reported in the SUUM or estimated based on the UDL</w:t>
            </w:r>
          </w:p>
        </w:tc>
      </w:tr>
    </w:tbl>
    <w:p w14:paraId="3E6A8D28" w14:textId="77777777" w:rsidR="00B16D28" w:rsidRDefault="00B16D28" w:rsidP="00B16D28"/>
    <w:p w14:paraId="14E674C4" w14:textId="77777777" w:rsidR="00A97456" w:rsidRDefault="00A97456" w:rsidP="00A97456">
      <w:pPr>
        <w:pStyle w:val="NoSpacing"/>
      </w:pPr>
      <w:bookmarkStart w:id="15" w:name="_Hlk76245744"/>
      <w:bookmarkEnd w:id="7"/>
      <w:r>
        <w:lastRenderedPageBreak/>
        <w:t>Due to limited non-agricultural usage data for clothianidin, most uses were assumed to have 100% PCT, but when data was available this was refined, and the lower limit PCT of 2.5% when no usage was reported.</w:t>
      </w:r>
    </w:p>
    <w:bookmarkEnd w:id="15"/>
    <w:p w14:paraId="196ADD68" w14:textId="77777777" w:rsidR="00A97456" w:rsidRDefault="00A97456" w:rsidP="00B16D28"/>
    <w:p w14:paraId="1DB3A4F1" w14:textId="7B26C545" w:rsidR="00B16D28" w:rsidRPr="00F516C7" w:rsidRDefault="00B16D28" w:rsidP="00B16D28">
      <w:pPr>
        <w:rPr>
          <w:rFonts w:cstheme="minorHAnsi"/>
        </w:rPr>
      </w:pPr>
      <w:r w:rsidRPr="00FA5029">
        <w:t xml:space="preserve">Due to the uncertainty </w:t>
      </w:r>
      <w:r>
        <w:t>in</w:t>
      </w:r>
      <w:r w:rsidRPr="00FA5029">
        <w:t xml:space="preserve"> estimating the treated acres based on application rate</w:t>
      </w:r>
      <w:r>
        <w:t>s</w:t>
      </w:r>
      <w:r w:rsidRPr="00FA5029">
        <w:t xml:space="preserve">, if a minimum PCT </w:t>
      </w:r>
      <w:r>
        <w:t>results in a value</w:t>
      </w:r>
      <w:r w:rsidRPr="00FA5029">
        <w:t xml:space="preserve"> greater than the average, the minimum PCT is set equal to the average</w:t>
      </w:r>
      <w:r>
        <w:t xml:space="preserve">. </w:t>
      </w:r>
      <w:bookmarkStart w:id="16" w:name="_Hlk49180012"/>
      <w:r>
        <w:rPr>
          <w:rFonts w:cstheme="minorHAnsi"/>
        </w:rPr>
        <w:t>The following sections provides additional information for each use sites based the corresponding UDL</w:t>
      </w:r>
      <w:bookmarkEnd w:id="16"/>
      <w:r>
        <w:rPr>
          <w:rFonts w:cstheme="minorHAnsi"/>
        </w:rPr>
        <w:t>.</w:t>
      </w:r>
    </w:p>
    <w:p w14:paraId="456669B9" w14:textId="77777777" w:rsidR="00B16D28" w:rsidRDefault="00B16D28" w:rsidP="00626F43">
      <w:pPr>
        <w:pStyle w:val="Heading2"/>
      </w:pPr>
      <w:bookmarkStart w:id="17" w:name="_Hlk16503857"/>
      <w:bookmarkStart w:id="18" w:name="_Hlk32182835"/>
      <w:bookmarkEnd w:id="5"/>
      <w:r>
        <w:t>Christmas Trees</w:t>
      </w:r>
    </w:p>
    <w:p w14:paraId="7B0F749B" w14:textId="16A71972" w:rsidR="00216385" w:rsidRPr="002035CB" w:rsidRDefault="00CB63DC" w:rsidP="00B16D28">
      <w:r>
        <w:t>For the NL48 only one region</w:t>
      </w:r>
      <w:r w:rsidR="00D649F3">
        <w:t>,</w:t>
      </w:r>
      <w:r>
        <w:t xml:space="preserve"> Alaska</w:t>
      </w:r>
      <w:r w:rsidR="00D649F3">
        <w:t>,</w:t>
      </w:r>
      <w:r>
        <w:t xml:space="preserve"> had data specific to christmas trees. However, there was no usage data specific to christmas trees</w:t>
      </w:r>
      <w:r w:rsidRPr="00D17726">
        <w:rPr>
          <w:rFonts w:ascii="Calibri" w:hAnsi="Calibri" w:cs="Calibri"/>
          <w:color w:val="000000" w:themeColor="text1"/>
        </w:rPr>
        <w:t>. For this reason, 100% PCT was assumed</w:t>
      </w:r>
      <w:r w:rsidRPr="002035CB">
        <w:rPr>
          <w:rStyle w:val="normaltextrun"/>
          <w:rFonts w:ascii="Calibri" w:hAnsi="Calibri" w:cs="Calibri"/>
          <w:shd w:val="clear" w:color="auto" w:fill="FFFFFF"/>
        </w:rPr>
        <w:t xml:space="preserve">, with acre estimates from the Christmas tree UDL for Alaska. The other regions in the NL 48 did not have available spatial data for christmas trees. It was assumed that the acreage for this use either did not exist </w:t>
      </w:r>
      <w:r w:rsidR="00AC529F" w:rsidRPr="002035CB">
        <w:rPr>
          <w:rStyle w:val="normaltextrun"/>
          <w:rFonts w:ascii="Calibri" w:hAnsi="Calibri" w:cs="Calibri"/>
          <w:shd w:val="clear" w:color="auto" w:fill="FFFFFF"/>
        </w:rPr>
        <w:t>or could</w:t>
      </w:r>
      <w:r w:rsidRPr="002035CB">
        <w:rPr>
          <w:rStyle w:val="normaltextrun"/>
          <w:rFonts w:ascii="Calibri" w:hAnsi="Calibri" w:cs="Calibri"/>
          <w:shd w:val="clear" w:color="auto" w:fill="FFFFFF"/>
        </w:rPr>
        <w:t xml:space="preserve"> not be adequately estimated. </w:t>
      </w:r>
    </w:p>
    <w:p w14:paraId="70040516" w14:textId="20323B8C" w:rsidR="00B16D28" w:rsidRDefault="00B16D28" w:rsidP="00626F43">
      <w:pPr>
        <w:pStyle w:val="Heading2"/>
      </w:pPr>
      <w:r w:rsidRPr="00796B2F">
        <w:t>Developed</w:t>
      </w:r>
      <w:r w:rsidRPr="00F37880">
        <w:t xml:space="preserve"> </w:t>
      </w:r>
    </w:p>
    <w:p w14:paraId="54656BE6" w14:textId="45821BBD" w:rsidR="00B16D28" w:rsidRPr="00626F43" w:rsidRDefault="00AC529F" w:rsidP="00626F43">
      <w:r>
        <w:t xml:space="preserve">When considering the available usage data for open space developed uses of </w:t>
      </w:r>
      <w:r w:rsidR="4924D0E5">
        <w:t>i</w:t>
      </w:r>
      <w:r w:rsidR="18F7977B">
        <w:t>midacloprid</w:t>
      </w:r>
      <w:r>
        <w:t>, the majority  of registered uses are not surveyed at the national level and include, Premises and other Areas such as Agricultural/Farm Buildings, and Residential/Recreational/Schools/Institutional/Retail buildings. Pounds applied for these uses are not available and therefore 100% PCT used, with acre estimates from the developed UDL for the NL48.</w:t>
      </w:r>
      <w:bookmarkStart w:id="19" w:name="_Hlk33872941"/>
    </w:p>
    <w:bookmarkEnd w:id="19"/>
    <w:p w14:paraId="0F2B1487" w14:textId="1782AF72" w:rsidR="00A97456" w:rsidRDefault="00A97456" w:rsidP="00626F43">
      <w:pPr>
        <w:pStyle w:val="Heading2"/>
      </w:pPr>
      <w:r>
        <w:t>Open Space Developed:</w:t>
      </w:r>
    </w:p>
    <w:p w14:paraId="51E92A8C" w14:textId="2851BB91" w:rsidR="00B16D28" w:rsidRPr="00626F43" w:rsidRDefault="00A97456" w:rsidP="00626F43">
      <w:r>
        <w:t xml:space="preserve">When considering the available usage data for open space developed uses of </w:t>
      </w:r>
      <w:r w:rsidR="5DEA9006">
        <w:t>i</w:t>
      </w:r>
      <w:r w:rsidR="18F7977B">
        <w:t>midacloprid</w:t>
      </w:r>
      <w:r>
        <w:t xml:space="preserve">, the majority  of registered uses are not surveyed at the national level and include, ornamentals, lawns, golf courses and sod farms. </w:t>
      </w:r>
      <w:r w:rsidR="00D649F3">
        <w:t>Usage information for this use</w:t>
      </w:r>
      <w:r>
        <w:t xml:space="preserve"> </w:t>
      </w:r>
      <w:r w:rsidR="00D649F3">
        <w:t>is</w:t>
      </w:r>
      <w:r>
        <w:t xml:space="preserve"> not available and therefore 100% PCT </w:t>
      </w:r>
      <w:r w:rsidR="00D649F3">
        <w:t>was assumed</w:t>
      </w:r>
      <w:r>
        <w:t>, with acre estimates from the open spaced developed UDL for the NL48.</w:t>
      </w:r>
    </w:p>
    <w:p w14:paraId="79122E73" w14:textId="77777777" w:rsidR="00B16D28" w:rsidRDefault="00B16D28" w:rsidP="00626F43">
      <w:pPr>
        <w:pStyle w:val="Heading2"/>
      </w:pPr>
      <w:r>
        <w:t>Field Nurseries</w:t>
      </w:r>
    </w:p>
    <w:p w14:paraId="73F00532" w14:textId="2AC5C041" w:rsidR="00B16D28" w:rsidRPr="005321FE" w:rsidRDefault="00D649F3" w:rsidP="00626F43">
      <w:bookmarkStart w:id="20" w:name="_Hlk66199043"/>
      <w:r w:rsidRPr="00D17726">
        <w:t>For thiamethoxam ornamentals (field nurseries) were cross walked into field nurseries, and usage specific to field nurseries is not available. For this reason, 100% PCT was assumed</w:t>
      </w:r>
      <w:r w:rsidRPr="00971F89">
        <w:rPr>
          <w:rStyle w:val="normaltextrun"/>
          <w:rFonts w:ascii="Calibri" w:hAnsi="Calibri" w:cs="Calibri"/>
          <w:shd w:val="clear" w:color="auto" w:fill="FFFFFF"/>
        </w:rPr>
        <w:t>, with acre estimates from the </w:t>
      </w:r>
      <w:r w:rsidR="001F437C" w:rsidRPr="00971F89">
        <w:rPr>
          <w:rStyle w:val="normaltextrun"/>
          <w:rFonts w:ascii="Calibri" w:hAnsi="Calibri" w:cs="Calibri"/>
          <w:shd w:val="clear" w:color="auto" w:fill="FFFFFF"/>
        </w:rPr>
        <w:t>field nursery</w:t>
      </w:r>
      <w:r w:rsidRPr="00971F89">
        <w:rPr>
          <w:rStyle w:val="normaltextrun"/>
          <w:rFonts w:ascii="Calibri" w:hAnsi="Calibri" w:cs="Calibri"/>
          <w:shd w:val="clear" w:color="auto" w:fill="FFFFFF"/>
        </w:rPr>
        <w:t xml:space="preserve"> UDL for the NL48. </w:t>
      </w:r>
      <w:r w:rsidRPr="00F73A42">
        <w:t>Further refinement may be considered in the final thiamethoxam B</w:t>
      </w:r>
      <w:r w:rsidRPr="00D17726">
        <w:t xml:space="preserve">E assessment. </w:t>
      </w:r>
      <w:bookmarkStart w:id="21" w:name="_Hlk66198816"/>
      <w:bookmarkEnd w:id="20"/>
    </w:p>
    <w:bookmarkEnd w:id="21"/>
    <w:p w14:paraId="5A044E17" w14:textId="77777777" w:rsidR="00B16D28" w:rsidRDefault="00B16D28" w:rsidP="00626F43">
      <w:pPr>
        <w:pStyle w:val="Heading2"/>
      </w:pPr>
      <w:r>
        <w:t>Managed Forest</w:t>
      </w:r>
    </w:p>
    <w:p w14:paraId="3359AF98" w14:textId="22A8FBB8" w:rsidR="00D649F3" w:rsidRDefault="00D649F3" w:rsidP="00D649F3">
      <w:r>
        <w:t xml:space="preserve">For </w:t>
      </w:r>
      <w:r w:rsidR="14D73377">
        <w:t>i</w:t>
      </w:r>
      <w:r w:rsidR="18F7977B">
        <w:t>midacloprid</w:t>
      </w:r>
      <w:r>
        <w:t>, the majority of registered forest uses are not surveyed at the national level and fall under a broad “trees” use for pulp and timber. This sort of managed forest used for timber extraction matched most closely with the UDL for Managed Forest. Usage information for this use is not available and therefore 100% PCT was assumed, with acre estimates from the Managed Forest UDL for the NL48.</w:t>
      </w:r>
    </w:p>
    <w:p w14:paraId="0EC0FCE9" w14:textId="77777777" w:rsidR="00B16D28" w:rsidRDefault="00B16D28" w:rsidP="00626F43">
      <w:pPr>
        <w:pStyle w:val="Heading2"/>
      </w:pPr>
      <w:r>
        <w:lastRenderedPageBreak/>
        <w:t>Poultry Litter</w:t>
      </w:r>
    </w:p>
    <w:p w14:paraId="5159BC28" w14:textId="7F6D4C9F" w:rsidR="00B5030B" w:rsidRDefault="00B5030B" w:rsidP="00B5030B">
      <w:r>
        <w:t xml:space="preserve">Poultry litter is assumed to be applied to the corn, soybeans, other grains, cotton, wheat, rice, other row crops, vegetables and ground fruit and alfalfa use data layers (UDLs).  In the NL48 all crops are represented using the Agricultural UDL, and it was used for the poultry litter layer. Kellog </w:t>
      </w:r>
      <w:r w:rsidRPr="00626F43">
        <w:rPr>
          <w:i/>
          <w:iCs/>
        </w:rPr>
        <w:t>et al.</w:t>
      </w:r>
      <w:r>
        <w:t xml:space="preserve"> (2000) identified 24 crops reported in for manure/litter application based on the assimilative capacity (or land application capacity). The Agricultural UDL in the NL48 is the footprint for the poultry litter is likely to be used was generated then limited to the counties identified with potential poultry operations using the USDA National Agricultural Statistics Service (USDA-NASS). The USDA-NASS collects data on livestock and poultry production in the United States through its ongoing survey programs as well as through the Census of Agriculture conducted every five years. </w:t>
      </w:r>
    </w:p>
    <w:p w14:paraId="567861A6" w14:textId="016BA9B2" w:rsidR="00216385" w:rsidRDefault="00216385" w:rsidP="615F82BF">
      <w:r>
        <w:t xml:space="preserve">The poultry inventory data only includes turkey, rooster, broiler and layer inventories. </w:t>
      </w:r>
      <w:r w:rsidR="001F437C">
        <w:t>Whereas</w:t>
      </w:r>
      <w:r>
        <w:t xml:space="preserve"> poultry operations with inventory data includes total poultry operations. Data with “withheld to avoid disclosing data for individual operations (data with D </w:t>
      </w:r>
      <w:r w:rsidR="001F437C">
        <w:t>abbreviations)</w:t>
      </w:r>
      <w:r>
        <w:t>” was included to determine spatial footprint. Counties with no data probably contain developed area and have lesser chance to have poultry operations. But to be conservative and consistent with other agricultural use processing, these no data counties were also included to determine spatial footprint. These yield an entire national level poultry spatial footprint. Drift is not included with this UDL.</w:t>
      </w:r>
    </w:p>
    <w:p w14:paraId="634713FD" w14:textId="0F5CD3BA" w:rsidR="00216385" w:rsidRDefault="00216385" w:rsidP="00216385">
      <w:r>
        <w:rPr>
          <w:rFonts w:cstheme="minorHAnsi"/>
        </w:rPr>
        <w:t xml:space="preserve">Uncertainties in this layer included using all of the 24 potential crops recommended by </w:t>
      </w:r>
      <w:r>
        <w:t xml:space="preserve">Kellog </w:t>
      </w:r>
      <w:r w:rsidRPr="00626F43">
        <w:rPr>
          <w:i/>
          <w:iCs/>
        </w:rPr>
        <w:t xml:space="preserve">et al. </w:t>
      </w:r>
      <w:r>
        <w:t>(2000)</w:t>
      </w:r>
      <w:r>
        <w:rPr>
          <w:b/>
          <w:bCs/>
          <w:i/>
          <w:iCs/>
        </w:rPr>
        <w:t xml:space="preserve"> </w:t>
      </w:r>
      <w:r>
        <w:rPr>
          <w:rFonts w:cstheme="minorHAnsi"/>
        </w:rPr>
        <w:t xml:space="preserve">for litter application, and assuming application to all fields.  Each of these included crops are treated equally and does not consider other </w:t>
      </w:r>
      <w:r>
        <w:t>potential factors that impact litter application to the land such as crop specific application rate.  Applications to corn and other grasses will have the highest application rates, which lower the number of acres to assimilate the poultry litter. Other cropland sites, such as soybean and alfalfa require very less application rates due to their nitrogen fixing abilities, and the inclusion of these crops equally increases the number of acres in the litter layer. Litter application rates for the nitrogen fixing crops are likely very low and it will be mainly based on the phosphorus needs of the crop.</w:t>
      </w:r>
    </w:p>
    <w:p w14:paraId="0BB93275" w14:textId="38D6C653" w:rsidR="00B16D28" w:rsidRDefault="00216385" w:rsidP="00216385">
      <w:pPr>
        <w:pStyle w:val="NoSpacing"/>
      </w:pPr>
      <w:r>
        <w:t>Usage data is not available for this use and a PCT of 100% is assumed.</w:t>
      </w:r>
    </w:p>
    <w:p w14:paraId="1EB8C080" w14:textId="77777777" w:rsidR="00B16D28" w:rsidRPr="004D08A9" w:rsidRDefault="00B16D28" w:rsidP="00626F43">
      <w:pPr>
        <w:pStyle w:val="BEHeader1"/>
      </w:pPr>
      <w:r w:rsidRPr="004D08A9">
        <w:t xml:space="preserve">Calculation of Extent </w:t>
      </w:r>
      <w:r w:rsidRPr="00861D12">
        <w:t>of</w:t>
      </w:r>
      <w:r w:rsidRPr="004D08A9">
        <w:t xml:space="preserve"> </w:t>
      </w:r>
      <w:r>
        <w:t xml:space="preserve">Direct </w:t>
      </w:r>
      <w:r w:rsidRPr="004D08A9">
        <w:t xml:space="preserve">Overlap of Species Range </w:t>
      </w:r>
      <w:r>
        <w:t xml:space="preserve">or Critical Habitat </w:t>
      </w:r>
      <w:r w:rsidRPr="004D08A9">
        <w:t>and Treated Acres</w:t>
      </w:r>
      <w:bookmarkEnd w:id="17"/>
    </w:p>
    <w:p w14:paraId="30BDA5A6" w14:textId="7BB4CB1D" w:rsidR="00B16D28" w:rsidRPr="005D2A6C" w:rsidRDefault="00B16D28" w:rsidP="00B16D28">
      <w:bookmarkStart w:id="22" w:name="_Hlk16503898"/>
      <w:r>
        <w:t xml:space="preserve">The aggregate PCT is used to calculate the total number of acres treated within a state for each UDL (PCT x total acres within a UDL = total acres treated for a UDL). </w:t>
      </w:r>
      <w:r w:rsidRPr="218A8BFF">
        <w:rPr>
          <w:rFonts w:eastAsia="Times New Roman"/>
        </w:rPr>
        <w:t xml:space="preserve">The approach described above combines </w:t>
      </w:r>
      <w:r>
        <w:t xml:space="preserve">data that are at different spatial scales, </w:t>
      </w:r>
      <w:r w:rsidRPr="218A8BFF">
        <w:rPr>
          <w:i/>
          <w:iCs/>
        </w:rPr>
        <w:t>i.e.,</w:t>
      </w:r>
      <w:r>
        <w:t xml:space="preserve"> 30-meter pixel, county and state, for UDLs, Census of Agriculture and usage, respectively. Because of the differences in scales, the usage of </w:t>
      </w:r>
      <w:r w:rsidR="62B2C2D8">
        <w:t>i</w:t>
      </w:r>
      <w:r w:rsidR="18F7977B" w:rsidRPr="218A8BFF">
        <w:rPr>
          <w:color w:val="000000" w:themeColor="text1"/>
        </w:rPr>
        <w:t>midacloprid</w:t>
      </w:r>
      <w:r>
        <w:t xml:space="preserve"> can be limited to county and sub-county areas representing potential use sites; however, the actual location of the treated acres within the state is unknown.</w:t>
      </w:r>
    </w:p>
    <w:p w14:paraId="76889F27" w14:textId="77777777" w:rsidR="00B16D28" w:rsidRPr="002B7B63" w:rsidRDefault="00B16D28" w:rsidP="00B16D28">
      <w:pPr>
        <w:rPr>
          <w:color w:val="000000" w:themeColor="text1"/>
        </w:rPr>
      </w:pPr>
      <w:r>
        <w:rPr>
          <w:rStyle w:val="normaltextrun1"/>
          <w:rFonts w:ascii="Calibri" w:hAnsi="Calibri" w:cs="Calibri"/>
          <w:color w:val="000000"/>
        </w:rPr>
        <w:t xml:space="preserve">Three different assumptions are employed to represent how the </w:t>
      </w:r>
      <w:r>
        <w:rPr>
          <w:rStyle w:val="normaltextrun1"/>
          <w:color w:val="000000"/>
        </w:rPr>
        <w:t>treated acres</w:t>
      </w:r>
      <w:r>
        <w:rPr>
          <w:rStyle w:val="normaltextrun1"/>
          <w:rFonts w:ascii="Calibri" w:hAnsi="Calibri" w:cs="Calibri"/>
          <w:color w:val="000000"/>
        </w:rPr>
        <w:t xml:space="preserve"> are attributed to </w:t>
      </w:r>
      <w:r>
        <w:rPr>
          <w:rStyle w:val="normaltextrun1"/>
          <w:color w:val="000000"/>
        </w:rPr>
        <w:t xml:space="preserve">potential use site </w:t>
      </w:r>
      <w:r>
        <w:rPr>
          <w:rStyle w:val="normaltextrun1"/>
          <w:rFonts w:ascii="Calibri" w:hAnsi="Calibri" w:cs="Calibri"/>
          <w:color w:val="000000"/>
        </w:rPr>
        <w:t>acres within the species range (or critical habitat): upper bound (concentrated within the species range), uniform distribution, and lower bound (concentrated outside of species range).</w:t>
      </w:r>
      <w:r>
        <w:rPr>
          <w:rStyle w:val="normaltextrun1"/>
          <w:color w:val="000000"/>
        </w:rPr>
        <w:t xml:space="preserve"> </w:t>
      </w:r>
      <w:r w:rsidRPr="562E9EBF">
        <w:rPr>
          <w:color w:val="000000" w:themeColor="text1"/>
        </w:rPr>
        <w:t xml:space="preserve">Each of these approaches are discussed below. In all three approaches the estimated treated area within the </w:t>
      </w:r>
      <w:r w:rsidRPr="562E9EBF">
        <w:rPr>
          <w:color w:val="000000" w:themeColor="text1"/>
        </w:rPr>
        <w:lastRenderedPageBreak/>
        <w:t>species range</w:t>
      </w:r>
      <w:r>
        <w:rPr>
          <w:color w:val="000000" w:themeColor="text1"/>
        </w:rPr>
        <w:t xml:space="preserve"> (or critical habitat)</w:t>
      </w:r>
      <w:r w:rsidRPr="562E9EBF">
        <w:rPr>
          <w:color w:val="000000" w:themeColor="text1"/>
        </w:rPr>
        <w:t xml:space="preserve"> is used to calculate the direct overlap</w:t>
      </w:r>
      <w:r>
        <w:rPr>
          <w:color w:val="000000" w:themeColor="text1"/>
        </w:rPr>
        <w:t xml:space="preserve"> of treated sites and the species range (or critical habitat)</w:t>
      </w:r>
      <w:r w:rsidRPr="562E9EBF">
        <w:rPr>
          <w:color w:val="000000" w:themeColor="text1"/>
        </w:rPr>
        <w:t>.</w:t>
      </w:r>
      <w:r>
        <w:rPr>
          <w:color w:val="000000" w:themeColor="text1"/>
        </w:rPr>
        <w:t xml:space="preserve"> D</w:t>
      </w:r>
      <w:r w:rsidRPr="562E9EBF">
        <w:rPr>
          <w:color w:val="000000" w:themeColor="text1"/>
        </w:rPr>
        <w:t>irect overlap is equal to the total treated area within the species range divided by the total area of the species range</w:t>
      </w:r>
      <w:r>
        <w:rPr>
          <w:color w:val="000000" w:themeColor="text1"/>
        </w:rPr>
        <w:t xml:space="preserve"> </w:t>
      </w:r>
      <w:bookmarkStart w:id="23" w:name="_Hlk33874001"/>
      <w:r>
        <w:rPr>
          <w:color w:val="000000" w:themeColor="text1"/>
        </w:rPr>
        <w:t>(or critical habitat)</w:t>
      </w:r>
      <w:r w:rsidRPr="562E9EBF">
        <w:rPr>
          <w:color w:val="000000" w:themeColor="text1"/>
        </w:rPr>
        <w:t>.</w:t>
      </w:r>
      <w:bookmarkEnd w:id="23"/>
    </w:p>
    <w:p w14:paraId="724E90CD" w14:textId="77777777" w:rsidR="00B16D28" w:rsidRPr="004D08A9" w:rsidRDefault="00B16D28" w:rsidP="00B16D28">
      <w:r>
        <w:t>The upper bound approach assumes that all the treated acres in a state occur within the species range (or critical habitat)</w:t>
      </w:r>
      <w:r w:rsidRPr="00BA2581">
        <w:t xml:space="preserve"> </w:t>
      </w:r>
      <w:r>
        <w:t>to the greatest extent possible. In this</w:t>
      </w:r>
      <w:r w:rsidRPr="004D08A9">
        <w:t xml:space="preserve"> approach, the total acres treated</w:t>
      </w:r>
      <w:r>
        <w:t xml:space="preserve"> for the state</w:t>
      </w:r>
      <w:r w:rsidRPr="004D08A9">
        <w:t xml:space="preserve"> are </w:t>
      </w:r>
      <w:r>
        <w:t xml:space="preserve">calculated using the aggregated PCTs. The total treated acres for the state are </w:t>
      </w:r>
      <w:r w:rsidRPr="004D08A9">
        <w:t xml:space="preserve">compared to the </w:t>
      </w:r>
      <w:r>
        <w:t xml:space="preserve">total </w:t>
      </w:r>
      <w:r w:rsidRPr="004D08A9">
        <w:t xml:space="preserve">number of acres within a species’ range that overlaps with that UDL. If the number of treated acres in a state is </w:t>
      </w:r>
      <w:r>
        <w:t>greater than</w:t>
      </w:r>
      <w:r w:rsidRPr="004D08A9">
        <w:t xml:space="preserve"> </w:t>
      </w:r>
      <w:r>
        <w:t xml:space="preserve">the </w:t>
      </w:r>
      <w:r w:rsidRPr="004D08A9">
        <w:t xml:space="preserve">number of acres </w:t>
      </w:r>
      <w:r>
        <w:t>in the</w:t>
      </w:r>
      <w:r w:rsidRPr="004D08A9">
        <w:t xml:space="preserve"> UDL </w:t>
      </w:r>
      <w:r>
        <w:t xml:space="preserve">that </w:t>
      </w:r>
      <w:r w:rsidRPr="004D08A9">
        <w:t>overlap the species range, it will be assumed that all acres within the species range that overlap with the UDL are treated</w:t>
      </w:r>
      <w:r>
        <w:t xml:space="preserve">, with </w:t>
      </w:r>
      <w:r w:rsidRPr="00224920">
        <w:t xml:space="preserve">the excess treated acres assumed to occur </w:t>
      </w:r>
      <w:r>
        <w:t>outside of</w:t>
      </w:r>
      <w:r w:rsidRPr="00224920">
        <w:t xml:space="preserve"> the species range</w:t>
      </w:r>
      <w:r w:rsidRPr="004D08A9">
        <w:t xml:space="preserve">. </w:t>
      </w:r>
      <w:r>
        <w:t>As described above, t</w:t>
      </w:r>
      <w:r w:rsidRPr="004D08A9">
        <w:t xml:space="preserve">reated acres are only placed in counties </w:t>
      </w:r>
      <w:r>
        <w:t xml:space="preserve">within the species range </w:t>
      </w:r>
      <w:r w:rsidRPr="004D08A9">
        <w:t xml:space="preserve">where </w:t>
      </w:r>
      <w:r>
        <w:t xml:space="preserve">at least 1 </w:t>
      </w:r>
      <w:r w:rsidRPr="004D08A9">
        <w:t xml:space="preserve">registered labeled use for the UDL </w:t>
      </w:r>
      <w:r>
        <w:t xml:space="preserve">occurs, </w:t>
      </w:r>
      <w:r w:rsidRPr="004D08A9">
        <w:t xml:space="preserve">as identified by Census of Agriculture. If the number of treated acres is less than </w:t>
      </w:r>
      <w:r>
        <w:t>the total</w:t>
      </w:r>
      <w:r w:rsidRPr="004D08A9">
        <w:t xml:space="preserve"> </w:t>
      </w:r>
      <w:r>
        <w:t xml:space="preserve">number of UDL acres that </w:t>
      </w:r>
      <w:r w:rsidRPr="004D08A9">
        <w:t xml:space="preserve">overlap with the species’ range, </w:t>
      </w:r>
      <w:r>
        <w:t xml:space="preserve">then </w:t>
      </w:r>
      <w:r w:rsidRPr="00224920">
        <w:t xml:space="preserve">it </w:t>
      </w:r>
      <w:r>
        <w:t xml:space="preserve">is </w:t>
      </w:r>
      <w:r w:rsidRPr="00224920">
        <w:t xml:space="preserve">assumed that all </w:t>
      </w:r>
      <w:r>
        <w:t xml:space="preserve">treated acres </w:t>
      </w:r>
      <w:r w:rsidRPr="00224920">
        <w:t>for</w:t>
      </w:r>
      <w:r>
        <w:t xml:space="preserve"> the state in </w:t>
      </w:r>
      <w:r w:rsidRPr="00224920">
        <w:t xml:space="preserve">that UDL occur </w:t>
      </w:r>
      <w:r>
        <w:t>inside</w:t>
      </w:r>
      <w:r w:rsidRPr="00224920">
        <w:t xml:space="preserve"> of the range of a species</w:t>
      </w:r>
      <w:r w:rsidRPr="004D08A9">
        <w:t xml:space="preserve">. </w:t>
      </w:r>
    </w:p>
    <w:p w14:paraId="4B160F91" w14:textId="77777777" w:rsidR="00B16D28" w:rsidRDefault="00B16D28" w:rsidP="00B16D28">
      <w:r w:rsidRPr="004D08A9">
        <w:t xml:space="preserve">For the </w:t>
      </w:r>
      <w:r>
        <w:t xml:space="preserve">uniform distribution </w:t>
      </w:r>
      <w:r w:rsidRPr="004D08A9">
        <w:t xml:space="preserve">approach, the aggregated PCT </w:t>
      </w:r>
      <w:r>
        <w:t>is</w:t>
      </w:r>
      <w:r w:rsidRPr="004D08A9">
        <w:t xml:space="preserve"> applied directly to the acres of the UDL occurring within the species range</w:t>
      </w:r>
      <w:r>
        <w:t xml:space="preserve"> or critical habitat</w:t>
      </w:r>
      <w:r w:rsidRPr="004D08A9">
        <w:t xml:space="preserve"> </w:t>
      </w:r>
      <w:r>
        <w:t xml:space="preserve">to calculate the estimated treated acres. </w:t>
      </w:r>
      <w:r w:rsidRPr="004D08A9">
        <w:t>This approach assumes that the treated acres are distributed uniformly throughout the state.</w:t>
      </w:r>
    </w:p>
    <w:p w14:paraId="28601AB3" w14:textId="77777777" w:rsidR="00B16D28" w:rsidRPr="00495BE6" w:rsidRDefault="00B16D28" w:rsidP="00B16D28">
      <w:r w:rsidRPr="00224920">
        <w:t>The lower bound approach is essentially the opposite of the upper bound. In the lower bound approach, it is assumed that the treated acres are distributed outside of the species range</w:t>
      </w:r>
      <w:r>
        <w:t xml:space="preserve"> to the greatest extent possible</w:t>
      </w:r>
      <w:r w:rsidRPr="00224920">
        <w:t xml:space="preserve">. The total acres treated </w:t>
      </w:r>
      <w:r>
        <w:t xml:space="preserve">for the state </w:t>
      </w:r>
      <w:r w:rsidRPr="00224920">
        <w:t xml:space="preserve">are compared to the </w:t>
      </w:r>
      <w:r>
        <w:t xml:space="preserve">total </w:t>
      </w:r>
      <w:r w:rsidRPr="00224920">
        <w:t xml:space="preserve">number of acres outside of a species’ range </w:t>
      </w:r>
      <w:r>
        <w:t>for the</w:t>
      </w:r>
      <w:r w:rsidRPr="00224920">
        <w:t xml:space="preserve"> UDL. If the number of treated acres in a state is</w:t>
      </w:r>
      <w:r>
        <w:t xml:space="preserve"> greater than the</w:t>
      </w:r>
      <w:r w:rsidRPr="00224920">
        <w:t xml:space="preserve"> number of acres of UDL outside of the species range, it will be assumed that all acres outside the species range are treated</w:t>
      </w:r>
      <w:r>
        <w:t xml:space="preserve">, with </w:t>
      </w:r>
      <w:r w:rsidRPr="00224920">
        <w:t xml:space="preserve">the excess treated acres assumed to occur within the species range. If the number of treated acres is less than those outside of the species’ range, it </w:t>
      </w:r>
      <w:r>
        <w:t>is</w:t>
      </w:r>
      <w:r w:rsidRPr="00224920">
        <w:t xml:space="preserve"> assumed that all treated acres for </w:t>
      </w:r>
      <w:r>
        <w:t xml:space="preserve">the state in </w:t>
      </w:r>
      <w:r w:rsidRPr="00224920">
        <w:t>that UDL occur outside of the range of a species.</w:t>
      </w:r>
      <w:r w:rsidRPr="004D08A9">
        <w:t xml:space="preserve"> </w:t>
      </w:r>
    </w:p>
    <w:p w14:paraId="09ED0385" w14:textId="77777777" w:rsidR="00B16D28" w:rsidRDefault="00B16D28" w:rsidP="00B16D28">
      <w:r w:rsidRPr="00495BE6">
        <w:t xml:space="preserve">When a species range spans multiple states, the </w:t>
      </w:r>
      <w:r>
        <w:t>uniform,</w:t>
      </w:r>
      <w:r w:rsidRPr="00495BE6">
        <w:t xml:space="preserve"> upper</w:t>
      </w:r>
      <w:r>
        <w:t>,</w:t>
      </w:r>
      <w:r w:rsidRPr="00495BE6">
        <w:t xml:space="preserve"> and lower bound approaches are </w:t>
      </w:r>
      <w:r>
        <w:t xml:space="preserve">individually </w:t>
      </w:r>
      <w:r w:rsidRPr="00495BE6">
        <w:t>applied to each state relevant to a species</w:t>
      </w:r>
      <w:r>
        <w:t>. The treated acres across all pertinent states are summed</w:t>
      </w:r>
      <w:r w:rsidRPr="00495BE6">
        <w:t xml:space="preserve"> to calculate the number of </w:t>
      </w:r>
      <w:r>
        <w:t xml:space="preserve">treated </w:t>
      </w:r>
      <w:r w:rsidRPr="00495BE6">
        <w:t xml:space="preserve">acres overlapping with the </w:t>
      </w:r>
      <w:r>
        <w:t xml:space="preserve">whole </w:t>
      </w:r>
      <w:r w:rsidRPr="00495BE6">
        <w:t>species range</w:t>
      </w:r>
      <w:r>
        <w:t xml:space="preserve"> (or critical habitat)</w:t>
      </w:r>
      <w:r w:rsidRPr="00495BE6">
        <w:t xml:space="preserve">. </w:t>
      </w:r>
    </w:p>
    <w:p w14:paraId="64ACCB86" w14:textId="77777777" w:rsidR="00B16D28" w:rsidRPr="009B25B5" w:rsidRDefault="00B16D28" w:rsidP="00B16D28">
      <w:r>
        <w:t>The calculation of t</w:t>
      </w:r>
      <w:r w:rsidRPr="00602DF6">
        <w:t>otal treated area</w:t>
      </w:r>
      <w:r>
        <w:t xml:space="preserve"> based on </w:t>
      </w:r>
      <w:r w:rsidRPr="00602DF6">
        <w:t>the temporally aggregated UDLs</w:t>
      </w:r>
      <w:r>
        <w:t xml:space="preserve"> likely overestimates the area where crops could be found on the same land in a given </w:t>
      </w:r>
      <w:r w:rsidRPr="00602DF6">
        <w:t>year</w:t>
      </w:r>
      <w:r>
        <w:t xml:space="preserve"> and is a conservatism in the process. The upper bound method, which concentrates all the treated acres in the species range (or critical habitat), frequently results in more treated area for a given state than expected when considering all cropped acres in the state. Additional assumptions and uncertainties related to this the calculation of total treated acres and the distributions of the treated acres related to the species range (or critical habitat) are presented in </w:t>
      </w:r>
      <w:r w:rsidRPr="000F68F6">
        <w:rPr>
          <w:bCs/>
        </w:rPr>
        <w:t>the Revised Method</w:t>
      </w:r>
      <w:r>
        <w:rPr>
          <w:b/>
        </w:rPr>
        <w:t>.</w:t>
      </w:r>
    </w:p>
    <w:p w14:paraId="5408B516" w14:textId="77777777" w:rsidR="00B16D28" w:rsidRDefault="00B16D28" w:rsidP="00626F43">
      <w:pPr>
        <w:pStyle w:val="BEHeader1"/>
      </w:pPr>
      <w:r w:rsidRPr="00861D12">
        <w:t>Calculation</w:t>
      </w:r>
      <w:r>
        <w:t xml:space="preserve"> of Composite Drift Layer Overlapping with Species Range or Critical Habitat </w:t>
      </w:r>
      <w:bookmarkEnd w:id="22"/>
    </w:p>
    <w:p w14:paraId="49C2C242" w14:textId="3761D061" w:rsidR="00B16D28" w:rsidRPr="00E61818" w:rsidRDefault="00B16D28" w:rsidP="00E61818">
      <w:pPr>
        <w:pStyle w:val="CM23"/>
        <w:rPr>
          <w:sz w:val="22"/>
          <w:szCs w:val="22"/>
        </w:rPr>
      </w:pPr>
      <w:r w:rsidRPr="218A8BFF">
        <w:rPr>
          <w:sz w:val="22"/>
          <w:szCs w:val="22"/>
        </w:rPr>
        <w:t xml:space="preserve">When the action area is derived, each relevant UDL is combined into a composite layer representing all potential uses. The composite layer is generated by placing all relevant UDLs on top of each other, the </w:t>
      </w:r>
      <w:r w:rsidRPr="218A8BFF">
        <w:rPr>
          <w:sz w:val="22"/>
          <w:szCs w:val="22"/>
        </w:rPr>
        <w:lastRenderedPageBreak/>
        <w:t xml:space="preserve">merging the together to set the footprint for the pesticide as a single layer. This composite layer is then buffered out in all directions based on the application method with the greatest drift potential for the pesticide. </w:t>
      </w:r>
      <w:r w:rsidRPr="002035CB">
        <w:rPr>
          <w:sz w:val="22"/>
          <w:szCs w:val="22"/>
        </w:rPr>
        <w:t xml:space="preserve">For </w:t>
      </w:r>
      <w:r w:rsidR="35CF3528" w:rsidRPr="218A8BFF">
        <w:rPr>
          <w:sz w:val="22"/>
          <w:szCs w:val="22"/>
        </w:rPr>
        <w:t>i</w:t>
      </w:r>
      <w:r w:rsidR="18F7977B" w:rsidRPr="002035CB">
        <w:rPr>
          <w:sz w:val="22"/>
          <w:szCs w:val="22"/>
        </w:rPr>
        <w:t>midacloprid</w:t>
      </w:r>
      <w:r w:rsidRPr="002035CB">
        <w:rPr>
          <w:sz w:val="22"/>
          <w:szCs w:val="22"/>
        </w:rPr>
        <w:t xml:space="preserve"> this is the aerial application, resulting in a maximum buffer distance of 2600 ft, or approximately 792 meters.</w:t>
      </w:r>
      <w:r w:rsidRPr="218A8BFF">
        <w:rPr>
          <w:sz w:val="22"/>
          <w:szCs w:val="22"/>
        </w:rPr>
        <w:t xml:space="preserve"> For an individual species, the composite drift area is then refined by considering only the uses with overlap when applying the maximum buffer for the pesticide. The specific application methods and rates relevant to these uses and the species-specific endpoints that result in the farthest distance from the treated field, where effects may occur, are used to determine the extent of the composite drift layer for that species. </w:t>
      </w:r>
    </w:p>
    <w:p w14:paraId="41D5334A" w14:textId="742AAD55" w:rsidR="00B16D28" w:rsidRPr="00E61818" w:rsidRDefault="00B16D28" w:rsidP="00E61818">
      <w:pPr>
        <w:pStyle w:val="CM23"/>
        <w:rPr>
          <w:sz w:val="22"/>
          <w:szCs w:val="22"/>
        </w:rPr>
      </w:pPr>
      <w:r w:rsidRPr="0060400B">
        <w:rPr>
          <w:sz w:val="22"/>
          <w:szCs w:val="22"/>
        </w:rPr>
        <w:t>When usage data are considered, it is necessary to account for a decrease in the extent of areas receiving spray drift because the treated area has deceased.</w:t>
      </w:r>
      <w:r>
        <w:rPr>
          <w:sz w:val="22"/>
          <w:szCs w:val="22"/>
        </w:rPr>
        <w:t xml:space="preserve"> The total possible area receiving drift is based on all potential use site found in the action area. Prior to applying usage, drift in all directions is calculated. After applying usage only, a portion of potential use sites in the action area will be treated, changing the drift extent.</w:t>
      </w:r>
    </w:p>
    <w:p w14:paraId="2B1D7E78" w14:textId="77777777" w:rsidR="00B16D28" w:rsidRPr="0060400B" w:rsidRDefault="00B16D28" w:rsidP="00B16D28">
      <w:pPr>
        <w:pStyle w:val="CM23"/>
        <w:rPr>
          <w:color w:val="000000" w:themeColor="text1"/>
          <w:sz w:val="22"/>
          <w:szCs w:val="22"/>
        </w:rPr>
      </w:pPr>
      <w:r w:rsidRPr="0060400B">
        <w:rPr>
          <w:sz w:val="22"/>
          <w:szCs w:val="22"/>
        </w:rPr>
        <w:t xml:space="preserve">Since the actual </w:t>
      </w:r>
      <w:r w:rsidRPr="0060400B">
        <w:rPr>
          <w:color w:val="000000" w:themeColor="text1"/>
          <w:sz w:val="22"/>
          <w:szCs w:val="22"/>
        </w:rPr>
        <w:t xml:space="preserve">location of the treated acres within a state is unknown, specific areas are not buffered in the Step 2 approach. </w:t>
      </w:r>
      <w:r>
        <w:rPr>
          <w:color w:val="000000" w:themeColor="text1"/>
          <w:sz w:val="22"/>
          <w:szCs w:val="22"/>
        </w:rPr>
        <w:t>To account for the reduction in actual acres treated, a factor is applied to this composite drift area</w:t>
      </w:r>
      <w:r w:rsidRPr="0060400B">
        <w:rPr>
          <w:color w:val="000000" w:themeColor="text1"/>
          <w:sz w:val="22"/>
          <w:szCs w:val="22"/>
        </w:rPr>
        <w:t xml:space="preserve"> based on </w:t>
      </w:r>
      <w:r>
        <w:rPr>
          <w:color w:val="000000" w:themeColor="text1"/>
          <w:sz w:val="22"/>
          <w:szCs w:val="22"/>
        </w:rPr>
        <w:t xml:space="preserve">a </w:t>
      </w:r>
      <w:r w:rsidRPr="0060400B">
        <w:rPr>
          <w:color w:val="000000" w:themeColor="text1"/>
          <w:sz w:val="22"/>
          <w:szCs w:val="22"/>
        </w:rPr>
        <w:t>state aggregated PCT</w:t>
      </w:r>
      <w:r>
        <w:rPr>
          <w:color w:val="000000" w:themeColor="text1"/>
          <w:sz w:val="22"/>
          <w:szCs w:val="22"/>
        </w:rPr>
        <w:t xml:space="preserve"> for all of the uses combined</w:t>
      </w:r>
      <w:r w:rsidRPr="0060400B">
        <w:rPr>
          <w:color w:val="000000" w:themeColor="text1"/>
          <w:sz w:val="22"/>
          <w:szCs w:val="22"/>
        </w:rPr>
        <w:t xml:space="preserve">. </w:t>
      </w:r>
      <w:r>
        <w:rPr>
          <w:color w:val="000000" w:themeColor="text1"/>
          <w:sz w:val="22"/>
          <w:szCs w:val="22"/>
        </w:rPr>
        <w:t>Additionally, a factor is applied to account for the distribution of theses acres under an upper bound (maximum acres within the species range), lower bound (maximum acres outside the species range) or uniformly distributed within the range as previously discussed. The distribution of acres within the state relative to the species range will also affect the impact of spray drift. For the upper bound scenario, no additional factor is applied to the aggregated PCT, but for the uniform and minimum scenarios, the ratio of the number of treated acres calculated for the uniform or lower bound scenario to the upper bound scenario is applied to the PCT. Lastly, to account for the uncertainty in the true spatial distribution of the use sites, as well as the uncertainty of multiple sites potentially impacting the same locations, t</w:t>
      </w:r>
      <w:r w:rsidRPr="0060400B">
        <w:rPr>
          <w:color w:val="000000" w:themeColor="text1"/>
          <w:sz w:val="22"/>
          <w:szCs w:val="22"/>
        </w:rPr>
        <w:t>he</w:t>
      </w:r>
      <w:r>
        <w:rPr>
          <w:color w:val="000000" w:themeColor="text1"/>
          <w:sz w:val="22"/>
          <w:szCs w:val="22"/>
        </w:rPr>
        <w:t xml:space="preserve"> adjusted PCT value is rounded </w:t>
      </w:r>
      <w:r w:rsidRPr="0060400B">
        <w:rPr>
          <w:color w:val="000000" w:themeColor="text1"/>
          <w:sz w:val="22"/>
          <w:szCs w:val="22"/>
        </w:rPr>
        <w:t>up to the nearest ten place value (</w:t>
      </w:r>
      <w:r w:rsidRPr="0060400B">
        <w:rPr>
          <w:i/>
          <w:color w:val="000000" w:themeColor="text1"/>
          <w:sz w:val="22"/>
          <w:szCs w:val="22"/>
        </w:rPr>
        <w:t>e.g.,</w:t>
      </w:r>
      <w:r w:rsidRPr="0060400B">
        <w:rPr>
          <w:color w:val="000000" w:themeColor="text1"/>
          <w:sz w:val="22"/>
          <w:szCs w:val="22"/>
        </w:rPr>
        <w:t xml:space="preserve"> </w:t>
      </w:r>
      <w:r>
        <w:rPr>
          <w:color w:val="000000" w:themeColor="text1"/>
          <w:sz w:val="22"/>
          <w:szCs w:val="22"/>
        </w:rPr>
        <w:t>factor of 0.056 is rounded to 0.1</w:t>
      </w:r>
      <w:r w:rsidRPr="0060400B">
        <w:rPr>
          <w:color w:val="000000" w:themeColor="text1"/>
          <w:sz w:val="22"/>
          <w:szCs w:val="22"/>
        </w:rPr>
        <w:t>). This composite factor is used to scale the number of acres impacted by off-site drift and subsequently lower the total predicted overlap with a species range</w:t>
      </w:r>
      <w:r>
        <w:rPr>
          <w:color w:val="000000" w:themeColor="text1"/>
          <w:sz w:val="22"/>
          <w:szCs w:val="22"/>
        </w:rPr>
        <w:t xml:space="preserve"> or critical habitat</w:t>
      </w:r>
      <w:r w:rsidRPr="0060400B">
        <w:rPr>
          <w:color w:val="000000" w:themeColor="text1"/>
          <w:sz w:val="22"/>
          <w:szCs w:val="22"/>
        </w:rPr>
        <w:t xml:space="preserve"> due to drift.</w:t>
      </w:r>
      <w:r>
        <w:rPr>
          <w:color w:val="000000" w:themeColor="text1"/>
          <w:sz w:val="22"/>
          <w:szCs w:val="22"/>
        </w:rPr>
        <w:t xml:space="preserve"> </w:t>
      </w:r>
    </w:p>
    <w:p w14:paraId="26235C4A" w14:textId="77777777" w:rsidR="00B16D28" w:rsidRPr="00C36DBB" w:rsidRDefault="00B16D28" w:rsidP="00B16D28">
      <w:pPr>
        <w:pStyle w:val="CM23"/>
        <w:rPr>
          <w:sz w:val="22"/>
          <w:szCs w:val="22"/>
        </w:rPr>
      </w:pPr>
      <w:r>
        <w:rPr>
          <w:color w:val="000000" w:themeColor="text1"/>
          <w:sz w:val="22"/>
          <w:szCs w:val="22"/>
        </w:rPr>
        <w:t xml:space="preserve">Another factor often discussed for consideration in spray drift is the impact of wind direction on off-site transport for species ranges that are impacted by spray drift occurring in all directions. Methods have been proposed in the past to account for this, including the use of wind rose plots to better predict off-site movement of a pesticide. As a simplified method to account for the impacts of wind direction, an additional factor is applied to spray drift based on the number of applications that can occur for the use patterns that are relevant to a species. For the composite factor determined above, a wind direction scaling factor is applied where the factor is scaled to 25% for each application allowed, to represent movement of a pesticide off-site in only one direction, or essentially ¼ of a circle when one application is made. More specifically, if only one yearly application is allowed for the relevant use sites, a factor of 0.25 is applied, if 2 applications are allowed, a factor of 0.5, if 3 applications are allowed, a factor of 0.75 and if 4 or more applications are allowed, a factor of 1 (or no additional scaling is applied). </w:t>
      </w:r>
      <w:r>
        <w:t xml:space="preserve">The equations used to scale the spray drift overlap are provided below in </w:t>
      </w:r>
      <w:r w:rsidRPr="00C36DBB">
        <w:rPr>
          <w:b/>
          <w:sz w:val="22"/>
          <w:szCs w:val="22"/>
        </w:rPr>
        <w:t xml:space="preserve">Equation </w:t>
      </w:r>
      <w:r>
        <w:rPr>
          <w:b/>
          <w:sz w:val="22"/>
          <w:szCs w:val="22"/>
        </w:rPr>
        <w:t>4</w:t>
      </w:r>
      <w:r w:rsidRPr="00C36DBB">
        <w:rPr>
          <w:sz w:val="22"/>
          <w:szCs w:val="22"/>
        </w:rPr>
        <w:t xml:space="preserve"> and </w:t>
      </w:r>
      <w:r w:rsidRPr="00C36DBB">
        <w:rPr>
          <w:b/>
          <w:sz w:val="22"/>
          <w:szCs w:val="22"/>
        </w:rPr>
        <w:t xml:space="preserve">Equation </w:t>
      </w:r>
      <w:r>
        <w:rPr>
          <w:b/>
          <w:sz w:val="22"/>
          <w:szCs w:val="22"/>
        </w:rPr>
        <w:t>5</w:t>
      </w:r>
      <w:r w:rsidRPr="00C36DBB">
        <w:rPr>
          <w:sz w:val="22"/>
          <w:szCs w:val="22"/>
        </w:rPr>
        <w:t>.</w:t>
      </w:r>
      <w:r>
        <w:rPr>
          <w:sz w:val="22"/>
          <w:szCs w:val="22"/>
        </w:rPr>
        <w:t xml:space="preserve"> </w:t>
      </w:r>
    </w:p>
    <w:p w14:paraId="35984C77" w14:textId="77777777" w:rsidR="00B16D28" w:rsidRDefault="00B16D28" w:rsidP="00B16D28">
      <w:pPr>
        <w:rPr>
          <w:color w:val="000000" w:themeColor="text1"/>
          <w:sz w:val="20"/>
        </w:rPr>
      </w:pPr>
      <w:r w:rsidRPr="000F2B3D">
        <w:rPr>
          <w:b/>
          <w:bCs/>
        </w:rPr>
        <w:t xml:space="preserve">Equation </w:t>
      </w:r>
      <w:r>
        <w:rPr>
          <w:b/>
          <w:bCs/>
        </w:rPr>
        <w:t>4</w:t>
      </w:r>
      <w:r>
        <w:t xml:space="preserve">. </w:t>
      </w:r>
      <m:oMath>
        <m:r>
          <w:rPr>
            <w:rFonts w:ascii="Cambria Math" w:hAnsi="Cambria Math"/>
            <w:color w:val="000000" w:themeColor="text1"/>
            <w:sz w:val="20"/>
          </w:rPr>
          <m:t xml:space="preserve">Composite drift factor=Aggregated PCT* </m:t>
        </m:r>
        <m:f>
          <m:fPr>
            <m:ctrlPr>
              <w:rPr>
                <w:rFonts w:ascii="Cambria Math" w:hAnsi="Cambria Math"/>
                <w:i/>
                <w:color w:val="000000" w:themeColor="text1"/>
                <w:sz w:val="20"/>
              </w:rPr>
            </m:ctrlPr>
          </m:fPr>
          <m:num>
            <m:eqArr>
              <m:eqArrPr>
                <m:ctrlPr>
                  <w:rPr>
                    <w:rFonts w:ascii="Cambria Math" w:hAnsi="Cambria Math"/>
                    <w:i/>
                    <w:color w:val="000000" w:themeColor="text1"/>
                    <w:sz w:val="20"/>
                  </w:rPr>
                </m:ctrlPr>
              </m:eqArrPr>
              <m:e>
                <m:r>
                  <w:rPr>
                    <w:rFonts w:ascii="Cambria Math" w:hAnsi="Cambria Math"/>
                    <w:color w:val="000000" w:themeColor="text1"/>
                    <w:sz w:val="20"/>
                  </w:rPr>
                  <m:t>Number of treated acres in direct overlap scenario</m:t>
                </m:r>
              </m:e>
              <m:e>
                <m:r>
                  <w:rPr>
                    <w:rFonts w:ascii="Cambria Math" w:hAnsi="Cambria Math"/>
                    <w:color w:val="000000" w:themeColor="text1"/>
                    <w:sz w:val="20"/>
                  </w:rPr>
                  <m:t>considered (upper bound, uniform, lower bound)</m:t>
                </m:r>
              </m:e>
            </m:eqArr>
          </m:num>
          <m:den>
            <m:r>
              <w:rPr>
                <w:rFonts w:ascii="Cambria Math" w:hAnsi="Cambria Math"/>
                <w:color w:val="000000" w:themeColor="text1"/>
                <w:sz w:val="20"/>
              </w:rPr>
              <m:t>Number of acres in upper bound direct overlap scenario</m:t>
            </m:r>
          </m:den>
        </m:f>
      </m:oMath>
    </w:p>
    <w:p w14:paraId="2EBA32F2" w14:textId="77777777" w:rsidR="00B16D28" w:rsidRDefault="00B16D28" w:rsidP="00B16D28">
      <w:pPr>
        <w:rPr>
          <w:color w:val="000000" w:themeColor="text1"/>
        </w:rPr>
      </w:pPr>
      <w:r w:rsidRPr="000F2B3D">
        <w:rPr>
          <w:b/>
          <w:bCs/>
        </w:rPr>
        <w:lastRenderedPageBreak/>
        <w:t xml:space="preserve">Equation </w:t>
      </w:r>
      <w:r>
        <w:rPr>
          <w:b/>
          <w:bCs/>
        </w:rPr>
        <w:t>5</w:t>
      </w:r>
      <w:r>
        <w:t xml:space="preserve">. </w:t>
      </w:r>
      <m:oMath>
        <m:r>
          <w:rPr>
            <w:rFonts w:ascii="Cambria Math" w:hAnsi="Cambria Math"/>
            <w:color w:val="000000" w:themeColor="text1"/>
            <w:sz w:val="20"/>
          </w:rPr>
          <m:t xml:space="preserve">Final Drift Scaling factor= Composite drift factor rounded up to next 0.1 value *                                                                                     Wind factor </m:t>
        </m:r>
      </m:oMath>
    </w:p>
    <w:p w14:paraId="38412CDB" w14:textId="77777777" w:rsidR="00B16D28" w:rsidRDefault="00B16D28" w:rsidP="00B16D28">
      <w:pPr>
        <w:rPr>
          <w:color w:val="000000" w:themeColor="text1"/>
        </w:rPr>
      </w:pPr>
      <w:r>
        <w:rPr>
          <w:color w:val="000000" w:themeColor="text1"/>
        </w:rPr>
        <w:t>In summary, the number of acres in a species range (or critical habitat) potentially exposed due to spray drift is calculated using the equations above for each state. This total number of acres is then divided by the total acres in the species range to determine the overlap area due to drift. For predicting relative EECs in the drift zone, the number of acres are further refined to how many are in each 30 meter increment off-site</w:t>
      </w:r>
      <w:r w:rsidRPr="00602DF6">
        <w:rPr>
          <w:color w:val="000000" w:themeColor="text1"/>
        </w:rPr>
        <w:t>; start at</w:t>
      </w:r>
      <w:r>
        <w:rPr>
          <w:color w:val="000000" w:themeColor="text1"/>
        </w:rPr>
        <w:t xml:space="preserve"> </w:t>
      </w:r>
      <w:r w:rsidRPr="00602DF6">
        <w:rPr>
          <w:color w:val="000000" w:themeColor="text1"/>
        </w:rPr>
        <w:t>30 meters and continuing to 792 meters off-site</w:t>
      </w:r>
      <w:r w:rsidRPr="008D2CDF">
        <w:rPr>
          <w:color w:val="000000" w:themeColor="text1"/>
        </w:rPr>
        <w:t xml:space="preserve"> or the limit aerial drift.</w:t>
      </w:r>
      <w:r w:rsidRPr="001D34B7">
        <w:rPr>
          <w:color w:val="000000" w:themeColor="text1"/>
        </w:rPr>
        <w:t xml:space="preserve"> </w:t>
      </w:r>
      <w:r w:rsidRPr="002702E1">
        <w:rPr>
          <w:color w:val="000000" w:themeColor="text1"/>
        </w:rPr>
        <w:t xml:space="preserve">Additional uncertainties and conservatism of the method for applying usage data </w:t>
      </w:r>
      <w:r>
        <w:rPr>
          <w:color w:val="000000" w:themeColor="text1"/>
        </w:rPr>
        <w:t xml:space="preserve">to drift </w:t>
      </w:r>
      <w:r w:rsidRPr="002702E1">
        <w:rPr>
          <w:color w:val="000000" w:themeColor="text1"/>
        </w:rPr>
        <w:t>are provided in the Revised Method.</w:t>
      </w:r>
    </w:p>
    <w:p w14:paraId="299961DB" w14:textId="77777777" w:rsidR="002D67BD" w:rsidRPr="001724E7" w:rsidRDefault="002D67BD" w:rsidP="00626F43">
      <w:pPr>
        <w:pStyle w:val="BEHeader1"/>
      </w:pPr>
      <w:bookmarkStart w:id="24" w:name="_Hlk32182051"/>
      <w:bookmarkStart w:id="25" w:name="_Hlk32182274"/>
      <w:bookmarkStart w:id="26" w:name="_Hlk16503932"/>
      <w:bookmarkEnd w:id="18"/>
      <w:r w:rsidRPr="001724E7">
        <w:t xml:space="preserve">Determination of </w:t>
      </w:r>
      <w:r w:rsidRPr="00E61818">
        <w:t>Overlap</w:t>
      </w:r>
      <w:r w:rsidRPr="001724E7">
        <w:t xml:space="preserve"> of Exposure Area and Species Range</w:t>
      </w:r>
      <w:r>
        <w:t xml:space="preserve"> or Critical Habitat</w:t>
      </w:r>
    </w:p>
    <w:p w14:paraId="0353CE71" w14:textId="77777777" w:rsidR="002D67BD" w:rsidRDefault="002D67BD" w:rsidP="002D67BD">
      <w:pPr>
        <w:spacing w:after="0"/>
        <w:rPr>
          <w:color w:val="000000" w:themeColor="text1"/>
        </w:rPr>
      </w:pPr>
      <w:r w:rsidRPr="0060400B">
        <w:rPr>
          <w:color w:val="000000" w:themeColor="text1"/>
        </w:rPr>
        <w:t>To determine the total overlap exposure area, the total number of treated acres within the species range</w:t>
      </w:r>
      <w:r>
        <w:rPr>
          <w:color w:val="000000" w:themeColor="text1"/>
        </w:rPr>
        <w:t xml:space="preserve"> (</w:t>
      </w:r>
      <w:r w:rsidRPr="0060400B">
        <w:rPr>
          <w:color w:val="000000" w:themeColor="text1"/>
        </w:rPr>
        <w:t>direct overlap</w:t>
      </w:r>
      <w:r>
        <w:rPr>
          <w:color w:val="000000" w:themeColor="text1"/>
        </w:rPr>
        <w:t>)</w:t>
      </w:r>
      <w:r w:rsidRPr="0060400B">
        <w:rPr>
          <w:color w:val="000000" w:themeColor="text1"/>
        </w:rPr>
        <w:t xml:space="preserve"> are added to the scaled number of acres receiving spray drift then divided by the total number of acres of the species range</w:t>
      </w:r>
      <w:r>
        <w:rPr>
          <w:color w:val="000000" w:themeColor="text1"/>
        </w:rPr>
        <w:t xml:space="preserve"> (or critical habitat)</w:t>
      </w:r>
      <w:r w:rsidRPr="0060400B">
        <w:rPr>
          <w:color w:val="000000" w:themeColor="text1"/>
        </w:rPr>
        <w:t>. This can be considered the percent of the species range</w:t>
      </w:r>
      <w:r>
        <w:rPr>
          <w:color w:val="000000" w:themeColor="text1"/>
        </w:rPr>
        <w:t>/habitat</w:t>
      </w:r>
      <w:r w:rsidRPr="0060400B">
        <w:rPr>
          <w:color w:val="000000" w:themeColor="text1"/>
        </w:rPr>
        <w:t xml:space="preserve"> that </w:t>
      </w:r>
      <w:r>
        <w:rPr>
          <w:color w:val="000000" w:themeColor="text1"/>
        </w:rPr>
        <w:t>is likely to</w:t>
      </w:r>
      <w:r w:rsidRPr="0060400B">
        <w:rPr>
          <w:color w:val="000000" w:themeColor="text1"/>
        </w:rPr>
        <w:t xml:space="preserve"> be exposed to the pesticide of interest</w:t>
      </w:r>
      <w:r>
        <w:rPr>
          <w:color w:val="000000" w:themeColor="text1"/>
        </w:rPr>
        <w:t>, based on usage data and predicted spray drift</w:t>
      </w:r>
      <w:r w:rsidRPr="0060400B">
        <w:rPr>
          <w:color w:val="000000" w:themeColor="text1"/>
        </w:rPr>
        <w:t xml:space="preserve">. For species whose life history information indicates the species </w:t>
      </w:r>
      <w:r>
        <w:rPr>
          <w:color w:val="000000" w:themeColor="text1"/>
        </w:rPr>
        <w:t>will not utilize the potential use site</w:t>
      </w:r>
      <w:r w:rsidRPr="0060400B">
        <w:rPr>
          <w:color w:val="000000" w:themeColor="text1"/>
        </w:rPr>
        <w:t xml:space="preserve"> areas, overlap of direct treated sites will be zero</w:t>
      </w:r>
      <w:r>
        <w:rPr>
          <w:color w:val="000000" w:themeColor="text1"/>
        </w:rPr>
        <w:t xml:space="preserve"> for direct exposure</w:t>
      </w:r>
      <w:r w:rsidRPr="0060400B">
        <w:rPr>
          <w:color w:val="000000" w:themeColor="text1"/>
        </w:rPr>
        <w:t xml:space="preserve"> and only the scaled areas receiving spray drift are considered for the species overlap. </w:t>
      </w:r>
    </w:p>
    <w:p w14:paraId="412383EA" w14:textId="77777777" w:rsidR="002D67BD" w:rsidRDefault="002D67BD" w:rsidP="002D67BD">
      <w:pPr>
        <w:spacing w:after="0"/>
        <w:rPr>
          <w:color w:val="000000" w:themeColor="text1"/>
        </w:rPr>
      </w:pPr>
    </w:p>
    <w:p w14:paraId="0A889110" w14:textId="77777777" w:rsidR="002D67BD" w:rsidRDefault="002D67BD" w:rsidP="002D67BD">
      <w:pPr>
        <w:spacing w:after="0"/>
        <w:rPr>
          <w:rFonts w:cstheme="minorHAnsi"/>
        </w:rPr>
      </w:pPr>
      <w:r>
        <w:rPr>
          <w:rFonts w:cstheme="minorHAnsi"/>
        </w:rPr>
        <w:t>There are 5 different overlap scenarios generated for consideration. The first represents the unadjusted or pesticide usage independent overlap, the 2</w:t>
      </w:r>
      <w:r w:rsidRPr="0080781F">
        <w:rPr>
          <w:rFonts w:cstheme="minorHAnsi"/>
          <w:vertAlign w:val="superscript"/>
        </w:rPr>
        <w:t>nd</w:t>
      </w:r>
      <w:r>
        <w:rPr>
          <w:rFonts w:cstheme="minorHAnsi"/>
        </w:rPr>
        <w:t xml:space="preserve"> and 3</w:t>
      </w:r>
      <w:r w:rsidRPr="0080781F">
        <w:rPr>
          <w:rFonts w:cstheme="minorHAnsi"/>
          <w:vertAlign w:val="superscript"/>
        </w:rPr>
        <w:t>rd</w:t>
      </w:r>
      <w:r>
        <w:rPr>
          <w:rFonts w:cstheme="minorHAnsi"/>
        </w:rPr>
        <w:t xml:space="preserve"> incorporate the chemical specific usage information and accounts for the redundancy in the UDL layers, and the 4</w:t>
      </w:r>
      <w:r w:rsidRPr="00920ADA">
        <w:rPr>
          <w:rFonts w:cstheme="minorHAnsi"/>
          <w:vertAlign w:val="superscript"/>
        </w:rPr>
        <w:t>th</w:t>
      </w:r>
      <w:r>
        <w:rPr>
          <w:rFonts w:cstheme="minorHAnsi"/>
        </w:rPr>
        <w:t xml:space="preserve"> and 5</w:t>
      </w:r>
      <w:r w:rsidRPr="0080781F">
        <w:rPr>
          <w:rFonts w:cstheme="minorHAnsi"/>
          <w:vertAlign w:val="superscript"/>
        </w:rPr>
        <w:t>th</w:t>
      </w:r>
      <w:r>
        <w:rPr>
          <w:rFonts w:cstheme="minorHAnsi"/>
        </w:rPr>
        <w:t xml:space="preserve"> incorporate species life history information by removing direct overlap if the species will not utilize the potential use site and limiting the overlap extent to just the areas represented by suitable habitat. These 5 overlap scenarios are discussed in more detail in the following section. </w:t>
      </w:r>
    </w:p>
    <w:p w14:paraId="3431D041" w14:textId="77777777" w:rsidR="002D67BD" w:rsidRDefault="002D67BD" w:rsidP="002D67BD">
      <w:pPr>
        <w:spacing w:after="0"/>
        <w:rPr>
          <w:rFonts w:cstheme="minorHAnsi"/>
        </w:rPr>
      </w:pPr>
    </w:p>
    <w:p w14:paraId="760F255A" w14:textId="77777777" w:rsidR="002D67BD" w:rsidRDefault="002D67BD" w:rsidP="002D67BD">
      <w:pPr>
        <w:spacing w:after="0"/>
        <w:rPr>
          <w:color w:val="000000" w:themeColor="text1"/>
        </w:rPr>
      </w:pPr>
      <w:r>
        <w:rPr>
          <w:color w:val="000000" w:themeColor="text1"/>
        </w:rPr>
        <w:t>When considering the three different assumptions related to distribution of treated acres relative to species range (</w:t>
      </w:r>
      <w:r w:rsidRPr="00AF054D">
        <w:rPr>
          <w:i/>
          <w:color w:val="000000" w:themeColor="text1"/>
        </w:rPr>
        <w:t xml:space="preserve">i.e., </w:t>
      </w:r>
      <w:r>
        <w:rPr>
          <w:color w:val="000000" w:themeColor="text1"/>
        </w:rPr>
        <w:t>concentrated in species range (upper), uniform throughout state (uniform) and concentrated outside of species range (lower)) and the three different assumptions regarding the amount of usage on a given year (</w:t>
      </w:r>
      <w:r w:rsidRPr="00AF054D">
        <w:rPr>
          <w:i/>
          <w:color w:val="000000" w:themeColor="text1"/>
        </w:rPr>
        <w:t>i.e.,</w:t>
      </w:r>
      <w:r>
        <w:rPr>
          <w:color w:val="000000" w:themeColor="text1"/>
        </w:rPr>
        <w:t xml:space="preserve"> maximum, average or minimum annual PCT), there are 9 different estimates of the overlap of the species range (or critical habitat) and the exposure area for each overlap scenario. The overlap estimates for pertinent scenarios are considered in addition to the influence of using surrogate usage data when none are available as part of the Weight of Evidence. This information is considered in the Weight of Evidence to determine the likelihood that an individual will be exposed and adversely affected.</w:t>
      </w:r>
    </w:p>
    <w:p w14:paraId="466206FA" w14:textId="77777777" w:rsidR="002D67BD" w:rsidRDefault="002D67BD" w:rsidP="00626F43">
      <w:pPr>
        <w:pStyle w:val="BEHeader1"/>
      </w:pPr>
      <w:r>
        <w:t xml:space="preserve">Background - </w:t>
      </w:r>
      <w:r w:rsidRPr="00E61818">
        <w:t>Spatial</w:t>
      </w:r>
      <w:r>
        <w:t xml:space="preserve"> Co-occurrence of Species Location and Potential Use Sites</w:t>
      </w:r>
    </w:p>
    <w:p w14:paraId="10E57D3B" w14:textId="77777777" w:rsidR="002D67BD" w:rsidRDefault="002D67BD" w:rsidP="002D67BD">
      <w:pPr>
        <w:spacing w:after="0"/>
      </w:pPr>
      <w:bookmarkStart w:id="27" w:name="_Hlk33807298"/>
      <w:bookmarkStart w:id="28" w:name="_Hlk32308697"/>
      <w:r>
        <w:t xml:space="preserve">The co-occurrence analysis identifies if a species range (or critical habitat) and UDL overlap, and if so by how much. Required inputs to conducting the co-occurrence analysis include a list of species, species location files, pesticide Use Data Layers (UDLs), and any additional supporting species life history information used to supplement the analysis. The species list needs to include all species and designated </w:t>
      </w:r>
      <w:r>
        <w:lastRenderedPageBreak/>
        <w:t>critical habitat subjects to section 7 of the Endangered Species Act. Location files for each species range and critical habitat need to be accounted for prior to use in the co-occurrence analysis. The pesticide Use Data Layers (UDLs) representing each label use also need to be accounted for prior to completing the analysis. Finally, any additional species life history or spatial datasets, (</w:t>
      </w:r>
      <w:r>
        <w:rPr>
          <w:i/>
        </w:rPr>
        <w:t>e.g.,</w:t>
      </w:r>
      <w:r>
        <w:t xml:space="preserve"> GAP/Landfire habitat layer) used to supplement the co-occurrence analysis need to be identified. Additional detail on these spatial inputs and the tools use to generated them can be found with the BE models/tools.</w:t>
      </w:r>
    </w:p>
    <w:bookmarkEnd w:id="27"/>
    <w:p w14:paraId="4F0206DE" w14:textId="77777777" w:rsidR="002D67BD" w:rsidRDefault="002D67BD" w:rsidP="002D67BD">
      <w:pPr>
        <w:spacing w:after="0"/>
      </w:pPr>
    </w:p>
    <w:p w14:paraId="1BCE4299" w14:textId="77777777" w:rsidR="002D67BD" w:rsidRDefault="002D67BD" w:rsidP="002D67BD">
      <w:pPr>
        <w:spacing w:after="0"/>
      </w:pPr>
      <w:r>
        <w:t xml:space="preserve">All inputs are finalized and standardized using the </w:t>
      </w:r>
      <w:r w:rsidRPr="00731146">
        <w:t xml:space="preserve">Co-occurrence Inputs-Species/Use and Supporting Tables </w:t>
      </w:r>
      <w:r>
        <w:t xml:space="preserve">tool. The co-occurrence analysis leverages the ArcGIS Tabulate Area tool, executed as a batch using </w:t>
      </w:r>
      <w:r w:rsidRPr="00731146">
        <w:t>Chemical Independent Co-occurrence Results-Parent Use Overlap Table</w:t>
      </w:r>
      <w:r>
        <w:t>s tool.</w:t>
      </w:r>
      <w:bookmarkStart w:id="29" w:name="_Hlk33892525"/>
      <w:r>
        <w:t xml:space="preserve"> The </w:t>
      </w:r>
      <w:r w:rsidRPr="00731146">
        <w:t xml:space="preserve">Chemical Dependent Co-occurrence Results-MAGtool Tables </w:t>
      </w:r>
      <w:r>
        <w:t>too</w:t>
      </w:r>
      <w:bookmarkEnd w:id="29"/>
      <w:r>
        <w:t>l generates the standard output tables summarized by UDL and species used in the BE, incorporating usage and species life information into the results. The five different overlap scenarios are generated as output from this tool. Additional information on each of these tools can be found with the</w:t>
      </w:r>
      <w:bookmarkStart w:id="30" w:name="_Hlk32180807"/>
      <w:r>
        <w:t xml:space="preserve"> respective </w:t>
      </w:r>
      <w:bookmarkEnd w:id="30"/>
      <w:r>
        <w:t>tool documentation.</w:t>
      </w:r>
    </w:p>
    <w:p w14:paraId="52DDBA27" w14:textId="77777777" w:rsidR="002D67BD" w:rsidRDefault="002D67BD" w:rsidP="002D67BD">
      <w:pPr>
        <w:spacing w:after="0"/>
      </w:pPr>
    </w:p>
    <w:p w14:paraId="1F3B4A74" w14:textId="6AAC1B7F" w:rsidR="002D67BD" w:rsidRPr="0048253F" w:rsidRDefault="002D67BD" w:rsidP="002D67BD">
      <w:r>
        <w:t xml:space="preserve">The first overlap scenario provides a usage independent overlap, without any adjustments to account for usage or species life history. The remaining overlap scenarios apply usage and species information to the overlap. First the aggregated PCTs for </w:t>
      </w:r>
      <w:r w:rsidR="676EF32C">
        <w:t>i</w:t>
      </w:r>
      <w:r w:rsidR="18F7977B">
        <w:t>midacloprid</w:t>
      </w:r>
      <w:r>
        <w:t xml:space="preserve">, described above, are applied to the species/UDL overlap using the three different distribution methods for the treated acres. Following the application of usage information, results are scaled to account for the redundancy in the UDLs. Additional detail on the method for applying the redundancy scaling factors is provided below. The last two overlap scenarios account for species life history information. First, if the species </w:t>
      </w:r>
      <w:r w:rsidRPr="218A8BFF">
        <w:rPr>
          <w:color w:val="000000" w:themeColor="text1"/>
        </w:rPr>
        <w:t>will not utilize the potential</w:t>
      </w:r>
      <w:r>
        <w:t xml:space="preserve"> use site directly the overlap representing the direct overlap is excluded, limiting the results to the areas of drift overlap. Lastly, if the species is more likely to use certain habitats this can be considered by limiting the extent of overlap to just the areas of the species range with those habitats. This suitable habitat consideration is not applicable to designated critical habitat and is considered in conjunction with the results representing the full range as part of the Weight of Evidence. </w:t>
      </w:r>
    </w:p>
    <w:bookmarkEnd w:id="28"/>
    <w:p w14:paraId="40A40747" w14:textId="77777777" w:rsidR="002D67BD" w:rsidRDefault="002D67BD" w:rsidP="00626F43">
      <w:pPr>
        <w:pStyle w:val="BEHeader1"/>
      </w:pPr>
      <w:r>
        <w:t>Input Data Used for Co-</w:t>
      </w:r>
      <w:r w:rsidRPr="00E61818">
        <w:t>occurrence</w:t>
      </w:r>
      <w:r>
        <w:t xml:space="preserve"> Analysis</w:t>
      </w:r>
    </w:p>
    <w:p w14:paraId="6FB7FF0A" w14:textId="77777777" w:rsidR="002D67BD" w:rsidRDefault="002D67BD" w:rsidP="00626F43">
      <w:pPr>
        <w:pStyle w:val="Heading2"/>
      </w:pPr>
      <w:r w:rsidRPr="00CA363F">
        <w:t xml:space="preserve">Master </w:t>
      </w:r>
      <w:r w:rsidRPr="005E4855">
        <w:t>Species</w:t>
      </w:r>
      <w:r w:rsidRPr="00CA363F">
        <w:t xml:space="preserve"> List</w:t>
      </w:r>
    </w:p>
    <w:p w14:paraId="00C01115" w14:textId="77777777" w:rsidR="002D67BD" w:rsidRDefault="002D67BD" w:rsidP="002D67BD">
      <w:pPr>
        <w:spacing w:after="0"/>
      </w:pPr>
      <w:r>
        <w:t>Species subject to section 7 under the Endangered Species Act are obtained from the US Fish and Wildlife Threatened and Endangered Species System</w:t>
      </w:r>
      <w:r>
        <w:rPr>
          <w:rStyle w:val="FootnoteReference"/>
        </w:rPr>
        <w:footnoteReference w:id="3"/>
      </w:r>
      <w:r>
        <w:t xml:space="preserve"> (TESS). The resulting table is filtered to include listing statuses</w:t>
      </w:r>
      <w:r>
        <w:rPr>
          <w:rStyle w:val="FootnoteReference"/>
        </w:rPr>
        <w:footnoteReference w:id="4"/>
      </w:r>
      <w:r>
        <w:t xml:space="preserve"> currently subject to section 7 or potentially subject to section 7 during the registration time period. Information from TESS for species under the jurisdiction of the National Marine Fisheries Service (NMFS) is supplemented with information from the NMFS website</w:t>
      </w:r>
      <w:r>
        <w:rPr>
          <w:rStyle w:val="FootnoteReference"/>
        </w:rPr>
        <w:footnoteReference w:id="5"/>
      </w:r>
      <w:r>
        <w:t xml:space="preserve">, deferring to the NMFS </w:t>
      </w:r>
      <w:r>
        <w:lastRenderedPageBreak/>
        <w:t xml:space="preserve">website if conflicts exist between the sources. The species list used for this assessment was generated in </w:t>
      </w:r>
      <w:r w:rsidRPr="002035CB">
        <w:t>November 2020</w:t>
      </w:r>
      <w:r>
        <w:t xml:space="preserve">. </w:t>
      </w:r>
    </w:p>
    <w:p w14:paraId="635BFC36" w14:textId="77777777" w:rsidR="002D67BD" w:rsidRPr="00263BBA" w:rsidRDefault="002D67BD" w:rsidP="002D67BD">
      <w:pPr>
        <w:spacing w:after="0"/>
      </w:pPr>
    </w:p>
    <w:p w14:paraId="5AE79C8D" w14:textId="77777777" w:rsidR="002D67BD" w:rsidRDefault="002D67BD" w:rsidP="00626F43">
      <w:pPr>
        <w:pStyle w:val="Heading2"/>
      </w:pPr>
      <w:r>
        <w:t>Species Locations</w:t>
      </w:r>
    </w:p>
    <w:p w14:paraId="026DB8F9" w14:textId="3991D442" w:rsidR="002D67BD" w:rsidRDefault="002D67BD" w:rsidP="002D67BD">
      <w:pPr>
        <w:spacing w:after="0"/>
      </w:pPr>
      <w:r>
        <w:t>The FWS ECOS Portal (</w:t>
      </w:r>
      <w:hyperlink r:id="rId18">
        <w:r>
          <w:rPr>
            <w:color w:val="0563C1"/>
            <w:u w:val="single"/>
          </w:rPr>
          <w:t>http://ecos.fws.gov</w:t>
        </w:r>
      </w:hyperlink>
      <w:r>
        <w:t>) houses spatial data that represents species’ ranges and designated critical habitat</w:t>
      </w:r>
      <w:r>
        <w:rPr>
          <w:rStyle w:val="FootnoteReference"/>
        </w:rPr>
        <w:footnoteReference w:id="6"/>
      </w:r>
      <w:r>
        <w:t xml:space="preserve">. Managed by the species experts and therefore considered the best available information for section 7 consultation, the co-occurrence analysis utilizing this information. The ECOS Portal points users to NMFS websites to access spatial information for species under NMFS jurisdiction not found on the ECOS website. For NMFS species not found in either location a request was made directly to the NMFS scientists. The last download of the species locations occurred in </w:t>
      </w:r>
      <w:r w:rsidR="00D2225A" w:rsidRPr="002035CB">
        <w:t xml:space="preserve">November </w:t>
      </w:r>
      <w:r w:rsidRPr="002035CB">
        <w:t>2020</w:t>
      </w:r>
      <w:r>
        <w:t xml:space="preserve">. </w:t>
      </w:r>
    </w:p>
    <w:p w14:paraId="465DE393" w14:textId="77777777" w:rsidR="002D67BD" w:rsidRPr="009C77BC" w:rsidRDefault="002D67BD" w:rsidP="002D67BD">
      <w:pPr>
        <w:spacing w:after="0"/>
        <w:rPr>
          <w:rFonts w:cstheme="minorHAnsi"/>
        </w:rPr>
      </w:pPr>
    </w:p>
    <w:p w14:paraId="1AF0644F" w14:textId="77777777" w:rsidR="002D67BD" w:rsidRDefault="002D67BD" w:rsidP="002D67BD">
      <w:pPr>
        <w:pStyle w:val="paragraph"/>
        <w:spacing w:after="0"/>
        <w:textAlignment w:val="baseline"/>
        <w:rPr>
          <w:rFonts w:asciiTheme="minorHAnsi" w:eastAsiaTheme="minorEastAsia" w:hAnsiTheme="minorHAnsi" w:cstheme="minorHAnsi"/>
          <w:sz w:val="22"/>
          <w:szCs w:val="22"/>
        </w:rPr>
      </w:pPr>
      <w:r w:rsidRPr="009C77BC">
        <w:rPr>
          <w:rFonts w:asciiTheme="minorHAnsi" w:hAnsiTheme="minorHAnsi" w:cstheme="minorHAnsi"/>
          <w:sz w:val="22"/>
          <w:szCs w:val="22"/>
        </w:rPr>
        <w:t>After accounting for each species, the input files used for the co-occurrence</w:t>
      </w:r>
      <w:r>
        <w:rPr>
          <w:rFonts w:asciiTheme="minorHAnsi" w:hAnsiTheme="minorHAnsi" w:cstheme="minorHAnsi"/>
          <w:sz w:val="22"/>
          <w:szCs w:val="22"/>
        </w:rPr>
        <w:t xml:space="preserve"> analysis</w:t>
      </w:r>
      <w:r w:rsidRPr="009C77BC">
        <w:rPr>
          <w:rFonts w:asciiTheme="minorHAnsi" w:hAnsiTheme="minorHAnsi" w:cstheme="minorHAnsi"/>
          <w:sz w:val="22"/>
          <w:szCs w:val="22"/>
        </w:rPr>
        <w:t xml:space="preserve"> are generated </w:t>
      </w:r>
      <w:r>
        <w:rPr>
          <w:rFonts w:asciiTheme="minorHAnsi" w:hAnsiTheme="minorHAnsi" w:cstheme="minorHAnsi"/>
          <w:sz w:val="22"/>
          <w:szCs w:val="22"/>
        </w:rPr>
        <w:t>with</w:t>
      </w:r>
      <w:r w:rsidRPr="009C77BC">
        <w:rPr>
          <w:rFonts w:asciiTheme="minorHAnsi" w:hAnsiTheme="minorHAnsi" w:cstheme="minorHAnsi"/>
          <w:sz w:val="22"/>
          <w:szCs w:val="22"/>
        </w:rPr>
        <w:t xml:space="preserve"> the </w:t>
      </w:r>
      <w:r w:rsidRPr="009C77BC">
        <w:rPr>
          <w:rFonts w:asciiTheme="minorHAnsi" w:eastAsiaTheme="minorEastAsia" w:hAnsiTheme="minorHAnsi" w:cstheme="minorHAnsi"/>
          <w:sz w:val="22"/>
          <w:szCs w:val="22"/>
        </w:rPr>
        <w:t>ES</w:t>
      </w:r>
      <w:r>
        <w:rPr>
          <w:rFonts w:asciiTheme="minorHAnsi" w:eastAsiaTheme="minorEastAsia" w:hAnsiTheme="minorHAnsi" w:cstheme="minorHAnsi"/>
          <w:sz w:val="22"/>
          <w:szCs w:val="22"/>
        </w:rPr>
        <w:t xml:space="preserve">RI </w:t>
      </w:r>
      <w:r w:rsidRPr="009C77BC">
        <w:rPr>
          <w:rFonts w:asciiTheme="minorHAnsi" w:eastAsiaTheme="minorEastAsia" w:hAnsiTheme="minorHAnsi" w:cstheme="minorHAnsi"/>
          <w:sz w:val="22"/>
          <w:szCs w:val="22"/>
        </w:rPr>
        <w:t xml:space="preserve">ArcGIS </w:t>
      </w:r>
      <w:r w:rsidRPr="009C77BC">
        <w:rPr>
          <w:rFonts w:asciiTheme="minorHAnsi" w:hAnsiTheme="minorHAnsi" w:cstheme="minorHAnsi"/>
          <w:sz w:val="22"/>
          <w:szCs w:val="22"/>
        </w:rPr>
        <w:t>Union Toolbox</w:t>
      </w:r>
      <w:r>
        <w:rPr>
          <w:rStyle w:val="FootnoteReference"/>
          <w:rFonts w:asciiTheme="minorHAnsi" w:hAnsiTheme="minorHAnsi" w:cstheme="minorHAnsi"/>
          <w:sz w:val="22"/>
          <w:szCs w:val="22"/>
        </w:rPr>
        <w:footnoteReference w:id="7"/>
      </w:r>
      <w:r w:rsidRPr="009C77BC">
        <w:rPr>
          <w:rFonts w:asciiTheme="minorHAnsi" w:hAnsiTheme="minorHAnsi" w:cstheme="minorHAnsi"/>
          <w:sz w:val="22"/>
          <w:szCs w:val="22"/>
        </w:rPr>
        <w:t xml:space="preserve">. </w:t>
      </w:r>
      <w:r>
        <w:rPr>
          <w:rFonts w:asciiTheme="minorHAnsi" w:eastAsiaTheme="minorEastAsia" w:hAnsiTheme="minorHAnsi" w:cstheme="minorHAnsi"/>
          <w:sz w:val="22"/>
          <w:szCs w:val="22"/>
        </w:rPr>
        <w:t>The union</w:t>
      </w:r>
      <w:r w:rsidRPr="009C77BC">
        <w:rPr>
          <w:rFonts w:asciiTheme="minorHAnsi" w:eastAsiaTheme="minorEastAsia" w:hAnsiTheme="minorHAnsi" w:cstheme="minorHAnsi"/>
          <w:sz w:val="22"/>
          <w:szCs w:val="22"/>
        </w:rPr>
        <w:t xml:space="preserve"> tool generate</w:t>
      </w:r>
      <w:r>
        <w:rPr>
          <w:rFonts w:asciiTheme="minorHAnsi" w:eastAsiaTheme="minorEastAsia" w:hAnsiTheme="minorHAnsi" w:cstheme="minorHAnsi"/>
          <w:sz w:val="22"/>
          <w:szCs w:val="22"/>
        </w:rPr>
        <w:t>s</w:t>
      </w:r>
      <w:r w:rsidRPr="009C77BC">
        <w:rPr>
          <w:rFonts w:asciiTheme="minorHAnsi" w:eastAsiaTheme="minorEastAsia" w:hAnsiTheme="minorHAnsi" w:cstheme="minorHAnsi"/>
          <w:sz w:val="22"/>
          <w:szCs w:val="22"/>
        </w:rPr>
        <w:t xml:space="preserve"> the geometric union of the</w:t>
      </w:r>
      <w:r>
        <w:rPr>
          <w:rFonts w:asciiTheme="minorHAnsi" w:eastAsiaTheme="minorEastAsia" w:hAnsiTheme="minorHAnsi" w:cstheme="minorHAnsi"/>
          <w:sz w:val="22"/>
          <w:szCs w:val="22"/>
        </w:rPr>
        <w:t xml:space="preserve"> species</w:t>
      </w:r>
      <w:r w:rsidRPr="009C77BC">
        <w:rPr>
          <w:rFonts w:asciiTheme="minorHAnsi" w:eastAsiaTheme="minorEastAsia" w:hAnsiTheme="minorHAnsi" w:cstheme="minorHAnsi"/>
          <w:sz w:val="22"/>
          <w:szCs w:val="22"/>
        </w:rPr>
        <w:t xml:space="preserve"> files and their attributes </w:t>
      </w:r>
      <w:r>
        <w:rPr>
          <w:rFonts w:asciiTheme="minorHAnsi" w:eastAsiaTheme="minorEastAsia" w:hAnsiTheme="minorHAnsi" w:cstheme="minorHAnsi"/>
          <w:sz w:val="22"/>
          <w:szCs w:val="22"/>
        </w:rPr>
        <w:t xml:space="preserve">presented as </w:t>
      </w:r>
      <w:r w:rsidRPr="009C77BC">
        <w:rPr>
          <w:rFonts w:asciiTheme="minorHAnsi" w:eastAsiaTheme="minorEastAsia" w:hAnsiTheme="minorHAnsi" w:cstheme="minorHAnsi"/>
          <w:sz w:val="22"/>
          <w:szCs w:val="22"/>
        </w:rPr>
        <w:t xml:space="preserve">non-overlapping ‘zones’. Each unique zone may be occupied by multiple species. The species found in each zone are tracked in </w:t>
      </w:r>
      <w:r>
        <w:rPr>
          <w:rFonts w:asciiTheme="minorHAnsi" w:eastAsiaTheme="minorEastAsia" w:hAnsiTheme="minorHAnsi" w:cstheme="minorHAnsi"/>
          <w:sz w:val="22"/>
          <w:szCs w:val="22"/>
        </w:rPr>
        <w:t xml:space="preserve">a </w:t>
      </w:r>
      <w:r w:rsidRPr="009C77BC">
        <w:rPr>
          <w:rFonts w:asciiTheme="minorHAnsi" w:eastAsiaTheme="minorEastAsia" w:hAnsiTheme="minorHAnsi" w:cstheme="minorHAnsi"/>
          <w:sz w:val="22"/>
          <w:szCs w:val="22"/>
        </w:rPr>
        <w:t>look-up table generated at the time of the union</w:t>
      </w:r>
      <w:r>
        <w:rPr>
          <w:rFonts w:asciiTheme="minorHAnsi" w:eastAsiaTheme="minorEastAsia" w:hAnsiTheme="minorHAnsi" w:cstheme="minorHAnsi"/>
          <w:sz w:val="22"/>
          <w:szCs w:val="22"/>
        </w:rPr>
        <w:t xml:space="preserve">. By using these non-overlapping ‘zones’ a given location is only run once in the analysis, rather than for each overlapping species. </w:t>
      </w:r>
    </w:p>
    <w:p w14:paraId="1344F661" w14:textId="77777777" w:rsidR="002D67BD" w:rsidRDefault="002D67BD" w:rsidP="002D67BD">
      <w:pPr>
        <w:pStyle w:val="paragraph"/>
        <w:spacing w:after="0"/>
        <w:textAlignment w:val="baseline"/>
        <w:rPr>
          <w:rFonts w:asciiTheme="minorHAnsi" w:eastAsiaTheme="minorEastAsia" w:hAnsiTheme="minorHAnsi" w:cstheme="minorHAnsi"/>
          <w:sz w:val="22"/>
          <w:szCs w:val="22"/>
        </w:rPr>
      </w:pPr>
    </w:p>
    <w:p w14:paraId="57ACAC3F" w14:textId="77777777" w:rsidR="002D67BD" w:rsidRDefault="002D67BD" w:rsidP="002D67BD">
      <w:pPr>
        <w:pStyle w:val="paragraph"/>
        <w:spacing w:after="0"/>
        <w:textAlignment w:val="baseline"/>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Additional information on this process can be found with the </w:t>
      </w:r>
      <w:r w:rsidRPr="009C77BC">
        <w:rPr>
          <w:rFonts w:asciiTheme="minorHAnsi" w:eastAsiaTheme="minorEastAsia" w:hAnsiTheme="minorHAnsi" w:cstheme="minorHAnsi"/>
          <w:sz w:val="22"/>
          <w:szCs w:val="22"/>
        </w:rPr>
        <w:t>Co-occurrence Inputs-Species/Use and Supporting Tables</w:t>
      </w:r>
      <w:r>
        <w:rPr>
          <w:rFonts w:asciiTheme="minorHAnsi" w:eastAsiaTheme="minorEastAsia" w:hAnsiTheme="minorHAnsi" w:cstheme="minorHAnsi"/>
          <w:sz w:val="22"/>
          <w:szCs w:val="22"/>
        </w:rPr>
        <w:t xml:space="preserve"> tool. </w:t>
      </w:r>
    </w:p>
    <w:p w14:paraId="1658D1E5" w14:textId="77777777" w:rsidR="002D67BD" w:rsidRPr="009C77BC" w:rsidRDefault="002D67BD" w:rsidP="002D67BD">
      <w:pPr>
        <w:pStyle w:val="paragraph"/>
        <w:spacing w:after="0"/>
        <w:textAlignment w:val="baseline"/>
        <w:rPr>
          <w:rFonts w:asciiTheme="minorHAnsi" w:hAnsiTheme="minorHAnsi" w:cstheme="minorHAnsi"/>
          <w:sz w:val="22"/>
          <w:szCs w:val="22"/>
        </w:rPr>
      </w:pPr>
    </w:p>
    <w:p w14:paraId="6878EBF8" w14:textId="77777777" w:rsidR="002D67BD" w:rsidRDefault="002D67BD" w:rsidP="00626F43">
      <w:pPr>
        <w:pStyle w:val="Heading2"/>
      </w:pPr>
      <w:r w:rsidRPr="00592EBE">
        <w:t>Use Data Layers (UDLs)</w:t>
      </w:r>
    </w:p>
    <w:p w14:paraId="020188A0" w14:textId="77777777" w:rsidR="002D67BD" w:rsidRPr="00592EBE" w:rsidRDefault="002D67BD" w:rsidP="002D67BD">
      <w:pPr>
        <w:pStyle w:val="NoSpacing"/>
        <w:rPr>
          <w:b/>
        </w:rPr>
      </w:pPr>
      <w:r>
        <w:t xml:space="preserve">The data and process to generate the Use Data Layers is described in </w:t>
      </w:r>
      <w:r>
        <w:rPr>
          <w:b/>
        </w:rPr>
        <w:t>APPENDIX 1-5 and APPENDIX 1-6.</w:t>
      </w:r>
    </w:p>
    <w:p w14:paraId="0FE31B73" w14:textId="77777777" w:rsidR="002D67BD" w:rsidRPr="00C36DBB" w:rsidRDefault="002D67BD" w:rsidP="002D67BD">
      <w:pPr>
        <w:pStyle w:val="NoSpacing"/>
      </w:pPr>
    </w:p>
    <w:p w14:paraId="16A0BC89" w14:textId="77777777" w:rsidR="002D67BD" w:rsidRPr="000F2B3D" w:rsidRDefault="002D67BD" w:rsidP="00626F43">
      <w:pPr>
        <w:pStyle w:val="Heading2"/>
      </w:pPr>
      <w:r w:rsidRPr="00592EBE">
        <w:t>Other Inputs</w:t>
      </w:r>
    </w:p>
    <w:p w14:paraId="2F6D8F44" w14:textId="77777777" w:rsidR="002D67BD" w:rsidRDefault="002D67BD" w:rsidP="002D67BD">
      <w:pPr>
        <w:pStyle w:val="NoSpacing"/>
      </w:pPr>
      <w:r w:rsidRPr="0084719D">
        <w:t>In addition to the usage data described above, species life history information can be considered. Species life history information is incorporated into two of the overlap scenarios. The first considers if the species will be found on potential use sites or exclusively off the use sites. Off use site determinations were made based on species documentation generated by the Services (e.g. Recovery Plan, 5-year Reviews). These determinations were reviewed and updated based on feedback provided by US Fish and Wildlife Service in the Fall of 2019</w:t>
      </w:r>
      <w:r w:rsidRPr="00E61818">
        <w:rPr>
          <w:vertAlign w:val="superscript"/>
        </w:rPr>
        <w:footnoteReference w:id="8"/>
      </w:r>
      <w:r w:rsidRPr="0084719D">
        <w:t>. The second scenario was a proof of concept and considers if a species is found exclusively in specific habitats. For this scenario coastal beach habitat was exacted from the GAP/Landfire layer</w:t>
      </w:r>
      <w:r w:rsidRPr="0084719D">
        <w:footnoteReference w:id="9"/>
      </w:r>
      <w:r w:rsidRPr="0084719D">
        <w:t xml:space="preserve"> and used to supplement the overlap for obligate coastal beach </w:t>
      </w:r>
      <w:r>
        <w:t>species</w:t>
      </w:r>
      <w:r w:rsidRPr="00F82752">
        <w:t xml:space="preserve"> </w:t>
      </w:r>
      <w:r>
        <w:t>found in ConUS. This final scenario is not currently applicable to the non-contiguous United States.</w:t>
      </w:r>
    </w:p>
    <w:p w14:paraId="191DDFB9" w14:textId="77777777" w:rsidR="002D67BD" w:rsidRPr="003872B9" w:rsidRDefault="002D67BD" w:rsidP="002D67BD">
      <w:pPr>
        <w:pStyle w:val="NoSpacing"/>
      </w:pPr>
    </w:p>
    <w:p w14:paraId="22CC9D87" w14:textId="6A947F84" w:rsidR="002D67BD" w:rsidRPr="00626F43" w:rsidRDefault="002D67BD" w:rsidP="00626F43">
      <w:pPr>
        <w:rPr>
          <w:b/>
        </w:rPr>
      </w:pPr>
      <w:r>
        <w:t xml:space="preserve">All spatial files, UDLs, species, and supplemental information, are standardized into the selected regional projections prior to use in the co-occurrence analysis. The regions found in the non-contiguous United States under U.S jurisdiction are represented by 5 </w:t>
      </w:r>
      <w:r w:rsidRPr="003221A0">
        <w:t>projected coordinate systems</w:t>
      </w:r>
      <w:r>
        <w:t>; selected to preserve area calculations. E</w:t>
      </w:r>
      <w:r w:rsidRPr="003221A0">
        <w:t xml:space="preserve">ach one </w:t>
      </w:r>
      <w:r>
        <w:t xml:space="preserve">is </w:t>
      </w:r>
      <w:r w:rsidRPr="003221A0">
        <w:t xml:space="preserve">specific to </w:t>
      </w:r>
      <w:r>
        <w:t>a</w:t>
      </w:r>
      <w:r w:rsidRPr="003221A0">
        <w:t xml:space="preserve"> region</w:t>
      </w:r>
      <w:r>
        <w:t xml:space="preserve"> with the </w:t>
      </w:r>
      <w:r w:rsidRPr="003221A0">
        <w:t>exception of Guam and the Commonwealth of the Northern Mariana Islands that share the same projection</w:t>
      </w:r>
      <w:r>
        <w:t xml:space="preserve"> (</w:t>
      </w:r>
      <w:r>
        <w:rPr>
          <w:b/>
        </w:rPr>
        <w:t xml:space="preserve">Table </w:t>
      </w:r>
      <w:r w:rsidR="00971F89">
        <w:rPr>
          <w:b/>
        </w:rPr>
        <w:t>2</w:t>
      </w:r>
      <w:r w:rsidRPr="00626F43">
        <w:rPr>
          <w:bCs/>
        </w:rPr>
        <w:t>).</w:t>
      </w:r>
      <w:r w:rsidRPr="000C1098">
        <w:t xml:space="preserve"> </w:t>
      </w:r>
    </w:p>
    <w:p w14:paraId="1EC4169E" w14:textId="0A110897" w:rsidR="002D67BD" w:rsidRPr="00714AF0" w:rsidRDefault="002D67BD" w:rsidP="002D67BD">
      <w:pPr>
        <w:pStyle w:val="Caption"/>
        <w:keepNext/>
        <w:rPr>
          <w:b w:val="0"/>
          <w:color w:val="000000" w:themeColor="text1"/>
        </w:rPr>
      </w:pPr>
      <w:r w:rsidRPr="00714AF0">
        <w:rPr>
          <w:smallCaps w:val="0"/>
          <w:color w:val="000000" w:themeColor="text1"/>
        </w:rPr>
        <w:t xml:space="preserve">Table </w:t>
      </w:r>
      <w:r w:rsidR="00971F89">
        <w:rPr>
          <w:smallCaps w:val="0"/>
          <w:color w:val="000000" w:themeColor="text1"/>
        </w:rPr>
        <w:t>2</w:t>
      </w:r>
      <w:r w:rsidRPr="00714AF0">
        <w:rPr>
          <w:smallCaps w:val="0"/>
          <w:color w:val="000000" w:themeColor="text1"/>
        </w:rPr>
        <w:t>. Regional projections used for all spatial files, UDLs and species input files.</w:t>
      </w:r>
    </w:p>
    <w:tbl>
      <w:tblPr>
        <w:tblStyle w:val="TableGrid"/>
        <w:tblW w:w="0" w:type="auto"/>
        <w:tblBorders>
          <w:bottom w:val="none" w:sz="0" w:space="0" w:color="auto"/>
        </w:tblBorders>
        <w:tblLook w:val="04A0" w:firstRow="1" w:lastRow="0" w:firstColumn="1" w:lastColumn="0" w:noHBand="0" w:noVBand="1"/>
      </w:tblPr>
      <w:tblGrid>
        <w:gridCol w:w="4675"/>
        <w:gridCol w:w="4675"/>
      </w:tblGrid>
      <w:tr w:rsidR="002D67BD" w14:paraId="20B5FD59" w14:textId="77777777" w:rsidTr="002D67BD">
        <w:tc>
          <w:tcPr>
            <w:tcW w:w="4675" w:type="dxa"/>
          </w:tcPr>
          <w:p w14:paraId="63A46551" w14:textId="77777777" w:rsidR="002D67BD" w:rsidRDefault="002D67BD" w:rsidP="002D67BD">
            <w:pPr>
              <w:keepNext/>
              <w:rPr>
                <w:color w:val="000000" w:themeColor="text1"/>
              </w:rPr>
            </w:pPr>
            <w:r>
              <w:rPr>
                <w:color w:val="000000" w:themeColor="text1"/>
              </w:rPr>
              <w:t>Region</w:t>
            </w:r>
          </w:p>
        </w:tc>
        <w:tc>
          <w:tcPr>
            <w:tcW w:w="4675" w:type="dxa"/>
          </w:tcPr>
          <w:p w14:paraId="34CFBDED" w14:textId="77777777" w:rsidR="002D67BD" w:rsidRDefault="002D67BD" w:rsidP="002D67BD">
            <w:pPr>
              <w:keepNext/>
              <w:rPr>
                <w:color w:val="000000" w:themeColor="text1"/>
              </w:rPr>
            </w:pPr>
            <w:r>
              <w:rPr>
                <w:color w:val="000000" w:themeColor="text1"/>
              </w:rPr>
              <w:t>Projections</w:t>
            </w:r>
          </w:p>
        </w:tc>
      </w:tr>
      <w:tr w:rsidR="002D67BD" w14:paraId="00CEC457" w14:textId="77777777" w:rsidTr="002D67BD">
        <w:tc>
          <w:tcPr>
            <w:tcW w:w="4675" w:type="dxa"/>
          </w:tcPr>
          <w:p w14:paraId="00C5076B" w14:textId="77777777" w:rsidR="002D67BD" w:rsidRDefault="002D67BD" w:rsidP="002D67BD">
            <w:pPr>
              <w:keepNext/>
              <w:rPr>
                <w:color w:val="000000" w:themeColor="text1"/>
              </w:rPr>
            </w:pPr>
            <w:r>
              <w:rPr>
                <w:color w:val="000000" w:themeColor="text1"/>
              </w:rPr>
              <w:t>Hawaii (HI)</w:t>
            </w:r>
          </w:p>
        </w:tc>
        <w:tc>
          <w:tcPr>
            <w:tcW w:w="4675" w:type="dxa"/>
          </w:tcPr>
          <w:p w14:paraId="21BA3D4F" w14:textId="77777777" w:rsidR="002D67BD" w:rsidRDefault="002D67BD" w:rsidP="002D67BD">
            <w:pPr>
              <w:keepNext/>
              <w:rPr>
                <w:color w:val="000000" w:themeColor="text1"/>
              </w:rPr>
            </w:pPr>
            <w:r w:rsidRPr="000C1098">
              <w:rPr>
                <w:color w:val="000000" w:themeColor="text1"/>
              </w:rPr>
              <w:t>NAD_1983_UTM_Zone_4N.</w:t>
            </w:r>
            <w:r>
              <w:rPr>
                <w:color w:val="000000" w:themeColor="text1"/>
              </w:rPr>
              <w:t>prj</w:t>
            </w:r>
          </w:p>
        </w:tc>
      </w:tr>
      <w:tr w:rsidR="002D67BD" w14:paraId="7D71AAD8" w14:textId="77777777" w:rsidTr="002D67BD">
        <w:tc>
          <w:tcPr>
            <w:tcW w:w="4675" w:type="dxa"/>
          </w:tcPr>
          <w:p w14:paraId="525868B8" w14:textId="47DC4937" w:rsidR="002D67BD" w:rsidRDefault="002D67BD" w:rsidP="002D67BD">
            <w:pPr>
              <w:keepNext/>
              <w:rPr>
                <w:color w:val="000000" w:themeColor="text1"/>
              </w:rPr>
            </w:pPr>
            <w:r>
              <w:rPr>
                <w:color w:val="000000" w:themeColor="text1"/>
              </w:rPr>
              <w:t>Alaska (AK)</w:t>
            </w:r>
          </w:p>
        </w:tc>
        <w:tc>
          <w:tcPr>
            <w:tcW w:w="4675" w:type="dxa"/>
          </w:tcPr>
          <w:p w14:paraId="24B6373B" w14:textId="68F1AB6E" w:rsidR="002D67BD" w:rsidRPr="000C1098" w:rsidRDefault="002D67BD" w:rsidP="002D67BD">
            <w:pPr>
              <w:keepNext/>
              <w:rPr>
                <w:color w:val="000000" w:themeColor="text1"/>
              </w:rPr>
            </w:pPr>
            <w:r w:rsidRPr="007D3258">
              <w:rPr>
                <w:color w:val="000000" w:themeColor="text1"/>
              </w:rPr>
              <w:t>WGS_1984_Albers</w:t>
            </w:r>
            <w:r>
              <w:rPr>
                <w:color w:val="000000" w:themeColor="text1"/>
              </w:rPr>
              <w:t>.prj</w:t>
            </w:r>
          </w:p>
        </w:tc>
      </w:tr>
      <w:tr w:rsidR="002D67BD" w14:paraId="32C52BA2" w14:textId="77777777" w:rsidTr="002D67BD">
        <w:tc>
          <w:tcPr>
            <w:tcW w:w="4675" w:type="dxa"/>
          </w:tcPr>
          <w:p w14:paraId="174EE4E8" w14:textId="77777777" w:rsidR="002D67BD" w:rsidRDefault="002D67BD" w:rsidP="002D67BD">
            <w:pPr>
              <w:keepNext/>
              <w:rPr>
                <w:color w:val="000000" w:themeColor="text1"/>
              </w:rPr>
            </w:pPr>
            <w:r w:rsidRPr="003221A0">
              <w:t>Puerto Rico</w:t>
            </w:r>
            <w:r>
              <w:t xml:space="preserve"> (PR)</w:t>
            </w:r>
          </w:p>
        </w:tc>
        <w:tc>
          <w:tcPr>
            <w:tcW w:w="4675" w:type="dxa"/>
          </w:tcPr>
          <w:p w14:paraId="48B06951" w14:textId="77777777" w:rsidR="002D67BD" w:rsidRDefault="002D67BD" w:rsidP="002D67BD">
            <w:pPr>
              <w:keepNext/>
              <w:rPr>
                <w:color w:val="000000" w:themeColor="text1"/>
              </w:rPr>
            </w:pPr>
            <w:r w:rsidRPr="000C1098">
              <w:rPr>
                <w:color w:val="000000" w:themeColor="text1"/>
              </w:rPr>
              <w:t>Albers_Conical_Equal_Area</w:t>
            </w:r>
            <w:r>
              <w:rPr>
                <w:color w:val="000000" w:themeColor="text1"/>
              </w:rPr>
              <w:t>.prj</w:t>
            </w:r>
          </w:p>
        </w:tc>
      </w:tr>
      <w:tr w:rsidR="002D67BD" w14:paraId="611B3046" w14:textId="77777777" w:rsidTr="002D67BD">
        <w:tc>
          <w:tcPr>
            <w:tcW w:w="4675" w:type="dxa"/>
          </w:tcPr>
          <w:p w14:paraId="5127AC35" w14:textId="77777777" w:rsidR="002D67BD" w:rsidRDefault="002D67BD" w:rsidP="002D67BD">
            <w:pPr>
              <w:rPr>
                <w:color w:val="000000" w:themeColor="text1"/>
              </w:rPr>
            </w:pPr>
            <w:r w:rsidRPr="003221A0">
              <w:t>United States Virgin Islands</w:t>
            </w:r>
            <w:r>
              <w:t xml:space="preserve"> (VI)</w:t>
            </w:r>
          </w:p>
        </w:tc>
        <w:tc>
          <w:tcPr>
            <w:tcW w:w="4675" w:type="dxa"/>
          </w:tcPr>
          <w:p w14:paraId="7A065C98" w14:textId="77777777" w:rsidR="002D67BD" w:rsidRDefault="002D67BD" w:rsidP="002D67BD">
            <w:pPr>
              <w:rPr>
                <w:color w:val="000000" w:themeColor="text1"/>
              </w:rPr>
            </w:pPr>
            <w:r w:rsidRPr="000C1098">
              <w:rPr>
                <w:color w:val="000000" w:themeColor="text1"/>
              </w:rPr>
              <w:t>WGS_1984_UTM_Zone_20N.prj</w:t>
            </w:r>
          </w:p>
        </w:tc>
      </w:tr>
      <w:tr w:rsidR="002D67BD" w14:paraId="51A6DE15" w14:textId="77777777" w:rsidTr="002D67BD">
        <w:tc>
          <w:tcPr>
            <w:tcW w:w="4675" w:type="dxa"/>
            <w:tcBorders>
              <w:bottom w:val="single" w:sz="4" w:space="0" w:color="auto"/>
            </w:tcBorders>
          </w:tcPr>
          <w:p w14:paraId="6B17CD69" w14:textId="77777777" w:rsidR="002D67BD" w:rsidRDefault="002D67BD" w:rsidP="002D67BD">
            <w:pPr>
              <w:rPr>
                <w:color w:val="000000" w:themeColor="text1"/>
              </w:rPr>
            </w:pPr>
            <w:r w:rsidRPr="003221A0">
              <w:t>American Samoa</w:t>
            </w:r>
            <w:r>
              <w:t xml:space="preserve"> (AS)</w:t>
            </w:r>
          </w:p>
        </w:tc>
        <w:tc>
          <w:tcPr>
            <w:tcW w:w="4675" w:type="dxa"/>
            <w:tcBorders>
              <w:bottom w:val="single" w:sz="4" w:space="0" w:color="auto"/>
            </w:tcBorders>
          </w:tcPr>
          <w:p w14:paraId="0B302923" w14:textId="77777777" w:rsidR="002D67BD" w:rsidRDefault="002D67BD" w:rsidP="002D67BD">
            <w:pPr>
              <w:rPr>
                <w:color w:val="000000" w:themeColor="text1"/>
              </w:rPr>
            </w:pPr>
            <w:r w:rsidRPr="000C1098">
              <w:rPr>
                <w:color w:val="000000" w:themeColor="text1"/>
              </w:rPr>
              <w:t>WGS_1984_UTM_Zone_2S</w:t>
            </w:r>
            <w:r>
              <w:rPr>
                <w:color w:val="000000" w:themeColor="text1"/>
              </w:rPr>
              <w:t>.prj</w:t>
            </w:r>
          </w:p>
        </w:tc>
      </w:tr>
      <w:tr w:rsidR="002D67BD" w14:paraId="1F5D8A37" w14:textId="77777777" w:rsidTr="002D67BD">
        <w:tc>
          <w:tcPr>
            <w:tcW w:w="4675" w:type="dxa"/>
            <w:tcBorders>
              <w:bottom w:val="single" w:sz="4" w:space="0" w:color="auto"/>
            </w:tcBorders>
          </w:tcPr>
          <w:p w14:paraId="09A2B894" w14:textId="77777777" w:rsidR="002D67BD" w:rsidRPr="003221A0" w:rsidRDefault="002D67BD" w:rsidP="002D67BD">
            <w:r w:rsidRPr="003221A0">
              <w:t>Guam</w:t>
            </w:r>
            <w:r>
              <w:t xml:space="preserve"> (GU) and </w:t>
            </w:r>
            <w:r w:rsidRPr="003221A0">
              <w:t>Commonwealth of the Northern Mariana</w:t>
            </w:r>
            <w:r>
              <w:t xml:space="preserve"> (CNMI)</w:t>
            </w:r>
          </w:p>
        </w:tc>
        <w:tc>
          <w:tcPr>
            <w:tcW w:w="4675" w:type="dxa"/>
            <w:tcBorders>
              <w:bottom w:val="single" w:sz="4" w:space="0" w:color="auto"/>
            </w:tcBorders>
          </w:tcPr>
          <w:p w14:paraId="428FBD4A" w14:textId="77777777" w:rsidR="002D67BD" w:rsidRDefault="002D67BD" w:rsidP="002D67BD">
            <w:pPr>
              <w:rPr>
                <w:color w:val="000000" w:themeColor="text1"/>
              </w:rPr>
            </w:pPr>
            <w:r w:rsidRPr="000C1098">
              <w:rPr>
                <w:color w:val="000000" w:themeColor="text1"/>
              </w:rPr>
              <w:t>WGS_1984_UTM_Zone_55N.prj</w:t>
            </w:r>
          </w:p>
        </w:tc>
      </w:tr>
    </w:tbl>
    <w:p w14:paraId="3A4200DB" w14:textId="77777777" w:rsidR="000F30A0" w:rsidRDefault="000F30A0" w:rsidP="00626F43">
      <w:pPr>
        <w:pStyle w:val="BEHeader1"/>
      </w:pPr>
      <w:r>
        <w:t xml:space="preserve">Co-occurrence </w:t>
      </w:r>
      <w:r w:rsidRPr="00E61818">
        <w:t>Analysis</w:t>
      </w:r>
    </w:p>
    <w:p w14:paraId="1127A5B5" w14:textId="3CC7CBF2" w:rsidR="000F30A0" w:rsidRDefault="000F30A0" w:rsidP="000F30A0">
      <w:pPr>
        <w:keepNext/>
        <w:keepLines/>
        <w:spacing w:after="0"/>
        <w:rPr>
          <w:rFonts w:cstheme="minorHAnsi"/>
        </w:rPr>
      </w:pPr>
      <w:r>
        <w:t xml:space="preserve">The co-occurrence analysis uses the ArcGIS Tabulate Area tool, executed as a batch with the </w:t>
      </w:r>
      <w:r w:rsidRPr="0036050E">
        <w:t>Chemical Independent Co-occurrence Results-Parent Use Overlap Tables</w:t>
      </w:r>
      <w:r>
        <w:t xml:space="preserve"> tool. Additional information on this tool can be found with the tool documentation. As described above, t</w:t>
      </w:r>
      <w:r w:rsidRPr="009C77BC">
        <w:rPr>
          <w:rFonts w:cstheme="minorHAnsi"/>
        </w:rPr>
        <w:t xml:space="preserve">he </w:t>
      </w:r>
      <w:r>
        <w:rPr>
          <w:rFonts w:cstheme="minorHAnsi"/>
        </w:rPr>
        <w:t xml:space="preserve">species </w:t>
      </w:r>
      <w:r w:rsidRPr="009C77BC">
        <w:rPr>
          <w:rFonts w:cstheme="minorHAnsi"/>
        </w:rPr>
        <w:t xml:space="preserve">input files </w:t>
      </w:r>
      <w:r>
        <w:rPr>
          <w:rFonts w:cstheme="minorHAnsi"/>
        </w:rPr>
        <w:t xml:space="preserve">used for the co-occurrence are generated by </w:t>
      </w:r>
      <w:r w:rsidRPr="009C77BC">
        <w:rPr>
          <w:rFonts w:cstheme="minorHAnsi"/>
        </w:rPr>
        <w:t>ES</w:t>
      </w:r>
      <w:r>
        <w:rPr>
          <w:rFonts w:cstheme="minorHAnsi"/>
        </w:rPr>
        <w:t xml:space="preserve">RI </w:t>
      </w:r>
      <w:r w:rsidRPr="009C77BC">
        <w:rPr>
          <w:rFonts w:cstheme="minorHAnsi"/>
        </w:rPr>
        <w:t>ArcGIS Union Toolbox</w:t>
      </w:r>
      <w:r>
        <w:rPr>
          <w:rFonts w:cstheme="minorHAnsi"/>
        </w:rPr>
        <w:t xml:space="preserve">, which creates a series of </w:t>
      </w:r>
      <w:r w:rsidRPr="009C77BC">
        <w:rPr>
          <w:rFonts w:cstheme="minorHAnsi"/>
        </w:rPr>
        <w:t>non-overlapping ‘zones’. Each unique zone may be occupied by multiple species.</w:t>
      </w:r>
      <w:r w:rsidRPr="00DE4884">
        <w:rPr>
          <w:rFonts w:cstheme="minorHAnsi"/>
          <w:b/>
        </w:rPr>
        <w:t xml:space="preserve"> </w:t>
      </w:r>
      <w:r>
        <w:rPr>
          <w:rFonts w:cstheme="minorHAnsi"/>
          <w:b/>
        </w:rPr>
        <w:t xml:space="preserve">Figure </w:t>
      </w:r>
      <w:r w:rsidR="00626F43">
        <w:rPr>
          <w:rFonts w:cstheme="minorHAnsi"/>
          <w:b/>
        </w:rPr>
        <w:t>1</w:t>
      </w:r>
      <w:r>
        <w:rPr>
          <w:rFonts w:cstheme="minorHAnsi"/>
          <w:b/>
        </w:rPr>
        <w:t xml:space="preserve"> </w:t>
      </w:r>
      <w:r>
        <w:rPr>
          <w:rFonts w:cstheme="minorHAnsi"/>
        </w:rPr>
        <w:t>provides an example species range, and the same range broken up into the non-overlapping ‘zones’ used as the species input file.</w:t>
      </w:r>
    </w:p>
    <w:p w14:paraId="390CC38E" w14:textId="77777777" w:rsidR="000F30A0" w:rsidRDefault="000F30A0" w:rsidP="000F30A0">
      <w:pPr>
        <w:pStyle w:val="NoSpacing"/>
      </w:pPr>
    </w:p>
    <w:p w14:paraId="39B6FE45" w14:textId="77777777" w:rsidR="000F30A0" w:rsidRDefault="000F30A0" w:rsidP="000F30A0">
      <w:pPr>
        <w:keepNext/>
        <w:keepLines/>
        <w:rPr>
          <w:rFonts w:cstheme="minorHAnsi"/>
        </w:rPr>
      </w:pPr>
      <w:r>
        <w:rPr>
          <w:rFonts w:cstheme="minorHAnsi"/>
        </w:rPr>
        <w:lastRenderedPageBreak/>
        <w:t>In order apply the usage information the state and county boundaries are added to the species input files using the ESRI Intersect Toolbox. The final ‘zones’ allow for the overlap of a UDL to be reported out by species for a given county or state. The state and county breaks allow for the application of the usage data. The total overlap for each county and state is also calculated so the treated acres for the state can be calculated for the upper and lower distributions of treated acres described above.</w:t>
      </w:r>
    </w:p>
    <w:p w14:paraId="3C45752F" w14:textId="77777777" w:rsidR="000F30A0" w:rsidRDefault="000F30A0" w:rsidP="000F30A0">
      <w:pPr>
        <w:keepNext/>
        <w:keepLines/>
        <w:rPr>
          <w:rFonts w:cstheme="minorHAnsi"/>
          <w:b/>
        </w:rPr>
      </w:pPr>
      <w:r>
        <w:rPr>
          <w:rFonts w:cstheme="minorHAnsi"/>
        </w:rPr>
        <w:t xml:space="preserve"> </w:t>
      </w:r>
    </w:p>
    <w:p w14:paraId="4FAD56ED" w14:textId="77777777" w:rsidR="000F30A0" w:rsidRDefault="000F30A0" w:rsidP="000F30A0">
      <w:pPr>
        <w:jc w:val="center"/>
        <w:rPr>
          <w:rFonts w:cstheme="minorHAnsi"/>
        </w:rPr>
      </w:pPr>
      <w:r>
        <w:rPr>
          <w:rFonts w:cstheme="minorHAnsi"/>
          <w:noProof/>
        </w:rPr>
        <w:drawing>
          <wp:inline distT="0" distB="0" distL="0" distR="0" wp14:anchorId="50134811" wp14:editId="0EC085B3">
            <wp:extent cx="2003309" cy="2703444"/>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ecies_17.jpg"/>
                    <pic:cNvPicPr/>
                  </pic:nvPicPr>
                  <pic:blipFill rotWithShape="1">
                    <a:blip r:embed="rId19" cstate="print">
                      <a:extLst>
                        <a:ext uri="{28A0092B-C50C-407E-A947-70E740481C1C}">
                          <a14:useLocalDpi xmlns:a14="http://schemas.microsoft.com/office/drawing/2010/main" val="0"/>
                        </a:ext>
                      </a:extLst>
                    </a:blip>
                    <a:srcRect l="9124" t="7301" r="8779" b="7091"/>
                    <a:stretch/>
                  </pic:blipFill>
                  <pic:spPr bwMode="auto">
                    <a:xfrm>
                      <a:off x="0" y="0"/>
                      <a:ext cx="2015199" cy="2719490"/>
                    </a:xfrm>
                    <a:prstGeom prst="rect">
                      <a:avLst/>
                    </a:prstGeom>
                    <a:ln>
                      <a:noFill/>
                    </a:ln>
                    <a:extLst>
                      <a:ext uri="{53640926-AAD7-44D8-BBD7-CCE9431645EC}">
                        <a14:shadowObscured xmlns:a14="http://schemas.microsoft.com/office/drawing/2010/main"/>
                      </a:ext>
                    </a:extLst>
                  </pic:spPr>
                </pic:pic>
              </a:graphicData>
            </a:graphic>
          </wp:inline>
        </w:drawing>
      </w:r>
      <w:r>
        <w:rPr>
          <w:rFonts w:cstheme="minorHAnsi"/>
          <w:noProof/>
        </w:rPr>
        <w:drawing>
          <wp:inline distT="0" distB="0" distL="0" distR="0" wp14:anchorId="0AD5EF7C" wp14:editId="4C511827">
            <wp:extent cx="2042160" cy="292539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Zones_17.jpg"/>
                    <pic:cNvPicPr/>
                  </pic:nvPicPr>
                  <pic:blipFill rotWithShape="1">
                    <a:blip r:embed="rId20" cstate="print">
                      <a:extLst>
                        <a:ext uri="{28A0092B-C50C-407E-A947-70E740481C1C}">
                          <a14:useLocalDpi xmlns:a14="http://schemas.microsoft.com/office/drawing/2010/main" val="0"/>
                        </a:ext>
                      </a:extLst>
                    </a:blip>
                    <a:srcRect l="9006" r="8348" b="7275"/>
                    <a:stretch/>
                  </pic:blipFill>
                  <pic:spPr bwMode="auto">
                    <a:xfrm>
                      <a:off x="0" y="0"/>
                      <a:ext cx="2046053" cy="2930966"/>
                    </a:xfrm>
                    <a:prstGeom prst="rect">
                      <a:avLst/>
                    </a:prstGeom>
                    <a:ln>
                      <a:noFill/>
                    </a:ln>
                    <a:extLst>
                      <a:ext uri="{53640926-AAD7-44D8-BBD7-CCE9431645EC}">
                        <a14:shadowObscured xmlns:a14="http://schemas.microsoft.com/office/drawing/2010/main"/>
                      </a:ext>
                    </a:extLst>
                  </pic:spPr>
                </pic:pic>
              </a:graphicData>
            </a:graphic>
          </wp:inline>
        </w:drawing>
      </w:r>
      <w:r w:rsidRPr="00FA3FC0">
        <w:rPr>
          <w:rFonts w:cstheme="minorHAnsi"/>
          <w:noProof/>
        </w:rPr>
        <w:drawing>
          <wp:inline distT="0" distB="0" distL="0" distR="0" wp14:anchorId="5E185B2B" wp14:editId="676E7A01">
            <wp:extent cx="702259" cy="90559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3572" t="1542"/>
                    <a:stretch/>
                  </pic:blipFill>
                  <pic:spPr bwMode="auto">
                    <a:xfrm>
                      <a:off x="0" y="0"/>
                      <a:ext cx="711696" cy="917760"/>
                    </a:xfrm>
                    <a:prstGeom prst="rect">
                      <a:avLst/>
                    </a:prstGeom>
                    <a:noFill/>
                    <a:ln>
                      <a:noFill/>
                    </a:ln>
                    <a:extLst>
                      <a:ext uri="{53640926-AAD7-44D8-BBD7-CCE9431645EC}">
                        <a14:shadowObscured xmlns:a14="http://schemas.microsoft.com/office/drawing/2010/main"/>
                      </a:ext>
                    </a:extLst>
                  </pic:spPr>
                </pic:pic>
              </a:graphicData>
            </a:graphic>
          </wp:inline>
        </w:drawing>
      </w:r>
    </w:p>
    <w:p w14:paraId="47ECAD8B" w14:textId="13B310A1" w:rsidR="000F30A0" w:rsidRDefault="000F30A0" w:rsidP="000F30A0">
      <w:pPr>
        <w:rPr>
          <w:rFonts w:cstheme="minorHAnsi"/>
        </w:rPr>
      </w:pPr>
      <w:r>
        <w:rPr>
          <w:rFonts w:cstheme="minorHAnsi"/>
          <w:b/>
        </w:rPr>
        <w:t xml:space="preserve">Figure </w:t>
      </w:r>
      <w:r w:rsidR="00626F43">
        <w:rPr>
          <w:rFonts w:cstheme="minorHAnsi"/>
          <w:b/>
        </w:rPr>
        <w:t>1.</w:t>
      </w:r>
      <w:r>
        <w:rPr>
          <w:rFonts w:cstheme="minorHAnsi"/>
          <w:b/>
        </w:rPr>
        <w:t xml:space="preserve"> Example of species range represented by zones used as the input for the co-occurrence analysis.</w:t>
      </w:r>
    </w:p>
    <w:p w14:paraId="5DCA9977" w14:textId="77777777" w:rsidR="000F30A0" w:rsidRPr="00BB6BC5" w:rsidRDefault="000F30A0" w:rsidP="00626F43">
      <w:pPr>
        <w:pStyle w:val="Heading2"/>
      </w:pPr>
      <w:r w:rsidRPr="00E61818">
        <w:t>Overlap</w:t>
      </w:r>
      <w:r>
        <w:t xml:space="preserve"> Scenarios</w:t>
      </w:r>
    </w:p>
    <w:p w14:paraId="406E609E" w14:textId="77777777" w:rsidR="000F30A0" w:rsidRDefault="000F30A0" w:rsidP="000F30A0">
      <w:pPr>
        <w:keepNext/>
        <w:keepLines/>
        <w:rPr>
          <w:rFonts w:cstheme="minorHAnsi"/>
        </w:rPr>
      </w:pPr>
      <w:r>
        <w:rPr>
          <w:rFonts w:cstheme="minorHAnsi"/>
        </w:rPr>
        <w:t>Five different overlap scenarios are generated for consideration in the Weight of Evidence. The first is chemical independent and provides results for the species with no adjustment to the overlap. This is followed by incorporating the usage data, scaling for redundancy of the UDLs, and then adding species life history information to the overlap results.</w:t>
      </w:r>
    </w:p>
    <w:p w14:paraId="657D66F0" w14:textId="77777777" w:rsidR="000F30A0" w:rsidRDefault="000F30A0" w:rsidP="000F30A0">
      <w:pPr>
        <w:keepNext/>
        <w:keepLines/>
        <w:rPr>
          <w:rFonts w:cstheme="minorHAnsi"/>
        </w:rPr>
      </w:pPr>
      <w:r>
        <w:rPr>
          <w:rFonts w:cstheme="minorHAnsi"/>
        </w:rPr>
        <w:t>Five different overlap scenarios are generated for consideration in the Weight of Evidence. The first is usage independent and provides results for the species with no adjustment to the overlap. This is followed by incorporating the usage data, scaling for redundancy of the UDLs, and then adding species life history information to the overlap results.</w:t>
      </w:r>
    </w:p>
    <w:p w14:paraId="16E2E15A" w14:textId="77777777" w:rsidR="000F30A0" w:rsidRDefault="000F30A0" w:rsidP="000F30A0">
      <w:pPr>
        <w:rPr>
          <w:rFonts w:cstheme="minorHAnsi"/>
        </w:rPr>
      </w:pPr>
      <w:r>
        <w:rPr>
          <w:rFonts w:cstheme="minorHAnsi"/>
        </w:rPr>
        <w:t>Applying the usage method described above, the aggregated PCTs are applied to the state and county results to calculate the total treated acres for the state. This information is used for the upper and lower distribution of the treated acres. The treated acres are concentrated within the species range (or critical habitat) and the given state for the upper distribution or outside the species range (or critical habitat) and within the given state for the lower distribution. For the uniform distribution, the</w:t>
      </w:r>
      <w:r w:rsidRPr="00CD669B">
        <w:rPr>
          <w:rFonts w:cstheme="minorHAnsi"/>
        </w:rPr>
        <w:t xml:space="preserve"> </w:t>
      </w:r>
      <w:r>
        <w:rPr>
          <w:rFonts w:cstheme="minorHAnsi"/>
        </w:rPr>
        <w:t xml:space="preserve">aggregated PCTs are applied directly to the species results, broken down for a species in a given county and state. After calculating the treated acres for each state within the species range (or critical habitat), all states are </w:t>
      </w:r>
      <w:r>
        <w:rPr>
          <w:rFonts w:cstheme="minorHAnsi"/>
        </w:rPr>
        <w:lastRenderedPageBreak/>
        <w:t xml:space="preserve">summed to get the total treated acres for the species. This process is completed for all UDLs and each of the aggregated PCTs; minimum, maximum and average. </w:t>
      </w:r>
      <w:bookmarkStart w:id="31" w:name="_Hlk32436564"/>
      <w:r>
        <w:rPr>
          <w:rFonts w:cstheme="minorHAnsi"/>
        </w:rPr>
        <w:t>The five overlap scenarios are:</w:t>
      </w:r>
    </w:p>
    <w:p w14:paraId="18EBFD35" w14:textId="77777777" w:rsidR="000F30A0" w:rsidRDefault="000F30A0" w:rsidP="000F30A0">
      <w:pPr>
        <w:pStyle w:val="ListParagraph"/>
        <w:numPr>
          <w:ilvl w:val="0"/>
          <w:numId w:val="7"/>
        </w:numPr>
        <w:rPr>
          <w:rFonts w:cstheme="minorHAnsi"/>
        </w:rPr>
      </w:pPr>
      <w:r w:rsidRPr="00F336FE">
        <w:rPr>
          <w:rFonts w:cstheme="minorHAnsi"/>
        </w:rPr>
        <w:t xml:space="preserve">Overlap Scenario 1: </w:t>
      </w:r>
      <w:r>
        <w:rPr>
          <w:rFonts w:cstheme="minorHAnsi"/>
        </w:rPr>
        <w:t>No Usage</w:t>
      </w:r>
    </w:p>
    <w:p w14:paraId="305DA6FB" w14:textId="77777777" w:rsidR="000F30A0" w:rsidRDefault="000F30A0" w:rsidP="000F30A0">
      <w:pPr>
        <w:pStyle w:val="ListParagraph"/>
        <w:numPr>
          <w:ilvl w:val="0"/>
          <w:numId w:val="7"/>
        </w:numPr>
        <w:rPr>
          <w:rFonts w:cstheme="minorHAnsi"/>
        </w:rPr>
      </w:pPr>
      <w:r w:rsidRPr="00F336FE">
        <w:rPr>
          <w:rFonts w:cstheme="minorHAnsi"/>
        </w:rPr>
        <w:t xml:space="preserve">Overlap Scenario 2: PCT Overlap </w:t>
      </w:r>
    </w:p>
    <w:p w14:paraId="13DBC507" w14:textId="23F64CCC" w:rsidR="000F30A0" w:rsidRDefault="000F30A0" w:rsidP="706B40F6">
      <w:pPr>
        <w:pStyle w:val="ListParagraph"/>
        <w:numPr>
          <w:ilvl w:val="0"/>
          <w:numId w:val="7"/>
        </w:numPr>
      </w:pPr>
      <w:r w:rsidRPr="218A8BFF">
        <w:t>Overlap Scenario 3:</w:t>
      </w:r>
      <w:r w:rsidR="66CB2CE3" w:rsidRPr="218A8BFF">
        <w:t xml:space="preserve"> </w:t>
      </w:r>
      <w:r w:rsidRPr="218A8BFF">
        <w:t xml:space="preserve">PCT and Redundancy </w:t>
      </w:r>
      <w:r>
        <w:tab/>
      </w:r>
    </w:p>
    <w:p w14:paraId="712248D9" w14:textId="0D50CC1E" w:rsidR="000F30A0" w:rsidRDefault="000F30A0" w:rsidP="706B40F6">
      <w:pPr>
        <w:pStyle w:val="ListParagraph"/>
        <w:numPr>
          <w:ilvl w:val="0"/>
          <w:numId w:val="7"/>
        </w:numPr>
      </w:pPr>
      <w:r w:rsidRPr="218A8BFF">
        <w:t>Overlap Scenario 4:</w:t>
      </w:r>
      <w:r w:rsidR="3935DFC6" w:rsidRPr="218A8BFF">
        <w:t xml:space="preserve"> </w:t>
      </w:r>
      <w:r w:rsidRPr="218A8BFF">
        <w:t>PCT, Redundancy, Off-site</w:t>
      </w:r>
    </w:p>
    <w:p w14:paraId="4B51AC96" w14:textId="77777777" w:rsidR="000F30A0" w:rsidRPr="005E4855" w:rsidRDefault="000F30A0" w:rsidP="000F30A0">
      <w:pPr>
        <w:pStyle w:val="ListParagraph"/>
        <w:numPr>
          <w:ilvl w:val="0"/>
          <w:numId w:val="7"/>
        </w:numPr>
        <w:rPr>
          <w:rFonts w:cstheme="minorHAnsi"/>
        </w:rPr>
      </w:pPr>
      <w:r w:rsidRPr="005E4855">
        <w:rPr>
          <w:rFonts w:eastAsia="Times New Roman"/>
          <w:color w:val="000000"/>
        </w:rPr>
        <w:t>Overlap Scenario 5: PCT, Redundancy, Off-site, Habitat</w:t>
      </w:r>
      <w:bookmarkEnd w:id="31"/>
    </w:p>
    <w:p w14:paraId="1756C4CC" w14:textId="77777777" w:rsidR="000F30A0" w:rsidRDefault="000F30A0" w:rsidP="00626F43">
      <w:pPr>
        <w:pStyle w:val="Heading2"/>
      </w:pPr>
      <w:r>
        <w:t>Scaling for Redundancy in the UDLs</w:t>
      </w:r>
    </w:p>
    <w:p w14:paraId="76C87277" w14:textId="77777777" w:rsidR="000F30A0" w:rsidRDefault="000F30A0" w:rsidP="000F30A0">
      <w:bookmarkStart w:id="32" w:name="_Hlk33808572"/>
      <w:bookmarkEnd w:id="24"/>
      <w:r>
        <w:t>Many UDLs overlap with each other, identifying a single location as multiple potential uses sites, causing the sum of the individual acres in the UDLs to be greater than the acres in the action area, and often greater than the 100% of the species range (or critical habitat). If each UDL was independent the sum of the UDLs would equal the action area. To account for this redundancy between use sites three different factors are applied to results for the individual UDLs;</w:t>
      </w:r>
      <w:r w:rsidRPr="00BB6BC5">
        <w:t xml:space="preserve"> </w:t>
      </w:r>
      <w:r>
        <w:t>the composite factor, the agricultural factor and the non-agricultural factor.</w:t>
      </w:r>
      <w:bookmarkEnd w:id="32"/>
    </w:p>
    <w:p w14:paraId="02DC2D74" w14:textId="77777777" w:rsidR="000F30A0" w:rsidRDefault="000F30A0" w:rsidP="000F30A0">
      <w:r>
        <w:t xml:space="preserve">In order to calculate the composite factor, an agricultural composite containing all agricultural UDLs and a non-agricultural composite containing all non-agricultural UDLs are generated. The composite factor is equal to the sum of the </w:t>
      </w:r>
      <w:bookmarkStart w:id="33" w:name="_Hlk32083712"/>
      <w:r>
        <w:t>agricultural</w:t>
      </w:r>
      <w:bookmarkEnd w:id="33"/>
      <w:r>
        <w:t xml:space="preserve"> and non-agricultural composite divided by the action area. This factor accounts for the redundancy between the agricultural and non-agricultural uses. If all uses are independent the sum of the two composites would equal the action area, and the factor would be equal to 1. Each individual UDL is divided by this composite factor. </w:t>
      </w:r>
    </w:p>
    <w:p w14:paraId="53C8761C" w14:textId="77777777" w:rsidR="000F30A0" w:rsidRDefault="000F30A0" w:rsidP="000F30A0">
      <w:bookmarkStart w:id="34" w:name="_Hlk33808582"/>
      <w:r>
        <w:t>An agricultural factor is calculated by summing the results of all the agricultural UDLs and dividing by the agricultural composite. This factor is applied to all of the agricultural UDLs to account for the redundancy between agricultural UDLs.</w:t>
      </w:r>
      <w:r w:rsidRPr="005C1202">
        <w:t xml:space="preserve"> </w:t>
      </w:r>
      <w:r>
        <w:t xml:space="preserve">Similarly, a non-agricultural factor is calculated by summing the results of all the non-agricultural UDLs and dividing by the non-agricultural composite. This factor is applied to all of the non-agricultural UDLs to account for the redundancy between non-agricultural UDLs. If all uses are independent the sum of the individual UDLs would equal the composite, and the factor would be equal to 1. </w:t>
      </w:r>
    </w:p>
    <w:p w14:paraId="4C67E824" w14:textId="77777777" w:rsidR="000F30A0" w:rsidRDefault="000F30A0" w:rsidP="000F30A0">
      <w:r>
        <w:t xml:space="preserve">After scaling the results to account for redundancy the sum of the individual UDLs will not exceed the action area percent overlap. Equations used in the calculation of these factors are shown below in </w:t>
      </w:r>
      <w:r w:rsidRPr="00731146">
        <w:rPr>
          <w:b/>
        </w:rPr>
        <w:t>.</w:t>
      </w:r>
      <w:r>
        <w:t xml:space="preserve"> </w:t>
      </w:r>
    </w:p>
    <w:bookmarkEnd w:id="34"/>
    <w:p w14:paraId="494180FF" w14:textId="77777777" w:rsidR="000F30A0" w:rsidRDefault="000F30A0" w:rsidP="000F30A0">
      <w:pPr>
        <w:pStyle w:val="NoSpacing"/>
      </w:pPr>
    </w:p>
    <w:p w14:paraId="70FEA142" w14:textId="77777777" w:rsidR="000F30A0" w:rsidRDefault="000F30A0" w:rsidP="000F30A0">
      <w:pPr>
        <w:pStyle w:val="NoSpacing"/>
        <w:rPr>
          <w:color w:val="000000" w:themeColor="text1"/>
          <w:kern w:val="24"/>
          <w:sz w:val="24"/>
          <w:szCs w:val="24"/>
        </w:rPr>
      </w:pPr>
      <w:r w:rsidRPr="00796B2F">
        <w:rPr>
          <w:b/>
          <w:bCs/>
        </w:rPr>
        <w:t xml:space="preserve">Equation </w:t>
      </w:r>
      <w:r>
        <w:rPr>
          <w:b/>
          <w:bCs/>
        </w:rPr>
        <w:t>6</w:t>
      </w:r>
      <w:r>
        <w:t>.</w:t>
      </w:r>
      <w:r w:rsidRPr="00CE30B4">
        <w:t xml:space="preserve"> </w:t>
      </w:r>
      <m:oMath>
        <m:r>
          <w:rPr>
            <w:rFonts w:ascii="Cambria Math" w:eastAsia="MS PGothic" w:hAnsi="Cambria Math" w:cs="MS PGothic"/>
            <w:color w:val="000000" w:themeColor="text1"/>
            <w:kern w:val="24"/>
            <w:sz w:val="24"/>
            <w:szCs w:val="24"/>
          </w:rPr>
          <m:t>Composite Factor</m:t>
        </m:r>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Perecent Overlap Ag Composite+Percent Overlap NonAg Composite</m:t>
            </m:r>
          </m:num>
          <m:den>
            <m:r>
              <w:rPr>
                <w:rFonts w:ascii="Cambria Math" w:eastAsia="MS PGothic" w:hAnsi="Cambria Math" w:cs="MS PGothic"/>
                <w:color w:val="000000" w:themeColor="text1"/>
                <w:kern w:val="24"/>
                <w:sz w:val="24"/>
                <w:szCs w:val="24"/>
              </w:rPr>
              <m:t>Perecent Overlap Action Area</m:t>
            </m:r>
          </m:den>
        </m:f>
      </m:oMath>
    </w:p>
    <w:p w14:paraId="737D4D05" w14:textId="77777777" w:rsidR="000F30A0" w:rsidRDefault="000F30A0" w:rsidP="000F30A0">
      <w:pPr>
        <w:rPr>
          <w:color w:val="000000" w:themeColor="text1"/>
          <w:kern w:val="24"/>
          <w:sz w:val="24"/>
          <w:szCs w:val="24"/>
        </w:rPr>
      </w:pPr>
      <w:r w:rsidRPr="00796B2F">
        <w:rPr>
          <w:b/>
          <w:bCs/>
        </w:rPr>
        <w:t xml:space="preserve">Equation </w:t>
      </w:r>
      <w:r>
        <w:rPr>
          <w:b/>
          <w:bCs/>
        </w:rPr>
        <w:t>7</w:t>
      </w:r>
      <w:r>
        <w:t xml:space="preserve">. </w:t>
      </w:r>
      <m:oMath>
        <m:r>
          <w:rPr>
            <w:rFonts w:ascii="Cambria Math" w:hAnsi="Cambria Math"/>
            <w:sz w:val="24"/>
            <w:szCs w:val="24"/>
          </w:rPr>
          <m:t xml:space="preserve">Agricultural </m:t>
        </m:r>
        <m:r>
          <w:rPr>
            <w:rFonts w:ascii="Cambria Math" w:eastAsia="MS PGothic" w:hAnsi="Cambria Math" w:cs="MS PGothic"/>
            <w:color w:val="000000" w:themeColor="text1"/>
            <w:kern w:val="24"/>
            <w:sz w:val="24"/>
            <w:szCs w:val="24"/>
          </w:rPr>
          <m:t>Factor</m:t>
        </m:r>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Total Percent Overlap Ag UDLs</m:t>
            </m:r>
          </m:num>
          <m:den>
            <m:r>
              <w:rPr>
                <w:rFonts w:ascii="Cambria Math" w:eastAsia="MS PGothic" w:hAnsi="Cambria Math" w:cs="MS PGothic"/>
                <w:color w:val="000000" w:themeColor="text1"/>
                <w:kern w:val="24"/>
                <w:sz w:val="24"/>
                <w:szCs w:val="24"/>
              </w:rPr>
              <m:t>Percent Overlap AgComposite</m:t>
            </m:r>
          </m:den>
        </m:f>
        <m: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nary>
              <m:naryPr>
                <m:chr m:val="∑"/>
                <m:limLoc m:val="undOvr"/>
                <m:ctrlPr>
                  <w:rPr>
                    <w:rFonts w:ascii="Cambria Math" w:eastAsia="MS PGothic" w:hAnsi="Cambria Math" w:cs="MS PGothic"/>
                    <w:i/>
                    <w:iCs/>
                    <w:color w:val="000000" w:themeColor="text1"/>
                    <w:kern w:val="24"/>
                    <w:sz w:val="24"/>
                    <w:szCs w:val="24"/>
                  </w:rPr>
                </m:ctrlPr>
              </m:naryPr>
              <m:sub>
                <m:r>
                  <w:rPr>
                    <w:rFonts w:ascii="Cambria Math" w:eastAsia="MS PGothic" w:hAnsi="Cambria Math" w:cs="MS PGothic"/>
                    <w:color w:val="000000" w:themeColor="text1"/>
                    <w:kern w:val="24"/>
                    <w:sz w:val="24"/>
                    <w:szCs w:val="24"/>
                  </w:rPr>
                  <m:t>i=1</m:t>
                </m:r>
              </m:sub>
              <m:sup>
                <m:r>
                  <w:rPr>
                    <w:rFonts w:ascii="Cambria Math" w:eastAsia="MS PGothic" w:hAnsi="Cambria Math" w:cs="MS PGothic"/>
                    <w:color w:val="000000" w:themeColor="text1"/>
                    <w:kern w:val="24"/>
                    <w:sz w:val="24"/>
                    <w:szCs w:val="24"/>
                  </w:rPr>
                  <m:t>n</m:t>
                </m:r>
              </m:sup>
              <m:e>
                <m:d>
                  <m:dPr>
                    <m:ctrlPr>
                      <w:rPr>
                        <w:rFonts w:ascii="Cambria Math" w:eastAsia="MS PGothic" w:hAnsi="Cambria Math" w:cs="MS PGothic"/>
                        <w:i/>
                        <w:iCs/>
                        <w:color w:val="000000" w:themeColor="text1"/>
                        <w:kern w:val="24"/>
                        <w:sz w:val="24"/>
                        <w:szCs w:val="24"/>
                      </w:rPr>
                    </m:ctrlPr>
                  </m:dPr>
                  <m:e>
                    <m:r>
                      <m:rPr>
                        <m:sty m:val="p"/>
                      </m:rPr>
                      <w:rPr>
                        <w:rFonts w:ascii="Cambria Math" w:hAnsi="Cambria Math"/>
                        <w:sz w:val="20"/>
                        <w:szCs w:val="20"/>
                      </w:rPr>
                      <m:t>PO</m:t>
                    </m:r>
                    <m:r>
                      <m:rPr>
                        <m:sty m:val="p"/>
                      </m:rPr>
                      <w:rPr>
                        <w:rFonts w:ascii="Cambria Math" w:hAnsi="Cambria Math"/>
                        <w:sz w:val="20"/>
                        <w:szCs w:val="20"/>
                        <w:vertAlign w:val="subscript"/>
                      </w:rPr>
                      <m:t>i</m:t>
                    </m:r>
                  </m:e>
                </m:d>
              </m:e>
            </m:nary>
          </m:num>
          <m:den>
            <m:r>
              <m:rPr>
                <m:sty m:val="p"/>
              </m:rPr>
              <w:rPr>
                <w:rFonts w:ascii="Cambria Math" w:hAnsi="Cambria Math"/>
                <w:sz w:val="20"/>
                <w:szCs w:val="20"/>
              </w:rPr>
              <m:t>PO</m:t>
            </m:r>
            <m:r>
              <m:rPr>
                <m:sty m:val="p"/>
              </m:rPr>
              <w:rPr>
                <w:rFonts w:ascii="Cambria Math" w:hAnsi="Cambria Math"/>
                <w:sz w:val="20"/>
                <w:szCs w:val="20"/>
                <w:vertAlign w:val="subscript"/>
              </w:rPr>
              <m:t>j</m:t>
            </m:r>
          </m:den>
        </m:f>
        <m:r>
          <m:rPr>
            <m:sty m:val="p"/>
          </m:rPr>
          <w:rPr>
            <w:rFonts w:ascii="Cambria Math" w:eastAsia="MS PGothic" w:hAnsi="Cambria Math" w:cs="MS PGothic"/>
            <w:color w:val="000000" w:themeColor="text1"/>
            <w:kern w:val="24"/>
            <w:sz w:val="24"/>
            <w:szCs w:val="24"/>
          </w:rPr>
          <m:t> </m:t>
        </m:r>
      </m:oMath>
    </w:p>
    <w:p w14:paraId="2900B653" w14:textId="77777777" w:rsidR="000F30A0" w:rsidRDefault="000F30A0" w:rsidP="000F30A0">
      <w:pPr>
        <w:pStyle w:val="NoSpacing"/>
      </w:pPr>
    </w:p>
    <w:p w14:paraId="1B5F4B39" w14:textId="77777777" w:rsidR="000F30A0" w:rsidRDefault="000F30A0" w:rsidP="000F30A0">
      <w:pPr>
        <w:pStyle w:val="NoSpacing"/>
      </w:pPr>
      <w:r>
        <w:t xml:space="preserve">Where: </w:t>
      </w:r>
    </w:p>
    <w:tbl>
      <w:tblPr>
        <w:tblW w:w="3590" w:type="dxa"/>
        <w:shd w:val="clear" w:color="auto" w:fill="FFFFFF" w:themeFill="background1"/>
        <w:tblCellMar>
          <w:left w:w="0" w:type="dxa"/>
          <w:right w:w="0" w:type="dxa"/>
        </w:tblCellMar>
        <w:tblLook w:val="0600" w:firstRow="0" w:lastRow="0" w:firstColumn="0" w:lastColumn="0" w:noHBand="1" w:noVBand="1"/>
      </w:tblPr>
      <w:tblGrid>
        <w:gridCol w:w="890"/>
        <w:gridCol w:w="2700"/>
      </w:tblGrid>
      <w:tr w:rsidR="000F30A0" w:rsidRPr="00394241" w14:paraId="142A65B4" w14:textId="77777777" w:rsidTr="002D67BD">
        <w:trPr>
          <w:trHeight w:val="259"/>
        </w:trPr>
        <w:tc>
          <w:tcPr>
            <w:tcW w:w="89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31D57E9C" w14:textId="77777777" w:rsidR="000F30A0" w:rsidRPr="00394241" w:rsidRDefault="000F30A0" w:rsidP="002D67BD">
            <w:pPr>
              <w:pStyle w:val="NoSpacing"/>
              <w:jc w:val="right"/>
              <w:rPr>
                <w:sz w:val="20"/>
                <w:szCs w:val="20"/>
              </w:rPr>
            </w:pPr>
            <w:r w:rsidRPr="00394241">
              <w:rPr>
                <w:sz w:val="20"/>
                <w:szCs w:val="20"/>
              </w:rPr>
              <w:t>i =</w:t>
            </w:r>
          </w:p>
        </w:tc>
        <w:tc>
          <w:tcPr>
            <w:tcW w:w="270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6666E349" w14:textId="77777777" w:rsidR="000F30A0" w:rsidRPr="00394241" w:rsidRDefault="000F30A0" w:rsidP="002D67BD">
            <w:pPr>
              <w:pStyle w:val="NoSpacing"/>
              <w:rPr>
                <w:sz w:val="20"/>
                <w:szCs w:val="20"/>
              </w:rPr>
            </w:pPr>
            <w:r>
              <w:rPr>
                <w:sz w:val="20"/>
                <w:szCs w:val="20"/>
              </w:rPr>
              <w:t>Agricultural UDLs</w:t>
            </w:r>
            <w:r w:rsidRPr="00394241">
              <w:rPr>
                <w:sz w:val="20"/>
                <w:szCs w:val="20"/>
              </w:rPr>
              <w:t xml:space="preserve"> </w:t>
            </w:r>
          </w:p>
        </w:tc>
      </w:tr>
      <w:tr w:rsidR="000F30A0" w:rsidRPr="00394241" w14:paraId="2C7854BE" w14:textId="77777777" w:rsidTr="002D67BD">
        <w:trPr>
          <w:trHeight w:val="259"/>
        </w:trPr>
        <w:tc>
          <w:tcPr>
            <w:tcW w:w="89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tcPr>
          <w:p w14:paraId="398C595F" w14:textId="77777777" w:rsidR="000F30A0" w:rsidRPr="00394241" w:rsidRDefault="000F30A0" w:rsidP="002D67BD">
            <w:pPr>
              <w:pStyle w:val="NoSpacing"/>
              <w:jc w:val="right"/>
              <w:rPr>
                <w:sz w:val="20"/>
                <w:szCs w:val="20"/>
              </w:rPr>
            </w:pPr>
            <w:r>
              <w:rPr>
                <w:sz w:val="20"/>
                <w:szCs w:val="20"/>
              </w:rPr>
              <w:t>n=</w:t>
            </w:r>
          </w:p>
        </w:tc>
        <w:tc>
          <w:tcPr>
            <w:tcW w:w="270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tcPr>
          <w:p w14:paraId="584D6714" w14:textId="77777777" w:rsidR="000F30A0" w:rsidRPr="00394241" w:rsidRDefault="000F30A0" w:rsidP="002D67BD">
            <w:pPr>
              <w:pStyle w:val="NoSpacing"/>
              <w:rPr>
                <w:sz w:val="20"/>
                <w:szCs w:val="20"/>
              </w:rPr>
            </w:pPr>
            <w:r>
              <w:rPr>
                <w:sz w:val="20"/>
                <w:szCs w:val="20"/>
              </w:rPr>
              <w:t xml:space="preserve">Number of agricultural UDLs </w:t>
            </w:r>
          </w:p>
        </w:tc>
      </w:tr>
      <w:tr w:rsidR="000F30A0" w:rsidRPr="00394241" w14:paraId="6C2A3524" w14:textId="77777777" w:rsidTr="002D67BD">
        <w:trPr>
          <w:trHeight w:val="61"/>
        </w:trPr>
        <w:tc>
          <w:tcPr>
            <w:tcW w:w="89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1F57B4C6" w14:textId="77777777" w:rsidR="000F30A0" w:rsidRPr="00394241" w:rsidRDefault="000F30A0" w:rsidP="002D67BD">
            <w:pPr>
              <w:pStyle w:val="NoSpacing"/>
              <w:jc w:val="right"/>
              <w:rPr>
                <w:sz w:val="20"/>
                <w:szCs w:val="20"/>
              </w:rPr>
            </w:pPr>
            <w:r w:rsidRPr="00394241">
              <w:rPr>
                <w:sz w:val="20"/>
                <w:szCs w:val="20"/>
              </w:rPr>
              <w:t>j =</w:t>
            </w:r>
          </w:p>
        </w:tc>
        <w:tc>
          <w:tcPr>
            <w:tcW w:w="270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02BEC8CE" w14:textId="77777777" w:rsidR="000F30A0" w:rsidRPr="00394241" w:rsidRDefault="000F30A0" w:rsidP="002D67BD">
            <w:pPr>
              <w:pStyle w:val="NoSpacing"/>
              <w:rPr>
                <w:sz w:val="20"/>
                <w:szCs w:val="20"/>
              </w:rPr>
            </w:pPr>
            <w:r>
              <w:rPr>
                <w:sz w:val="20"/>
                <w:szCs w:val="20"/>
              </w:rPr>
              <w:t>Agricultural composite layer</w:t>
            </w:r>
          </w:p>
        </w:tc>
      </w:tr>
      <w:tr w:rsidR="000F30A0" w:rsidRPr="00394241" w14:paraId="605FB978" w14:textId="77777777" w:rsidTr="002D67BD">
        <w:trPr>
          <w:trHeight w:val="31"/>
        </w:trPr>
        <w:tc>
          <w:tcPr>
            <w:tcW w:w="89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2A4589A9" w14:textId="77777777" w:rsidR="000F30A0" w:rsidRPr="00394241" w:rsidRDefault="000F30A0" w:rsidP="002D67BD">
            <w:pPr>
              <w:pStyle w:val="NoSpacing"/>
              <w:jc w:val="right"/>
              <w:rPr>
                <w:sz w:val="20"/>
                <w:szCs w:val="20"/>
              </w:rPr>
            </w:pPr>
            <w:r>
              <w:rPr>
                <w:sz w:val="20"/>
                <w:szCs w:val="20"/>
              </w:rPr>
              <w:t>PO</w:t>
            </w:r>
            <w:r w:rsidRPr="00394241">
              <w:rPr>
                <w:sz w:val="20"/>
                <w:szCs w:val="20"/>
              </w:rPr>
              <w:t xml:space="preserve"> = </w:t>
            </w:r>
          </w:p>
        </w:tc>
        <w:tc>
          <w:tcPr>
            <w:tcW w:w="270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48BEF23C" w14:textId="77777777" w:rsidR="000F30A0" w:rsidRPr="00394241" w:rsidRDefault="000F30A0" w:rsidP="002D67BD">
            <w:pPr>
              <w:pStyle w:val="NoSpacing"/>
              <w:rPr>
                <w:sz w:val="20"/>
                <w:szCs w:val="20"/>
              </w:rPr>
            </w:pPr>
            <w:r>
              <w:rPr>
                <w:sz w:val="20"/>
                <w:szCs w:val="20"/>
              </w:rPr>
              <w:t>Unadjusted percent overlap</w:t>
            </w:r>
          </w:p>
        </w:tc>
      </w:tr>
    </w:tbl>
    <w:p w14:paraId="535B09FB" w14:textId="77777777" w:rsidR="000F30A0" w:rsidRPr="007D26EE" w:rsidRDefault="000F30A0" w:rsidP="000F30A0">
      <w:pPr>
        <w:rPr>
          <w:sz w:val="24"/>
          <w:szCs w:val="24"/>
        </w:rPr>
      </w:pPr>
    </w:p>
    <w:p w14:paraId="669AD6C5" w14:textId="77777777" w:rsidR="000F30A0" w:rsidRDefault="000F30A0" w:rsidP="000F30A0">
      <w:pPr>
        <w:keepNext/>
        <w:keepLines/>
        <w:rPr>
          <w:color w:val="000000" w:themeColor="text1"/>
          <w:kern w:val="24"/>
          <w:sz w:val="24"/>
          <w:szCs w:val="24"/>
        </w:rPr>
      </w:pPr>
      <w:r w:rsidRPr="00796B2F">
        <w:rPr>
          <w:b/>
          <w:bCs/>
        </w:rPr>
        <w:t xml:space="preserve">Equation </w:t>
      </w:r>
      <w:r>
        <w:rPr>
          <w:b/>
          <w:bCs/>
        </w:rPr>
        <w:t>8</w:t>
      </w:r>
      <w:r>
        <w:t xml:space="preserve">. </w:t>
      </w:r>
      <m:oMath>
        <m:r>
          <w:rPr>
            <w:rFonts w:ascii="Cambria Math" w:hAnsi="Cambria Math"/>
            <w:sz w:val="24"/>
            <w:szCs w:val="24"/>
          </w:rPr>
          <m:t xml:space="preserve">Non-Agricultural </m:t>
        </m:r>
        <m:r>
          <w:rPr>
            <w:rFonts w:ascii="Cambria Math" w:eastAsia="MS PGothic" w:hAnsi="Cambria Math" w:cs="MS PGothic"/>
            <w:color w:val="000000" w:themeColor="text1"/>
            <w:kern w:val="24"/>
            <w:sz w:val="24"/>
            <w:szCs w:val="24"/>
          </w:rPr>
          <m:t>Factor</m:t>
        </m:r>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Total Percent Overlap Non-Ag UDLs</m:t>
            </m:r>
          </m:num>
          <m:den>
            <m:r>
              <w:rPr>
                <w:rFonts w:ascii="Cambria Math" w:eastAsia="MS PGothic" w:hAnsi="Cambria Math" w:cs="MS PGothic"/>
                <w:color w:val="000000" w:themeColor="text1"/>
                <w:kern w:val="24"/>
                <w:sz w:val="24"/>
                <w:szCs w:val="24"/>
              </w:rPr>
              <m:t>Percent Overlap Non-Ag Composite</m:t>
            </m:r>
          </m:den>
        </m:f>
        <m: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nary>
              <m:naryPr>
                <m:chr m:val="∑"/>
                <m:limLoc m:val="undOvr"/>
                <m:ctrlPr>
                  <w:rPr>
                    <w:rFonts w:ascii="Cambria Math" w:eastAsia="MS PGothic" w:hAnsi="Cambria Math" w:cs="MS PGothic"/>
                    <w:i/>
                    <w:iCs/>
                    <w:color w:val="000000" w:themeColor="text1"/>
                    <w:kern w:val="24"/>
                    <w:sz w:val="24"/>
                    <w:szCs w:val="24"/>
                  </w:rPr>
                </m:ctrlPr>
              </m:naryPr>
              <m:sub>
                <m:r>
                  <w:rPr>
                    <w:rFonts w:ascii="Cambria Math" w:eastAsia="MS PGothic" w:hAnsi="Cambria Math" w:cs="MS PGothic"/>
                    <w:color w:val="000000" w:themeColor="text1"/>
                    <w:kern w:val="24"/>
                    <w:sz w:val="24"/>
                    <w:szCs w:val="24"/>
                  </w:rPr>
                  <m:t>i</m:t>
                </m:r>
              </m:sub>
              <m:sup>
                <m:r>
                  <w:rPr>
                    <w:rFonts w:ascii="Cambria Math" w:eastAsia="MS PGothic" w:hAnsi="Cambria Math" w:cs="MS PGothic"/>
                    <w:color w:val="000000" w:themeColor="text1"/>
                    <w:kern w:val="24"/>
                    <w:sz w:val="24"/>
                    <w:szCs w:val="24"/>
                  </w:rPr>
                  <m:t>n</m:t>
                </m:r>
              </m:sup>
              <m:e>
                <m:d>
                  <m:dPr>
                    <m:ctrlPr>
                      <w:rPr>
                        <w:rFonts w:ascii="Cambria Math" w:eastAsia="MS PGothic" w:hAnsi="Cambria Math" w:cs="MS PGothic"/>
                        <w:i/>
                        <w:iCs/>
                        <w:color w:val="000000" w:themeColor="text1"/>
                        <w:kern w:val="24"/>
                        <w:sz w:val="24"/>
                        <w:szCs w:val="24"/>
                      </w:rPr>
                    </m:ctrlPr>
                  </m:dPr>
                  <m:e>
                    <m:r>
                      <m:rPr>
                        <m:sty m:val="p"/>
                      </m:rPr>
                      <w:rPr>
                        <w:rFonts w:ascii="Cambria Math" w:hAnsi="Cambria Math"/>
                        <w:sz w:val="20"/>
                        <w:szCs w:val="20"/>
                      </w:rPr>
                      <m:t>PO</m:t>
                    </m:r>
                    <m:r>
                      <m:rPr>
                        <m:sty m:val="p"/>
                      </m:rPr>
                      <w:rPr>
                        <w:rFonts w:ascii="Cambria Math" w:hAnsi="Cambria Math"/>
                        <w:sz w:val="20"/>
                        <w:szCs w:val="20"/>
                        <w:vertAlign w:val="subscript"/>
                      </w:rPr>
                      <m:t>i</m:t>
                    </m:r>
                  </m:e>
                </m:d>
              </m:e>
            </m:nary>
          </m:num>
          <m:den>
            <m:r>
              <m:rPr>
                <m:sty m:val="p"/>
              </m:rPr>
              <w:rPr>
                <w:rFonts w:ascii="Cambria Math" w:hAnsi="Cambria Math"/>
                <w:sz w:val="20"/>
                <w:szCs w:val="20"/>
              </w:rPr>
              <m:t>PO</m:t>
            </m:r>
            <m:r>
              <m:rPr>
                <m:sty m:val="p"/>
              </m:rPr>
              <w:rPr>
                <w:rFonts w:ascii="Cambria Math" w:hAnsi="Cambria Math"/>
                <w:sz w:val="20"/>
                <w:szCs w:val="20"/>
                <w:vertAlign w:val="subscript"/>
              </w:rPr>
              <m:t>j</m:t>
            </m:r>
          </m:den>
        </m:f>
        <m:r>
          <m:rPr>
            <m:sty m:val="p"/>
          </m:rPr>
          <w:rPr>
            <w:rFonts w:ascii="Cambria Math" w:eastAsia="MS PGothic" w:hAnsi="Cambria Math" w:cs="MS PGothic"/>
            <w:color w:val="000000" w:themeColor="text1"/>
            <w:kern w:val="24"/>
            <w:sz w:val="24"/>
            <w:szCs w:val="24"/>
          </w:rPr>
          <m:t> </m:t>
        </m:r>
      </m:oMath>
    </w:p>
    <w:p w14:paraId="5D2E35AE" w14:textId="77777777" w:rsidR="000F30A0" w:rsidRDefault="000F30A0" w:rsidP="000F30A0">
      <w:pPr>
        <w:pStyle w:val="NoSpacing"/>
        <w:keepNext/>
        <w:keepLines/>
      </w:pPr>
      <w:r>
        <w:t xml:space="preserve">Where: </w:t>
      </w:r>
    </w:p>
    <w:tbl>
      <w:tblPr>
        <w:tblW w:w="7640" w:type="dxa"/>
        <w:shd w:val="clear" w:color="auto" w:fill="FFFFFF" w:themeFill="background1"/>
        <w:tblCellMar>
          <w:left w:w="0" w:type="dxa"/>
          <w:right w:w="0" w:type="dxa"/>
        </w:tblCellMar>
        <w:tblLook w:val="0600" w:firstRow="0" w:lastRow="0" w:firstColumn="0" w:lastColumn="0" w:noHBand="1" w:noVBand="1"/>
      </w:tblPr>
      <w:tblGrid>
        <w:gridCol w:w="890"/>
        <w:gridCol w:w="6750"/>
      </w:tblGrid>
      <w:tr w:rsidR="000F30A0" w:rsidRPr="00394241" w14:paraId="785A9053" w14:textId="77777777" w:rsidTr="002D67BD">
        <w:trPr>
          <w:trHeight w:val="259"/>
        </w:trPr>
        <w:tc>
          <w:tcPr>
            <w:tcW w:w="89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50CE468D" w14:textId="77777777" w:rsidR="000F30A0" w:rsidRPr="00394241" w:rsidRDefault="000F30A0" w:rsidP="002D67BD">
            <w:pPr>
              <w:pStyle w:val="NoSpacing"/>
              <w:keepNext/>
              <w:keepLines/>
              <w:jc w:val="right"/>
              <w:rPr>
                <w:sz w:val="20"/>
                <w:szCs w:val="20"/>
              </w:rPr>
            </w:pPr>
            <w:r w:rsidRPr="00394241">
              <w:rPr>
                <w:sz w:val="20"/>
                <w:szCs w:val="20"/>
              </w:rPr>
              <w:t>i =</w:t>
            </w:r>
          </w:p>
        </w:tc>
        <w:tc>
          <w:tcPr>
            <w:tcW w:w="675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1475701C" w14:textId="77777777" w:rsidR="000F30A0" w:rsidRPr="00394241" w:rsidRDefault="000F30A0" w:rsidP="002D67BD">
            <w:pPr>
              <w:pStyle w:val="NoSpacing"/>
              <w:keepNext/>
              <w:keepLines/>
              <w:rPr>
                <w:sz w:val="20"/>
                <w:szCs w:val="20"/>
              </w:rPr>
            </w:pPr>
            <w:r>
              <w:rPr>
                <w:sz w:val="20"/>
                <w:szCs w:val="20"/>
              </w:rPr>
              <w:t>Non-agricultural UDLs</w:t>
            </w:r>
          </w:p>
        </w:tc>
      </w:tr>
      <w:tr w:rsidR="000F30A0" w:rsidRPr="00394241" w14:paraId="2A867951" w14:textId="77777777" w:rsidTr="002D67BD">
        <w:trPr>
          <w:trHeight w:val="259"/>
        </w:trPr>
        <w:tc>
          <w:tcPr>
            <w:tcW w:w="89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tcPr>
          <w:p w14:paraId="455FBC29" w14:textId="77777777" w:rsidR="000F30A0" w:rsidRPr="00394241" w:rsidRDefault="000F30A0" w:rsidP="002D67BD">
            <w:pPr>
              <w:pStyle w:val="NoSpacing"/>
              <w:keepNext/>
              <w:keepLines/>
              <w:jc w:val="right"/>
              <w:rPr>
                <w:sz w:val="20"/>
                <w:szCs w:val="20"/>
              </w:rPr>
            </w:pPr>
            <w:r>
              <w:rPr>
                <w:sz w:val="20"/>
                <w:szCs w:val="20"/>
              </w:rPr>
              <w:t>n=</w:t>
            </w:r>
          </w:p>
        </w:tc>
        <w:tc>
          <w:tcPr>
            <w:tcW w:w="675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tcPr>
          <w:p w14:paraId="04C23C0D" w14:textId="77777777" w:rsidR="000F30A0" w:rsidRPr="00394241" w:rsidRDefault="000F30A0" w:rsidP="002D67BD">
            <w:pPr>
              <w:pStyle w:val="NoSpacing"/>
              <w:keepNext/>
              <w:keepLines/>
              <w:rPr>
                <w:sz w:val="20"/>
                <w:szCs w:val="20"/>
              </w:rPr>
            </w:pPr>
            <w:r>
              <w:rPr>
                <w:sz w:val="20"/>
                <w:szCs w:val="20"/>
              </w:rPr>
              <w:t xml:space="preserve">Number of non-agricultural UDLs </w:t>
            </w:r>
          </w:p>
        </w:tc>
      </w:tr>
      <w:tr w:rsidR="000F30A0" w:rsidRPr="00394241" w14:paraId="716011DB" w14:textId="77777777" w:rsidTr="002D67BD">
        <w:trPr>
          <w:trHeight w:val="61"/>
        </w:trPr>
        <w:tc>
          <w:tcPr>
            <w:tcW w:w="89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03E8F3EB" w14:textId="77777777" w:rsidR="000F30A0" w:rsidRPr="00394241" w:rsidRDefault="000F30A0" w:rsidP="002D67BD">
            <w:pPr>
              <w:pStyle w:val="NoSpacing"/>
              <w:keepNext/>
              <w:keepLines/>
              <w:jc w:val="right"/>
              <w:rPr>
                <w:sz w:val="20"/>
                <w:szCs w:val="20"/>
              </w:rPr>
            </w:pPr>
            <w:r w:rsidRPr="00394241">
              <w:rPr>
                <w:sz w:val="20"/>
                <w:szCs w:val="20"/>
              </w:rPr>
              <w:t>j =</w:t>
            </w:r>
          </w:p>
        </w:tc>
        <w:tc>
          <w:tcPr>
            <w:tcW w:w="675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1AE22988" w14:textId="77777777" w:rsidR="000F30A0" w:rsidRPr="00394241" w:rsidRDefault="000F30A0" w:rsidP="002D67BD">
            <w:pPr>
              <w:pStyle w:val="NoSpacing"/>
              <w:keepNext/>
              <w:keepLines/>
              <w:rPr>
                <w:sz w:val="20"/>
                <w:szCs w:val="20"/>
              </w:rPr>
            </w:pPr>
            <w:r>
              <w:rPr>
                <w:sz w:val="20"/>
                <w:szCs w:val="20"/>
              </w:rPr>
              <w:t>Non-agricultural composite layer</w:t>
            </w:r>
          </w:p>
        </w:tc>
      </w:tr>
      <w:tr w:rsidR="000F30A0" w:rsidRPr="00394241" w14:paraId="34F5ADA4" w14:textId="77777777" w:rsidTr="00ED3A23">
        <w:trPr>
          <w:trHeight w:val="37"/>
        </w:trPr>
        <w:tc>
          <w:tcPr>
            <w:tcW w:w="89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0D99FB64" w14:textId="77777777" w:rsidR="000F30A0" w:rsidRPr="00394241" w:rsidRDefault="000F30A0" w:rsidP="002D67BD">
            <w:pPr>
              <w:pStyle w:val="NoSpacing"/>
              <w:keepNext/>
              <w:keepLines/>
              <w:jc w:val="right"/>
              <w:rPr>
                <w:sz w:val="20"/>
                <w:szCs w:val="20"/>
              </w:rPr>
            </w:pPr>
            <w:r>
              <w:rPr>
                <w:sz w:val="20"/>
                <w:szCs w:val="20"/>
              </w:rPr>
              <w:t>PO</w:t>
            </w:r>
            <w:r w:rsidRPr="00394241">
              <w:rPr>
                <w:sz w:val="20"/>
                <w:szCs w:val="20"/>
              </w:rPr>
              <w:t xml:space="preserve"> = </w:t>
            </w:r>
          </w:p>
        </w:tc>
        <w:tc>
          <w:tcPr>
            <w:tcW w:w="675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674DF67B" w14:textId="77777777" w:rsidR="000F30A0" w:rsidRPr="00394241" w:rsidRDefault="000F30A0" w:rsidP="002D67BD">
            <w:pPr>
              <w:pStyle w:val="NoSpacing"/>
              <w:keepNext/>
              <w:keepLines/>
              <w:rPr>
                <w:sz w:val="20"/>
                <w:szCs w:val="20"/>
              </w:rPr>
            </w:pPr>
            <w:r>
              <w:rPr>
                <w:sz w:val="20"/>
                <w:szCs w:val="20"/>
              </w:rPr>
              <w:t>Unadjusted percent overlap</w:t>
            </w:r>
          </w:p>
        </w:tc>
      </w:tr>
    </w:tbl>
    <w:bookmarkEnd w:id="25"/>
    <w:bookmarkEnd w:id="26"/>
    <w:p w14:paraId="60D0252C" w14:textId="77777777" w:rsidR="00B16D28" w:rsidRPr="000F2B3D" w:rsidRDefault="00B16D28" w:rsidP="00626F43">
      <w:pPr>
        <w:pStyle w:val="BEHeader1"/>
      </w:pPr>
      <w:r>
        <w:t>Results Co-</w:t>
      </w:r>
      <w:r w:rsidRPr="00E61818">
        <w:t>occurrence</w:t>
      </w:r>
      <w:r>
        <w:t xml:space="preserve"> Analysis </w:t>
      </w:r>
    </w:p>
    <w:p w14:paraId="2C2EF51C" w14:textId="3A3DF627" w:rsidR="00B16D28" w:rsidRDefault="00B16D28" w:rsidP="00B16D28">
      <w:pPr>
        <w:rPr>
          <w:color w:val="000000" w:themeColor="text1"/>
        </w:rPr>
      </w:pPr>
      <w:r w:rsidRPr="218A8BFF">
        <w:t xml:space="preserve">The final results of the co-occurrence analysis provide the percent of the species range (or critical habitat) that overlaps with each UDL. This metric is provided for each of the overlap scenario. The </w:t>
      </w:r>
      <w:r w:rsidRPr="218A8BFF">
        <w:rPr>
          <w:color w:val="000000" w:themeColor="text1"/>
        </w:rPr>
        <w:t xml:space="preserve">mean percent overlap and standard deviation for the </w:t>
      </w:r>
      <w:r w:rsidR="46C45558" w:rsidRPr="218A8BFF">
        <w:rPr>
          <w:color w:val="000000" w:themeColor="text1"/>
        </w:rPr>
        <w:t>i</w:t>
      </w:r>
      <w:r w:rsidR="18F7977B" w:rsidRPr="218A8BFF">
        <w:rPr>
          <w:color w:val="000000" w:themeColor="text1"/>
        </w:rPr>
        <w:t>midacloprid</w:t>
      </w:r>
      <w:r w:rsidRPr="218A8BFF">
        <w:rPr>
          <w:color w:val="000000" w:themeColor="text1"/>
        </w:rPr>
        <w:t xml:space="preserve"> UDLs across each overlap scenarios for all NL48 species range are provided in </w:t>
      </w:r>
      <w:r w:rsidRPr="218A8BFF">
        <w:rPr>
          <w:b/>
          <w:bCs/>
          <w:color w:val="000000" w:themeColor="text1"/>
        </w:rPr>
        <w:t xml:space="preserve">Table </w:t>
      </w:r>
      <w:r w:rsidR="00971F89">
        <w:rPr>
          <w:b/>
          <w:bCs/>
          <w:color w:val="000000" w:themeColor="text1"/>
        </w:rPr>
        <w:t>3</w:t>
      </w:r>
      <w:r w:rsidRPr="218A8BFF">
        <w:rPr>
          <w:b/>
          <w:bCs/>
          <w:color w:val="000000" w:themeColor="text1"/>
        </w:rPr>
        <w:t xml:space="preserve">. </w:t>
      </w:r>
      <w:r w:rsidR="2616C7F1" w:rsidRPr="218A8BFF">
        <w:rPr>
          <w:b/>
          <w:bCs/>
          <w:color w:val="000000" w:themeColor="text1"/>
        </w:rPr>
        <w:t>i</w:t>
      </w:r>
      <w:r w:rsidR="18F7977B" w:rsidRPr="218A8BFF">
        <w:rPr>
          <w:color w:val="000000" w:themeColor="text1"/>
        </w:rPr>
        <w:t>midacloprid</w:t>
      </w:r>
      <w:r w:rsidRPr="218A8BFF">
        <w:rPr>
          <w:color w:val="000000" w:themeColor="text1"/>
        </w:rPr>
        <w:t xml:space="preserve">’s action area had a mean overlap of 37%. The mean overlap out to the limits of ground and aerial drift were 71% and 84%, respectively. The mean overlaps for the individual UDLs range from 1 to 24% before incorporating usage and species life history information and &lt;1 to 16% after incorporating for this information. </w:t>
      </w:r>
    </w:p>
    <w:p w14:paraId="207DEAC5" w14:textId="3AFAE93A" w:rsidR="00B16D28" w:rsidRDefault="00B16D28" w:rsidP="00B16D28">
      <w:pPr>
        <w:rPr>
          <w:color w:val="000000" w:themeColor="text1"/>
        </w:rPr>
      </w:pPr>
      <w:r w:rsidRPr="218A8BFF">
        <w:rPr>
          <w:b/>
          <w:bCs/>
          <w:color w:val="000000" w:themeColor="text1"/>
        </w:rPr>
        <w:t xml:space="preserve">Table </w:t>
      </w:r>
      <w:r w:rsidR="00971F89">
        <w:rPr>
          <w:b/>
          <w:bCs/>
          <w:color w:val="000000" w:themeColor="text1"/>
        </w:rPr>
        <w:t>4</w:t>
      </w:r>
      <w:r w:rsidR="00971F89" w:rsidRPr="218A8BFF">
        <w:rPr>
          <w:b/>
          <w:bCs/>
          <w:color w:val="000000" w:themeColor="text1"/>
        </w:rPr>
        <w:t xml:space="preserve"> </w:t>
      </w:r>
      <w:r w:rsidRPr="218A8BFF">
        <w:rPr>
          <w:color w:val="000000" w:themeColor="text1"/>
        </w:rPr>
        <w:t xml:space="preserve">presents the same information for designed critical habitat. For critical habitat </w:t>
      </w:r>
      <w:r w:rsidR="081AE693" w:rsidRPr="218A8BFF">
        <w:rPr>
          <w:color w:val="000000" w:themeColor="text1"/>
        </w:rPr>
        <w:t>i</w:t>
      </w:r>
      <w:r w:rsidR="18F7977B" w:rsidRPr="218A8BFF">
        <w:rPr>
          <w:color w:val="000000" w:themeColor="text1"/>
        </w:rPr>
        <w:t>midacloprid</w:t>
      </w:r>
      <w:r w:rsidRPr="218A8BFF">
        <w:rPr>
          <w:color w:val="000000" w:themeColor="text1"/>
        </w:rPr>
        <w:t>’s action area had a mean overlap of 20%. The mean overlap out to the limits of ground and aerial drift were 39 and 49%, respectively. The mean overlaps for the individual UDLs range from &lt;1 to 19% before incorporating usage and &lt;1 to 17% after accounting for this information.</w:t>
      </w:r>
    </w:p>
    <w:p w14:paraId="19A458DE" w14:textId="46D22438" w:rsidR="00B16D28" w:rsidRDefault="00B16D28" w:rsidP="218A8BFF">
      <w:pPr>
        <w:pStyle w:val="Caption"/>
        <w:keepNext/>
        <w:rPr>
          <w:smallCaps w:val="0"/>
          <w:color w:val="000000" w:themeColor="text1"/>
        </w:rPr>
      </w:pPr>
      <w:r w:rsidRPr="218A8BFF">
        <w:rPr>
          <w:smallCaps w:val="0"/>
          <w:color w:val="000000" w:themeColor="text1"/>
        </w:rPr>
        <w:t xml:space="preserve">Table </w:t>
      </w:r>
      <w:r w:rsidR="00971F89">
        <w:rPr>
          <w:smallCaps w:val="0"/>
          <w:color w:val="000000" w:themeColor="text1"/>
        </w:rPr>
        <w:t>3</w:t>
      </w:r>
      <w:r w:rsidR="25071D8F" w:rsidRPr="218A8BFF">
        <w:rPr>
          <w:smallCaps w:val="0"/>
          <w:color w:val="000000" w:themeColor="text1"/>
        </w:rPr>
        <w:t>.</w:t>
      </w:r>
      <w:r w:rsidRPr="218A8BFF">
        <w:rPr>
          <w:smallCaps w:val="0"/>
          <w:color w:val="000000" w:themeColor="text1"/>
        </w:rPr>
        <w:t xml:space="preserve"> Mean percent overlap and standard deviation for all NL48 species ranges and each </w:t>
      </w:r>
      <w:r w:rsidR="769F8B14" w:rsidRPr="218A8BFF">
        <w:rPr>
          <w:smallCaps w:val="0"/>
          <w:color w:val="000000" w:themeColor="text1"/>
        </w:rPr>
        <w:t>i</w:t>
      </w:r>
      <w:r w:rsidR="18F7977B" w:rsidRPr="002035CB">
        <w:rPr>
          <w:smallCaps w:val="0"/>
          <w:color w:val="000000" w:themeColor="text1"/>
        </w:rPr>
        <w:t>midacloprid</w:t>
      </w:r>
      <w:r w:rsidRPr="218A8BFF">
        <w:rPr>
          <w:smallCaps w:val="0"/>
          <w:color w:val="000000" w:themeColor="text1"/>
        </w:rPr>
        <w:t xml:space="preserve"> use.</w:t>
      </w:r>
    </w:p>
    <w:tbl>
      <w:tblPr>
        <w:tblW w:w="9445" w:type="dxa"/>
        <w:tblLook w:val="04A0" w:firstRow="1" w:lastRow="0" w:firstColumn="1" w:lastColumn="0" w:noHBand="0" w:noVBand="1"/>
      </w:tblPr>
      <w:tblGrid>
        <w:gridCol w:w="1937"/>
        <w:gridCol w:w="688"/>
        <w:gridCol w:w="1097"/>
        <w:gridCol w:w="688"/>
        <w:gridCol w:w="1276"/>
        <w:gridCol w:w="1026"/>
        <w:gridCol w:w="830"/>
        <w:gridCol w:w="772"/>
        <w:gridCol w:w="1131"/>
      </w:tblGrid>
      <w:tr w:rsidR="007B3316" w:rsidRPr="00680D4A" w14:paraId="0186A209" w14:textId="77777777" w:rsidTr="00626F43">
        <w:trPr>
          <w:trHeight w:val="755"/>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3B6C1" w14:textId="77777777" w:rsidR="007B3316" w:rsidRPr="00680D4A" w:rsidRDefault="007B3316" w:rsidP="00680D4A">
            <w:pPr>
              <w:spacing w:after="0" w:line="240" w:lineRule="auto"/>
              <w:jc w:val="center"/>
              <w:rPr>
                <w:rFonts w:ascii="Calibri" w:eastAsia="Times New Roman" w:hAnsi="Calibri" w:cs="Calibri"/>
                <w:b/>
                <w:bCs/>
                <w:color w:val="000000"/>
                <w:sz w:val="20"/>
                <w:szCs w:val="20"/>
              </w:rPr>
            </w:pPr>
            <w:r w:rsidRPr="00680D4A">
              <w:rPr>
                <w:rFonts w:ascii="Calibri" w:eastAsia="Times New Roman" w:hAnsi="Calibri" w:cs="Calibri"/>
                <w:b/>
                <w:bCs/>
                <w:color w:val="000000"/>
                <w:sz w:val="20"/>
                <w:szCs w:val="20"/>
              </w:rPr>
              <w:t>Use</w:t>
            </w: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70A50" w14:textId="77777777" w:rsidR="007B3316" w:rsidRPr="00680D4A" w:rsidRDefault="007B3316" w:rsidP="00680D4A">
            <w:pPr>
              <w:spacing w:after="0" w:line="240" w:lineRule="auto"/>
              <w:jc w:val="center"/>
              <w:rPr>
                <w:rFonts w:ascii="Calibri" w:eastAsia="Times New Roman" w:hAnsi="Calibri" w:cs="Calibri"/>
                <w:b/>
                <w:bCs/>
                <w:color w:val="000000"/>
                <w:sz w:val="20"/>
                <w:szCs w:val="20"/>
              </w:rPr>
            </w:pPr>
            <w:r w:rsidRPr="00680D4A">
              <w:rPr>
                <w:rFonts w:ascii="Calibri" w:eastAsia="Times New Roman" w:hAnsi="Calibri" w:cs="Calibri"/>
                <w:b/>
                <w:bCs/>
                <w:color w:val="000000"/>
                <w:sz w:val="20"/>
                <w:szCs w:val="20"/>
              </w:rPr>
              <w:t>Overlap Scenario 1: No Usage</w:t>
            </w:r>
          </w:p>
        </w:tc>
        <w:tc>
          <w:tcPr>
            <w:tcW w:w="19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3972D" w14:textId="77777777" w:rsidR="007B3316" w:rsidRPr="00680D4A" w:rsidRDefault="007B3316" w:rsidP="00680D4A">
            <w:pPr>
              <w:spacing w:after="0" w:line="240" w:lineRule="auto"/>
              <w:jc w:val="center"/>
              <w:rPr>
                <w:rFonts w:ascii="Calibri" w:eastAsia="Times New Roman" w:hAnsi="Calibri" w:cs="Calibri"/>
                <w:b/>
                <w:bCs/>
                <w:color w:val="000000"/>
                <w:sz w:val="20"/>
                <w:szCs w:val="20"/>
              </w:rPr>
            </w:pPr>
            <w:r w:rsidRPr="00680D4A">
              <w:rPr>
                <w:rFonts w:ascii="Calibri" w:eastAsia="Times New Roman" w:hAnsi="Calibri" w:cs="Calibri"/>
                <w:b/>
                <w:bCs/>
                <w:color w:val="000000"/>
                <w:sz w:val="20"/>
                <w:szCs w:val="20"/>
              </w:rPr>
              <w:t>Overlap Scenario 2: PCT Overlap</w:t>
            </w:r>
          </w:p>
        </w:tc>
        <w:tc>
          <w:tcPr>
            <w:tcW w:w="1856" w:type="dxa"/>
            <w:gridSpan w:val="2"/>
            <w:tcBorders>
              <w:top w:val="single" w:sz="4" w:space="0" w:color="auto"/>
              <w:left w:val="nil"/>
              <w:bottom w:val="single" w:sz="4" w:space="0" w:color="auto"/>
              <w:right w:val="single" w:sz="4" w:space="0" w:color="auto"/>
            </w:tcBorders>
            <w:shd w:val="clear" w:color="auto" w:fill="auto"/>
            <w:vAlign w:val="center"/>
            <w:hideMark/>
          </w:tcPr>
          <w:p w14:paraId="45293E4E" w14:textId="77777777" w:rsidR="007B3316" w:rsidRPr="00680D4A" w:rsidRDefault="007B3316" w:rsidP="00680D4A">
            <w:pPr>
              <w:spacing w:after="0" w:line="240" w:lineRule="auto"/>
              <w:jc w:val="center"/>
              <w:rPr>
                <w:rFonts w:ascii="Calibri" w:eastAsia="Times New Roman" w:hAnsi="Calibri" w:cs="Calibri"/>
                <w:b/>
                <w:bCs/>
                <w:color w:val="000000"/>
                <w:sz w:val="20"/>
                <w:szCs w:val="20"/>
              </w:rPr>
            </w:pPr>
            <w:r w:rsidRPr="00680D4A">
              <w:rPr>
                <w:rFonts w:ascii="Calibri" w:eastAsia="Times New Roman" w:hAnsi="Calibri" w:cs="Calibri"/>
                <w:b/>
                <w:bCs/>
                <w:color w:val="000000"/>
                <w:sz w:val="20"/>
                <w:szCs w:val="20"/>
              </w:rPr>
              <w:t>Overlap Scenario 3:</w:t>
            </w:r>
          </w:p>
          <w:p w14:paraId="3ACB5358" w14:textId="5A481A84" w:rsidR="007B3316" w:rsidRPr="00680D4A" w:rsidRDefault="007B3316" w:rsidP="00680D4A">
            <w:pPr>
              <w:spacing w:after="0" w:line="240" w:lineRule="auto"/>
              <w:jc w:val="center"/>
              <w:rPr>
                <w:rFonts w:ascii="Calibri" w:eastAsia="Times New Roman" w:hAnsi="Calibri" w:cs="Calibri"/>
                <w:b/>
                <w:bCs/>
                <w:color w:val="000000"/>
                <w:sz w:val="20"/>
                <w:szCs w:val="20"/>
              </w:rPr>
            </w:pPr>
            <w:r w:rsidRPr="00680D4A">
              <w:rPr>
                <w:rFonts w:ascii="Calibri" w:eastAsia="Times New Roman" w:hAnsi="Calibri" w:cs="Calibri"/>
                <w:b/>
                <w:bCs/>
                <w:color w:val="000000"/>
                <w:sz w:val="20"/>
                <w:szCs w:val="20"/>
              </w:rPr>
              <w:t>PCT and Redundancy</w:t>
            </w:r>
          </w:p>
        </w:tc>
        <w:tc>
          <w:tcPr>
            <w:tcW w:w="1903" w:type="dxa"/>
            <w:gridSpan w:val="2"/>
            <w:tcBorders>
              <w:top w:val="single" w:sz="4" w:space="0" w:color="auto"/>
              <w:left w:val="nil"/>
              <w:bottom w:val="single" w:sz="4" w:space="0" w:color="auto"/>
              <w:right w:val="single" w:sz="4" w:space="0" w:color="auto"/>
            </w:tcBorders>
            <w:shd w:val="clear" w:color="auto" w:fill="auto"/>
            <w:vAlign w:val="center"/>
            <w:hideMark/>
          </w:tcPr>
          <w:p w14:paraId="25492113" w14:textId="7239176A" w:rsidR="007B3316" w:rsidRPr="00680D4A" w:rsidRDefault="007B3316" w:rsidP="00626F43">
            <w:pPr>
              <w:spacing w:after="0" w:line="240" w:lineRule="auto"/>
              <w:jc w:val="center"/>
              <w:rPr>
                <w:rFonts w:ascii="Calibri" w:eastAsia="Times New Roman" w:hAnsi="Calibri" w:cs="Calibri"/>
                <w:b/>
                <w:bCs/>
                <w:color w:val="000000"/>
                <w:sz w:val="20"/>
                <w:szCs w:val="20"/>
              </w:rPr>
            </w:pPr>
            <w:r w:rsidRPr="00680D4A">
              <w:rPr>
                <w:rFonts w:ascii="Calibri" w:eastAsia="Times New Roman" w:hAnsi="Calibri" w:cs="Calibri"/>
                <w:b/>
                <w:bCs/>
                <w:color w:val="000000"/>
                <w:sz w:val="20"/>
                <w:szCs w:val="20"/>
              </w:rPr>
              <w:t>Overlap Scenario 4:</w:t>
            </w:r>
            <w:r w:rsidR="00626F43">
              <w:rPr>
                <w:rFonts w:ascii="Calibri" w:eastAsia="Times New Roman" w:hAnsi="Calibri" w:cs="Calibri"/>
                <w:b/>
                <w:bCs/>
                <w:color w:val="000000"/>
                <w:sz w:val="20"/>
                <w:szCs w:val="20"/>
              </w:rPr>
              <w:t xml:space="preserve"> </w:t>
            </w:r>
            <w:r w:rsidRPr="00680D4A">
              <w:rPr>
                <w:rFonts w:ascii="Calibri" w:eastAsia="Times New Roman" w:hAnsi="Calibri" w:cs="Calibri"/>
                <w:b/>
                <w:bCs/>
                <w:color w:val="000000"/>
                <w:sz w:val="20"/>
                <w:szCs w:val="20"/>
              </w:rPr>
              <w:t>PCT, Redundancy, Off-site</w:t>
            </w:r>
          </w:p>
        </w:tc>
      </w:tr>
      <w:tr w:rsidR="00680D4A" w:rsidRPr="00680D4A" w14:paraId="24F3FB22" w14:textId="77777777" w:rsidTr="00626F43">
        <w:trPr>
          <w:trHeight w:val="251"/>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08245" w14:textId="77777777" w:rsidR="00680D4A" w:rsidRPr="00680D4A" w:rsidRDefault="00680D4A" w:rsidP="00680D4A">
            <w:pPr>
              <w:spacing w:after="0" w:line="240" w:lineRule="auto"/>
              <w:jc w:val="center"/>
              <w:rPr>
                <w:rFonts w:ascii="Calibri" w:eastAsia="Times New Roman" w:hAnsi="Calibri" w:cs="Calibri"/>
                <w:color w:val="000000"/>
                <w:sz w:val="20"/>
                <w:szCs w:val="20"/>
              </w:rPr>
            </w:pPr>
            <w:r w:rsidRPr="00680D4A">
              <w:rPr>
                <w:rFonts w:ascii="Calibri" w:eastAsia="Times New Roman" w:hAnsi="Calibri" w:cs="Calibri"/>
                <w:color w:val="000000"/>
                <w:sz w:val="20"/>
                <w:szCs w:val="20"/>
              </w:rPr>
              <w:t>Use</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1D827134" w14:textId="77777777" w:rsidR="00680D4A" w:rsidRPr="00680D4A" w:rsidRDefault="00680D4A" w:rsidP="00680D4A">
            <w:pPr>
              <w:spacing w:after="0" w:line="240" w:lineRule="auto"/>
              <w:jc w:val="center"/>
              <w:rPr>
                <w:rFonts w:ascii="Calibri" w:eastAsia="Times New Roman" w:hAnsi="Calibri" w:cs="Calibri"/>
                <w:color w:val="000000"/>
                <w:sz w:val="20"/>
                <w:szCs w:val="20"/>
              </w:rPr>
            </w:pPr>
            <w:r w:rsidRPr="00680D4A">
              <w:rPr>
                <w:rFonts w:ascii="Calibri" w:eastAsia="Times New Roman" w:hAnsi="Calibri" w:cs="Calibri"/>
                <w:color w:val="000000"/>
                <w:sz w:val="20"/>
                <w:szCs w:val="20"/>
              </w:rPr>
              <w:t>Mean</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303D8D17" w14:textId="77777777" w:rsidR="00680D4A" w:rsidRPr="00680D4A" w:rsidRDefault="00680D4A" w:rsidP="00680D4A">
            <w:pPr>
              <w:spacing w:after="0" w:line="240" w:lineRule="auto"/>
              <w:jc w:val="center"/>
              <w:rPr>
                <w:rFonts w:ascii="Calibri" w:eastAsia="Times New Roman" w:hAnsi="Calibri" w:cs="Calibri"/>
                <w:color w:val="000000"/>
                <w:sz w:val="20"/>
                <w:szCs w:val="20"/>
              </w:rPr>
            </w:pPr>
            <w:r w:rsidRPr="00680D4A">
              <w:rPr>
                <w:rFonts w:ascii="Calibri" w:eastAsia="Times New Roman" w:hAnsi="Calibri" w:cs="Calibri"/>
                <w:color w:val="000000"/>
                <w:sz w:val="20"/>
                <w:szCs w:val="20"/>
              </w:rPr>
              <w:t>STD</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445A83D9" w14:textId="77777777" w:rsidR="00680D4A" w:rsidRPr="00680D4A" w:rsidRDefault="00680D4A" w:rsidP="00680D4A">
            <w:pPr>
              <w:spacing w:after="0" w:line="240" w:lineRule="auto"/>
              <w:jc w:val="center"/>
              <w:rPr>
                <w:rFonts w:ascii="Calibri" w:eastAsia="Times New Roman" w:hAnsi="Calibri" w:cs="Calibri"/>
                <w:color w:val="000000"/>
                <w:sz w:val="20"/>
                <w:szCs w:val="20"/>
              </w:rPr>
            </w:pPr>
            <w:r w:rsidRPr="00680D4A">
              <w:rPr>
                <w:rFonts w:ascii="Calibri" w:eastAsia="Times New Roman" w:hAnsi="Calibri" w:cs="Calibri"/>
                <w:color w:val="000000"/>
                <w:sz w:val="20"/>
                <w:szCs w:val="20"/>
              </w:rPr>
              <w:t>Mean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F80E32A" w14:textId="77777777" w:rsidR="00680D4A" w:rsidRPr="00680D4A" w:rsidRDefault="00680D4A" w:rsidP="00680D4A">
            <w:pPr>
              <w:spacing w:after="0" w:line="240" w:lineRule="auto"/>
              <w:jc w:val="center"/>
              <w:rPr>
                <w:rFonts w:ascii="Calibri" w:eastAsia="Times New Roman" w:hAnsi="Calibri" w:cs="Calibri"/>
                <w:color w:val="000000"/>
                <w:sz w:val="20"/>
                <w:szCs w:val="20"/>
              </w:rPr>
            </w:pPr>
            <w:r w:rsidRPr="00680D4A">
              <w:rPr>
                <w:rFonts w:ascii="Calibri" w:eastAsia="Times New Roman" w:hAnsi="Calibri" w:cs="Calibri"/>
                <w:color w:val="000000"/>
                <w:sz w:val="20"/>
                <w:szCs w:val="20"/>
              </w:rPr>
              <w:t>STD</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6E979919" w14:textId="77777777" w:rsidR="00680D4A" w:rsidRPr="00680D4A" w:rsidRDefault="00680D4A" w:rsidP="00680D4A">
            <w:pPr>
              <w:spacing w:after="0" w:line="240" w:lineRule="auto"/>
              <w:jc w:val="center"/>
              <w:rPr>
                <w:rFonts w:ascii="Calibri" w:eastAsia="Times New Roman" w:hAnsi="Calibri" w:cs="Calibri"/>
                <w:color w:val="000000"/>
                <w:sz w:val="20"/>
                <w:szCs w:val="20"/>
              </w:rPr>
            </w:pPr>
            <w:r w:rsidRPr="00680D4A">
              <w:rPr>
                <w:rFonts w:ascii="Calibri" w:eastAsia="Times New Roman" w:hAnsi="Calibri" w:cs="Calibri"/>
                <w:color w:val="000000"/>
                <w:sz w:val="20"/>
                <w:szCs w:val="20"/>
              </w:rPr>
              <w:t>Mean</w:t>
            </w:r>
          </w:p>
        </w:tc>
        <w:tc>
          <w:tcPr>
            <w:tcW w:w="830" w:type="dxa"/>
            <w:tcBorders>
              <w:top w:val="single" w:sz="4" w:space="0" w:color="auto"/>
              <w:left w:val="nil"/>
              <w:bottom w:val="single" w:sz="4" w:space="0" w:color="auto"/>
              <w:right w:val="single" w:sz="4" w:space="0" w:color="auto"/>
            </w:tcBorders>
            <w:shd w:val="clear" w:color="auto" w:fill="auto"/>
            <w:vAlign w:val="center"/>
            <w:hideMark/>
          </w:tcPr>
          <w:p w14:paraId="48D941ED" w14:textId="77777777" w:rsidR="00680D4A" w:rsidRPr="00680D4A" w:rsidRDefault="00680D4A" w:rsidP="00680D4A">
            <w:pPr>
              <w:spacing w:after="0" w:line="240" w:lineRule="auto"/>
              <w:jc w:val="center"/>
              <w:rPr>
                <w:rFonts w:ascii="Calibri" w:eastAsia="Times New Roman" w:hAnsi="Calibri" w:cs="Calibri"/>
                <w:color w:val="000000"/>
                <w:sz w:val="20"/>
                <w:szCs w:val="20"/>
              </w:rPr>
            </w:pPr>
            <w:r w:rsidRPr="00680D4A">
              <w:rPr>
                <w:rFonts w:ascii="Calibri" w:eastAsia="Times New Roman" w:hAnsi="Calibri" w:cs="Calibri"/>
                <w:color w:val="000000"/>
                <w:sz w:val="20"/>
                <w:szCs w:val="20"/>
              </w:rPr>
              <w:t>STD</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51C30606" w14:textId="77777777" w:rsidR="00680D4A" w:rsidRPr="00680D4A" w:rsidRDefault="00680D4A" w:rsidP="00680D4A">
            <w:pPr>
              <w:spacing w:after="0" w:line="240" w:lineRule="auto"/>
              <w:jc w:val="center"/>
              <w:rPr>
                <w:rFonts w:ascii="Calibri" w:eastAsia="Times New Roman" w:hAnsi="Calibri" w:cs="Calibri"/>
                <w:color w:val="000000"/>
                <w:sz w:val="20"/>
                <w:szCs w:val="20"/>
              </w:rPr>
            </w:pPr>
            <w:r w:rsidRPr="00680D4A">
              <w:rPr>
                <w:rFonts w:ascii="Calibri" w:eastAsia="Times New Roman" w:hAnsi="Calibri" w:cs="Calibri"/>
                <w:color w:val="000000"/>
                <w:sz w:val="20"/>
                <w:szCs w:val="20"/>
              </w:rPr>
              <w:t>Mean</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41CB07B8" w14:textId="77777777" w:rsidR="00680D4A" w:rsidRPr="00680D4A" w:rsidRDefault="00680D4A" w:rsidP="00680D4A">
            <w:pPr>
              <w:spacing w:after="0" w:line="240" w:lineRule="auto"/>
              <w:jc w:val="center"/>
              <w:rPr>
                <w:rFonts w:ascii="Calibri" w:eastAsia="Times New Roman" w:hAnsi="Calibri" w:cs="Calibri"/>
                <w:color w:val="000000"/>
                <w:sz w:val="20"/>
                <w:szCs w:val="20"/>
              </w:rPr>
            </w:pPr>
            <w:r w:rsidRPr="00680D4A">
              <w:rPr>
                <w:rFonts w:ascii="Calibri" w:eastAsia="Times New Roman" w:hAnsi="Calibri" w:cs="Calibri"/>
                <w:color w:val="000000"/>
                <w:sz w:val="20"/>
                <w:szCs w:val="20"/>
              </w:rPr>
              <w:t>STD</w:t>
            </w:r>
          </w:p>
        </w:tc>
      </w:tr>
      <w:tr w:rsidR="00680D4A" w:rsidRPr="00680D4A" w14:paraId="431A7D35" w14:textId="77777777" w:rsidTr="00626F43">
        <w:trPr>
          <w:trHeight w:val="251"/>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3EF6004C" w14:textId="56833AAC" w:rsidR="00680D4A" w:rsidRPr="00680D4A" w:rsidRDefault="18F7977B" w:rsidP="00680D4A">
            <w:pPr>
              <w:spacing w:after="0" w:line="240" w:lineRule="auto"/>
              <w:rPr>
                <w:rFonts w:ascii="Calibri" w:eastAsia="Times New Roman" w:hAnsi="Calibri" w:cs="Calibri"/>
                <w:color w:val="000000"/>
              </w:rPr>
            </w:pPr>
            <w:r w:rsidRPr="218A8BFF">
              <w:rPr>
                <w:rFonts w:ascii="Calibri" w:eastAsia="Times New Roman" w:hAnsi="Calibri" w:cs="Calibri"/>
                <w:color w:val="000000" w:themeColor="text1"/>
              </w:rPr>
              <w:t>Imidacloprid</w:t>
            </w:r>
            <w:r w:rsidR="00680D4A" w:rsidRPr="218A8BFF">
              <w:rPr>
                <w:rFonts w:ascii="Calibri" w:eastAsia="Times New Roman" w:hAnsi="Calibri" w:cs="Calibri"/>
                <w:color w:val="000000" w:themeColor="text1"/>
              </w:rPr>
              <w:t xml:space="preserve"> Action Area</w:t>
            </w:r>
            <w:r w:rsidR="3F3EAC98" w:rsidRPr="218A8BFF">
              <w:rPr>
                <w:rFonts w:ascii="Calibri" w:eastAsia="Times New Roman" w:hAnsi="Calibri" w:cs="Calibri"/>
                <w:color w:val="000000" w:themeColor="text1"/>
              </w:rPr>
              <w:t xml:space="preserve"> (AA)</w:t>
            </w:r>
          </w:p>
        </w:tc>
        <w:tc>
          <w:tcPr>
            <w:tcW w:w="688" w:type="dxa"/>
            <w:tcBorders>
              <w:top w:val="nil"/>
              <w:left w:val="nil"/>
              <w:bottom w:val="single" w:sz="4" w:space="0" w:color="auto"/>
              <w:right w:val="single" w:sz="4" w:space="0" w:color="auto"/>
            </w:tcBorders>
            <w:shd w:val="clear" w:color="auto" w:fill="auto"/>
            <w:noWrap/>
            <w:vAlign w:val="bottom"/>
            <w:hideMark/>
          </w:tcPr>
          <w:p w14:paraId="7E763F3E"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36</w:t>
            </w:r>
          </w:p>
        </w:tc>
        <w:tc>
          <w:tcPr>
            <w:tcW w:w="1097" w:type="dxa"/>
            <w:tcBorders>
              <w:top w:val="nil"/>
              <w:left w:val="nil"/>
              <w:bottom w:val="single" w:sz="4" w:space="0" w:color="auto"/>
              <w:right w:val="single" w:sz="4" w:space="0" w:color="auto"/>
            </w:tcBorders>
            <w:shd w:val="clear" w:color="auto" w:fill="auto"/>
            <w:noWrap/>
            <w:vAlign w:val="bottom"/>
            <w:hideMark/>
          </w:tcPr>
          <w:p w14:paraId="19653359"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20</w:t>
            </w:r>
          </w:p>
        </w:tc>
        <w:tc>
          <w:tcPr>
            <w:tcW w:w="688" w:type="dxa"/>
            <w:tcBorders>
              <w:top w:val="nil"/>
              <w:left w:val="nil"/>
              <w:bottom w:val="single" w:sz="4" w:space="0" w:color="auto"/>
              <w:right w:val="single" w:sz="4" w:space="0" w:color="auto"/>
            </w:tcBorders>
            <w:shd w:val="clear" w:color="auto" w:fill="auto"/>
            <w:noWrap/>
            <w:vAlign w:val="bottom"/>
            <w:hideMark/>
          </w:tcPr>
          <w:p w14:paraId="5A6FA0B1"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35</w:t>
            </w:r>
          </w:p>
        </w:tc>
        <w:tc>
          <w:tcPr>
            <w:tcW w:w="1276" w:type="dxa"/>
            <w:tcBorders>
              <w:top w:val="nil"/>
              <w:left w:val="nil"/>
              <w:bottom w:val="single" w:sz="4" w:space="0" w:color="auto"/>
              <w:right w:val="single" w:sz="4" w:space="0" w:color="auto"/>
            </w:tcBorders>
            <w:shd w:val="clear" w:color="auto" w:fill="auto"/>
            <w:noWrap/>
            <w:vAlign w:val="bottom"/>
            <w:hideMark/>
          </w:tcPr>
          <w:p w14:paraId="07748B75"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20</w:t>
            </w:r>
          </w:p>
        </w:tc>
        <w:tc>
          <w:tcPr>
            <w:tcW w:w="1026" w:type="dxa"/>
            <w:tcBorders>
              <w:top w:val="nil"/>
              <w:left w:val="nil"/>
              <w:bottom w:val="single" w:sz="4" w:space="0" w:color="auto"/>
              <w:right w:val="single" w:sz="4" w:space="0" w:color="auto"/>
            </w:tcBorders>
            <w:shd w:val="clear" w:color="auto" w:fill="auto"/>
            <w:noWrap/>
            <w:vAlign w:val="bottom"/>
            <w:hideMark/>
          </w:tcPr>
          <w:p w14:paraId="1D16C339"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35</w:t>
            </w:r>
          </w:p>
        </w:tc>
        <w:tc>
          <w:tcPr>
            <w:tcW w:w="830" w:type="dxa"/>
            <w:tcBorders>
              <w:top w:val="nil"/>
              <w:left w:val="nil"/>
              <w:bottom w:val="single" w:sz="4" w:space="0" w:color="auto"/>
              <w:right w:val="single" w:sz="4" w:space="0" w:color="auto"/>
            </w:tcBorders>
            <w:shd w:val="clear" w:color="auto" w:fill="auto"/>
            <w:noWrap/>
            <w:vAlign w:val="bottom"/>
            <w:hideMark/>
          </w:tcPr>
          <w:p w14:paraId="0D4C32A2"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20</w:t>
            </w:r>
          </w:p>
        </w:tc>
        <w:tc>
          <w:tcPr>
            <w:tcW w:w="772" w:type="dxa"/>
            <w:tcBorders>
              <w:top w:val="nil"/>
              <w:left w:val="nil"/>
              <w:bottom w:val="single" w:sz="4" w:space="0" w:color="auto"/>
              <w:right w:val="single" w:sz="4" w:space="0" w:color="auto"/>
            </w:tcBorders>
            <w:shd w:val="clear" w:color="auto" w:fill="auto"/>
            <w:noWrap/>
            <w:vAlign w:val="bottom"/>
            <w:hideMark/>
          </w:tcPr>
          <w:p w14:paraId="3F3F2AEC"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35</w:t>
            </w:r>
          </w:p>
        </w:tc>
        <w:tc>
          <w:tcPr>
            <w:tcW w:w="1131" w:type="dxa"/>
            <w:tcBorders>
              <w:top w:val="nil"/>
              <w:left w:val="nil"/>
              <w:bottom w:val="single" w:sz="4" w:space="0" w:color="auto"/>
              <w:right w:val="single" w:sz="4" w:space="0" w:color="auto"/>
            </w:tcBorders>
            <w:shd w:val="clear" w:color="auto" w:fill="auto"/>
            <w:noWrap/>
            <w:vAlign w:val="bottom"/>
            <w:hideMark/>
          </w:tcPr>
          <w:p w14:paraId="755E70CE"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20</w:t>
            </w:r>
          </w:p>
        </w:tc>
      </w:tr>
      <w:tr w:rsidR="00680D4A" w:rsidRPr="00680D4A" w14:paraId="4CA3EAD8" w14:textId="77777777" w:rsidTr="00626F43">
        <w:trPr>
          <w:trHeight w:val="251"/>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6A422328" w14:textId="77777777" w:rsidR="00680D4A" w:rsidRPr="00680D4A" w:rsidRDefault="00680D4A" w:rsidP="00680D4A">
            <w:pPr>
              <w:spacing w:after="0" w:line="240" w:lineRule="auto"/>
              <w:rPr>
                <w:rFonts w:ascii="Calibri" w:eastAsia="Times New Roman" w:hAnsi="Calibri" w:cs="Calibri"/>
                <w:color w:val="000000"/>
              </w:rPr>
            </w:pPr>
            <w:r w:rsidRPr="00680D4A">
              <w:rPr>
                <w:rFonts w:ascii="Calibri" w:eastAsia="Times New Roman" w:hAnsi="Calibri" w:cs="Calibri"/>
                <w:color w:val="000000"/>
              </w:rPr>
              <w:t>Ag</w:t>
            </w:r>
          </w:p>
        </w:tc>
        <w:tc>
          <w:tcPr>
            <w:tcW w:w="688" w:type="dxa"/>
            <w:tcBorders>
              <w:top w:val="nil"/>
              <w:left w:val="nil"/>
              <w:bottom w:val="single" w:sz="4" w:space="0" w:color="auto"/>
              <w:right w:val="single" w:sz="4" w:space="0" w:color="auto"/>
            </w:tcBorders>
            <w:shd w:val="clear" w:color="auto" w:fill="auto"/>
            <w:noWrap/>
            <w:vAlign w:val="bottom"/>
            <w:hideMark/>
          </w:tcPr>
          <w:p w14:paraId="064BAB9F"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2</w:t>
            </w:r>
          </w:p>
        </w:tc>
        <w:tc>
          <w:tcPr>
            <w:tcW w:w="1097" w:type="dxa"/>
            <w:tcBorders>
              <w:top w:val="nil"/>
              <w:left w:val="nil"/>
              <w:bottom w:val="single" w:sz="4" w:space="0" w:color="auto"/>
              <w:right w:val="single" w:sz="4" w:space="0" w:color="auto"/>
            </w:tcBorders>
            <w:shd w:val="clear" w:color="auto" w:fill="auto"/>
            <w:noWrap/>
            <w:vAlign w:val="bottom"/>
            <w:hideMark/>
          </w:tcPr>
          <w:p w14:paraId="2003B06E"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3</w:t>
            </w:r>
          </w:p>
        </w:tc>
        <w:tc>
          <w:tcPr>
            <w:tcW w:w="688" w:type="dxa"/>
            <w:tcBorders>
              <w:top w:val="nil"/>
              <w:left w:val="nil"/>
              <w:bottom w:val="single" w:sz="4" w:space="0" w:color="auto"/>
              <w:right w:val="single" w:sz="4" w:space="0" w:color="auto"/>
            </w:tcBorders>
            <w:shd w:val="clear" w:color="auto" w:fill="auto"/>
            <w:noWrap/>
            <w:vAlign w:val="bottom"/>
            <w:hideMark/>
          </w:tcPr>
          <w:p w14:paraId="4894323E"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14:paraId="78585CE5"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3</w:t>
            </w:r>
          </w:p>
        </w:tc>
        <w:tc>
          <w:tcPr>
            <w:tcW w:w="1026" w:type="dxa"/>
            <w:tcBorders>
              <w:top w:val="nil"/>
              <w:left w:val="nil"/>
              <w:bottom w:val="single" w:sz="4" w:space="0" w:color="auto"/>
              <w:right w:val="single" w:sz="4" w:space="0" w:color="auto"/>
            </w:tcBorders>
            <w:shd w:val="clear" w:color="auto" w:fill="auto"/>
            <w:noWrap/>
            <w:vAlign w:val="bottom"/>
            <w:hideMark/>
          </w:tcPr>
          <w:p w14:paraId="70F0BE5D"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2</w:t>
            </w:r>
          </w:p>
        </w:tc>
        <w:tc>
          <w:tcPr>
            <w:tcW w:w="830" w:type="dxa"/>
            <w:tcBorders>
              <w:top w:val="nil"/>
              <w:left w:val="nil"/>
              <w:bottom w:val="single" w:sz="4" w:space="0" w:color="auto"/>
              <w:right w:val="single" w:sz="4" w:space="0" w:color="auto"/>
            </w:tcBorders>
            <w:shd w:val="clear" w:color="auto" w:fill="auto"/>
            <w:noWrap/>
            <w:vAlign w:val="bottom"/>
            <w:hideMark/>
          </w:tcPr>
          <w:p w14:paraId="5EC3FBAE"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8</w:t>
            </w:r>
          </w:p>
        </w:tc>
        <w:tc>
          <w:tcPr>
            <w:tcW w:w="772" w:type="dxa"/>
            <w:tcBorders>
              <w:top w:val="nil"/>
              <w:left w:val="nil"/>
              <w:bottom w:val="single" w:sz="4" w:space="0" w:color="auto"/>
              <w:right w:val="single" w:sz="4" w:space="0" w:color="auto"/>
            </w:tcBorders>
            <w:shd w:val="clear" w:color="auto" w:fill="auto"/>
            <w:noWrap/>
            <w:vAlign w:val="bottom"/>
            <w:hideMark/>
          </w:tcPr>
          <w:p w14:paraId="1F9B32D5"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1</w:t>
            </w:r>
          </w:p>
        </w:tc>
        <w:tc>
          <w:tcPr>
            <w:tcW w:w="1131" w:type="dxa"/>
            <w:tcBorders>
              <w:top w:val="nil"/>
              <w:left w:val="nil"/>
              <w:bottom w:val="single" w:sz="4" w:space="0" w:color="auto"/>
              <w:right w:val="single" w:sz="4" w:space="0" w:color="auto"/>
            </w:tcBorders>
            <w:shd w:val="clear" w:color="auto" w:fill="auto"/>
            <w:noWrap/>
            <w:vAlign w:val="bottom"/>
            <w:hideMark/>
          </w:tcPr>
          <w:p w14:paraId="1FF9C915"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5</w:t>
            </w:r>
          </w:p>
        </w:tc>
      </w:tr>
      <w:tr w:rsidR="00680D4A" w:rsidRPr="00680D4A" w14:paraId="02FA8023" w14:textId="77777777" w:rsidTr="00626F43">
        <w:trPr>
          <w:trHeight w:val="251"/>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47752D7F" w14:textId="77777777" w:rsidR="00680D4A" w:rsidRPr="00680D4A" w:rsidRDefault="00680D4A" w:rsidP="00680D4A">
            <w:pPr>
              <w:spacing w:after="0" w:line="240" w:lineRule="auto"/>
              <w:rPr>
                <w:rFonts w:ascii="Calibri" w:eastAsia="Times New Roman" w:hAnsi="Calibri" w:cs="Calibri"/>
                <w:color w:val="000000"/>
              </w:rPr>
            </w:pPr>
            <w:r w:rsidRPr="00680D4A">
              <w:rPr>
                <w:rFonts w:ascii="Calibri" w:eastAsia="Times New Roman" w:hAnsi="Calibri" w:cs="Calibri"/>
                <w:color w:val="000000"/>
              </w:rPr>
              <w:t>Developed</w:t>
            </w:r>
          </w:p>
        </w:tc>
        <w:tc>
          <w:tcPr>
            <w:tcW w:w="688" w:type="dxa"/>
            <w:tcBorders>
              <w:top w:val="nil"/>
              <w:left w:val="nil"/>
              <w:bottom w:val="single" w:sz="4" w:space="0" w:color="auto"/>
              <w:right w:val="single" w:sz="4" w:space="0" w:color="auto"/>
            </w:tcBorders>
            <w:shd w:val="clear" w:color="auto" w:fill="auto"/>
            <w:noWrap/>
            <w:vAlign w:val="bottom"/>
            <w:hideMark/>
          </w:tcPr>
          <w:p w14:paraId="755F307C"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4</w:t>
            </w:r>
          </w:p>
        </w:tc>
        <w:tc>
          <w:tcPr>
            <w:tcW w:w="1097" w:type="dxa"/>
            <w:tcBorders>
              <w:top w:val="nil"/>
              <w:left w:val="nil"/>
              <w:bottom w:val="single" w:sz="4" w:space="0" w:color="auto"/>
              <w:right w:val="single" w:sz="4" w:space="0" w:color="auto"/>
            </w:tcBorders>
            <w:shd w:val="clear" w:color="auto" w:fill="auto"/>
            <w:noWrap/>
            <w:vAlign w:val="bottom"/>
            <w:hideMark/>
          </w:tcPr>
          <w:p w14:paraId="5FD3EC99"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7</w:t>
            </w:r>
          </w:p>
        </w:tc>
        <w:tc>
          <w:tcPr>
            <w:tcW w:w="688" w:type="dxa"/>
            <w:tcBorders>
              <w:top w:val="nil"/>
              <w:left w:val="nil"/>
              <w:bottom w:val="single" w:sz="4" w:space="0" w:color="auto"/>
              <w:right w:val="single" w:sz="4" w:space="0" w:color="auto"/>
            </w:tcBorders>
            <w:shd w:val="clear" w:color="auto" w:fill="auto"/>
            <w:noWrap/>
            <w:vAlign w:val="bottom"/>
            <w:hideMark/>
          </w:tcPr>
          <w:p w14:paraId="6028849E"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4</w:t>
            </w:r>
          </w:p>
        </w:tc>
        <w:tc>
          <w:tcPr>
            <w:tcW w:w="1276" w:type="dxa"/>
            <w:tcBorders>
              <w:top w:val="nil"/>
              <w:left w:val="nil"/>
              <w:bottom w:val="single" w:sz="4" w:space="0" w:color="auto"/>
              <w:right w:val="single" w:sz="4" w:space="0" w:color="auto"/>
            </w:tcBorders>
            <w:shd w:val="clear" w:color="auto" w:fill="auto"/>
            <w:noWrap/>
            <w:vAlign w:val="bottom"/>
            <w:hideMark/>
          </w:tcPr>
          <w:p w14:paraId="0D7495D7"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7</w:t>
            </w:r>
          </w:p>
        </w:tc>
        <w:tc>
          <w:tcPr>
            <w:tcW w:w="1026" w:type="dxa"/>
            <w:tcBorders>
              <w:top w:val="nil"/>
              <w:left w:val="nil"/>
              <w:bottom w:val="single" w:sz="4" w:space="0" w:color="auto"/>
              <w:right w:val="single" w:sz="4" w:space="0" w:color="auto"/>
            </w:tcBorders>
            <w:shd w:val="clear" w:color="auto" w:fill="auto"/>
            <w:noWrap/>
            <w:vAlign w:val="bottom"/>
            <w:hideMark/>
          </w:tcPr>
          <w:p w14:paraId="4CA516EC"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4</w:t>
            </w:r>
          </w:p>
        </w:tc>
        <w:tc>
          <w:tcPr>
            <w:tcW w:w="830" w:type="dxa"/>
            <w:tcBorders>
              <w:top w:val="nil"/>
              <w:left w:val="nil"/>
              <w:bottom w:val="single" w:sz="4" w:space="0" w:color="auto"/>
              <w:right w:val="single" w:sz="4" w:space="0" w:color="auto"/>
            </w:tcBorders>
            <w:shd w:val="clear" w:color="auto" w:fill="auto"/>
            <w:noWrap/>
            <w:vAlign w:val="bottom"/>
            <w:hideMark/>
          </w:tcPr>
          <w:p w14:paraId="746D2FF3"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13</w:t>
            </w:r>
          </w:p>
        </w:tc>
        <w:tc>
          <w:tcPr>
            <w:tcW w:w="772" w:type="dxa"/>
            <w:tcBorders>
              <w:top w:val="nil"/>
              <w:left w:val="nil"/>
              <w:bottom w:val="single" w:sz="4" w:space="0" w:color="auto"/>
              <w:right w:val="single" w:sz="4" w:space="0" w:color="auto"/>
            </w:tcBorders>
            <w:shd w:val="clear" w:color="auto" w:fill="auto"/>
            <w:noWrap/>
            <w:vAlign w:val="bottom"/>
            <w:hideMark/>
          </w:tcPr>
          <w:p w14:paraId="1BD583C7"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4</w:t>
            </w:r>
          </w:p>
        </w:tc>
        <w:tc>
          <w:tcPr>
            <w:tcW w:w="1131" w:type="dxa"/>
            <w:tcBorders>
              <w:top w:val="nil"/>
              <w:left w:val="nil"/>
              <w:bottom w:val="single" w:sz="4" w:space="0" w:color="auto"/>
              <w:right w:val="single" w:sz="4" w:space="0" w:color="auto"/>
            </w:tcBorders>
            <w:shd w:val="clear" w:color="auto" w:fill="auto"/>
            <w:noWrap/>
            <w:vAlign w:val="bottom"/>
            <w:hideMark/>
          </w:tcPr>
          <w:p w14:paraId="692D1E91"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13</w:t>
            </w:r>
          </w:p>
        </w:tc>
      </w:tr>
      <w:tr w:rsidR="00680D4A" w:rsidRPr="00680D4A" w14:paraId="71E249D4" w14:textId="77777777" w:rsidTr="00626F43">
        <w:trPr>
          <w:trHeight w:val="251"/>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5F1281ED" w14:textId="77777777" w:rsidR="00680D4A" w:rsidRPr="00680D4A" w:rsidRDefault="00680D4A" w:rsidP="00680D4A">
            <w:pPr>
              <w:spacing w:after="0" w:line="240" w:lineRule="auto"/>
              <w:rPr>
                <w:rFonts w:ascii="Calibri" w:eastAsia="Times New Roman" w:hAnsi="Calibri" w:cs="Calibri"/>
                <w:color w:val="000000"/>
              </w:rPr>
            </w:pPr>
            <w:r w:rsidRPr="00680D4A">
              <w:rPr>
                <w:rFonts w:ascii="Calibri" w:eastAsia="Times New Roman" w:hAnsi="Calibri" w:cs="Calibri"/>
                <w:color w:val="000000"/>
              </w:rPr>
              <w:t>Federal Lands</w:t>
            </w:r>
          </w:p>
        </w:tc>
        <w:tc>
          <w:tcPr>
            <w:tcW w:w="688" w:type="dxa"/>
            <w:tcBorders>
              <w:top w:val="nil"/>
              <w:left w:val="nil"/>
              <w:bottom w:val="single" w:sz="4" w:space="0" w:color="auto"/>
              <w:right w:val="single" w:sz="4" w:space="0" w:color="auto"/>
            </w:tcBorders>
            <w:shd w:val="clear" w:color="auto" w:fill="auto"/>
            <w:noWrap/>
            <w:vAlign w:val="bottom"/>
            <w:hideMark/>
          </w:tcPr>
          <w:p w14:paraId="640F3851"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10</w:t>
            </w:r>
          </w:p>
        </w:tc>
        <w:tc>
          <w:tcPr>
            <w:tcW w:w="1097" w:type="dxa"/>
            <w:tcBorders>
              <w:top w:val="nil"/>
              <w:left w:val="nil"/>
              <w:bottom w:val="single" w:sz="4" w:space="0" w:color="auto"/>
              <w:right w:val="single" w:sz="4" w:space="0" w:color="auto"/>
            </w:tcBorders>
            <w:shd w:val="clear" w:color="auto" w:fill="auto"/>
            <w:noWrap/>
            <w:vAlign w:val="bottom"/>
            <w:hideMark/>
          </w:tcPr>
          <w:p w14:paraId="36F05664"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14</w:t>
            </w:r>
          </w:p>
        </w:tc>
        <w:tc>
          <w:tcPr>
            <w:tcW w:w="688" w:type="dxa"/>
            <w:tcBorders>
              <w:top w:val="nil"/>
              <w:left w:val="nil"/>
              <w:bottom w:val="single" w:sz="4" w:space="0" w:color="auto"/>
              <w:right w:val="single" w:sz="4" w:space="0" w:color="auto"/>
            </w:tcBorders>
            <w:shd w:val="clear" w:color="auto" w:fill="auto"/>
            <w:noWrap/>
            <w:vAlign w:val="bottom"/>
            <w:hideMark/>
          </w:tcPr>
          <w:p w14:paraId="3D2F0170"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10</w:t>
            </w:r>
          </w:p>
        </w:tc>
        <w:tc>
          <w:tcPr>
            <w:tcW w:w="1276" w:type="dxa"/>
            <w:tcBorders>
              <w:top w:val="nil"/>
              <w:left w:val="nil"/>
              <w:bottom w:val="single" w:sz="4" w:space="0" w:color="auto"/>
              <w:right w:val="single" w:sz="4" w:space="0" w:color="auto"/>
            </w:tcBorders>
            <w:shd w:val="clear" w:color="auto" w:fill="auto"/>
            <w:noWrap/>
            <w:vAlign w:val="bottom"/>
            <w:hideMark/>
          </w:tcPr>
          <w:p w14:paraId="4F56E7A0"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14</w:t>
            </w:r>
          </w:p>
        </w:tc>
        <w:tc>
          <w:tcPr>
            <w:tcW w:w="1026" w:type="dxa"/>
            <w:tcBorders>
              <w:top w:val="nil"/>
              <w:left w:val="nil"/>
              <w:bottom w:val="single" w:sz="4" w:space="0" w:color="auto"/>
              <w:right w:val="single" w:sz="4" w:space="0" w:color="auto"/>
            </w:tcBorders>
            <w:shd w:val="clear" w:color="auto" w:fill="auto"/>
            <w:noWrap/>
            <w:vAlign w:val="bottom"/>
            <w:hideMark/>
          </w:tcPr>
          <w:p w14:paraId="5400B8F8"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10</w:t>
            </w:r>
          </w:p>
        </w:tc>
        <w:tc>
          <w:tcPr>
            <w:tcW w:w="830" w:type="dxa"/>
            <w:tcBorders>
              <w:top w:val="nil"/>
              <w:left w:val="nil"/>
              <w:bottom w:val="single" w:sz="4" w:space="0" w:color="auto"/>
              <w:right w:val="single" w:sz="4" w:space="0" w:color="auto"/>
            </w:tcBorders>
            <w:shd w:val="clear" w:color="auto" w:fill="auto"/>
            <w:noWrap/>
            <w:vAlign w:val="bottom"/>
            <w:hideMark/>
          </w:tcPr>
          <w:p w14:paraId="3AC4E5C0"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14</w:t>
            </w:r>
          </w:p>
        </w:tc>
        <w:tc>
          <w:tcPr>
            <w:tcW w:w="772" w:type="dxa"/>
            <w:tcBorders>
              <w:top w:val="nil"/>
              <w:left w:val="nil"/>
              <w:bottom w:val="single" w:sz="4" w:space="0" w:color="auto"/>
              <w:right w:val="single" w:sz="4" w:space="0" w:color="auto"/>
            </w:tcBorders>
            <w:shd w:val="clear" w:color="auto" w:fill="auto"/>
            <w:noWrap/>
            <w:vAlign w:val="bottom"/>
            <w:hideMark/>
          </w:tcPr>
          <w:p w14:paraId="2EAEC08E"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10</w:t>
            </w:r>
          </w:p>
        </w:tc>
        <w:tc>
          <w:tcPr>
            <w:tcW w:w="1131" w:type="dxa"/>
            <w:tcBorders>
              <w:top w:val="nil"/>
              <w:left w:val="nil"/>
              <w:bottom w:val="single" w:sz="4" w:space="0" w:color="auto"/>
              <w:right w:val="single" w:sz="4" w:space="0" w:color="auto"/>
            </w:tcBorders>
            <w:shd w:val="clear" w:color="auto" w:fill="auto"/>
            <w:noWrap/>
            <w:vAlign w:val="bottom"/>
            <w:hideMark/>
          </w:tcPr>
          <w:p w14:paraId="011DDE35"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14</w:t>
            </w:r>
          </w:p>
        </w:tc>
      </w:tr>
      <w:tr w:rsidR="00680D4A" w:rsidRPr="00680D4A" w14:paraId="3CE58355" w14:textId="77777777" w:rsidTr="00626F43">
        <w:trPr>
          <w:trHeight w:val="251"/>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11373B29" w14:textId="77777777" w:rsidR="00680D4A" w:rsidRPr="00680D4A" w:rsidRDefault="00680D4A" w:rsidP="00680D4A">
            <w:pPr>
              <w:spacing w:after="0" w:line="240" w:lineRule="auto"/>
              <w:rPr>
                <w:rFonts w:ascii="Calibri" w:eastAsia="Times New Roman" w:hAnsi="Calibri" w:cs="Calibri"/>
                <w:color w:val="000000"/>
              </w:rPr>
            </w:pPr>
            <w:r w:rsidRPr="00680D4A">
              <w:rPr>
                <w:rFonts w:ascii="Calibri" w:eastAsia="Times New Roman" w:hAnsi="Calibri" w:cs="Calibri"/>
                <w:color w:val="000000"/>
              </w:rPr>
              <w:t>Field Nurseries</w:t>
            </w:r>
          </w:p>
        </w:tc>
        <w:tc>
          <w:tcPr>
            <w:tcW w:w="688" w:type="dxa"/>
            <w:tcBorders>
              <w:top w:val="nil"/>
              <w:left w:val="nil"/>
              <w:bottom w:val="single" w:sz="4" w:space="0" w:color="auto"/>
              <w:right w:val="single" w:sz="4" w:space="0" w:color="auto"/>
            </w:tcBorders>
            <w:shd w:val="clear" w:color="auto" w:fill="auto"/>
            <w:noWrap/>
            <w:vAlign w:val="bottom"/>
            <w:hideMark/>
          </w:tcPr>
          <w:p w14:paraId="0EE55D8D"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&lt;1</w:t>
            </w:r>
          </w:p>
        </w:tc>
        <w:tc>
          <w:tcPr>
            <w:tcW w:w="1097" w:type="dxa"/>
            <w:tcBorders>
              <w:top w:val="nil"/>
              <w:left w:val="nil"/>
              <w:bottom w:val="single" w:sz="4" w:space="0" w:color="auto"/>
              <w:right w:val="single" w:sz="4" w:space="0" w:color="auto"/>
            </w:tcBorders>
            <w:shd w:val="clear" w:color="auto" w:fill="auto"/>
            <w:noWrap/>
            <w:vAlign w:val="bottom"/>
            <w:hideMark/>
          </w:tcPr>
          <w:p w14:paraId="1042B2E8"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&lt;1</w:t>
            </w:r>
          </w:p>
        </w:tc>
        <w:tc>
          <w:tcPr>
            <w:tcW w:w="688" w:type="dxa"/>
            <w:tcBorders>
              <w:top w:val="nil"/>
              <w:left w:val="nil"/>
              <w:bottom w:val="single" w:sz="4" w:space="0" w:color="auto"/>
              <w:right w:val="single" w:sz="4" w:space="0" w:color="auto"/>
            </w:tcBorders>
            <w:shd w:val="clear" w:color="auto" w:fill="auto"/>
            <w:noWrap/>
            <w:vAlign w:val="bottom"/>
            <w:hideMark/>
          </w:tcPr>
          <w:p w14:paraId="69D62919"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&lt;1</w:t>
            </w:r>
          </w:p>
        </w:tc>
        <w:tc>
          <w:tcPr>
            <w:tcW w:w="1276" w:type="dxa"/>
            <w:tcBorders>
              <w:top w:val="nil"/>
              <w:left w:val="nil"/>
              <w:bottom w:val="single" w:sz="4" w:space="0" w:color="auto"/>
              <w:right w:val="single" w:sz="4" w:space="0" w:color="auto"/>
            </w:tcBorders>
            <w:shd w:val="clear" w:color="auto" w:fill="auto"/>
            <w:noWrap/>
            <w:vAlign w:val="bottom"/>
            <w:hideMark/>
          </w:tcPr>
          <w:p w14:paraId="57F39479"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&lt;1</w:t>
            </w:r>
          </w:p>
        </w:tc>
        <w:tc>
          <w:tcPr>
            <w:tcW w:w="1026" w:type="dxa"/>
            <w:tcBorders>
              <w:top w:val="nil"/>
              <w:left w:val="nil"/>
              <w:bottom w:val="single" w:sz="4" w:space="0" w:color="auto"/>
              <w:right w:val="single" w:sz="4" w:space="0" w:color="auto"/>
            </w:tcBorders>
            <w:shd w:val="clear" w:color="auto" w:fill="auto"/>
            <w:noWrap/>
            <w:vAlign w:val="bottom"/>
            <w:hideMark/>
          </w:tcPr>
          <w:p w14:paraId="3693D17B"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&lt;1</w:t>
            </w:r>
          </w:p>
        </w:tc>
        <w:tc>
          <w:tcPr>
            <w:tcW w:w="830" w:type="dxa"/>
            <w:tcBorders>
              <w:top w:val="nil"/>
              <w:left w:val="nil"/>
              <w:bottom w:val="single" w:sz="4" w:space="0" w:color="auto"/>
              <w:right w:val="single" w:sz="4" w:space="0" w:color="auto"/>
            </w:tcBorders>
            <w:shd w:val="clear" w:color="auto" w:fill="auto"/>
            <w:noWrap/>
            <w:vAlign w:val="bottom"/>
            <w:hideMark/>
          </w:tcPr>
          <w:p w14:paraId="5FD82842"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&lt;1</w:t>
            </w:r>
          </w:p>
        </w:tc>
        <w:tc>
          <w:tcPr>
            <w:tcW w:w="772" w:type="dxa"/>
            <w:tcBorders>
              <w:top w:val="nil"/>
              <w:left w:val="nil"/>
              <w:bottom w:val="single" w:sz="4" w:space="0" w:color="auto"/>
              <w:right w:val="single" w:sz="4" w:space="0" w:color="auto"/>
            </w:tcBorders>
            <w:shd w:val="clear" w:color="auto" w:fill="auto"/>
            <w:noWrap/>
            <w:vAlign w:val="bottom"/>
            <w:hideMark/>
          </w:tcPr>
          <w:p w14:paraId="028D5E3F"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&lt;1</w:t>
            </w:r>
          </w:p>
        </w:tc>
        <w:tc>
          <w:tcPr>
            <w:tcW w:w="1131" w:type="dxa"/>
            <w:tcBorders>
              <w:top w:val="nil"/>
              <w:left w:val="nil"/>
              <w:bottom w:val="single" w:sz="4" w:space="0" w:color="auto"/>
              <w:right w:val="single" w:sz="4" w:space="0" w:color="auto"/>
            </w:tcBorders>
            <w:shd w:val="clear" w:color="auto" w:fill="auto"/>
            <w:noWrap/>
            <w:vAlign w:val="bottom"/>
            <w:hideMark/>
          </w:tcPr>
          <w:p w14:paraId="04654A71"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&lt;1</w:t>
            </w:r>
          </w:p>
        </w:tc>
      </w:tr>
      <w:tr w:rsidR="00680D4A" w:rsidRPr="00680D4A" w14:paraId="147D2154" w14:textId="77777777" w:rsidTr="00626F43">
        <w:trPr>
          <w:trHeight w:val="251"/>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4BEC19C7" w14:textId="77777777" w:rsidR="00680D4A" w:rsidRPr="00680D4A" w:rsidRDefault="00680D4A" w:rsidP="00680D4A">
            <w:pPr>
              <w:spacing w:after="0" w:line="240" w:lineRule="auto"/>
              <w:rPr>
                <w:rFonts w:ascii="Calibri" w:eastAsia="Times New Roman" w:hAnsi="Calibri" w:cs="Calibri"/>
                <w:color w:val="000000"/>
              </w:rPr>
            </w:pPr>
            <w:r w:rsidRPr="00680D4A">
              <w:rPr>
                <w:rFonts w:ascii="Calibri" w:eastAsia="Times New Roman" w:hAnsi="Calibri" w:cs="Calibri"/>
                <w:color w:val="000000"/>
              </w:rPr>
              <w:t>Managed Forests</w:t>
            </w:r>
          </w:p>
        </w:tc>
        <w:tc>
          <w:tcPr>
            <w:tcW w:w="688" w:type="dxa"/>
            <w:tcBorders>
              <w:top w:val="nil"/>
              <w:left w:val="nil"/>
              <w:bottom w:val="single" w:sz="4" w:space="0" w:color="auto"/>
              <w:right w:val="single" w:sz="4" w:space="0" w:color="auto"/>
            </w:tcBorders>
            <w:shd w:val="clear" w:color="auto" w:fill="auto"/>
            <w:noWrap/>
            <w:vAlign w:val="bottom"/>
            <w:hideMark/>
          </w:tcPr>
          <w:p w14:paraId="3BA5C3E8"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23</w:t>
            </w:r>
          </w:p>
        </w:tc>
        <w:tc>
          <w:tcPr>
            <w:tcW w:w="1097" w:type="dxa"/>
            <w:tcBorders>
              <w:top w:val="nil"/>
              <w:left w:val="nil"/>
              <w:bottom w:val="single" w:sz="4" w:space="0" w:color="auto"/>
              <w:right w:val="single" w:sz="4" w:space="0" w:color="auto"/>
            </w:tcBorders>
            <w:shd w:val="clear" w:color="auto" w:fill="auto"/>
            <w:noWrap/>
            <w:vAlign w:val="bottom"/>
            <w:hideMark/>
          </w:tcPr>
          <w:p w14:paraId="6159623D"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20</w:t>
            </w:r>
          </w:p>
        </w:tc>
        <w:tc>
          <w:tcPr>
            <w:tcW w:w="688" w:type="dxa"/>
            <w:tcBorders>
              <w:top w:val="nil"/>
              <w:left w:val="nil"/>
              <w:bottom w:val="single" w:sz="4" w:space="0" w:color="auto"/>
              <w:right w:val="single" w:sz="4" w:space="0" w:color="auto"/>
            </w:tcBorders>
            <w:shd w:val="clear" w:color="auto" w:fill="auto"/>
            <w:noWrap/>
            <w:vAlign w:val="bottom"/>
            <w:hideMark/>
          </w:tcPr>
          <w:p w14:paraId="3D1A9886"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23</w:t>
            </w:r>
          </w:p>
        </w:tc>
        <w:tc>
          <w:tcPr>
            <w:tcW w:w="1276" w:type="dxa"/>
            <w:tcBorders>
              <w:top w:val="nil"/>
              <w:left w:val="nil"/>
              <w:bottom w:val="single" w:sz="4" w:space="0" w:color="auto"/>
              <w:right w:val="single" w:sz="4" w:space="0" w:color="auto"/>
            </w:tcBorders>
            <w:shd w:val="clear" w:color="auto" w:fill="auto"/>
            <w:noWrap/>
            <w:vAlign w:val="bottom"/>
            <w:hideMark/>
          </w:tcPr>
          <w:p w14:paraId="405A28C4"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20</w:t>
            </w:r>
          </w:p>
        </w:tc>
        <w:tc>
          <w:tcPr>
            <w:tcW w:w="1026" w:type="dxa"/>
            <w:tcBorders>
              <w:top w:val="nil"/>
              <w:left w:val="nil"/>
              <w:bottom w:val="single" w:sz="4" w:space="0" w:color="auto"/>
              <w:right w:val="single" w:sz="4" w:space="0" w:color="auto"/>
            </w:tcBorders>
            <w:shd w:val="clear" w:color="auto" w:fill="auto"/>
            <w:noWrap/>
            <w:vAlign w:val="bottom"/>
            <w:hideMark/>
          </w:tcPr>
          <w:p w14:paraId="5DDACA1B"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22</w:t>
            </w:r>
          </w:p>
        </w:tc>
        <w:tc>
          <w:tcPr>
            <w:tcW w:w="830" w:type="dxa"/>
            <w:tcBorders>
              <w:top w:val="nil"/>
              <w:left w:val="nil"/>
              <w:bottom w:val="single" w:sz="4" w:space="0" w:color="auto"/>
              <w:right w:val="single" w:sz="4" w:space="0" w:color="auto"/>
            </w:tcBorders>
            <w:shd w:val="clear" w:color="auto" w:fill="auto"/>
            <w:noWrap/>
            <w:vAlign w:val="bottom"/>
            <w:hideMark/>
          </w:tcPr>
          <w:p w14:paraId="2D886505"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20</w:t>
            </w:r>
          </w:p>
        </w:tc>
        <w:tc>
          <w:tcPr>
            <w:tcW w:w="772" w:type="dxa"/>
            <w:tcBorders>
              <w:top w:val="nil"/>
              <w:left w:val="nil"/>
              <w:bottom w:val="single" w:sz="4" w:space="0" w:color="auto"/>
              <w:right w:val="single" w:sz="4" w:space="0" w:color="auto"/>
            </w:tcBorders>
            <w:shd w:val="clear" w:color="auto" w:fill="auto"/>
            <w:noWrap/>
            <w:vAlign w:val="bottom"/>
            <w:hideMark/>
          </w:tcPr>
          <w:p w14:paraId="64984A47"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22</w:t>
            </w:r>
          </w:p>
        </w:tc>
        <w:tc>
          <w:tcPr>
            <w:tcW w:w="1131" w:type="dxa"/>
            <w:tcBorders>
              <w:top w:val="nil"/>
              <w:left w:val="nil"/>
              <w:bottom w:val="single" w:sz="4" w:space="0" w:color="auto"/>
              <w:right w:val="single" w:sz="4" w:space="0" w:color="auto"/>
            </w:tcBorders>
            <w:shd w:val="clear" w:color="auto" w:fill="auto"/>
            <w:noWrap/>
            <w:vAlign w:val="bottom"/>
            <w:hideMark/>
          </w:tcPr>
          <w:p w14:paraId="4166815A"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20</w:t>
            </w:r>
          </w:p>
        </w:tc>
      </w:tr>
      <w:tr w:rsidR="00680D4A" w:rsidRPr="00680D4A" w14:paraId="7523D3E7" w14:textId="77777777" w:rsidTr="00626F43">
        <w:trPr>
          <w:trHeight w:val="251"/>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1F745FDF" w14:textId="77777777" w:rsidR="00680D4A" w:rsidRPr="00680D4A" w:rsidRDefault="00680D4A" w:rsidP="00680D4A">
            <w:pPr>
              <w:spacing w:after="0" w:line="240" w:lineRule="auto"/>
              <w:rPr>
                <w:rFonts w:ascii="Calibri" w:eastAsia="Times New Roman" w:hAnsi="Calibri" w:cs="Calibri"/>
                <w:color w:val="000000"/>
              </w:rPr>
            </w:pPr>
            <w:r w:rsidRPr="00680D4A">
              <w:rPr>
                <w:rFonts w:ascii="Calibri" w:eastAsia="Times New Roman" w:hAnsi="Calibri" w:cs="Calibri"/>
                <w:color w:val="000000"/>
              </w:rPr>
              <w:t>Open Space Developed</w:t>
            </w:r>
          </w:p>
        </w:tc>
        <w:tc>
          <w:tcPr>
            <w:tcW w:w="688" w:type="dxa"/>
            <w:tcBorders>
              <w:top w:val="nil"/>
              <w:left w:val="nil"/>
              <w:bottom w:val="single" w:sz="4" w:space="0" w:color="auto"/>
              <w:right w:val="single" w:sz="4" w:space="0" w:color="auto"/>
            </w:tcBorders>
            <w:shd w:val="clear" w:color="auto" w:fill="auto"/>
            <w:noWrap/>
            <w:vAlign w:val="bottom"/>
            <w:hideMark/>
          </w:tcPr>
          <w:p w14:paraId="4E8EA502"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1</w:t>
            </w:r>
          </w:p>
        </w:tc>
        <w:tc>
          <w:tcPr>
            <w:tcW w:w="1097" w:type="dxa"/>
            <w:tcBorders>
              <w:top w:val="nil"/>
              <w:left w:val="nil"/>
              <w:bottom w:val="single" w:sz="4" w:space="0" w:color="auto"/>
              <w:right w:val="single" w:sz="4" w:space="0" w:color="auto"/>
            </w:tcBorders>
            <w:shd w:val="clear" w:color="auto" w:fill="auto"/>
            <w:noWrap/>
            <w:vAlign w:val="bottom"/>
            <w:hideMark/>
          </w:tcPr>
          <w:p w14:paraId="515D2401"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2</w:t>
            </w:r>
          </w:p>
        </w:tc>
        <w:tc>
          <w:tcPr>
            <w:tcW w:w="688" w:type="dxa"/>
            <w:tcBorders>
              <w:top w:val="nil"/>
              <w:left w:val="nil"/>
              <w:bottom w:val="single" w:sz="4" w:space="0" w:color="auto"/>
              <w:right w:val="single" w:sz="4" w:space="0" w:color="auto"/>
            </w:tcBorders>
            <w:shd w:val="clear" w:color="auto" w:fill="auto"/>
            <w:noWrap/>
            <w:vAlign w:val="bottom"/>
            <w:hideMark/>
          </w:tcPr>
          <w:p w14:paraId="7D3B11E0"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14:paraId="5E29C492"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2</w:t>
            </w:r>
          </w:p>
        </w:tc>
        <w:tc>
          <w:tcPr>
            <w:tcW w:w="1026" w:type="dxa"/>
            <w:tcBorders>
              <w:top w:val="nil"/>
              <w:left w:val="nil"/>
              <w:bottom w:val="single" w:sz="4" w:space="0" w:color="auto"/>
              <w:right w:val="single" w:sz="4" w:space="0" w:color="auto"/>
            </w:tcBorders>
            <w:shd w:val="clear" w:color="auto" w:fill="auto"/>
            <w:noWrap/>
            <w:vAlign w:val="bottom"/>
            <w:hideMark/>
          </w:tcPr>
          <w:p w14:paraId="0366FB2C"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1</w:t>
            </w:r>
          </w:p>
        </w:tc>
        <w:tc>
          <w:tcPr>
            <w:tcW w:w="830" w:type="dxa"/>
            <w:tcBorders>
              <w:top w:val="nil"/>
              <w:left w:val="nil"/>
              <w:bottom w:val="single" w:sz="4" w:space="0" w:color="auto"/>
              <w:right w:val="single" w:sz="4" w:space="0" w:color="auto"/>
            </w:tcBorders>
            <w:shd w:val="clear" w:color="auto" w:fill="auto"/>
            <w:noWrap/>
            <w:vAlign w:val="bottom"/>
            <w:hideMark/>
          </w:tcPr>
          <w:p w14:paraId="20BE6A34"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4</w:t>
            </w:r>
          </w:p>
        </w:tc>
        <w:tc>
          <w:tcPr>
            <w:tcW w:w="772" w:type="dxa"/>
            <w:tcBorders>
              <w:top w:val="nil"/>
              <w:left w:val="nil"/>
              <w:bottom w:val="single" w:sz="4" w:space="0" w:color="auto"/>
              <w:right w:val="single" w:sz="4" w:space="0" w:color="auto"/>
            </w:tcBorders>
            <w:shd w:val="clear" w:color="auto" w:fill="auto"/>
            <w:noWrap/>
            <w:vAlign w:val="bottom"/>
            <w:hideMark/>
          </w:tcPr>
          <w:p w14:paraId="43FD0E9A"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1</w:t>
            </w:r>
          </w:p>
        </w:tc>
        <w:tc>
          <w:tcPr>
            <w:tcW w:w="1131" w:type="dxa"/>
            <w:tcBorders>
              <w:top w:val="nil"/>
              <w:left w:val="nil"/>
              <w:bottom w:val="single" w:sz="4" w:space="0" w:color="auto"/>
              <w:right w:val="single" w:sz="4" w:space="0" w:color="auto"/>
            </w:tcBorders>
            <w:shd w:val="clear" w:color="auto" w:fill="auto"/>
            <w:noWrap/>
            <w:vAlign w:val="bottom"/>
            <w:hideMark/>
          </w:tcPr>
          <w:p w14:paraId="5E260F3F"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2</w:t>
            </w:r>
          </w:p>
        </w:tc>
      </w:tr>
      <w:tr w:rsidR="00680D4A" w:rsidRPr="00680D4A" w14:paraId="51C89246" w14:textId="77777777" w:rsidTr="00626F43">
        <w:trPr>
          <w:trHeight w:val="251"/>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7A8533F5" w14:textId="77777777" w:rsidR="00680D4A" w:rsidRPr="00680D4A" w:rsidRDefault="00680D4A" w:rsidP="00680D4A">
            <w:pPr>
              <w:spacing w:after="0" w:line="240" w:lineRule="auto"/>
              <w:rPr>
                <w:rFonts w:ascii="Calibri" w:eastAsia="Times New Roman" w:hAnsi="Calibri" w:cs="Calibri"/>
                <w:color w:val="000000"/>
              </w:rPr>
            </w:pPr>
            <w:r w:rsidRPr="00680D4A">
              <w:rPr>
                <w:rFonts w:ascii="Calibri" w:eastAsia="Times New Roman" w:hAnsi="Calibri" w:cs="Calibri"/>
                <w:color w:val="000000"/>
              </w:rPr>
              <w:t>Poultry Litter</w:t>
            </w:r>
          </w:p>
        </w:tc>
        <w:tc>
          <w:tcPr>
            <w:tcW w:w="688" w:type="dxa"/>
            <w:tcBorders>
              <w:top w:val="nil"/>
              <w:left w:val="nil"/>
              <w:bottom w:val="single" w:sz="4" w:space="0" w:color="auto"/>
              <w:right w:val="single" w:sz="4" w:space="0" w:color="auto"/>
            </w:tcBorders>
            <w:shd w:val="clear" w:color="auto" w:fill="auto"/>
            <w:noWrap/>
            <w:vAlign w:val="bottom"/>
            <w:hideMark/>
          </w:tcPr>
          <w:p w14:paraId="632745B2"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2</w:t>
            </w:r>
          </w:p>
        </w:tc>
        <w:tc>
          <w:tcPr>
            <w:tcW w:w="1097" w:type="dxa"/>
            <w:tcBorders>
              <w:top w:val="nil"/>
              <w:left w:val="nil"/>
              <w:bottom w:val="single" w:sz="4" w:space="0" w:color="auto"/>
              <w:right w:val="single" w:sz="4" w:space="0" w:color="auto"/>
            </w:tcBorders>
            <w:shd w:val="clear" w:color="auto" w:fill="auto"/>
            <w:noWrap/>
            <w:vAlign w:val="bottom"/>
            <w:hideMark/>
          </w:tcPr>
          <w:p w14:paraId="74A9BC11"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3</w:t>
            </w:r>
          </w:p>
        </w:tc>
        <w:tc>
          <w:tcPr>
            <w:tcW w:w="688" w:type="dxa"/>
            <w:tcBorders>
              <w:top w:val="nil"/>
              <w:left w:val="nil"/>
              <w:bottom w:val="single" w:sz="4" w:space="0" w:color="auto"/>
              <w:right w:val="single" w:sz="4" w:space="0" w:color="auto"/>
            </w:tcBorders>
            <w:shd w:val="clear" w:color="auto" w:fill="auto"/>
            <w:noWrap/>
            <w:vAlign w:val="bottom"/>
            <w:hideMark/>
          </w:tcPr>
          <w:p w14:paraId="2EA0C26D"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2</w:t>
            </w:r>
          </w:p>
        </w:tc>
        <w:tc>
          <w:tcPr>
            <w:tcW w:w="1276" w:type="dxa"/>
            <w:tcBorders>
              <w:top w:val="nil"/>
              <w:left w:val="nil"/>
              <w:bottom w:val="single" w:sz="4" w:space="0" w:color="auto"/>
              <w:right w:val="single" w:sz="4" w:space="0" w:color="auto"/>
            </w:tcBorders>
            <w:shd w:val="clear" w:color="auto" w:fill="auto"/>
            <w:noWrap/>
            <w:vAlign w:val="bottom"/>
            <w:hideMark/>
          </w:tcPr>
          <w:p w14:paraId="684F98F3"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3</w:t>
            </w:r>
          </w:p>
        </w:tc>
        <w:tc>
          <w:tcPr>
            <w:tcW w:w="1026" w:type="dxa"/>
            <w:tcBorders>
              <w:top w:val="nil"/>
              <w:left w:val="nil"/>
              <w:bottom w:val="single" w:sz="4" w:space="0" w:color="auto"/>
              <w:right w:val="single" w:sz="4" w:space="0" w:color="auto"/>
            </w:tcBorders>
            <w:shd w:val="clear" w:color="auto" w:fill="auto"/>
            <w:noWrap/>
            <w:vAlign w:val="bottom"/>
            <w:hideMark/>
          </w:tcPr>
          <w:p w14:paraId="50AB9BCF"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2</w:t>
            </w:r>
          </w:p>
        </w:tc>
        <w:tc>
          <w:tcPr>
            <w:tcW w:w="830" w:type="dxa"/>
            <w:tcBorders>
              <w:top w:val="nil"/>
              <w:left w:val="nil"/>
              <w:bottom w:val="single" w:sz="4" w:space="0" w:color="auto"/>
              <w:right w:val="single" w:sz="4" w:space="0" w:color="auto"/>
            </w:tcBorders>
            <w:shd w:val="clear" w:color="auto" w:fill="auto"/>
            <w:noWrap/>
            <w:vAlign w:val="bottom"/>
            <w:hideMark/>
          </w:tcPr>
          <w:p w14:paraId="628545DD"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3</w:t>
            </w:r>
          </w:p>
        </w:tc>
        <w:tc>
          <w:tcPr>
            <w:tcW w:w="772" w:type="dxa"/>
            <w:tcBorders>
              <w:top w:val="nil"/>
              <w:left w:val="nil"/>
              <w:bottom w:val="single" w:sz="4" w:space="0" w:color="auto"/>
              <w:right w:val="single" w:sz="4" w:space="0" w:color="auto"/>
            </w:tcBorders>
            <w:shd w:val="clear" w:color="auto" w:fill="auto"/>
            <w:noWrap/>
            <w:vAlign w:val="bottom"/>
            <w:hideMark/>
          </w:tcPr>
          <w:p w14:paraId="2DD61E2E"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1</w:t>
            </w:r>
          </w:p>
        </w:tc>
        <w:tc>
          <w:tcPr>
            <w:tcW w:w="1131" w:type="dxa"/>
            <w:tcBorders>
              <w:top w:val="nil"/>
              <w:left w:val="nil"/>
              <w:bottom w:val="single" w:sz="4" w:space="0" w:color="auto"/>
              <w:right w:val="single" w:sz="4" w:space="0" w:color="auto"/>
            </w:tcBorders>
            <w:shd w:val="clear" w:color="auto" w:fill="auto"/>
            <w:noWrap/>
            <w:vAlign w:val="bottom"/>
            <w:hideMark/>
          </w:tcPr>
          <w:p w14:paraId="0A509DF6"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2</w:t>
            </w:r>
          </w:p>
        </w:tc>
      </w:tr>
      <w:tr w:rsidR="00680D4A" w:rsidRPr="00680D4A" w14:paraId="1AF04ED0" w14:textId="77777777" w:rsidTr="00626F43">
        <w:trPr>
          <w:trHeight w:val="251"/>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16A07235" w14:textId="77777777" w:rsidR="00680D4A" w:rsidRPr="00680D4A" w:rsidRDefault="00680D4A" w:rsidP="00680D4A">
            <w:pPr>
              <w:spacing w:after="0" w:line="240" w:lineRule="auto"/>
              <w:rPr>
                <w:rFonts w:ascii="Calibri" w:eastAsia="Times New Roman" w:hAnsi="Calibri" w:cs="Calibri"/>
                <w:color w:val="000000"/>
              </w:rPr>
            </w:pPr>
            <w:r w:rsidRPr="00680D4A">
              <w:rPr>
                <w:rFonts w:ascii="Calibri" w:eastAsia="Times New Roman" w:hAnsi="Calibri" w:cs="Calibri"/>
                <w:color w:val="000000"/>
              </w:rPr>
              <w:t>Xmas Trees</w:t>
            </w:r>
          </w:p>
        </w:tc>
        <w:tc>
          <w:tcPr>
            <w:tcW w:w="688" w:type="dxa"/>
            <w:tcBorders>
              <w:top w:val="nil"/>
              <w:left w:val="nil"/>
              <w:bottom w:val="single" w:sz="4" w:space="0" w:color="auto"/>
              <w:right w:val="single" w:sz="4" w:space="0" w:color="auto"/>
            </w:tcBorders>
            <w:shd w:val="clear" w:color="auto" w:fill="auto"/>
            <w:noWrap/>
            <w:vAlign w:val="bottom"/>
            <w:hideMark/>
          </w:tcPr>
          <w:p w14:paraId="244A0883"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&lt;1</w:t>
            </w:r>
          </w:p>
        </w:tc>
        <w:tc>
          <w:tcPr>
            <w:tcW w:w="1097" w:type="dxa"/>
            <w:tcBorders>
              <w:top w:val="nil"/>
              <w:left w:val="nil"/>
              <w:bottom w:val="single" w:sz="4" w:space="0" w:color="auto"/>
              <w:right w:val="single" w:sz="4" w:space="0" w:color="auto"/>
            </w:tcBorders>
            <w:shd w:val="clear" w:color="auto" w:fill="auto"/>
            <w:noWrap/>
            <w:vAlign w:val="bottom"/>
            <w:hideMark/>
          </w:tcPr>
          <w:p w14:paraId="47355857"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2</w:t>
            </w:r>
          </w:p>
        </w:tc>
        <w:tc>
          <w:tcPr>
            <w:tcW w:w="688" w:type="dxa"/>
            <w:tcBorders>
              <w:top w:val="nil"/>
              <w:left w:val="nil"/>
              <w:bottom w:val="single" w:sz="4" w:space="0" w:color="auto"/>
              <w:right w:val="single" w:sz="4" w:space="0" w:color="auto"/>
            </w:tcBorders>
            <w:shd w:val="clear" w:color="auto" w:fill="auto"/>
            <w:noWrap/>
            <w:vAlign w:val="bottom"/>
            <w:hideMark/>
          </w:tcPr>
          <w:p w14:paraId="648AD7C5"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&lt;1</w:t>
            </w:r>
          </w:p>
        </w:tc>
        <w:tc>
          <w:tcPr>
            <w:tcW w:w="1276" w:type="dxa"/>
            <w:tcBorders>
              <w:top w:val="nil"/>
              <w:left w:val="nil"/>
              <w:bottom w:val="single" w:sz="4" w:space="0" w:color="auto"/>
              <w:right w:val="single" w:sz="4" w:space="0" w:color="auto"/>
            </w:tcBorders>
            <w:shd w:val="clear" w:color="auto" w:fill="auto"/>
            <w:noWrap/>
            <w:vAlign w:val="bottom"/>
            <w:hideMark/>
          </w:tcPr>
          <w:p w14:paraId="3D849C6C"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&lt;1</w:t>
            </w:r>
          </w:p>
        </w:tc>
        <w:tc>
          <w:tcPr>
            <w:tcW w:w="1026" w:type="dxa"/>
            <w:tcBorders>
              <w:top w:val="nil"/>
              <w:left w:val="nil"/>
              <w:bottom w:val="single" w:sz="4" w:space="0" w:color="auto"/>
              <w:right w:val="single" w:sz="4" w:space="0" w:color="auto"/>
            </w:tcBorders>
            <w:shd w:val="clear" w:color="auto" w:fill="auto"/>
            <w:noWrap/>
            <w:vAlign w:val="bottom"/>
            <w:hideMark/>
          </w:tcPr>
          <w:p w14:paraId="2371BEBE"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&lt;1</w:t>
            </w:r>
          </w:p>
        </w:tc>
        <w:tc>
          <w:tcPr>
            <w:tcW w:w="830" w:type="dxa"/>
            <w:tcBorders>
              <w:top w:val="nil"/>
              <w:left w:val="nil"/>
              <w:bottom w:val="single" w:sz="4" w:space="0" w:color="auto"/>
              <w:right w:val="single" w:sz="4" w:space="0" w:color="auto"/>
            </w:tcBorders>
            <w:shd w:val="clear" w:color="auto" w:fill="auto"/>
            <w:noWrap/>
            <w:vAlign w:val="bottom"/>
            <w:hideMark/>
          </w:tcPr>
          <w:p w14:paraId="5DAF3AE4"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&lt;1</w:t>
            </w:r>
          </w:p>
        </w:tc>
        <w:tc>
          <w:tcPr>
            <w:tcW w:w="772" w:type="dxa"/>
            <w:tcBorders>
              <w:top w:val="nil"/>
              <w:left w:val="nil"/>
              <w:bottom w:val="single" w:sz="4" w:space="0" w:color="auto"/>
              <w:right w:val="single" w:sz="4" w:space="0" w:color="auto"/>
            </w:tcBorders>
            <w:shd w:val="clear" w:color="auto" w:fill="auto"/>
            <w:noWrap/>
            <w:vAlign w:val="bottom"/>
            <w:hideMark/>
          </w:tcPr>
          <w:p w14:paraId="26731BB0"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&lt;1</w:t>
            </w:r>
          </w:p>
        </w:tc>
        <w:tc>
          <w:tcPr>
            <w:tcW w:w="1131" w:type="dxa"/>
            <w:tcBorders>
              <w:top w:val="nil"/>
              <w:left w:val="nil"/>
              <w:bottom w:val="single" w:sz="4" w:space="0" w:color="auto"/>
              <w:right w:val="single" w:sz="4" w:space="0" w:color="auto"/>
            </w:tcBorders>
            <w:shd w:val="clear" w:color="auto" w:fill="auto"/>
            <w:noWrap/>
            <w:vAlign w:val="bottom"/>
            <w:hideMark/>
          </w:tcPr>
          <w:p w14:paraId="28FA0721"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&lt;1</w:t>
            </w:r>
          </w:p>
        </w:tc>
      </w:tr>
      <w:tr w:rsidR="00680D4A" w:rsidRPr="00680D4A" w14:paraId="430BF022" w14:textId="77777777" w:rsidTr="00626F43">
        <w:trPr>
          <w:trHeight w:val="251"/>
        </w:trPr>
        <w:tc>
          <w:tcPr>
            <w:tcW w:w="1937"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100C4287" w14:textId="77777777" w:rsidR="00680D4A" w:rsidRPr="00680D4A" w:rsidRDefault="00680D4A" w:rsidP="00680D4A">
            <w:pPr>
              <w:spacing w:after="0" w:line="240" w:lineRule="auto"/>
              <w:rPr>
                <w:rFonts w:ascii="Calibri" w:eastAsia="Times New Roman" w:hAnsi="Calibri" w:cs="Calibri"/>
                <w:color w:val="000000"/>
              </w:rPr>
            </w:pPr>
            <w:r w:rsidRPr="00680D4A">
              <w:rPr>
                <w:rFonts w:ascii="Calibri" w:eastAsia="Times New Roman" w:hAnsi="Calibri" w:cs="Calibri"/>
                <w:color w:val="000000"/>
              </w:rPr>
              <w:t>Limit Ground Drift (300 m or 1000 ft)</w:t>
            </w:r>
          </w:p>
        </w:tc>
        <w:tc>
          <w:tcPr>
            <w:tcW w:w="688" w:type="dxa"/>
            <w:tcBorders>
              <w:top w:val="nil"/>
              <w:left w:val="nil"/>
              <w:bottom w:val="single" w:sz="4" w:space="0" w:color="auto"/>
              <w:right w:val="single" w:sz="4" w:space="0" w:color="auto"/>
            </w:tcBorders>
            <w:shd w:val="clear" w:color="auto" w:fill="BFBFBF" w:themeFill="background1" w:themeFillShade="BF"/>
            <w:noWrap/>
            <w:vAlign w:val="bottom"/>
            <w:hideMark/>
          </w:tcPr>
          <w:p w14:paraId="4160FB07"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67</w:t>
            </w:r>
          </w:p>
        </w:tc>
        <w:tc>
          <w:tcPr>
            <w:tcW w:w="1097" w:type="dxa"/>
            <w:tcBorders>
              <w:top w:val="nil"/>
              <w:left w:val="nil"/>
              <w:bottom w:val="single" w:sz="4" w:space="0" w:color="auto"/>
              <w:right w:val="single" w:sz="4" w:space="0" w:color="auto"/>
            </w:tcBorders>
            <w:shd w:val="clear" w:color="auto" w:fill="BFBFBF" w:themeFill="background1" w:themeFillShade="BF"/>
            <w:noWrap/>
            <w:vAlign w:val="bottom"/>
            <w:hideMark/>
          </w:tcPr>
          <w:p w14:paraId="408B080C"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23</w:t>
            </w:r>
          </w:p>
        </w:tc>
        <w:tc>
          <w:tcPr>
            <w:tcW w:w="688" w:type="dxa"/>
            <w:tcBorders>
              <w:top w:val="nil"/>
              <w:left w:val="nil"/>
              <w:bottom w:val="single" w:sz="4" w:space="0" w:color="auto"/>
              <w:right w:val="single" w:sz="4" w:space="0" w:color="auto"/>
            </w:tcBorders>
            <w:shd w:val="clear" w:color="auto" w:fill="BFBFBF" w:themeFill="background1" w:themeFillShade="BF"/>
            <w:noWrap/>
            <w:vAlign w:val="bottom"/>
            <w:hideMark/>
          </w:tcPr>
          <w:p w14:paraId="30C0794B"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67</w:t>
            </w:r>
          </w:p>
        </w:tc>
        <w:tc>
          <w:tcPr>
            <w:tcW w:w="1276" w:type="dxa"/>
            <w:tcBorders>
              <w:top w:val="nil"/>
              <w:left w:val="nil"/>
              <w:bottom w:val="single" w:sz="4" w:space="0" w:color="auto"/>
              <w:right w:val="single" w:sz="4" w:space="0" w:color="auto"/>
            </w:tcBorders>
            <w:shd w:val="clear" w:color="auto" w:fill="BFBFBF" w:themeFill="background1" w:themeFillShade="BF"/>
            <w:noWrap/>
            <w:vAlign w:val="bottom"/>
            <w:hideMark/>
          </w:tcPr>
          <w:p w14:paraId="62FA1047"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23</w:t>
            </w:r>
          </w:p>
        </w:tc>
        <w:tc>
          <w:tcPr>
            <w:tcW w:w="1026" w:type="dxa"/>
            <w:tcBorders>
              <w:top w:val="nil"/>
              <w:left w:val="nil"/>
              <w:bottom w:val="single" w:sz="4" w:space="0" w:color="auto"/>
              <w:right w:val="single" w:sz="4" w:space="0" w:color="auto"/>
            </w:tcBorders>
            <w:shd w:val="clear" w:color="auto" w:fill="BFBFBF" w:themeFill="background1" w:themeFillShade="BF"/>
            <w:noWrap/>
            <w:vAlign w:val="bottom"/>
            <w:hideMark/>
          </w:tcPr>
          <w:p w14:paraId="2E4F726C"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67</w:t>
            </w:r>
          </w:p>
        </w:tc>
        <w:tc>
          <w:tcPr>
            <w:tcW w:w="830" w:type="dxa"/>
            <w:tcBorders>
              <w:top w:val="nil"/>
              <w:left w:val="nil"/>
              <w:bottom w:val="single" w:sz="4" w:space="0" w:color="auto"/>
              <w:right w:val="single" w:sz="4" w:space="0" w:color="auto"/>
            </w:tcBorders>
            <w:shd w:val="clear" w:color="auto" w:fill="BFBFBF" w:themeFill="background1" w:themeFillShade="BF"/>
            <w:noWrap/>
            <w:vAlign w:val="bottom"/>
            <w:hideMark/>
          </w:tcPr>
          <w:p w14:paraId="38E57206"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23</w:t>
            </w:r>
          </w:p>
        </w:tc>
        <w:tc>
          <w:tcPr>
            <w:tcW w:w="772" w:type="dxa"/>
            <w:tcBorders>
              <w:top w:val="nil"/>
              <w:left w:val="nil"/>
              <w:bottom w:val="single" w:sz="4" w:space="0" w:color="auto"/>
              <w:right w:val="single" w:sz="4" w:space="0" w:color="auto"/>
            </w:tcBorders>
            <w:shd w:val="clear" w:color="auto" w:fill="BFBFBF" w:themeFill="background1" w:themeFillShade="BF"/>
            <w:noWrap/>
            <w:vAlign w:val="bottom"/>
            <w:hideMark/>
          </w:tcPr>
          <w:p w14:paraId="55543362"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67</w:t>
            </w:r>
          </w:p>
        </w:tc>
        <w:tc>
          <w:tcPr>
            <w:tcW w:w="1131" w:type="dxa"/>
            <w:tcBorders>
              <w:top w:val="nil"/>
              <w:left w:val="nil"/>
              <w:bottom w:val="single" w:sz="4" w:space="0" w:color="auto"/>
              <w:right w:val="single" w:sz="4" w:space="0" w:color="auto"/>
            </w:tcBorders>
            <w:shd w:val="clear" w:color="auto" w:fill="BFBFBF" w:themeFill="background1" w:themeFillShade="BF"/>
            <w:noWrap/>
            <w:vAlign w:val="bottom"/>
            <w:hideMark/>
          </w:tcPr>
          <w:p w14:paraId="1A442353"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23</w:t>
            </w:r>
          </w:p>
        </w:tc>
      </w:tr>
      <w:tr w:rsidR="00680D4A" w:rsidRPr="00680D4A" w14:paraId="762F92A2" w14:textId="77777777" w:rsidTr="00626F43">
        <w:trPr>
          <w:trHeight w:val="251"/>
        </w:trPr>
        <w:tc>
          <w:tcPr>
            <w:tcW w:w="1937"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3C081F0B" w14:textId="77777777" w:rsidR="00680D4A" w:rsidRPr="00680D4A" w:rsidRDefault="00680D4A" w:rsidP="00680D4A">
            <w:pPr>
              <w:spacing w:after="0" w:line="240" w:lineRule="auto"/>
              <w:rPr>
                <w:rFonts w:ascii="Calibri" w:eastAsia="Times New Roman" w:hAnsi="Calibri" w:cs="Calibri"/>
                <w:color w:val="000000"/>
              </w:rPr>
            </w:pPr>
            <w:r w:rsidRPr="00680D4A">
              <w:rPr>
                <w:rFonts w:ascii="Calibri" w:eastAsia="Times New Roman" w:hAnsi="Calibri" w:cs="Calibri"/>
                <w:color w:val="000000"/>
              </w:rPr>
              <w:t>Limit Aerial Drift (792m or 2600ft)</w:t>
            </w:r>
          </w:p>
        </w:tc>
        <w:tc>
          <w:tcPr>
            <w:tcW w:w="688" w:type="dxa"/>
            <w:tcBorders>
              <w:top w:val="nil"/>
              <w:left w:val="nil"/>
              <w:bottom w:val="single" w:sz="4" w:space="0" w:color="auto"/>
              <w:right w:val="single" w:sz="4" w:space="0" w:color="auto"/>
            </w:tcBorders>
            <w:shd w:val="clear" w:color="auto" w:fill="BFBFBF" w:themeFill="background1" w:themeFillShade="BF"/>
            <w:noWrap/>
            <w:vAlign w:val="bottom"/>
            <w:hideMark/>
          </w:tcPr>
          <w:p w14:paraId="1E9BC8E8"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80</w:t>
            </w:r>
          </w:p>
        </w:tc>
        <w:tc>
          <w:tcPr>
            <w:tcW w:w="1097" w:type="dxa"/>
            <w:tcBorders>
              <w:top w:val="nil"/>
              <w:left w:val="nil"/>
              <w:bottom w:val="single" w:sz="4" w:space="0" w:color="auto"/>
              <w:right w:val="single" w:sz="4" w:space="0" w:color="auto"/>
            </w:tcBorders>
            <w:shd w:val="clear" w:color="auto" w:fill="BFBFBF" w:themeFill="background1" w:themeFillShade="BF"/>
            <w:noWrap/>
            <w:vAlign w:val="bottom"/>
            <w:hideMark/>
          </w:tcPr>
          <w:p w14:paraId="597732F0"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21</w:t>
            </w:r>
          </w:p>
        </w:tc>
        <w:tc>
          <w:tcPr>
            <w:tcW w:w="688" w:type="dxa"/>
            <w:tcBorders>
              <w:top w:val="nil"/>
              <w:left w:val="nil"/>
              <w:bottom w:val="single" w:sz="4" w:space="0" w:color="auto"/>
              <w:right w:val="single" w:sz="4" w:space="0" w:color="auto"/>
            </w:tcBorders>
            <w:shd w:val="clear" w:color="auto" w:fill="BFBFBF" w:themeFill="background1" w:themeFillShade="BF"/>
            <w:noWrap/>
            <w:vAlign w:val="bottom"/>
            <w:hideMark/>
          </w:tcPr>
          <w:p w14:paraId="4CEA060A"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80</w:t>
            </w:r>
          </w:p>
        </w:tc>
        <w:tc>
          <w:tcPr>
            <w:tcW w:w="1276" w:type="dxa"/>
            <w:tcBorders>
              <w:top w:val="nil"/>
              <w:left w:val="nil"/>
              <w:bottom w:val="single" w:sz="4" w:space="0" w:color="auto"/>
              <w:right w:val="single" w:sz="4" w:space="0" w:color="auto"/>
            </w:tcBorders>
            <w:shd w:val="clear" w:color="auto" w:fill="BFBFBF" w:themeFill="background1" w:themeFillShade="BF"/>
            <w:noWrap/>
            <w:vAlign w:val="bottom"/>
            <w:hideMark/>
          </w:tcPr>
          <w:p w14:paraId="48F69A34"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21</w:t>
            </w:r>
          </w:p>
        </w:tc>
        <w:tc>
          <w:tcPr>
            <w:tcW w:w="1026" w:type="dxa"/>
            <w:tcBorders>
              <w:top w:val="nil"/>
              <w:left w:val="nil"/>
              <w:bottom w:val="single" w:sz="4" w:space="0" w:color="auto"/>
              <w:right w:val="single" w:sz="4" w:space="0" w:color="auto"/>
            </w:tcBorders>
            <w:shd w:val="clear" w:color="auto" w:fill="BFBFBF" w:themeFill="background1" w:themeFillShade="BF"/>
            <w:noWrap/>
            <w:vAlign w:val="bottom"/>
            <w:hideMark/>
          </w:tcPr>
          <w:p w14:paraId="37869E4C"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80</w:t>
            </w:r>
          </w:p>
        </w:tc>
        <w:tc>
          <w:tcPr>
            <w:tcW w:w="830" w:type="dxa"/>
            <w:tcBorders>
              <w:top w:val="nil"/>
              <w:left w:val="nil"/>
              <w:bottom w:val="single" w:sz="4" w:space="0" w:color="auto"/>
              <w:right w:val="single" w:sz="4" w:space="0" w:color="auto"/>
            </w:tcBorders>
            <w:shd w:val="clear" w:color="auto" w:fill="BFBFBF" w:themeFill="background1" w:themeFillShade="BF"/>
            <w:noWrap/>
            <w:vAlign w:val="bottom"/>
            <w:hideMark/>
          </w:tcPr>
          <w:p w14:paraId="4273A88B"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21</w:t>
            </w:r>
          </w:p>
        </w:tc>
        <w:tc>
          <w:tcPr>
            <w:tcW w:w="772" w:type="dxa"/>
            <w:tcBorders>
              <w:top w:val="nil"/>
              <w:left w:val="nil"/>
              <w:bottom w:val="single" w:sz="4" w:space="0" w:color="auto"/>
              <w:right w:val="single" w:sz="4" w:space="0" w:color="auto"/>
            </w:tcBorders>
            <w:shd w:val="clear" w:color="auto" w:fill="BFBFBF" w:themeFill="background1" w:themeFillShade="BF"/>
            <w:noWrap/>
            <w:vAlign w:val="bottom"/>
            <w:hideMark/>
          </w:tcPr>
          <w:p w14:paraId="6A15BBA7"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80</w:t>
            </w:r>
          </w:p>
        </w:tc>
        <w:tc>
          <w:tcPr>
            <w:tcW w:w="1131" w:type="dxa"/>
            <w:tcBorders>
              <w:top w:val="nil"/>
              <w:left w:val="nil"/>
              <w:bottom w:val="single" w:sz="4" w:space="0" w:color="auto"/>
              <w:right w:val="single" w:sz="4" w:space="0" w:color="auto"/>
            </w:tcBorders>
            <w:shd w:val="clear" w:color="auto" w:fill="BFBFBF" w:themeFill="background1" w:themeFillShade="BF"/>
            <w:noWrap/>
            <w:vAlign w:val="bottom"/>
            <w:hideMark/>
          </w:tcPr>
          <w:p w14:paraId="5ECCE9BB"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21</w:t>
            </w:r>
          </w:p>
        </w:tc>
      </w:tr>
    </w:tbl>
    <w:p w14:paraId="4E4135D1" w14:textId="69DCF23C" w:rsidR="218A8BFF" w:rsidRDefault="218A8BFF" w:rsidP="218A8BFF">
      <w:pPr>
        <w:pStyle w:val="Caption"/>
        <w:rPr>
          <w:smallCaps w:val="0"/>
          <w:color w:val="000000" w:themeColor="text1"/>
        </w:rPr>
      </w:pPr>
    </w:p>
    <w:p w14:paraId="74BC1F35" w14:textId="0A60DF73" w:rsidR="00680D4A" w:rsidRDefault="00B16D28" w:rsidP="00680D4A">
      <w:pPr>
        <w:pStyle w:val="Caption"/>
        <w:keepNext/>
      </w:pPr>
      <w:r w:rsidRPr="218A8BFF">
        <w:rPr>
          <w:smallCaps w:val="0"/>
          <w:color w:val="000000" w:themeColor="text1"/>
        </w:rPr>
        <w:t xml:space="preserve">Table </w:t>
      </w:r>
      <w:r w:rsidR="00971F89">
        <w:rPr>
          <w:smallCaps w:val="0"/>
          <w:color w:val="000000" w:themeColor="text1"/>
        </w:rPr>
        <w:t>4</w:t>
      </w:r>
      <w:r w:rsidRPr="218A8BFF">
        <w:rPr>
          <w:smallCaps w:val="0"/>
          <w:color w:val="000000" w:themeColor="text1"/>
        </w:rPr>
        <w:t xml:space="preserve">. Mean percent overlap and standard deviation for all NL48 designated critical habitat and each </w:t>
      </w:r>
      <w:r w:rsidR="65DD6BA4" w:rsidRPr="218A8BFF">
        <w:rPr>
          <w:smallCaps w:val="0"/>
          <w:color w:val="000000" w:themeColor="text1"/>
        </w:rPr>
        <w:t>i</w:t>
      </w:r>
      <w:r w:rsidR="18F7977B" w:rsidRPr="218A8BFF">
        <w:rPr>
          <w:smallCaps w:val="0"/>
          <w:color w:val="000000" w:themeColor="text1"/>
        </w:rPr>
        <w:t>midacloprid</w:t>
      </w:r>
      <w:r w:rsidRPr="218A8BFF">
        <w:rPr>
          <w:smallCaps w:val="0"/>
          <w:color w:val="000000" w:themeColor="text1"/>
        </w:rPr>
        <w:t xml:space="preserve"> use.</w:t>
      </w:r>
      <w:r w:rsidR="00680D4A">
        <w:t xml:space="preserve"> </w:t>
      </w:r>
    </w:p>
    <w:tbl>
      <w:tblPr>
        <w:tblW w:w="9340" w:type="dxa"/>
        <w:tblLook w:val="04A0" w:firstRow="1" w:lastRow="0" w:firstColumn="1" w:lastColumn="0" w:noHBand="0" w:noVBand="1"/>
      </w:tblPr>
      <w:tblGrid>
        <w:gridCol w:w="1929"/>
        <w:gridCol w:w="836"/>
        <w:gridCol w:w="1092"/>
        <w:gridCol w:w="800"/>
        <w:gridCol w:w="1401"/>
        <w:gridCol w:w="688"/>
        <w:gridCol w:w="959"/>
        <w:gridCol w:w="688"/>
        <w:gridCol w:w="947"/>
      </w:tblGrid>
      <w:tr w:rsidR="00626F43" w:rsidRPr="00680D4A" w14:paraId="54364248" w14:textId="77777777" w:rsidTr="00626F43">
        <w:trPr>
          <w:trHeight w:val="1241"/>
        </w:trPr>
        <w:tc>
          <w:tcPr>
            <w:tcW w:w="1929" w:type="dxa"/>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700621B9" w14:textId="77777777" w:rsidR="00626F43" w:rsidRPr="00680D4A" w:rsidRDefault="00626F43" w:rsidP="007B3316">
            <w:pPr>
              <w:spacing w:after="0" w:line="240" w:lineRule="auto"/>
              <w:jc w:val="center"/>
              <w:rPr>
                <w:rFonts w:ascii="Calibri" w:eastAsia="Times New Roman" w:hAnsi="Calibri" w:cs="Calibri"/>
                <w:b/>
                <w:bCs/>
                <w:color w:val="000000"/>
                <w:sz w:val="20"/>
                <w:szCs w:val="20"/>
              </w:rPr>
            </w:pPr>
            <w:r w:rsidRPr="00680D4A">
              <w:rPr>
                <w:rFonts w:ascii="Calibri" w:eastAsia="Times New Roman" w:hAnsi="Calibri" w:cs="Calibri"/>
                <w:b/>
                <w:bCs/>
                <w:color w:val="000000"/>
                <w:sz w:val="20"/>
                <w:szCs w:val="20"/>
              </w:rPr>
              <w:t>Use</w:t>
            </w:r>
          </w:p>
        </w:tc>
        <w:tc>
          <w:tcPr>
            <w:tcW w:w="1928" w:type="dxa"/>
            <w:gridSpan w:val="2"/>
            <w:tcBorders>
              <w:top w:val="single" w:sz="8" w:space="0" w:color="auto"/>
              <w:left w:val="single" w:sz="8" w:space="0" w:color="auto"/>
              <w:bottom w:val="single" w:sz="8" w:space="0" w:color="000000" w:themeColor="text1"/>
              <w:right w:val="single" w:sz="8" w:space="0" w:color="000000" w:themeColor="text1"/>
            </w:tcBorders>
            <w:shd w:val="clear" w:color="auto" w:fill="auto"/>
            <w:noWrap/>
            <w:vAlign w:val="center"/>
            <w:hideMark/>
          </w:tcPr>
          <w:p w14:paraId="36489E95" w14:textId="77777777" w:rsidR="00626F43" w:rsidRPr="00680D4A" w:rsidRDefault="00626F43" w:rsidP="007B3316">
            <w:pPr>
              <w:spacing w:after="0" w:line="240" w:lineRule="auto"/>
              <w:jc w:val="center"/>
              <w:rPr>
                <w:rFonts w:ascii="Calibri" w:eastAsia="Times New Roman" w:hAnsi="Calibri" w:cs="Calibri"/>
                <w:b/>
                <w:bCs/>
                <w:color w:val="000000"/>
                <w:sz w:val="20"/>
                <w:szCs w:val="20"/>
              </w:rPr>
            </w:pPr>
            <w:r w:rsidRPr="00680D4A">
              <w:rPr>
                <w:rFonts w:ascii="Calibri" w:eastAsia="Times New Roman" w:hAnsi="Calibri" w:cs="Calibri"/>
                <w:b/>
                <w:bCs/>
                <w:color w:val="000000"/>
                <w:sz w:val="20"/>
                <w:szCs w:val="20"/>
              </w:rPr>
              <w:t>Overlap Scenario 1: No Usage</w:t>
            </w:r>
          </w:p>
        </w:tc>
        <w:tc>
          <w:tcPr>
            <w:tcW w:w="2201" w:type="dxa"/>
            <w:gridSpan w:val="2"/>
            <w:tcBorders>
              <w:top w:val="single" w:sz="8" w:space="0" w:color="auto"/>
              <w:left w:val="single" w:sz="8" w:space="0" w:color="auto"/>
              <w:bottom w:val="single" w:sz="8" w:space="0" w:color="000000" w:themeColor="text1"/>
              <w:right w:val="single" w:sz="4" w:space="0" w:color="auto"/>
            </w:tcBorders>
            <w:shd w:val="clear" w:color="auto" w:fill="auto"/>
            <w:noWrap/>
            <w:vAlign w:val="center"/>
            <w:hideMark/>
          </w:tcPr>
          <w:p w14:paraId="1AF89505" w14:textId="77777777" w:rsidR="00626F43" w:rsidRPr="00680D4A" w:rsidRDefault="00626F43" w:rsidP="007B3316">
            <w:pPr>
              <w:spacing w:after="0" w:line="240" w:lineRule="auto"/>
              <w:jc w:val="center"/>
              <w:rPr>
                <w:rFonts w:ascii="Calibri" w:eastAsia="Times New Roman" w:hAnsi="Calibri" w:cs="Calibri"/>
                <w:b/>
                <w:bCs/>
                <w:color w:val="000000"/>
                <w:sz w:val="20"/>
                <w:szCs w:val="20"/>
              </w:rPr>
            </w:pPr>
            <w:r w:rsidRPr="00680D4A">
              <w:rPr>
                <w:rFonts w:ascii="Calibri" w:eastAsia="Times New Roman" w:hAnsi="Calibri" w:cs="Calibri"/>
                <w:b/>
                <w:bCs/>
                <w:color w:val="000000"/>
                <w:sz w:val="20"/>
                <w:szCs w:val="20"/>
              </w:rPr>
              <w:t>Overlap Scenario 2: PCT Overlap</w:t>
            </w: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79A0F4" w14:textId="69485724" w:rsidR="00626F43" w:rsidRPr="00680D4A" w:rsidRDefault="00626F43" w:rsidP="007B3316">
            <w:pPr>
              <w:spacing w:after="0" w:line="240" w:lineRule="auto"/>
              <w:jc w:val="center"/>
              <w:rPr>
                <w:rFonts w:ascii="Calibri" w:eastAsia="Times New Roman" w:hAnsi="Calibri" w:cs="Calibri"/>
                <w:b/>
                <w:bCs/>
                <w:color w:val="000000"/>
                <w:sz w:val="20"/>
                <w:szCs w:val="20"/>
              </w:rPr>
            </w:pPr>
            <w:r w:rsidRPr="00680D4A">
              <w:rPr>
                <w:rFonts w:ascii="Calibri" w:eastAsia="Times New Roman" w:hAnsi="Calibri" w:cs="Calibri"/>
                <w:b/>
                <w:bCs/>
                <w:color w:val="000000"/>
                <w:sz w:val="20"/>
                <w:szCs w:val="20"/>
              </w:rPr>
              <w:t>Overlap Scenario 3: PCT and Redundancy</w:t>
            </w:r>
          </w:p>
        </w:tc>
        <w:tc>
          <w:tcPr>
            <w:tcW w:w="16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209D10" w14:textId="3AB05EFA" w:rsidR="00626F43" w:rsidRPr="00680D4A" w:rsidRDefault="00626F43" w:rsidP="00626F43">
            <w:pPr>
              <w:spacing w:after="0" w:line="240" w:lineRule="auto"/>
              <w:jc w:val="center"/>
              <w:rPr>
                <w:rFonts w:ascii="Calibri" w:eastAsia="Times New Roman" w:hAnsi="Calibri" w:cs="Calibri"/>
                <w:b/>
                <w:bCs/>
                <w:color w:val="000000"/>
                <w:sz w:val="20"/>
                <w:szCs w:val="20"/>
              </w:rPr>
            </w:pPr>
            <w:r w:rsidRPr="00680D4A">
              <w:rPr>
                <w:rFonts w:ascii="Calibri" w:eastAsia="Times New Roman" w:hAnsi="Calibri" w:cs="Calibri"/>
                <w:b/>
                <w:bCs/>
                <w:color w:val="000000"/>
                <w:sz w:val="20"/>
                <w:szCs w:val="20"/>
              </w:rPr>
              <w:t>Overlap Scenario 4:</w:t>
            </w:r>
            <w:r>
              <w:rPr>
                <w:rFonts w:ascii="Calibri" w:eastAsia="Times New Roman" w:hAnsi="Calibri" w:cs="Calibri"/>
                <w:b/>
                <w:bCs/>
                <w:color w:val="000000"/>
                <w:sz w:val="20"/>
                <w:szCs w:val="20"/>
              </w:rPr>
              <w:t xml:space="preserve"> </w:t>
            </w:r>
            <w:r w:rsidRPr="00680D4A">
              <w:rPr>
                <w:rFonts w:ascii="Calibri" w:eastAsia="Times New Roman" w:hAnsi="Calibri" w:cs="Calibri"/>
                <w:b/>
                <w:bCs/>
                <w:color w:val="000000"/>
                <w:sz w:val="20"/>
                <w:szCs w:val="20"/>
              </w:rPr>
              <w:t>PCT, Redundancy, Off-site</w:t>
            </w:r>
          </w:p>
        </w:tc>
      </w:tr>
      <w:tr w:rsidR="00680D4A" w:rsidRPr="00680D4A" w14:paraId="3500159E" w14:textId="77777777" w:rsidTr="00626F43">
        <w:trPr>
          <w:trHeight w:val="275"/>
        </w:trPr>
        <w:tc>
          <w:tcPr>
            <w:tcW w:w="1929" w:type="dxa"/>
            <w:tcBorders>
              <w:top w:val="nil"/>
              <w:left w:val="single" w:sz="8" w:space="0" w:color="auto"/>
              <w:bottom w:val="single" w:sz="4" w:space="0" w:color="auto"/>
              <w:right w:val="single" w:sz="8" w:space="0" w:color="auto"/>
            </w:tcBorders>
            <w:shd w:val="clear" w:color="auto" w:fill="auto"/>
            <w:vAlign w:val="center"/>
            <w:hideMark/>
          </w:tcPr>
          <w:p w14:paraId="2AD47DD4" w14:textId="77777777" w:rsidR="00680D4A" w:rsidRPr="00680D4A" w:rsidRDefault="00680D4A" w:rsidP="00680D4A">
            <w:pPr>
              <w:spacing w:after="0" w:line="240" w:lineRule="auto"/>
              <w:rPr>
                <w:rFonts w:ascii="Calibri" w:eastAsia="Times New Roman" w:hAnsi="Calibri" w:cs="Calibri"/>
                <w:color w:val="000000"/>
                <w:sz w:val="20"/>
                <w:szCs w:val="20"/>
              </w:rPr>
            </w:pPr>
            <w:r w:rsidRPr="00680D4A">
              <w:rPr>
                <w:rFonts w:ascii="Calibri" w:eastAsia="Times New Roman" w:hAnsi="Calibri" w:cs="Calibri"/>
                <w:color w:val="000000"/>
                <w:sz w:val="20"/>
                <w:szCs w:val="20"/>
              </w:rPr>
              <w:t>Use</w:t>
            </w:r>
          </w:p>
        </w:tc>
        <w:tc>
          <w:tcPr>
            <w:tcW w:w="836" w:type="dxa"/>
            <w:tcBorders>
              <w:top w:val="nil"/>
              <w:left w:val="nil"/>
              <w:bottom w:val="single" w:sz="4" w:space="0" w:color="auto"/>
              <w:right w:val="single" w:sz="8" w:space="0" w:color="auto"/>
            </w:tcBorders>
            <w:shd w:val="clear" w:color="auto" w:fill="auto"/>
            <w:noWrap/>
            <w:vAlign w:val="center"/>
            <w:hideMark/>
          </w:tcPr>
          <w:p w14:paraId="34EBFEDD" w14:textId="77777777" w:rsidR="00680D4A" w:rsidRPr="00680D4A" w:rsidRDefault="00680D4A" w:rsidP="00680D4A">
            <w:pPr>
              <w:spacing w:after="0" w:line="240" w:lineRule="auto"/>
              <w:rPr>
                <w:rFonts w:ascii="Calibri" w:eastAsia="Times New Roman" w:hAnsi="Calibri" w:cs="Calibri"/>
                <w:color w:val="000000"/>
                <w:sz w:val="20"/>
                <w:szCs w:val="20"/>
              </w:rPr>
            </w:pPr>
            <w:r w:rsidRPr="00680D4A">
              <w:rPr>
                <w:rFonts w:ascii="Calibri" w:eastAsia="Times New Roman" w:hAnsi="Calibri" w:cs="Calibri"/>
                <w:color w:val="000000"/>
                <w:sz w:val="20"/>
                <w:szCs w:val="20"/>
              </w:rPr>
              <w:t>Mean</w:t>
            </w:r>
          </w:p>
        </w:tc>
        <w:tc>
          <w:tcPr>
            <w:tcW w:w="1092" w:type="dxa"/>
            <w:tcBorders>
              <w:top w:val="nil"/>
              <w:left w:val="nil"/>
              <w:bottom w:val="single" w:sz="4" w:space="0" w:color="auto"/>
              <w:right w:val="single" w:sz="8" w:space="0" w:color="auto"/>
            </w:tcBorders>
            <w:shd w:val="clear" w:color="auto" w:fill="auto"/>
            <w:vAlign w:val="center"/>
            <w:hideMark/>
          </w:tcPr>
          <w:p w14:paraId="5C9D3DC0" w14:textId="77777777" w:rsidR="00680D4A" w:rsidRPr="00680D4A" w:rsidRDefault="00680D4A" w:rsidP="00680D4A">
            <w:pPr>
              <w:spacing w:after="0" w:line="240" w:lineRule="auto"/>
              <w:rPr>
                <w:rFonts w:ascii="Calibri" w:eastAsia="Times New Roman" w:hAnsi="Calibri" w:cs="Calibri"/>
                <w:color w:val="000000"/>
                <w:sz w:val="20"/>
                <w:szCs w:val="20"/>
              </w:rPr>
            </w:pPr>
            <w:r w:rsidRPr="00680D4A">
              <w:rPr>
                <w:rFonts w:ascii="Calibri" w:eastAsia="Times New Roman" w:hAnsi="Calibri" w:cs="Calibri"/>
                <w:color w:val="000000"/>
                <w:sz w:val="20"/>
                <w:szCs w:val="20"/>
              </w:rPr>
              <w:t>STD</w:t>
            </w:r>
          </w:p>
        </w:tc>
        <w:tc>
          <w:tcPr>
            <w:tcW w:w="800" w:type="dxa"/>
            <w:tcBorders>
              <w:top w:val="nil"/>
              <w:left w:val="nil"/>
              <w:bottom w:val="single" w:sz="4" w:space="0" w:color="auto"/>
              <w:right w:val="single" w:sz="8" w:space="0" w:color="auto"/>
            </w:tcBorders>
            <w:shd w:val="clear" w:color="auto" w:fill="auto"/>
            <w:noWrap/>
            <w:vAlign w:val="center"/>
            <w:hideMark/>
          </w:tcPr>
          <w:p w14:paraId="1756C3F2" w14:textId="77777777" w:rsidR="00680D4A" w:rsidRPr="00680D4A" w:rsidRDefault="00680D4A" w:rsidP="00680D4A">
            <w:pPr>
              <w:spacing w:after="0" w:line="240" w:lineRule="auto"/>
              <w:rPr>
                <w:rFonts w:ascii="Calibri" w:eastAsia="Times New Roman" w:hAnsi="Calibri" w:cs="Calibri"/>
                <w:color w:val="000000"/>
                <w:sz w:val="20"/>
                <w:szCs w:val="20"/>
              </w:rPr>
            </w:pPr>
            <w:r w:rsidRPr="00680D4A">
              <w:rPr>
                <w:rFonts w:ascii="Calibri" w:eastAsia="Times New Roman" w:hAnsi="Calibri" w:cs="Calibri"/>
                <w:color w:val="000000"/>
                <w:sz w:val="20"/>
                <w:szCs w:val="20"/>
              </w:rPr>
              <w:t>Mean</w:t>
            </w:r>
          </w:p>
        </w:tc>
        <w:tc>
          <w:tcPr>
            <w:tcW w:w="1401" w:type="dxa"/>
            <w:tcBorders>
              <w:top w:val="nil"/>
              <w:left w:val="nil"/>
              <w:bottom w:val="single" w:sz="4" w:space="0" w:color="auto"/>
              <w:right w:val="single" w:sz="4" w:space="0" w:color="auto"/>
            </w:tcBorders>
            <w:shd w:val="clear" w:color="auto" w:fill="auto"/>
            <w:vAlign w:val="center"/>
            <w:hideMark/>
          </w:tcPr>
          <w:p w14:paraId="76A7E28B" w14:textId="77777777" w:rsidR="00680D4A" w:rsidRPr="00680D4A" w:rsidRDefault="00680D4A" w:rsidP="00680D4A">
            <w:pPr>
              <w:spacing w:after="0" w:line="240" w:lineRule="auto"/>
              <w:rPr>
                <w:rFonts w:ascii="Calibri" w:eastAsia="Times New Roman" w:hAnsi="Calibri" w:cs="Calibri"/>
                <w:color w:val="000000"/>
                <w:sz w:val="20"/>
                <w:szCs w:val="20"/>
              </w:rPr>
            </w:pPr>
            <w:r w:rsidRPr="00680D4A">
              <w:rPr>
                <w:rFonts w:ascii="Calibri" w:eastAsia="Times New Roman" w:hAnsi="Calibri" w:cs="Calibri"/>
                <w:color w:val="000000"/>
                <w:sz w:val="20"/>
                <w:szCs w:val="20"/>
              </w:rPr>
              <w:t>STD</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AE137" w14:textId="77777777" w:rsidR="00680D4A" w:rsidRPr="00680D4A" w:rsidRDefault="00680D4A" w:rsidP="00680D4A">
            <w:pPr>
              <w:spacing w:after="0" w:line="240" w:lineRule="auto"/>
              <w:rPr>
                <w:rFonts w:ascii="Calibri" w:eastAsia="Times New Roman" w:hAnsi="Calibri" w:cs="Calibri"/>
                <w:color w:val="000000"/>
                <w:sz w:val="20"/>
                <w:szCs w:val="20"/>
              </w:rPr>
            </w:pPr>
            <w:r w:rsidRPr="00680D4A">
              <w:rPr>
                <w:rFonts w:ascii="Calibri" w:eastAsia="Times New Roman" w:hAnsi="Calibri" w:cs="Calibri"/>
                <w:color w:val="000000"/>
                <w:sz w:val="20"/>
                <w:szCs w:val="20"/>
              </w:rPr>
              <w:t>Mean</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EB20E" w14:textId="77777777" w:rsidR="00680D4A" w:rsidRPr="00680D4A" w:rsidRDefault="00680D4A" w:rsidP="00680D4A">
            <w:pPr>
              <w:spacing w:after="0" w:line="240" w:lineRule="auto"/>
              <w:rPr>
                <w:rFonts w:ascii="Calibri" w:eastAsia="Times New Roman" w:hAnsi="Calibri" w:cs="Calibri"/>
                <w:color w:val="000000"/>
                <w:sz w:val="20"/>
                <w:szCs w:val="20"/>
              </w:rPr>
            </w:pPr>
            <w:r w:rsidRPr="00680D4A">
              <w:rPr>
                <w:rFonts w:ascii="Calibri" w:eastAsia="Times New Roman" w:hAnsi="Calibri" w:cs="Calibri"/>
                <w:color w:val="000000"/>
                <w:sz w:val="20"/>
                <w:szCs w:val="20"/>
              </w:rPr>
              <w:t>STD</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189F9" w14:textId="77777777" w:rsidR="00680D4A" w:rsidRPr="00680D4A" w:rsidRDefault="00680D4A" w:rsidP="00680D4A">
            <w:pPr>
              <w:spacing w:after="0" w:line="240" w:lineRule="auto"/>
              <w:rPr>
                <w:rFonts w:ascii="Calibri" w:eastAsia="Times New Roman" w:hAnsi="Calibri" w:cs="Calibri"/>
                <w:color w:val="000000"/>
                <w:sz w:val="20"/>
                <w:szCs w:val="20"/>
              </w:rPr>
            </w:pPr>
            <w:r w:rsidRPr="00680D4A">
              <w:rPr>
                <w:rFonts w:ascii="Calibri" w:eastAsia="Times New Roman" w:hAnsi="Calibri" w:cs="Calibri"/>
                <w:color w:val="000000"/>
                <w:sz w:val="20"/>
                <w:szCs w:val="20"/>
              </w:rPr>
              <w:t>Mean</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6C27D" w14:textId="77777777" w:rsidR="00680D4A" w:rsidRPr="00680D4A" w:rsidRDefault="00680D4A" w:rsidP="00680D4A">
            <w:pPr>
              <w:spacing w:after="0" w:line="240" w:lineRule="auto"/>
              <w:rPr>
                <w:rFonts w:ascii="Calibri" w:eastAsia="Times New Roman" w:hAnsi="Calibri" w:cs="Calibri"/>
                <w:color w:val="000000"/>
                <w:sz w:val="20"/>
                <w:szCs w:val="20"/>
              </w:rPr>
            </w:pPr>
            <w:r w:rsidRPr="00680D4A">
              <w:rPr>
                <w:rFonts w:ascii="Calibri" w:eastAsia="Times New Roman" w:hAnsi="Calibri" w:cs="Calibri"/>
                <w:color w:val="000000"/>
                <w:sz w:val="20"/>
                <w:szCs w:val="20"/>
              </w:rPr>
              <w:t>STD</w:t>
            </w:r>
          </w:p>
        </w:tc>
      </w:tr>
      <w:tr w:rsidR="00680D4A" w:rsidRPr="00680D4A" w14:paraId="7A2FD9AE" w14:textId="77777777" w:rsidTr="00626F43">
        <w:trPr>
          <w:trHeight w:val="264"/>
        </w:trPr>
        <w:tc>
          <w:tcPr>
            <w:tcW w:w="19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A30ED" w14:textId="7A959E1D" w:rsidR="00680D4A" w:rsidRPr="00680D4A" w:rsidRDefault="18F7977B" w:rsidP="00680D4A">
            <w:pPr>
              <w:spacing w:after="0" w:line="240" w:lineRule="auto"/>
              <w:rPr>
                <w:rFonts w:ascii="Calibri" w:eastAsia="Times New Roman" w:hAnsi="Calibri" w:cs="Calibri"/>
                <w:color w:val="000000"/>
              </w:rPr>
            </w:pPr>
            <w:r w:rsidRPr="218A8BFF">
              <w:rPr>
                <w:rFonts w:ascii="Calibri" w:eastAsia="Times New Roman" w:hAnsi="Calibri" w:cs="Calibri"/>
                <w:color w:val="000000" w:themeColor="text1"/>
              </w:rPr>
              <w:t>Imidacloprid</w:t>
            </w:r>
            <w:r w:rsidR="00680D4A" w:rsidRPr="218A8BFF">
              <w:rPr>
                <w:rFonts w:ascii="Calibri" w:eastAsia="Times New Roman" w:hAnsi="Calibri" w:cs="Calibri"/>
                <w:color w:val="000000" w:themeColor="text1"/>
              </w:rPr>
              <w:t xml:space="preserve"> </w:t>
            </w:r>
            <w:r w:rsidR="450F53A1" w:rsidRPr="218A8BFF">
              <w:rPr>
                <w:rFonts w:ascii="Calibri" w:eastAsia="Times New Roman" w:hAnsi="Calibri" w:cs="Calibri"/>
                <w:color w:val="000000" w:themeColor="text1"/>
              </w:rPr>
              <w:t xml:space="preserve">Action Area </w:t>
            </w:r>
            <w:r w:rsidR="5E41F2FC" w:rsidRPr="218A8BFF">
              <w:rPr>
                <w:rFonts w:ascii="Calibri" w:eastAsia="Times New Roman" w:hAnsi="Calibri" w:cs="Calibri"/>
                <w:color w:val="000000" w:themeColor="text1"/>
              </w:rPr>
              <w:t>(</w:t>
            </w:r>
            <w:r w:rsidR="00680D4A" w:rsidRPr="218A8BFF">
              <w:rPr>
                <w:rFonts w:ascii="Calibri" w:eastAsia="Times New Roman" w:hAnsi="Calibri" w:cs="Calibri"/>
                <w:color w:val="000000" w:themeColor="text1"/>
              </w:rPr>
              <w:t>AA</w:t>
            </w:r>
            <w:r w:rsidR="03CD2826" w:rsidRPr="218A8BFF">
              <w:rPr>
                <w:rFonts w:ascii="Calibri" w:eastAsia="Times New Roman" w:hAnsi="Calibri" w:cs="Calibri"/>
                <w:color w:val="000000" w:themeColor="text1"/>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3EED5"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19</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E2917"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24</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B0450"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19</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4A4E"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24</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C52A0"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19</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A9820"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24</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AA87D"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&lt;1</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EAB56"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&lt;1</w:t>
            </w:r>
          </w:p>
        </w:tc>
      </w:tr>
      <w:tr w:rsidR="00680D4A" w:rsidRPr="00680D4A" w14:paraId="581CAA28" w14:textId="77777777" w:rsidTr="00626F43">
        <w:trPr>
          <w:trHeight w:val="264"/>
        </w:trPr>
        <w:tc>
          <w:tcPr>
            <w:tcW w:w="19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EE771" w14:textId="77777777" w:rsidR="00680D4A" w:rsidRPr="00680D4A" w:rsidRDefault="00680D4A" w:rsidP="00680D4A">
            <w:pPr>
              <w:spacing w:after="0" w:line="240" w:lineRule="auto"/>
              <w:rPr>
                <w:rFonts w:ascii="Calibri" w:eastAsia="Times New Roman" w:hAnsi="Calibri" w:cs="Calibri"/>
                <w:color w:val="000000"/>
              </w:rPr>
            </w:pPr>
            <w:r w:rsidRPr="00680D4A">
              <w:rPr>
                <w:rFonts w:ascii="Calibri" w:eastAsia="Times New Roman" w:hAnsi="Calibri" w:cs="Calibri"/>
                <w:color w:val="000000"/>
              </w:rPr>
              <w:t>Ag</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19E02"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&lt;1</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7A944"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&lt;1</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556F8"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&lt;1</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62397"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&lt;1</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013E0"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&lt;1</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73ECF"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&lt;1</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15B26"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&lt;1</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29361"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&lt;1</w:t>
            </w:r>
          </w:p>
        </w:tc>
      </w:tr>
      <w:tr w:rsidR="00680D4A" w:rsidRPr="00680D4A" w14:paraId="56DA8CBB" w14:textId="77777777" w:rsidTr="00626F43">
        <w:trPr>
          <w:trHeight w:val="264"/>
        </w:trPr>
        <w:tc>
          <w:tcPr>
            <w:tcW w:w="19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8AA07" w14:textId="77777777" w:rsidR="00680D4A" w:rsidRPr="00680D4A" w:rsidRDefault="00680D4A" w:rsidP="00680D4A">
            <w:pPr>
              <w:spacing w:after="0" w:line="240" w:lineRule="auto"/>
              <w:rPr>
                <w:rFonts w:ascii="Calibri" w:eastAsia="Times New Roman" w:hAnsi="Calibri" w:cs="Calibri"/>
                <w:color w:val="000000"/>
              </w:rPr>
            </w:pPr>
            <w:r w:rsidRPr="00680D4A">
              <w:rPr>
                <w:rFonts w:ascii="Calibri" w:eastAsia="Times New Roman" w:hAnsi="Calibri" w:cs="Calibri"/>
                <w:color w:val="000000"/>
              </w:rPr>
              <w:t>Developed</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FC527"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&lt;1</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B579E"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1</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CF1FC"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&lt;1</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C231F"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1</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C162F"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1</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BCC36"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4</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603DD"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1</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F23BA"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4</w:t>
            </w:r>
          </w:p>
        </w:tc>
      </w:tr>
      <w:tr w:rsidR="00680D4A" w:rsidRPr="00680D4A" w14:paraId="60A55101" w14:textId="77777777" w:rsidTr="00626F43">
        <w:trPr>
          <w:trHeight w:val="264"/>
        </w:trPr>
        <w:tc>
          <w:tcPr>
            <w:tcW w:w="19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5CCEF" w14:textId="77777777" w:rsidR="00680D4A" w:rsidRPr="00680D4A" w:rsidRDefault="00680D4A" w:rsidP="00680D4A">
            <w:pPr>
              <w:spacing w:after="0" w:line="240" w:lineRule="auto"/>
              <w:rPr>
                <w:rFonts w:ascii="Calibri" w:eastAsia="Times New Roman" w:hAnsi="Calibri" w:cs="Calibri"/>
                <w:color w:val="000000"/>
              </w:rPr>
            </w:pPr>
            <w:r w:rsidRPr="00680D4A">
              <w:rPr>
                <w:rFonts w:ascii="Calibri" w:eastAsia="Times New Roman" w:hAnsi="Calibri" w:cs="Calibri"/>
                <w:color w:val="000000"/>
              </w:rPr>
              <w:t>Federal Lands</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3AEFD"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5</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CE24C"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13</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254E6"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5</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FECD9"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13</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E0CE2"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5</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121F4"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13</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05E31"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5</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A3B64"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13</w:t>
            </w:r>
          </w:p>
        </w:tc>
      </w:tr>
      <w:tr w:rsidR="00680D4A" w:rsidRPr="00680D4A" w14:paraId="614D6971" w14:textId="77777777" w:rsidTr="00626F43">
        <w:trPr>
          <w:trHeight w:val="264"/>
        </w:trPr>
        <w:tc>
          <w:tcPr>
            <w:tcW w:w="19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17FDC" w14:textId="77777777" w:rsidR="00680D4A" w:rsidRPr="00680D4A" w:rsidRDefault="00680D4A" w:rsidP="00680D4A">
            <w:pPr>
              <w:spacing w:after="0" w:line="240" w:lineRule="auto"/>
              <w:rPr>
                <w:rFonts w:ascii="Calibri" w:eastAsia="Times New Roman" w:hAnsi="Calibri" w:cs="Calibri"/>
                <w:color w:val="000000"/>
              </w:rPr>
            </w:pPr>
            <w:r w:rsidRPr="00680D4A">
              <w:rPr>
                <w:rFonts w:ascii="Calibri" w:eastAsia="Times New Roman" w:hAnsi="Calibri" w:cs="Calibri"/>
                <w:color w:val="000000"/>
              </w:rPr>
              <w:t>Field Nurseries</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2F55C"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&lt;1</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BAD7A"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&lt;1</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B001A"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&lt;1</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FDD08"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&lt;1</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F51DA"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&lt;1</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3D8C9"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&lt;1</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06085"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&lt;1</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3D5CA"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&lt;1</w:t>
            </w:r>
          </w:p>
        </w:tc>
      </w:tr>
      <w:tr w:rsidR="00680D4A" w:rsidRPr="00680D4A" w14:paraId="7BA998AC" w14:textId="77777777" w:rsidTr="00626F43">
        <w:trPr>
          <w:trHeight w:val="264"/>
        </w:trPr>
        <w:tc>
          <w:tcPr>
            <w:tcW w:w="19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303B1" w14:textId="77777777" w:rsidR="00680D4A" w:rsidRPr="00680D4A" w:rsidRDefault="00680D4A" w:rsidP="00680D4A">
            <w:pPr>
              <w:spacing w:after="0" w:line="240" w:lineRule="auto"/>
              <w:rPr>
                <w:rFonts w:ascii="Calibri" w:eastAsia="Times New Roman" w:hAnsi="Calibri" w:cs="Calibri"/>
                <w:color w:val="000000"/>
              </w:rPr>
            </w:pPr>
            <w:r w:rsidRPr="00680D4A">
              <w:rPr>
                <w:rFonts w:ascii="Calibri" w:eastAsia="Times New Roman" w:hAnsi="Calibri" w:cs="Calibri"/>
                <w:color w:val="000000"/>
              </w:rPr>
              <w:t>Managed Forests</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18FDE"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18</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90726"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23</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40BED"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18</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A7C1B"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23</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7FF10"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18</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0C7FA"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23</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4A061"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18</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98BEB"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23</w:t>
            </w:r>
          </w:p>
        </w:tc>
      </w:tr>
      <w:tr w:rsidR="00680D4A" w:rsidRPr="00680D4A" w14:paraId="1F5362CA" w14:textId="77777777" w:rsidTr="00626F43">
        <w:trPr>
          <w:trHeight w:val="264"/>
        </w:trPr>
        <w:tc>
          <w:tcPr>
            <w:tcW w:w="19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30AAD" w14:textId="77777777" w:rsidR="00680D4A" w:rsidRPr="00680D4A" w:rsidRDefault="00680D4A" w:rsidP="00680D4A">
            <w:pPr>
              <w:spacing w:after="0" w:line="240" w:lineRule="auto"/>
              <w:rPr>
                <w:rFonts w:ascii="Calibri" w:eastAsia="Times New Roman" w:hAnsi="Calibri" w:cs="Calibri"/>
                <w:color w:val="000000"/>
              </w:rPr>
            </w:pPr>
            <w:r w:rsidRPr="00680D4A">
              <w:rPr>
                <w:rFonts w:ascii="Calibri" w:eastAsia="Times New Roman" w:hAnsi="Calibri" w:cs="Calibri"/>
                <w:color w:val="000000"/>
              </w:rPr>
              <w:t>Open Space Developed</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D62FD"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&lt;1</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B8371"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&lt;1</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E3F85"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&lt;1</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7B75F"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&lt;1</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27A20"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&lt;1</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3E376"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3</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9E46F"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&lt;1</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D4380"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3</w:t>
            </w:r>
          </w:p>
        </w:tc>
      </w:tr>
      <w:tr w:rsidR="00680D4A" w:rsidRPr="00680D4A" w14:paraId="22C9B2E6" w14:textId="77777777" w:rsidTr="00626F43">
        <w:trPr>
          <w:trHeight w:val="264"/>
        </w:trPr>
        <w:tc>
          <w:tcPr>
            <w:tcW w:w="19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19854" w14:textId="77777777" w:rsidR="00680D4A" w:rsidRPr="00680D4A" w:rsidRDefault="00680D4A" w:rsidP="00680D4A">
            <w:pPr>
              <w:spacing w:after="0" w:line="240" w:lineRule="auto"/>
              <w:rPr>
                <w:rFonts w:ascii="Calibri" w:eastAsia="Times New Roman" w:hAnsi="Calibri" w:cs="Calibri"/>
                <w:color w:val="000000"/>
              </w:rPr>
            </w:pPr>
            <w:r w:rsidRPr="00680D4A">
              <w:rPr>
                <w:rFonts w:ascii="Calibri" w:eastAsia="Times New Roman" w:hAnsi="Calibri" w:cs="Calibri"/>
                <w:color w:val="000000"/>
              </w:rPr>
              <w:t>Poultry Litter</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DAA28"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&lt;1</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579A0"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&lt;1</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7D8B3"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&lt;1</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1223E"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&lt;1</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B8ED8"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&lt;1</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3EB15"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1</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E4CCA"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&lt;1</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491C9"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1</w:t>
            </w:r>
          </w:p>
        </w:tc>
      </w:tr>
      <w:tr w:rsidR="00680D4A" w:rsidRPr="00680D4A" w14:paraId="709AF557" w14:textId="77777777" w:rsidTr="00626F43">
        <w:trPr>
          <w:trHeight w:val="264"/>
        </w:trPr>
        <w:tc>
          <w:tcPr>
            <w:tcW w:w="19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0E418" w14:textId="77777777" w:rsidR="00680D4A" w:rsidRPr="00680D4A" w:rsidRDefault="00680D4A" w:rsidP="00680D4A">
            <w:pPr>
              <w:spacing w:after="0" w:line="240" w:lineRule="auto"/>
              <w:rPr>
                <w:rFonts w:ascii="Calibri" w:eastAsia="Times New Roman" w:hAnsi="Calibri" w:cs="Calibri"/>
                <w:color w:val="000000"/>
              </w:rPr>
            </w:pPr>
            <w:r w:rsidRPr="00680D4A">
              <w:rPr>
                <w:rFonts w:ascii="Calibri" w:eastAsia="Times New Roman" w:hAnsi="Calibri" w:cs="Calibri"/>
                <w:color w:val="000000"/>
              </w:rPr>
              <w:t>Xmas Trees</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B2B96"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&lt;1</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3DC2D"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&lt;1</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29D82"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&lt;1</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18B65"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&lt;1</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D959C"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&lt;1</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13526"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&lt;1</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0C47A"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&lt;1</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E55B6"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&lt;1</w:t>
            </w:r>
          </w:p>
        </w:tc>
      </w:tr>
      <w:tr w:rsidR="00680D4A" w:rsidRPr="00680D4A" w14:paraId="422F501D" w14:textId="77777777" w:rsidTr="00626F43">
        <w:trPr>
          <w:trHeight w:val="264"/>
        </w:trPr>
        <w:tc>
          <w:tcPr>
            <w:tcW w:w="192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3C2FCBA" w14:textId="77777777" w:rsidR="00680D4A" w:rsidRPr="00680D4A" w:rsidRDefault="00680D4A" w:rsidP="00680D4A">
            <w:pPr>
              <w:spacing w:after="0" w:line="240" w:lineRule="auto"/>
              <w:rPr>
                <w:rFonts w:ascii="Calibri" w:eastAsia="Times New Roman" w:hAnsi="Calibri" w:cs="Calibri"/>
                <w:color w:val="000000"/>
              </w:rPr>
            </w:pPr>
            <w:r w:rsidRPr="00680D4A">
              <w:rPr>
                <w:rFonts w:ascii="Calibri" w:eastAsia="Times New Roman" w:hAnsi="Calibri" w:cs="Calibri"/>
                <w:color w:val="000000"/>
              </w:rPr>
              <w:t>Limit Ground Drift (300 m or 1000 ft)</w:t>
            </w:r>
          </w:p>
        </w:tc>
        <w:tc>
          <w:tcPr>
            <w:tcW w:w="83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6A661142"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36</w:t>
            </w:r>
          </w:p>
        </w:tc>
        <w:tc>
          <w:tcPr>
            <w:tcW w:w="10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68B0F8D3"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37</w:t>
            </w:r>
          </w:p>
        </w:tc>
        <w:tc>
          <w:tcPr>
            <w:tcW w:w="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6846AD69"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36</w:t>
            </w:r>
          </w:p>
        </w:tc>
        <w:tc>
          <w:tcPr>
            <w:tcW w:w="1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A779186"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37</w:t>
            </w:r>
          </w:p>
        </w:tc>
        <w:tc>
          <w:tcPr>
            <w:tcW w:w="6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816AF99"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36</w:t>
            </w:r>
          </w:p>
        </w:tc>
        <w:tc>
          <w:tcPr>
            <w:tcW w:w="9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95B6C67"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37</w:t>
            </w:r>
          </w:p>
        </w:tc>
        <w:tc>
          <w:tcPr>
            <w:tcW w:w="6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35A93DE"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36</w:t>
            </w:r>
          </w:p>
        </w:tc>
        <w:tc>
          <w:tcPr>
            <w:tcW w:w="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4E78D95"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37</w:t>
            </w:r>
          </w:p>
        </w:tc>
      </w:tr>
      <w:tr w:rsidR="00680D4A" w:rsidRPr="00680D4A" w14:paraId="3E85BB0D" w14:textId="77777777" w:rsidTr="00626F43">
        <w:trPr>
          <w:trHeight w:val="264"/>
        </w:trPr>
        <w:tc>
          <w:tcPr>
            <w:tcW w:w="192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C215136" w14:textId="77777777" w:rsidR="00680D4A" w:rsidRPr="00680D4A" w:rsidRDefault="00680D4A" w:rsidP="00680D4A">
            <w:pPr>
              <w:spacing w:after="0" w:line="240" w:lineRule="auto"/>
              <w:rPr>
                <w:rFonts w:ascii="Calibri" w:eastAsia="Times New Roman" w:hAnsi="Calibri" w:cs="Calibri"/>
                <w:color w:val="000000"/>
              </w:rPr>
            </w:pPr>
            <w:r w:rsidRPr="00680D4A">
              <w:rPr>
                <w:rFonts w:ascii="Calibri" w:eastAsia="Times New Roman" w:hAnsi="Calibri" w:cs="Calibri"/>
                <w:color w:val="000000"/>
              </w:rPr>
              <w:t>Limit Aerial Drift (792m or 2600ft)</w:t>
            </w:r>
          </w:p>
        </w:tc>
        <w:tc>
          <w:tcPr>
            <w:tcW w:w="83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53554F1"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45</w:t>
            </w:r>
          </w:p>
        </w:tc>
        <w:tc>
          <w:tcPr>
            <w:tcW w:w="10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3A08709A"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43</w:t>
            </w:r>
          </w:p>
        </w:tc>
        <w:tc>
          <w:tcPr>
            <w:tcW w:w="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0D48F9F"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45</w:t>
            </w:r>
          </w:p>
        </w:tc>
        <w:tc>
          <w:tcPr>
            <w:tcW w:w="1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596B223"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43</w:t>
            </w:r>
          </w:p>
        </w:tc>
        <w:tc>
          <w:tcPr>
            <w:tcW w:w="6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13CA76F"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45</w:t>
            </w:r>
          </w:p>
        </w:tc>
        <w:tc>
          <w:tcPr>
            <w:tcW w:w="9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EF00213"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43</w:t>
            </w:r>
          </w:p>
        </w:tc>
        <w:tc>
          <w:tcPr>
            <w:tcW w:w="6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88C67F2"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45</w:t>
            </w:r>
          </w:p>
        </w:tc>
        <w:tc>
          <w:tcPr>
            <w:tcW w:w="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D7C8EF9" w14:textId="77777777" w:rsidR="00680D4A" w:rsidRPr="00680D4A" w:rsidRDefault="00680D4A" w:rsidP="007B3316">
            <w:pPr>
              <w:spacing w:after="0" w:line="240" w:lineRule="auto"/>
              <w:jc w:val="center"/>
              <w:rPr>
                <w:rFonts w:ascii="Calibri" w:eastAsia="Times New Roman" w:hAnsi="Calibri" w:cs="Calibri"/>
                <w:color w:val="000000"/>
              </w:rPr>
            </w:pPr>
            <w:r w:rsidRPr="00680D4A">
              <w:rPr>
                <w:rFonts w:ascii="Calibri" w:eastAsia="Times New Roman" w:hAnsi="Calibri" w:cs="Calibri"/>
                <w:color w:val="000000"/>
              </w:rPr>
              <w:t>43</w:t>
            </w:r>
          </w:p>
        </w:tc>
      </w:tr>
    </w:tbl>
    <w:p w14:paraId="7E3C89CF" w14:textId="0B05B34C" w:rsidR="00B16D28" w:rsidRDefault="00B16D28" w:rsidP="00680D4A">
      <w:pPr>
        <w:pStyle w:val="Caption"/>
        <w:keepNext/>
      </w:pPr>
    </w:p>
    <w:p w14:paraId="737FD1E4" w14:textId="77777777" w:rsidR="00B16D28" w:rsidRDefault="00B16D28" w:rsidP="00626F43">
      <w:pPr>
        <w:pStyle w:val="Heading2"/>
      </w:pPr>
      <w:bookmarkStart w:id="35" w:name="_Hlk55932568"/>
      <w:r>
        <w:t xml:space="preserve">Suitable Habitat Overlap </w:t>
      </w:r>
    </w:p>
    <w:bookmarkEnd w:id="35"/>
    <w:p w14:paraId="09A4163C" w14:textId="4AEB999B" w:rsidR="00B16D28" w:rsidRDefault="00B16D28" w:rsidP="00626F43">
      <w:pPr>
        <w:rPr>
          <w:color w:val="000000" w:themeColor="text1"/>
        </w:rPr>
      </w:pPr>
      <w:r w:rsidRPr="218A8BFF">
        <w:t xml:space="preserve">In total </w:t>
      </w:r>
      <w:r w:rsidR="00680D4A" w:rsidRPr="218A8BFF">
        <w:t>132</w:t>
      </w:r>
      <w:r w:rsidRPr="218A8BFF">
        <w:t xml:space="preserve"> species were designated as species for consideration of suitable habitat </w:t>
      </w:r>
      <w:r w:rsidR="00680D4A" w:rsidRPr="218A8BFF">
        <w:t>22</w:t>
      </w:r>
      <w:r w:rsidRPr="218A8BFF">
        <w:t xml:space="preserve"> occur in the NL48. </w:t>
      </w:r>
      <w:r w:rsidRPr="218A8BFF">
        <w:rPr>
          <w:b/>
          <w:bCs/>
        </w:rPr>
        <w:t xml:space="preserve">Table </w:t>
      </w:r>
      <w:r w:rsidR="00971F89">
        <w:rPr>
          <w:b/>
          <w:bCs/>
        </w:rPr>
        <w:t>5</w:t>
      </w:r>
      <w:r w:rsidR="00971F89" w:rsidRPr="218A8BFF">
        <w:rPr>
          <w:b/>
          <w:bCs/>
        </w:rPr>
        <w:t xml:space="preserve"> </w:t>
      </w:r>
      <w:r w:rsidRPr="218A8BFF">
        <w:t>provides the</w:t>
      </w:r>
      <w:r w:rsidRPr="218A8BFF">
        <w:rPr>
          <w:b/>
          <w:bCs/>
        </w:rPr>
        <w:t xml:space="preserve"> </w:t>
      </w:r>
      <w:r w:rsidRPr="218A8BFF">
        <w:rPr>
          <w:color w:val="000000" w:themeColor="text1"/>
        </w:rPr>
        <w:t xml:space="preserve">mean percent overlap and standard deviation for these </w:t>
      </w:r>
      <w:r w:rsidR="00680D4A" w:rsidRPr="218A8BFF">
        <w:rPr>
          <w:color w:val="000000" w:themeColor="text1"/>
        </w:rPr>
        <w:t>22</w:t>
      </w:r>
      <w:r w:rsidRPr="218A8BFF">
        <w:rPr>
          <w:color w:val="000000" w:themeColor="text1"/>
        </w:rPr>
        <w:t xml:space="preserve"> species after accounting for usage in the full range and limiting the overlap and usage extent to </w:t>
      </w:r>
      <w:r w:rsidRPr="218A8BFF">
        <w:t>suitable habitat within the range.</w:t>
      </w:r>
      <w:r w:rsidRPr="218A8BFF">
        <w:rPr>
          <w:color w:val="000000" w:themeColor="text1"/>
        </w:rPr>
        <w:t xml:space="preserve"> This information is considered with the results for the full species range as part of the Weight of Evidence.</w:t>
      </w:r>
    </w:p>
    <w:p w14:paraId="76F5BFC1" w14:textId="4B709D62" w:rsidR="00B16D28" w:rsidRDefault="00B16D28" w:rsidP="00626F43">
      <w:pPr>
        <w:pStyle w:val="Caption"/>
        <w:keepNext/>
        <w:keepLines/>
        <w:rPr>
          <w:smallCaps w:val="0"/>
          <w:color w:val="000000" w:themeColor="text1"/>
        </w:rPr>
      </w:pPr>
      <w:r w:rsidRPr="218A8BFF">
        <w:rPr>
          <w:smallCaps w:val="0"/>
          <w:color w:val="000000" w:themeColor="text1"/>
        </w:rPr>
        <w:lastRenderedPageBreak/>
        <w:t xml:space="preserve">Table </w:t>
      </w:r>
      <w:r w:rsidR="00971F89">
        <w:rPr>
          <w:smallCaps w:val="0"/>
          <w:color w:val="000000" w:themeColor="text1"/>
        </w:rPr>
        <w:t>5</w:t>
      </w:r>
      <w:r w:rsidRPr="218A8BFF">
        <w:rPr>
          <w:smallCaps w:val="0"/>
          <w:color w:val="000000" w:themeColor="text1"/>
        </w:rPr>
        <w:t xml:space="preserve">. Mean percent overlap and standard deviation for uses in NL48 and suitable habitat before and after limiting the overlap extent to just suitable habitat areas. Values only include the </w:t>
      </w:r>
      <w:r w:rsidR="00680D4A" w:rsidRPr="218A8BFF">
        <w:rPr>
          <w:smallCaps w:val="0"/>
          <w:color w:val="000000" w:themeColor="text1"/>
        </w:rPr>
        <w:t>22</w:t>
      </w:r>
      <w:r w:rsidRPr="218A8BFF">
        <w:rPr>
          <w:smallCaps w:val="0"/>
          <w:color w:val="000000" w:themeColor="text1"/>
        </w:rPr>
        <w:t xml:space="preserve"> species identified for inclusion in the analysis.</w:t>
      </w:r>
    </w:p>
    <w:tbl>
      <w:tblPr>
        <w:tblW w:w="8252" w:type="dxa"/>
        <w:tblLook w:val="04A0" w:firstRow="1" w:lastRow="0" w:firstColumn="1" w:lastColumn="0" w:noHBand="0" w:noVBand="1"/>
      </w:tblPr>
      <w:tblGrid>
        <w:gridCol w:w="4640"/>
        <w:gridCol w:w="1021"/>
        <w:gridCol w:w="785"/>
        <w:gridCol w:w="1021"/>
        <w:gridCol w:w="785"/>
      </w:tblGrid>
      <w:tr w:rsidR="009D456F" w:rsidRPr="004C7BAD" w14:paraId="2326966B" w14:textId="77777777" w:rsidTr="00354A93">
        <w:trPr>
          <w:trHeight w:val="992"/>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3F313" w14:textId="77777777" w:rsidR="009D456F" w:rsidRPr="004C7BAD" w:rsidRDefault="009D456F" w:rsidP="00626F43">
            <w:pPr>
              <w:keepNext/>
              <w:keepLines/>
              <w:spacing w:after="0" w:line="240" w:lineRule="auto"/>
              <w:jc w:val="center"/>
              <w:rPr>
                <w:rFonts w:ascii="Calibri" w:eastAsia="Times New Roman" w:hAnsi="Calibri" w:cs="Calibri"/>
                <w:b/>
                <w:bCs/>
                <w:color w:val="000000"/>
                <w:sz w:val="20"/>
                <w:szCs w:val="20"/>
              </w:rPr>
            </w:pPr>
            <w:r w:rsidRPr="004C7BAD">
              <w:rPr>
                <w:rFonts w:ascii="Calibri" w:eastAsia="Times New Roman" w:hAnsi="Calibri" w:cs="Calibri"/>
                <w:b/>
                <w:bCs/>
                <w:color w:val="000000"/>
                <w:sz w:val="20"/>
                <w:szCs w:val="20"/>
              </w:rPr>
              <w:t>Use</w:t>
            </w:r>
          </w:p>
        </w:tc>
        <w:tc>
          <w:tcPr>
            <w:tcW w:w="1806" w:type="dxa"/>
            <w:gridSpan w:val="2"/>
            <w:tcBorders>
              <w:top w:val="single" w:sz="4" w:space="0" w:color="auto"/>
              <w:left w:val="nil"/>
              <w:right w:val="single" w:sz="4" w:space="0" w:color="auto"/>
            </w:tcBorders>
            <w:shd w:val="clear" w:color="auto" w:fill="auto"/>
            <w:vAlign w:val="center"/>
            <w:hideMark/>
          </w:tcPr>
          <w:p w14:paraId="0C30FFAA" w14:textId="5F1772A1" w:rsidR="009D456F" w:rsidRPr="004C7BAD" w:rsidRDefault="009D456F" w:rsidP="009D456F">
            <w:pPr>
              <w:keepNext/>
              <w:keepLines/>
              <w:spacing w:after="0" w:line="240" w:lineRule="auto"/>
              <w:jc w:val="center"/>
              <w:rPr>
                <w:rFonts w:ascii="Calibri" w:eastAsia="Times New Roman" w:hAnsi="Calibri" w:cs="Calibri"/>
                <w:b/>
                <w:bCs/>
                <w:color w:val="000000"/>
                <w:sz w:val="20"/>
                <w:szCs w:val="20"/>
              </w:rPr>
            </w:pPr>
            <w:r w:rsidRPr="004C7BAD">
              <w:rPr>
                <w:rFonts w:ascii="Calibri" w:eastAsia="Times New Roman" w:hAnsi="Calibri" w:cs="Calibri"/>
                <w:b/>
                <w:bCs/>
                <w:color w:val="000000"/>
                <w:sz w:val="20"/>
                <w:szCs w:val="20"/>
              </w:rPr>
              <w:t>Overlap Scenario 4:</w:t>
            </w:r>
            <w:r>
              <w:rPr>
                <w:rFonts w:ascii="Calibri" w:eastAsia="Times New Roman" w:hAnsi="Calibri" w:cs="Calibri"/>
                <w:b/>
                <w:bCs/>
                <w:color w:val="000000"/>
                <w:sz w:val="20"/>
                <w:szCs w:val="20"/>
              </w:rPr>
              <w:t xml:space="preserve"> </w:t>
            </w:r>
            <w:r w:rsidRPr="004C7BAD">
              <w:rPr>
                <w:rFonts w:ascii="Calibri" w:eastAsia="Times New Roman" w:hAnsi="Calibri" w:cs="Calibri"/>
                <w:b/>
                <w:bCs/>
                <w:color w:val="000000"/>
                <w:sz w:val="20"/>
                <w:szCs w:val="20"/>
              </w:rPr>
              <w:t>PCT, Redundancy, Off-site</w:t>
            </w:r>
          </w:p>
        </w:tc>
        <w:tc>
          <w:tcPr>
            <w:tcW w:w="1806" w:type="dxa"/>
            <w:gridSpan w:val="2"/>
            <w:tcBorders>
              <w:top w:val="single" w:sz="4" w:space="0" w:color="auto"/>
              <w:left w:val="nil"/>
              <w:right w:val="single" w:sz="4" w:space="0" w:color="auto"/>
            </w:tcBorders>
            <w:shd w:val="clear" w:color="auto" w:fill="auto"/>
            <w:vAlign w:val="center"/>
            <w:hideMark/>
          </w:tcPr>
          <w:p w14:paraId="4ECCD57A" w14:textId="71CDC1EC" w:rsidR="009D456F" w:rsidRPr="004C7BAD" w:rsidRDefault="009D456F" w:rsidP="009D456F">
            <w:pPr>
              <w:keepNext/>
              <w:keepLines/>
              <w:spacing w:after="0" w:line="240" w:lineRule="auto"/>
              <w:jc w:val="center"/>
              <w:rPr>
                <w:rFonts w:ascii="Calibri" w:eastAsia="Times New Roman" w:hAnsi="Calibri" w:cs="Calibri"/>
                <w:b/>
                <w:bCs/>
                <w:color w:val="000000"/>
                <w:sz w:val="20"/>
                <w:szCs w:val="20"/>
              </w:rPr>
            </w:pPr>
            <w:r w:rsidRPr="004C7BAD">
              <w:rPr>
                <w:rFonts w:ascii="Calibri" w:eastAsia="Times New Roman" w:hAnsi="Calibri" w:cs="Calibri"/>
                <w:b/>
                <w:bCs/>
                <w:color w:val="000000"/>
                <w:sz w:val="20"/>
                <w:szCs w:val="20"/>
              </w:rPr>
              <w:t>Overlap Scenario 5:</w:t>
            </w:r>
            <w:r>
              <w:rPr>
                <w:rFonts w:ascii="Calibri" w:eastAsia="Times New Roman" w:hAnsi="Calibri" w:cs="Calibri"/>
                <w:b/>
                <w:bCs/>
                <w:color w:val="000000"/>
                <w:sz w:val="20"/>
                <w:szCs w:val="20"/>
              </w:rPr>
              <w:t xml:space="preserve"> </w:t>
            </w:r>
            <w:r w:rsidRPr="004C7BAD">
              <w:rPr>
                <w:rFonts w:ascii="Calibri" w:eastAsia="Times New Roman" w:hAnsi="Calibri" w:cs="Calibri"/>
                <w:b/>
                <w:bCs/>
                <w:color w:val="000000"/>
                <w:sz w:val="20"/>
                <w:szCs w:val="20"/>
              </w:rPr>
              <w:t xml:space="preserve">PCT, Redundancy, Off-site, Habitat </w:t>
            </w:r>
          </w:p>
        </w:tc>
      </w:tr>
      <w:tr w:rsidR="004C7BAD" w:rsidRPr="004C7BAD" w14:paraId="666BFCA3" w14:textId="77777777" w:rsidTr="218A8BFF">
        <w:trPr>
          <w:trHeight w:val="491"/>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CA8EA" w14:textId="77777777" w:rsidR="004C7BAD" w:rsidRPr="004C7BAD" w:rsidRDefault="004C7BAD" w:rsidP="00626F43">
            <w:pPr>
              <w:keepNext/>
              <w:keepLines/>
              <w:spacing w:after="0" w:line="240" w:lineRule="auto"/>
              <w:jc w:val="center"/>
              <w:rPr>
                <w:rFonts w:ascii="Calibri" w:eastAsia="Times New Roman" w:hAnsi="Calibri" w:cs="Calibri"/>
                <w:color w:val="000000"/>
                <w:sz w:val="20"/>
                <w:szCs w:val="20"/>
              </w:rPr>
            </w:pPr>
            <w:r w:rsidRPr="004C7BAD">
              <w:rPr>
                <w:rFonts w:ascii="Calibri" w:eastAsia="Times New Roman" w:hAnsi="Calibri" w:cs="Calibri"/>
                <w:color w:val="000000"/>
                <w:sz w:val="20"/>
                <w:szCs w:val="20"/>
              </w:rPr>
              <w:t>Use</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14:paraId="45490EF2" w14:textId="77777777" w:rsidR="004C7BAD" w:rsidRPr="004C7BAD" w:rsidRDefault="004C7BAD" w:rsidP="00626F43">
            <w:pPr>
              <w:keepNext/>
              <w:keepLines/>
              <w:spacing w:after="0" w:line="240" w:lineRule="auto"/>
              <w:jc w:val="center"/>
              <w:rPr>
                <w:rFonts w:ascii="Calibri" w:eastAsia="Times New Roman" w:hAnsi="Calibri" w:cs="Calibri"/>
                <w:color w:val="000000"/>
                <w:sz w:val="20"/>
                <w:szCs w:val="20"/>
              </w:rPr>
            </w:pPr>
            <w:r w:rsidRPr="004C7BAD">
              <w:rPr>
                <w:rFonts w:ascii="Calibri" w:eastAsia="Times New Roman" w:hAnsi="Calibri" w:cs="Calibri"/>
                <w:color w:val="000000"/>
                <w:sz w:val="20"/>
                <w:szCs w:val="20"/>
              </w:rPr>
              <w:t>Mean</w:t>
            </w:r>
          </w:p>
        </w:tc>
        <w:tc>
          <w:tcPr>
            <w:tcW w:w="785" w:type="dxa"/>
            <w:tcBorders>
              <w:top w:val="single" w:sz="4" w:space="0" w:color="auto"/>
              <w:left w:val="nil"/>
              <w:bottom w:val="single" w:sz="4" w:space="0" w:color="auto"/>
              <w:right w:val="single" w:sz="4" w:space="0" w:color="auto"/>
            </w:tcBorders>
            <w:shd w:val="clear" w:color="auto" w:fill="auto"/>
            <w:vAlign w:val="center"/>
            <w:hideMark/>
          </w:tcPr>
          <w:p w14:paraId="1ECF3029" w14:textId="77777777" w:rsidR="004C7BAD" w:rsidRPr="004C7BAD" w:rsidRDefault="004C7BAD" w:rsidP="00626F43">
            <w:pPr>
              <w:keepNext/>
              <w:keepLines/>
              <w:spacing w:after="0" w:line="240" w:lineRule="auto"/>
              <w:jc w:val="center"/>
              <w:rPr>
                <w:rFonts w:ascii="Calibri" w:eastAsia="Times New Roman" w:hAnsi="Calibri" w:cs="Calibri"/>
                <w:color w:val="000000"/>
                <w:sz w:val="20"/>
                <w:szCs w:val="20"/>
              </w:rPr>
            </w:pPr>
            <w:r w:rsidRPr="004C7BAD">
              <w:rPr>
                <w:rFonts w:ascii="Calibri" w:eastAsia="Times New Roman" w:hAnsi="Calibri" w:cs="Calibri"/>
                <w:color w:val="000000"/>
                <w:sz w:val="20"/>
                <w:szCs w:val="20"/>
              </w:rPr>
              <w:t>STD</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14:paraId="0D774AFF" w14:textId="77777777" w:rsidR="004C7BAD" w:rsidRPr="004C7BAD" w:rsidRDefault="004C7BAD" w:rsidP="00626F43">
            <w:pPr>
              <w:keepNext/>
              <w:keepLines/>
              <w:spacing w:after="0" w:line="240" w:lineRule="auto"/>
              <w:jc w:val="center"/>
              <w:rPr>
                <w:rFonts w:ascii="Calibri" w:eastAsia="Times New Roman" w:hAnsi="Calibri" w:cs="Calibri"/>
                <w:color w:val="000000"/>
                <w:sz w:val="20"/>
                <w:szCs w:val="20"/>
              </w:rPr>
            </w:pPr>
            <w:r w:rsidRPr="004C7BAD">
              <w:rPr>
                <w:rFonts w:ascii="Calibri" w:eastAsia="Times New Roman" w:hAnsi="Calibri" w:cs="Calibri"/>
                <w:color w:val="000000"/>
                <w:sz w:val="20"/>
                <w:szCs w:val="20"/>
              </w:rPr>
              <w:t>Mean</w:t>
            </w:r>
          </w:p>
        </w:tc>
        <w:tc>
          <w:tcPr>
            <w:tcW w:w="785" w:type="dxa"/>
            <w:tcBorders>
              <w:top w:val="single" w:sz="4" w:space="0" w:color="auto"/>
              <w:left w:val="nil"/>
              <w:bottom w:val="single" w:sz="4" w:space="0" w:color="auto"/>
              <w:right w:val="single" w:sz="4" w:space="0" w:color="auto"/>
            </w:tcBorders>
            <w:shd w:val="clear" w:color="auto" w:fill="auto"/>
            <w:vAlign w:val="center"/>
            <w:hideMark/>
          </w:tcPr>
          <w:p w14:paraId="3484D1A8" w14:textId="77777777" w:rsidR="004C7BAD" w:rsidRPr="004C7BAD" w:rsidRDefault="004C7BAD" w:rsidP="00626F43">
            <w:pPr>
              <w:keepNext/>
              <w:keepLines/>
              <w:spacing w:after="0" w:line="240" w:lineRule="auto"/>
              <w:jc w:val="center"/>
              <w:rPr>
                <w:rFonts w:ascii="Calibri" w:eastAsia="Times New Roman" w:hAnsi="Calibri" w:cs="Calibri"/>
                <w:color w:val="000000"/>
                <w:sz w:val="20"/>
                <w:szCs w:val="20"/>
              </w:rPr>
            </w:pPr>
            <w:r w:rsidRPr="004C7BAD">
              <w:rPr>
                <w:rFonts w:ascii="Calibri" w:eastAsia="Times New Roman" w:hAnsi="Calibri" w:cs="Calibri"/>
                <w:color w:val="000000"/>
                <w:sz w:val="20"/>
                <w:szCs w:val="20"/>
              </w:rPr>
              <w:t>STD</w:t>
            </w:r>
          </w:p>
        </w:tc>
      </w:tr>
      <w:tr w:rsidR="004C7BAD" w:rsidRPr="004C7BAD" w14:paraId="09D9DB19" w14:textId="77777777" w:rsidTr="218A8BFF">
        <w:trPr>
          <w:trHeight w:val="491"/>
        </w:trPr>
        <w:tc>
          <w:tcPr>
            <w:tcW w:w="4640"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14:paraId="57C7D48D" w14:textId="76D3762D" w:rsidR="004C7BAD" w:rsidRPr="004C7BAD" w:rsidRDefault="18F7977B" w:rsidP="00626F43">
            <w:pPr>
              <w:keepNext/>
              <w:keepLines/>
              <w:spacing w:after="0" w:line="240" w:lineRule="auto"/>
              <w:rPr>
                <w:rFonts w:ascii="Calibri" w:eastAsia="Times New Roman" w:hAnsi="Calibri" w:cs="Calibri"/>
                <w:color w:val="000000"/>
              </w:rPr>
            </w:pPr>
            <w:r w:rsidRPr="218A8BFF">
              <w:rPr>
                <w:rFonts w:ascii="Calibri" w:eastAsia="Times New Roman" w:hAnsi="Calibri" w:cs="Calibri"/>
                <w:color w:val="000000" w:themeColor="text1"/>
              </w:rPr>
              <w:t>Imidacloprid</w:t>
            </w:r>
            <w:r w:rsidR="7F3357CE" w:rsidRPr="218A8BFF">
              <w:rPr>
                <w:rFonts w:ascii="Calibri" w:eastAsia="Times New Roman" w:hAnsi="Calibri" w:cs="Calibri"/>
                <w:color w:val="000000" w:themeColor="text1"/>
              </w:rPr>
              <w:t xml:space="preserve"> </w:t>
            </w:r>
            <w:r w:rsidR="0FB47CAA" w:rsidRPr="218A8BFF">
              <w:rPr>
                <w:rFonts w:ascii="Calibri" w:eastAsia="Times New Roman" w:hAnsi="Calibri" w:cs="Calibri"/>
                <w:color w:val="000000" w:themeColor="text1"/>
              </w:rPr>
              <w:t>Action Area (</w:t>
            </w:r>
            <w:r w:rsidR="7F3357CE" w:rsidRPr="218A8BFF">
              <w:rPr>
                <w:rFonts w:ascii="Calibri" w:eastAsia="Times New Roman" w:hAnsi="Calibri" w:cs="Calibri"/>
                <w:color w:val="000000" w:themeColor="text1"/>
              </w:rPr>
              <w:t>AA</w:t>
            </w:r>
            <w:r w:rsidR="77BBB2E3" w:rsidRPr="218A8BFF">
              <w:rPr>
                <w:rFonts w:ascii="Calibri" w:eastAsia="Times New Roman" w:hAnsi="Calibri" w:cs="Calibri"/>
                <w:color w:val="000000" w:themeColor="text1"/>
              </w:rPr>
              <w:t>)</w:t>
            </w: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8320F2C" w14:textId="77777777" w:rsidR="004C7BAD" w:rsidRPr="004C7BAD" w:rsidRDefault="004C7BAD" w:rsidP="00626F43">
            <w:pPr>
              <w:keepNext/>
              <w:keepLines/>
              <w:spacing w:after="0" w:line="240" w:lineRule="auto"/>
              <w:rPr>
                <w:rFonts w:ascii="Calibri" w:eastAsia="Times New Roman" w:hAnsi="Calibri" w:cs="Calibri"/>
                <w:color w:val="000000"/>
              </w:rPr>
            </w:pPr>
            <w:r w:rsidRPr="004C7BAD">
              <w:rPr>
                <w:rFonts w:ascii="Calibri" w:eastAsia="Times New Roman" w:hAnsi="Calibri" w:cs="Calibri"/>
                <w:color w:val="000000"/>
              </w:rPr>
              <w:t>35</w:t>
            </w:r>
          </w:p>
        </w:tc>
        <w:tc>
          <w:tcPr>
            <w:tcW w:w="78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37CDEAE" w14:textId="77777777" w:rsidR="004C7BAD" w:rsidRPr="004C7BAD" w:rsidRDefault="004C7BAD" w:rsidP="00626F43">
            <w:pPr>
              <w:keepNext/>
              <w:keepLines/>
              <w:spacing w:after="0" w:line="240" w:lineRule="auto"/>
              <w:rPr>
                <w:rFonts w:ascii="Calibri" w:eastAsia="Times New Roman" w:hAnsi="Calibri" w:cs="Calibri"/>
                <w:color w:val="000000"/>
              </w:rPr>
            </w:pPr>
            <w:r w:rsidRPr="004C7BAD">
              <w:rPr>
                <w:rFonts w:ascii="Calibri" w:eastAsia="Times New Roman" w:hAnsi="Calibri" w:cs="Calibri"/>
                <w:color w:val="000000"/>
              </w:rPr>
              <w:t>20</w:t>
            </w:r>
          </w:p>
        </w:tc>
        <w:tc>
          <w:tcPr>
            <w:tcW w:w="102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8778EEF" w14:textId="77777777" w:rsidR="004C7BAD" w:rsidRPr="004C7BAD" w:rsidRDefault="004C7BAD" w:rsidP="00626F43">
            <w:pPr>
              <w:keepNext/>
              <w:keepLines/>
              <w:spacing w:after="0" w:line="240" w:lineRule="auto"/>
              <w:rPr>
                <w:rFonts w:ascii="Calibri" w:eastAsia="Times New Roman" w:hAnsi="Calibri" w:cs="Calibri"/>
                <w:color w:val="000000"/>
              </w:rPr>
            </w:pPr>
            <w:r w:rsidRPr="004C7BAD">
              <w:rPr>
                <w:rFonts w:ascii="Calibri" w:eastAsia="Times New Roman" w:hAnsi="Calibri" w:cs="Calibri"/>
                <w:color w:val="000000"/>
              </w:rPr>
              <w:t>35</w:t>
            </w:r>
          </w:p>
        </w:tc>
        <w:tc>
          <w:tcPr>
            <w:tcW w:w="78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DB31281" w14:textId="77777777" w:rsidR="004C7BAD" w:rsidRPr="004C7BAD" w:rsidRDefault="004C7BAD" w:rsidP="00626F43">
            <w:pPr>
              <w:keepNext/>
              <w:keepLines/>
              <w:spacing w:after="0" w:line="240" w:lineRule="auto"/>
              <w:rPr>
                <w:rFonts w:ascii="Calibri" w:eastAsia="Times New Roman" w:hAnsi="Calibri" w:cs="Calibri"/>
                <w:color w:val="000000"/>
              </w:rPr>
            </w:pPr>
            <w:r w:rsidRPr="004C7BAD">
              <w:rPr>
                <w:rFonts w:ascii="Calibri" w:eastAsia="Times New Roman" w:hAnsi="Calibri" w:cs="Calibri"/>
                <w:color w:val="000000"/>
              </w:rPr>
              <w:t>19</w:t>
            </w:r>
          </w:p>
        </w:tc>
      </w:tr>
      <w:tr w:rsidR="004C7BAD" w:rsidRPr="004C7BAD" w14:paraId="2CAD5E9C" w14:textId="77777777" w:rsidTr="218A8BFF">
        <w:trPr>
          <w:trHeight w:val="491"/>
        </w:trPr>
        <w:tc>
          <w:tcPr>
            <w:tcW w:w="4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707DB" w14:textId="77777777" w:rsidR="004C7BAD" w:rsidRPr="004C7BAD" w:rsidRDefault="004C7BAD" w:rsidP="00626F43">
            <w:pPr>
              <w:keepNext/>
              <w:keepLines/>
              <w:spacing w:after="0" w:line="240" w:lineRule="auto"/>
              <w:rPr>
                <w:rFonts w:ascii="Calibri" w:eastAsia="Times New Roman" w:hAnsi="Calibri" w:cs="Calibri"/>
                <w:color w:val="000000"/>
              </w:rPr>
            </w:pPr>
            <w:r w:rsidRPr="004C7BAD">
              <w:rPr>
                <w:rFonts w:ascii="Calibri" w:eastAsia="Times New Roman" w:hAnsi="Calibri" w:cs="Calibri"/>
                <w:color w:val="000000"/>
              </w:rPr>
              <w:t>Ag</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14:paraId="59B511C2" w14:textId="77777777" w:rsidR="004C7BAD" w:rsidRPr="004C7BAD" w:rsidRDefault="004C7BAD" w:rsidP="00626F43">
            <w:pPr>
              <w:keepNext/>
              <w:keepLines/>
              <w:spacing w:after="0" w:line="240" w:lineRule="auto"/>
              <w:rPr>
                <w:rFonts w:ascii="Calibri" w:eastAsia="Times New Roman" w:hAnsi="Calibri" w:cs="Calibri"/>
                <w:color w:val="000000"/>
              </w:rPr>
            </w:pPr>
            <w:r w:rsidRPr="004C7BAD">
              <w:rPr>
                <w:rFonts w:ascii="Calibri" w:eastAsia="Times New Roman" w:hAnsi="Calibri" w:cs="Calibri"/>
                <w:color w:val="000000"/>
              </w:rPr>
              <w:t>1</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14:paraId="127717F8" w14:textId="77777777" w:rsidR="004C7BAD" w:rsidRPr="004C7BAD" w:rsidRDefault="004C7BAD" w:rsidP="00626F43">
            <w:pPr>
              <w:keepNext/>
              <w:keepLines/>
              <w:spacing w:after="0" w:line="240" w:lineRule="auto"/>
              <w:rPr>
                <w:rFonts w:ascii="Calibri" w:eastAsia="Times New Roman" w:hAnsi="Calibri" w:cs="Calibri"/>
                <w:color w:val="000000"/>
              </w:rPr>
            </w:pPr>
            <w:r w:rsidRPr="004C7BAD">
              <w:rPr>
                <w:rFonts w:ascii="Calibri" w:eastAsia="Times New Roman" w:hAnsi="Calibri" w:cs="Calibri"/>
                <w:color w:val="000000"/>
              </w:rPr>
              <w:t>5</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14:paraId="7DDF4C6C" w14:textId="77777777" w:rsidR="004C7BAD" w:rsidRPr="004C7BAD" w:rsidRDefault="004C7BAD" w:rsidP="00626F43">
            <w:pPr>
              <w:keepNext/>
              <w:keepLines/>
              <w:spacing w:after="0" w:line="240" w:lineRule="auto"/>
              <w:rPr>
                <w:rFonts w:ascii="Calibri" w:eastAsia="Times New Roman" w:hAnsi="Calibri" w:cs="Calibri"/>
                <w:color w:val="000000"/>
              </w:rPr>
            </w:pPr>
            <w:r w:rsidRPr="004C7BAD">
              <w:rPr>
                <w:rFonts w:ascii="Calibri" w:eastAsia="Times New Roman" w:hAnsi="Calibri" w:cs="Calibri"/>
                <w:color w:val="000000"/>
              </w:rPr>
              <w:t>1</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14:paraId="7A83C870" w14:textId="77777777" w:rsidR="004C7BAD" w:rsidRPr="004C7BAD" w:rsidRDefault="004C7BAD" w:rsidP="00626F43">
            <w:pPr>
              <w:keepNext/>
              <w:keepLines/>
              <w:spacing w:after="0" w:line="240" w:lineRule="auto"/>
              <w:rPr>
                <w:rFonts w:ascii="Calibri" w:eastAsia="Times New Roman" w:hAnsi="Calibri" w:cs="Calibri"/>
                <w:color w:val="000000"/>
              </w:rPr>
            </w:pPr>
            <w:r w:rsidRPr="004C7BAD">
              <w:rPr>
                <w:rFonts w:ascii="Calibri" w:eastAsia="Times New Roman" w:hAnsi="Calibri" w:cs="Calibri"/>
                <w:color w:val="000000"/>
              </w:rPr>
              <w:t>5</w:t>
            </w:r>
          </w:p>
        </w:tc>
      </w:tr>
      <w:tr w:rsidR="004C7BAD" w:rsidRPr="004C7BAD" w14:paraId="438F6BBC" w14:textId="77777777" w:rsidTr="218A8BFF">
        <w:trPr>
          <w:trHeight w:val="491"/>
        </w:trPr>
        <w:tc>
          <w:tcPr>
            <w:tcW w:w="4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34C22" w14:textId="77777777" w:rsidR="004C7BAD" w:rsidRPr="004C7BAD" w:rsidRDefault="004C7BAD" w:rsidP="00626F43">
            <w:pPr>
              <w:keepNext/>
              <w:keepLines/>
              <w:spacing w:after="0" w:line="240" w:lineRule="auto"/>
              <w:rPr>
                <w:rFonts w:ascii="Calibri" w:eastAsia="Times New Roman" w:hAnsi="Calibri" w:cs="Calibri"/>
                <w:color w:val="000000"/>
              </w:rPr>
            </w:pPr>
            <w:r w:rsidRPr="004C7BAD">
              <w:rPr>
                <w:rFonts w:ascii="Calibri" w:eastAsia="Times New Roman" w:hAnsi="Calibri" w:cs="Calibri"/>
                <w:color w:val="000000"/>
              </w:rPr>
              <w:t>Developed</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14:paraId="095C7671" w14:textId="77777777" w:rsidR="004C7BAD" w:rsidRPr="004C7BAD" w:rsidRDefault="004C7BAD" w:rsidP="00626F43">
            <w:pPr>
              <w:keepNext/>
              <w:keepLines/>
              <w:spacing w:after="0" w:line="240" w:lineRule="auto"/>
              <w:rPr>
                <w:rFonts w:ascii="Calibri" w:eastAsia="Times New Roman" w:hAnsi="Calibri" w:cs="Calibri"/>
                <w:color w:val="000000"/>
              </w:rPr>
            </w:pPr>
            <w:r w:rsidRPr="004C7BAD">
              <w:rPr>
                <w:rFonts w:ascii="Calibri" w:eastAsia="Times New Roman" w:hAnsi="Calibri" w:cs="Calibri"/>
                <w:color w:val="000000"/>
              </w:rPr>
              <w:t>4</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14:paraId="3B388878" w14:textId="77777777" w:rsidR="004C7BAD" w:rsidRPr="004C7BAD" w:rsidRDefault="004C7BAD" w:rsidP="00626F43">
            <w:pPr>
              <w:keepNext/>
              <w:keepLines/>
              <w:spacing w:after="0" w:line="240" w:lineRule="auto"/>
              <w:rPr>
                <w:rFonts w:ascii="Calibri" w:eastAsia="Times New Roman" w:hAnsi="Calibri" w:cs="Calibri"/>
                <w:color w:val="000000"/>
              </w:rPr>
            </w:pPr>
            <w:r w:rsidRPr="004C7BAD">
              <w:rPr>
                <w:rFonts w:ascii="Calibri" w:eastAsia="Times New Roman" w:hAnsi="Calibri" w:cs="Calibri"/>
                <w:color w:val="000000"/>
              </w:rPr>
              <w:t>13</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14:paraId="02D83F03" w14:textId="77777777" w:rsidR="004C7BAD" w:rsidRPr="004C7BAD" w:rsidRDefault="004C7BAD" w:rsidP="00626F43">
            <w:pPr>
              <w:keepNext/>
              <w:keepLines/>
              <w:spacing w:after="0" w:line="240" w:lineRule="auto"/>
              <w:rPr>
                <w:rFonts w:ascii="Calibri" w:eastAsia="Times New Roman" w:hAnsi="Calibri" w:cs="Calibri"/>
                <w:color w:val="000000"/>
              </w:rPr>
            </w:pPr>
            <w:r w:rsidRPr="004C7BAD">
              <w:rPr>
                <w:rFonts w:ascii="Calibri" w:eastAsia="Times New Roman" w:hAnsi="Calibri" w:cs="Calibri"/>
                <w:color w:val="000000"/>
              </w:rPr>
              <w:t>4</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14:paraId="3CF5FA48" w14:textId="77777777" w:rsidR="004C7BAD" w:rsidRPr="004C7BAD" w:rsidRDefault="004C7BAD" w:rsidP="00626F43">
            <w:pPr>
              <w:keepNext/>
              <w:keepLines/>
              <w:spacing w:after="0" w:line="240" w:lineRule="auto"/>
              <w:rPr>
                <w:rFonts w:ascii="Calibri" w:eastAsia="Times New Roman" w:hAnsi="Calibri" w:cs="Calibri"/>
                <w:color w:val="000000"/>
              </w:rPr>
            </w:pPr>
            <w:r w:rsidRPr="004C7BAD">
              <w:rPr>
                <w:rFonts w:ascii="Calibri" w:eastAsia="Times New Roman" w:hAnsi="Calibri" w:cs="Calibri"/>
                <w:color w:val="000000"/>
              </w:rPr>
              <w:t>12</w:t>
            </w:r>
          </w:p>
        </w:tc>
      </w:tr>
      <w:tr w:rsidR="004C7BAD" w:rsidRPr="004C7BAD" w14:paraId="4E093535" w14:textId="77777777" w:rsidTr="218A8BFF">
        <w:trPr>
          <w:trHeight w:val="491"/>
        </w:trPr>
        <w:tc>
          <w:tcPr>
            <w:tcW w:w="4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24D207" w14:textId="77777777" w:rsidR="004C7BAD" w:rsidRPr="004C7BAD" w:rsidRDefault="004C7BAD" w:rsidP="00626F43">
            <w:pPr>
              <w:keepNext/>
              <w:keepLines/>
              <w:spacing w:after="0" w:line="240" w:lineRule="auto"/>
              <w:rPr>
                <w:rFonts w:ascii="Calibri" w:eastAsia="Times New Roman" w:hAnsi="Calibri" w:cs="Calibri"/>
                <w:color w:val="000000"/>
              </w:rPr>
            </w:pPr>
            <w:r w:rsidRPr="004C7BAD">
              <w:rPr>
                <w:rFonts w:ascii="Calibri" w:eastAsia="Times New Roman" w:hAnsi="Calibri" w:cs="Calibri"/>
                <w:color w:val="000000"/>
              </w:rPr>
              <w:t>Federal Lands</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14:paraId="4F9A425D" w14:textId="77777777" w:rsidR="004C7BAD" w:rsidRPr="004C7BAD" w:rsidRDefault="004C7BAD" w:rsidP="00626F43">
            <w:pPr>
              <w:keepNext/>
              <w:keepLines/>
              <w:spacing w:after="0" w:line="240" w:lineRule="auto"/>
              <w:rPr>
                <w:rFonts w:ascii="Calibri" w:eastAsia="Times New Roman" w:hAnsi="Calibri" w:cs="Calibri"/>
                <w:color w:val="000000"/>
              </w:rPr>
            </w:pPr>
            <w:r w:rsidRPr="004C7BAD">
              <w:rPr>
                <w:rFonts w:ascii="Calibri" w:eastAsia="Times New Roman" w:hAnsi="Calibri" w:cs="Calibri"/>
                <w:color w:val="000000"/>
              </w:rPr>
              <w:t>10</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14:paraId="6BF0D24F" w14:textId="77777777" w:rsidR="004C7BAD" w:rsidRPr="004C7BAD" w:rsidRDefault="004C7BAD" w:rsidP="00626F43">
            <w:pPr>
              <w:keepNext/>
              <w:keepLines/>
              <w:spacing w:after="0" w:line="240" w:lineRule="auto"/>
              <w:rPr>
                <w:rFonts w:ascii="Calibri" w:eastAsia="Times New Roman" w:hAnsi="Calibri" w:cs="Calibri"/>
                <w:color w:val="000000"/>
              </w:rPr>
            </w:pPr>
            <w:r w:rsidRPr="004C7BAD">
              <w:rPr>
                <w:rFonts w:ascii="Calibri" w:eastAsia="Times New Roman" w:hAnsi="Calibri" w:cs="Calibri"/>
                <w:color w:val="000000"/>
              </w:rPr>
              <w:t>14</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14:paraId="10C10974" w14:textId="77777777" w:rsidR="004C7BAD" w:rsidRPr="004C7BAD" w:rsidRDefault="004C7BAD" w:rsidP="00626F43">
            <w:pPr>
              <w:keepNext/>
              <w:keepLines/>
              <w:spacing w:after="0" w:line="240" w:lineRule="auto"/>
              <w:rPr>
                <w:rFonts w:ascii="Calibri" w:eastAsia="Times New Roman" w:hAnsi="Calibri" w:cs="Calibri"/>
                <w:color w:val="000000"/>
              </w:rPr>
            </w:pPr>
            <w:r w:rsidRPr="004C7BAD">
              <w:rPr>
                <w:rFonts w:ascii="Calibri" w:eastAsia="Times New Roman" w:hAnsi="Calibri" w:cs="Calibri"/>
                <w:color w:val="000000"/>
              </w:rPr>
              <w:t>10</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14:paraId="58945838" w14:textId="77777777" w:rsidR="004C7BAD" w:rsidRPr="004C7BAD" w:rsidRDefault="004C7BAD" w:rsidP="00626F43">
            <w:pPr>
              <w:keepNext/>
              <w:keepLines/>
              <w:spacing w:after="0" w:line="240" w:lineRule="auto"/>
              <w:rPr>
                <w:rFonts w:ascii="Calibri" w:eastAsia="Times New Roman" w:hAnsi="Calibri" w:cs="Calibri"/>
                <w:color w:val="000000"/>
              </w:rPr>
            </w:pPr>
            <w:r w:rsidRPr="004C7BAD">
              <w:rPr>
                <w:rFonts w:ascii="Calibri" w:eastAsia="Times New Roman" w:hAnsi="Calibri" w:cs="Calibri"/>
                <w:color w:val="000000"/>
              </w:rPr>
              <w:t>14</w:t>
            </w:r>
          </w:p>
        </w:tc>
      </w:tr>
      <w:tr w:rsidR="004C7BAD" w:rsidRPr="004C7BAD" w14:paraId="211CC0E8" w14:textId="77777777" w:rsidTr="218A8BFF">
        <w:trPr>
          <w:trHeight w:val="491"/>
        </w:trPr>
        <w:tc>
          <w:tcPr>
            <w:tcW w:w="4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B1C6D" w14:textId="77777777" w:rsidR="004C7BAD" w:rsidRPr="004C7BAD" w:rsidRDefault="004C7BAD" w:rsidP="004C7BAD">
            <w:pPr>
              <w:spacing w:after="0" w:line="240" w:lineRule="auto"/>
              <w:rPr>
                <w:rFonts w:ascii="Calibri" w:eastAsia="Times New Roman" w:hAnsi="Calibri" w:cs="Calibri"/>
                <w:color w:val="000000"/>
              </w:rPr>
            </w:pPr>
            <w:r w:rsidRPr="004C7BAD">
              <w:rPr>
                <w:rFonts w:ascii="Calibri" w:eastAsia="Times New Roman" w:hAnsi="Calibri" w:cs="Calibri"/>
                <w:color w:val="000000"/>
              </w:rPr>
              <w:t>Field Nurseries</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14:paraId="268E6A33" w14:textId="77777777" w:rsidR="004C7BAD" w:rsidRPr="004C7BAD" w:rsidRDefault="004C7BAD" w:rsidP="004C7BAD">
            <w:pPr>
              <w:spacing w:after="0" w:line="240" w:lineRule="auto"/>
              <w:rPr>
                <w:rFonts w:ascii="Calibri" w:eastAsia="Times New Roman" w:hAnsi="Calibri" w:cs="Calibri"/>
                <w:color w:val="000000"/>
              </w:rPr>
            </w:pPr>
            <w:r w:rsidRPr="004C7BAD">
              <w:rPr>
                <w:rFonts w:ascii="Calibri" w:eastAsia="Times New Roman" w:hAnsi="Calibri" w:cs="Calibri"/>
                <w:color w:val="000000"/>
              </w:rPr>
              <w:t>&lt;1</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14:paraId="408CEFE2" w14:textId="77777777" w:rsidR="004C7BAD" w:rsidRPr="004C7BAD" w:rsidRDefault="004C7BAD" w:rsidP="004C7BAD">
            <w:pPr>
              <w:spacing w:after="0" w:line="240" w:lineRule="auto"/>
              <w:rPr>
                <w:rFonts w:ascii="Calibri" w:eastAsia="Times New Roman" w:hAnsi="Calibri" w:cs="Calibri"/>
                <w:color w:val="000000"/>
              </w:rPr>
            </w:pPr>
            <w:r w:rsidRPr="004C7BAD">
              <w:rPr>
                <w:rFonts w:ascii="Calibri" w:eastAsia="Times New Roman" w:hAnsi="Calibri" w:cs="Calibri"/>
                <w:color w:val="000000"/>
              </w:rPr>
              <w:t>&lt;1</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14:paraId="79DB8445" w14:textId="77777777" w:rsidR="004C7BAD" w:rsidRPr="004C7BAD" w:rsidRDefault="004C7BAD" w:rsidP="004C7BAD">
            <w:pPr>
              <w:spacing w:after="0" w:line="240" w:lineRule="auto"/>
              <w:rPr>
                <w:rFonts w:ascii="Calibri" w:eastAsia="Times New Roman" w:hAnsi="Calibri" w:cs="Calibri"/>
                <w:color w:val="000000"/>
              </w:rPr>
            </w:pPr>
            <w:r w:rsidRPr="004C7BAD">
              <w:rPr>
                <w:rFonts w:ascii="Calibri" w:eastAsia="Times New Roman" w:hAnsi="Calibri" w:cs="Calibri"/>
                <w:color w:val="000000"/>
              </w:rPr>
              <w:t>&lt;1</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14:paraId="756E3CBB" w14:textId="77777777" w:rsidR="004C7BAD" w:rsidRPr="004C7BAD" w:rsidRDefault="004C7BAD" w:rsidP="004C7BAD">
            <w:pPr>
              <w:spacing w:after="0" w:line="240" w:lineRule="auto"/>
              <w:rPr>
                <w:rFonts w:ascii="Calibri" w:eastAsia="Times New Roman" w:hAnsi="Calibri" w:cs="Calibri"/>
                <w:color w:val="000000"/>
              </w:rPr>
            </w:pPr>
            <w:r w:rsidRPr="004C7BAD">
              <w:rPr>
                <w:rFonts w:ascii="Calibri" w:eastAsia="Times New Roman" w:hAnsi="Calibri" w:cs="Calibri"/>
                <w:color w:val="000000"/>
              </w:rPr>
              <w:t>&lt;1</w:t>
            </w:r>
          </w:p>
        </w:tc>
      </w:tr>
      <w:tr w:rsidR="004C7BAD" w:rsidRPr="004C7BAD" w14:paraId="18086969" w14:textId="77777777" w:rsidTr="218A8BFF">
        <w:trPr>
          <w:trHeight w:val="491"/>
        </w:trPr>
        <w:tc>
          <w:tcPr>
            <w:tcW w:w="4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13834" w14:textId="77777777" w:rsidR="004C7BAD" w:rsidRPr="004C7BAD" w:rsidRDefault="004C7BAD" w:rsidP="004C7BAD">
            <w:pPr>
              <w:spacing w:after="0" w:line="240" w:lineRule="auto"/>
              <w:rPr>
                <w:rFonts w:ascii="Calibri" w:eastAsia="Times New Roman" w:hAnsi="Calibri" w:cs="Calibri"/>
                <w:color w:val="000000"/>
              </w:rPr>
            </w:pPr>
            <w:r w:rsidRPr="004C7BAD">
              <w:rPr>
                <w:rFonts w:ascii="Calibri" w:eastAsia="Times New Roman" w:hAnsi="Calibri" w:cs="Calibri"/>
                <w:color w:val="000000"/>
              </w:rPr>
              <w:t>Managed Forests</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14:paraId="00761E60" w14:textId="77777777" w:rsidR="004C7BAD" w:rsidRPr="004C7BAD" w:rsidRDefault="004C7BAD" w:rsidP="004C7BAD">
            <w:pPr>
              <w:spacing w:after="0" w:line="240" w:lineRule="auto"/>
              <w:rPr>
                <w:rFonts w:ascii="Calibri" w:eastAsia="Times New Roman" w:hAnsi="Calibri" w:cs="Calibri"/>
                <w:color w:val="000000"/>
              </w:rPr>
            </w:pPr>
            <w:r w:rsidRPr="004C7BAD">
              <w:rPr>
                <w:rFonts w:ascii="Calibri" w:eastAsia="Times New Roman" w:hAnsi="Calibri" w:cs="Calibri"/>
                <w:color w:val="000000"/>
              </w:rPr>
              <w:t>22</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14:paraId="4E78098A" w14:textId="77777777" w:rsidR="004C7BAD" w:rsidRPr="004C7BAD" w:rsidRDefault="004C7BAD" w:rsidP="004C7BAD">
            <w:pPr>
              <w:spacing w:after="0" w:line="240" w:lineRule="auto"/>
              <w:rPr>
                <w:rFonts w:ascii="Calibri" w:eastAsia="Times New Roman" w:hAnsi="Calibri" w:cs="Calibri"/>
                <w:color w:val="000000"/>
              </w:rPr>
            </w:pPr>
            <w:r w:rsidRPr="004C7BAD">
              <w:rPr>
                <w:rFonts w:ascii="Calibri" w:eastAsia="Times New Roman" w:hAnsi="Calibri" w:cs="Calibri"/>
                <w:color w:val="000000"/>
              </w:rPr>
              <w:t>20</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14:paraId="6E12C39B" w14:textId="77777777" w:rsidR="004C7BAD" w:rsidRPr="004C7BAD" w:rsidRDefault="004C7BAD" w:rsidP="004C7BAD">
            <w:pPr>
              <w:spacing w:after="0" w:line="240" w:lineRule="auto"/>
              <w:rPr>
                <w:rFonts w:ascii="Calibri" w:eastAsia="Times New Roman" w:hAnsi="Calibri" w:cs="Calibri"/>
                <w:color w:val="000000"/>
              </w:rPr>
            </w:pPr>
            <w:r w:rsidRPr="004C7BAD">
              <w:rPr>
                <w:rFonts w:ascii="Calibri" w:eastAsia="Times New Roman" w:hAnsi="Calibri" w:cs="Calibri"/>
                <w:color w:val="000000"/>
              </w:rPr>
              <w:t>22</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14:paraId="60E6F9C2" w14:textId="77777777" w:rsidR="004C7BAD" w:rsidRPr="004C7BAD" w:rsidRDefault="004C7BAD" w:rsidP="004C7BAD">
            <w:pPr>
              <w:spacing w:after="0" w:line="240" w:lineRule="auto"/>
              <w:rPr>
                <w:rFonts w:ascii="Calibri" w:eastAsia="Times New Roman" w:hAnsi="Calibri" w:cs="Calibri"/>
                <w:color w:val="000000"/>
              </w:rPr>
            </w:pPr>
            <w:r w:rsidRPr="004C7BAD">
              <w:rPr>
                <w:rFonts w:ascii="Calibri" w:eastAsia="Times New Roman" w:hAnsi="Calibri" w:cs="Calibri"/>
                <w:color w:val="000000"/>
              </w:rPr>
              <w:t>20</w:t>
            </w:r>
          </w:p>
        </w:tc>
      </w:tr>
      <w:tr w:rsidR="004C7BAD" w:rsidRPr="004C7BAD" w14:paraId="5B8C69D6" w14:textId="77777777" w:rsidTr="218A8BFF">
        <w:trPr>
          <w:trHeight w:val="491"/>
        </w:trPr>
        <w:tc>
          <w:tcPr>
            <w:tcW w:w="4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0A422" w14:textId="77777777" w:rsidR="004C7BAD" w:rsidRPr="004C7BAD" w:rsidRDefault="004C7BAD" w:rsidP="004C7BAD">
            <w:pPr>
              <w:spacing w:after="0" w:line="240" w:lineRule="auto"/>
              <w:rPr>
                <w:rFonts w:ascii="Calibri" w:eastAsia="Times New Roman" w:hAnsi="Calibri" w:cs="Calibri"/>
                <w:color w:val="000000"/>
              </w:rPr>
            </w:pPr>
            <w:r w:rsidRPr="004C7BAD">
              <w:rPr>
                <w:rFonts w:ascii="Calibri" w:eastAsia="Times New Roman" w:hAnsi="Calibri" w:cs="Calibri"/>
                <w:color w:val="000000"/>
              </w:rPr>
              <w:t>Open Space Developed</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14:paraId="1A656EAA" w14:textId="77777777" w:rsidR="004C7BAD" w:rsidRPr="004C7BAD" w:rsidRDefault="004C7BAD" w:rsidP="004C7BAD">
            <w:pPr>
              <w:spacing w:after="0" w:line="240" w:lineRule="auto"/>
              <w:rPr>
                <w:rFonts w:ascii="Calibri" w:eastAsia="Times New Roman" w:hAnsi="Calibri" w:cs="Calibri"/>
                <w:color w:val="000000"/>
              </w:rPr>
            </w:pPr>
            <w:r w:rsidRPr="004C7BAD">
              <w:rPr>
                <w:rFonts w:ascii="Calibri" w:eastAsia="Times New Roman" w:hAnsi="Calibri" w:cs="Calibri"/>
                <w:color w:val="000000"/>
              </w:rPr>
              <w:t>1</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14:paraId="40534015" w14:textId="77777777" w:rsidR="004C7BAD" w:rsidRPr="004C7BAD" w:rsidRDefault="004C7BAD" w:rsidP="004C7BAD">
            <w:pPr>
              <w:spacing w:after="0" w:line="240" w:lineRule="auto"/>
              <w:rPr>
                <w:rFonts w:ascii="Calibri" w:eastAsia="Times New Roman" w:hAnsi="Calibri" w:cs="Calibri"/>
                <w:color w:val="000000"/>
              </w:rPr>
            </w:pPr>
            <w:r w:rsidRPr="004C7BAD">
              <w:rPr>
                <w:rFonts w:ascii="Calibri" w:eastAsia="Times New Roman" w:hAnsi="Calibri" w:cs="Calibri"/>
                <w:color w:val="000000"/>
              </w:rPr>
              <w:t>2</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14:paraId="54CE34AD" w14:textId="77777777" w:rsidR="004C7BAD" w:rsidRPr="004C7BAD" w:rsidRDefault="004C7BAD" w:rsidP="004C7BAD">
            <w:pPr>
              <w:spacing w:after="0" w:line="240" w:lineRule="auto"/>
              <w:rPr>
                <w:rFonts w:ascii="Calibri" w:eastAsia="Times New Roman" w:hAnsi="Calibri" w:cs="Calibri"/>
                <w:color w:val="000000"/>
              </w:rPr>
            </w:pPr>
            <w:r w:rsidRPr="004C7BAD">
              <w:rPr>
                <w:rFonts w:ascii="Calibri" w:eastAsia="Times New Roman" w:hAnsi="Calibri" w:cs="Calibri"/>
                <w:color w:val="000000"/>
              </w:rPr>
              <w:t>1</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14:paraId="05C7C2E4" w14:textId="77777777" w:rsidR="004C7BAD" w:rsidRPr="004C7BAD" w:rsidRDefault="004C7BAD" w:rsidP="004C7BAD">
            <w:pPr>
              <w:spacing w:after="0" w:line="240" w:lineRule="auto"/>
              <w:rPr>
                <w:rFonts w:ascii="Calibri" w:eastAsia="Times New Roman" w:hAnsi="Calibri" w:cs="Calibri"/>
                <w:color w:val="000000"/>
              </w:rPr>
            </w:pPr>
            <w:r w:rsidRPr="004C7BAD">
              <w:rPr>
                <w:rFonts w:ascii="Calibri" w:eastAsia="Times New Roman" w:hAnsi="Calibri" w:cs="Calibri"/>
                <w:color w:val="000000"/>
              </w:rPr>
              <w:t>3</w:t>
            </w:r>
          </w:p>
        </w:tc>
      </w:tr>
      <w:tr w:rsidR="004C7BAD" w:rsidRPr="004C7BAD" w14:paraId="2DC4AC02" w14:textId="77777777" w:rsidTr="218A8BFF">
        <w:trPr>
          <w:trHeight w:val="491"/>
        </w:trPr>
        <w:tc>
          <w:tcPr>
            <w:tcW w:w="4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51BBF" w14:textId="77777777" w:rsidR="004C7BAD" w:rsidRPr="004C7BAD" w:rsidRDefault="004C7BAD" w:rsidP="004C7BAD">
            <w:pPr>
              <w:spacing w:after="0" w:line="240" w:lineRule="auto"/>
              <w:rPr>
                <w:rFonts w:ascii="Calibri" w:eastAsia="Times New Roman" w:hAnsi="Calibri" w:cs="Calibri"/>
                <w:color w:val="000000"/>
              </w:rPr>
            </w:pPr>
            <w:r w:rsidRPr="004C7BAD">
              <w:rPr>
                <w:rFonts w:ascii="Calibri" w:eastAsia="Times New Roman" w:hAnsi="Calibri" w:cs="Calibri"/>
                <w:color w:val="000000"/>
              </w:rPr>
              <w:t>Poultry Litter</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14:paraId="08C64289" w14:textId="77777777" w:rsidR="004C7BAD" w:rsidRPr="004C7BAD" w:rsidRDefault="004C7BAD" w:rsidP="004C7BAD">
            <w:pPr>
              <w:spacing w:after="0" w:line="240" w:lineRule="auto"/>
              <w:rPr>
                <w:rFonts w:ascii="Calibri" w:eastAsia="Times New Roman" w:hAnsi="Calibri" w:cs="Calibri"/>
                <w:color w:val="000000"/>
              </w:rPr>
            </w:pPr>
            <w:r w:rsidRPr="004C7BAD">
              <w:rPr>
                <w:rFonts w:ascii="Calibri" w:eastAsia="Times New Roman" w:hAnsi="Calibri" w:cs="Calibri"/>
                <w:color w:val="000000"/>
              </w:rPr>
              <w:t>1</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14:paraId="38F33492" w14:textId="77777777" w:rsidR="004C7BAD" w:rsidRPr="004C7BAD" w:rsidRDefault="004C7BAD" w:rsidP="004C7BAD">
            <w:pPr>
              <w:spacing w:after="0" w:line="240" w:lineRule="auto"/>
              <w:rPr>
                <w:rFonts w:ascii="Calibri" w:eastAsia="Times New Roman" w:hAnsi="Calibri" w:cs="Calibri"/>
                <w:color w:val="000000"/>
              </w:rPr>
            </w:pPr>
            <w:r w:rsidRPr="004C7BAD">
              <w:rPr>
                <w:rFonts w:ascii="Calibri" w:eastAsia="Times New Roman" w:hAnsi="Calibri" w:cs="Calibri"/>
                <w:color w:val="000000"/>
              </w:rPr>
              <w:t>2</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14:paraId="6534A4B8" w14:textId="77777777" w:rsidR="004C7BAD" w:rsidRPr="004C7BAD" w:rsidRDefault="004C7BAD" w:rsidP="004C7BAD">
            <w:pPr>
              <w:spacing w:after="0" w:line="240" w:lineRule="auto"/>
              <w:rPr>
                <w:rFonts w:ascii="Calibri" w:eastAsia="Times New Roman" w:hAnsi="Calibri" w:cs="Calibri"/>
                <w:color w:val="000000"/>
              </w:rPr>
            </w:pPr>
            <w:r w:rsidRPr="004C7BAD">
              <w:rPr>
                <w:rFonts w:ascii="Calibri" w:eastAsia="Times New Roman" w:hAnsi="Calibri" w:cs="Calibri"/>
                <w:color w:val="000000"/>
              </w:rPr>
              <w:t>1</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14:paraId="2FA02553" w14:textId="77777777" w:rsidR="004C7BAD" w:rsidRPr="004C7BAD" w:rsidRDefault="004C7BAD" w:rsidP="004C7BAD">
            <w:pPr>
              <w:spacing w:after="0" w:line="240" w:lineRule="auto"/>
              <w:rPr>
                <w:rFonts w:ascii="Calibri" w:eastAsia="Times New Roman" w:hAnsi="Calibri" w:cs="Calibri"/>
                <w:color w:val="000000"/>
              </w:rPr>
            </w:pPr>
            <w:r w:rsidRPr="004C7BAD">
              <w:rPr>
                <w:rFonts w:ascii="Calibri" w:eastAsia="Times New Roman" w:hAnsi="Calibri" w:cs="Calibri"/>
                <w:color w:val="000000"/>
              </w:rPr>
              <w:t>2</w:t>
            </w:r>
          </w:p>
        </w:tc>
      </w:tr>
      <w:tr w:rsidR="004C7BAD" w:rsidRPr="004C7BAD" w14:paraId="6503DC5C" w14:textId="77777777" w:rsidTr="218A8BFF">
        <w:trPr>
          <w:trHeight w:val="491"/>
        </w:trPr>
        <w:tc>
          <w:tcPr>
            <w:tcW w:w="4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78DCF" w14:textId="77777777" w:rsidR="004C7BAD" w:rsidRPr="004C7BAD" w:rsidRDefault="004C7BAD" w:rsidP="004C7BAD">
            <w:pPr>
              <w:spacing w:after="0" w:line="240" w:lineRule="auto"/>
              <w:rPr>
                <w:rFonts w:ascii="Calibri" w:eastAsia="Times New Roman" w:hAnsi="Calibri" w:cs="Calibri"/>
                <w:color w:val="000000"/>
              </w:rPr>
            </w:pPr>
            <w:r w:rsidRPr="004C7BAD">
              <w:rPr>
                <w:rFonts w:ascii="Calibri" w:eastAsia="Times New Roman" w:hAnsi="Calibri" w:cs="Calibri"/>
                <w:color w:val="000000"/>
              </w:rPr>
              <w:t>Xmas Trees</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14:paraId="55D82A2B" w14:textId="77777777" w:rsidR="004C7BAD" w:rsidRPr="004C7BAD" w:rsidRDefault="004C7BAD" w:rsidP="004C7BAD">
            <w:pPr>
              <w:spacing w:after="0" w:line="240" w:lineRule="auto"/>
              <w:rPr>
                <w:rFonts w:ascii="Calibri" w:eastAsia="Times New Roman" w:hAnsi="Calibri" w:cs="Calibri"/>
                <w:color w:val="000000"/>
              </w:rPr>
            </w:pPr>
            <w:r w:rsidRPr="004C7BAD">
              <w:rPr>
                <w:rFonts w:ascii="Calibri" w:eastAsia="Times New Roman" w:hAnsi="Calibri" w:cs="Calibri"/>
                <w:color w:val="000000"/>
              </w:rPr>
              <w:t>&lt;1</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14:paraId="60D6AA15" w14:textId="77777777" w:rsidR="004C7BAD" w:rsidRPr="004C7BAD" w:rsidRDefault="004C7BAD" w:rsidP="004C7BAD">
            <w:pPr>
              <w:spacing w:after="0" w:line="240" w:lineRule="auto"/>
              <w:rPr>
                <w:rFonts w:ascii="Calibri" w:eastAsia="Times New Roman" w:hAnsi="Calibri" w:cs="Calibri"/>
                <w:color w:val="000000"/>
              </w:rPr>
            </w:pPr>
            <w:r w:rsidRPr="004C7BAD">
              <w:rPr>
                <w:rFonts w:ascii="Calibri" w:eastAsia="Times New Roman" w:hAnsi="Calibri" w:cs="Calibri"/>
                <w:color w:val="000000"/>
              </w:rPr>
              <w:t>&lt;1</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14:paraId="2647C823" w14:textId="77777777" w:rsidR="004C7BAD" w:rsidRPr="004C7BAD" w:rsidRDefault="004C7BAD" w:rsidP="004C7BAD">
            <w:pPr>
              <w:spacing w:after="0" w:line="240" w:lineRule="auto"/>
              <w:rPr>
                <w:rFonts w:ascii="Calibri" w:eastAsia="Times New Roman" w:hAnsi="Calibri" w:cs="Calibri"/>
                <w:color w:val="000000"/>
              </w:rPr>
            </w:pPr>
            <w:r w:rsidRPr="004C7BAD">
              <w:rPr>
                <w:rFonts w:ascii="Calibri" w:eastAsia="Times New Roman" w:hAnsi="Calibri" w:cs="Calibri"/>
                <w:color w:val="000000"/>
              </w:rPr>
              <w:t>&lt;1</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14:paraId="2AD5BEC2" w14:textId="77777777" w:rsidR="004C7BAD" w:rsidRPr="004C7BAD" w:rsidRDefault="004C7BAD" w:rsidP="004C7BAD">
            <w:pPr>
              <w:spacing w:after="0" w:line="240" w:lineRule="auto"/>
              <w:rPr>
                <w:rFonts w:ascii="Calibri" w:eastAsia="Times New Roman" w:hAnsi="Calibri" w:cs="Calibri"/>
                <w:color w:val="000000"/>
              </w:rPr>
            </w:pPr>
            <w:r w:rsidRPr="004C7BAD">
              <w:rPr>
                <w:rFonts w:ascii="Calibri" w:eastAsia="Times New Roman" w:hAnsi="Calibri" w:cs="Calibri"/>
                <w:color w:val="000000"/>
              </w:rPr>
              <w:t>&lt;1</w:t>
            </w:r>
          </w:p>
        </w:tc>
      </w:tr>
      <w:tr w:rsidR="004C7BAD" w:rsidRPr="004C7BAD" w14:paraId="4F6C94E6" w14:textId="77777777" w:rsidTr="218A8BFF">
        <w:trPr>
          <w:trHeight w:val="491"/>
        </w:trPr>
        <w:tc>
          <w:tcPr>
            <w:tcW w:w="4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029A4FD" w14:textId="77777777" w:rsidR="004C7BAD" w:rsidRPr="004C7BAD" w:rsidRDefault="004C7BAD" w:rsidP="004C7BAD">
            <w:pPr>
              <w:spacing w:after="0" w:line="240" w:lineRule="auto"/>
              <w:rPr>
                <w:rFonts w:ascii="Calibri" w:eastAsia="Times New Roman" w:hAnsi="Calibri" w:cs="Calibri"/>
                <w:color w:val="000000"/>
              </w:rPr>
            </w:pPr>
            <w:r w:rsidRPr="004C7BAD">
              <w:rPr>
                <w:rFonts w:ascii="Calibri" w:eastAsia="Times New Roman" w:hAnsi="Calibri" w:cs="Calibri"/>
                <w:color w:val="000000"/>
              </w:rPr>
              <w:t>Limit Ground Drift (300 m or 1000 ft)</w:t>
            </w:r>
          </w:p>
        </w:tc>
        <w:tc>
          <w:tcPr>
            <w:tcW w:w="102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8AB6982" w14:textId="77777777" w:rsidR="004C7BAD" w:rsidRPr="004C7BAD" w:rsidRDefault="004C7BAD" w:rsidP="004C7BAD">
            <w:pPr>
              <w:spacing w:after="0" w:line="240" w:lineRule="auto"/>
              <w:rPr>
                <w:rFonts w:ascii="Calibri" w:eastAsia="Times New Roman" w:hAnsi="Calibri" w:cs="Calibri"/>
                <w:color w:val="000000"/>
              </w:rPr>
            </w:pPr>
            <w:r w:rsidRPr="004C7BAD">
              <w:rPr>
                <w:rFonts w:ascii="Calibri" w:eastAsia="Times New Roman" w:hAnsi="Calibri" w:cs="Calibri"/>
                <w:color w:val="000000"/>
              </w:rPr>
              <w:t>67</w:t>
            </w:r>
          </w:p>
        </w:tc>
        <w:tc>
          <w:tcPr>
            <w:tcW w:w="78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2FB73C6" w14:textId="77777777" w:rsidR="004C7BAD" w:rsidRPr="004C7BAD" w:rsidRDefault="004C7BAD" w:rsidP="004C7BAD">
            <w:pPr>
              <w:spacing w:after="0" w:line="240" w:lineRule="auto"/>
              <w:rPr>
                <w:rFonts w:ascii="Calibri" w:eastAsia="Times New Roman" w:hAnsi="Calibri" w:cs="Calibri"/>
                <w:color w:val="000000"/>
              </w:rPr>
            </w:pPr>
            <w:r w:rsidRPr="004C7BAD">
              <w:rPr>
                <w:rFonts w:ascii="Calibri" w:eastAsia="Times New Roman" w:hAnsi="Calibri" w:cs="Calibri"/>
                <w:color w:val="000000"/>
              </w:rPr>
              <w:t>23</w:t>
            </w:r>
          </w:p>
        </w:tc>
        <w:tc>
          <w:tcPr>
            <w:tcW w:w="102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3953AB7" w14:textId="77777777" w:rsidR="004C7BAD" w:rsidRPr="004C7BAD" w:rsidRDefault="004C7BAD" w:rsidP="004C7BAD">
            <w:pPr>
              <w:spacing w:after="0" w:line="240" w:lineRule="auto"/>
              <w:rPr>
                <w:rFonts w:ascii="Calibri" w:eastAsia="Times New Roman" w:hAnsi="Calibri" w:cs="Calibri"/>
                <w:color w:val="000000"/>
              </w:rPr>
            </w:pPr>
            <w:r w:rsidRPr="004C7BAD">
              <w:rPr>
                <w:rFonts w:ascii="Calibri" w:eastAsia="Times New Roman" w:hAnsi="Calibri" w:cs="Calibri"/>
                <w:color w:val="000000"/>
              </w:rPr>
              <w:t>66</w:t>
            </w:r>
          </w:p>
        </w:tc>
        <w:tc>
          <w:tcPr>
            <w:tcW w:w="78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EFA3268" w14:textId="77777777" w:rsidR="004C7BAD" w:rsidRPr="004C7BAD" w:rsidRDefault="004C7BAD" w:rsidP="004C7BAD">
            <w:pPr>
              <w:spacing w:after="0" w:line="240" w:lineRule="auto"/>
              <w:rPr>
                <w:rFonts w:ascii="Calibri" w:eastAsia="Times New Roman" w:hAnsi="Calibri" w:cs="Calibri"/>
                <w:color w:val="000000"/>
              </w:rPr>
            </w:pPr>
            <w:r w:rsidRPr="004C7BAD">
              <w:rPr>
                <w:rFonts w:ascii="Calibri" w:eastAsia="Times New Roman" w:hAnsi="Calibri" w:cs="Calibri"/>
                <w:color w:val="000000"/>
              </w:rPr>
              <w:t>23</w:t>
            </w:r>
          </w:p>
        </w:tc>
      </w:tr>
      <w:tr w:rsidR="004C7BAD" w:rsidRPr="004C7BAD" w14:paraId="520838E1" w14:textId="77777777" w:rsidTr="218A8BFF">
        <w:trPr>
          <w:trHeight w:val="491"/>
        </w:trPr>
        <w:tc>
          <w:tcPr>
            <w:tcW w:w="4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3992296" w14:textId="77777777" w:rsidR="004C7BAD" w:rsidRPr="004C7BAD" w:rsidRDefault="004C7BAD" w:rsidP="004C7BAD">
            <w:pPr>
              <w:spacing w:after="0" w:line="240" w:lineRule="auto"/>
              <w:rPr>
                <w:rFonts w:ascii="Calibri" w:eastAsia="Times New Roman" w:hAnsi="Calibri" w:cs="Calibri"/>
                <w:color w:val="000000"/>
              </w:rPr>
            </w:pPr>
            <w:r w:rsidRPr="004C7BAD">
              <w:rPr>
                <w:rFonts w:ascii="Calibri" w:eastAsia="Times New Roman" w:hAnsi="Calibri" w:cs="Calibri"/>
                <w:color w:val="000000"/>
              </w:rPr>
              <w:t>Limit Aerial Drift (792m or 2600ft)</w:t>
            </w:r>
          </w:p>
        </w:tc>
        <w:tc>
          <w:tcPr>
            <w:tcW w:w="102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4D07E99" w14:textId="77777777" w:rsidR="004C7BAD" w:rsidRPr="004C7BAD" w:rsidRDefault="004C7BAD" w:rsidP="004C7BAD">
            <w:pPr>
              <w:spacing w:after="0" w:line="240" w:lineRule="auto"/>
              <w:rPr>
                <w:rFonts w:ascii="Calibri" w:eastAsia="Times New Roman" w:hAnsi="Calibri" w:cs="Calibri"/>
                <w:color w:val="000000"/>
              </w:rPr>
            </w:pPr>
            <w:r w:rsidRPr="004C7BAD">
              <w:rPr>
                <w:rFonts w:ascii="Calibri" w:eastAsia="Times New Roman" w:hAnsi="Calibri" w:cs="Calibri"/>
                <w:color w:val="000000"/>
              </w:rPr>
              <w:t>80</w:t>
            </w:r>
          </w:p>
        </w:tc>
        <w:tc>
          <w:tcPr>
            <w:tcW w:w="78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D95B6EE" w14:textId="77777777" w:rsidR="004C7BAD" w:rsidRPr="004C7BAD" w:rsidRDefault="004C7BAD" w:rsidP="004C7BAD">
            <w:pPr>
              <w:spacing w:after="0" w:line="240" w:lineRule="auto"/>
              <w:rPr>
                <w:rFonts w:ascii="Calibri" w:eastAsia="Times New Roman" w:hAnsi="Calibri" w:cs="Calibri"/>
                <w:color w:val="000000"/>
              </w:rPr>
            </w:pPr>
            <w:r w:rsidRPr="004C7BAD">
              <w:rPr>
                <w:rFonts w:ascii="Calibri" w:eastAsia="Times New Roman" w:hAnsi="Calibri" w:cs="Calibri"/>
                <w:color w:val="000000"/>
              </w:rPr>
              <w:t>21</w:t>
            </w:r>
          </w:p>
        </w:tc>
        <w:tc>
          <w:tcPr>
            <w:tcW w:w="102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397B255" w14:textId="77777777" w:rsidR="004C7BAD" w:rsidRPr="004C7BAD" w:rsidRDefault="004C7BAD" w:rsidP="004C7BAD">
            <w:pPr>
              <w:spacing w:after="0" w:line="240" w:lineRule="auto"/>
              <w:rPr>
                <w:rFonts w:ascii="Calibri" w:eastAsia="Times New Roman" w:hAnsi="Calibri" w:cs="Calibri"/>
                <w:color w:val="000000"/>
              </w:rPr>
            </w:pPr>
            <w:r w:rsidRPr="004C7BAD">
              <w:rPr>
                <w:rFonts w:ascii="Calibri" w:eastAsia="Times New Roman" w:hAnsi="Calibri" w:cs="Calibri"/>
                <w:color w:val="000000"/>
              </w:rPr>
              <w:t>79</w:t>
            </w:r>
          </w:p>
        </w:tc>
        <w:tc>
          <w:tcPr>
            <w:tcW w:w="78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DA15A0C" w14:textId="77777777" w:rsidR="004C7BAD" w:rsidRPr="004C7BAD" w:rsidRDefault="004C7BAD" w:rsidP="004C7BAD">
            <w:pPr>
              <w:spacing w:after="0" w:line="240" w:lineRule="auto"/>
              <w:rPr>
                <w:rFonts w:ascii="Calibri" w:eastAsia="Times New Roman" w:hAnsi="Calibri" w:cs="Calibri"/>
                <w:color w:val="000000"/>
              </w:rPr>
            </w:pPr>
            <w:r w:rsidRPr="004C7BAD">
              <w:rPr>
                <w:rFonts w:ascii="Calibri" w:eastAsia="Times New Roman" w:hAnsi="Calibri" w:cs="Calibri"/>
                <w:color w:val="000000"/>
              </w:rPr>
              <w:t>22</w:t>
            </w:r>
          </w:p>
        </w:tc>
      </w:tr>
    </w:tbl>
    <w:p w14:paraId="0A04DDC1" w14:textId="77777777" w:rsidR="00B16D28" w:rsidRPr="00E11F64" w:rsidRDefault="00B16D28" w:rsidP="00B16D28">
      <w:pPr>
        <w:rPr>
          <w:highlight w:val="yellow"/>
        </w:rPr>
      </w:pPr>
    </w:p>
    <w:p w14:paraId="2DD0C6FF" w14:textId="77777777" w:rsidR="00EE0529" w:rsidRPr="00B16D28" w:rsidRDefault="00EE0529" w:rsidP="00B16D28"/>
    <w:sectPr w:rsidR="00EE0529" w:rsidRPr="00B16D28">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A53D7" w14:textId="77777777" w:rsidR="00A21E23" w:rsidRDefault="00A21E23" w:rsidP="009F23B7">
      <w:pPr>
        <w:spacing w:after="0" w:line="240" w:lineRule="auto"/>
      </w:pPr>
      <w:r>
        <w:separator/>
      </w:r>
    </w:p>
    <w:p w14:paraId="0C9F4DB4" w14:textId="77777777" w:rsidR="00A21E23" w:rsidRDefault="00A21E23" w:rsidP="00696D0D"/>
  </w:endnote>
  <w:endnote w:type="continuationSeparator" w:id="0">
    <w:p w14:paraId="54A18098" w14:textId="77777777" w:rsidR="00A21E23" w:rsidRDefault="00A21E23" w:rsidP="009F23B7">
      <w:pPr>
        <w:spacing w:after="0" w:line="240" w:lineRule="auto"/>
      </w:pPr>
      <w:r>
        <w:continuationSeparator/>
      </w:r>
    </w:p>
    <w:p w14:paraId="52CF307E" w14:textId="77777777" w:rsidR="00A21E23" w:rsidRDefault="00A21E23" w:rsidP="00696D0D"/>
  </w:endnote>
  <w:endnote w:type="continuationNotice" w:id="1">
    <w:p w14:paraId="77B7CA20" w14:textId="77777777" w:rsidR="00A21E23" w:rsidRDefault="00A21E23">
      <w:pPr>
        <w:spacing w:after="0" w:line="240" w:lineRule="auto"/>
      </w:pPr>
    </w:p>
    <w:p w14:paraId="60D222BC" w14:textId="77777777" w:rsidR="00A21E23" w:rsidRDefault="00A21E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4560742"/>
      <w:docPartObj>
        <w:docPartGallery w:val="Page Numbers (Bottom of Page)"/>
        <w:docPartUnique/>
      </w:docPartObj>
    </w:sdtPr>
    <w:sdtEndPr>
      <w:rPr>
        <w:noProof/>
      </w:rPr>
    </w:sdtEndPr>
    <w:sdtContent>
      <w:p w14:paraId="72E312CC" w14:textId="33EA8BC0" w:rsidR="00E33F7C" w:rsidRDefault="00E33F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00A6C" w14:textId="77777777" w:rsidR="00A21E23" w:rsidRDefault="00A21E23" w:rsidP="009F23B7">
      <w:pPr>
        <w:spacing w:after="0" w:line="240" w:lineRule="auto"/>
      </w:pPr>
      <w:r>
        <w:separator/>
      </w:r>
    </w:p>
    <w:p w14:paraId="0EBCAEF9" w14:textId="77777777" w:rsidR="00A21E23" w:rsidRDefault="00A21E23" w:rsidP="00696D0D"/>
  </w:footnote>
  <w:footnote w:type="continuationSeparator" w:id="0">
    <w:p w14:paraId="1ABE681C" w14:textId="77777777" w:rsidR="00A21E23" w:rsidRDefault="00A21E23" w:rsidP="009F23B7">
      <w:pPr>
        <w:spacing w:after="0" w:line="240" w:lineRule="auto"/>
      </w:pPr>
      <w:r>
        <w:continuationSeparator/>
      </w:r>
    </w:p>
    <w:p w14:paraId="15ACB598" w14:textId="77777777" w:rsidR="00A21E23" w:rsidRDefault="00A21E23" w:rsidP="00696D0D"/>
  </w:footnote>
  <w:footnote w:type="continuationNotice" w:id="1">
    <w:p w14:paraId="4C9E4A9F" w14:textId="77777777" w:rsidR="00A21E23" w:rsidRDefault="00A21E23">
      <w:pPr>
        <w:spacing w:after="0" w:line="240" w:lineRule="auto"/>
      </w:pPr>
    </w:p>
    <w:p w14:paraId="6FA18555" w14:textId="77777777" w:rsidR="00A21E23" w:rsidRDefault="00A21E23"/>
  </w:footnote>
  <w:footnote w:id="2">
    <w:p w14:paraId="75675F45" w14:textId="77777777" w:rsidR="00E33F7C" w:rsidRDefault="00E33F7C" w:rsidP="00B16D28">
      <w:pPr>
        <w:pStyle w:val="FootnoteText"/>
      </w:pPr>
      <w:r>
        <w:rPr>
          <w:rStyle w:val="FootnoteReference"/>
        </w:rPr>
        <w:footnoteRef/>
      </w:r>
      <w:r>
        <w:t xml:space="preserve"> Available at: </w:t>
      </w:r>
      <w:hyperlink r:id="rId1" w:tgtFrame="_blank" w:history="1">
        <w:r>
          <w:rPr>
            <w:rStyle w:val="Hyperlink"/>
            <w:bdr w:val="none" w:sz="0" w:space="0" w:color="auto" w:frame="1"/>
            <w:shd w:val="clear" w:color="auto" w:fill="FFFFFF"/>
          </w:rPr>
          <w:t>https://www.epa.gov/endangered-species/revised-method-national-level-listed-species-biological-evaluations-conventional</w:t>
        </w:r>
      </w:hyperlink>
    </w:p>
  </w:footnote>
  <w:footnote w:id="3">
    <w:p w14:paraId="628C1AA6" w14:textId="77777777" w:rsidR="00E33F7C" w:rsidRPr="005D2A6C" w:rsidRDefault="00E33F7C" w:rsidP="002D67BD">
      <w:pPr>
        <w:pStyle w:val="NoSpacing"/>
        <w:rPr>
          <w:sz w:val="20"/>
        </w:rPr>
      </w:pPr>
      <w:r w:rsidRPr="005D2A6C">
        <w:rPr>
          <w:rStyle w:val="FootnoteReference"/>
        </w:rPr>
        <w:footnoteRef/>
      </w:r>
      <w:r w:rsidRPr="005D2A6C">
        <w:rPr>
          <w:sz w:val="20"/>
        </w:rPr>
        <w:t xml:space="preserve"> Query used to extract species from TESS: </w:t>
      </w:r>
      <w:hyperlink r:id="rId2" w:history="1">
        <w:r w:rsidRPr="00CB7A98">
          <w:rPr>
            <w:rStyle w:val="Hyperlink"/>
            <w:sz w:val="20"/>
          </w:rPr>
          <w:t>https://ecos.fws.gov/services/TessQuery?request=query&amp;xquery=/SPECIES_DETAIL</w:t>
        </w:r>
      </w:hyperlink>
    </w:p>
  </w:footnote>
  <w:footnote w:id="4">
    <w:p w14:paraId="33E734C3" w14:textId="77777777" w:rsidR="00E33F7C" w:rsidRPr="005D2A6C" w:rsidRDefault="00E33F7C" w:rsidP="002D67BD">
      <w:pPr>
        <w:pStyle w:val="NoSpacing"/>
        <w:rPr>
          <w:sz w:val="20"/>
        </w:rPr>
      </w:pPr>
      <w:r w:rsidRPr="005D2A6C">
        <w:rPr>
          <w:rStyle w:val="FootnoteReference"/>
        </w:rPr>
        <w:footnoteRef/>
      </w:r>
      <w:r w:rsidRPr="005D2A6C">
        <w:rPr>
          <w:sz w:val="20"/>
        </w:rPr>
        <w:t xml:space="preserve"> Statuses included: Threatened, Endangered, Experimental Population Non-Essential, Proposed Threatened, Proposed Endangered, and Candidate</w:t>
      </w:r>
    </w:p>
  </w:footnote>
  <w:footnote w:id="5">
    <w:p w14:paraId="47DFEA3E" w14:textId="77777777" w:rsidR="00E33F7C" w:rsidRPr="005D2A6C" w:rsidRDefault="00E33F7C" w:rsidP="002D67BD">
      <w:pPr>
        <w:pStyle w:val="NoSpacing"/>
        <w:rPr>
          <w:sz w:val="20"/>
        </w:rPr>
      </w:pPr>
      <w:r w:rsidRPr="005D2A6C">
        <w:rPr>
          <w:rStyle w:val="FootnoteReference"/>
        </w:rPr>
        <w:footnoteRef/>
      </w:r>
      <w:r w:rsidRPr="005D2A6C">
        <w:rPr>
          <w:sz w:val="20"/>
        </w:rPr>
        <w:t xml:space="preserve"> </w:t>
      </w:r>
      <w:hyperlink r:id="rId3" w:history="1">
        <w:r w:rsidRPr="005D2A6C">
          <w:rPr>
            <w:rStyle w:val="Hyperlink"/>
            <w:sz w:val="20"/>
          </w:rPr>
          <w:t>https://www.fisheries.noaa.gov/national/endangered-species-conservation/esa-threatened-endangered-species</w:t>
        </w:r>
      </w:hyperlink>
    </w:p>
  </w:footnote>
  <w:footnote w:id="6">
    <w:p w14:paraId="742A1859" w14:textId="77777777" w:rsidR="00E33F7C" w:rsidRPr="005D2A6C" w:rsidRDefault="00E33F7C" w:rsidP="002D67BD">
      <w:pPr>
        <w:pStyle w:val="NoSpacing"/>
        <w:rPr>
          <w:sz w:val="20"/>
        </w:rPr>
      </w:pPr>
      <w:r w:rsidRPr="005D2A6C">
        <w:rPr>
          <w:rStyle w:val="FootnoteReference"/>
        </w:rPr>
        <w:footnoteRef/>
      </w:r>
      <w:r w:rsidRPr="005D2A6C">
        <w:rPr>
          <w:sz w:val="20"/>
        </w:rPr>
        <w:t xml:space="preserve"> Website for designated critical habitat: (</w:t>
      </w:r>
      <w:hyperlink r:id="rId4" w:history="1">
        <w:r w:rsidRPr="003528CC">
          <w:rPr>
            <w:rStyle w:val="Hyperlink"/>
            <w:sz w:val="20"/>
            <w:szCs w:val="20"/>
          </w:rPr>
          <w:t>http://ecos.fws.gov/crithab)</w:t>
        </w:r>
      </w:hyperlink>
    </w:p>
  </w:footnote>
  <w:footnote w:id="7">
    <w:p w14:paraId="0DF507A5" w14:textId="77777777" w:rsidR="00E33F7C" w:rsidRPr="005D2A6C" w:rsidRDefault="00E33F7C" w:rsidP="002D67BD">
      <w:pPr>
        <w:pStyle w:val="NoSpacing"/>
        <w:rPr>
          <w:sz w:val="20"/>
        </w:rPr>
      </w:pPr>
      <w:r w:rsidRPr="005D2A6C">
        <w:rPr>
          <w:rStyle w:val="FootnoteReference"/>
        </w:rPr>
        <w:footnoteRef/>
      </w:r>
      <w:r w:rsidRPr="005D2A6C">
        <w:rPr>
          <w:sz w:val="20"/>
        </w:rPr>
        <w:t xml:space="preserve"> </w:t>
      </w:r>
      <w:hyperlink r:id="rId5" w:history="1">
        <w:r w:rsidRPr="005D2A6C">
          <w:rPr>
            <w:rStyle w:val="Hyperlink"/>
            <w:sz w:val="20"/>
          </w:rPr>
          <w:t>http://desktop.arcgis.com/en/arcmap/10.3/tools/analysis-toolbox/union.htm</w:t>
        </w:r>
      </w:hyperlink>
    </w:p>
  </w:footnote>
  <w:footnote w:id="8">
    <w:p w14:paraId="0C32FB6B" w14:textId="77777777" w:rsidR="00E33F7C" w:rsidRPr="0084719D" w:rsidRDefault="00E33F7C" w:rsidP="002D67BD">
      <w:pPr>
        <w:pStyle w:val="NoSpacing"/>
        <w:rPr>
          <w:sz w:val="20"/>
          <w:szCs w:val="20"/>
        </w:rPr>
      </w:pPr>
      <w:r w:rsidRPr="0084719D">
        <w:rPr>
          <w:rStyle w:val="FootnoteReference"/>
        </w:rPr>
        <w:footnoteRef/>
      </w:r>
      <w:r w:rsidRPr="0084719D">
        <w:rPr>
          <w:sz w:val="20"/>
          <w:szCs w:val="20"/>
        </w:rPr>
        <w:t xml:space="preserve"> USFWS, personal communication, November 2019</w:t>
      </w:r>
    </w:p>
  </w:footnote>
  <w:footnote w:id="9">
    <w:p w14:paraId="1AE3ED5F" w14:textId="77777777" w:rsidR="00E33F7C" w:rsidRDefault="00E33F7C" w:rsidP="002D67BD">
      <w:pPr>
        <w:pStyle w:val="NoSpacing"/>
      </w:pPr>
      <w:r w:rsidRPr="0084719D">
        <w:rPr>
          <w:rStyle w:val="FootnoteReference"/>
        </w:rPr>
        <w:footnoteRef/>
      </w:r>
      <w:r w:rsidRPr="0084719D">
        <w:rPr>
          <w:sz w:val="20"/>
          <w:szCs w:val="20"/>
        </w:rPr>
        <w:t xml:space="preserve"> </w:t>
      </w:r>
      <w:r w:rsidRPr="0084719D">
        <w:rPr>
          <w:rFonts w:cstheme="minorHAnsi"/>
          <w:sz w:val="20"/>
          <w:szCs w:val="20"/>
          <w:shd w:val="clear" w:color="auto" w:fill="FFFFFF"/>
        </w:rPr>
        <w:t xml:space="preserve">U.S. Geological Survey Gap Analysis Program, 20160513, GAP/LANDFIRE National Terrestrial Ecosystems 2011: U.S. Geological Survey: Boise, ID, </w:t>
      </w:r>
      <w:hyperlink r:id="rId6" w:history="1">
        <w:r w:rsidRPr="000923B0">
          <w:rPr>
            <w:rStyle w:val="Hyperlink"/>
            <w:rFonts w:cstheme="minorHAnsi"/>
            <w:sz w:val="20"/>
            <w:szCs w:val="20"/>
            <w:shd w:val="clear" w:color="auto" w:fill="FFFFFF"/>
          </w:rPr>
          <w:t>http://gapanalysis.usgs.gov/gaplandcover/.</w:t>
        </w:r>
      </w:hyperlink>
      <w:r w:rsidRPr="000923B0">
        <w:rPr>
          <w:rFonts w:cstheme="minorHAnsi"/>
          <w:sz w:val="20"/>
          <w:szCs w:val="20"/>
          <w:shd w:val="clear" w:color="auto" w:fill="FFFFFF"/>
        </w:rPr>
        <w:t xml:space="preserve"> doi:10.5066/F7ZS2TM0</w:t>
      </w:r>
      <w:r w:rsidRPr="0084719D">
        <w:rPr>
          <w:rFonts w:cstheme="minorHAnsi"/>
          <w:color w:val="333333"/>
          <w:sz w:val="20"/>
          <w:szCs w:val="20"/>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878B0"/>
    <w:multiLevelType w:val="hybridMultilevel"/>
    <w:tmpl w:val="3050B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E18B0"/>
    <w:multiLevelType w:val="hybridMultilevel"/>
    <w:tmpl w:val="6AF0E6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56109"/>
    <w:multiLevelType w:val="hybridMultilevel"/>
    <w:tmpl w:val="9174B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F858C1"/>
    <w:multiLevelType w:val="hybridMultilevel"/>
    <w:tmpl w:val="74E4C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477DFF"/>
    <w:multiLevelType w:val="hybridMultilevel"/>
    <w:tmpl w:val="D806043C"/>
    <w:lvl w:ilvl="0" w:tplc="C282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931BC"/>
    <w:multiLevelType w:val="hybridMultilevel"/>
    <w:tmpl w:val="52422C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A35EC2"/>
    <w:multiLevelType w:val="hybridMultilevel"/>
    <w:tmpl w:val="894811DE"/>
    <w:lvl w:ilvl="0" w:tplc="57109D56">
      <w:start w:val="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E03FE"/>
    <w:multiLevelType w:val="multilevel"/>
    <w:tmpl w:val="93D82A5E"/>
    <w:lvl w:ilvl="0">
      <w:start w:val="1"/>
      <w:numFmt w:val="decimal"/>
      <w:lvlText w:val="%1."/>
      <w:lvlJc w:val="left"/>
      <w:pPr>
        <w:ind w:left="360" w:hanging="360"/>
      </w:pPr>
      <w:rPr>
        <w:rFonts w:hint="default"/>
        <w:b w:val="0"/>
        <w:bCs/>
        <w:i w:val="0"/>
        <w:iCs w:val="0"/>
      </w:r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3F75DB"/>
    <w:multiLevelType w:val="hybridMultilevel"/>
    <w:tmpl w:val="7E9CAC7A"/>
    <w:lvl w:ilvl="0" w:tplc="B57E260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F262F7"/>
    <w:multiLevelType w:val="hybridMultilevel"/>
    <w:tmpl w:val="43F8FF3A"/>
    <w:lvl w:ilvl="0" w:tplc="A1EC4396">
      <w:start w:val="2017"/>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39955FB"/>
    <w:multiLevelType w:val="hybridMultilevel"/>
    <w:tmpl w:val="7ECCBC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24F865B1"/>
    <w:multiLevelType w:val="hybridMultilevel"/>
    <w:tmpl w:val="39EC6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347BD"/>
    <w:multiLevelType w:val="multilevel"/>
    <w:tmpl w:val="134EF71A"/>
    <w:lvl w:ilvl="0">
      <w:start w:val="1"/>
      <w:numFmt w:val="decimal"/>
      <w:lvlText w:val="%1"/>
      <w:lvlJc w:val="left"/>
      <w:pPr>
        <w:ind w:left="432" w:hanging="432"/>
      </w:pPr>
      <w:rPr>
        <w:rFonts w:hint="default"/>
      </w:rPr>
    </w:lvl>
    <w:lvl w:ilvl="1">
      <w:start w:val="1"/>
      <w:numFmt w:val="decimal"/>
      <w:lvlText w:val="%1.%2"/>
      <w:lvlJc w:val="left"/>
      <w:pPr>
        <w:ind w:left="648" w:hanging="64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BA7653F"/>
    <w:multiLevelType w:val="hybridMultilevel"/>
    <w:tmpl w:val="C618084E"/>
    <w:lvl w:ilvl="0" w:tplc="ADC88632">
      <w:start w:val="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6034B"/>
    <w:multiLevelType w:val="hybridMultilevel"/>
    <w:tmpl w:val="F708A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354814"/>
    <w:multiLevelType w:val="hybridMultilevel"/>
    <w:tmpl w:val="ABCA0716"/>
    <w:lvl w:ilvl="0" w:tplc="CDF4AC46">
      <w:start w:val="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FD7096"/>
    <w:multiLevelType w:val="hybridMultilevel"/>
    <w:tmpl w:val="F3AE0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331E09"/>
    <w:multiLevelType w:val="hybridMultilevel"/>
    <w:tmpl w:val="E804914E"/>
    <w:lvl w:ilvl="0" w:tplc="15ACAD68">
      <w:start w:val="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A674A6"/>
    <w:multiLevelType w:val="multilevel"/>
    <w:tmpl w:val="92FC43C6"/>
    <w:lvl w:ilvl="0">
      <w:start w:val="1"/>
      <w:numFmt w:val="decimal"/>
      <w:lvlText w:val="%1"/>
      <w:lvlJc w:val="left"/>
      <w:pPr>
        <w:ind w:left="432" w:hanging="432"/>
      </w:pPr>
      <w:rPr>
        <w:rFonts w:hint="default"/>
      </w:rPr>
    </w:lvl>
    <w:lvl w:ilvl="1">
      <w:start w:val="1"/>
      <w:numFmt w:val="decimal"/>
      <w:pStyle w:val="BEHeader2"/>
      <w:lvlText w:val="%1.%2"/>
      <w:lvlJc w:val="left"/>
      <w:pPr>
        <w:ind w:left="648" w:hanging="64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42F907E7"/>
    <w:multiLevelType w:val="hybridMultilevel"/>
    <w:tmpl w:val="D5FA8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F85D37"/>
    <w:multiLevelType w:val="hybridMultilevel"/>
    <w:tmpl w:val="981AB310"/>
    <w:lvl w:ilvl="0" w:tplc="A1EC4396">
      <w:start w:val="2017"/>
      <w:numFmt w:val="bullet"/>
      <w:lvlText w:val="-"/>
      <w:lvlJc w:val="left"/>
      <w:pPr>
        <w:ind w:left="720" w:hanging="360"/>
      </w:pPr>
      <w:rPr>
        <w:rFonts w:ascii="Calibri" w:eastAsia="Calibri" w:hAnsi="Calibri" w:cs="Calibri"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8D7674A"/>
    <w:multiLevelType w:val="hybridMultilevel"/>
    <w:tmpl w:val="F3AE0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173A83"/>
    <w:multiLevelType w:val="hybridMultilevel"/>
    <w:tmpl w:val="F3AE0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F87BA6"/>
    <w:multiLevelType w:val="hybridMultilevel"/>
    <w:tmpl w:val="4288ED58"/>
    <w:lvl w:ilvl="0" w:tplc="7F66EE94">
      <w:start w:val="2"/>
      <w:numFmt w:val="bullet"/>
      <w:lvlText w:val=""/>
      <w:lvlJc w:val="left"/>
      <w:pPr>
        <w:ind w:left="1170" w:hanging="360"/>
      </w:pPr>
      <w:rPr>
        <w:rFonts w:ascii="Wingdings" w:eastAsiaTheme="minorEastAsia" w:hAnsi="Wingdings"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5DEE43B8"/>
    <w:multiLevelType w:val="hybridMultilevel"/>
    <w:tmpl w:val="52422C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28E2FAF"/>
    <w:multiLevelType w:val="multilevel"/>
    <w:tmpl w:val="ADFAEED8"/>
    <w:lvl w:ilvl="0">
      <w:start w:val="1"/>
      <w:numFmt w:val="decimal"/>
      <w:pStyle w:val="BEHeader1"/>
      <w:lvlText w:val="%1"/>
      <w:lvlJc w:val="left"/>
      <w:pPr>
        <w:ind w:left="432" w:hanging="432"/>
      </w:pPr>
      <w:rPr>
        <w:rFonts w:hint="default"/>
      </w:rPr>
    </w:lvl>
    <w:lvl w:ilvl="1">
      <w:start w:val="1"/>
      <w:numFmt w:val="decimal"/>
      <w:pStyle w:val="Heading2"/>
      <w:lvlText w:val="%1.%2"/>
      <w:lvlJc w:val="left"/>
      <w:pPr>
        <w:ind w:left="1566" w:hanging="576"/>
      </w:pPr>
      <w:rPr>
        <w:rFonts w:hint="default"/>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7A7D4EF2"/>
    <w:multiLevelType w:val="hybridMultilevel"/>
    <w:tmpl w:val="3DA44F72"/>
    <w:lvl w:ilvl="0" w:tplc="C3947EF6">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E4507D"/>
    <w:multiLevelType w:val="hybridMultilevel"/>
    <w:tmpl w:val="2318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DE2CCD"/>
    <w:multiLevelType w:val="hybridMultilevel"/>
    <w:tmpl w:val="015EC3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E6B33B5"/>
    <w:multiLevelType w:val="multilevel"/>
    <w:tmpl w:val="21A88B4E"/>
    <w:lvl w:ilvl="0">
      <w:start w:val="1"/>
      <w:numFmt w:val="decimal"/>
      <w:lvlText w:val="%1"/>
      <w:lvlJc w:val="left"/>
      <w:pPr>
        <w:ind w:left="432" w:hanging="432"/>
      </w:pPr>
      <w:rPr>
        <w:rFonts w:hint="default"/>
      </w:rPr>
    </w:lvl>
    <w:lvl w:ilvl="1">
      <w:start w:val="1"/>
      <w:numFmt w:val="decimal"/>
      <w:lvlText w:val="%1.%2"/>
      <w:lvlJc w:val="left"/>
      <w:pPr>
        <w:ind w:left="648" w:hanging="64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19"/>
  </w:num>
  <w:num w:numId="6">
    <w:abstractNumId w:val="10"/>
  </w:num>
  <w:num w:numId="7">
    <w:abstractNumId w:val="27"/>
  </w:num>
  <w:num w:numId="8">
    <w:abstractNumId w:val="7"/>
  </w:num>
  <w:num w:numId="9">
    <w:abstractNumId w:val="7"/>
  </w:num>
  <w:num w:numId="10">
    <w:abstractNumId w:val="29"/>
  </w:num>
  <w:num w:numId="11">
    <w:abstractNumId w:val="16"/>
  </w:num>
  <w:num w:numId="12">
    <w:abstractNumId w:val="22"/>
  </w:num>
  <w:num w:numId="13">
    <w:abstractNumId w:val="25"/>
  </w:num>
  <w:num w:numId="14">
    <w:abstractNumId w:val="14"/>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6"/>
  </w:num>
  <w:num w:numId="22">
    <w:abstractNumId w:val="13"/>
  </w:num>
  <w:num w:numId="23">
    <w:abstractNumId w:val="17"/>
  </w:num>
  <w:num w:numId="24">
    <w:abstractNumId w:val="15"/>
  </w:num>
  <w:num w:numId="25">
    <w:abstractNumId w:val="26"/>
  </w:num>
  <w:num w:numId="26">
    <w:abstractNumId w:val="23"/>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1"/>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0"/>
    <w:lvlOverride w:ilvl="0"/>
    <w:lvlOverride w:ilvl="1">
      <w:startOverride w:val="1"/>
    </w:lvlOverride>
    <w:lvlOverride w:ilvl="2"/>
    <w:lvlOverride w:ilvl="3"/>
    <w:lvlOverride w:ilvl="4"/>
    <w:lvlOverride w:ilvl="5"/>
    <w:lvlOverride w:ilvl="6"/>
    <w:lvlOverride w:ilvl="7"/>
    <w:lvlOverride w:ilvl="8"/>
  </w:num>
  <w:num w:numId="35">
    <w:abstractNumId w:val="20"/>
  </w:num>
  <w:num w:numId="36">
    <w:abstractNumId w:val="28"/>
  </w:num>
  <w:num w:numId="37">
    <w:abstractNumId w:val="24"/>
  </w:num>
  <w:num w:numId="38">
    <w:abstractNumId w:val="5"/>
  </w:num>
  <w:num w:numId="39">
    <w:abstractNumId w:val="1"/>
  </w:num>
  <w:num w:numId="40">
    <w:abstractNumId w:val="12"/>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nzlnoSJLTSqi7pIKblhkgwdMGUjtVx04ob1krTK7eh6ys1HaHTxX8Ebrq3TvT0E8y7EuEwnEKQ5elIFtEME9xA==" w:salt="h2O2CHEFRLor0t4SlxrGJg=="/>
  <w:defaultTabStop w:val="720"/>
  <w:doNotShadeFormData/>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FBA"/>
    <w:rsid w:val="00001132"/>
    <w:rsid w:val="00001A86"/>
    <w:rsid w:val="000036D7"/>
    <w:rsid w:val="000102CB"/>
    <w:rsid w:val="00013559"/>
    <w:rsid w:val="00014E7A"/>
    <w:rsid w:val="00017379"/>
    <w:rsid w:val="00017501"/>
    <w:rsid w:val="00017FB8"/>
    <w:rsid w:val="00021038"/>
    <w:rsid w:val="00021249"/>
    <w:rsid w:val="000214A5"/>
    <w:rsid w:val="00025A9D"/>
    <w:rsid w:val="00036483"/>
    <w:rsid w:val="000372EA"/>
    <w:rsid w:val="000379B9"/>
    <w:rsid w:val="0004007F"/>
    <w:rsid w:val="000421E2"/>
    <w:rsid w:val="000434F2"/>
    <w:rsid w:val="00044086"/>
    <w:rsid w:val="00046BFC"/>
    <w:rsid w:val="00051241"/>
    <w:rsid w:val="00051A18"/>
    <w:rsid w:val="00052020"/>
    <w:rsid w:val="0005274A"/>
    <w:rsid w:val="0005294B"/>
    <w:rsid w:val="00060272"/>
    <w:rsid w:val="00060307"/>
    <w:rsid w:val="000623C1"/>
    <w:rsid w:val="000631DE"/>
    <w:rsid w:val="00064D0A"/>
    <w:rsid w:val="00070C66"/>
    <w:rsid w:val="000727D7"/>
    <w:rsid w:val="00072DF0"/>
    <w:rsid w:val="000735DD"/>
    <w:rsid w:val="00074367"/>
    <w:rsid w:val="00075B6B"/>
    <w:rsid w:val="00077A72"/>
    <w:rsid w:val="000803F9"/>
    <w:rsid w:val="000810B9"/>
    <w:rsid w:val="00085144"/>
    <w:rsid w:val="000866A6"/>
    <w:rsid w:val="0008707E"/>
    <w:rsid w:val="00090035"/>
    <w:rsid w:val="00090ACA"/>
    <w:rsid w:val="00092422"/>
    <w:rsid w:val="00095C00"/>
    <w:rsid w:val="000A1F10"/>
    <w:rsid w:val="000A26A9"/>
    <w:rsid w:val="000A47D9"/>
    <w:rsid w:val="000A49BC"/>
    <w:rsid w:val="000A7D23"/>
    <w:rsid w:val="000B0F5A"/>
    <w:rsid w:val="000B191B"/>
    <w:rsid w:val="000B28D6"/>
    <w:rsid w:val="000B4C30"/>
    <w:rsid w:val="000B5197"/>
    <w:rsid w:val="000B661A"/>
    <w:rsid w:val="000C0B99"/>
    <w:rsid w:val="000C1811"/>
    <w:rsid w:val="000C2229"/>
    <w:rsid w:val="000C6930"/>
    <w:rsid w:val="000C6D63"/>
    <w:rsid w:val="000D0A70"/>
    <w:rsid w:val="000D2943"/>
    <w:rsid w:val="000D2F7C"/>
    <w:rsid w:val="000D3723"/>
    <w:rsid w:val="000D4954"/>
    <w:rsid w:val="000D7E9C"/>
    <w:rsid w:val="000E0BB8"/>
    <w:rsid w:val="000E0EA2"/>
    <w:rsid w:val="000E1C28"/>
    <w:rsid w:val="000E2010"/>
    <w:rsid w:val="000E2A59"/>
    <w:rsid w:val="000E497F"/>
    <w:rsid w:val="000F0EF1"/>
    <w:rsid w:val="000F1D40"/>
    <w:rsid w:val="000F30A0"/>
    <w:rsid w:val="000F45FB"/>
    <w:rsid w:val="000F53DA"/>
    <w:rsid w:val="000F553D"/>
    <w:rsid w:val="000F5E89"/>
    <w:rsid w:val="000F6009"/>
    <w:rsid w:val="000F68F6"/>
    <w:rsid w:val="000F6943"/>
    <w:rsid w:val="000F6B6C"/>
    <w:rsid w:val="0010006E"/>
    <w:rsid w:val="001050BA"/>
    <w:rsid w:val="001050DC"/>
    <w:rsid w:val="001054D0"/>
    <w:rsid w:val="00107FA7"/>
    <w:rsid w:val="001102B6"/>
    <w:rsid w:val="0012286F"/>
    <w:rsid w:val="001231A7"/>
    <w:rsid w:val="00123642"/>
    <w:rsid w:val="00124485"/>
    <w:rsid w:val="00124A55"/>
    <w:rsid w:val="00125510"/>
    <w:rsid w:val="00126085"/>
    <w:rsid w:val="001266F3"/>
    <w:rsid w:val="00127A8D"/>
    <w:rsid w:val="00127C41"/>
    <w:rsid w:val="00130BA8"/>
    <w:rsid w:val="001328AC"/>
    <w:rsid w:val="001356B3"/>
    <w:rsid w:val="00135CFA"/>
    <w:rsid w:val="001372D7"/>
    <w:rsid w:val="001379C8"/>
    <w:rsid w:val="00141B7C"/>
    <w:rsid w:val="001421C3"/>
    <w:rsid w:val="00144F98"/>
    <w:rsid w:val="00145B55"/>
    <w:rsid w:val="001502E7"/>
    <w:rsid w:val="00156980"/>
    <w:rsid w:val="00156F64"/>
    <w:rsid w:val="001601FF"/>
    <w:rsid w:val="00160229"/>
    <w:rsid w:val="001616E9"/>
    <w:rsid w:val="001621CA"/>
    <w:rsid w:val="00163BE9"/>
    <w:rsid w:val="001645C5"/>
    <w:rsid w:val="00165556"/>
    <w:rsid w:val="001675D4"/>
    <w:rsid w:val="00167E97"/>
    <w:rsid w:val="00170E3C"/>
    <w:rsid w:val="0017161B"/>
    <w:rsid w:val="0017206A"/>
    <w:rsid w:val="001724E7"/>
    <w:rsid w:val="00173D2A"/>
    <w:rsid w:val="00173EA5"/>
    <w:rsid w:val="00174C82"/>
    <w:rsid w:val="00175612"/>
    <w:rsid w:val="00177BEC"/>
    <w:rsid w:val="00181151"/>
    <w:rsid w:val="00181B3A"/>
    <w:rsid w:val="00181C87"/>
    <w:rsid w:val="00184922"/>
    <w:rsid w:val="00186F93"/>
    <w:rsid w:val="0019219E"/>
    <w:rsid w:val="001929F0"/>
    <w:rsid w:val="00194FDB"/>
    <w:rsid w:val="001975E2"/>
    <w:rsid w:val="001A0297"/>
    <w:rsid w:val="001A04B2"/>
    <w:rsid w:val="001A3F62"/>
    <w:rsid w:val="001A7785"/>
    <w:rsid w:val="001B0CD3"/>
    <w:rsid w:val="001B103C"/>
    <w:rsid w:val="001B22E3"/>
    <w:rsid w:val="001B706E"/>
    <w:rsid w:val="001B734B"/>
    <w:rsid w:val="001B7CFF"/>
    <w:rsid w:val="001C068F"/>
    <w:rsid w:val="001C0DA2"/>
    <w:rsid w:val="001C4D8E"/>
    <w:rsid w:val="001C5151"/>
    <w:rsid w:val="001C63F2"/>
    <w:rsid w:val="001C73C7"/>
    <w:rsid w:val="001D1206"/>
    <w:rsid w:val="001D1F06"/>
    <w:rsid w:val="001D2F82"/>
    <w:rsid w:val="001D34B7"/>
    <w:rsid w:val="001D3BF4"/>
    <w:rsid w:val="001D5894"/>
    <w:rsid w:val="001D5D21"/>
    <w:rsid w:val="001D64C1"/>
    <w:rsid w:val="001E392E"/>
    <w:rsid w:val="001E4757"/>
    <w:rsid w:val="001E5D64"/>
    <w:rsid w:val="001E7446"/>
    <w:rsid w:val="001F0EB4"/>
    <w:rsid w:val="001F1F0C"/>
    <w:rsid w:val="001F2387"/>
    <w:rsid w:val="001F328E"/>
    <w:rsid w:val="001F437C"/>
    <w:rsid w:val="001F5E32"/>
    <w:rsid w:val="001F7127"/>
    <w:rsid w:val="001F720E"/>
    <w:rsid w:val="001F7390"/>
    <w:rsid w:val="00202B64"/>
    <w:rsid w:val="002035CB"/>
    <w:rsid w:val="00203E1C"/>
    <w:rsid w:val="0020505A"/>
    <w:rsid w:val="00211D85"/>
    <w:rsid w:val="002129E3"/>
    <w:rsid w:val="00213343"/>
    <w:rsid w:val="002152C4"/>
    <w:rsid w:val="002159D8"/>
    <w:rsid w:val="00216385"/>
    <w:rsid w:val="00222E53"/>
    <w:rsid w:val="00224920"/>
    <w:rsid w:val="00225E48"/>
    <w:rsid w:val="00225F9D"/>
    <w:rsid w:val="00227049"/>
    <w:rsid w:val="00230510"/>
    <w:rsid w:val="002309D8"/>
    <w:rsid w:val="002331F2"/>
    <w:rsid w:val="002345F9"/>
    <w:rsid w:val="00237D19"/>
    <w:rsid w:val="00237DD3"/>
    <w:rsid w:val="0024088D"/>
    <w:rsid w:val="00242D37"/>
    <w:rsid w:val="0024383D"/>
    <w:rsid w:val="002439E2"/>
    <w:rsid w:val="00250C8C"/>
    <w:rsid w:val="00251DB8"/>
    <w:rsid w:val="00251EF4"/>
    <w:rsid w:val="00252F67"/>
    <w:rsid w:val="002533B3"/>
    <w:rsid w:val="00255120"/>
    <w:rsid w:val="00256FF9"/>
    <w:rsid w:val="0025775A"/>
    <w:rsid w:val="002605CD"/>
    <w:rsid w:val="0026066A"/>
    <w:rsid w:val="002609B2"/>
    <w:rsid w:val="002629FB"/>
    <w:rsid w:val="002633F6"/>
    <w:rsid w:val="00263439"/>
    <w:rsid w:val="00263BBA"/>
    <w:rsid w:val="00267402"/>
    <w:rsid w:val="002700F2"/>
    <w:rsid w:val="002702E1"/>
    <w:rsid w:val="00270815"/>
    <w:rsid w:val="00270A13"/>
    <w:rsid w:val="00271803"/>
    <w:rsid w:val="002718A6"/>
    <w:rsid w:val="0027351D"/>
    <w:rsid w:val="00275229"/>
    <w:rsid w:val="0027677D"/>
    <w:rsid w:val="00276BD0"/>
    <w:rsid w:val="002803D8"/>
    <w:rsid w:val="00285223"/>
    <w:rsid w:val="002876AF"/>
    <w:rsid w:val="0029020C"/>
    <w:rsid w:val="00290C9C"/>
    <w:rsid w:val="00291D08"/>
    <w:rsid w:val="0029229D"/>
    <w:rsid w:val="00292B23"/>
    <w:rsid w:val="002966CE"/>
    <w:rsid w:val="002975B9"/>
    <w:rsid w:val="002979E3"/>
    <w:rsid w:val="002A24A8"/>
    <w:rsid w:val="002A3B37"/>
    <w:rsid w:val="002A4BFA"/>
    <w:rsid w:val="002A52BB"/>
    <w:rsid w:val="002B1F31"/>
    <w:rsid w:val="002B5BB0"/>
    <w:rsid w:val="002B5C2A"/>
    <w:rsid w:val="002C1C4F"/>
    <w:rsid w:val="002C4311"/>
    <w:rsid w:val="002C58D8"/>
    <w:rsid w:val="002C6AEF"/>
    <w:rsid w:val="002D1AE6"/>
    <w:rsid w:val="002D2A00"/>
    <w:rsid w:val="002D35CC"/>
    <w:rsid w:val="002D3F8D"/>
    <w:rsid w:val="002D67BD"/>
    <w:rsid w:val="002E29E0"/>
    <w:rsid w:val="002E2D46"/>
    <w:rsid w:val="002E308E"/>
    <w:rsid w:val="002E36D2"/>
    <w:rsid w:val="002E3AF2"/>
    <w:rsid w:val="002E626F"/>
    <w:rsid w:val="002F03BA"/>
    <w:rsid w:val="002F4F2C"/>
    <w:rsid w:val="002F6AA8"/>
    <w:rsid w:val="00300211"/>
    <w:rsid w:val="00301822"/>
    <w:rsid w:val="00301C4B"/>
    <w:rsid w:val="00303129"/>
    <w:rsid w:val="00305176"/>
    <w:rsid w:val="00306979"/>
    <w:rsid w:val="0030714D"/>
    <w:rsid w:val="003103BE"/>
    <w:rsid w:val="00312598"/>
    <w:rsid w:val="00313320"/>
    <w:rsid w:val="00315DA4"/>
    <w:rsid w:val="0031763D"/>
    <w:rsid w:val="00317A85"/>
    <w:rsid w:val="00317F85"/>
    <w:rsid w:val="00320E4B"/>
    <w:rsid w:val="00321CB3"/>
    <w:rsid w:val="00325A86"/>
    <w:rsid w:val="00330BBA"/>
    <w:rsid w:val="00332709"/>
    <w:rsid w:val="00333868"/>
    <w:rsid w:val="0033660B"/>
    <w:rsid w:val="003411B8"/>
    <w:rsid w:val="003414A9"/>
    <w:rsid w:val="00343CE6"/>
    <w:rsid w:val="00347234"/>
    <w:rsid w:val="00350A91"/>
    <w:rsid w:val="00351900"/>
    <w:rsid w:val="003528CC"/>
    <w:rsid w:val="00353B9E"/>
    <w:rsid w:val="0035416C"/>
    <w:rsid w:val="00354661"/>
    <w:rsid w:val="00354980"/>
    <w:rsid w:val="0036050E"/>
    <w:rsid w:val="00360727"/>
    <w:rsid w:val="003647CD"/>
    <w:rsid w:val="003657D8"/>
    <w:rsid w:val="00366654"/>
    <w:rsid w:val="00367D09"/>
    <w:rsid w:val="0037468F"/>
    <w:rsid w:val="00375B84"/>
    <w:rsid w:val="003762C9"/>
    <w:rsid w:val="0037777A"/>
    <w:rsid w:val="00380A7B"/>
    <w:rsid w:val="00381768"/>
    <w:rsid w:val="0038228F"/>
    <w:rsid w:val="00383945"/>
    <w:rsid w:val="00386066"/>
    <w:rsid w:val="00386245"/>
    <w:rsid w:val="0039070A"/>
    <w:rsid w:val="00391B0D"/>
    <w:rsid w:val="00391B59"/>
    <w:rsid w:val="00392123"/>
    <w:rsid w:val="00394241"/>
    <w:rsid w:val="00394F43"/>
    <w:rsid w:val="00395D8B"/>
    <w:rsid w:val="003A0D53"/>
    <w:rsid w:val="003A1046"/>
    <w:rsid w:val="003A11FC"/>
    <w:rsid w:val="003A160D"/>
    <w:rsid w:val="003A32A7"/>
    <w:rsid w:val="003A3480"/>
    <w:rsid w:val="003A4A01"/>
    <w:rsid w:val="003A583C"/>
    <w:rsid w:val="003A5F25"/>
    <w:rsid w:val="003A6A58"/>
    <w:rsid w:val="003B1C0A"/>
    <w:rsid w:val="003B1DB2"/>
    <w:rsid w:val="003B21C8"/>
    <w:rsid w:val="003B227A"/>
    <w:rsid w:val="003B4620"/>
    <w:rsid w:val="003B69CA"/>
    <w:rsid w:val="003B7DD6"/>
    <w:rsid w:val="003C260F"/>
    <w:rsid w:val="003C52CA"/>
    <w:rsid w:val="003C68B4"/>
    <w:rsid w:val="003C7FD4"/>
    <w:rsid w:val="003D0F06"/>
    <w:rsid w:val="003D1E99"/>
    <w:rsid w:val="003D45A3"/>
    <w:rsid w:val="003D542B"/>
    <w:rsid w:val="003D67F7"/>
    <w:rsid w:val="003D6EC7"/>
    <w:rsid w:val="003E11BF"/>
    <w:rsid w:val="003E1429"/>
    <w:rsid w:val="003E17F7"/>
    <w:rsid w:val="003E23B9"/>
    <w:rsid w:val="003E4365"/>
    <w:rsid w:val="003E51F3"/>
    <w:rsid w:val="003F1326"/>
    <w:rsid w:val="003F658A"/>
    <w:rsid w:val="003F714F"/>
    <w:rsid w:val="0040088F"/>
    <w:rsid w:val="00402D5E"/>
    <w:rsid w:val="00403641"/>
    <w:rsid w:val="00407A12"/>
    <w:rsid w:val="0041104D"/>
    <w:rsid w:val="004137B7"/>
    <w:rsid w:val="004162CC"/>
    <w:rsid w:val="00423878"/>
    <w:rsid w:val="00425848"/>
    <w:rsid w:val="0042755B"/>
    <w:rsid w:val="00430124"/>
    <w:rsid w:val="00433893"/>
    <w:rsid w:val="00434E1C"/>
    <w:rsid w:val="004365AE"/>
    <w:rsid w:val="004441A1"/>
    <w:rsid w:val="00446C25"/>
    <w:rsid w:val="0044711B"/>
    <w:rsid w:val="00447DB6"/>
    <w:rsid w:val="004512D4"/>
    <w:rsid w:val="00453458"/>
    <w:rsid w:val="0046274F"/>
    <w:rsid w:val="00464F15"/>
    <w:rsid w:val="00471111"/>
    <w:rsid w:val="00472BC5"/>
    <w:rsid w:val="0047698B"/>
    <w:rsid w:val="0048067A"/>
    <w:rsid w:val="00482D25"/>
    <w:rsid w:val="00482FF5"/>
    <w:rsid w:val="00486298"/>
    <w:rsid w:val="004876E2"/>
    <w:rsid w:val="00487C52"/>
    <w:rsid w:val="00495BE6"/>
    <w:rsid w:val="0049610B"/>
    <w:rsid w:val="004A5745"/>
    <w:rsid w:val="004B23ED"/>
    <w:rsid w:val="004B2A3C"/>
    <w:rsid w:val="004B2FD2"/>
    <w:rsid w:val="004B60BF"/>
    <w:rsid w:val="004B701B"/>
    <w:rsid w:val="004B7779"/>
    <w:rsid w:val="004C49BF"/>
    <w:rsid w:val="004C57D5"/>
    <w:rsid w:val="004C5E6C"/>
    <w:rsid w:val="004C7BAD"/>
    <w:rsid w:val="004D08A9"/>
    <w:rsid w:val="004D102D"/>
    <w:rsid w:val="004D1CCD"/>
    <w:rsid w:val="004D285D"/>
    <w:rsid w:val="004D5784"/>
    <w:rsid w:val="004D5A3E"/>
    <w:rsid w:val="004E0226"/>
    <w:rsid w:val="004E05C8"/>
    <w:rsid w:val="004E1B36"/>
    <w:rsid w:val="004E229F"/>
    <w:rsid w:val="004E308D"/>
    <w:rsid w:val="004E60C9"/>
    <w:rsid w:val="004E65CF"/>
    <w:rsid w:val="004F2D8C"/>
    <w:rsid w:val="004F7C68"/>
    <w:rsid w:val="00500171"/>
    <w:rsid w:val="00500B20"/>
    <w:rsid w:val="00501D4E"/>
    <w:rsid w:val="00504266"/>
    <w:rsid w:val="0050600B"/>
    <w:rsid w:val="00511468"/>
    <w:rsid w:val="00513186"/>
    <w:rsid w:val="005137F9"/>
    <w:rsid w:val="005155D6"/>
    <w:rsid w:val="00516EB4"/>
    <w:rsid w:val="005175AA"/>
    <w:rsid w:val="005201D2"/>
    <w:rsid w:val="00520E94"/>
    <w:rsid w:val="00526985"/>
    <w:rsid w:val="00530E62"/>
    <w:rsid w:val="005321FE"/>
    <w:rsid w:val="005337CB"/>
    <w:rsid w:val="00534771"/>
    <w:rsid w:val="0053558E"/>
    <w:rsid w:val="00535784"/>
    <w:rsid w:val="0053584B"/>
    <w:rsid w:val="005365ED"/>
    <w:rsid w:val="00545539"/>
    <w:rsid w:val="005458C1"/>
    <w:rsid w:val="00545EB4"/>
    <w:rsid w:val="00546E69"/>
    <w:rsid w:val="00547ABE"/>
    <w:rsid w:val="00550B04"/>
    <w:rsid w:val="00552BC8"/>
    <w:rsid w:val="00552C8A"/>
    <w:rsid w:val="00553474"/>
    <w:rsid w:val="005537AF"/>
    <w:rsid w:val="00553A9D"/>
    <w:rsid w:val="00553FC5"/>
    <w:rsid w:val="0055492B"/>
    <w:rsid w:val="00555D27"/>
    <w:rsid w:val="00556557"/>
    <w:rsid w:val="00557F6D"/>
    <w:rsid w:val="00560D2E"/>
    <w:rsid w:val="0056307D"/>
    <w:rsid w:val="0056363D"/>
    <w:rsid w:val="00563DDB"/>
    <w:rsid w:val="005700EF"/>
    <w:rsid w:val="00572312"/>
    <w:rsid w:val="005738CB"/>
    <w:rsid w:val="00574070"/>
    <w:rsid w:val="005740D1"/>
    <w:rsid w:val="00581938"/>
    <w:rsid w:val="00586579"/>
    <w:rsid w:val="00590301"/>
    <w:rsid w:val="00591227"/>
    <w:rsid w:val="00592EBE"/>
    <w:rsid w:val="00593240"/>
    <w:rsid w:val="0059404C"/>
    <w:rsid w:val="005943FC"/>
    <w:rsid w:val="005A267D"/>
    <w:rsid w:val="005A392C"/>
    <w:rsid w:val="005A4722"/>
    <w:rsid w:val="005A4C14"/>
    <w:rsid w:val="005A5547"/>
    <w:rsid w:val="005A7240"/>
    <w:rsid w:val="005A778D"/>
    <w:rsid w:val="005A7938"/>
    <w:rsid w:val="005B05E3"/>
    <w:rsid w:val="005B0BB3"/>
    <w:rsid w:val="005B1482"/>
    <w:rsid w:val="005B1495"/>
    <w:rsid w:val="005B2550"/>
    <w:rsid w:val="005B4A76"/>
    <w:rsid w:val="005B6E74"/>
    <w:rsid w:val="005B7825"/>
    <w:rsid w:val="005C1202"/>
    <w:rsid w:val="005C3598"/>
    <w:rsid w:val="005C39EC"/>
    <w:rsid w:val="005C4558"/>
    <w:rsid w:val="005C5245"/>
    <w:rsid w:val="005C5D87"/>
    <w:rsid w:val="005D1AD7"/>
    <w:rsid w:val="005D267D"/>
    <w:rsid w:val="005D2777"/>
    <w:rsid w:val="005D2A6C"/>
    <w:rsid w:val="005D3CC4"/>
    <w:rsid w:val="005D445A"/>
    <w:rsid w:val="005E5954"/>
    <w:rsid w:val="005F0559"/>
    <w:rsid w:val="005F1609"/>
    <w:rsid w:val="005F319D"/>
    <w:rsid w:val="005F496E"/>
    <w:rsid w:val="005F4F72"/>
    <w:rsid w:val="005F58C3"/>
    <w:rsid w:val="006004AA"/>
    <w:rsid w:val="00602DF6"/>
    <w:rsid w:val="00603D62"/>
    <w:rsid w:val="0060400B"/>
    <w:rsid w:val="00606A89"/>
    <w:rsid w:val="006104FC"/>
    <w:rsid w:val="00611C43"/>
    <w:rsid w:val="00614628"/>
    <w:rsid w:val="0062177F"/>
    <w:rsid w:val="0062275F"/>
    <w:rsid w:val="00623957"/>
    <w:rsid w:val="00626F43"/>
    <w:rsid w:val="00631B5F"/>
    <w:rsid w:val="00633390"/>
    <w:rsid w:val="0063373E"/>
    <w:rsid w:val="00634796"/>
    <w:rsid w:val="006350D4"/>
    <w:rsid w:val="00635B41"/>
    <w:rsid w:val="0063790D"/>
    <w:rsid w:val="00637AFD"/>
    <w:rsid w:val="006422C3"/>
    <w:rsid w:val="00643CF1"/>
    <w:rsid w:val="00644674"/>
    <w:rsid w:val="00644AD1"/>
    <w:rsid w:val="00644C3C"/>
    <w:rsid w:val="0065107C"/>
    <w:rsid w:val="00651538"/>
    <w:rsid w:val="006526F1"/>
    <w:rsid w:val="00652FAA"/>
    <w:rsid w:val="006544CD"/>
    <w:rsid w:val="00654B47"/>
    <w:rsid w:val="006560CC"/>
    <w:rsid w:val="0065635B"/>
    <w:rsid w:val="00657167"/>
    <w:rsid w:val="00660289"/>
    <w:rsid w:val="00662129"/>
    <w:rsid w:val="00662FA0"/>
    <w:rsid w:val="00663F2D"/>
    <w:rsid w:val="00664647"/>
    <w:rsid w:val="00670B56"/>
    <w:rsid w:val="0067182E"/>
    <w:rsid w:val="00672AAC"/>
    <w:rsid w:val="00674ED4"/>
    <w:rsid w:val="0067501A"/>
    <w:rsid w:val="00676B3A"/>
    <w:rsid w:val="006778AB"/>
    <w:rsid w:val="00680D4A"/>
    <w:rsid w:val="0068237B"/>
    <w:rsid w:val="00684046"/>
    <w:rsid w:val="00684399"/>
    <w:rsid w:val="0069137A"/>
    <w:rsid w:val="00691B1B"/>
    <w:rsid w:val="00696D0D"/>
    <w:rsid w:val="006A0EE8"/>
    <w:rsid w:val="006A181E"/>
    <w:rsid w:val="006A20D7"/>
    <w:rsid w:val="006A320B"/>
    <w:rsid w:val="006A61CE"/>
    <w:rsid w:val="006A7008"/>
    <w:rsid w:val="006B0DE2"/>
    <w:rsid w:val="006B337D"/>
    <w:rsid w:val="006B3823"/>
    <w:rsid w:val="006B3B46"/>
    <w:rsid w:val="006B7E06"/>
    <w:rsid w:val="006C03E2"/>
    <w:rsid w:val="006C1CAF"/>
    <w:rsid w:val="006C4EBF"/>
    <w:rsid w:val="006C548F"/>
    <w:rsid w:val="006C670C"/>
    <w:rsid w:val="006D0898"/>
    <w:rsid w:val="006D1500"/>
    <w:rsid w:val="006D2495"/>
    <w:rsid w:val="006D25D7"/>
    <w:rsid w:val="006D3761"/>
    <w:rsid w:val="006D3897"/>
    <w:rsid w:val="006D5215"/>
    <w:rsid w:val="006D5A93"/>
    <w:rsid w:val="006D6027"/>
    <w:rsid w:val="006D6B5E"/>
    <w:rsid w:val="006E083C"/>
    <w:rsid w:val="006E6316"/>
    <w:rsid w:val="006E631A"/>
    <w:rsid w:val="006E6621"/>
    <w:rsid w:val="006E7799"/>
    <w:rsid w:val="006F0B67"/>
    <w:rsid w:val="006F0FB0"/>
    <w:rsid w:val="006F4804"/>
    <w:rsid w:val="006F77B6"/>
    <w:rsid w:val="007006E8"/>
    <w:rsid w:val="00701B89"/>
    <w:rsid w:val="007024A4"/>
    <w:rsid w:val="00702DA5"/>
    <w:rsid w:val="00706A74"/>
    <w:rsid w:val="00710B7F"/>
    <w:rsid w:val="00713A3C"/>
    <w:rsid w:val="00713D62"/>
    <w:rsid w:val="00714940"/>
    <w:rsid w:val="00715663"/>
    <w:rsid w:val="0072122C"/>
    <w:rsid w:val="00721EBE"/>
    <w:rsid w:val="00722277"/>
    <w:rsid w:val="007233DF"/>
    <w:rsid w:val="00724F2D"/>
    <w:rsid w:val="007251D3"/>
    <w:rsid w:val="0072708A"/>
    <w:rsid w:val="007275C7"/>
    <w:rsid w:val="00727AA1"/>
    <w:rsid w:val="00731146"/>
    <w:rsid w:val="00731DBB"/>
    <w:rsid w:val="007358F3"/>
    <w:rsid w:val="00735A11"/>
    <w:rsid w:val="00743019"/>
    <w:rsid w:val="00746FE1"/>
    <w:rsid w:val="00752A05"/>
    <w:rsid w:val="007531AB"/>
    <w:rsid w:val="00754712"/>
    <w:rsid w:val="00754E00"/>
    <w:rsid w:val="00760786"/>
    <w:rsid w:val="007625E0"/>
    <w:rsid w:val="00763127"/>
    <w:rsid w:val="0076531F"/>
    <w:rsid w:val="00771609"/>
    <w:rsid w:val="0077274F"/>
    <w:rsid w:val="00773A1F"/>
    <w:rsid w:val="00775315"/>
    <w:rsid w:val="00777DF7"/>
    <w:rsid w:val="0078017D"/>
    <w:rsid w:val="00780884"/>
    <w:rsid w:val="007825C7"/>
    <w:rsid w:val="0078435E"/>
    <w:rsid w:val="00784EC7"/>
    <w:rsid w:val="007856C5"/>
    <w:rsid w:val="0078574F"/>
    <w:rsid w:val="007900E2"/>
    <w:rsid w:val="007912B8"/>
    <w:rsid w:val="007929FE"/>
    <w:rsid w:val="0079473C"/>
    <w:rsid w:val="00794EBE"/>
    <w:rsid w:val="00795988"/>
    <w:rsid w:val="00796B2F"/>
    <w:rsid w:val="0079781D"/>
    <w:rsid w:val="00797EA6"/>
    <w:rsid w:val="007A0362"/>
    <w:rsid w:val="007A3026"/>
    <w:rsid w:val="007A4627"/>
    <w:rsid w:val="007A4C78"/>
    <w:rsid w:val="007A4F16"/>
    <w:rsid w:val="007A6CD5"/>
    <w:rsid w:val="007A73EF"/>
    <w:rsid w:val="007A7C04"/>
    <w:rsid w:val="007B3316"/>
    <w:rsid w:val="007B3A55"/>
    <w:rsid w:val="007C035F"/>
    <w:rsid w:val="007C276C"/>
    <w:rsid w:val="007C366E"/>
    <w:rsid w:val="007C3B93"/>
    <w:rsid w:val="007C59D4"/>
    <w:rsid w:val="007D2183"/>
    <w:rsid w:val="007D26EE"/>
    <w:rsid w:val="007D39AA"/>
    <w:rsid w:val="007D5AF1"/>
    <w:rsid w:val="007D6FBC"/>
    <w:rsid w:val="007E3D99"/>
    <w:rsid w:val="007E60AE"/>
    <w:rsid w:val="007E7905"/>
    <w:rsid w:val="007F0BA5"/>
    <w:rsid w:val="007F1622"/>
    <w:rsid w:val="007F187C"/>
    <w:rsid w:val="007F2E67"/>
    <w:rsid w:val="007F2EFC"/>
    <w:rsid w:val="007F5376"/>
    <w:rsid w:val="007F6B91"/>
    <w:rsid w:val="007F6FAC"/>
    <w:rsid w:val="00801B19"/>
    <w:rsid w:val="00801DC9"/>
    <w:rsid w:val="0080594D"/>
    <w:rsid w:val="00806D53"/>
    <w:rsid w:val="0080781F"/>
    <w:rsid w:val="008101EC"/>
    <w:rsid w:val="00810408"/>
    <w:rsid w:val="00811C8E"/>
    <w:rsid w:val="00812645"/>
    <w:rsid w:val="00812FBA"/>
    <w:rsid w:val="00813CC2"/>
    <w:rsid w:val="00814C2A"/>
    <w:rsid w:val="00815371"/>
    <w:rsid w:val="00815C80"/>
    <w:rsid w:val="008160D9"/>
    <w:rsid w:val="00820922"/>
    <w:rsid w:val="00822622"/>
    <w:rsid w:val="00823094"/>
    <w:rsid w:val="00824190"/>
    <w:rsid w:val="00827911"/>
    <w:rsid w:val="00834CD4"/>
    <w:rsid w:val="008352BF"/>
    <w:rsid w:val="00835C75"/>
    <w:rsid w:val="008422E9"/>
    <w:rsid w:val="008442B0"/>
    <w:rsid w:val="00844359"/>
    <w:rsid w:val="00844ACF"/>
    <w:rsid w:val="00846DC9"/>
    <w:rsid w:val="00847B1E"/>
    <w:rsid w:val="008507FC"/>
    <w:rsid w:val="008520F2"/>
    <w:rsid w:val="008524E0"/>
    <w:rsid w:val="0085252E"/>
    <w:rsid w:val="0085357C"/>
    <w:rsid w:val="00853AB0"/>
    <w:rsid w:val="0085447F"/>
    <w:rsid w:val="00861777"/>
    <w:rsid w:val="00861D12"/>
    <w:rsid w:val="00863E97"/>
    <w:rsid w:val="008640F3"/>
    <w:rsid w:val="008671B4"/>
    <w:rsid w:val="008708B8"/>
    <w:rsid w:val="008710E9"/>
    <w:rsid w:val="008718AA"/>
    <w:rsid w:val="00874B77"/>
    <w:rsid w:val="008776C5"/>
    <w:rsid w:val="00882EB5"/>
    <w:rsid w:val="00883644"/>
    <w:rsid w:val="00884A78"/>
    <w:rsid w:val="00886404"/>
    <w:rsid w:val="00893953"/>
    <w:rsid w:val="008944A2"/>
    <w:rsid w:val="00897F36"/>
    <w:rsid w:val="008A1598"/>
    <w:rsid w:val="008A23B3"/>
    <w:rsid w:val="008A29CB"/>
    <w:rsid w:val="008A35FE"/>
    <w:rsid w:val="008A3734"/>
    <w:rsid w:val="008A3ED3"/>
    <w:rsid w:val="008A6EC9"/>
    <w:rsid w:val="008B0059"/>
    <w:rsid w:val="008B0B33"/>
    <w:rsid w:val="008B5AF8"/>
    <w:rsid w:val="008C082F"/>
    <w:rsid w:val="008C0CF6"/>
    <w:rsid w:val="008C1DBC"/>
    <w:rsid w:val="008C43F4"/>
    <w:rsid w:val="008C47BE"/>
    <w:rsid w:val="008C4E90"/>
    <w:rsid w:val="008D2CDF"/>
    <w:rsid w:val="008D616C"/>
    <w:rsid w:val="008D6A21"/>
    <w:rsid w:val="008D6C37"/>
    <w:rsid w:val="008D6E90"/>
    <w:rsid w:val="008D6F8C"/>
    <w:rsid w:val="008D7F7D"/>
    <w:rsid w:val="008E27D5"/>
    <w:rsid w:val="008E2BDC"/>
    <w:rsid w:val="008E4BBB"/>
    <w:rsid w:val="008E4E27"/>
    <w:rsid w:val="008E5203"/>
    <w:rsid w:val="008E563B"/>
    <w:rsid w:val="008E6232"/>
    <w:rsid w:val="008E7D7E"/>
    <w:rsid w:val="008F0A10"/>
    <w:rsid w:val="008F34A4"/>
    <w:rsid w:val="008F39EC"/>
    <w:rsid w:val="008F3C2E"/>
    <w:rsid w:val="008F63E1"/>
    <w:rsid w:val="0090133B"/>
    <w:rsid w:val="0090669B"/>
    <w:rsid w:val="009076A7"/>
    <w:rsid w:val="00907A03"/>
    <w:rsid w:val="00910650"/>
    <w:rsid w:val="00912A70"/>
    <w:rsid w:val="00920ADA"/>
    <w:rsid w:val="00922BC7"/>
    <w:rsid w:val="00924412"/>
    <w:rsid w:val="00926736"/>
    <w:rsid w:val="009301D7"/>
    <w:rsid w:val="009323DB"/>
    <w:rsid w:val="00932A2A"/>
    <w:rsid w:val="00932DC9"/>
    <w:rsid w:val="00937AE9"/>
    <w:rsid w:val="009412FE"/>
    <w:rsid w:val="009415FD"/>
    <w:rsid w:val="0094230A"/>
    <w:rsid w:val="00951141"/>
    <w:rsid w:val="00951729"/>
    <w:rsid w:val="009537C6"/>
    <w:rsid w:val="00953BCC"/>
    <w:rsid w:val="0095561D"/>
    <w:rsid w:val="00960F16"/>
    <w:rsid w:val="00964194"/>
    <w:rsid w:val="009646B0"/>
    <w:rsid w:val="00966DC4"/>
    <w:rsid w:val="00967FAC"/>
    <w:rsid w:val="009718B0"/>
    <w:rsid w:val="00971F89"/>
    <w:rsid w:val="009737B5"/>
    <w:rsid w:val="00974F50"/>
    <w:rsid w:val="00975044"/>
    <w:rsid w:val="009756AF"/>
    <w:rsid w:val="009800F4"/>
    <w:rsid w:val="00983A85"/>
    <w:rsid w:val="00984CF3"/>
    <w:rsid w:val="009850E3"/>
    <w:rsid w:val="00985D80"/>
    <w:rsid w:val="00985DF3"/>
    <w:rsid w:val="00986F2C"/>
    <w:rsid w:val="009900ED"/>
    <w:rsid w:val="00990EC4"/>
    <w:rsid w:val="00994527"/>
    <w:rsid w:val="009954A3"/>
    <w:rsid w:val="009964EE"/>
    <w:rsid w:val="009969B4"/>
    <w:rsid w:val="009970BF"/>
    <w:rsid w:val="009A1D7C"/>
    <w:rsid w:val="009A2058"/>
    <w:rsid w:val="009A23BF"/>
    <w:rsid w:val="009A28E7"/>
    <w:rsid w:val="009A33BF"/>
    <w:rsid w:val="009B1BB6"/>
    <w:rsid w:val="009B25B5"/>
    <w:rsid w:val="009B2BDF"/>
    <w:rsid w:val="009B6D8E"/>
    <w:rsid w:val="009C2180"/>
    <w:rsid w:val="009C28A3"/>
    <w:rsid w:val="009C5BB8"/>
    <w:rsid w:val="009C6D1E"/>
    <w:rsid w:val="009C77B7"/>
    <w:rsid w:val="009C77BC"/>
    <w:rsid w:val="009D293A"/>
    <w:rsid w:val="009D456F"/>
    <w:rsid w:val="009D4703"/>
    <w:rsid w:val="009D5CC3"/>
    <w:rsid w:val="009D607E"/>
    <w:rsid w:val="009D7FE7"/>
    <w:rsid w:val="009E081F"/>
    <w:rsid w:val="009E1F1C"/>
    <w:rsid w:val="009E2E36"/>
    <w:rsid w:val="009E3A7E"/>
    <w:rsid w:val="009E5861"/>
    <w:rsid w:val="009E6EBC"/>
    <w:rsid w:val="009E707A"/>
    <w:rsid w:val="009F1EB8"/>
    <w:rsid w:val="009F2154"/>
    <w:rsid w:val="009F23B7"/>
    <w:rsid w:val="009F5396"/>
    <w:rsid w:val="009F55E8"/>
    <w:rsid w:val="009F5AC9"/>
    <w:rsid w:val="00A01D9F"/>
    <w:rsid w:val="00A025FA"/>
    <w:rsid w:val="00A0658A"/>
    <w:rsid w:val="00A16790"/>
    <w:rsid w:val="00A17909"/>
    <w:rsid w:val="00A21E23"/>
    <w:rsid w:val="00A225AB"/>
    <w:rsid w:val="00A23099"/>
    <w:rsid w:val="00A24BF1"/>
    <w:rsid w:val="00A252FC"/>
    <w:rsid w:val="00A25EAA"/>
    <w:rsid w:val="00A265A9"/>
    <w:rsid w:val="00A265FD"/>
    <w:rsid w:val="00A267AB"/>
    <w:rsid w:val="00A27FE0"/>
    <w:rsid w:val="00A32A1F"/>
    <w:rsid w:val="00A37DD8"/>
    <w:rsid w:val="00A43BC0"/>
    <w:rsid w:val="00A477A6"/>
    <w:rsid w:val="00A503A0"/>
    <w:rsid w:val="00A50EBA"/>
    <w:rsid w:val="00A5533E"/>
    <w:rsid w:val="00A56769"/>
    <w:rsid w:val="00A56E38"/>
    <w:rsid w:val="00A653D7"/>
    <w:rsid w:val="00A65B31"/>
    <w:rsid w:val="00A67FAB"/>
    <w:rsid w:val="00A7253B"/>
    <w:rsid w:val="00A7262F"/>
    <w:rsid w:val="00A745C0"/>
    <w:rsid w:val="00A74635"/>
    <w:rsid w:val="00A757F4"/>
    <w:rsid w:val="00A8035A"/>
    <w:rsid w:val="00A83472"/>
    <w:rsid w:val="00A841F7"/>
    <w:rsid w:val="00A90873"/>
    <w:rsid w:val="00A941DB"/>
    <w:rsid w:val="00A9731E"/>
    <w:rsid w:val="00A97456"/>
    <w:rsid w:val="00A97B55"/>
    <w:rsid w:val="00AA0F1E"/>
    <w:rsid w:val="00AA25B2"/>
    <w:rsid w:val="00AA2D41"/>
    <w:rsid w:val="00AA387D"/>
    <w:rsid w:val="00AA401E"/>
    <w:rsid w:val="00AA507A"/>
    <w:rsid w:val="00AA5D9D"/>
    <w:rsid w:val="00AA6CA2"/>
    <w:rsid w:val="00AA772D"/>
    <w:rsid w:val="00AB2C6C"/>
    <w:rsid w:val="00AB2DE5"/>
    <w:rsid w:val="00AB35B6"/>
    <w:rsid w:val="00AB54E6"/>
    <w:rsid w:val="00AB6103"/>
    <w:rsid w:val="00AB70F3"/>
    <w:rsid w:val="00AC1199"/>
    <w:rsid w:val="00AC1AEB"/>
    <w:rsid w:val="00AC3427"/>
    <w:rsid w:val="00AC420C"/>
    <w:rsid w:val="00AC44EA"/>
    <w:rsid w:val="00AC529F"/>
    <w:rsid w:val="00AC6768"/>
    <w:rsid w:val="00AC6E3D"/>
    <w:rsid w:val="00AC725C"/>
    <w:rsid w:val="00AD266B"/>
    <w:rsid w:val="00AD30C0"/>
    <w:rsid w:val="00AD3404"/>
    <w:rsid w:val="00AE0666"/>
    <w:rsid w:val="00AE1E8F"/>
    <w:rsid w:val="00AE25CB"/>
    <w:rsid w:val="00AE4911"/>
    <w:rsid w:val="00AE4912"/>
    <w:rsid w:val="00AE4D3E"/>
    <w:rsid w:val="00AE551C"/>
    <w:rsid w:val="00AE59C5"/>
    <w:rsid w:val="00AF01BA"/>
    <w:rsid w:val="00AF054D"/>
    <w:rsid w:val="00AF0C31"/>
    <w:rsid w:val="00AF351E"/>
    <w:rsid w:val="00AF40EE"/>
    <w:rsid w:val="00AF7862"/>
    <w:rsid w:val="00B01578"/>
    <w:rsid w:val="00B02B54"/>
    <w:rsid w:val="00B05062"/>
    <w:rsid w:val="00B052C6"/>
    <w:rsid w:val="00B0728C"/>
    <w:rsid w:val="00B0729F"/>
    <w:rsid w:val="00B072A9"/>
    <w:rsid w:val="00B07B9A"/>
    <w:rsid w:val="00B11053"/>
    <w:rsid w:val="00B11616"/>
    <w:rsid w:val="00B1231E"/>
    <w:rsid w:val="00B13959"/>
    <w:rsid w:val="00B16D28"/>
    <w:rsid w:val="00B16F63"/>
    <w:rsid w:val="00B20043"/>
    <w:rsid w:val="00B21886"/>
    <w:rsid w:val="00B2246F"/>
    <w:rsid w:val="00B22FE5"/>
    <w:rsid w:val="00B236DE"/>
    <w:rsid w:val="00B24BF9"/>
    <w:rsid w:val="00B26632"/>
    <w:rsid w:val="00B27E3D"/>
    <w:rsid w:val="00B30E36"/>
    <w:rsid w:val="00B31A72"/>
    <w:rsid w:val="00B320E5"/>
    <w:rsid w:val="00B35F5E"/>
    <w:rsid w:val="00B36ECA"/>
    <w:rsid w:val="00B37257"/>
    <w:rsid w:val="00B5030B"/>
    <w:rsid w:val="00B51259"/>
    <w:rsid w:val="00B53322"/>
    <w:rsid w:val="00B55CB4"/>
    <w:rsid w:val="00B56F0C"/>
    <w:rsid w:val="00B60B4D"/>
    <w:rsid w:val="00B63EB1"/>
    <w:rsid w:val="00B63EDC"/>
    <w:rsid w:val="00B65D24"/>
    <w:rsid w:val="00B71D96"/>
    <w:rsid w:val="00B74EF8"/>
    <w:rsid w:val="00B7656A"/>
    <w:rsid w:val="00B76C1C"/>
    <w:rsid w:val="00B81F0E"/>
    <w:rsid w:val="00B82A12"/>
    <w:rsid w:val="00B838DB"/>
    <w:rsid w:val="00B8425A"/>
    <w:rsid w:val="00B85B41"/>
    <w:rsid w:val="00B86286"/>
    <w:rsid w:val="00B86ADF"/>
    <w:rsid w:val="00B910D2"/>
    <w:rsid w:val="00B9465C"/>
    <w:rsid w:val="00BA02D5"/>
    <w:rsid w:val="00BA2581"/>
    <w:rsid w:val="00BA4E5F"/>
    <w:rsid w:val="00BA5AA2"/>
    <w:rsid w:val="00BB06CE"/>
    <w:rsid w:val="00BB210E"/>
    <w:rsid w:val="00BB2C29"/>
    <w:rsid w:val="00BB580E"/>
    <w:rsid w:val="00BB6BC5"/>
    <w:rsid w:val="00BB7489"/>
    <w:rsid w:val="00BC4DFA"/>
    <w:rsid w:val="00BC50AA"/>
    <w:rsid w:val="00BC58F2"/>
    <w:rsid w:val="00BC79AF"/>
    <w:rsid w:val="00BD01C5"/>
    <w:rsid w:val="00BD145D"/>
    <w:rsid w:val="00BD3719"/>
    <w:rsid w:val="00BD3D88"/>
    <w:rsid w:val="00BD4B6D"/>
    <w:rsid w:val="00BD6280"/>
    <w:rsid w:val="00BE0EDF"/>
    <w:rsid w:val="00BE13CD"/>
    <w:rsid w:val="00BE2FEB"/>
    <w:rsid w:val="00BE4FE1"/>
    <w:rsid w:val="00BE77EA"/>
    <w:rsid w:val="00BF0758"/>
    <w:rsid w:val="00BF0B52"/>
    <w:rsid w:val="00BF41BA"/>
    <w:rsid w:val="00C0114C"/>
    <w:rsid w:val="00C03AAB"/>
    <w:rsid w:val="00C05AE5"/>
    <w:rsid w:val="00C06A71"/>
    <w:rsid w:val="00C07BDD"/>
    <w:rsid w:val="00C103A2"/>
    <w:rsid w:val="00C109FE"/>
    <w:rsid w:val="00C1347F"/>
    <w:rsid w:val="00C14B2D"/>
    <w:rsid w:val="00C150B0"/>
    <w:rsid w:val="00C211E3"/>
    <w:rsid w:val="00C24EC4"/>
    <w:rsid w:val="00C26774"/>
    <w:rsid w:val="00C31AC0"/>
    <w:rsid w:val="00C3540F"/>
    <w:rsid w:val="00C40C6B"/>
    <w:rsid w:val="00C46E5D"/>
    <w:rsid w:val="00C50D93"/>
    <w:rsid w:val="00C50E3A"/>
    <w:rsid w:val="00C54302"/>
    <w:rsid w:val="00C55477"/>
    <w:rsid w:val="00C56A53"/>
    <w:rsid w:val="00C620A4"/>
    <w:rsid w:val="00C65DC6"/>
    <w:rsid w:val="00C71AE5"/>
    <w:rsid w:val="00C71BA5"/>
    <w:rsid w:val="00C72771"/>
    <w:rsid w:val="00C73A8D"/>
    <w:rsid w:val="00C74C6A"/>
    <w:rsid w:val="00C81263"/>
    <w:rsid w:val="00C81A89"/>
    <w:rsid w:val="00C822C6"/>
    <w:rsid w:val="00C82EA8"/>
    <w:rsid w:val="00C86855"/>
    <w:rsid w:val="00C90688"/>
    <w:rsid w:val="00C92BA4"/>
    <w:rsid w:val="00C95648"/>
    <w:rsid w:val="00CA0B96"/>
    <w:rsid w:val="00CA1EEE"/>
    <w:rsid w:val="00CA363F"/>
    <w:rsid w:val="00CA3643"/>
    <w:rsid w:val="00CA4424"/>
    <w:rsid w:val="00CA4625"/>
    <w:rsid w:val="00CA66A9"/>
    <w:rsid w:val="00CA6A2F"/>
    <w:rsid w:val="00CB0338"/>
    <w:rsid w:val="00CB04E0"/>
    <w:rsid w:val="00CB384E"/>
    <w:rsid w:val="00CB587D"/>
    <w:rsid w:val="00CB63DC"/>
    <w:rsid w:val="00CB72D1"/>
    <w:rsid w:val="00CC0454"/>
    <w:rsid w:val="00CC0818"/>
    <w:rsid w:val="00CC6C69"/>
    <w:rsid w:val="00CD0B83"/>
    <w:rsid w:val="00CD1984"/>
    <w:rsid w:val="00CD412E"/>
    <w:rsid w:val="00CD57B2"/>
    <w:rsid w:val="00CD669B"/>
    <w:rsid w:val="00CD70F5"/>
    <w:rsid w:val="00CE30B4"/>
    <w:rsid w:val="00CE4EAA"/>
    <w:rsid w:val="00CE6CC8"/>
    <w:rsid w:val="00CE77AA"/>
    <w:rsid w:val="00CE79C5"/>
    <w:rsid w:val="00CF1DD9"/>
    <w:rsid w:val="00CF3CB4"/>
    <w:rsid w:val="00CF5D80"/>
    <w:rsid w:val="00CF6A70"/>
    <w:rsid w:val="00D00679"/>
    <w:rsid w:val="00D01924"/>
    <w:rsid w:val="00D02ED4"/>
    <w:rsid w:val="00D039E2"/>
    <w:rsid w:val="00D04C16"/>
    <w:rsid w:val="00D05291"/>
    <w:rsid w:val="00D061AE"/>
    <w:rsid w:val="00D10C1E"/>
    <w:rsid w:val="00D11CC0"/>
    <w:rsid w:val="00D14F01"/>
    <w:rsid w:val="00D179E8"/>
    <w:rsid w:val="00D2225A"/>
    <w:rsid w:val="00D31121"/>
    <w:rsid w:val="00D32384"/>
    <w:rsid w:val="00D33724"/>
    <w:rsid w:val="00D33906"/>
    <w:rsid w:val="00D33DBF"/>
    <w:rsid w:val="00D43AFC"/>
    <w:rsid w:val="00D43EE6"/>
    <w:rsid w:val="00D4631D"/>
    <w:rsid w:val="00D47169"/>
    <w:rsid w:val="00D5052C"/>
    <w:rsid w:val="00D5095E"/>
    <w:rsid w:val="00D51229"/>
    <w:rsid w:val="00D51268"/>
    <w:rsid w:val="00D518C5"/>
    <w:rsid w:val="00D51B16"/>
    <w:rsid w:val="00D5247F"/>
    <w:rsid w:val="00D5298E"/>
    <w:rsid w:val="00D53130"/>
    <w:rsid w:val="00D531CB"/>
    <w:rsid w:val="00D53526"/>
    <w:rsid w:val="00D53C59"/>
    <w:rsid w:val="00D553D8"/>
    <w:rsid w:val="00D57400"/>
    <w:rsid w:val="00D60746"/>
    <w:rsid w:val="00D610AD"/>
    <w:rsid w:val="00D61550"/>
    <w:rsid w:val="00D617A9"/>
    <w:rsid w:val="00D6186B"/>
    <w:rsid w:val="00D61B68"/>
    <w:rsid w:val="00D649F3"/>
    <w:rsid w:val="00D6739B"/>
    <w:rsid w:val="00D72A13"/>
    <w:rsid w:val="00D72CF7"/>
    <w:rsid w:val="00D73637"/>
    <w:rsid w:val="00D74095"/>
    <w:rsid w:val="00D762EC"/>
    <w:rsid w:val="00D80EC3"/>
    <w:rsid w:val="00D8322F"/>
    <w:rsid w:val="00D844AF"/>
    <w:rsid w:val="00D844D6"/>
    <w:rsid w:val="00D84D87"/>
    <w:rsid w:val="00D855C6"/>
    <w:rsid w:val="00D860EC"/>
    <w:rsid w:val="00D86DA3"/>
    <w:rsid w:val="00D87754"/>
    <w:rsid w:val="00D87849"/>
    <w:rsid w:val="00D92D32"/>
    <w:rsid w:val="00D932A8"/>
    <w:rsid w:val="00D93893"/>
    <w:rsid w:val="00DA3855"/>
    <w:rsid w:val="00DA6C79"/>
    <w:rsid w:val="00DB1443"/>
    <w:rsid w:val="00DB35DE"/>
    <w:rsid w:val="00DB4B66"/>
    <w:rsid w:val="00DB50C9"/>
    <w:rsid w:val="00DB76AA"/>
    <w:rsid w:val="00DC104C"/>
    <w:rsid w:val="00DC157E"/>
    <w:rsid w:val="00DC1C27"/>
    <w:rsid w:val="00DC32A9"/>
    <w:rsid w:val="00DD0E11"/>
    <w:rsid w:val="00DD5035"/>
    <w:rsid w:val="00DD6144"/>
    <w:rsid w:val="00DD6BC2"/>
    <w:rsid w:val="00DE0B88"/>
    <w:rsid w:val="00DE3FF9"/>
    <w:rsid w:val="00DE433A"/>
    <w:rsid w:val="00DE4884"/>
    <w:rsid w:val="00DE7C0C"/>
    <w:rsid w:val="00DE7FD7"/>
    <w:rsid w:val="00DF0483"/>
    <w:rsid w:val="00DF16A5"/>
    <w:rsid w:val="00DF21F7"/>
    <w:rsid w:val="00DF3BF7"/>
    <w:rsid w:val="00DF4794"/>
    <w:rsid w:val="00DF5C38"/>
    <w:rsid w:val="00E0282E"/>
    <w:rsid w:val="00E039CB"/>
    <w:rsid w:val="00E03F02"/>
    <w:rsid w:val="00E079DA"/>
    <w:rsid w:val="00E07BB1"/>
    <w:rsid w:val="00E10C06"/>
    <w:rsid w:val="00E10E49"/>
    <w:rsid w:val="00E12768"/>
    <w:rsid w:val="00E14F3F"/>
    <w:rsid w:val="00E1668B"/>
    <w:rsid w:val="00E16C51"/>
    <w:rsid w:val="00E20094"/>
    <w:rsid w:val="00E250A9"/>
    <w:rsid w:val="00E250FE"/>
    <w:rsid w:val="00E3032E"/>
    <w:rsid w:val="00E30C47"/>
    <w:rsid w:val="00E33F7C"/>
    <w:rsid w:val="00E3443F"/>
    <w:rsid w:val="00E345D4"/>
    <w:rsid w:val="00E34B80"/>
    <w:rsid w:val="00E40888"/>
    <w:rsid w:val="00E413F3"/>
    <w:rsid w:val="00E4184D"/>
    <w:rsid w:val="00E43ECD"/>
    <w:rsid w:val="00E4558B"/>
    <w:rsid w:val="00E45CDB"/>
    <w:rsid w:val="00E4658E"/>
    <w:rsid w:val="00E476A4"/>
    <w:rsid w:val="00E50AB6"/>
    <w:rsid w:val="00E52E2E"/>
    <w:rsid w:val="00E61818"/>
    <w:rsid w:val="00E63B47"/>
    <w:rsid w:val="00E656E1"/>
    <w:rsid w:val="00E66250"/>
    <w:rsid w:val="00E66D6D"/>
    <w:rsid w:val="00E747D5"/>
    <w:rsid w:val="00E811FD"/>
    <w:rsid w:val="00E816C3"/>
    <w:rsid w:val="00E87326"/>
    <w:rsid w:val="00E919CD"/>
    <w:rsid w:val="00E91D8C"/>
    <w:rsid w:val="00E966AD"/>
    <w:rsid w:val="00E97336"/>
    <w:rsid w:val="00EA1B3F"/>
    <w:rsid w:val="00EA2D48"/>
    <w:rsid w:val="00EA53F4"/>
    <w:rsid w:val="00EA6183"/>
    <w:rsid w:val="00EA61C4"/>
    <w:rsid w:val="00EA6B9C"/>
    <w:rsid w:val="00EB0C2B"/>
    <w:rsid w:val="00EB0E70"/>
    <w:rsid w:val="00EB6177"/>
    <w:rsid w:val="00EB72DD"/>
    <w:rsid w:val="00EC02E7"/>
    <w:rsid w:val="00EC0493"/>
    <w:rsid w:val="00EC61DC"/>
    <w:rsid w:val="00ED10BB"/>
    <w:rsid w:val="00ED19A1"/>
    <w:rsid w:val="00ED2A5C"/>
    <w:rsid w:val="00ED3A23"/>
    <w:rsid w:val="00ED7119"/>
    <w:rsid w:val="00ED77EB"/>
    <w:rsid w:val="00ED7C80"/>
    <w:rsid w:val="00EE0529"/>
    <w:rsid w:val="00EE4D83"/>
    <w:rsid w:val="00EE579C"/>
    <w:rsid w:val="00EE5E21"/>
    <w:rsid w:val="00EE7F26"/>
    <w:rsid w:val="00EF1228"/>
    <w:rsid w:val="00EF12ED"/>
    <w:rsid w:val="00EF6119"/>
    <w:rsid w:val="00F02536"/>
    <w:rsid w:val="00F03865"/>
    <w:rsid w:val="00F0430E"/>
    <w:rsid w:val="00F043F1"/>
    <w:rsid w:val="00F04EA6"/>
    <w:rsid w:val="00F066FC"/>
    <w:rsid w:val="00F06D3D"/>
    <w:rsid w:val="00F11CAE"/>
    <w:rsid w:val="00F12946"/>
    <w:rsid w:val="00F148E3"/>
    <w:rsid w:val="00F15A35"/>
    <w:rsid w:val="00F15B7D"/>
    <w:rsid w:val="00F171F5"/>
    <w:rsid w:val="00F23A55"/>
    <w:rsid w:val="00F260BF"/>
    <w:rsid w:val="00F3168B"/>
    <w:rsid w:val="00F31742"/>
    <w:rsid w:val="00F31931"/>
    <w:rsid w:val="00F32072"/>
    <w:rsid w:val="00F3309D"/>
    <w:rsid w:val="00F3390D"/>
    <w:rsid w:val="00F36394"/>
    <w:rsid w:val="00F40057"/>
    <w:rsid w:val="00F405D7"/>
    <w:rsid w:val="00F43304"/>
    <w:rsid w:val="00F50591"/>
    <w:rsid w:val="00F534A1"/>
    <w:rsid w:val="00F54588"/>
    <w:rsid w:val="00F5586E"/>
    <w:rsid w:val="00F572A9"/>
    <w:rsid w:val="00F60FD7"/>
    <w:rsid w:val="00F655CB"/>
    <w:rsid w:val="00F669F5"/>
    <w:rsid w:val="00F72A95"/>
    <w:rsid w:val="00F733E0"/>
    <w:rsid w:val="00F758D8"/>
    <w:rsid w:val="00F75E65"/>
    <w:rsid w:val="00F76235"/>
    <w:rsid w:val="00F765DE"/>
    <w:rsid w:val="00F80CE1"/>
    <w:rsid w:val="00F81349"/>
    <w:rsid w:val="00F81FCC"/>
    <w:rsid w:val="00F83699"/>
    <w:rsid w:val="00F8480E"/>
    <w:rsid w:val="00F8641E"/>
    <w:rsid w:val="00F93BD0"/>
    <w:rsid w:val="00F93EF2"/>
    <w:rsid w:val="00F95E8A"/>
    <w:rsid w:val="00FA0C52"/>
    <w:rsid w:val="00FA2718"/>
    <w:rsid w:val="00FA3FC0"/>
    <w:rsid w:val="00FA4185"/>
    <w:rsid w:val="00FA5029"/>
    <w:rsid w:val="00FA53A7"/>
    <w:rsid w:val="00FA5B3E"/>
    <w:rsid w:val="00FA67E4"/>
    <w:rsid w:val="00FB4D18"/>
    <w:rsid w:val="00FB5903"/>
    <w:rsid w:val="00FB643A"/>
    <w:rsid w:val="00FB65B3"/>
    <w:rsid w:val="00FB7270"/>
    <w:rsid w:val="00FB750D"/>
    <w:rsid w:val="00FB75A0"/>
    <w:rsid w:val="00FC0267"/>
    <w:rsid w:val="00FC04C7"/>
    <w:rsid w:val="00FC0D05"/>
    <w:rsid w:val="00FC37E7"/>
    <w:rsid w:val="00FC78F1"/>
    <w:rsid w:val="00FC7F80"/>
    <w:rsid w:val="00FD185B"/>
    <w:rsid w:val="00FD1E81"/>
    <w:rsid w:val="00FD1F55"/>
    <w:rsid w:val="00FD24BC"/>
    <w:rsid w:val="00FD2C40"/>
    <w:rsid w:val="00FD44BD"/>
    <w:rsid w:val="00FD5D8B"/>
    <w:rsid w:val="00FE4196"/>
    <w:rsid w:val="00FE49B0"/>
    <w:rsid w:val="00FE4B7D"/>
    <w:rsid w:val="00FF0C68"/>
    <w:rsid w:val="00FF454E"/>
    <w:rsid w:val="00FF5D35"/>
    <w:rsid w:val="00FF6F39"/>
    <w:rsid w:val="01B8EFB3"/>
    <w:rsid w:val="03B431F5"/>
    <w:rsid w:val="03CD2826"/>
    <w:rsid w:val="081AE693"/>
    <w:rsid w:val="0B8CA2DD"/>
    <w:rsid w:val="0FB47CAA"/>
    <w:rsid w:val="0FBE48F0"/>
    <w:rsid w:val="114CCFF1"/>
    <w:rsid w:val="11FA44BA"/>
    <w:rsid w:val="1220FDDA"/>
    <w:rsid w:val="14D73377"/>
    <w:rsid w:val="1508F953"/>
    <w:rsid w:val="15124AD6"/>
    <w:rsid w:val="1764F09B"/>
    <w:rsid w:val="18F7977B"/>
    <w:rsid w:val="1A6AC9C7"/>
    <w:rsid w:val="1AB3AB87"/>
    <w:rsid w:val="1B783AD7"/>
    <w:rsid w:val="218A8BFF"/>
    <w:rsid w:val="21FF2327"/>
    <w:rsid w:val="231EF49D"/>
    <w:rsid w:val="25071D8F"/>
    <w:rsid w:val="2616C7F1"/>
    <w:rsid w:val="26462C37"/>
    <w:rsid w:val="2942D61E"/>
    <w:rsid w:val="2C9775D3"/>
    <w:rsid w:val="2D5F8909"/>
    <w:rsid w:val="2E3D854C"/>
    <w:rsid w:val="2F43A99D"/>
    <w:rsid w:val="31CC8A2D"/>
    <w:rsid w:val="31F90B38"/>
    <w:rsid w:val="35CF3528"/>
    <w:rsid w:val="381C857E"/>
    <w:rsid w:val="38ED9A44"/>
    <w:rsid w:val="3935DFC6"/>
    <w:rsid w:val="3A94FB00"/>
    <w:rsid w:val="3AC46445"/>
    <w:rsid w:val="3C1DF670"/>
    <w:rsid w:val="3C6B9D16"/>
    <w:rsid w:val="3F3EAC98"/>
    <w:rsid w:val="40CB3664"/>
    <w:rsid w:val="42C1B63D"/>
    <w:rsid w:val="4362405A"/>
    <w:rsid w:val="450F53A1"/>
    <w:rsid w:val="46C45558"/>
    <w:rsid w:val="48E75DE3"/>
    <w:rsid w:val="49089D33"/>
    <w:rsid w:val="4924D0E5"/>
    <w:rsid w:val="4AA46D94"/>
    <w:rsid w:val="4E540CD3"/>
    <w:rsid w:val="504A8BC7"/>
    <w:rsid w:val="529BFF8E"/>
    <w:rsid w:val="54078362"/>
    <w:rsid w:val="562E9EBF"/>
    <w:rsid w:val="5AD5E9EC"/>
    <w:rsid w:val="5C0559FD"/>
    <w:rsid w:val="5C2A1BFF"/>
    <w:rsid w:val="5DEA9006"/>
    <w:rsid w:val="5E41F2FC"/>
    <w:rsid w:val="615F82BF"/>
    <w:rsid w:val="62B2C2D8"/>
    <w:rsid w:val="641A1405"/>
    <w:rsid w:val="65DD6BA4"/>
    <w:rsid w:val="66CB2CE3"/>
    <w:rsid w:val="676EF32C"/>
    <w:rsid w:val="69C4B6E6"/>
    <w:rsid w:val="69D63C51"/>
    <w:rsid w:val="6A9AFB77"/>
    <w:rsid w:val="6B224386"/>
    <w:rsid w:val="6B70E811"/>
    <w:rsid w:val="6C1A8A11"/>
    <w:rsid w:val="6CBE46B6"/>
    <w:rsid w:val="6CC463CA"/>
    <w:rsid w:val="6EA888D3"/>
    <w:rsid w:val="706B40F6"/>
    <w:rsid w:val="722E0A29"/>
    <w:rsid w:val="744D56A8"/>
    <w:rsid w:val="7538B374"/>
    <w:rsid w:val="769F8B14"/>
    <w:rsid w:val="77BBB2E3"/>
    <w:rsid w:val="77C89CFB"/>
    <w:rsid w:val="7B1467B7"/>
    <w:rsid w:val="7E29B25E"/>
    <w:rsid w:val="7F335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91453"/>
  <w15:chartTrackingRefBased/>
  <w15:docId w15:val="{767CC18D-EEDA-4965-B657-284BCB9C0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D48"/>
    <w:pPr>
      <w:spacing w:after="160"/>
    </w:pPr>
  </w:style>
  <w:style w:type="paragraph" w:styleId="Heading1">
    <w:name w:val="heading 1"/>
    <w:basedOn w:val="Normal"/>
    <w:next w:val="Normal"/>
    <w:link w:val="Heading1Char"/>
    <w:uiPriority w:val="9"/>
    <w:qFormat/>
    <w:rsid w:val="009F23B7"/>
    <w:pPr>
      <w:keepNext/>
      <w:keepLines/>
      <w:spacing w:before="400" w:after="40" w:line="240" w:lineRule="auto"/>
      <w:outlineLvl w:val="0"/>
    </w:pPr>
    <w:rPr>
      <w:rFonts w:eastAsiaTheme="majorEastAsia" w:cstheme="majorBidi"/>
      <w:color w:val="4472C4"/>
      <w:sz w:val="24"/>
      <w:szCs w:val="36"/>
    </w:rPr>
  </w:style>
  <w:style w:type="paragraph" w:styleId="Heading2">
    <w:name w:val="heading 2"/>
    <w:basedOn w:val="Normal"/>
    <w:next w:val="Normal"/>
    <w:link w:val="Heading2Char"/>
    <w:uiPriority w:val="9"/>
    <w:unhideWhenUsed/>
    <w:qFormat/>
    <w:rsid w:val="00626F43"/>
    <w:pPr>
      <w:keepNext/>
      <w:keepLines/>
      <w:numPr>
        <w:ilvl w:val="1"/>
        <w:numId w:val="13"/>
      </w:numPr>
      <w:spacing w:before="40" w:after="240" w:line="240" w:lineRule="auto"/>
      <w:ind w:left="1570"/>
      <w:outlineLvl w:val="1"/>
    </w:pPr>
    <w:rPr>
      <w:rFonts w:eastAsiaTheme="majorEastAsia" w:cstheme="majorBidi"/>
      <w:color w:val="4472C4"/>
      <w:szCs w:val="32"/>
    </w:rPr>
  </w:style>
  <w:style w:type="paragraph" w:styleId="Heading3">
    <w:name w:val="heading 3"/>
    <w:basedOn w:val="Normal"/>
    <w:next w:val="Normal"/>
    <w:link w:val="Heading3Char"/>
    <w:uiPriority w:val="9"/>
    <w:unhideWhenUsed/>
    <w:qFormat/>
    <w:rsid w:val="009F23B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9F23B7"/>
    <w:pPr>
      <w:keepNext/>
      <w:keepLines/>
      <w:numPr>
        <w:ilvl w:val="3"/>
        <w:numId w:val="13"/>
      </w:numPr>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aliases w:val="Heading 5 Char1,Char2 Char1"/>
    <w:basedOn w:val="Normal"/>
    <w:next w:val="Normal"/>
    <w:link w:val="Heading5Char"/>
    <w:uiPriority w:val="9"/>
    <w:semiHidden/>
    <w:unhideWhenUsed/>
    <w:qFormat/>
    <w:rsid w:val="009F23B7"/>
    <w:pPr>
      <w:keepNext/>
      <w:keepLines/>
      <w:numPr>
        <w:ilvl w:val="4"/>
        <w:numId w:val="13"/>
      </w:numPr>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9F23B7"/>
    <w:pPr>
      <w:keepNext/>
      <w:keepLines/>
      <w:numPr>
        <w:ilvl w:val="5"/>
        <w:numId w:val="13"/>
      </w:numPr>
      <w:tabs>
        <w:tab w:val="num" w:pos="360"/>
      </w:tabs>
      <w:spacing w:before="40" w:after="0"/>
      <w:ind w:left="0" w:firstLine="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9F23B7"/>
    <w:pPr>
      <w:keepNext/>
      <w:keepLines/>
      <w:numPr>
        <w:ilvl w:val="6"/>
        <w:numId w:val="13"/>
      </w:numPr>
      <w:tabs>
        <w:tab w:val="num" w:pos="360"/>
      </w:tabs>
      <w:spacing w:before="40" w:after="0"/>
      <w:ind w:left="0" w:firstLine="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9F23B7"/>
    <w:pPr>
      <w:keepNext/>
      <w:keepLines/>
      <w:numPr>
        <w:ilvl w:val="7"/>
        <w:numId w:val="13"/>
      </w:numPr>
      <w:tabs>
        <w:tab w:val="num" w:pos="360"/>
      </w:tabs>
      <w:spacing w:before="40" w:after="0"/>
      <w:ind w:left="0" w:firstLine="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9F23B7"/>
    <w:pPr>
      <w:keepNext/>
      <w:keepLines/>
      <w:numPr>
        <w:ilvl w:val="8"/>
        <w:numId w:val="13"/>
      </w:numPr>
      <w:tabs>
        <w:tab w:val="num" w:pos="360"/>
      </w:tabs>
      <w:spacing w:before="40" w:after="0"/>
      <w:ind w:left="0" w:firstLine="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81938"/>
    <w:pPr>
      <w:ind w:left="720"/>
      <w:contextualSpacing/>
    </w:pPr>
  </w:style>
  <w:style w:type="character" w:styleId="CommentReference">
    <w:name w:val="annotation reference"/>
    <w:basedOn w:val="DefaultParagraphFont"/>
    <w:uiPriority w:val="99"/>
    <w:semiHidden/>
    <w:unhideWhenUsed/>
    <w:rsid w:val="00A50EBA"/>
    <w:rPr>
      <w:sz w:val="16"/>
      <w:szCs w:val="16"/>
    </w:rPr>
  </w:style>
  <w:style w:type="paragraph" w:styleId="CommentText">
    <w:name w:val="annotation text"/>
    <w:basedOn w:val="Normal"/>
    <w:link w:val="CommentTextChar"/>
    <w:uiPriority w:val="99"/>
    <w:unhideWhenUsed/>
    <w:rsid w:val="00A50EBA"/>
    <w:rPr>
      <w:sz w:val="20"/>
      <w:szCs w:val="20"/>
    </w:rPr>
  </w:style>
  <w:style w:type="character" w:customStyle="1" w:styleId="CommentTextChar">
    <w:name w:val="Comment Text Char"/>
    <w:basedOn w:val="DefaultParagraphFont"/>
    <w:link w:val="CommentText"/>
    <w:uiPriority w:val="99"/>
    <w:rsid w:val="00A50EBA"/>
    <w:rPr>
      <w:sz w:val="20"/>
      <w:szCs w:val="20"/>
    </w:rPr>
  </w:style>
  <w:style w:type="paragraph" w:styleId="CommentSubject">
    <w:name w:val="annotation subject"/>
    <w:basedOn w:val="CommentText"/>
    <w:next w:val="CommentText"/>
    <w:link w:val="CommentSubjectChar"/>
    <w:uiPriority w:val="99"/>
    <w:semiHidden/>
    <w:unhideWhenUsed/>
    <w:rsid w:val="00A50EBA"/>
    <w:rPr>
      <w:b/>
      <w:bCs/>
    </w:rPr>
  </w:style>
  <w:style w:type="character" w:customStyle="1" w:styleId="CommentSubjectChar">
    <w:name w:val="Comment Subject Char"/>
    <w:basedOn w:val="CommentTextChar"/>
    <w:link w:val="CommentSubject"/>
    <w:uiPriority w:val="99"/>
    <w:semiHidden/>
    <w:rsid w:val="00A50EBA"/>
    <w:rPr>
      <w:b/>
      <w:bCs/>
      <w:sz w:val="20"/>
      <w:szCs w:val="20"/>
    </w:rPr>
  </w:style>
  <w:style w:type="paragraph" w:styleId="BalloonText">
    <w:name w:val="Balloon Text"/>
    <w:basedOn w:val="Normal"/>
    <w:link w:val="BalloonTextChar"/>
    <w:uiPriority w:val="99"/>
    <w:semiHidden/>
    <w:unhideWhenUsed/>
    <w:rsid w:val="00A50E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EBA"/>
    <w:rPr>
      <w:rFonts w:ascii="Segoe UI" w:hAnsi="Segoe UI" w:cs="Segoe UI"/>
      <w:sz w:val="18"/>
      <w:szCs w:val="18"/>
    </w:rPr>
  </w:style>
  <w:style w:type="paragraph" w:customStyle="1" w:styleId="CM23">
    <w:name w:val="CM23"/>
    <w:basedOn w:val="Normal"/>
    <w:next w:val="Normal"/>
    <w:uiPriority w:val="99"/>
    <w:rsid w:val="00696D0D"/>
    <w:pPr>
      <w:autoSpaceDE w:val="0"/>
      <w:autoSpaceDN w:val="0"/>
      <w:adjustRightInd w:val="0"/>
    </w:pPr>
    <w:rPr>
      <w:rFonts w:ascii="Calibri" w:hAnsi="Calibri" w:cs="Calibri"/>
      <w:sz w:val="24"/>
      <w:szCs w:val="24"/>
    </w:rPr>
  </w:style>
  <w:style w:type="paragraph" w:styleId="Header">
    <w:name w:val="header"/>
    <w:basedOn w:val="Normal"/>
    <w:link w:val="HeaderChar"/>
    <w:uiPriority w:val="99"/>
    <w:unhideWhenUsed/>
    <w:rsid w:val="00696D0D"/>
    <w:pPr>
      <w:tabs>
        <w:tab w:val="center" w:pos="4680"/>
        <w:tab w:val="right" w:pos="9360"/>
      </w:tabs>
    </w:pPr>
  </w:style>
  <w:style w:type="character" w:customStyle="1" w:styleId="HeaderChar">
    <w:name w:val="Header Char"/>
    <w:basedOn w:val="DefaultParagraphFont"/>
    <w:link w:val="Header"/>
    <w:uiPriority w:val="99"/>
    <w:rsid w:val="00696D0D"/>
  </w:style>
  <w:style w:type="paragraph" w:styleId="Footer">
    <w:name w:val="footer"/>
    <w:basedOn w:val="Normal"/>
    <w:link w:val="FooterChar"/>
    <w:uiPriority w:val="99"/>
    <w:unhideWhenUsed/>
    <w:rsid w:val="00696D0D"/>
    <w:pPr>
      <w:tabs>
        <w:tab w:val="center" w:pos="4680"/>
        <w:tab w:val="right" w:pos="9360"/>
      </w:tabs>
    </w:pPr>
  </w:style>
  <w:style w:type="character" w:customStyle="1" w:styleId="FooterChar">
    <w:name w:val="Footer Char"/>
    <w:basedOn w:val="DefaultParagraphFont"/>
    <w:link w:val="Footer"/>
    <w:uiPriority w:val="99"/>
    <w:rsid w:val="00696D0D"/>
  </w:style>
  <w:style w:type="character" w:styleId="PlaceholderText">
    <w:name w:val="Placeholder Text"/>
    <w:basedOn w:val="DefaultParagraphFont"/>
    <w:uiPriority w:val="99"/>
    <w:semiHidden/>
    <w:rsid w:val="00CB384E"/>
    <w:rPr>
      <w:color w:val="808080"/>
    </w:rPr>
  </w:style>
  <w:style w:type="paragraph" w:styleId="FootnoteText">
    <w:name w:val="footnote text"/>
    <w:basedOn w:val="Normal"/>
    <w:link w:val="FootnoteTextChar"/>
    <w:uiPriority w:val="99"/>
    <w:semiHidden/>
    <w:unhideWhenUsed/>
    <w:rsid w:val="009756AF"/>
    <w:rPr>
      <w:sz w:val="20"/>
      <w:szCs w:val="20"/>
    </w:rPr>
  </w:style>
  <w:style w:type="character" w:customStyle="1" w:styleId="FootnoteTextChar">
    <w:name w:val="Footnote Text Char"/>
    <w:basedOn w:val="DefaultParagraphFont"/>
    <w:link w:val="FootnoteText"/>
    <w:uiPriority w:val="99"/>
    <w:semiHidden/>
    <w:rsid w:val="009756AF"/>
    <w:rPr>
      <w:sz w:val="20"/>
      <w:szCs w:val="20"/>
    </w:rPr>
  </w:style>
  <w:style w:type="character" w:styleId="FootnoteReference">
    <w:name w:val="footnote reference"/>
    <w:basedOn w:val="DefaultParagraphFont"/>
    <w:unhideWhenUsed/>
    <w:rsid w:val="009756AF"/>
    <w:rPr>
      <w:vertAlign w:val="superscript"/>
    </w:rPr>
  </w:style>
  <w:style w:type="character" w:customStyle="1" w:styleId="normaltextrun1">
    <w:name w:val="normaltextrun1"/>
    <w:basedOn w:val="DefaultParagraphFont"/>
    <w:rsid w:val="008A1598"/>
  </w:style>
  <w:style w:type="character" w:styleId="Hyperlink">
    <w:name w:val="Hyperlink"/>
    <w:basedOn w:val="DefaultParagraphFont"/>
    <w:uiPriority w:val="99"/>
    <w:unhideWhenUsed/>
    <w:rsid w:val="00BE13CD"/>
    <w:rPr>
      <w:color w:val="0000FF"/>
      <w:u w:val="single"/>
    </w:rPr>
  </w:style>
  <w:style w:type="paragraph" w:styleId="NoSpacing">
    <w:name w:val="No Spacing"/>
    <w:uiPriority w:val="1"/>
    <w:qFormat/>
    <w:rsid w:val="009F23B7"/>
    <w:pPr>
      <w:spacing w:line="240" w:lineRule="auto"/>
    </w:pPr>
  </w:style>
  <w:style w:type="paragraph" w:customStyle="1" w:styleId="paragraph">
    <w:name w:val="paragraph"/>
    <w:basedOn w:val="Normal"/>
    <w:rsid w:val="009C77BC"/>
    <w:rPr>
      <w:rFonts w:ascii="Times New Roman" w:eastAsia="Times New Roman" w:hAnsi="Times New Roman" w:cs="Times New Roman"/>
      <w:sz w:val="24"/>
      <w:szCs w:val="24"/>
    </w:rPr>
  </w:style>
  <w:style w:type="character" w:customStyle="1" w:styleId="eop">
    <w:name w:val="eop"/>
    <w:basedOn w:val="DefaultParagraphFont"/>
    <w:rsid w:val="009C77BC"/>
  </w:style>
  <w:style w:type="character" w:styleId="UnresolvedMention">
    <w:name w:val="Unresolved Mention"/>
    <w:basedOn w:val="DefaultParagraphFont"/>
    <w:uiPriority w:val="99"/>
    <w:unhideWhenUsed/>
    <w:rsid w:val="009C77BC"/>
    <w:rPr>
      <w:color w:val="605E5C"/>
      <w:shd w:val="clear" w:color="auto" w:fill="E1DFDD"/>
    </w:rPr>
  </w:style>
  <w:style w:type="table" w:styleId="TableGrid">
    <w:name w:val="Table Grid"/>
    <w:basedOn w:val="TableNormal"/>
    <w:uiPriority w:val="39"/>
    <w:rsid w:val="00701B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ables">
    <w:name w:val="BE_Tables"/>
    <w:basedOn w:val="Normal"/>
    <w:link w:val="BETablesChar"/>
    <w:qFormat/>
    <w:rsid w:val="00581938"/>
    <w:rPr>
      <w:b/>
    </w:rPr>
  </w:style>
  <w:style w:type="character" w:customStyle="1" w:styleId="BETablesChar">
    <w:name w:val="BE_Tables Char"/>
    <w:basedOn w:val="DefaultParagraphFont"/>
    <w:link w:val="BETables"/>
    <w:rsid w:val="00581938"/>
    <w:rPr>
      <w:b/>
    </w:rPr>
  </w:style>
  <w:style w:type="paragraph" w:customStyle="1" w:styleId="BETitle">
    <w:name w:val="BE_Title"/>
    <w:basedOn w:val="Heading1"/>
    <w:link w:val="BETitleChar"/>
    <w:qFormat/>
    <w:rsid w:val="00882EB5"/>
    <w:rPr>
      <w:b/>
      <w:sz w:val="32"/>
    </w:rPr>
  </w:style>
  <w:style w:type="character" w:customStyle="1" w:styleId="BETitleChar">
    <w:name w:val="BE_Title Char"/>
    <w:basedOn w:val="DefaultParagraphFont"/>
    <w:link w:val="BETitle"/>
    <w:rsid w:val="00581938"/>
    <w:rPr>
      <w:rFonts w:eastAsiaTheme="majorEastAsia" w:cstheme="majorBidi"/>
      <w:b/>
      <w:color w:val="4472C4"/>
      <w:sz w:val="32"/>
      <w:szCs w:val="36"/>
    </w:rPr>
  </w:style>
  <w:style w:type="paragraph" w:customStyle="1" w:styleId="BEHeader1">
    <w:name w:val="BE_Header 1"/>
    <w:basedOn w:val="Heading1"/>
    <w:link w:val="BEHeader1Char"/>
    <w:qFormat/>
    <w:rsid w:val="00626F43"/>
    <w:pPr>
      <w:numPr>
        <w:numId w:val="13"/>
      </w:numPr>
      <w:spacing w:after="240"/>
    </w:pPr>
  </w:style>
  <w:style w:type="character" w:customStyle="1" w:styleId="BEHeader1Char">
    <w:name w:val="BE_Header 1 Char"/>
    <w:basedOn w:val="DefaultParagraphFont"/>
    <w:link w:val="BEHeader1"/>
    <w:rsid w:val="00626F43"/>
    <w:rPr>
      <w:rFonts w:eastAsiaTheme="majorEastAsia" w:cstheme="majorBidi"/>
      <w:color w:val="4472C4"/>
      <w:sz w:val="24"/>
      <w:szCs w:val="36"/>
    </w:rPr>
  </w:style>
  <w:style w:type="paragraph" w:customStyle="1" w:styleId="BEHeader2">
    <w:name w:val="BE_Header2"/>
    <w:basedOn w:val="Heading2"/>
    <w:link w:val="BEHeader2Char"/>
    <w:qFormat/>
    <w:rsid w:val="00861D12"/>
    <w:pPr>
      <w:keepNext w:val="0"/>
      <w:keepLines w:val="0"/>
      <w:numPr>
        <w:numId w:val="42"/>
      </w:numPr>
      <w:spacing w:before="0" w:after="160" w:line="259" w:lineRule="auto"/>
      <w:outlineLvl w:val="9"/>
    </w:pPr>
  </w:style>
  <w:style w:type="character" w:customStyle="1" w:styleId="BEHeader2Char">
    <w:name w:val="BE_Header2 Char"/>
    <w:basedOn w:val="DefaultParagraphFont"/>
    <w:link w:val="BEHeader2"/>
    <w:rsid w:val="00861D12"/>
    <w:rPr>
      <w:rFonts w:eastAsiaTheme="majorEastAsia" w:cstheme="majorBidi"/>
      <w:color w:val="4472C4"/>
      <w:szCs w:val="32"/>
    </w:rPr>
  </w:style>
  <w:style w:type="paragraph" w:customStyle="1" w:styleId="BEFigure">
    <w:name w:val="BE_Figure"/>
    <w:basedOn w:val="Normal"/>
    <w:link w:val="BEFigureChar"/>
    <w:qFormat/>
    <w:rsid w:val="00581938"/>
    <w:rPr>
      <w:b/>
    </w:rPr>
  </w:style>
  <w:style w:type="character" w:customStyle="1" w:styleId="BEFigureChar">
    <w:name w:val="BE_Figure Char"/>
    <w:basedOn w:val="DefaultParagraphFont"/>
    <w:link w:val="BEFigure"/>
    <w:rsid w:val="00581938"/>
    <w:rPr>
      <w:b/>
    </w:rPr>
  </w:style>
  <w:style w:type="character" w:customStyle="1" w:styleId="Heading1Char">
    <w:name w:val="Heading 1 Char"/>
    <w:basedOn w:val="DefaultParagraphFont"/>
    <w:link w:val="Heading1"/>
    <w:uiPriority w:val="9"/>
    <w:rsid w:val="00581938"/>
    <w:rPr>
      <w:rFonts w:eastAsiaTheme="majorEastAsia" w:cstheme="majorBidi"/>
      <w:color w:val="4472C4"/>
      <w:sz w:val="24"/>
      <w:szCs w:val="36"/>
    </w:rPr>
  </w:style>
  <w:style w:type="character" w:customStyle="1" w:styleId="Heading2Char">
    <w:name w:val="Heading 2 Char"/>
    <w:basedOn w:val="DefaultParagraphFont"/>
    <w:link w:val="Heading2"/>
    <w:uiPriority w:val="9"/>
    <w:rsid w:val="00626F43"/>
    <w:rPr>
      <w:rFonts w:eastAsiaTheme="majorEastAsia" w:cstheme="majorBidi"/>
      <w:color w:val="4472C4"/>
      <w:szCs w:val="32"/>
    </w:rPr>
  </w:style>
  <w:style w:type="character" w:customStyle="1" w:styleId="Heading3Char">
    <w:name w:val="Heading 3 Char"/>
    <w:basedOn w:val="DefaultParagraphFont"/>
    <w:link w:val="Heading3"/>
    <w:uiPriority w:val="9"/>
    <w:rsid w:val="00581938"/>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581938"/>
    <w:rPr>
      <w:rFonts w:asciiTheme="majorHAnsi" w:eastAsiaTheme="majorEastAsia" w:hAnsiTheme="majorHAnsi" w:cstheme="majorBidi"/>
      <w:color w:val="2F5496" w:themeColor="accent1" w:themeShade="BF"/>
      <w:sz w:val="24"/>
      <w:szCs w:val="24"/>
    </w:rPr>
  </w:style>
  <w:style w:type="character" w:customStyle="1" w:styleId="Heading5Char">
    <w:name w:val="Heading 5 Char"/>
    <w:aliases w:val="Heading 5 Char1 Char,Char2 Char1 Char"/>
    <w:basedOn w:val="DefaultParagraphFont"/>
    <w:link w:val="Heading5"/>
    <w:uiPriority w:val="9"/>
    <w:semiHidden/>
    <w:rsid w:val="00581938"/>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81938"/>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81938"/>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81938"/>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81938"/>
    <w:rPr>
      <w:rFonts w:asciiTheme="majorHAnsi" w:eastAsiaTheme="majorEastAsia" w:hAnsiTheme="majorHAnsi" w:cstheme="majorBidi"/>
      <w:i/>
      <w:iCs/>
      <w:color w:val="1F3864" w:themeColor="accent1" w:themeShade="80"/>
    </w:rPr>
  </w:style>
  <w:style w:type="paragraph" w:styleId="Caption">
    <w:name w:val="caption"/>
    <w:aliases w:val="Char, Char"/>
    <w:basedOn w:val="Normal"/>
    <w:next w:val="Normal"/>
    <w:link w:val="CaptionChar"/>
    <w:uiPriority w:val="35"/>
    <w:unhideWhenUsed/>
    <w:qFormat/>
    <w:rsid w:val="00581938"/>
    <w:pPr>
      <w:spacing w:line="240" w:lineRule="auto"/>
    </w:pPr>
    <w:rPr>
      <w:b/>
      <w:bCs/>
      <w:smallCaps/>
      <w:color w:val="44546A" w:themeColor="text2"/>
    </w:rPr>
  </w:style>
  <w:style w:type="character" w:customStyle="1" w:styleId="CaptionChar">
    <w:name w:val="Caption Char"/>
    <w:aliases w:val="Char Char, Char Char"/>
    <w:link w:val="Caption"/>
    <w:uiPriority w:val="35"/>
    <w:rsid w:val="00581938"/>
    <w:rPr>
      <w:b/>
      <w:bCs/>
      <w:smallCaps/>
      <w:color w:val="44546A" w:themeColor="text2"/>
    </w:rPr>
  </w:style>
  <w:style w:type="paragraph" w:styleId="Title">
    <w:name w:val="Title"/>
    <w:basedOn w:val="Normal"/>
    <w:next w:val="Normal"/>
    <w:link w:val="TitleChar"/>
    <w:uiPriority w:val="10"/>
    <w:qFormat/>
    <w:rsid w:val="009F23B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8193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8193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81938"/>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581938"/>
    <w:rPr>
      <w:b/>
      <w:bCs/>
    </w:rPr>
  </w:style>
  <w:style w:type="character" w:styleId="Emphasis">
    <w:name w:val="Emphasis"/>
    <w:basedOn w:val="DefaultParagraphFont"/>
    <w:uiPriority w:val="20"/>
    <w:qFormat/>
    <w:rsid w:val="00581938"/>
    <w:rPr>
      <w:i/>
      <w:iCs/>
    </w:rPr>
  </w:style>
  <w:style w:type="character" w:customStyle="1" w:styleId="ListParagraphChar">
    <w:name w:val="List Paragraph Char"/>
    <w:basedOn w:val="DefaultParagraphFont"/>
    <w:link w:val="ListParagraph"/>
    <w:uiPriority w:val="34"/>
    <w:rsid w:val="00581938"/>
  </w:style>
  <w:style w:type="paragraph" w:styleId="Quote">
    <w:name w:val="Quote"/>
    <w:basedOn w:val="Normal"/>
    <w:next w:val="Normal"/>
    <w:link w:val="QuoteChar"/>
    <w:uiPriority w:val="29"/>
    <w:qFormat/>
    <w:rsid w:val="0058193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81938"/>
    <w:rPr>
      <w:color w:val="44546A" w:themeColor="text2"/>
      <w:sz w:val="24"/>
      <w:szCs w:val="24"/>
    </w:rPr>
  </w:style>
  <w:style w:type="paragraph" w:styleId="IntenseQuote">
    <w:name w:val="Intense Quote"/>
    <w:basedOn w:val="Normal"/>
    <w:next w:val="Normal"/>
    <w:link w:val="IntenseQuoteChar"/>
    <w:uiPriority w:val="30"/>
    <w:qFormat/>
    <w:rsid w:val="0058193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8193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81938"/>
    <w:rPr>
      <w:i/>
      <w:iCs/>
      <w:color w:val="595959" w:themeColor="text1" w:themeTint="A6"/>
    </w:rPr>
  </w:style>
  <w:style w:type="character" w:styleId="IntenseEmphasis">
    <w:name w:val="Intense Emphasis"/>
    <w:basedOn w:val="DefaultParagraphFont"/>
    <w:uiPriority w:val="21"/>
    <w:qFormat/>
    <w:rsid w:val="00581938"/>
    <w:rPr>
      <w:b/>
      <w:bCs/>
      <w:i/>
      <w:iCs/>
    </w:rPr>
  </w:style>
  <w:style w:type="character" w:styleId="SubtleReference">
    <w:name w:val="Subtle Reference"/>
    <w:basedOn w:val="DefaultParagraphFont"/>
    <w:uiPriority w:val="31"/>
    <w:qFormat/>
    <w:rsid w:val="0058193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81938"/>
    <w:rPr>
      <w:b/>
      <w:bCs/>
      <w:smallCaps/>
      <w:color w:val="44546A" w:themeColor="text2"/>
      <w:u w:val="single"/>
    </w:rPr>
  </w:style>
  <w:style w:type="character" w:styleId="BookTitle">
    <w:name w:val="Book Title"/>
    <w:basedOn w:val="DefaultParagraphFont"/>
    <w:uiPriority w:val="33"/>
    <w:qFormat/>
    <w:rsid w:val="00581938"/>
    <w:rPr>
      <w:b/>
      <w:bCs/>
      <w:smallCaps/>
      <w:spacing w:val="10"/>
    </w:rPr>
  </w:style>
  <w:style w:type="paragraph" w:styleId="TOCHeading">
    <w:name w:val="TOC Heading"/>
    <w:basedOn w:val="Heading1"/>
    <w:next w:val="Normal"/>
    <w:uiPriority w:val="39"/>
    <w:semiHidden/>
    <w:unhideWhenUsed/>
    <w:qFormat/>
    <w:rsid w:val="00581938"/>
    <w:pPr>
      <w:outlineLvl w:val="9"/>
    </w:pPr>
  </w:style>
  <w:style w:type="table" w:customStyle="1" w:styleId="TableGrid1">
    <w:name w:val="Table Grid1"/>
    <w:basedOn w:val="TableNormal"/>
    <w:next w:val="TableGrid"/>
    <w:uiPriority w:val="39"/>
    <w:rsid w:val="007A7C04"/>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7A7C04"/>
    <w:rPr>
      <w:color w:val="2B579A"/>
      <w:shd w:val="clear" w:color="auto" w:fill="E1DFDD"/>
    </w:rPr>
  </w:style>
  <w:style w:type="paragraph" w:styleId="Revision">
    <w:name w:val="Revision"/>
    <w:hidden/>
    <w:uiPriority w:val="99"/>
    <w:semiHidden/>
    <w:rsid w:val="004D1CCD"/>
    <w:pPr>
      <w:spacing w:line="240" w:lineRule="auto"/>
    </w:pPr>
  </w:style>
  <w:style w:type="character" w:styleId="FollowedHyperlink">
    <w:name w:val="FollowedHyperlink"/>
    <w:basedOn w:val="DefaultParagraphFont"/>
    <w:uiPriority w:val="99"/>
    <w:semiHidden/>
    <w:unhideWhenUsed/>
    <w:rsid w:val="00B16D28"/>
    <w:rPr>
      <w:color w:val="954F72" w:themeColor="followedHyperlink"/>
      <w:u w:val="single"/>
    </w:rPr>
  </w:style>
  <w:style w:type="character" w:customStyle="1" w:styleId="normaltextrun">
    <w:name w:val="normaltextrun"/>
    <w:basedOn w:val="DefaultParagraphFont"/>
    <w:rsid w:val="00CB6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8420">
      <w:bodyDiv w:val="1"/>
      <w:marLeft w:val="0"/>
      <w:marRight w:val="0"/>
      <w:marTop w:val="0"/>
      <w:marBottom w:val="0"/>
      <w:divBdr>
        <w:top w:val="none" w:sz="0" w:space="0" w:color="auto"/>
        <w:left w:val="none" w:sz="0" w:space="0" w:color="auto"/>
        <w:bottom w:val="none" w:sz="0" w:space="0" w:color="auto"/>
        <w:right w:val="none" w:sz="0" w:space="0" w:color="auto"/>
      </w:divBdr>
    </w:div>
    <w:div w:id="33776645">
      <w:bodyDiv w:val="1"/>
      <w:marLeft w:val="0"/>
      <w:marRight w:val="0"/>
      <w:marTop w:val="0"/>
      <w:marBottom w:val="0"/>
      <w:divBdr>
        <w:top w:val="none" w:sz="0" w:space="0" w:color="auto"/>
        <w:left w:val="none" w:sz="0" w:space="0" w:color="auto"/>
        <w:bottom w:val="none" w:sz="0" w:space="0" w:color="auto"/>
        <w:right w:val="none" w:sz="0" w:space="0" w:color="auto"/>
      </w:divBdr>
    </w:div>
    <w:div w:id="76025080">
      <w:bodyDiv w:val="1"/>
      <w:marLeft w:val="0"/>
      <w:marRight w:val="0"/>
      <w:marTop w:val="0"/>
      <w:marBottom w:val="0"/>
      <w:divBdr>
        <w:top w:val="none" w:sz="0" w:space="0" w:color="auto"/>
        <w:left w:val="none" w:sz="0" w:space="0" w:color="auto"/>
        <w:bottom w:val="none" w:sz="0" w:space="0" w:color="auto"/>
        <w:right w:val="none" w:sz="0" w:space="0" w:color="auto"/>
      </w:divBdr>
    </w:div>
    <w:div w:id="97917465">
      <w:bodyDiv w:val="1"/>
      <w:marLeft w:val="0"/>
      <w:marRight w:val="0"/>
      <w:marTop w:val="0"/>
      <w:marBottom w:val="0"/>
      <w:divBdr>
        <w:top w:val="none" w:sz="0" w:space="0" w:color="auto"/>
        <w:left w:val="none" w:sz="0" w:space="0" w:color="auto"/>
        <w:bottom w:val="none" w:sz="0" w:space="0" w:color="auto"/>
        <w:right w:val="none" w:sz="0" w:space="0" w:color="auto"/>
      </w:divBdr>
    </w:div>
    <w:div w:id="122816705">
      <w:bodyDiv w:val="1"/>
      <w:marLeft w:val="0"/>
      <w:marRight w:val="0"/>
      <w:marTop w:val="0"/>
      <w:marBottom w:val="0"/>
      <w:divBdr>
        <w:top w:val="none" w:sz="0" w:space="0" w:color="auto"/>
        <w:left w:val="none" w:sz="0" w:space="0" w:color="auto"/>
        <w:bottom w:val="none" w:sz="0" w:space="0" w:color="auto"/>
        <w:right w:val="none" w:sz="0" w:space="0" w:color="auto"/>
      </w:divBdr>
    </w:div>
    <w:div w:id="142043095">
      <w:bodyDiv w:val="1"/>
      <w:marLeft w:val="0"/>
      <w:marRight w:val="0"/>
      <w:marTop w:val="0"/>
      <w:marBottom w:val="0"/>
      <w:divBdr>
        <w:top w:val="none" w:sz="0" w:space="0" w:color="auto"/>
        <w:left w:val="none" w:sz="0" w:space="0" w:color="auto"/>
        <w:bottom w:val="none" w:sz="0" w:space="0" w:color="auto"/>
        <w:right w:val="none" w:sz="0" w:space="0" w:color="auto"/>
      </w:divBdr>
    </w:div>
    <w:div w:id="173153493">
      <w:bodyDiv w:val="1"/>
      <w:marLeft w:val="0"/>
      <w:marRight w:val="0"/>
      <w:marTop w:val="0"/>
      <w:marBottom w:val="0"/>
      <w:divBdr>
        <w:top w:val="none" w:sz="0" w:space="0" w:color="auto"/>
        <w:left w:val="none" w:sz="0" w:space="0" w:color="auto"/>
        <w:bottom w:val="none" w:sz="0" w:space="0" w:color="auto"/>
        <w:right w:val="none" w:sz="0" w:space="0" w:color="auto"/>
      </w:divBdr>
    </w:div>
    <w:div w:id="240215002">
      <w:bodyDiv w:val="1"/>
      <w:marLeft w:val="0"/>
      <w:marRight w:val="0"/>
      <w:marTop w:val="0"/>
      <w:marBottom w:val="0"/>
      <w:divBdr>
        <w:top w:val="none" w:sz="0" w:space="0" w:color="auto"/>
        <w:left w:val="none" w:sz="0" w:space="0" w:color="auto"/>
        <w:bottom w:val="none" w:sz="0" w:space="0" w:color="auto"/>
        <w:right w:val="none" w:sz="0" w:space="0" w:color="auto"/>
      </w:divBdr>
    </w:div>
    <w:div w:id="253436013">
      <w:bodyDiv w:val="1"/>
      <w:marLeft w:val="0"/>
      <w:marRight w:val="0"/>
      <w:marTop w:val="0"/>
      <w:marBottom w:val="0"/>
      <w:divBdr>
        <w:top w:val="none" w:sz="0" w:space="0" w:color="auto"/>
        <w:left w:val="none" w:sz="0" w:space="0" w:color="auto"/>
        <w:bottom w:val="none" w:sz="0" w:space="0" w:color="auto"/>
        <w:right w:val="none" w:sz="0" w:space="0" w:color="auto"/>
      </w:divBdr>
    </w:div>
    <w:div w:id="276329414">
      <w:bodyDiv w:val="1"/>
      <w:marLeft w:val="0"/>
      <w:marRight w:val="0"/>
      <w:marTop w:val="0"/>
      <w:marBottom w:val="0"/>
      <w:divBdr>
        <w:top w:val="none" w:sz="0" w:space="0" w:color="auto"/>
        <w:left w:val="none" w:sz="0" w:space="0" w:color="auto"/>
        <w:bottom w:val="none" w:sz="0" w:space="0" w:color="auto"/>
        <w:right w:val="none" w:sz="0" w:space="0" w:color="auto"/>
      </w:divBdr>
    </w:div>
    <w:div w:id="389381069">
      <w:bodyDiv w:val="1"/>
      <w:marLeft w:val="0"/>
      <w:marRight w:val="0"/>
      <w:marTop w:val="0"/>
      <w:marBottom w:val="0"/>
      <w:divBdr>
        <w:top w:val="none" w:sz="0" w:space="0" w:color="auto"/>
        <w:left w:val="none" w:sz="0" w:space="0" w:color="auto"/>
        <w:bottom w:val="none" w:sz="0" w:space="0" w:color="auto"/>
        <w:right w:val="none" w:sz="0" w:space="0" w:color="auto"/>
      </w:divBdr>
    </w:div>
    <w:div w:id="409230794">
      <w:bodyDiv w:val="1"/>
      <w:marLeft w:val="0"/>
      <w:marRight w:val="0"/>
      <w:marTop w:val="0"/>
      <w:marBottom w:val="0"/>
      <w:divBdr>
        <w:top w:val="none" w:sz="0" w:space="0" w:color="auto"/>
        <w:left w:val="none" w:sz="0" w:space="0" w:color="auto"/>
        <w:bottom w:val="none" w:sz="0" w:space="0" w:color="auto"/>
        <w:right w:val="none" w:sz="0" w:space="0" w:color="auto"/>
      </w:divBdr>
    </w:div>
    <w:div w:id="434711768">
      <w:bodyDiv w:val="1"/>
      <w:marLeft w:val="0"/>
      <w:marRight w:val="0"/>
      <w:marTop w:val="0"/>
      <w:marBottom w:val="0"/>
      <w:divBdr>
        <w:top w:val="none" w:sz="0" w:space="0" w:color="auto"/>
        <w:left w:val="none" w:sz="0" w:space="0" w:color="auto"/>
        <w:bottom w:val="none" w:sz="0" w:space="0" w:color="auto"/>
        <w:right w:val="none" w:sz="0" w:space="0" w:color="auto"/>
      </w:divBdr>
    </w:div>
    <w:div w:id="468934492">
      <w:bodyDiv w:val="1"/>
      <w:marLeft w:val="0"/>
      <w:marRight w:val="0"/>
      <w:marTop w:val="0"/>
      <w:marBottom w:val="0"/>
      <w:divBdr>
        <w:top w:val="none" w:sz="0" w:space="0" w:color="auto"/>
        <w:left w:val="none" w:sz="0" w:space="0" w:color="auto"/>
        <w:bottom w:val="none" w:sz="0" w:space="0" w:color="auto"/>
        <w:right w:val="none" w:sz="0" w:space="0" w:color="auto"/>
      </w:divBdr>
    </w:div>
    <w:div w:id="571502199">
      <w:bodyDiv w:val="1"/>
      <w:marLeft w:val="0"/>
      <w:marRight w:val="0"/>
      <w:marTop w:val="0"/>
      <w:marBottom w:val="0"/>
      <w:divBdr>
        <w:top w:val="none" w:sz="0" w:space="0" w:color="auto"/>
        <w:left w:val="none" w:sz="0" w:space="0" w:color="auto"/>
        <w:bottom w:val="none" w:sz="0" w:space="0" w:color="auto"/>
        <w:right w:val="none" w:sz="0" w:space="0" w:color="auto"/>
      </w:divBdr>
    </w:div>
    <w:div w:id="588271335">
      <w:bodyDiv w:val="1"/>
      <w:marLeft w:val="0"/>
      <w:marRight w:val="0"/>
      <w:marTop w:val="0"/>
      <w:marBottom w:val="0"/>
      <w:divBdr>
        <w:top w:val="none" w:sz="0" w:space="0" w:color="auto"/>
        <w:left w:val="none" w:sz="0" w:space="0" w:color="auto"/>
        <w:bottom w:val="none" w:sz="0" w:space="0" w:color="auto"/>
        <w:right w:val="none" w:sz="0" w:space="0" w:color="auto"/>
      </w:divBdr>
    </w:div>
    <w:div w:id="615021527">
      <w:bodyDiv w:val="1"/>
      <w:marLeft w:val="0"/>
      <w:marRight w:val="0"/>
      <w:marTop w:val="0"/>
      <w:marBottom w:val="0"/>
      <w:divBdr>
        <w:top w:val="none" w:sz="0" w:space="0" w:color="auto"/>
        <w:left w:val="none" w:sz="0" w:space="0" w:color="auto"/>
        <w:bottom w:val="none" w:sz="0" w:space="0" w:color="auto"/>
        <w:right w:val="none" w:sz="0" w:space="0" w:color="auto"/>
      </w:divBdr>
    </w:div>
    <w:div w:id="648442833">
      <w:bodyDiv w:val="1"/>
      <w:marLeft w:val="0"/>
      <w:marRight w:val="0"/>
      <w:marTop w:val="0"/>
      <w:marBottom w:val="0"/>
      <w:divBdr>
        <w:top w:val="none" w:sz="0" w:space="0" w:color="auto"/>
        <w:left w:val="none" w:sz="0" w:space="0" w:color="auto"/>
        <w:bottom w:val="none" w:sz="0" w:space="0" w:color="auto"/>
        <w:right w:val="none" w:sz="0" w:space="0" w:color="auto"/>
      </w:divBdr>
    </w:div>
    <w:div w:id="666980080">
      <w:bodyDiv w:val="1"/>
      <w:marLeft w:val="0"/>
      <w:marRight w:val="0"/>
      <w:marTop w:val="0"/>
      <w:marBottom w:val="0"/>
      <w:divBdr>
        <w:top w:val="none" w:sz="0" w:space="0" w:color="auto"/>
        <w:left w:val="none" w:sz="0" w:space="0" w:color="auto"/>
        <w:bottom w:val="none" w:sz="0" w:space="0" w:color="auto"/>
        <w:right w:val="none" w:sz="0" w:space="0" w:color="auto"/>
      </w:divBdr>
    </w:div>
    <w:div w:id="678583294">
      <w:bodyDiv w:val="1"/>
      <w:marLeft w:val="0"/>
      <w:marRight w:val="0"/>
      <w:marTop w:val="0"/>
      <w:marBottom w:val="0"/>
      <w:divBdr>
        <w:top w:val="none" w:sz="0" w:space="0" w:color="auto"/>
        <w:left w:val="none" w:sz="0" w:space="0" w:color="auto"/>
        <w:bottom w:val="none" w:sz="0" w:space="0" w:color="auto"/>
        <w:right w:val="none" w:sz="0" w:space="0" w:color="auto"/>
      </w:divBdr>
    </w:div>
    <w:div w:id="680008753">
      <w:bodyDiv w:val="1"/>
      <w:marLeft w:val="0"/>
      <w:marRight w:val="0"/>
      <w:marTop w:val="0"/>
      <w:marBottom w:val="0"/>
      <w:divBdr>
        <w:top w:val="none" w:sz="0" w:space="0" w:color="auto"/>
        <w:left w:val="none" w:sz="0" w:space="0" w:color="auto"/>
        <w:bottom w:val="none" w:sz="0" w:space="0" w:color="auto"/>
        <w:right w:val="none" w:sz="0" w:space="0" w:color="auto"/>
      </w:divBdr>
    </w:div>
    <w:div w:id="700862605">
      <w:bodyDiv w:val="1"/>
      <w:marLeft w:val="0"/>
      <w:marRight w:val="0"/>
      <w:marTop w:val="0"/>
      <w:marBottom w:val="0"/>
      <w:divBdr>
        <w:top w:val="none" w:sz="0" w:space="0" w:color="auto"/>
        <w:left w:val="none" w:sz="0" w:space="0" w:color="auto"/>
        <w:bottom w:val="none" w:sz="0" w:space="0" w:color="auto"/>
        <w:right w:val="none" w:sz="0" w:space="0" w:color="auto"/>
      </w:divBdr>
    </w:div>
    <w:div w:id="716852017">
      <w:bodyDiv w:val="1"/>
      <w:marLeft w:val="0"/>
      <w:marRight w:val="0"/>
      <w:marTop w:val="0"/>
      <w:marBottom w:val="0"/>
      <w:divBdr>
        <w:top w:val="none" w:sz="0" w:space="0" w:color="auto"/>
        <w:left w:val="none" w:sz="0" w:space="0" w:color="auto"/>
        <w:bottom w:val="none" w:sz="0" w:space="0" w:color="auto"/>
        <w:right w:val="none" w:sz="0" w:space="0" w:color="auto"/>
      </w:divBdr>
    </w:div>
    <w:div w:id="765543653">
      <w:bodyDiv w:val="1"/>
      <w:marLeft w:val="0"/>
      <w:marRight w:val="0"/>
      <w:marTop w:val="0"/>
      <w:marBottom w:val="0"/>
      <w:divBdr>
        <w:top w:val="none" w:sz="0" w:space="0" w:color="auto"/>
        <w:left w:val="none" w:sz="0" w:space="0" w:color="auto"/>
        <w:bottom w:val="none" w:sz="0" w:space="0" w:color="auto"/>
        <w:right w:val="none" w:sz="0" w:space="0" w:color="auto"/>
      </w:divBdr>
    </w:div>
    <w:div w:id="797454403">
      <w:bodyDiv w:val="1"/>
      <w:marLeft w:val="0"/>
      <w:marRight w:val="0"/>
      <w:marTop w:val="0"/>
      <w:marBottom w:val="0"/>
      <w:divBdr>
        <w:top w:val="none" w:sz="0" w:space="0" w:color="auto"/>
        <w:left w:val="none" w:sz="0" w:space="0" w:color="auto"/>
        <w:bottom w:val="none" w:sz="0" w:space="0" w:color="auto"/>
        <w:right w:val="none" w:sz="0" w:space="0" w:color="auto"/>
      </w:divBdr>
    </w:div>
    <w:div w:id="834491221">
      <w:bodyDiv w:val="1"/>
      <w:marLeft w:val="0"/>
      <w:marRight w:val="0"/>
      <w:marTop w:val="0"/>
      <w:marBottom w:val="0"/>
      <w:divBdr>
        <w:top w:val="none" w:sz="0" w:space="0" w:color="auto"/>
        <w:left w:val="none" w:sz="0" w:space="0" w:color="auto"/>
        <w:bottom w:val="none" w:sz="0" w:space="0" w:color="auto"/>
        <w:right w:val="none" w:sz="0" w:space="0" w:color="auto"/>
      </w:divBdr>
    </w:div>
    <w:div w:id="888804778">
      <w:bodyDiv w:val="1"/>
      <w:marLeft w:val="0"/>
      <w:marRight w:val="0"/>
      <w:marTop w:val="0"/>
      <w:marBottom w:val="0"/>
      <w:divBdr>
        <w:top w:val="none" w:sz="0" w:space="0" w:color="auto"/>
        <w:left w:val="none" w:sz="0" w:space="0" w:color="auto"/>
        <w:bottom w:val="none" w:sz="0" w:space="0" w:color="auto"/>
        <w:right w:val="none" w:sz="0" w:space="0" w:color="auto"/>
      </w:divBdr>
    </w:div>
    <w:div w:id="896743998">
      <w:bodyDiv w:val="1"/>
      <w:marLeft w:val="0"/>
      <w:marRight w:val="0"/>
      <w:marTop w:val="0"/>
      <w:marBottom w:val="0"/>
      <w:divBdr>
        <w:top w:val="none" w:sz="0" w:space="0" w:color="auto"/>
        <w:left w:val="none" w:sz="0" w:space="0" w:color="auto"/>
        <w:bottom w:val="none" w:sz="0" w:space="0" w:color="auto"/>
        <w:right w:val="none" w:sz="0" w:space="0" w:color="auto"/>
      </w:divBdr>
    </w:div>
    <w:div w:id="903561294">
      <w:bodyDiv w:val="1"/>
      <w:marLeft w:val="0"/>
      <w:marRight w:val="0"/>
      <w:marTop w:val="0"/>
      <w:marBottom w:val="0"/>
      <w:divBdr>
        <w:top w:val="none" w:sz="0" w:space="0" w:color="auto"/>
        <w:left w:val="none" w:sz="0" w:space="0" w:color="auto"/>
        <w:bottom w:val="none" w:sz="0" w:space="0" w:color="auto"/>
        <w:right w:val="none" w:sz="0" w:space="0" w:color="auto"/>
      </w:divBdr>
    </w:div>
    <w:div w:id="907543921">
      <w:bodyDiv w:val="1"/>
      <w:marLeft w:val="0"/>
      <w:marRight w:val="0"/>
      <w:marTop w:val="0"/>
      <w:marBottom w:val="0"/>
      <w:divBdr>
        <w:top w:val="none" w:sz="0" w:space="0" w:color="auto"/>
        <w:left w:val="none" w:sz="0" w:space="0" w:color="auto"/>
        <w:bottom w:val="none" w:sz="0" w:space="0" w:color="auto"/>
        <w:right w:val="none" w:sz="0" w:space="0" w:color="auto"/>
      </w:divBdr>
    </w:div>
    <w:div w:id="1063913478">
      <w:bodyDiv w:val="1"/>
      <w:marLeft w:val="0"/>
      <w:marRight w:val="0"/>
      <w:marTop w:val="0"/>
      <w:marBottom w:val="0"/>
      <w:divBdr>
        <w:top w:val="none" w:sz="0" w:space="0" w:color="auto"/>
        <w:left w:val="none" w:sz="0" w:space="0" w:color="auto"/>
        <w:bottom w:val="none" w:sz="0" w:space="0" w:color="auto"/>
        <w:right w:val="none" w:sz="0" w:space="0" w:color="auto"/>
      </w:divBdr>
    </w:div>
    <w:div w:id="1096486384">
      <w:bodyDiv w:val="1"/>
      <w:marLeft w:val="0"/>
      <w:marRight w:val="0"/>
      <w:marTop w:val="0"/>
      <w:marBottom w:val="0"/>
      <w:divBdr>
        <w:top w:val="none" w:sz="0" w:space="0" w:color="auto"/>
        <w:left w:val="none" w:sz="0" w:space="0" w:color="auto"/>
        <w:bottom w:val="none" w:sz="0" w:space="0" w:color="auto"/>
        <w:right w:val="none" w:sz="0" w:space="0" w:color="auto"/>
      </w:divBdr>
    </w:div>
    <w:div w:id="1125077325">
      <w:bodyDiv w:val="1"/>
      <w:marLeft w:val="0"/>
      <w:marRight w:val="0"/>
      <w:marTop w:val="0"/>
      <w:marBottom w:val="0"/>
      <w:divBdr>
        <w:top w:val="none" w:sz="0" w:space="0" w:color="auto"/>
        <w:left w:val="none" w:sz="0" w:space="0" w:color="auto"/>
        <w:bottom w:val="none" w:sz="0" w:space="0" w:color="auto"/>
        <w:right w:val="none" w:sz="0" w:space="0" w:color="auto"/>
      </w:divBdr>
    </w:div>
    <w:div w:id="1231883423">
      <w:bodyDiv w:val="1"/>
      <w:marLeft w:val="0"/>
      <w:marRight w:val="0"/>
      <w:marTop w:val="0"/>
      <w:marBottom w:val="0"/>
      <w:divBdr>
        <w:top w:val="none" w:sz="0" w:space="0" w:color="auto"/>
        <w:left w:val="none" w:sz="0" w:space="0" w:color="auto"/>
        <w:bottom w:val="none" w:sz="0" w:space="0" w:color="auto"/>
        <w:right w:val="none" w:sz="0" w:space="0" w:color="auto"/>
      </w:divBdr>
    </w:div>
    <w:div w:id="1294948289">
      <w:bodyDiv w:val="1"/>
      <w:marLeft w:val="0"/>
      <w:marRight w:val="0"/>
      <w:marTop w:val="0"/>
      <w:marBottom w:val="0"/>
      <w:divBdr>
        <w:top w:val="none" w:sz="0" w:space="0" w:color="auto"/>
        <w:left w:val="none" w:sz="0" w:space="0" w:color="auto"/>
        <w:bottom w:val="none" w:sz="0" w:space="0" w:color="auto"/>
        <w:right w:val="none" w:sz="0" w:space="0" w:color="auto"/>
      </w:divBdr>
    </w:div>
    <w:div w:id="1297104696">
      <w:bodyDiv w:val="1"/>
      <w:marLeft w:val="0"/>
      <w:marRight w:val="0"/>
      <w:marTop w:val="0"/>
      <w:marBottom w:val="0"/>
      <w:divBdr>
        <w:top w:val="none" w:sz="0" w:space="0" w:color="auto"/>
        <w:left w:val="none" w:sz="0" w:space="0" w:color="auto"/>
        <w:bottom w:val="none" w:sz="0" w:space="0" w:color="auto"/>
        <w:right w:val="none" w:sz="0" w:space="0" w:color="auto"/>
      </w:divBdr>
    </w:div>
    <w:div w:id="1365406522">
      <w:bodyDiv w:val="1"/>
      <w:marLeft w:val="0"/>
      <w:marRight w:val="0"/>
      <w:marTop w:val="0"/>
      <w:marBottom w:val="0"/>
      <w:divBdr>
        <w:top w:val="none" w:sz="0" w:space="0" w:color="auto"/>
        <w:left w:val="none" w:sz="0" w:space="0" w:color="auto"/>
        <w:bottom w:val="none" w:sz="0" w:space="0" w:color="auto"/>
        <w:right w:val="none" w:sz="0" w:space="0" w:color="auto"/>
      </w:divBdr>
    </w:div>
    <w:div w:id="1373457167">
      <w:bodyDiv w:val="1"/>
      <w:marLeft w:val="0"/>
      <w:marRight w:val="0"/>
      <w:marTop w:val="0"/>
      <w:marBottom w:val="0"/>
      <w:divBdr>
        <w:top w:val="none" w:sz="0" w:space="0" w:color="auto"/>
        <w:left w:val="none" w:sz="0" w:space="0" w:color="auto"/>
        <w:bottom w:val="none" w:sz="0" w:space="0" w:color="auto"/>
        <w:right w:val="none" w:sz="0" w:space="0" w:color="auto"/>
      </w:divBdr>
    </w:div>
    <w:div w:id="1381780236">
      <w:bodyDiv w:val="1"/>
      <w:marLeft w:val="0"/>
      <w:marRight w:val="0"/>
      <w:marTop w:val="0"/>
      <w:marBottom w:val="0"/>
      <w:divBdr>
        <w:top w:val="none" w:sz="0" w:space="0" w:color="auto"/>
        <w:left w:val="none" w:sz="0" w:space="0" w:color="auto"/>
        <w:bottom w:val="none" w:sz="0" w:space="0" w:color="auto"/>
        <w:right w:val="none" w:sz="0" w:space="0" w:color="auto"/>
      </w:divBdr>
    </w:div>
    <w:div w:id="1400439114">
      <w:bodyDiv w:val="1"/>
      <w:marLeft w:val="0"/>
      <w:marRight w:val="0"/>
      <w:marTop w:val="0"/>
      <w:marBottom w:val="0"/>
      <w:divBdr>
        <w:top w:val="none" w:sz="0" w:space="0" w:color="auto"/>
        <w:left w:val="none" w:sz="0" w:space="0" w:color="auto"/>
        <w:bottom w:val="none" w:sz="0" w:space="0" w:color="auto"/>
        <w:right w:val="none" w:sz="0" w:space="0" w:color="auto"/>
      </w:divBdr>
    </w:div>
    <w:div w:id="1404060786">
      <w:bodyDiv w:val="1"/>
      <w:marLeft w:val="0"/>
      <w:marRight w:val="0"/>
      <w:marTop w:val="0"/>
      <w:marBottom w:val="0"/>
      <w:divBdr>
        <w:top w:val="none" w:sz="0" w:space="0" w:color="auto"/>
        <w:left w:val="none" w:sz="0" w:space="0" w:color="auto"/>
        <w:bottom w:val="none" w:sz="0" w:space="0" w:color="auto"/>
        <w:right w:val="none" w:sz="0" w:space="0" w:color="auto"/>
      </w:divBdr>
    </w:div>
    <w:div w:id="1428622103">
      <w:bodyDiv w:val="1"/>
      <w:marLeft w:val="0"/>
      <w:marRight w:val="0"/>
      <w:marTop w:val="0"/>
      <w:marBottom w:val="0"/>
      <w:divBdr>
        <w:top w:val="none" w:sz="0" w:space="0" w:color="auto"/>
        <w:left w:val="none" w:sz="0" w:space="0" w:color="auto"/>
        <w:bottom w:val="none" w:sz="0" w:space="0" w:color="auto"/>
        <w:right w:val="none" w:sz="0" w:space="0" w:color="auto"/>
      </w:divBdr>
    </w:div>
    <w:div w:id="1472558401">
      <w:bodyDiv w:val="1"/>
      <w:marLeft w:val="0"/>
      <w:marRight w:val="0"/>
      <w:marTop w:val="0"/>
      <w:marBottom w:val="0"/>
      <w:divBdr>
        <w:top w:val="none" w:sz="0" w:space="0" w:color="auto"/>
        <w:left w:val="none" w:sz="0" w:space="0" w:color="auto"/>
        <w:bottom w:val="none" w:sz="0" w:space="0" w:color="auto"/>
        <w:right w:val="none" w:sz="0" w:space="0" w:color="auto"/>
      </w:divBdr>
    </w:div>
    <w:div w:id="1570992875">
      <w:bodyDiv w:val="1"/>
      <w:marLeft w:val="0"/>
      <w:marRight w:val="0"/>
      <w:marTop w:val="0"/>
      <w:marBottom w:val="0"/>
      <w:divBdr>
        <w:top w:val="none" w:sz="0" w:space="0" w:color="auto"/>
        <w:left w:val="none" w:sz="0" w:space="0" w:color="auto"/>
        <w:bottom w:val="none" w:sz="0" w:space="0" w:color="auto"/>
        <w:right w:val="none" w:sz="0" w:space="0" w:color="auto"/>
      </w:divBdr>
    </w:div>
    <w:div w:id="1576353510">
      <w:bodyDiv w:val="1"/>
      <w:marLeft w:val="0"/>
      <w:marRight w:val="0"/>
      <w:marTop w:val="0"/>
      <w:marBottom w:val="0"/>
      <w:divBdr>
        <w:top w:val="none" w:sz="0" w:space="0" w:color="auto"/>
        <w:left w:val="none" w:sz="0" w:space="0" w:color="auto"/>
        <w:bottom w:val="none" w:sz="0" w:space="0" w:color="auto"/>
        <w:right w:val="none" w:sz="0" w:space="0" w:color="auto"/>
      </w:divBdr>
    </w:div>
    <w:div w:id="1587497879">
      <w:bodyDiv w:val="1"/>
      <w:marLeft w:val="0"/>
      <w:marRight w:val="0"/>
      <w:marTop w:val="0"/>
      <w:marBottom w:val="0"/>
      <w:divBdr>
        <w:top w:val="none" w:sz="0" w:space="0" w:color="auto"/>
        <w:left w:val="none" w:sz="0" w:space="0" w:color="auto"/>
        <w:bottom w:val="none" w:sz="0" w:space="0" w:color="auto"/>
        <w:right w:val="none" w:sz="0" w:space="0" w:color="auto"/>
      </w:divBdr>
    </w:div>
    <w:div w:id="1592817400">
      <w:bodyDiv w:val="1"/>
      <w:marLeft w:val="0"/>
      <w:marRight w:val="0"/>
      <w:marTop w:val="0"/>
      <w:marBottom w:val="0"/>
      <w:divBdr>
        <w:top w:val="none" w:sz="0" w:space="0" w:color="auto"/>
        <w:left w:val="none" w:sz="0" w:space="0" w:color="auto"/>
        <w:bottom w:val="none" w:sz="0" w:space="0" w:color="auto"/>
        <w:right w:val="none" w:sz="0" w:space="0" w:color="auto"/>
      </w:divBdr>
    </w:div>
    <w:div w:id="1599100614">
      <w:bodyDiv w:val="1"/>
      <w:marLeft w:val="0"/>
      <w:marRight w:val="0"/>
      <w:marTop w:val="0"/>
      <w:marBottom w:val="0"/>
      <w:divBdr>
        <w:top w:val="none" w:sz="0" w:space="0" w:color="auto"/>
        <w:left w:val="none" w:sz="0" w:space="0" w:color="auto"/>
        <w:bottom w:val="none" w:sz="0" w:space="0" w:color="auto"/>
        <w:right w:val="none" w:sz="0" w:space="0" w:color="auto"/>
      </w:divBdr>
    </w:div>
    <w:div w:id="1617562450">
      <w:bodyDiv w:val="1"/>
      <w:marLeft w:val="0"/>
      <w:marRight w:val="0"/>
      <w:marTop w:val="0"/>
      <w:marBottom w:val="0"/>
      <w:divBdr>
        <w:top w:val="none" w:sz="0" w:space="0" w:color="auto"/>
        <w:left w:val="none" w:sz="0" w:space="0" w:color="auto"/>
        <w:bottom w:val="none" w:sz="0" w:space="0" w:color="auto"/>
        <w:right w:val="none" w:sz="0" w:space="0" w:color="auto"/>
      </w:divBdr>
    </w:div>
    <w:div w:id="1617757643">
      <w:bodyDiv w:val="1"/>
      <w:marLeft w:val="0"/>
      <w:marRight w:val="0"/>
      <w:marTop w:val="0"/>
      <w:marBottom w:val="0"/>
      <w:divBdr>
        <w:top w:val="none" w:sz="0" w:space="0" w:color="auto"/>
        <w:left w:val="none" w:sz="0" w:space="0" w:color="auto"/>
        <w:bottom w:val="none" w:sz="0" w:space="0" w:color="auto"/>
        <w:right w:val="none" w:sz="0" w:space="0" w:color="auto"/>
      </w:divBdr>
    </w:div>
    <w:div w:id="1651789084">
      <w:bodyDiv w:val="1"/>
      <w:marLeft w:val="0"/>
      <w:marRight w:val="0"/>
      <w:marTop w:val="0"/>
      <w:marBottom w:val="0"/>
      <w:divBdr>
        <w:top w:val="none" w:sz="0" w:space="0" w:color="auto"/>
        <w:left w:val="none" w:sz="0" w:space="0" w:color="auto"/>
        <w:bottom w:val="none" w:sz="0" w:space="0" w:color="auto"/>
        <w:right w:val="none" w:sz="0" w:space="0" w:color="auto"/>
      </w:divBdr>
    </w:div>
    <w:div w:id="1698315972">
      <w:bodyDiv w:val="1"/>
      <w:marLeft w:val="0"/>
      <w:marRight w:val="0"/>
      <w:marTop w:val="0"/>
      <w:marBottom w:val="0"/>
      <w:divBdr>
        <w:top w:val="none" w:sz="0" w:space="0" w:color="auto"/>
        <w:left w:val="none" w:sz="0" w:space="0" w:color="auto"/>
        <w:bottom w:val="none" w:sz="0" w:space="0" w:color="auto"/>
        <w:right w:val="none" w:sz="0" w:space="0" w:color="auto"/>
      </w:divBdr>
    </w:div>
    <w:div w:id="1736777371">
      <w:bodyDiv w:val="1"/>
      <w:marLeft w:val="0"/>
      <w:marRight w:val="0"/>
      <w:marTop w:val="0"/>
      <w:marBottom w:val="0"/>
      <w:divBdr>
        <w:top w:val="none" w:sz="0" w:space="0" w:color="auto"/>
        <w:left w:val="none" w:sz="0" w:space="0" w:color="auto"/>
        <w:bottom w:val="none" w:sz="0" w:space="0" w:color="auto"/>
        <w:right w:val="none" w:sz="0" w:space="0" w:color="auto"/>
      </w:divBdr>
    </w:div>
    <w:div w:id="1835560987">
      <w:bodyDiv w:val="1"/>
      <w:marLeft w:val="0"/>
      <w:marRight w:val="0"/>
      <w:marTop w:val="0"/>
      <w:marBottom w:val="0"/>
      <w:divBdr>
        <w:top w:val="none" w:sz="0" w:space="0" w:color="auto"/>
        <w:left w:val="none" w:sz="0" w:space="0" w:color="auto"/>
        <w:bottom w:val="none" w:sz="0" w:space="0" w:color="auto"/>
        <w:right w:val="none" w:sz="0" w:space="0" w:color="auto"/>
      </w:divBdr>
    </w:div>
    <w:div w:id="1849903726">
      <w:bodyDiv w:val="1"/>
      <w:marLeft w:val="0"/>
      <w:marRight w:val="0"/>
      <w:marTop w:val="0"/>
      <w:marBottom w:val="0"/>
      <w:divBdr>
        <w:top w:val="none" w:sz="0" w:space="0" w:color="auto"/>
        <w:left w:val="none" w:sz="0" w:space="0" w:color="auto"/>
        <w:bottom w:val="none" w:sz="0" w:space="0" w:color="auto"/>
        <w:right w:val="none" w:sz="0" w:space="0" w:color="auto"/>
      </w:divBdr>
    </w:div>
    <w:div w:id="1860655227">
      <w:bodyDiv w:val="1"/>
      <w:marLeft w:val="0"/>
      <w:marRight w:val="0"/>
      <w:marTop w:val="0"/>
      <w:marBottom w:val="0"/>
      <w:divBdr>
        <w:top w:val="none" w:sz="0" w:space="0" w:color="auto"/>
        <w:left w:val="none" w:sz="0" w:space="0" w:color="auto"/>
        <w:bottom w:val="none" w:sz="0" w:space="0" w:color="auto"/>
        <w:right w:val="none" w:sz="0" w:space="0" w:color="auto"/>
      </w:divBdr>
    </w:div>
    <w:div w:id="1951469434">
      <w:bodyDiv w:val="1"/>
      <w:marLeft w:val="0"/>
      <w:marRight w:val="0"/>
      <w:marTop w:val="0"/>
      <w:marBottom w:val="0"/>
      <w:divBdr>
        <w:top w:val="none" w:sz="0" w:space="0" w:color="auto"/>
        <w:left w:val="none" w:sz="0" w:space="0" w:color="auto"/>
        <w:bottom w:val="none" w:sz="0" w:space="0" w:color="auto"/>
        <w:right w:val="none" w:sz="0" w:space="0" w:color="auto"/>
      </w:divBdr>
    </w:div>
    <w:div w:id="1953241227">
      <w:bodyDiv w:val="1"/>
      <w:marLeft w:val="0"/>
      <w:marRight w:val="0"/>
      <w:marTop w:val="0"/>
      <w:marBottom w:val="0"/>
      <w:divBdr>
        <w:top w:val="none" w:sz="0" w:space="0" w:color="auto"/>
        <w:left w:val="none" w:sz="0" w:space="0" w:color="auto"/>
        <w:bottom w:val="none" w:sz="0" w:space="0" w:color="auto"/>
        <w:right w:val="none" w:sz="0" w:space="0" w:color="auto"/>
      </w:divBdr>
    </w:div>
    <w:div w:id="204081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hyperlink" Target="http://ecos.fws.gov" TargetMode="Externa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fisheries.noaa.gov/national/endangered-species-conservation/esa-threatened-endangered-species" TargetMode="External"/><Relationship Id="rId2" Type="http://schemas.openxmlformats.org/officeDocument/2006/relationships/hyperlink" Target="https://ecos.fws.gov/services/TessQuery?request=query&amp;xquery=/SPECIES_DETAIL" TargetMode="External"/><Relationship Id="rId1" Type="http://schemas.openxmlformats.org/officeDocument/2006/relationships/hyperlink" Target="https://www.epa.gov/endangered-species/revised-method-national-level-listed-species-biological-evaluations-conventional" TargetMode="External"/><Relationship Id="rId6" Type="http://schemas.openxmlformats.org/officeDocument/2006/relationships/hyperlink" Target="http://gapanalysis.usgs.gov/gaplandcover/." TargetMode="External"/><Relationship Id="rId5" Type="http://schemas.openxmlformats.org/officeDocument/2006/relationships/hyperlink" Target="http://desktop.arcgis.com/en/arcmap/10.3/tools/analysis-toolbox/union.htm" TargetMode="External"/><Relationship Id="rId4" Type="http://schemas.openxmlformats.org/officeDocument/2006/relationships/hyperlink" Target="http://ecos.fws.gov/crith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2020-07-09T14:09:46+00:00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a5d1ca4e-0a3f-4119-b619-e20b93ebd1aa">
      <UserInfo>
        <DisplayName>Connolly, Jennifer</DisplayName>
        <AccountId>816</AccountId>
        <AccountType/>
      </UserInfo>
      <UserInfo>
        <DisplayName>Muela, Stephen</DisplayName>
        <AccountId>7489</AccountId>
        <AccountType/>
      </UserInfo>
      <UserInfo>
        <DisplayName>Rossmeisl, Colleen</DisplayName>
        <AccountId>825</AccountId>
        <AccountType/>
      </UserInfo>
      <UserInfo>
        <DisplayName>Donovan, Elizabeth</DisplayName>
        <AccountId>580</AccountId>
        <AccountType/>
      </UserInfo>
      <UserInfo>
        <DisplayName>Garber, Kristina</DisplayName>
        <AccountId>815</AccountId>
        <AccountType/>
      </UserInfo>
      <UserInfo>
        <DisplayName>Peck, Charles</DisplayName>
        <AccountId>814</AccountId>
        <AccountType/>
      </UserInfo>
      <UserInfo>
        <DisplayName>Louie-Juzwiak, Rosanna</DisplayName>
        <AccountId>862</AccountId>
        <AccountType/>
      </UserInfo>
    </SharedWithUsers>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documentManagement>
</p:properties>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1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Coverage xmlns="http://schemas.microsoft.com/sharepoint/v3/fields" xsi:nil="true"/>
    <Record xmlns="4ffa91fb-a0ff-4ac5-b2db-65c790d184a4" xsi:nil="true"/>
    <EPA_x0020_Office xmlns="4ffa91fb-a0ff-4ac5-b2db-65c790d184a4" xsi:nil="true"/>
    <Document_x0020_Creation_x0020_Date xmlns="4ffa91fb-a0ff-4ac5-b2db-65c790d184a4" xsi:nil="true"/>
    <EPA_x0020_Related_x0020_Documents xmlns="4ffa91fb-a0ff-4ac5-b2db-65c790d184a4" xsi:nil="true"/>
    <_Source xmlns="http://schemas.microsoft.com/sharepoint/v3/fields" xsi:nil="true"/>
    <CategoryDescription xmlns="http://schemas.microsoft.com/sharepoint.v3" xsi:nil="true"/>
    <PublishingStartDate xmlns="http://schemas.microsoft.com/sharepoint/v3" xsi:nil="true"/>
    <SharedWithUsers xmlns="a5d1ca4e-0a3f-4119-b619-e20b93ebd1aa">
      <UserInfo>
        <DisplayName>Garber, Kristina</DisplayName>
        <AccountId>815</AccountId>
        <AccountType/>
      </UserInfo>
      <UserInfo>
        <DisplayName>Suarez, Mark</DisplayName>
        <AccountId>1959</AccountId>
        <AccountType/>
      </UserInfo>
      <UserInfo>
        <DisplayName>Paisley-Jones, Claire</DisplayName>
        <AccountId>5767</AccountId>
        <AccountType/>
      </UserInfo>
      <UserInfo>
        <DisplayName>Anderson, Brian</DisplayName>
        <AccountId>650</AccountId>
        <AccountType/>
      </UserInfo>
      <UserInfo>
        <DisplayName>Blankinship, Amy</DisplayName>
        <AccountId>1004</AccountId>
        <AccountType/>
      </UserInfo>
      <UserInfo>
        <DisplayName>Holmes, Jean</DisplayName>
        <AccountId>651</AccountId>
        <AccountType/>
      </UserInfo>
    </SharedWithUsers>
    <EPA_x0020_Contributor xmlns="4ffa91fb-a0ff-4ac5-b2db-65c790d184a4">
      <UserInfo>
        <DisplayName/>
        <AccountId xsi:nil="true"/>
        <AccountType/>
      </UserInfo>
    </EPA_x0020_Contributor>
    <TaxCatchAll xmlns="4ffa91fb-a0ff-4ac5-b2db-65c790d184a4"/>
    <TaxKeywordTaxHTField xmlns="4ffa91fb-a0ff-4ac5-b2db-65c790d184a4">
      <Terms xmlns="http://schemas.microsoft.com/office/infopath/2007/PartnerControls"/>
    </TaxKeywordTaxHTField>
    <Rights xmlns="4ffa91fb-a0ff-4ac5-b2db-65c790d184a4" xsi:nil="true"/>
    <e3f09c3df709400db2417a7161762d62 xmlns="4ffa91fb-a0ff-4ac5-b2db-65c790d184a4">
      <Terms xmlns="http://schemas.microsoft.com/office/infopath/2007/PartnerControls"/>
    </e3f09c3df709400db2417a7161762d62>
    <External_x0020_Contributor xmlns="4ffa91fb-a0ff-4ac5-b2db-65c790d184a4" xsi:nil="true"/>
    <PublishingExpirationDate xmlns="http://schemas.microsoft.com/sharepoint/v3" xsi:nil="true"/>
    <Identifier xmlns="4ffa91fb-a0ff-4ac5-b2db-65c790d184a4" xsi:nil="true"/>
    <Creator xmlns="4ffa91fb-a0ff-4ac5-b2db-65c790d184a4">
      <UserInfo>
        <DisplayName/>
        <AccountId xsi:nil="true"/>
        <AccountType/>
      </UserInfo>
    </Creator>
    <Update xmlns="1b69afd8-9bdb-481b-b26a-06cbd17fa30c" xsi:nil="true"/>
    <Language xmlns="http://schemas.microsoft.com/sharepoint/v3" xsi:nil="true"/>
    <j747ac98061d40f0aa7bd47e1db5675d xmlns="4ffa91fb-a0ff-4ac5-b2db-65c790d184a4">
      <Terms xmlns="http://schemas.microsoft.com/office/infopath/2007/PartnerControls"/>
    </j747ac98061d40f0aa7bd47e1db5675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 xsi:nil="tru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 xsi:nil="true"/>
    <Rights xmlns="4ffa91fb-a0ff-4ac5-b2db-65c790d184a4" xsi:nil="true"/>
    <Document_x0020_Creation_x0020_Date xmlns="4ffa91fb-a0ff-4ac5-b2db-65c790d184a4" xsi:nil="tru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SharedWithUsers xmlns="a5d1ca4e-0a3f-4119-b619-e20b93ebd1aa">
      <UserInfo>
        <DisplayName>Suarez, Mark</DisplayName>
        <AccountId>1959</AccountId>
        <AccountType/>
      </UserInfo>
      <UserInfo>
        <DisplayName>Paisley-Jones, Claire</DisplayName>
        <AccountId>5767</AccountId>
        <AccountType/>
      </UserInfo>
      <UserInfo>
        <DisplayName>Anderson, Brian</DisplayName>
        <AccountId>650</AccountId>
        <AccountType/>
      </UserInfo>
      <UserInfo>
        <DisplayName>Garber, Kristina</DisplayName>
        <AccountId>815</AccountId>
        <AccountType/>
      </UserInfo>
      <UserInfo>
        <DisplayName>Blankinship, Amy</DisplayName>
        <AccountId>1004</AccountId>
        <AccountType/>
      </UserInfo>
      <UserInfo>
        <DisplayName>Holmes, Jean</DisplayName>
        <AccountId>651</AccountId>
        <AccountType/>
      </UserInfo>
    </SharedWithUsers>
  </documentManagement>
</p:properties>
</file>

<file path=customXml/item7.xml><?xml version="1.0" encoding="utf-8"?>
<?mso-contentType ?>
<SharedContentType xmlns="Microsoft.SharePoint.Taxonomy.ContentTypeSync" SourceId="29f62856-1543-49d4-a736-4569d363f533" ContentTypeId="0x0101" PreviousValue="false"/>
</file>

<file path=customXml/item8.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5" ma:contentTypeDescription="Create a new document." ma:contentTypeScope="" ma:versionID="7f5085b62d4f0b7467031517a32caf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bb032a6556c66635196eaa965c28baba"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649AFAC2-2007-4E11-B18A-473CEC5A3FAB}">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a5d1ca4e-0a3f-4119-b619-e20b93ebd1aa"/>
    <ds:schemaRef ds:uri="1b69afd8-9bdb-481b-b26a-06cbd17fa30c"/>
  </ds:schemaRefs>
</ds:datastoreItem>
</file>

<file path=customXml/itemProps10.xml><?xml version="1.0" encoding="utf-8"?>
<ds:datastoreItem xmlns:ds="http://schemas.openxmlformats.org/officeDocument/2006/customXml" ds:itemID="{2058CAEE-6E5B-42D7-93BA-7AECF3068153}">
  <ds:schemaRefs>
    <ds:schemaRef ds:uri="http://schemas.openxmlformats.org/officeDocument/2006/bibliography"/>
  </ds:schemaRefs>
</ds:datastoreItem>
</file>

<file path=customXml/itemProps11.xml><?xml version="1.0" encoding="utf-8"?>
<ds:datastoreItem xmlns:ds="http://schemas.openxmlformats.org/officeDocument/2006/customXml" ds:itemID="{5C0B07B9-8C81-4CFD-A3CC-4BCC33CC5E0D}">
  <ds:schemaRefs>
    <ds:schemaRef ds:uri="Microsoft.SharePoint.Taxonomy.ContentTypeSync"/>
  </ds:schemaRefs>
</ds:datastoreItem>
</file>

<file path=customXml/itemProps2.xml><?xml version="1.0" encoding="utf-8"?>
<ds:datastoreItem xmlns:ds="http://schemas.openxmlformats.org/officeDocument/2006/customXml" ds:itemID="{EA12169E-B7E4-4A27-AB02-7BE77CC287A7}">
  <ds:schemaRefs>
    <ds:schemaRef ds:uri="http://schemas.microsoft.com/sharepoint/v3/contenttype/forms"/>
  </ds:schemaRefs>
</ds:datastoreItem>
</file>

<file path=customXml/itemProps3.xml><?xml version="1.0" encoding="utf-8"?>
<ds:datastoreItem xmlns:ds="http://schemas.openxmlformats.org/officeDocument/2006/customXml" ds:itemID="{10073A93-F50E-4D48-A79D-B441C5ABB7B5}">
  <ds:schemaRefs>
    <ds:schemaRef ds:uri="http://schemas.microsoft.com/sharepoint/v3/contenttype/forms"/>
  </ds:schemaRefs>
</ds:datastoreItem>
</file>

<file path=customXml/itemProps4.xml><?xml version="1.0" encoding="utf-8"?>
<ds:datastoreItem xmlns:ds="http://schemas.openxmlformats.org/officeDocument/2006/customXml" ds:itemID="{8494CB2E-5710-4A7D-A7F7-B1A766DDD1F1}">
  <ds:schemaRefs>
    <ds:schemaRef ds:uri="http://schemas.microsoft.com/office/2006/metadata/properties"/>
    <ds:schemaRef ds:uri="http://schemas.microsoft.com/office/infopath/2007/PartnerControls"/>
    <ds:schemaRef ds:uri="http://schemas.microsoft.com/sharepoint/v3/fields"/>
    <ds:schemaRef ds:uri="4ffa91fb-a0ff-4ac5-b2db-65c790d184a4"/>
    <ds:schemaRef ds:uri="http://schemas.microsoft.com/sharepoint.v3"/>
    <ds:schemaRef ds:uri="http://schemas.microsoft.com/sharepoint/v3"/>
    <ds:schemaRef ds:uri="a5d1ca4e-0a3f-4119-b619-e20b93ebd1aa"/>
    <ds:schemaRef ds:uri="1b69afd8-9bdb-481b-b26a-06cbd17fa30c"/>
  </ds:schemaRefs>
</ds:datastoreItem>
</file>

<file path=customXml/itemProps5.xml><?xml version="1.0" encoding="utf-8"?>
<ds:datastoreItem xmlns:ds="http://schemas.openxmlformats.org/officeDocument/2006/customXml" ds:itemID="{0FE03E8D-671B-4E7C-A76E-B792170F40F3}">
  <ds:schemaRefs>
    <ds:schemaRef ds:uri="http://schemas.microsoft.com/sharepoint/v3/contenttype/forms"/>
  </ds:schemaRefs>
</ds:datastoreItem>
</file>

<file path=customXml/itemProps6.xml><?xml version="1.0" encoding="utf-8"?>
<ds:datastoreItem xmlns:ds="http://schemas.openxmlformats.org/officeDocument/2006/customXml" ds:itemID="{D845F79E-B3CB-48FA-B46F-60FCAC7EFE6D}">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1b69afd8-9bdb-481b-b26a-06cbd17fa30c"/>
    <ds:schemaRef ds:uri="a5d1ca4e-0a3f-4119-b619-e20b93ebd1aa"/>
  </ds:schemaRefs>
</ds:datastoreItem>
</file>

<file path=customXml/itemProps7.xml><?xml version="1.0" encoding="utf-8"?>
<ds:datastoreItem xmlns:ds="http://schemas.openxmlformats.org/officeDocument/2006/customXml" ds:itemID="{830A05D2-C752-4D9C-9CF5-24CDCACD14B5}">
  <ds:schemaRefs>
    <ds:schemaRef ds:uri="Microsoft.SharePoint.Taxonomy.ContentTypeSync"/>
  </ds:schemaRefs>
</ds:datastoreItem>
</file>

<file path=customXml/itemProps8.xml><?xml version="1.0" encoding="utf-8"?>
<ds:datastoreItem xmlns:ds="http://schemas.openxmlformats.org/officeDocument/2006/customXml" ds:itemID="{D40FCC3B-52DE-4122-AEB3-69B0332D0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2DDD4754-95CD-4B3A-93A2-D0959B4F743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18</Pages>
  <Words>6585</Words>
  <Characters>37539</Characters>
  <Application>Microsoft Office Word</Application>
  <DocSecurity>0</DocSecurity>
  <Lines>312</Lines>
  <Paragraphs>88</Paragraphs>
  <ScaleCrop>false</ScaleCrop>
  <Company/>
  <LinksUpToDate>false</LinksUpToDate>
  <CharactersWithSpaces>44036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Garber, Kristina</dc:creator>
  <cp:keywords/>
  <dc:description/>
  <cp:lastModifiedBy>Sinnathamby, Sumathy</cp:lastModifiedBy>
  <cp:revision>23</cp:revision>
  <dcterms:created xsi:type="dcterms:W3CDTF">2021-07-27T15:06:00Z</dcterms:created>
  <dcterms:modified xsi:type="dcterms:W3CDTF">2021-08-20T14:29:00Z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xd_Signature">
    <vt:bool>false</vt:bool>
  </property>
</Properties>
</file>