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D26DF5" w14:textId="716679CD" w:rsidR="00435E19" w:rsidRPr="002C1E76" w:rsidRDefault="7AC42FD4" w:rsidP="518A49E2">
      <w:pPr>
        <w:pStyle w:val="TOCHeading"/>
        <w:ind w:left="0" w:firstLine="0"/>
        <w:rPr>
          <w:rFonts w:asciiTheme="minorHAnsi" w:hAnsiTheme="minorHAnsi" w:cstheme="minorHAnsi"/>
          <w:b/>
          <w:bCs/>
          <w:color w:val="4472C4" w:themeColor="accent5"/>
        </w:rPr>
      </w:pPr>
      <w:bookmarkStart w:id="0" w:name="_Toc31220268"/>
      <w:r w:rsidRPr="002C1E76">
        <w:rPr>
          <w:rFonts w:asciiTheme="minorHAnsi" w:hAnsiTheme="minorHAnsi" w:cstheme="minorHAnsi"/>
          <w:b/>
          <w:bCs/>
          <w:color w:val="4471C4"/>
        </w:rPr>
        <w:t>Chapter 1 –</w:t>
      </w:r>
      <w:r w:rsidR="00BF24C4">
        <w:rPr>
          <w:rFonts w:asciiTheme="minorHAnsi" w:hAnsiTheme="minorHAnsi" w:cstheme="minorHAnsi"/>
          <w:b/>
          <w:bCs/>
          <w:color w:val="4471C4"/>
        </w:rPr>
        <w:t xml:space="preserve"> </w:t>
      </w:r>
      <w:r w:rsidRPr="002C1E76">
        <w:rPr>
          <w:rFonts w:asciiTheme="minorHAnsi" w:hAnsiTheme="minorHAnsi" w:cstheme="minorHAnsi"/>
          <w:b/>
          <w:bCs/>
          <w:color w:val="4471C4"/>
        </w:rPr>
        <w:t>Methomyl Problem Formulation</w:t>
      </w:r>
      <w:bookmarkEnd w:id="0"/>
    </w:p>
    <w:p w14:paraId="12A3B34D" w14:textId="77777777" w:rsidR="003E475B" w:rsidRPr="003E475B" w:rsidRDefault="003E475B" w:rsidP="003E475B"/>
    <w:sdt>
      <w:sdtPr>
        <w:rPr>
          <w:rFonts w:ascii="Calibri" w:eastAsia="Calibri" w:hAnsi="Calibri" w:cs="Calibri"/>
          <w:b/>
          <w:bCs/>
          <w:color w:val="4472C4" w:themeColor="accent5"/>
          <w:sz w:val="22"/>
          <w:szCs w:val="22"/>
        </w:rPr>
        <w:id w:val="987746152"/>
        <w:docPartObj>
          <w:docPartGallery w:val="Table of Contents"/>
          <w:docPartUnique/>
        </w:docPartObj>
      </w:sdtPr>
      <w:sdtEndPr>
        <w:rPr>
          <w:b w:val="0"/>
          <w:noProof/>
          <w:color w:val="000000"/>
        </w:rPr>
      </w:sdtEndPr>
      <w:sdtContent>
        <w:p w14:paraId="1D959092" w14:textId="26C4ED5A" w:rsidR="00A54890" w:rsidRPr="003E475B" w:rsidRDefault="00A54890" w:rsidP="00A54890">
          <w:pPr>
            <w:pStyle w:val="TOCHeading"/>
            <w:ind w:firstLine="0"/>
            <w:rPr>
              <w:b/>
              <w:bCs/>
              <w:color w:val="4472C4" w:themeColor="accent5"/>
            </w:rPr>
          </w:pPr>
          <w:r w:rsidRPr="003E475B">
            <w:rPr>
              <w:b/>
              <w:bCs/>
              <w:color w:val="4472C4" w:themeColor="accent5"/>
            </w:rPr>
            <w:t>Contents</w:t>
          </w:r>
        </w:p>
        <w:p w14:paraId="1F5072DD" w14:textId="167CF81A" w:rsidR="00BF24C4" w:rsidRDefault="00A54890">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6953600" w:history="1">
            <w:r w:rsidR="00BF24C4" w:rsidRPr="00825B96">
              <w:rPr>
                <w:rStyle w:val="Hyperlink"/>
                <w:noProof/>
              </w:rPr>
              <w:t>1</w:t>
            </w:r>
            <w:r w:rsidR="00BF24C4">
              <w:rPr>
                <w:rFonts w:asciiTheme="minorHAnsi" w:eastAsiaTheme="minorEastAsia" w:hAnsiTheme="minorHAnsi" w:cstheme="minorBidi"/>
                <w:noProof/>
                <w:color w:val="auto"/>
              </w:rPr>
              <w:tab/>
            </w:r>
            <w:r w:rsidR="00BF24C4" w:rsidRPr="00825B96">
              <w:rPr>
                <w:rStyle w:val="Hyperlink"/>
                <w:noProof/>
              </w:rPr>
              <w:t>Introduction</w:t>
            </w:r>
            <w:r w:rsidR="00BF24C4">
              <w:rPr>
                <w:noProof/>
                <w:webHidden/>
              </w:rPr>
              <w:tab/>
            </w:r>
            <w:r w:rsidR="00BF24C4">
              <w:rPr>
                <w:noProof/>
                <w:webHidden/>
              </w:rPr>
              <w:fldChar w:fldCharType="begin"/>
            </w:r>
            <w:r w:rsidR="00BF24C4">
              <w:rPr>
                <w:noProof/>
                <w:webHidden/>
              </w:rPr>
              <w:instrText xml:space="preserve"> PAGEREF _Toc66953600 \h </w:instrText>
            </w:r>
            <w:r w:rsidR="00BF24C4">
              <w:rPr>
                <w:noProof/>
                <w:webHidden/>
              </w:rPr>
            </w:r>
            <w:r w:rsidR="00BF24C4">
              <w:rPr>
                <w:noProof/>
                <w:webHidden/>
              </w:rPr>
              <w:fldChar w:fldCharType="separate"/>
            </w:r>
            <w:r w:rsidR="00BF24C4">
              <w:rPr>
                <w:noProof/>
                <w:webHidden/>
              </w:rPr>
              <w:t>1</w:t>
            </w:r>
            <w:r w:rsidR="00BF24C4">
              <w:rPr>
                <w:noProof/>
                <w:webHidden/>
              </w:rPr>
              <w:fldChar w:fldCharType="end"/>
            </w:r>
          </w:hyperlink>
        </w:p>
        <w:p w14:paraId="6C534A5F" w14:textId="0E055AA0"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1" w:history="1">
            <w:r w:rsidRPr="00825B96">
              <w:rPr>
                <w:rStyle w:val="Hyperlink"/>
                <w:noProof/>
              </w:rPr>
              <w:t>2</w:t>
            </w:r>
            <w:r>
              <w:rPr>
                <w:rFonts w:asciiTheme="minorHAnsi" w:eastAsiaTheme="minorEastAsia" w:hAnsiTheme="minorHAnsi" w:cstheme="minorBidi"/>
                <w:noProof/>
                <w:color w:val="auto"/>
              </w:rPr>
              <w:tab/>
            </w:r>
            <w:r w:rsidRPr="00825B96">
              <w:rPr>
                <w:rStyle w:val="Hyperlink"/>
                <w:noProof/>
              </w:rPr>
              <w:t>Description of the Federal Action</w:t>
            </w:r>
            <w:r>
              <w:rPr>
                <w:noProof/>
                <w:webHidden/>
              </w:rPr>
              <w:tab/>
            </w:r>
            <w:r>
              <w:rPr>
                <w:noProof/>
                <w:webHidden/>
              </w:rPr>
              <w:fldChar w:fldCharType="begin"/>
            </w:r>
            <w:r>
              <w:rPr>
                <w:noProof/>
                <w:webHidden/>
              </w:rPr>
              <w:instrText xml:space="preserve"> PAGEREF _Toc66953601 \h </w:instrText>
            </w:r>
            <w:r>
              <w:rPr>
                <w:noProof/>
                <w:webHidden/>
              </w:rPr>
            </w:r>
            <w:r>
              <w:rPr>
                <w:noProof/>
                <w:webHidden/>
              </w:rPr>
              <w:fldChar w:fldCharType="separate"/>
            </w:r>
            <w:r>
              <w:rPr>
                <w:noProof/>
                <w:webHidden/>
              </w:rPr>
              <w:t>2</w:t>
            </w:r>
            <w:r>
              <w:rPr>
                <w:noProof/>
                <w:webHidden/>
              </w:rPr>
              <w:fldChar w:fldCharType="end"/>
            </w:r>
          </w:hyperlink>
        </w:p>
        <w:p w14:paraId="5259004B" w14:textId="569FD8DE"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2" w:history="1">
            <w:r w:rsidRPr="00825B96">
              <w:rPr>
                <w:rStyle w:val="Hyperlink"/>
                <w:noProof/>
              </w:rPr>
              <w:t>3</w:t>
            </w:r>
            <w:r>
              <w:rPr>
                <w:rFonts w:asciiTheme="minorHAnsi" w:eastAsiaTheme="minorEastAsia" w:hAnsiTheme="minorHAnsi" w:cstheme="minorBidi"/>
                <w:noProof/>
                <w:color w:val="auto"/>
              </w:rPr>
              <w:tab/>
            </w:r>
            <w:r w:rsidRPr="00825B96">
              <w:rPr>
                <w:rStyle w:val="Hyperlink"/>
                <w:noProof/>
              </w:rPr>
              <w:t>Mode and Mechanism of Action</w:t>
            </w:r>
            <w:r>
              <w:rPr>
                <w:noProof/>
                <w:webHidden/>
              </w:rPr>
              <w:tab/>
            </w:r>
            <w:r>
              <w:rPr>
                <w:noProof/>
                <w:webHidden/>
              </w:rPr>
              <w:fldChar w:fldCharType="begin"/>
            </w:r>
            <w:r>
              <w:rPr>
                <w:noProof/>
                <w:webHidden/>
              </w:rPr>
              <w:instrText xml:space="preserve"> PAGEREF _Toc66953602 \h </w:instrText>
            </w:r>
            <w:r>
              <w:rPr>
                <w:noProof/>
                <w:webHidden/>
              </w:rPr>
            </w:r>
            <w:r>
              <w:rPr>
                <w:noProof/>
                <w:webHidden/>
              </w:rPr>
              <w:fldChar w:fldCharType="separate"/>
            </w:r>
            <w:r>
              <w:rPr>
                <w:noProof/>
                <w:webHidden/>
              </w:rPr>
              <w:t>2</w:t>
            </w:r>
            <w:r>
              <w:rPr>
                <w:noProof/>
                <w:webHidden/>
              </w:rPr>
              <w:fldChar w:fldCharType="end"/>
            </w:r>
          </w:hyperlink>
        </w:p>
        <w:p w14:paraId="3B6D18BC" w14:textId="1B0F5616"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3" w:history="1">
            <w:r w:rsidRPr="00825B96">
              <w:rPr>
                <w:rStyle w:val="Hyperlink"/>
                <w:noProof/>
              </w:rPr>
              <w:t>4</w:t>
            </w:r>
            <w:r>
              <w:rPr>
                <w:rFonts w:asciiTheme="minorHAnsi" w:eastAsiaTheme="minorEastAsia" w:hAnsiTheme="minorHAnsi" w:cstheme="minorBidi"/>
                <w:noProof/>
                <w:color w:val="auto"/>
              </w:rPr>
              <w:tab/>
            </w:r>
            <w:r w:rsidRPr="00825B96">
              <w:rPr>
                <w:rStyle w:val="Hyperlink"/>
                <w:noProof/>
              </w:rPr>
              <w:t>Use and Usage Characterization</w:t>
            </w:r>
            <w:r>
              <w:rPr>
                <w:noProof/>
                <w:webHidden/>
              </w:rPr>
              <w:tab/>
            </w:r>
            <w:r>
              <w:rPr>
                <w:noProof/>
                <w:webHidden/>
              </w:rPr>
              <w:fldChar w:fldCharType="begin"/>
            </w:r>
            <w:r>
              <w:rPr>
                <w:noProof/>
                <w:webHidden/>
              </w:rPr>
              <w:instrText xml:space="preserve"> PAGEREF _Toc66953603 \h </w:instrText>
            </w:r>
            <w:r>
              <w:rPr>
                <w:noProof/>
                <w:webHidden/>
              </w:rPr>
            </w:r>
            <w:r>
              <w:rPr>
                <w:noProof/>
                <w:webHidden/>
              </w:rPr>
              <w:fldChar w:fldCharType="separate"/>
            </w:r>
            <w:r>
              <w:rPr>
                <w:noProof/>
                <w:webHidden/>
              </w:rPr>
              <w:t>2</w:t>
            </w:r>
            <w:r>
              <w:rPr>
                <w:noProof/>
                <w:webHidden/>
              </w:rPr>
              <w:fldChar w:fldCharType="end"/>
            </w:r>
          </w:hyperlink>
        </w:p>
        <w:p w14:paraId="635AB5D1" w14:textId="770CC1EC" w:rsidR="00BF24C4" w:rsidRDefault="00BF24C4">
          <w:pPr>
            <w:pStyle w:val="TOC2"/>
            <w:rPr>
              <w:rFonts w:asciiTheme="minorHAnsi" w:eastAsiaTheme="minorEastAsia" w:hAnsiTheme="minorHAnsi" w:cstheme="minorBidi"/>
              <w:noProof/>
              <w:color w:val="auto"/>
            </w:rPr>
          </w:pPr>
          <w:hyperlink w:anchor="_Toc66953604" w:history="1">
            <w:r w:rsidRPr="00825B96">
              <w:rPr>
                <w:rStyle w:val="Hyperlink"/>
                <w:noProof/>
              </w:rPr>
              <w:t>4.1</w:t>
            </w:r>
            <w:r>
              <w:rPr>
                <w:rFonts w:asciiTheme="minorHAnsi" w:eastAsiaTheme="minorEastAsia" w:hAnsiTheme="minorHAnsi" w:cstheme="minorBidi"/>
                <w:noProof/>
                <w:color w:val="auto"/>
              </w:rPr>
              <w:tab/>
            </w:r>
            <w:r w:rsidRPr="00825B96">
              <w:rPr>
                <w:rStyle w:val="Hyperlink"/>
                <w:noProof/>
              </w:rPr>
              <w:t>Use Data (as Defined on Registered Product Labels)</w:t>
            </w:r>
            <w:r>
              <w:rPr>
                <w:noProof/>
                <w:webHidden/>
              </w:rPr>
              <w:tab/>
            </w:r>
            <w:r>
              <w:rPr>
                <w:noProof/>
                <w:webHidden/>
              </w:rPr>
              <w:fldChar w:fldCharType="begin"/>
            </w:r>
            <w:r>
              <w:rPr>
                <w:noProof/>
                <w:webHidden/>
              </w:rPr>
              <w:instrText xml:space="preserve"> PAGEREF _Toc66953604 \h </w:instrText>
            </w:r>
            <w:r>
              <w:rPr>
                <w:noProof/>
                <w:webHidden/>
              </w:rPr>
            </w:r>
            <w:r>
              <w:rPr>
                <w:noProof/>
                <w:webHidden/>
              </w:rPr>
              <w:fldChar w:fldCharType="separate"/>
            </w:r>
            <w:r>
              <w:rPr>
                <w:noProof/>
                <w:webHidden/>
              </w:rPr>
              <w:t>2</w:t>
            </w:r>
            <w:r>
              <w:rPr>
                <w:noProof/>
                <w:webHidden/>
              </w:rPr>
              <w:fldChar w:fldCharType="end"/>
            </w:r>
          </w:hyperlink>
        </w:p>
        <w:p w14:paraId="29FE04BE" w14:textId="65191740" w:rsidR="00BF24C4" w:rsidRDefault="00BF24C4">
          <w:pPr>
            <w:pStyle w:val="TOC2"/>
            <w:rPr>
              <w:rFonts w:asciiTheme="minorHAnsi" w:eastAsiaTheme="minorEastAsia" w:hAnsiTheme="minorHAnsi" w:cstheme="minorBidi"/>
              <w:noProof/>
              <w:color w:val="auto"/>
            </w:rPr>
          </w:pPr>
          <w:hyperlink w:anchor="_Toc66953605" w:history="1">
            <w:r w:rsidRPr="00825B96">
              <w:rPr>
                <w:rStyle w:val="Hyperlink"/>
                <w:noProof/>
              </w:rPr>
              <w:t>4.2</w:t>
            </w:r>
            <w:r>
              <w:rPr>
                <w:rFonts w:asciiTheme="minorHAnsi" w:eastAsiaTheme="minorEastAsia" w:hAnsiTheme="minorHAnsi" w:cstheme="minorBidi"/>
                <w:noProof/>
                <w:color w:val="auto"/>
              </w:rPr>
              <w:tab/>
            </w:r>
            <w:r w:rsidRPr="00825B96">
              <w:rPr>
                <w:rStyle w:val="Hyperlink"/>
                <w:noProof/>
              </w:rPr>
              <w:t>Usage Data</w:t>
            </w:r>
            <w:r>
              <w:rPr>
                <w:noProof/>
                <w:webHidden/>
              </w:rPr>
              <w:tab/>
            </w:r>
            <w:r>
              <w:rPr>
                <w:noProof/>
                <w:webHidden/>
              </w:rPr>
              <w:fldChar w:fldCharType="begin"/>
            </w:r>
            <w:r>
              <w:rPr>
                <w:noProof/>
                <w:webHidden/>
              </w:rPr>
              <w:instrText xml:space="preserve"> PAGEREF _Toc66953605 \h </w:instrText>
            </w:r>
            <w:r>
              <w:rPr>
                <w:noProof/>
                <w:webHidden/>
              </w:rPr>
            </w:r>
            <w:r>
              <w:rPr>
                <w:noProof/>
                <w:webHidden/>
              </w:rPr>
              <w:fldChar w:fldCharType="separate"/>
            </w:r>
            <w:r>
              <w:rPr>
                <w:noProof/>
                <w:webHidden/>
              </w:rPr>
              <w:t>3</w:t>
            </w:r>
            <w:r>
              <w:rPr>
                <w:noProof/>
                <w:webHidden/>
              </w:rPr>
              <w:fldChar w:fldCharType="end"/>
            </w:r>
          </w:hyperlink>
        </w:p>
        <w:p w14:paraId="1108C37E" w14:textId="22868575"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6" w:history="1">
            <w:r w:rsidRPr="00825B96">
              <w:rPr>
                <w:rStyle w:val="Hyperlink"/>
                <w:noProof/>
              </w:rPr>
              <w:t>5</w:t>
            </w:r>
            <w:r>
              <w:rPr>
                <w:rFonts w:asciiTheme="minorHAnsi" w:eastAsiaTheme="minorEastAsia" w:hAnsiTheme="minorHAnsi" w:cstheme="minorBidi"/>
                <w:noProof/>
                <w:color w:val="auto"/>
              </w:rPr>
              <w:tab/>
            </w:r>
            <w:r w:rsidRPr="00825B96">
              <w:rPr>
                <w:rStyle w:val="Hyperlink"/>
                <w:noProof/>
              </w:rPr>
              <w:t>Overview of Environmental Fate</w:t>
            </w:r>
            <w:r>
              <w:rPr>
                <w:noProof/>
                <w:webHidden/>
              </w:rPr>
              <w:tab/>
            </w:r>
            <w:r>
              <w:rPr>
                <w:noProof/>
                <w:webHidden/>
              </w:rPr>
              <w:fldChar w:fldCharType="begin"/>
            </w:r>
            <w:r>
              <w:rPr>
                <w:noProof/>
                <w:webHidden/>
              </w:rPr>
              <w:instrText xml:space="preserve"> PAGEREF _Toc66953606 \h </w:instrText>
            </w:r>
            <w:r>
              <w:rPr>
                <w:noProof/>
                <w:webHidden/>
              </w:rPr>
            </w:r>
            <w:r>
              <w:rPr>
                <w:noProof/>
                <w:webHidden/>
              </w:rPr>
              <w:fldChar w:fldCharType="separate"/>
            </w:r>
            <w:r>
              <w:rPr>
                <w:noProof/>
                <w:webHidden/>
              </w:rPr>
              <w:t>4</w:t>
            </w:r>
            <w:r>
              <w:rPr>
                <w:noProof/>
                <w:webHidden/>
              </w:rPr>
              <w:fldChar w:fldCharType="end"/>
            </w:r>
          </w:hyperlink>
        </w:p>
        <w:p w14:paraId="184083C8" w14:textId="4C311B94"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7" w:history="1">
            <w:r w:rsidRPr="00825B96">
              <w:rPr>
                <w:rStyle w:val="Hyperlink"/>
                <w:noProof/>
              </w:rPr>
              <w:t>6</w:t>
            </w:r>
            <w:r>
              <w:rPr>
                <w:rFonts w:asciiTheme="minorHAnsi" w:eastAsiaTheme="minorEastAsia" w:hAnsiTheme="minorHAnsi" w:cstheme="minorBidi"/>
                <w:noProof/>
                <w:color w:val="auto"/>
              </w:rPr>
              <w:tab/>
            </w:r>
            <w:r w:rsidRPr="00825B96">
              <w:rPr>
                <w:rStyle w:val="Hyperlink"/>
                <w:noProof/>
              </w:rPr>
              <w:t>Residue of Concern</w:t>
            </w:r>
            <w:r>
              <w:rPr>
                <w:noProof/>
                <w:webHidden/>
              </w:rPr>
              <w:tab/>
            </w:r>
            <w:r>
              <w:rPr>
                <w:noProof/>
                <w:webHidden/>
              </w:rPr>
              <w:fldChar w:fldCharType="begin"/>
            </w:r>
            <w:r>
              <w:rPr>
                <w:noProof/>
                <w:webHidden/>
              </w:rPr>
              <w:instrText xml:space="preserve"> PAGEREF _Toc66953607 \h </w:instrText>
            </w:r>
            <w:r>
              <w:rPr>
                <w:noProof/>
                <w:webHidden/>
              </w:rPr>
            </w:r>
            <w:r>
              <w:rPr>
                <w:noProof/>
                <w:webHidden/>
              </w:rPr>
              <w:fldChar w:fldCharType="separate"/>
            </w:r>
            <w:r>
              <w:rPr>
                <w:noProof/>
                <w:webHidden/>
              </w:rPr>
              <w:t>4</w:t>
            </w:r>
            <w:r>
              <w:rPr>
                <w:noProof/>
                <w:webHidden/>
              </w:rPr>
              <w:fldChar w:fldCharType="end"/>
            </w:r>
          </w:hyperlink>
        </w:p>
        <w:p w14:paraId="7E0C3C4F" w14:textId="796372CE"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8" w:history="1">
            <w:r w:rsidRPr="00825B96">
              <w:rPr>
                <w:rStyle w:val="Hyperlink"/>
                <w:noProof/>
              </w:rPr>
              <w:t>7</w:t>
            </w:r>
            <w:r>
              <w:rPr>
                <w:rFonts w:asciiTheme="minorHAnsi" w:eastAsiaTheme="minorEastAsia" w:hAnsiTheme="minorHAnsi" w:cstheme="minorBidi"/>
                <w:noProof/>
                <w:color w:val="auto"/>
              </w:rPr>
              <w:tab/>
            </w:r>
            <w:r w:rsidRPr="00825B96">
              <w:rPr>
                <w:rStyle w:val="Hyperlink"/>
                <w:noProof/>
              </w:rPr>
              <w:t>Analysis Plan</w:t>
            </w:r>
            <w:r>
              <w:rPr>
                <w:noProof/>
                <w:webHidden/>
              </w:rPr>
              <w:tab/>
            </w:r>
            <w:r>
              <w:rPr>
                <w:noProof/>
                <w:webHidden/>
              </w:rPr>
              <w:fldChar w:fldCharType="begin"/>
            </w:r>
            <w:r>
              <w:rPr>
                <w:noProof/>
                <w:webHidden/>
              </w:rPr>
              <w:instrText xml:space="preserve"> PAGEREF _Toc66953608 \h </w:instrText>
            </w:r>
            <w:r>
              <w:rPr>
                <w:noProof/>
                <w:webHidden/>
              </w:rPr>
            </w:r>
            <w:r>
              <w:rPr>
                <w:noProof/>
                <w:webHidden/>
              </w:rPr>
              <w:fldChar w:fldCharType="separate"/>
            </w:r>
            <w:r>
              <w:rPr>
                <w:noProof/>
                <w:webHidden/>
              </w:rPr>
              <w:t>4</w:t>
            </w:r>
            <w:r>
              <w:rPr>
                <w:noProof/>
                <w:webHidden/>
              </w:rPr>
              <w:fldChar w:fldCharType="end"/>
            </w:r>
          </w:hyperlink>
        </w:p>
        <w:p w14:paraId="3672ACCB" w14:textId="351BB2E3" w:rsidR="00BF24C4" w:rsidRDefault="00BF24C4">
          <w:pPr>
            <w:pStyle w:val="TOC1"/>
            <w:tabs>
              <w:tab w:val="left" w:pos="440"/>
              <w:tab w:val="right" w:leader="dot" w:pos="9350"/>
            </w:tabs>
            <w:rPr>
              <w:rFonts w:asciiTheme="minorHAnsi" w:eastAsiaTheme="minorEastAsia" w:hAnsiTheme="minorHAnsi" w:cstheme="minorBidi"/>
              <w:noProof/>
              <w:color w:val="auto"/>
            </w:rPr>
          </w:pPr>
          <w:hyperlink w:anchor="_Toc66953609" w:history="1">
            <w:r w:rsidRPr="00825B96">
              <w:rPr>
                <w:rStyle w:val="Hyperlink"/>
                <w:noProof/>
              </w:rPr>
              <w:t>8</w:t>
            </w:r>
            <w:r>
              <w:rPr>
                <w:rFonts w:asciiTheme="minorHAnsi" w:eastAsiaTheme="minorEastAsia" w:hAnsiTheme="minorHAnsi" w:cstheme="minorBidi"/>
                <w:noProof/>
                <w:color w:val="auto"/>
              </w:rPr>
              <w:tab/>
            </w:r>
            <w:r w:rsidRPr="00825B96">
              <w:rPr>
                <w:rStyle w:val="Hyperlink"/>
                <w:noProof/>
              </w:rPr>
              <w:t>Literature Cited</w:t>
            </w:r>
            <w:r>
              <w:rPr>
                <w:noProof/>
                <w:webHidden/>
              </w:rPr>
              <w:tab/>
            </w:r>
            <w:r>
              <w:rPr>
                <w:noProof/>
                <w:webHidden/>
              </w:rPr>
              <w:fldChar w:fldCharType="begin"/>
            </w:r>
            <w:r>
              <w:rPr>
                <w:noProof/>
                <w:webHidden/>
              </w:rPr>
              <w:instrText xml:space="preserve"> PAGEREF _Toc66953609 \h </w:instrText>
            </w:r>
            <w:r>
              <w:rPr>
                <w:noProof/>
                <w:webHidden/>
              </w:rPr>
            </w:r>
            <w:r>
              <w:rPr>
                <w:noProof/>
                <w:webHidden/>
              </w:rPr>
              <w:fldChar w:fldCharType="separate"/>
            </w:r>
            <w:r>
              <w:rPr>
                <w:noProof/>
                <w:webHidden/>
              </w:rPr>
              <w:t>8</w:t>
            </w:r>
            <w:r>
              <w:rPr>
                <w:noProof/>
                <w:webHidden/>
              </w:rPr>
              <w:fldChar w:fldCharType="end"/>
            </w:r>
          </w:hyperlink>
        </w:p>
        <w:p w14:paraId="0C834EE2" w14:textId="685BB897" w:rsidR="00602F72" w:rsidRPr="001561C2" w:rsidRDefault="00A54890" w:rsidP="00435E19">
          <w:r>
            <w:rPr>
              <w:b/>
              <w:bCs/>
              <w:noProof/>
            </w:rPr>
            <w:fldChar w:fldCharType="end"/>
          </w:r>
        </w:p>
      </w:sdtContent>
    </w:sdt>
    <w:p w14:paraId="343319B1" w14:textId="4496FC77" w:rsidR="0031180D" w:rsidRPr="00094438" w:rsidRDefault="0031180D" w:rsidP="00F50803">
      <w:pPr>
        <w:pStyle w:val="Heading1"/>
      </w:pPr>
      <w:bookmarkStart w:id="1" w:name="_Toc33450643"/>
      <w:bookmarkStart w:id="2" w:name="_Toc66953600"/>
      <w:r w:rsidRPr="00094438">
        <w:t>Introduction</w:t>
      </w:r>
      <w:bookmarkEnd w:id="1"/>
      <w:bookmarkEnd w:id="2"/>
    </w:p>
    <w:p w14:paraId="276D5E83" w14:textId="1E9DFD27" w:rsidR="0031180D" w:rsidRDefault="006D27BC" w:rsidP="006D27BC">
      <w:pPr>
        <w:tabs>
          <w:tab w:val="left" w:pos="7132"/>
        </w:tabs>
        <w:spacing w:after="0" w:line="240" w:lineRule="auto"/>
      </w:pPr>
      <w:r>
        <w:tab/>
      </w:r>
    </w:p>
    <w:p w14:paraId="29CF9ECF" w14:textId="5938D1CD" w:rsidR="0031180D" w:rsidRDefault="0031180D" w:rsidP="00F50803">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the methomyl</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sidR="00717C07">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w:t>
      </w:r>
      <w:r w:rsidR="00DB7C22">
        <w:rPr>
          <w:rStyle w:val="normaltextrun"/>
          <w:rFonts w:asciiTheme="minorHAnsi" w:hAnsiTheme="minorHAnsi" w:cstheme="minorHAnsi"/>
          <w:bCs/>
        </w:rPr>
        <w:t>Biological Evaluations of Conventional Pesticides</w:t>
      </w:r>
      <w:r w:rsidRPr="001561C2">
        <w:rPr>
          <w:rStyle w:val="eop"/>
          <w:rFonts w:asciiTheme="minorHAnsi" w:hAnsiTheme="minorHAnsi" w:cstheme="minorHAnsi"/>
        </w:rPr>
        <w:t> (referred to as the “</w:t>
      </w:r>
      <w:r w:rsidR="00B94ADF">
        <w:rPr>
          <w:rStyle w:val="eop"/>
          <w:rFonts w:asciiTheme="minorHAnsi" w:hAnsiTheme="minorHAnsi" w:cstheme="minorHAnsi"/>
        </w:rPr>
        <w:t>R</w:t>
      </w:r>
      <w:r w:rsidRPr="001561C2">
        <w:rPr>
          <w:rStyle w:val="eop"/>
          <w:rFonts w:asciiTheme="minorHAnsi" w:hAnsiTheme="minorHAnsi" w:cstheme="minorHAnsi"/>
        </w:rPr>
        <w:t xml:space="preserve">evised </w:t>
      </w:r>
      <w:r w:rsidR="00B94ADF">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Pr>
          <w:rStyle w:val="eop"/>
          <w:rFonts w:asciiTheme="minorHAnsi" w:hAnsiTheme="minorHAnsi" w:cstheme="minorHAnsi"/>
        </w:rPr>
        <w:t>methomyl</w:t>
      </w:r>
      <w:r w:rsidRPr="001561C2">
        <w:rPr>
          <w:rStyle w:val="eop"/>
          <w:rFonts w:asciiTheme="minorHAnsi" w:hAnsiTheme="minorHAnsi" w:cstheme="minorHAnsi"/>
        </w:rPr>
        <w:t xml:space="preserve"> represents EPA’s Biological Evaluation (BE) for all federally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1D0C2F29" w14:textId="77777777" w:rsidR="0031180D" w:rsidRDefault="0031180D" w:rsidP="0031180D">
      <w:pPr>
        <w:spacing w:after="0" w:line="240" w:lineRule="auto"/>
      </w:pPr>
    </w:p>
    <w:p w14:paraId="777A0811" w14:textId="74F5FA19" w:rsidR="0031180D" w:rsidRDefault="0031180D" w:rsidP="0031180D">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C06986">
        <w:rPr>
          <w:color w:val="000000" w:themeColor="text1"/>
        </w:rPr>
        <w:t>methomyl</w:t>
      </w:r>
      <w:r>
        <w:rPr>
          <w:color w:val="000000" w:themeColor="text1"/>
        </w:rPr>
        <w:t xml:space="preserve">; summaries of its uses (based on registered product labels), usage, and fate; definition of the residue of concern; an analysis plan for how the risk assessment will be conducted and a brief summary of previous FIFRA risk </w:t>
      </w:r>
      <w:r w:rsidRPr="0031180D">
        <w:rPr>
          <w:color w:val="000000" w:themeColor="text1"/>
        </w:rPr>
        <w:t>conclusions as well as listed species assessments. As part of the FIFRA registration review process, a detailed Problem Formulation for the FIFRA ecological risk assessment of methomyl was finalized in July 2016</w:t>
      </w:r>
      <w:r w:rsidRPr="0031180D">
        <w:rPr>
          <w:rStyle w:val="FootnoteReference"/>
          <w:color w:val="000000" w:themeColor="text1"/>
        </w:rPr>
        <w:footnoteReference w:id="3"/>
      </w:r>
      <w:r w:rsidRPr="0031180D">
        <w:rPr>
          <w:color w:val="000000" w:themeColor="text1"/>
        </w:rPr>
        <w:t>.</w:t>
      </w:r>
      <w:r>
        <w:rPr>
          <w:color w:val="000000" w:themeColor="text1"/>
        </w:rPr>
        <w:t xml:space="preserve"> </w:t>
      </w:r>
    </w:p>
    <w:p w14:paraId="6338CB70" w14:textId="2D224AF8" w:rsidR="0031180D" w:rsidRDefault="0031180D" w:rsidP="0031180D">
      <w:pPr>
        <w:spacing w:after="0" w:line="240" w:lineRule="auto"/>
        <w:rPr>
          <w:color w:val="000000" w:themeColor="text1"/>
        </w:rPr>
      </w:pPr>
    </w:p>
    <w:p w14:paraId="5B600004" w14:textId="77777777" w:rsidR="00BE018B" w:rsidRDefault="00BE018B" w:rsidP="00C42340">
      <w:pPr>
        <w:pStyle w:val="Heading1"/>
        <w:numPr>
          <w:ilvl w:val="0"/>
          <w:numId w:val="0"/>
        </w:numPr>
        <w:rPr>
          <w:color w:val="000000" w:themeColor="text1"/>
        </w:rPr>
        <w:sectPr w:rsidR="00BE018B" w:rsidSect="00435E19">
          <w:headerReference w:type="default" r:id="rId12"/>
          <w:footerReference w:type="default" r:id="rId13"/>
          <w:pgSz w:w="12240" w:h="15840"/>
          <w:pgMar w:top="1440" w:right="1440" w:bottom="1440" w:left="1440" w:header="720" w:footer="720" w:gutter="0"/>
          <w:cols w:space="720"/>
          <w:docGrid w:linePitch="360"/>
        </w:sectPr>
      </w:pPr>
    </w:p>
    <w:p w14:paraId="6E26D177" w14:textId="0790FFE5" w:rsidR="00223803" w:rsidRPr="00094438" w:rsidRDefault="00223803" w:rsidP="00435E19">
      <w:pPr>
        <w:pStyle w:val="Heading1"/>
      </w:pPr>
      <w:bookmarkStart w:id="3" w:name="_Toc66953601"/>
      <w:r w:rsidRPr="00094438">
        <w:lastRenderedPageBreak/>
        <w:t>Description of the Federal Action</w:t>
      </w:r>
      <w:bookmarkEnd w:id="3"/>
      <w:r w:rsidRPr="00094438">
        <w:rPr>
          <w:szCs w:val="24"/>
        </w:rPr>
        <w:t xml:space="preserve"> </w:t>
      </w:r>
    </w:p>
    <w:p w14:paraId="180FE39D" w14:textId="77777777" w:rsidR="00223803" w:rsidRDefault="00223803">
      <w:pPr>
        <w:spacing w:after="0" w:line="240" w:lineRule="auto"/>
      </w:pPr>
    </w:p>
    <w:p w14:paraId="36549DD3" w14:textId="46919870" w:rsidR="007E5363" w:rsidRDefault="007E5363" w:rsidP="007E5363">
      <w:pPr>
        <w:spacing w:after="0" w:line="240" w:lineRule="auto"/>
      </w:pPr>
      <w:r w:rsidRPr="001561C2">
        <w:t xml:space="preserve">In 2006, U.S. Environmental Protection Agency </w:t>
      </w:r>
      <w:r>
        <w:t>(</w:t>
      </w:r>
      <w:r w:rsidRPr="001561C2">
        <w:t>EPA</w:t>
      </w:r>
      <w:r>
        <w:t>)</w:t>
      </w:r>
      <w:r w:rsidRPr="001561C2">
        <w:t xml:space="preserve"> initiated Registration Review to reevaluate all pesticides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4" w:name="_Hlk33448916"/>
      <w:r w:rsidR="00AF166B">
        <w:t xml:space="preserve">and that </w:t>
      </w:r>
      <w:r w:rsidRPr="001561C2">
        <w:t xml:space="preserve">all pesticide products in the marketplace </w:t>
      </w:r>
      <w:r>
        <w:t>continue to meet the standard of registration</w:t>
      </w:r>
      <w:bookmarkEnd w:id="4"/>
      <w:r w:rsidRPr="001561C2">
        <w:t xml:space="preserve">. Registration review includes labels registered under Sections 3, 24(c), and 18 of </w:t>
      </w:r>
      <w:r>
        <w:t xml:space="preserve">the </w:t>
      </w:r>
      <w:r w:rsidRPr="001561C2">
        <w:rPr>
          <w:color w:val="000000" w:themeColor="text1"/>
        </w:rPr>
        <w:t>Federal Insecticide Fungicide Rodenticide Act (FIFRA)</w:t>
      </w:r>
      <w:r w:rsidRPr="001561C2">
        <w:t xml:space="preserve">.  </w:t>
      </w:r>
      <w:r>
        <w:t xml:space="preserve">The federal action of registration review for methomyl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727191">
        <w:t>methomyl</w:t>
      </w:r>
      <w:r w:rsidRPr="001561C2">
        <w:t xml:space="preserve">.   </w:t>
      </w:r>
    </w:p>
    <w:p w14:paraId="57D5CA8A" w14:textId="77777777" w:rsidR="007708D0" w:rsidRPr="006A3B95" w:rsidRDefault="007708D0" w:rsidP="007E53E4">
      <w:pPr>
        <w:spacing w:after="0" w:line="240" w:lineRule="auto"/>
        <w:rPr>
          <w:color w:val="000000" w:themeColor="text1"/>
        </w:rPr>
      </w:pPr>
    </w:p>
    <w:p w14:paraId="3F0660E4" w14:textId="4AEAE335" w:rsidR="00223803" w:rsidRPr="00094438" w:rsidRDefault="00223803" w:rsidP="00435E19">
      <w:pPr>
        <w:pStyle w:val="Heading1"/>
      </w:pPr>
      <w:bookmarkStart w:id="5" w:name="_Toc31220272"/>
      <w:bookmarkStart w:id="6" w:name="_Toc66953602"/>
      <w:r w:rsidRPr="00094438">
        <w:t>Mode and Mechanism of Action</w:t>
      </w:r>
      <w:bookmarkEnd w:id="5"/>
      <w:bookmarkEnd w:id="6"/>
      <w:r w:rsidRPr="00094438">
        <w:t xml:space="preserve"> </w:t>
      </w:r>
    </w:p>
    <w:p w14:paraId="72BFF2E7" w14:textId="77777777" w:rsidR="00223803" w:rsidRPr="00BB3BB8" w:rsidRDefault="00223803" w:rsidP="00223803">
      <w:pPr>
        <w:keepNext/>
        <w:keepLines/>
        <w:spacing w:after="0" w:line="240" w:lineRule="auto"/>
      </w:pPr>
    </w:p>
    <w:p w14:paraId="0E2463F5" w14:textId="61249EB7" w:rsidR="00BC12C2" w:rsidRDefault="00223803">
      <w:pPr>
        <w:spacing w:after="0" w:line="240" w:lineRule="auto"/>
      </w:pPr>
      <w:r w:rsidRPr="00A920A4">
        <w:t xml:space="preserve">Methomyl is an N-methylcarbamate insecticide.  </w:t>
      </w:r>
      <w:r w:rsidR="00C109D2" w:rsidRPr="00A920A4">
        <w:t xml:space="preserve">N-methylcarbamate </w:t>
      </w:r>
      <w:r w:rsidRPr="00A920A4">
        <w:t>insecticides act by inhibiting acetylcholinesterase, thereby reducing the degradation of the cholinergic neurotransmitter acetylcholine.  As a result, inter</w:t>
      </w:r>
      <w:r w:rsidR="002E644E">
        <w:t>-</w:t>
      </w:r>
      <w:r w:rsidRPr="00A920A4">
        <w:t>synaptic concentrations of acetylcholine increase as the neurotransmitter accumulates</w:t>
      </w:r>
      <w:r w:rsidR="002E644E">
        <w:t>,</w:t>
      </w:r>
      <w:r w:rsidRPr="00A920A4">
        <w:t xml:space="preserve"> leading to increased firing of the postsynaptic neurons.  This may ultimately lead to convulsions, paralysis, and death of an organism exposed to the chemical</w:t>
      </w:r>
      <w:r>
        <w:t xml:space="preserve">.  </w:t>
      </w:r>
      <w:r w:rsidRPr="003666C8">
        <w:t>Acetylcholinesterase inhibition is rapidly reversed in many taxa once exposure to an N-methylcarbamate insecticide has ended</w:t>
      </w:r>
      <w:r>
        <w:t>.</w:t>
      </w:r>
    </w:p>
    <w:p w14:paraId="51CC4ABD" w14:textId="77777777" w:rsidR="00261596" w:rsidRPr="005A3707" w:rsidRDefault="00261596" w:rsidP="001561C2">
      <w:pPr>
        <w:spacing w:after="0" w:line="240" w:lineRule="auto"/>
      </w:pPr>
    </w:p>
    <w:p w14:paraId="008AE072" w14:textId="64F3D649" w:rsidR="00602F72" w:rsidRPr="00094438" w:rsidRDefault="00833C39" w:rsidP="00435E19">
      <w:pPr>
        <w:pStyle w:val="Heading1"/>
      </w:pPr>
      <w:bookmarkStart w:id="7" w:name="_Toc31220269"/>
      <w:bookmarkStart w:id="8" w:name="_Toc66953603"/>
      <w:r w:rsidRPr="00094438">
        <w:t>Use and Usage Characterization</w:t>
      </w:r>
      <w:bookmarkEnd w:id="7"/>
      <w:bookmarkEnd w:id="8"/>
      <w:r w:rsidR="0008217F" w:rsidRPr="003E475B">
        <w:fldChar w:fldCharType="begin"/>
      </w:r>
      <w:r w:rsidR="0008217F" w:rsidRPr="00094438">
        <w:instrText xml:space="preserve"> HYPERLINK "http://epa.gov/pesticides/fifra6a2/" \h </w:instrText>
      </w:r>
      <w:r w:rsidR="0008217F" w:rsidRPr="003E475B">
        <w:fldChar w:fldCharType="end"/>
      </w:r>
    </w:p>
    <w:p w14:paraId="259F68EC" w14:textId="77777777" w:rsidR="00833C39" w:rsidRDefault="00833C39" w:rsidP="00833C39">
      <w:pPr>
        <w:spacing w:after="0" w:line="240" w:lineRule="auto"/>
      </w:pPr>
    </w:p>
    <w:p w14:paraId="7E839C64" w14:textId="4EAFC61C" w:rsidR="006978E9" w:rsidRDefault="006978E9" w:rsidP="006978E9">
      <w:pPr>
        <w:spacing w:after="0" w:line="240" w:lineRule="auto"/>
      </w:pPr>
      <w:r>
        <w:t xml:space="preserve">Use data are based on registered product labels and include pesticide application information relevant to a treatment site </w:t>
      </w:r>
      <w:r w:rsidRPr="006978E9">
        <w:rPr>
          <w:i/>
        </w:rPr>
        <w:t>(e.g.,</w:t>
      </w:r>
      <w:r>
        <w:t xml:space="preserve"> an orchard). EPA determines the u</w:t>
      </w:r>
      <w:r w:rsidRPr="00DD0C13">
        <w:t>se</w:t>
      </w:r>
      <w:r>
        <w:t>s</w:t>
      </w:r>
      <w:r w:rsidRPr="00DD0C13">
        <w:t xml:space="preserve"> based on registered labels and define crop or non-crop sites to which a pesticide may be applied. Use data also describe the maximum application rates, method (</w:t>
      </w:r>
      <w:r w:rsidRPr="00DD0C13">
        <w:rPr>
          <w:i/>
        </w:rPr>
        <w:t>e.g.,</w:t>
      </w:r>
      <w:r w:rsidRPr="00DD0C13">
        <w:t xml:space="preserve"> aerial or ground spray), re-treatment intervals and number of applications that may occur according to registered product labels.</w:t>
      </w:r>
    </w:p>
    <w:p w14:paraId="1A139341" w14:textId="77777777" w:rsidR="006978E9" w:rsidRDefault="006978E9" w:rsidP="006978E9">
      <w:pPr>
        <w:spacing w:after="0" w:line="240" w:lineRule="auto"/>
      </w:pPr>
    </w:p>
    <w:p w14:paraId="1E815D8B" w14:textId="1970A6B0" w:rsidR="001561C2" w:rsidRDefault="006978E9" w:rsidP="006978E9">
      <w:pPr>
        <w:spacing w:after="0" w:line="240" w:lineRule="auto"/>
      </w:pPr>
      <w:r>
        <w:t>Usage data describe how the pesticide has been applied to multiple use sites within a state, region or the US.  EPA also reviews actual u</w:t>
      </w:r>
      <w:r w:rsidRPr="00DD0C13">
        <w:t xml:space="preserve">sage data </w:t>
      </w:r>
      <w:r>
        <w:t xml:space="preserve">that </w:t>
      </w:r>
      <w:r w:rsidRPr="00DD0C13">
        <w:t>document</w:t>
      </w:r>
      <w:r>
        <w:t>s</w:t>
      </w:r>
      <w:r w:rsidRPr="00DD0C13">
        <w:t xml:space="preserve"> </w:t>
      </w:r>
      <w:r>
        <w:t xml:space="preserve">the actual </w:t>
      </w:r>
      <w:r w:rsidRPr="00DD0C13">
        <w:t xml:space="preserve">applications of a pesticide, including information such as actual application rates and timing, and spatial distribution of applications </w:t>
      </w:r>
      <w:r>
        <w:t xml:space="preserve">across multiple sites </w:t>
      </w:r>
      <w:r w:rsidRPr="00DD0C13">
        <w:t>(usually based on survey data). The key difference between use and usage is potential applications vs. actual applications.</w:t>
      </w:r>
    </w:p>
    <w:p w14:paraId="5D81914B" w14:textId="77777777" w:rsidR="006978E9" w:rsidRPr="001561C2" w:rsidRDefault="006978E9" w:rsidP="006978E9">
      <w:pPr>
        <w:spacing w:after="0" w:line="240" w:lineRule="auto"/>
      </w:pPr>
    </w:p>
    <w:p w14:paraId="6AD11EEC" w14:textId="4791BBF1" w:rsidR="00602F72" w:rsidRPr="00094438" w:rsidRDefault="00F93B88" w:rsidP="00435E19">
      <w:pPr>
        <w:pStyle w:val="Heading2"/>
        <w:spacing w:before="0" w:line="240" w:lineRule="auto"/>
      </w:pPr>
      <w:bookmarkStart w:id="9" w:name="_Toc31220270"/>
      <w:bookmarkStart w:id="10" w:name="_Toc66953604"/>
      <w:r w:rsidRPr="00094438">
        <w:t xml:space="preserve">Use </w:t>
      </w:r>
      <w:r w:rsidR="00D71F62" w:rsidRPr="00094438">
        <w:t>D</w:t>
      </w:r>
      <w:r w:rsidRPr="00094438">
        <w:t xml:space="preserve">ata </w:t>
      </w:r>
      <w:r w:rsidR="00833C39" w:rsidRPr="00094438">
        <w:t xml:space="preserve">(as Defined on Registered Product </w:t>
      </w:r>
      <w:r w:rsidR="00D71F62" w:rsidRPr="00094438">
        <w:t>L</w:t>
      </w:r>
      <w:r w:rsidRPr="00094438">
        <w:t>abels</w:t>
      </w:r>
      <w:r w:rsidR="00833C39" w:rsidRPr="00094438">
        <w:t>)</w:t>
      </w:r>
      <w:bookmarkEnd w:id="9"/>
      <w:bookmarkEnd w:id="10"/>
    </w:p>
    <w:p w14:paraId="0366D056" w14:textId="2A9DF706" w:rsidR="00833C39" w:rsidRPr="001561C2" w:rsidRDefault="00F93B88" w:rsidP="007E53E4">
      <w:pPr>
        <w:keepNext/>
        <w:keepLines/>
        <w:spacing w:after="0" w:line="240" w:lineRule="auto"/>
      </w:pPr>
      <w:r w:rsidRPr="001561C2">
        <w:rPr>
          <w:i/>
          <w:color w:val="2E75B5"/>
        </w:rPr>
        <w:tab/>
      </w:r>
    </w:p>
    <w:p w14:paraId="4B4CB0F1" w14:textId="36493657" w:rsidR="00833C39" w:rsidRPr="00E55240" w:rsidRDefault="00833C39" w:rsidP="007E53E4">
      <w:pPr>
        <w:spacing w:after="0" w:line="240" w:lineRule="auto"/>
      </w:pPr>
      <w:r w:rsidRPr="00E55240">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r w:rsidR="006978E9" w:rsidRPr="00E55240">
        <w:t>This BE assesses the legal uses of methomyl that are described on registered pesticide labels.</w:t>
      </w:r>
    </w:p>
    <w:p w14:paraId="551B382D" w14:textId="1F19E955" w:rsidR="00833C39" w:rsidRPr="00587188" w:rsidRDefault="00833C39" w:rsidP="002C29BA">
      <w:pPr>
        <w:spacing w:after="0" w:line="240" w:lineRule="auto"/>
        <w:rPr>
          <w:highlight w:val="yellow"/>
        </w:rPr>
      </w:pPr>
    </w:p>
    <w:p w14:paraId="59DBAF8E" w14:textId="1AEB8B4C" w:rsidR="00602F72" w:rsidRPr="00587188" w:rsidRDefault="00833C39" w:rsidP="00C34FEE">
      <w:pPr>
        <w:spacing w:after="0" w:line="240" w:lineRule="auto"/>
        <w:rPr>
          <w:highlight w:val="yellow"/>
        </w:rPr>
      </w:pPr>
      <w:r w:rsidRPr="00EE6EE5">
        <w:t>M</w:t>
      </w:r>
      <w:r w:rsidR="00360855" w:rsidRPr="00EE6EE5">
        <w:t>ethomyl</w:t>
      </w:r>
      <w:r w:rsidR="00F93B88" w:rsidRPr="00EE6EE5">
        <w:t xml:space="preserve"> is </w:t>
      </w:r>
      <w:r w:rsidR="00360855" w:rsidRPr="00EE6EE5">
        <w:t>used</w:t>
      </w:r>
      <w:r w:rsidR="00F93B88" w:rsidRPr="00EE6EE5">
        <w:t xml:space="preserve"> on a wide variety of terrestrial food and feed crops, terrestrial non-food crops, and non-agricultural indoor and outdoor sites. </w:t>
      </w:r>
      <w:r w:rsidR="00360855" w:rsidRPr="00EE6EE5">
        <w:t>T</w:t>
      </w:r>
      <w:r w:rsidR="00F93B88" w:rsidRPr="00EE6EE5">
        <w:t xml:space="preserve">here are currently </w:t>
      </w:r>
      <w:r w:rsidR="00360855" w:rsidRPr="00EE6EE5">
        <w:t>3</w:t>
      </w:r>
      <w:r w:rsidR="00F93B88" w:rsidRPr="00EE6EE5">
        <w:t xml:space="preserve"> active </w:t>
      </w:r>
      <w:r w:rsidR="00360855" w:rsidRPr="00EE6EE5">
        <w:t xml:space="preserve">technical </w:t>
      </w:r>
      <w:r w:rsidR="00F93B88" w:rsidRPr="00EE6EE5">
        <w:t xml:space="preserve">registrants of </w:t>
      </w:r>
      <w:r w:rsidR="00C22D0A" w:rsidRPr="00EE6EE5">
        <w:t xml:space="preserve">methomyl </w:t>
      </w:r>
      <w:r w:rsidR="00F93B88" w:rsidRPr="00EE6EE5">
        <w:t xml:space="preserve">with </w:t>
      </w:r>
      <w:r w:rsidR="00360855" w:rsidRPr="00EE6EE5">
        <w:t xml:space="preserve">34 active product </w:t>
      </w:r>
      <w:r w:rsidR="0059170B" w:rsidRPr="00EE6EE5">
        <w:t xml:space="preserve">registrations </w:t>
      </w:r>
      <w:r w:rsidR="00360855" w:rsidRPr="00EE6EE5">
        <w:t>(16 Section 3s and 1</w:t>
      </w:r>
      <w:r w:rsidR="00F93B88" w:rsidRPr="00EE6EE5">
        <w:t xml:space="preserve">8 Special Local Needs), which include formulated products and technical grade </w:t>
      </w:r>
      <w:r w:rsidR="00C22D0A" w:rsidRPr="00EE6EE5">
        <w:t xml:space="preserve">methomyl </w:t>
      </w:r>
      <w:r w:rsidR="00F93B88" w:rsidRPr="00EE6EE5">
        <w:t>(</w:t>
      </w:r>
      <w:r w:rsidR="00F93B88" w:rsidRPr="00EE6EE5">
        <w:rPr>
          <w:b/>
        </w:rPr>
        <w:t xml:space="preserve">APPENDIX </w:t>
      </w:r>
      <w:r w:rsidR="002C58B0" w:rsidRPr="00EE6EE5">
        <w:rPr>
          <w:b/>
        </w:rPr>
        <w:t>1-</w:t>
      </w:r>
      <w:r w:rsidR="00165122" w:rsidRPr="00EE6EE5">
        <w:rPr>
          <w:b/>
        </w:rPr>
        <w:t>1</w:t>
      </w:r>
      <w:r w:rsidR="00457801" w:rsidRPr="00EE6EE5">
        <w:t>).</w:t>
      </w:r>
      <w:r w:rsidR="00360855" w:rsidRPr="00EE6EE5">
        <w:t xml:space="preserve"> </w:t>
      </w:r>
      <w:r w:rsidR="00360855" w:rsidRPr="006D7898">
        <w:t xml:space="preserve">All of the formulated methomyl </w:t>
      </w:r>
      <w:r w:rsidR="00360855" w:rsidRPr="006D7898">
        <w:lastRenderedPageBreak/>
        <w:t>products, with the exception of the fly bait products</w:t>
      </w:r>
      <w:r w:rsidR="004E3F8B" w:rsidRPr="006D7898">
        <w:t>,</w:t>
      </w:r>
      <w:r w:rsidR="00360855" w:rsidRPr="006D7898">
        <w:t xml:space="preserve"> are Restricted Use Pesticides (RUPs) – meaning that they can only be applied by, or under the supervision of, a certified applicator. </w:t>
      </w:r>
      <w:r w:rsidR="00457801" w:rsidRPr="006D7898">
        <w:t xml:space="preserve"> </w:t>
      </w:r>
      <w:r w:rsidR="008B4F2F" w:rsidRPr="006D7898">
        <w:t>Methomyl</w:t>
      </w:r>
      <w:r w:rsidR="00457801" w:rsidRPr="006D7898">
        <w:t xml:space="preserve"> can be applied in a liquid, </w:t>
      </w:r>
      <w:r w:rsidR="00F93B88" w:rsidRPr="006D7898">
        <w:t>granular</w:t>
      </w:r>
      <w:r w:rsidR="00C10E5A" w:rsidRPr="006D7898">
        <w:t xml:space="preserve"> (corn only)</w:t>
      </w:r>
      <w:r w:rsidR="00457801" w:rsidRPr="006D7898">
        <w:t xml:space="preserve">, </w:t>
      </w:r>
      <w:r w:rsidR="00354AFC" w:rsidRPr="006D7898">
        <w:t>scatter bait</w:t>
      </w:r>
      <w:r w:rsidR="008B4F2F" w:rsidRPr="006D7898">
        <w:t>, bait station, or as a brush-on paste</w:t>
      </w:r>
      <w:r w:rsidR="00457801" w:rsidRPr="006D7898">
        <w:t>.  A</w:t>
      </w:r>
      <w:r w:rsidR="00F93B88" w:rsidRPr="006D7898">
        <w:t xml:space="preserve">erial and ground application methods </w:t>
      </w:r>
      <w:r w:rsidR="00457801" w:rsidRPr="006D7898">
        <w:t>(</w:t>
      </w:r>
      <w:r w:rsidR="00F93B88" w:rsidRPr="006D7898">
        <w:t>including broadcast, soil incorporation, orchard airblast, and chemigation</w:t>
      </w:r>
      <w:r w:rsidR="00457801" w:rsidRPr="006D7898">
        <w:t>) are allowed</w:t>
      </w:r>
      <w:r w:rsidR="00F93B88" w:rsidRPr="006D7898">
        <w:t xml:space="preserve">. </w:t>
      </w:r>
      <w:r w:rsidR="00BC50D3" w:rsidRPr="006D7898">
        <w:t>Pesticide product labels</w:t>
      </w:r>
      <w:r w:rsidR="00A54555" w:rsidRPr="006D7898">
        <w:t xml:space="preserve"> for </w:t>
      </w:r>
      <w:r w:rsidR="00C10E5A" w:rsidRPr="006D7898">
        <w:t>granular</w:t>
      </w:r>
      <w:r w:rsidR="00A54555" w:rsidRPr="006D7898">
        <w:t xml:space="preserve"> products</w:t>
      </w:r>
      <w:r w:rsidR="001E034B">
        <w:t xml:space="preserve"> </w:t>
      </w:r>
      <w:r w:rsidR="00BC50D3" w:rsidRPr="006D7898">
        <w:t xml:space="preserve">contain </w:t>
      </w:r>
      <w:r w:rsidR="00C10E5A" w:rsidRPr="006D7898">
        <w:t>a 25-foot (ground</w:t>
      </w:r>
      <w:r w:rsidR="00235122" w:rsidRPr="006D7898">
        <w:t>)</w:t>
      </w:r>
      <w:r w:rsidR="00C10E5A" w:rsidRPr="006D7898">
        <w:t xml:space="preserve"> buffer zone</w:t>
      </w:r>
      <w:r w:rsidR="00F93B88" w:rsidRPr="006D7898">
        <w:t xml:space="preserve"> adjacent to waterbodies. </w:t>
      </w:r>
      <w:r w:rsidR="001E034B">
        <w:t xml:space="preserve">Additionally, labels for foliar </w:t>
      </w:r>
      <w:r w:rsidR="00A2249F">
        <w:t xml:space="preserve">(flowable) </w:t>
      </w:r>
      <w:r w:rsidR="001E034B">
        <w:t xml:space="preserve">applications also contain a 25 or 100-foot buffer zone for ground and aerial applications, respectively. </w:t>
      </w:r>
    </w:p>
    <w:p w14:paraId="48FE4E1F" w14:textId="77777777" w:rsidR="001561C2" w:rsidRPr="00587188" w:rsidRDefault="001561C2" w:rsidP="00C34FEE">
      <w:pPr>
        <w:spacing w:after="0" w:line="240" w:lineRule="auto"/>
        <w:rPr>
          <w:highlight w:val="yellow"/>
        </w:rPr>
      </w:pPr>
    </w:p>
    <w:p w14:paraId="5BEACFD9" w14:textId="335F9804" w:rsidR="00602F72" w:rsidRPr="00C51427" w:rsidRDefault="00F54585" w:rsidP="00DD7C08">
      <w:pPr>
        <w:spacing w:after="0" w:line="240" w:lineRule="auto"/>
      </w:pPr>
      <w:r w:rsidRPr="00C51427">
        <w:t>Current methomyl labels are reflective of the attached Master Use Summary (</w:t>
      </w:r>
      <w:r w:rsidRPr="00C51427">
        <w:rPr>
          <w:b/>
        </w:rPr>
        <w:t>APPENDIX 1-</w:t>
      </w:r>
      <w:r w:rsidR="00165122" w:rsidRPr="00C51427">
        <w:rPr>
          <w:b/>
        </w:rPr>
        <w:t>2</w:t>
      </w:r>
      <w:r w:rsidRPr="00C51427">
        <w:t>)</w:t>
      </w:r>
      <w:r w:rsidR="00F93B88" w:rsidRPr="00C51427">
        <w:t xml:space="preserve">. In general, current single maximum </w:t>
      </w:r>
      <w:r w:rsidR="003C3D62" w:rsidRPr="00C51427">
        <w:t>methomyl</w:t>
      </w:r>
      <w:r w:rsidR="00F93B88" w:rsidRPr="00C51427">
        <w:t xml:space="preserve"> application rates do not exceed </w:t>
      </w:r>
      <w:r w:rsidR="003C3D62" w:rsidRPr="00C51427">
        <w:t>0.9</w:t>
      </w:r>
      <w:r w:rsidR="00F93B88" w:rsidRPr="00C51427">
        <w:t xml:space="preserve"> lb a.i./A nationwide</w:t>
      </w:r>
      <w:r w:rsidR="00FE674F" w:rsidRPr="00C51427">
        <w:t xml:space="preserve"> </w:t>
      </w:r>
      <w:r w:rsidR="00A008B0" w:rsidRPr="00C51427">
        <w:t xml:space="preserve">for </w:t>
      </w:r>
      <w:r w:rsidR="003C3D62" w:rsidRPr="00C51427">
        <w:t xml:space="preserve">flowable formulations; </w:t>
      </w:r>
      <w:r w:rsidR="00F93B88" w:rsidRPr="00C51427">
        <w:t xml:space="preserve">however, </w:t>
      </w:r>
      <w:r w:rsidR="00A008B0" w:rsidRPr="00C51427">
        <w:t xml:space="preserve">a </w:t>
      </w:r>
      <w:r w:rsidR="00F93B88" w:rsidRPr="00C51427">
        <w:t>single application rate</w:t>
      </w:r>
      <w:r w:rsidR="003C3D62" w:rsidRPr="00C51427">
        <w:t xml:space="preserve"> of 1.5 l</w:t>
      </w:r>
      <w:r w:rsidR="00F93B88" w:rsidRPr="00C51427">
        <w:t xml:space="preserve">b a.i./A </w:t>
      </w:r>
      <w:r w:rsidR="003C3D62" w:rsidRPr="00C51427">
        <w:t>is</w:t>
      </w:r>
      <w:r w:rsidR="00F93B88" w:rsidRPr="00C51427">
        <w:t xml:space="preserve"> currently permitted for </w:t>
      </w:r>
      <w:r w:rsidR="003C3D62" w:rsidRPr="00C51427">
        <w:t>corn and sweet corn</w:t>
      </w:r>
      <w:r w:rsidR="00F93B88" w:rsidRPr="00C51427">
        <w:t xml:space="preserve"> use patterns</w:t>
      </w:r>
      <w:r w:rsidR="003C3D62" w:rsidRPr="00C51427">
        <w:t xml:space="preserve"> for granular formulation</w:t>
      </w:r>
      <w:r w:rsidR="00FE748D" w:rsidRPr="00C51427">
        <w:t xml:space="preserve">. </w:t>
      </w:r>
      <w:r w:rsidR="00F93B88" w:rsidRPr="00C51427">
        <w:t xml:space="preserve">The maximum annual rate of </w:t>
      </w:r>
      <w:r w:rsidR="003C3D62" w:rsidRPr="00C51427">
        <w:t xml:space="preserve">methomyl </w:t>
      </w:r>
      <w:r w:rsidR="00F93B88" w:rsidRPr="00C51427">
        <w:t xml:space="preserve">that may be applied to a crop site is </w:t>
      </w:r>
      <w:r w:rsidR="00605CD3" w:rsidRPr="00C51427">
        <w:t>21</w:t>
      </w:r>
      <w:r w:rsidR="003C3D62" w:rsidRPr="00C51427">
        <w:t>.</w:t>
      </w:r>
      <w:r w:rsidR="00605CD3" w:rsidRPr="00C51427">
        <w:t xml:space="preserve">6 </w:t>
      </w:r>
      <w:r w:rsidR="00F93B88" w:rsidRPr="00C51427">
        <w:t xml:space="preserve">lb a.i./A for </w:t>
      </w:r>
      <w:r w:rsidR="003C3D62" w:rsidRPr="00C51427">
        <w:t>broccoli in Arizona</w:t>
      </w:r>
      <w:r w:rsidR="00605CD3" w:rsidRPr="00C51427">
        <w:t xml:space="preserve"> and cauliflower as well as cabbage in California</w:t>
      </w:r>
      <w:r w:rsidR="003C3D62" w:rsidRPr="00C51427">
        <w:t>.</w:t>
      </w:r>
    </w:p>
    <w:p w14:paraId="236EB1AD" w14:textId="2C452C8B" w:rsidR="00602F72" w:rsidRPr="00587188" w:rsidRDefault="00602F72">
      <w:pPr>
        <w:keepNext/>
        <w:keepLines/>
        <w:spacing w:after="0" w:line="240" w:lineRule="auto"/>
        <w:rPr>
          <w:highlight w:val="yellow"/>
        </w:rPr>
      </w:pPr>
    </w:p>
    <w:p w14:paraId="74CAA862" w14:textId="6EB43BF3" w:rsidR="00BA192E" w:rsidRPr="009C3620" w:rsidRDefault="00BA192E">
      <w:pPr>
        <w:keepNext/>
        <w:keepLines/>
        <w:spacing w:after="0" w:line="240" w:lineRule="auto"/>
      </w:pPr>
      <w:r w:rsidRPr="009C3620">
        <w:t>Methomyl is currently registered on a variety of agricultural use sites</w:t>
      </w:r>
      <w:r w:rsidR="00B923C6" w:rsidRPr="009C3620">
        <w:t xml:space="preserve"> (</w:t>
      </w:r>
      <w:r w:rsidR="00B923C6" w:rsidRPr="009C3620">
        <w:rPr>
          <w:b/>
        </w:rPr>
        <w:t>APPENDIX 1-2</w:t>
      </w:r>
      <w:r w:rsidR="00B923C6" w:rsidRPr="009C3620">
        <w:t>)</w:t>
      </w:r>
      <w:r w:rsidRPr="009C3620">
        <w:t xml:space="preserve">, including: alfalfa, anise (fennel), apple, asparagus, avocado, bean (dry and succulent), beet, bermudagrass pasture, blueberry, broccoli, </w:t>
      </w:r>
      <w:r w:rsidR="006C2C80" w:rsidRPr="009C3620">
        <w:t>brussels</w:t>
      </w:r>
      <w:r w:rsidRPr="009C3620">
        <w:t xml:space="preserve"> sprouts, cabbage, carrot, cauliflower, celery, chicory, chin</w:t>
      </w:r>
      <w:r w:rsidR="00857E70" w:rsidRPr="009C3620">
        <w:t>e</w:t>
      </w:r>
      <w:r w:rsidRPr="009C3620">
        <w:t xml:space="preserve">se cabbage, collards, corn (field, pop-corn, seed and sweet corn), cotton, cucumber, eggplant, endive (escarole), garlic, grapefruit, horseradish, leafy green vegetables, lemon, lentils, lettuce (head and leaf), melon, </w:t>
      </w:r>
      <w:r w:rsidR="00857E70" w:rsidRPr="009C3620">
        <w:t xml:space="preserve">mint (peppermint and spearmint), nectarine, onion (green and dry bulb), orange, peach, peanut, pear, pea, pecan, pepper, pomegranate, </w:t>
      </w:r>
      <w:r w:rsidRPr="009C3620">
        <w:t>potato, sorghum, soybean, spinach, sugar beet, summer squash, tangelo (tangerine)</w:t>
      </w:r>
      <w:r w:rsidR="00857E70" w:rsidRPr="009C3620">
        <w:t xml:space="preserve">, </w:t>
      </w:r>
      <w:r w:rsidRPr="009C3620">
        <w:t xml:space="preserve">tobacco, tomato, tomatillo and wheat. In addition, there are several special local need (SLN) use sites, including broccoli raab, chinese broccoli, bean and soybean inter-planted with non-bearing fruit and nut trees, pumpkin, and sweet potato for California and radish for California and Florida.  </w:t>
      </w:r>
      <w:r w:rsidR="008D53ED" w:rsidRPr="009C3620">
        <w:t>Methomyl is also registered for applications to sod farms (turf)</w:t>
      </w:r>
      <w:r w:rsidR="00B923C6" w:rsidRPr="009C3620">
        <w:t>.</w:t>
      </w:r>
    </w:p>
    <w:p w14:paraId="0A579A03" w14:textId="77777777" w:rsidR="00BA192E" w:rsidRPr="00587188" w:rsidRDefault="00BA192E">
      <w:pPr>
        <w:keepNext/>
        <w:keepLines/>
        <w:spacing w:after="0" w:line="240" w:lineRule="auto"/>
        <w:rPr>
          <w:highlight w:val="yellow"/>
        </w:rPr>
      </w:pPr>
    </w:p>
    <w:p w14:paraId="4E3165AF" w14:textId="0F9E22B6" w:rsidR="00B110F8" w:rsidRPr="001561C2" w:rsidRDefault="00B923C6" w:rsidP="00435E19">
      <w:pPr>
        <w:spacing w:after="0" w:line="240" w:lineRule="auto"/>
      </w:pPr>
      <w:r w:rsidRPr="00F97467">
        <w:t>Non-agricultural</w:t>
      </w:r>
      <w:r w:rsidR="004D4BD0" w:rsidRPr="00F97467">
        <w:t xml:space="preserve"> outdoor uses for methomyl are limited to </w:t>
      </w:r>
      <w:r w:rsidR="00AA575E" w:rsidRPr="00F97467">
        <w:t xml:space="preserve">fly </w:t>
      </w:r>
      <w:r w:rsidR="004D4BD0" w:rsidRPr="00F97467">
        <w:t>bait</w:t>
      </w:r>
      <w:r w:rsidR="00AA575E" w:rsidRPr="00F97467">
        <w:t>s</w:t>
      </w:r>
      <w:r w:rsidR="004D4BD0" w:rsidRPr="00F97467">
        <w:t xml:space="preserve"> </w:t>
      </w:r>
      <w:r w:rsidR="00AA575E" w:rsidRPr="00F97467">
        <w:t>that can be used</w:t>
      </w:r>
      <w:r w:rsidR="004D4BD0" w:rsidRPr="00F97467">
        <w:t xml:space="preserve"> around </w:t>
      </w:r>
      <w:r w:rsidR="00605CD3" w:rsidRPr="00F97467">
        <w:t xml:space="preserve">livestock </w:t>
      </w:r>
      <w:r w:rsidR="004D4BD0" w:rsidRPr="00F97467">
        <w:t xml:space="preserve">animal </w:t>
      </w:r>
      <w:r w:rsidR="003F3D48" w:rsidRPr="00F97467">
        <w:t xml:space="preserve">and poultry </w:t>
      </w:r>
      <w:r w:rsidR="004D4BD0" w:rsidRPr="00F97467">
        <w:t>premises</w:t>
      </w:r>
      <w:r w:rsidR="00AA575E" w:rsidRPr="00F97467">
        <w:t>,</w:t>
      </w:r>
      <w:r w:rsidR="004D4BD0" w:rsidRPr="00F97467">
        <w:t xml:space="preserve"> commercial structures</w:t>
      </w:r>
      <w:r w:rsidR="00A50409">
        <w:t>,</w:t>
      </w:r>
      <w:r w:rsidR="004D4BD0" w:rsidRPr="00F97467">
        <w:t xml:space="preserve"> and </w:t>
      </w:r>
      <w:r w:rsidR="003770AE" w:rsidRPr="00F97467">
        <w:t xml:space="preserve">enclosed </w:t>
      </w:r>
      <w:r w:rsidR="004D4BD0" w:rsidRPr="00F97467">
        <w:t>commercial dumpsters. The</w:t>
      </w:r>
      <w:r w:rsidR="00AA575E" w:rsidRPr="00F97467">
        <w:t xml:space="preserve"> fly baits can be used as a </w:t>
      </w:r>
      <w:r w:rsidR="005777AC" w:rsidRPr="00F97467">
        <w:t xml:space="preserve">perimeter </w:t>
      </w:r>
      <w:r w:rsidR="00AA575E" w:rsidRPr="00F97467">
        <w:t>scatter</w:t>
      </w:r>
      <w:r w:rsidR="00857E70" w:rsidRPr="00F97467">
        <w:t xml:space="preserve"> </w:t>
      </w:r>
      <w:r w:rsidR="00AA575E" w:rsidRPr="00F97467">
        <w:t xml:space="preserve">bait, </w:t>
      </w:r>
      <w:r w:rsidR="005777AC" w:rsidRPr="00F97467">
        <w:t xml:space="preserve">placed </w:t>
      </w:r>
      <w:r w:rsidR="00AA575E" w:rsidRPr="00F97467">
        <w:t>in</w:t>
      </w:r>
      <w:r w:rsidR="004D4BD0" w:rsidRPr="00F97467">
        <w:t xml:space="preserve"> bait station</w:t>
      </w:r>
      <w:r w:rsidR="00AA575E" w:rsidRPr="00F97467">
        <w:t>s</w:t>
      </w:r>
      <w:r w:rsidR="004D4BD0" w:rsidRPr="00F97467">
        <w:t xml:space="preserve"> </w:t>
      </w:r>
      <w:r w:rsidR="00AA575E" w:rsidRPr="00F97467">
        <w:t>(hung at least 4 feet high)</w:t>
      </w:r>
      <w:r w:rsidR="005777AC" w:rsidRPr="00F97467">
        <w:t xml:space="preserve">, or mixed with water </w:t>
      </w:r>
      <w:r w:rsidR="004D4BD0" w:rsidRPr="00F97467">
        <w:t>to form a paste which can be brushed onto walls, window sills, and support beams</w:t>
      </w:r>
      <w:r w:rsidR="005777AC" w:rsidRPr="00F97467">
        <w:t xml:space="preserve"> of </w:t>
      </w:r>
      <w:r w:rsidR="003770AE" w:rsidRPr="00F97467">
        <w:t xml:space="preserve">outdoor </w:t>
      </w:r>
      <w:r w:rsidR="005777AC" w:rsidRPr="00F97467">
        <w:t>livestock houses</w:t>
      </w:r>
      <w:r w:rsidR="004D4BD0" w:rsidRPr="00F97467">
        <w:t>.</w:t>
      </w:r>
      <w:r w:rsidR="004D4BD0" w:rsidRPr="001561C2">
        <w:t xml:space="preserve"> </w:t>
      </w:r>
      <w:r w:rsidR="00F93B88" w:rsidRPr="001561C2">
        <w:t xml:space="preserve"> </w:t>
      </w:r>
      <w:bookmarkStart w:id="11" w:name="h.gjdgxs" w:colFirst="0" w:colLast="0"/>
      <w:bookmarkEnd w:id="11"/>
    </w:p>
    <w:p w14:paraId="227A6A7A" w14:textId="45F5B4E4" w:rsidR="00602F72" w:rsidRPr="00094438" w:rsidRDefault="00F93B88" w:rsidP="00435E19">
      <w:pPr>
        <w:pStyle w:val="Heading2"/>
      </w:pPr>
      <w:bookmarkStart w:id="12" w:name="_Toc31220271"/>
      <w:bookmarkStart w:id="13" w:name="_Toc66953605"/>
      <w:r w:rsidRPr="00094438">
        <w:t xml:space="preserve">Usage </w:t>
      </w:r>
      <w:r w:rsidR="00CB5805" w:rsidRPr="00094438">
        <w:t>D</w:t>
      </w:r>
      <w:r w:rsidRPr="00094438">
        <w:t>ata</w:t>
      </w:r>
      <w:bookmarkEnd w:id="12"/>
      <w:bookmarkEnd w:id="13"/>
      <w:r w:rsidRPr="00094438">
        <w:t xml:space="preserve"> </w:t>
      </w:r>
    </w:p>
    <w:p w14:paraId="4D539F83" w14:textId="77777777" w:rsidR="00602F72" w:rsidRPr="001561C2" w:rsidRDefault="00602F72" w:rsidP="0081188A">
      <w:pPr>
        <w:spacing w:after="0" w:line="240" w:lineRule="auto"/>
      </w:pPr>
    </w:p>
    <w:p w14:paraId="1FE63484" w14:textId="3942F596" w:rsidR="001E038C" w:rsidRDefault="001E038C" w:rsidP="001E038C">
      <w:pPr>
        <w:spacing w:after="0" w:line="240" w:lineRule="auto"/>
      </w:pPr>
      <w:r w:rsidRPr="00BC4E22">
        <w:t xml:space="preserve">Based on usage data </w:t>
      </w:r>
      <w:r w:rsidR="006978E9">
        <w:t>compiled</w:t>
      </w:r>
      <w:r w:rsidRPr="00BC4E22">
        <w:t xml:space="preserve"> by EPA’s Office of Pesticide Program’s Biological and Economic Analysis Division (BEAD), approximately 56</w:t>
      </w:r>
      <w:r w:rsidR="00CD60E9">
        <w:t xml:space="preserve">5,000 </w:t>
      </w:r>
      <w:r w:rsidRPr="00BC4E22">
        <w:t xml:space="preserve">pounds of methomyl are </w:t>
      </w:r>
      <w:r w:rsidR="00CD60E9">
        <w:t xml:space="preserve">applied on average </w:t>
      </w:r>
      <w:r w:rsidRPr="00BC4E22">
        <w:t xml:space="preserve">for agricultural purposes in the United States (based on </w:t>
      </w:r>
      <w:r w:rsidR="00CD60E9">
        <w:t xml:space="preserve">data </w:t>
      </w:r>
      <w:r w:rsidRPr="00BC4E22">
        <w:t xml:space="preserve"> from 2013 to 2017) (see </w:t>
      </w:r>
      <w:r w:rsidRPr="00BC4E22">
        <w:rPr>
          <w:b/>
        </w:rPr>
        <w:t>APPENDIX 1-4</w:t>
      </w:r>
      <w:r w:rsidRPr="00BC4E22">
        <w:t xml:space="preserve"> for details).  Approximately 30% and 24% of the total lbs of methomyl used in the United States each year for agriculture is applied to sweet corn (</w:t>
      </w:r>
      <w:r w:rsidR="00CD60E9">
        <w:t>200,000</w:t>
      </w:r>
      <w:r w:rsidRPr="00BC4E22">
        <w:t xml:space="preserve"> lbs) and onions (</w:t>
      </w:r>
      <w:r w:rsidR="00CD60E9">
        <w:t>100,000</w:t>
      </w:r>
      <w:r w:rsidRPr="00BC4E22">
        <w:t xml:space="preserve"> lbs), respectively.  A maximum of 59% of sweet corn, 29% of potatoes, and 25% of lettuce are treated with methomyl in the US.  Other crops with relatively high usage of methomyl (at least 20,000 lb/year) include blueberries </w:t>
      </w:r>
      <w:r w:rsidR="00CD60E9">
        <w:t>lettuce, tomatoes</w:t>
      </w:r>
      <w:r w:rsidR="00C51427">
        <w:t>,</w:t>
      </w:r>
      <w:r w:rsidR="00CD60E9">
        <w:t xml:space="preserve"> </w:t>
      </w:r>
      <w:r w:rsidRPr="00BC4E22">
        <w:t xml:space="preserve">and </w:t>
      </w:r>
      <w:r w:rsidR="00CD60E9">
        <w:t>potatoes</w:t>
      </w:r>
      <w:r w:rsidRPr="00BC4E22">
        <w:t xml:space="preserve">. </w:t>
      </w:r>
      <w:r w:rsidR="008F51BD">
        <w:t>F</w:t>
      </w:r>
      <w:r w:rsidR="008F51BD" w:rsidRPr="008F51BD">
        <w:t>or the period 2013 to 2017, pounds of methomyl applied has decreased by 26% while total acres treated has decreased by 33%. Overall, there has been a decreasing trend in agricultural usage of methomyl since 2009</w:t>
      </w:r>
      <w:r w:rsidR="008F51BD">
        <w:t xml:space="preserve"> (</w:t>
      </w:r>
      <w:r w:rsidR="008F51BD">
        <w:rPr>
          <w:b/>
          <w:bCs/>
        </w:rPr>
        <w:t>APPENDIX 1-4)</w:t>
      </w:r>
      <w:r w:rsidR="008F51BD">
        <w:t>.</w:t>
      </w:r>
    </w:p>
    <w:p w14:paraId="3FF3A0A0" w14:textId="77777777" w:rsidR="00D41D96" w:rsidRPr="00BC4E22" w:rsidRDefault="00D41D96" w:rsidP="001E038C">
      <w:pPr>
        <w:spacing w:after="0" w:line="240" w:lineRule="auto"/>
      </w:pPr>
    </w:p>
    <w:p w14:paraId="42814644" w14:textId="77777777" w:rsidR="00D41D96" w:rsidRDefault="00D41D96" w:rsidP="002C29BA">
      <w:pPr>
        <w:spacing w:after="0" w:line="240" w:lineRule="auto"/>
        <w:rPr>
          <w:highlight w:val="yellow"/>
        </w:rPr>
        <w:sectPr w:rsidR="00D41D96" w:rsidSect="00435E19">
          <w:pgSz w:w="12240" w:h="15840"/>
          <w:pgMar w:top="1440" w:right="1440" w:bottom="1440" w:left="1440" w:header="720" w:footer="720" w:gutter="0"/>
          <w:cols w:space="720"/>
          <w:docGrid w:linePitch="360"/>
        </w:sectPr>
      </w:pPr>
    </w:p>
    <w:p w14:paraId="29B800F1" w14:textId="0407FF90" w:rsidR="00602F72" w:rsidRPr="00094438" w:rsidRDefault="00CB5805" w:rsidP="00435E19">
      <w:pPr>
        <w:pStyle w:val="Heading1"/>
      </w:pPr>
      <w:bookmarkStart w:id="14" w:name="_Toc31220273"/>
      <w:bookmarkStart w:id="15" w:name="_Toc66953606"/>
      <w:r w:rsidRPr="00094438">
        <w:lastRenderedPageBreak/>
        <w:t>O</w:t>
      </w:r>
      <w:r w:rsidR="00F93B88" w:rsidRPr="00094438">
        <w:t>verview</w:t>
      </w:r>
      <w:bookmarkEnd w:id="14"/>
      <w:r w:rsidR="00F93B88" w:rsidRPr="00094438">
        <w:t xml:space="preserve"> </w:t>
      </w:r>
      <w:r w:rsidR="00D16B5A" w:rsidRPr="00094438">
        <w:t>of Environmental Fate</w:t>
      </w:r>
      <w:bookmarkEnd w:id="15"/>
    </w:p>
    <w:p w14:paraId="1308E21D" w14:textId="77777777" w:rsidR="00602F72" w:rsidRPr="00BB3BB8" w:rsidRDefault="00602F72">
      <w:pPr>
        <w:widowControl w:val="0"/>
        <w:spacing w:after="0" w:line="240" w:lineRule="auto"/>
      </w:pPr>
    </w:p>
    <w:p w14:paraId="3E6F66B1" w14:textId="6A470690" w:rsidR="007932B8" w:rsidRDefault="007932B8">
      <w:pPr>
        <w:spacing w:after="0" w:line="240" w:lineRule="auto"/>
        <w:rPr>
          <w:rFonts w:asciiTheme="minorHAnsi" w:hAnsiTheme="minorHAnsi"/>
        </w:rPr>
      </w:pPr>
      <w:r>
        <w:t>Based on the available information for methomyl, the major transport routes for methomyl include runoff and spray drift</w:t>
      </w:r>
      <w:r w:rsidRPr="00BB13F9">
        <w:rPr>
          <w:rFonts w:asciiTheme="minorHAnsi" w:hAnsiTheme="minorHAnsi"/>
        </w:rPr>
        <w:t>.</w:t>
      </w:r>
      <w:r w:rsidRPr="00FA4CF9">
        <w:t xml:space="preserve"> Information on leaching and adsorption/desorption indicate that methomyl is considered mobile according to Food and Agricultural Organization (FAO) mobility classification system</w:t>
      </w:r>
      <w:r w:rsidR="00561401">
        <w:rPr>
          <w:rStyle w:val="FootnoteReference"/>
        </w:rPr>
        <w:footnoteReference w:id="4"/>
      </w:r>
      <w:r w:rsidRPr="00FA4CF9">
        <w:t xml:space="preserve">.  Based on physical chemical properties as well as empirical data, volatilization from soil and water surfaces is not expected to occur and </w:t>
      </w:r>
      <w:r w:rsidRPr="00BB13F9">
        <w:rPr>
          <w:rFonts w:asciiTheme="minorHAnsi" w:hAnsiTheme="minorHAnsi"/>
        </w:rPr>
        <w:t>most likely not a concern</w:t>
      </w:r>
      <w:r>
        <w:rPr>
          <w:rFonts w:asciiTheme="minorHAnsi" w:hAnsiTheme="minorHAnsi"/>
        </w:rPr>
        <w:t xml:space="preserve"> for </w:t>
      </w:r>
      <w:r w:rsidRPr="004D0D36">
        <w:rPr>
          <w:rFonts w:asciiTheme="minorHAnsi" w:hAnsiTheme="minorHAnsi"/>
        </w:rPr>
        <w:t>long-ra</w:t>
      </w:r>
      <w:r>
        <w:rPr>
          <w:rFonts w:asciiTheme="minorHAnsi" w:hAnsiTheme="minorHAnsi"/>
        </w:rPr>
        <w:t>n</w:t>
      </w:r>
      <w:r w:rsidRPr="004D0D36">
        <w:rPr>
          <w:rFonts w:asciiTheme="minorHAnsi" w:hAnsiTheme="minorHAnsi"/>
        </w:rPr>
        <w:t>ge transport.</w:t>
      </w:r>
      <w:r>
        <w:rPr>
          <w:rFonts w:asciiTheme="minorHAnsi" w:hAnsiTheme="minorHAnsi"/>
        </w:rPr>
        <w:t xml:space="preserve"> L</w:t>
      </w:r>
      <w:r w:rsidRPr="0004406B">
        <w:rPr>
          <w:rFonts w:asciiTheme="minorHAnsi" w:hAnsiTheme="minorHAnsi"/>
        </w:rPr>
        <w:t xml:space="preserve">ow octanol/water partition coefficient </w:t>
      </w:r>
      <w:r>
        <w:rPr>
          <w:rFonts w:asciiTheme="minorHAnsi" w:hAnsiTheme="minorHAnsi"/>
        </w:rPr>
        <w:t>(</w:t>
      </w:r>
      <w:r w:rsidR="00A9663B">
        <w:rPr>
          <w:rFonts w:asciiTheme="minorHAnsi" w:hAnsiTheme="minorHAnsi"/>
        </w:rPr>
        <w:t xml:space="preserve">log </w:t>
      </w:r>
      <w:r>
        <w:rPr>
          <w:rFonts w:asciiTheme="minorHAnsi" w:hAnsiTheme="minorHAnsi"/>
        </w:rPr>
        <w:t>K</w:t>
      </w:r>
      <w:r w:rsidRPr="00FA4CF9">
        <w:rPr>
          <w:rFonts w:asciiTheme="minorHAnsi" w:hAnsiTheme="minorHAnsi"/>
          <w:vertAlign w:val="subscript"/>
        </w:rPr>
        <w:t>ow</w:t>
      </w:r>
      <w:r>
        <w:rPr>
          <w:rFonts w:asciiTheme="minorHAnsi" w:hAnsiTheme="minorHAnsi"/>
        </w:rPr>
        <w:t xml:space="preserve"> </w:t>
      </w:r>
      <w:r w:rsidR="00A9663B">
        <w:rPr>
          <w:rFonts w:asciiTheme="minorHAnsi" w:hAnsiTheme="minorHAnsi"/>
        </w:rPr>
        <w:t>0.12</w:t>
      </w:r>
      <w:r>
        <w:rPr>
          <w:rFonts w:asciiTheme="minorHAnsi" w:hAnsiTheme="minorHAnsi"/>
        </w:rPr>
        <w:t xml:space="preserve">) </w:t>
      </w:r>
      <w:r w:rsidRPr="0004406B">
        <w:rPr>
          <w:rFonts w:asciiTheme="minorHAnsi" w:hAnsiTheme="minorHAnsi"/>
        </w:rPr>
        <w:t>suggests that the chemical will have a low tendency to accumulate in aquatic and terrestrial organisms.</w:t>
      </w:r>
    </w:p>
    <w:p w14:paraId="7B3B57C3" w14:textId="77777777" w:rsidR="001561C2" w:rsidRDefault="001561C2">
      <w:pPr>
        <w:spacing w:after="0" w:line="240" w:lineRule="auto"/>
      </w:pPr>
    </w:p>
    <w:p w14:paraId="49CC3797" w14:textId="58B58446" w:rsidR="008828DA" w:rsidRDefault="00F93B88">
      <w:pPr>
        <w:spacing w:after="0" w:line="240" w:lineRule="auto"/>
      </w:pPr>
      <w:r w:rsidRPr="00FA4CF9">
        <w:t>The major route of degradation</w:t>
      </w:r>
      <w:r w:rsidR="00DC562F">
        <w:t xml:space="preserve"> of methomyl</w:t>
      </w:r>
      <w:r w:rsidRPr="00FA4CF9">
        <w:t xml:space="preserve"> appears to be aerobic and anaerobic biodegradation.  </w:t>
      </w:r>
      <w:r w:rsidR="00A2249F">
        <w:t>P</w:t>
      </w:r>
      <w:r w:rsidRPr="00FA4CF9">
        <w:t>hotodegradation, and volatilization do not seem to play a significant role in the degradation</w:t>
      </w:r>
      <w:r w:rsidR="00FA4CF9">
        <w:t xml:space="preserve"> and dissipation </w:t>
      </w:r>
      <w:r w:rsidRPr="00FA4CF9">
        <w:t>process</w:t>
      </w:r>
      <w:r w:rsidR="00FA4CF9">
        <w:t>es</w:t>
      </w:r>
      <w:r w:rsidRPr="00FA4CF9">
        <w:t xml:space="preserve">. </w:t>
      </w:r>
      <w:r w:rsidR="00A2249F" w:rsidRPr="00A2249F">
        <w:t>It is stable to hydrolysis at lower pHs (neutral to acidic), but it degrades slowly in alkaline conditions. Hydrolysis half-lives indicate that methomyl is classified as persistent in aquatic and terrestrial environments where microbial activity is not present; however, microbial activity is expected in most natural environments</w:t>
      </w:r>
      <w:r w:rsidR="00A2249F">
        <w:t>.</w:t>
      </w:r>
    </w:p>
    <w:p w14:paraId="7B5AF0D9" w14:textId="77777777" w:rsidR="008828DA" w:rsidRDefault="008828DA">
      <w:pPr>
        <w:spacing w:after="0" w:line="240" w:lineRule="auto"/>
      </w:pPr>
    </w:p>
    <w:p w14:paraId="0BED7C5E" w14:textId="3A7D7E16" w:rsidR="00605CD3" w:rsidRDefault="001E6497">
      <w:pPr>
        <w:spacing w:after="0" w:line="240" w:lineRule="auto"/>
        <w:rPr>
          <w:rFonts w:asciiTheme="minorHAnsi" w:hAnsiTheme="minorHAnsi"/>
        </w:rPr>
      </w:pPr>
      <w:r w:rsidRPr="00BB13F9">
        <w:rPr>
          <w:rFonts w:asciiTheme="minorHAnsi" w:hAnsiTheme="minorHAnsi"/>
        </w:rPr>
        <w:t xml:space="preserve">Based on methomyl’s aerobic soil metabolism and aerobic and anaerobic aquatic metabolism data, methomyl is not considered persistent in the environment, with half-lives on the order of days to weeks (representative half-life values range from </w:t>
      </w:r>
      <w:r w:rsidR="00233B9A">
        <w:rPr>
          <w:rFonts w:asciiTheme="minorHAnsi" w:hAnsiTheme="minorHAnsi"/>
        </w:rPr>
        <w:t>2.5</w:t>
      </w:r>
      <w:r w:rsidRPr="00BB13F9">
        <w:rPr>
          <w:rFonts w:asciiTheme="minorHAnsi" w:hAnsiTheme="minorHAnsi"/>
        </w:rPr>
        <w:t xml:space="preserve"> to </w:t>
      </w:r>
      <w:r w:rsidR="00233B9A">
        <w:rPr>
          <w:rFonts w:asciiTheme="minorHAnsi" w:hAnsiTheme="minorHAnsi"/>
        </w:rPr>
        <w:t>52</w:t>
      </w:r>
      <w:r w:rsidRPr="00BB13F9">
        <w:rPr>
          <w:rFonts w:asciiTheme="minorHAnsi" w:hAnsiTheme="minorHAnsi"/>
        </w:rPr>
        <w:t xml:space="preserve"> days). Under anaerobic conditions methomyl degradation is likely to be faster than under aerobic conditions, particularly in the presence of reduced iron</w:t>
      </w:r>
      <w:r w:rsidR="007932B8">
        <w:rPr>
          <w:rFonts w:asciiTheme="minorHAnsi" w:hAnsiTheme="minorHAnsi"/>
        </w:rPr>
        <w:t xml:space="preserve">. </w:t>
      </w:r>
      <w:r w:rsidR="00F93B88" w:rsidRPr="00FA4CF9">
        <w:t xml:space="preserve">Available field data indicate that </w:t>
      </w:r>
      <w:r w:rsidRPr="00FA4CF9">
        <w:t xml:space="preserve">methomyl </w:t>
      </w:r>
      <w:r w:rsidR="00F93B88" w:rsidRPr="00FA4CF9">
        <w:t>dissipation half-li</w:t>
      </w:r>
      <w:r w:rsidRPr="00FA4CF9">
        <w:t xml:space="preserve">ves </w:t>
      </w:r>
      <w:r w:rsidRPr="00BB13F9">
        <w:rPr>
          <w:rFonts w:asciiTheme="minorHAnsi" w:hAnsiTheme="minorHAnsi"/>
        </w:rPr>
        <w:t>ranged from 4</w:t>
      </w:r>
      <w:r w:rsidR="005777AC">
        <w:rPr>
          <w:rFonts w:asciiTheme="minorHAnsi" w:hAnsiTheme="minorHAnsi"/>
        </w:rPr>
        <w:t xml:space="preserve"> to </w:t>
      </w:r>
      <w:r w:rsidRPr="00BB13F9">
        <w:rPr>
          <w:rFonts w:asciiTheme="minorHAnsi" w:hAnsiTheme="minorHAnsi"/>
        </w:rPr>
        <w:t>6 days in Mississippi to 54 days in California</w:t>
      </w:r>
      <w:r w:rsidR="00F93B88" w:rsidRPr="00FA4CF9">
        <w:t xml:space="preserve">, with little or no leaching observed. </w:t>
      </w:r>
      <w:r w:rsidR="007932B8">
        <w:rPr>
          <w:rFonts w:asciiTheme="minorHAnsi" w:hAnsiTheme="minorHAnsi"/>
        </w:rPr>
        <w:t xml:space="preserve">Additional details on the fate of methomyl are provided in </w:t>
      </w:r>
      <w:r w:rsidR="007932B8" w:rsidRPr="001561C2">
        <w:rPr>
          <w:rFonts w:asciiTheme="minorHAnsi" w:hAnsiTheme="minorHAnsi"/>
          <w:b/>
        </w:rPr>
        <w:t>Chapter 3</w:t>
      </w:r>
      <w:r w:rsidR="007932B8">
        <w:rPr>
          <w:rFonts w:asciiTheme="minorHAnsi" w:hAnsiTheme="minorHAnsi"/>
        </w:rPr>
        <w:t xml:space="preserve"> of the BE.</w:t>
      </w:r>
    </w:p>
    <w:p w14:paraId="3C8DA3C5" w14:textId="77777777" w:rsidR="00261596" w:rsidRPr="001561C2" w:rsidRDefault="00261596">
      <w:pPr>
        <w:spacing w:after="0" w:line="240" w:lineRule="auto"/>
      </w:pPr>
    </w:p>
    <w:p w14:paraId="18022572" w14:textId="45075A31" w:rsidR="00602F72" w:rsidRPr="00094438" w:rsidRDefault="00F8443F" w:rsidP="00435E19">
      <w:pPr>
        <w:pStyle w:val="Heading1"/>
      </w:pPr>
      <w:bookmarkStart w:id="16" w:name="_Toc31220274"/>
      <w:bookmarkStart w:id="17" w:name="_Toc66953607"/>
      <w:r w:rsidRPr="00094438">
        <w:t>Residue</w:t>
      </w:r>
      <w:r w:rsidR="00F93B88" w:rsidRPr="00094438">
        <w:t xml:space="preserve"> of </w:t>
      </w:r>
      <w:r w:rsidR="00CB5805" w:rsidRPr="00094438">
        <w:t>C</w:t>
      </w:r>
      <w:r w:rsidR="00F93B88" w:rsidRPr="00094438">
        <w:t>oncern</w:t>
      </w:r>
      <w:bookmarkEnd w:id="16"/>
      <w:bookmarkEnd w:id="17"/>
      <w:r w:rsidR="00F93B88" w:rsidRPr="00094438">
        <w:t xml:space="preserve"> </w:t>
      </w:r>
    </w:p>
    <w:p w14:paraId="256336F8" w14:textId="77777777" w:rsidR="00602F72" w:rsidRPr="00BB3BB8" w:rsidRDefault="00602F72" w:rsidP="009B4E8D">
      <w:pPr>
        <w:spacing w:after="0" w:line="240" w:lineRule="auto"/>
      </w:pPr>
    </w:p>
    <w:p w14:paraId="52F53D88" w14:textId="78E50BE6" w:rsidR="00261596" w:rsidRDefault="00977C96" w:rsidP="002C29BA">
      <w:pPr>
        <w:spacing w:after="0" w:line="240" w:lineRule="auto"/>
      </w:pPr>
      <w:r>
        <w:t>Four</w:t>
      </w:r>
      <w:r w:rsidR="009E6414" w:rsidRPr="00BB13F9">
        <w:t xml:space="preserve"> major degradates (</w:t>
      </w:r>
      <w:r w:rsidR="009E6414" w:rsidRPr="00BB13F9">
        <w:rPr>
          <w:i/>
        </w:rPr>
        <w:t>i.e.</w:t>
      </w:r>
      <w:r w:rsidR="009E6414" w:rsidRPr="00BB13F9">
        <w:t>, methomyl oxime, acetonitrile</w:t>
      </w:r>
      <w:r>
        <w:t>, a</w:t>
      </w:r>
      <w:r w:rsidR="009E6414" w:rsidRPr="00BB13F9">
        <w:t>cetamide</w:t>
      </w:r>
      <w:r>
        <w:t xml:space="preserve"> and </w:t>
      </w:r>
      <w:r w:rsidRPr="00D27855">
        <w:rPr>
          <w:rFonts w:asciiTheme="minorHAnsi" w:hAnsiTheme="minorHAnsi"/>
        </w:rPr>
        <w:t>CO</w:t>
      </w:r>
      <w:r w:rsidRPr="00D27855">
        <w:rPr>
          <w:rFonts w:asciiTheme="minorHAnsi" w:hAnsiTheme="minorHAnsi"/>
          <w:vertAlign w:val="subscript"/>
        </w:rPr>
        <w:t>2</w:t>
      </w:r>
      <w:r w:rsidR="009E6414" w:rsidRPr="00BB13F9">
        <w:t>) were detected in various environmental fate studies. These degra</w:t>
      </w:r>
      <w:r w:rsidR="00BB13F9">
        <w:t>da</w:t>
      </w:r>
      <w:r w:rsidR="009E6414" w:rsidRPr="00BB13F9">
        <w:t xml:space="preserve">tes are not considered to be </w:t>
      </w:r>
      <w:r w:rsidR="000B329D">
        <w:t xml:space="preserve">of </w:t>
      </w:r>
      <w:r w:rsidR="009E6414" w:rsidRPr="00BB13F9">
        <w:t xml:space="preserve">toxicological concern because they do not contain a </w:t>
      </w:r>
      <w:r w:rsidR="00C109D2" w:rsidRPr="00A920A4">
        <w:t xml:space="preserve">N-methylcarbamate </w:t>
      </w:r>
      <w:r w:rsidR="009E6414" w:rsidRPr="00BB13F9">
        <w:t xml:space="preserve">functional group. Therefore, methomyl alone is the residue </w:t>
      </w:r>
      <w:r w:rsidR="000B329D">
        <w:t xml:space="preserve">of </w:t>
      </w:r>
      <w:r w:rsidR="009E6414" w:rsidRPr="00BB13F9">
        <w:t>concern for the ecological risk assessment</w:t>
      </w:r>
      <w:r w:rsidR="005777AC">
        <w:t xml:space="preserve"> (see </w:t>
      </w:r>
      <w:r w:rsidR="00DF17D1">
        <w:rPr>
          <w:b/>
        </w:rPr>
        <w:t>C</w:t>
      </w:r>
      <w:r w:rsidR="00F50803">
        <w:rPr>
          <w:b/>
        </w:rPr>
        <w:t>hapter</w:t>
      </w:r>
      <w:r w:rsidR="00DF17D1">
        <w:rPr>
          <w:b/>
        </w:rPr>
        <w:t xml:space="preserve"> 3</w:t>
      </w:r>
      <w:r w:rsidR="005777AC">
        <w:t>)</w:t>
      </w:r>
      <w:r w:rsidR="009E6414" w:rsidRPr="00BB13F9">
        <w:t xml:space="preserve">. </w:t>
      </w:r>
    </w:p>
    <w:p w14:paraId="513D8339" w14:textId="3FE0158C" w:rsidR="00435E19" w:rsidRDefault="00435E19" w:rsidP="002C29BA">
      <w:pPr>
        <w:spacing w:after="0" w:line="240" w:lineRule="auto"/>
      </w:pPr>
    </w:p>
    <w:p w14:paraId="3C4CF1DB" w14:textId="77777777" w:rsidR="00435E19" w:rsidRPr="00094438" w:rsidRDefault="00435E19" w:rsidP="00435E19">
      <w:pPr>
        <w:pStyle w:val="Heading1"/>
      </w:pPr>
      <w:bookmarkStart w:id="18" w:name="_Toc66953608"/>
      <w:r w:rsidRPr="00094438">
        <w:t>Analysis Plan</w:t>
      </w:r>
      <w:bookmarkEnd w:id="18"/>
    </w:p>
    <w:p w14:paraId="67F13B4A" w14:textId="77777777" w:rsidR="000E728D" w:rsidRDefault="000E728D" w:rsidP="00435E19">
      <w:pPr>
        <w:spacing w:after="0" w:line="240" w:lineRule="auto"/>
        <w:rPr>
          <w:rStyle w:val="eop"/>
          <w:rFonts w:asciiTheme="minorHAnsi" w:hAnsiTheme="minorHAnsi" w:cstheme="minorHAnsi"/>
        </w:rPr>
      </w:pPr>
    </w:p>
    <w:p w14:paraId="701A58BF" w14:textId="653F02DD" w:rsidR="00E46BC5" w:rsidRDefault="00E46BC5" w:rsidP="00E46BC5">
      <w:pPr>
        <w:spacing w:after="0" w:line="240" w:lineRule="auto"/>
        <w:rPr>
          <w:rStyle w:val="eop"/>
          <w:rFonts w:asciiTheme="minorHAnsi" w:hAnsiTheme="minorHAnsi" w:cstheme="minorHAnsi"/>
        </w:rPr>
      </w:pPr>
      <w:bookmarkStart w:id="19" w:name="_Hlk66257364"/>
      <w:r w:rsidRPr="00965EA8">
        <w:rPr>
          <w:rStyle w:val="eop"/>
          <w:rFonts w:asciiTheme="minorHAnsi" w:hAnsiTheme="minorHAnsi" w:cstheme="minorHAnsi"/>
        </w:rPr>
        <w:t>For the draft BE, effects determinations were made for l</w:t>
      </w:r>
      <w:r w:rsidRPr="001D36F6">
        <w:rPr>
          <w:rStyle w:val="eop"/>
          <w:rFonts w:asciiTheme="minorHAnsi" w:hAnsiTheme="minorHAnsi" w:cstheme="minorHAnsi"/>
        </w:rPr>
        <w:t>isted species and designated critical habitats that were listed as of Jan</w:t>
      </w:r>
      <w:r>
        <w:rPr>
          <w:rStyle w:val="eop"/>
          <w:rFonts w:asciiTheme="minorHAnsi" w:hAnsiTheme="minorHAnsi" w:cstheme="minorHAnsi"/>
        </w:rPr>
        <w:t>uary</w:t>
      </w:r>
      <w:r w:rsidRPr="001D36F6">
        <w:rPr>
          <w:rStyle w:val="eop"/>
          <w:rFonts w:asciiTheme="minorHAnsi" w:hAnsiTheme="minorHAnsi" w:cstheme="minorHAnsi"/>
        </w:rPr>
        <w:t xml:space="preserve"> 30, 2019</w:t>
      </w:r>
      <w:r>
        <w:rPr>
          <w:rStyle w:val="eop"/>
          <w:rFonts w:asciiTheme="minorHAnsi" w:hAnsiTheme="minorHAnsi" w:cstheme="minorHAnsi"/>
        </w:rPr>
        <w:t xml:space="preserve">, but excluded </w:t>
      </w:r>
      <w:r w:rsidRPr="001D36F6">
        <w:rPr>
          <w:rStyle w:val="eop"/>
          <w:rFonts w:asciiTheme="minorHAnsi" w:hAnsiTheme="minorHAnsi" w:cstheme="minorHAnsi"/>
        </w:rPr>
        <w:t>50 species and 16 critical habitats and 12 newly listed species (since January 30, 2019)</w:t>
      </w:r>
      <w:r>
        <w:rPr>
          <w:rStyle w:val="eop"/>
          <w:rFonts w:asciiTheme="minorHAnsi" w:hAnsiTheme="minorHAnsi" w:cstheme="minorHAnsi"/>
        </w:rPr>
        <w:t>.  For the final BEs, the list was updated to include these excluded species, and</w:t>
      </w:r>
      <w:r w:rsidR="004D126B">
        <w:rPr>
          <w:rStyle w:val="eop"/>
          <w:rFonts w:asciiTheme="minorHAnsi" w:hAnsiTheme="minorHAnsi" w:cstheme="minorHAnsi"/>
        </w:rPr>
        <w:t xml:space="preserve"> compared</w:t>
      </w:r>
      <w:r>
        <w:rPr>
          <w:rStyle w:val="eop"/>
          <w:rFonts w:asciiTheme="minorHAnsi" w:hAnsiTheme="minorHAnsi" w:cstheme="minorHAnsi"/>
        </w:rPr>
        <w:t xml:space="preserve"> against the species list as of November 17</w:t>
      </w:r>
      <w:r w:rsidRPr="001D36F6">
        <w:rPr>
          <w:rStyle w:val="eop"/>
          <w:rFonts w:asciiTheme="minorHAnsi" w:hAnsiTheme="minorHAnsi" w:cstheme="minorHAnsi"/>
        </w:rPr>
        <w:t>, 2020</w:t>
      </w:r>
      <w:r>
        <w:rPr>
          <w:rStyle w:val="eop"/>
          <w:rFonts w:asciiTheme="minorHAnsi" w:hAnsiTheme="minorHAnsi" w:cstheme="minorHAnsi"/>
        </w:rPr>
        <w:t xml:space="preserve"> specifically for removal of any species that had been delisted. New species were not included from the 2020 list as there was insufficient time to include those species in the analysis. One species population for the fisher, entity ID </w:t>
      </w:r>
      <w:r w:rsidRPr="0078239A">
        <w:rPr>
          <w:rStyle w:val="eop"/>
          <w:rFonts w:asciiTheme="minorHAnsi" w:hAnsiTheme="minorHAnsi" w:cstheme="minorHAnsi"/>
        </w:rPr>
        <w:t>4648 h</w:t>
      </w:r>
      <w:r>
        <w:rPr>
          <w:rStyle w:val="eop"/>
          <w:rFonts w:asciiTheme="minorHAnsi" w:hAnsiTheme="minorHAnsi" w:cstheme="minorHAnsi"/>
        </w:rPr>
        <w:t xml:space="preserve">ad been delisted under this entity ID in the November 2020 list, but a new species population was still included in the new list under two new entity IDs, that still partially share the area of the range of the former entity ID. For this reason, the fisher, under the entity ID 4648, was retained in the analysis. </w:t>
      </w:r>
      <w:r w:rsidRPr="001D36F6">
        <w:rPr>
          <w:rStyle w:val="eop"/>
          <w:rFonts w:asciiTheme="minorHAnsi" w:hAnsiTheme="minorHAnsi" w:cstheme="minorHAnsi"/>
        </w:rPr>
        <w:t xml:space="preserve"> </w:t>
      </w:r>
      <w:r w:rsidRPr="001561C2">
        <w:rPr>
          <w:rStyle w:val="eop"/>
          <w:rFonts w:asciiTheme="minorHAnsi" w:hAnsiTheme="minorHAnsi" w:cstheme="minorHAnsi"/>
        </w:rPr>
        <w:t xml:space="preserve"> </w:t>
      </w:r>
      <w:r>
        <w:rPr>
          <w:rStyle w:val="eop"/>
          <w:rFonts w:asciiTheme="minorHAnsi" w:hAnsiTheme="minorHAnsi" w:cstheme="minorHAnsi"/>
        </w:rPr>
        <w:lastRenderedPageBreak/>
        <w:t xml:space="preserve">Effects determinations were made for 1805 listed species and 791 designated critical habitats (see </w:t>
      </w:r>
      <w:r w:rsidRPr="00E520CC">
        <w:rPr>
          <w:rStyle w:val="eop"/>
          <w:rFonts w:asciiTheme="minorHAnsi" w:hAnsiTheme="minorHAnsi" w:cstheme="minorHAnsi"/>
          <w:b/>
        </w:rPr>
        <w:t>A</w:t>
      </w:r>
      <w:r>
        <w:rPr>
          <w:rStyle w:val="eop"/>
          <w:rFonts w:asciiTheme="minorHAnsi" w:hAnsiTheme="minorHAnsi" w:cstheme="minorHAnsi"/>
          <w:b/>
        </w:rPr>
        <w:t>PPENDIX</w:t>
      </w:r>
      <w:r w:rsidRPr="00E520CC">
        <w:rPr>
          <w:rStyle w:val="eop"/>
          <w:rFonts w:asciiTheme="minorHAnsi" w:hAnsiTheme="minorHAnsi" w:cstheme="minorHAnsi"/>
          <w:b/>
        </w:rPr>
        <w:t xml:space="preserve"> 4-1</w:t>
      </w:r>
      <w:r>
        <w:rPr>
          <w:rStyle w:val="eop"/>
          <w:rFonts w:asciiTheme="minorHAnsi" w:hAnsiTheme="minorHAnsi" w:cstheme="minorHAnsi"/>
        </w:rPr>
        <w:t xml:space="preserve"> for complete species lists)</w:t>
      </w:r>
      <w:r w:rsidRPr="001561C2">
        <w:rPr>
          <w:rStyle w:val="eop"/>
          <w:rFonts w:asciiTheme="minorHAnsi" w:hAnsiTheme="minorHAnsi" w:cstheme="minorHAnsi"/>
        </w:rPr>
        <w:t>.</w:t>
      </w:r>
    </w:p>
    <w:bookmarkEnd w:id="19"/>
    <w:p w14:paraId="12E4D70A" w14:textId="77777777" w:rsidR="00E46BC5" w:rsidRPr="001561C2" w:rsidRDefault="00E46BC5" w:rsidP="00F7230D">
      <w:pPr>
        <w:spacing w:after="0" w:line="240" w:lineRule="auto"/>
        <w:rPr>
          <w:rStyle w:val="eop"/>
          <w:rFonts w:asciiTheme="minorHAnsi" w:hAnsiTheme="minorHAnsi" w:cstheme="minorHAnsi"/>
        </w:rPr>
      </w:pPr>
    </w:p>
    <w:p w14:paraId="4744EC2A" w14:textId="6F30B0D2" w:rsidR="00F7230D" w:rsidRDefault="00F7230D" w:rsidP="00F7230D">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5E353E">
        <w:rPr>
          <w:rFonts w:eastAsiaTheme="minorEastAsia"/>
        </w:rPr>
        <w:t xml:space="preserve">methomyl </w:t>
      </w:r>
      <w:r w:rsidRPr="001561C2">
        <w:rPr>
          <w:rFonts w:eastAsiaTheme="minorEastAsia"/>
        </w:rPr>
        <w:t xml:space="preserve">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5E353E">
        <w:rPr>
          <w:rFonts w:eastAsiaTheme="minorEastAsia"/>
        </w:rPr>
        <w:t>methomyl</w:t>
      </w:r>
      <w:r w:rsidRPr="001561C2">
        <w:rPr>
          <w:rFonts w:eastAsiaTheme="minorEastAsia"/>
        </w:rPr>
        <w:t xml:space="preserve"> is Not Likely to Adversely Affect (NLAA) or Likely to Adversely Affect (LAA) each individual species or critical habitat. </w:t>
      </w:r>
    </w:p>
    <w:p w14:paraId="3A24DB1A" w14:textId="77777777" w:rsidR="00F7230D" w:rsidRDefault="00F7230D" w:rsidP="00F7230D">
      <w:pPr>
        <w:spacing w:after="0" w:line="240" w:lineRule="auto"/>
        <w:rPr>
          <w:rFonts w:eastAsiaTheme="minorEastAsia"/>
        </w:rPr>
      </w:pPr>
    </w:p>
    <w:p w14:paraId="32F6581A" w14:textId="6018296B" w:rsidR="00F7230D" w:rsidRDefault="00F7230D" w:rsidP="00F7230D">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5E353E">
        <w:rPr>
          <w:rFonts w:eastAsiaTheme="minorEastAsia"/>
        </w:rPr>
        <w:t>methomyl</w:t>
      </w:r>
      <w:r>
        <w:rPr>
          <w:rFonts w:eastAsiaTheme="minorEastAsia"/>
        </w:rPr>
        <w:t xml:space="preserve"> specific information that is used in the Revised Method to complete this BE. </w:t>
      </w:r>
    </w:p>
    <w:p w14:paraId="2F9EA740" w14:textId="77777777" w:rsidR="00F7230D" w:rsidRDefault="00F7230D" w:rsidP="00F7230D">
      <w:pPr>
        <w:spacing w:after="0" w:line="240" w:lineRule="auto"/>
        <w:rPr>
          <w:rFonts w:eastAsiaTheme="minorEastAsia"/>
        </w:rPr>
      </w:pPr>
    </w:p>
    <w:p w14:paraId="748318DD" w14:textId="58339DE7" w:rsidR="00F7230D" w:rsidRDefault="00F7230D" w:rsidP="00F7230D">
      <w:pPr>
        <w:spacing w:after="0" w:line="240" w:lineRule="auto"/>
      </w:pPr>
      <w:r>
        <w:t>Step 1 begins with an analysis of the potential overlap of the action area and individual species ranges or critical habitat. For species or critical habitats with no overlap (</w:t>
      </w:r>
      <w:r w:rsidRPr="41D9C46C">
        <w:rPr>
          <w:i/>
          <w:iCs/>
        </w:rPr>
        <w:t>i.e.,</w:t>
      </w:r>
      <w:r>
        <w:t xml:space="preserve"> species found outside of the action area), NE determinations are made. The currently registered uses (summarized in </w:t>
      </w:r>
      <w:r w:rsidRPr="41D9C46C">
        <w:rPr>
          <w:b/>
          <w:bCs/>
        </w:rPr>
        <w:t xml:space="preserve">Section 4, APPENDIX 1-2 </w:t>
      </w:r>
      <w:r w:rsidRPr="00F539F8">
        <w:t>and</w:t>
      </w:r>
      <w:r w:rsidRPr="41D9C46C">
        <w:rPr>
          <w:b/>
          <w:bCs/>
        </w:rPr>
        <w:t xml:space="preserve"> APPENDIX 1-3</w:t>
      </w:r>
      <w:r>
        <w:t xml:space="preserve">) include agricultural and non-agricultural uses. The </w:t>
      </w:r>
      <w:r w:rsidR="005E353E">
        <w:t>methomyl</w:t>
      </w:r>
      <w:r>
        <w:t xml:space="preserve"> overlap analysis is conducted using ArcGIS version 10.</w:t>
      </w:r>
      <w:r w:rsidR="008F51BD">
        <w:t>8</w:t>
      </w:r>
      <w:r w:rsidR="00A50409">
        <w:t>.</w:t>
      </w:r>
      <w:r w:rsidR="00D22928" w:rsidRPr="00D22928">
        <w:t xml:space="preserve"> </w:t>
      </w:r>
      <w:r w:rsidR="00D22928" w:rsidRPr="00DD0C13">
        <w:t xml:space="preserve">The action area is derived using potential use sites and the off-site transport zone. </w:t>
      </w:r>
      <w:r>
        <w:t xml:space="preserve"> All labeled uses for </w:t>
      </w:r>
      <w:r w:rsidR="008857E6">
        <w:t>methomyl</w:t>
      </w:r>
      <w:r>
        <w:t xml:space="preserve"> are represented by one or more of the agricultural or non-agricultural Use Data Layers (UDL) created from a variety of landcover, land use and supplemental data sources (see </w:t>
      </w:r>
      <w:r w:rsidRPr="41D9C46C">
        <w:rPr>
          <w:b/>
          <w:bCs/>
        </w:rPr>
        <w:t xml:space="preserve">APPENDIX 1-6 </w:t>
      </w:r>
      <w:r w:rsidRPr="00F539F8">
        <w:t>for details</w:t>
      </w:r>
      <w:r w:rsidRPr="41D9C46C">
        <w:rPr>
          <w:b/>
          <w:bCs/>
        </w:rPr>
        <w:t>)</w:t>
      </w:r>
      <w:r>
        <w:t xml:space="preserve">. Agricultural and non-agricultural use sites are combined to derive the action area (along with the associated off-site transport zone). Due to the overlapping extents of the individual UDLs, the action area only includes direct overlap. For this reason, the spatial extent of drift from use sites was considered by creating a separate drift layer represented by the minimum distance from a use site across all UDLs for a location. </w:t>
      </w:r>
    </w:p>
    <w:p w14:paraId="36FEB328" w14:textId="77777777" w:rsidR="004909A3" w:rsidRPr="00DD0C13" w:rsidRDefault="004909A3" w:rsidP="00F7230D">
      <w:pPr>
        <w:spacing w:after="0" w:line="240" w:lineRule="auto"/>
      </w:pPr>
    </w:p>
    <w:p w14:paraId="645DD596" w14:textId="718DCAE3" w:rsidR="00F7230D" w:rsidRPr="00DD0C13" w:rsidRDefault="00F7230D" w:rsidP="00F7230D">
      <w:pPr>
        <w:spacing w:after="0" w:line="240" w:lineRule="auto"/>
      </w:pPr>
      <w:r w:rsidRPr="00DD0C13">
        <w:t xml:space="preserve">A number of spatial data sources were used to generate Use Data Layers (UDLs), which map the potential use sites for </w:t>
      </w:r>
      <w:r w:rsidR="008857E6">
        <w:t>methomyl</w:t>
      </w:r>
      <w:r w:rsidRPr="00DD0C13">
        <w:t>. In the contiguous United States (ConUS), agricultural use pattern 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5"/>
      </w:r>
      <w:r w:rsidRPr="00DD0C13">
        <w:t xml:space="preserve">.  This analysis utilizes data from 2013-2017. </w:t>
      </w:r>
      <w:r w:rsidRPr="41D9C46C">
        <w:rPr>
          <w:b/>
          <w:bCs/>
        </w:rPr>
        <w:t xml:space="preserve">APPENDIX 1-5 </w:t>
      </w:r>
      <w:r w:rsidRPr="00DD0C13">
        <w:t xml:space="preserve">includes a crosswalk between </w:t>
      </w:r>
      <w:r>
        <w:t xml:space="preserve">crops found in the CDL and the resulting UDL while </w:t>
      </w:r>
      <w:r w:rsidRPr="41D9C46C">
        <w:rPr>
          <w:b/>
          <w:bCs/>
        </w:rPr>
        <w:t>APPENDIX 1-6</w:t>
      </w:r>
      <w:r w:rsidRPr="00DD0C13">
        <w:t xml:space="preserve"> includes a crosswalk between </w:t>
      </w:r>
      <w:r w:rsidR="008857E6">
        <w:t>methomyl</w:t>
      </w:r>
      <w:r w:rsidRPr="00DD0C13">
        <w:t>’s registered agricultural crops and th</w:t>
      </w:r>
      <w:r>
        <w:t>ose</w:t>
      </w:r>
      <w:r w:rsidRPr="00DD0C13">
        <w:t xml:space="preserve"> </w:t>
      </w:r>
      <w:r>
        <w:t>U</w:t>
      </w:r>
      <w:r w:rsidRPr="00DD0C13">
        <w:t>DL</w:t>
      </w:r>
      <w:r>
        <w:t>s</w:t>
      </w:r>
      <w:r w:rsidRPr="00DD0C13">
        <w:t xml:space="preserve">. </w:t>
      </w:r>
      <w:r w:rsidRPr="41D9C46C">
        <w:rPr>
          <w:b/>
          <w:bCs/>
        </w:rPr>
        <w:t>APPENDIX 1-</w:t>
      </w:r>
      <w:r w:rsidR="008F51BD">
        <w:rPr>
          <w:b/>
          <w:bCs/>
        </w:rPr>
        <w:t>5</w:t>
      </w:r>
      <w:r w:rsidRPr="00DD0C13">
        <w:t xml:space="preserve"> also defines how individual CDL layers are grouped into UDL categories</w:t>
      </w:r>
      <w:r w:rsidRPr="00DD0C13">
        <w:rPr>
          <w:rStyle w:val="FootnoteReference"/>
        </w:rPr>
        <w:footnoteReference w:id="6"/>
      </w:r>
      <w:r w:rsidRPr="00DD0C13">
        <w:t xml:space="preserve"> </w:t>
      </w:r>
      <w:bookmarkStart w:id="20" w:name="_Hlk32246071"/>
      <w:r w:rsidRPr="00DD0C13">
        <w:t xml:space="preserve">and temporally combined </w:t>
      </w:r>
      <w:bookmarkEnd w:id="20"/>
      <w:r w:rsidRPr="00DD0C13">
        <w:t xml:space="preserve">to </w:t>
      </w:r>
      <w:r w:rsidR="008F51BD">
        <w:t>reach the accuracy criteria set by EPA of 85%</w:t>
      </w:r>
      <w:r w:rsidRPr="00DD0C13">
        <w:t xml:space="preserve">. USDA’s 2012 Census of Agriculture (CoA) is also used to improve accuracy </w:t>
      </w:r>
      <w:r>
        <w:t>of the individual UDLs</w:t>
      </w:r>
      <w:r w:rsidRPr="00DD0C13">
        <w:t xml:space="preserve"> by expanding the agricultural UDLs to meet or exceed the reported acres in the CoA </w:t>
      </w:r>
      <w:r>
        <w:t xml:space="preserve">as needed </w:t>
      </w:r>
      <w:r w:rsidRPr="00DD0C13">
        <w:t>(</w:t>
      </w:r>
      <w:r w:rsidRPr="41D9C46C">
        <w:rPr>
          <w:b/>
          <w:bCs/>
        </w:rPr>
        <w:t>ATTACHMENT 1-3</w:t>
      </w:r>
      <w:r w:rsidRPr="00DD0C13">
        <w:t xml:space="preserve">). The CDL is only available for ConUS, so other data sources are used to represent agricultural areas in </w:t>
      </w:r>
      <w:r w:rsidRPr="00DD0C13">
        <w:lastRenderedPageBreak/>
        <w:t>states and US territories outside of ConUS (referred to as NL48</w:t>
      </w:r>
      <w:r w:rsidRPr="00DD0C13">
        <w:rPr>
          <w:rStyle w:val="FootnoteReference"/>
        </w:rPr>
        <w:footnoteReference w:id="7"/>
      </w:r>
      <w:r w:rsidRPr="00DD0C13">
        <w:t>). In Alaska and Puerto Rico, the US Geological Survey’s 2011 National Land Cover Dataset (NLCD)</w:t>
      </w:r>
      <w:r w:rsidRPr="00DD0C13">
        <w:rPr>
          <w:rStyle w:val="FootnoteReference"/>
        </w:rPr>
        <w:footnoteReference w:id="8"/>
      </w:r>
      <w:r w:rsidRPr="00DD0C13">
        <w:t xml:space="preserve"> is used. In Hawaii, Guam, American Samoa, Virgin Islands and Northern Mariana Islands, the National Oceanic and Atmospheric Administration’s Costal Change Analysis Program (C-CAP)</w:t>
      </w:r>
      <w:r w:rsidRPr="00DD0C13">
        <w:rPr>
          <w:rStyle w:val="FootnoteReference"/>
        </w:rPr>
        <w:footnoteReference w:id="9"/>
      </w:r>
      <w:r w:rsidRPr="00DD0C13">
        <w:t xml:space="preserve"> data from 2010-2012 are used. For non-agricultural use patterns in ConUS additional UDLs were created to represent </w:t>
      </w:r>
      <w:r w:rsidR="008857E6">
        <w:t>methomyl</w:t>
      </w:r>
      <w:r w:rsidRPr="00DD0C13">
        <w:t>’s registered uses. The data sources used for these UDLs included but are not limited to the NLCD 2011, GAP Protected Areas Database, LandFire and NAVTEQ; for additional detail</w:t>
      </w:r>
      <w:r>
        <w:t>s</w:t>
      </w:r>
      <w:r w:rsidRPr="00DD0C13">
        <w:t xml:space="preserve"> see </w:t>
      </w:r>
      <w:r w:rsidRPr="41D9C46C">
        <w:rPr>
          <w:b/>
          <w:bCs/>
        </w:rPr>
        <w:t xml:space="preserve">APPENDIX 1-6 </w:t>
      </w:r>
      <w:r w:rsidRPr="41D9C46C">
        <w:t>which</w:t>
      </w:r>
      <w:r w:rsidRPr="00DD0C13">
        <w:t xml:space="preserve"> summarizes all spatial data used to generate the agricultural and non-agricultural UDLs used for </w:t>
      </w:r>
      <w:r w:rsidR="00DD2E45">
        <w:t>methomyl</w:t>
      </w:r>
      <w:r w:rsidRPr="00DD0C13">
        <w:t>’s potential use site footprints</w:t>
      </w:r>
      <w:r>
        <w:t xml:space="preserve">. </w:t>
      </w:r>
      <w:r w:rsidRPr="00DD0C13">
        <w:t>Due to the limited availab</w:t>
      </w:r>
      <w:r>
        <w:t xml:space="preserve">ility </w:t>
      </w:r>
      <w:r w:rsidRPr="00DD0C13">
        <w:t>of GIS data in some of the NL48 regions</w:t>
      </w:r>
      <w:r>
        <w:t>,</w:t>
      </w:r>
      <w:r w:rsidRPr="00DD0C13">
        <w:t xml:space="preserve"> the Nurseries UDL could not be created in Commonwealth of the Northern Mariana Island, Guam, and America Samoa and the Forest Trees UDL could not be created in America Samoa. </w:t>
      </w:r>
      <w:r>
        <w:t xml:space="preserve">A separate UDL specific to fallow area was not created in the NL48 regions because it would be identical to the agricultural UDL. </w:t>
      </w:r>
      <w:r w:rsidRPr="41D9C46C">
        <w:rPr>
          <w:b/>
          <w:bCs/>
        </w:rPr>
        <w:t>APPENDIX 1-6</w:t>
      </w:r>
      <w:r w:rsidRPr="00DD0C13">
        <w:t xml:space="preserve"> summarizes all spatial data used to generate the agricultural and non-agricultural UDLs used for </w:t>
      </w:r>
      <w:r w:rsidR="00DD2E45">
        <w:t>methomyl</w:t>
      </w:r>
      <w:r>
        <w:t>’s</w:t>
      </w:r>
      <w:r w:rsidRPr="00DD0C13">
        <w:t xml:space="preserve"> potential use site footprints in the ConUS and NL48.</w:t>
      </w:r>
    </w:p>
    <w:p w14:paraId="7ED7CCB5" w14:textId="77777777" w:rsidR="00F7230D" w:rsidRPr="0011187A" w:rsidRDefault="00F7230D" w:rsidP="00F7230D">
      <w:pPr>
        <w:keepNext/>
        <w:keepLines/>
        <w:spacing w:after="0" w:line="240" w:lineRule="auto"/>
        <w:rPr>
          <w:highlight w:val="yellow"/>
        </w:rPr>
      </w:pPr>
    </w:p>
    <w:p w14:paraId="37D52734" w14:textId="67AD6624" w:rsidR="00F7230D" w:rsidRDefault="00F7230D" w:rsidP="00F7230D">
      <w:pPr>
        <w:spacing w:after="0" w:line="240" w:lineRule="auto"/>
      </w:pPr>
      <w:r w:rsidRPr="0023583F">
        <w:t xml:space="preserve">The Step 2 overlap analysis incorporates </w:t>
      </w:r>
      <w:r w:rsidR="00DD2E45">
        <w:t>methomyl</w:t>
      </w:r>
      <w:r w:rsidRPr="0023583F">
        <w:t xml:space="preserve"> </w:t>
      </w:r>
      <w:r>
        <w:t>usage data, which are provided</w:t>
      </w:r>
      <w:r w:rsidRPr="0023583F">
        <w:t xml:space="preserve"> in the SUUM</w:t>
      </w:r>
      <w:r>
        <w:t xml:space="preserve"> (</w:t>
      </w:r>
      <w:r w:rsidRPr="00131878">
        <w:t>SIAB Use and Usage Matrix</w:t>
      </w:r>
      <w:r>
        <w:t>), combining it with information from the CoA</w:t>
      </w:r>
      <w:r w:rsidRPr="0023583F">
        <w:t xml:space="preserve"> (</w:t>
      </w:r>
      <w:r w:rsidRPr="0023583F">
        <w:rPr>
          <w:b/>
        </w:rPr>
        <w:t>A</w:t>
      </w:r>
      <w:r>
        <w:rPr>
          <w:b/>
        </w:rPr>
        <w:t>PPENDIX</w:t>
      </w:r>
      <w:r w:rsidRPr="0023583F">
        <w:rPr>
          <w:b/>
        </w:rPr>
        <w:t xml:space="preserve"> 1-4</w:t>
      </w:r>
      <w:r>
        <w:rPr>
          <w:b/>
        </w:rPr>
        <w:t>, ATTACHMENT 1-4</w:t>
      </w:r>
      <w:r w:rsidRPr="0023583F">
        <w:t xml:space="preserve">). </w:t>
      </w:r>
      <w:r w:rsidRPr="0023583F">
        <w:rPr>
          <w:b/>
        </w:rPr>
        <w:t>A</w:t>
      </w:r>
      <w:r>
        <w:rPr>
          <w:b/>
        </w:rPr>
        <w:t>PPENDI</w:t>
      </w:r>
      <w:r w:rsidR="008F51BD">
        <w:rPr>
          <w:b/>
        </w:rPr>
        <w:t>CES</w:t>
      </w:r>
      <w:r w:rsidRPr="0023583F">
        <w:rPr>
          <w:b/>
        </w:rPr>
        <w:t xml:space="preserve"> 1-7 </w:t>
      </w:r>
      <w:r w:rsidR="008F51BD">
        <w:rPr>
          <w:b/>
        </w:rPr>
        <w:t xml:space="preserve">and 1-8 </w:t>
      </w:r>
      <w:r w:rsidRPr="0023583F">
        <w:t xml:space="preserve">describe how the usage data for </w:t>
      </w:r>
      <w:r w:rsidR="00DD2E45">
        <w:t>methomyl</w:t>
      </w:r>
      <w:r>
        <w:t>, the CoA, and the potential use sites</w:t>
      </w:r>
      <w:r w:rsidRPr="0023583F">
        <w:t xml:space="preserve"> are combined to estimate the number of treated acres relevant to a given species located in ConUS</w:t>
      </w:r>
      <w:r>
        <w:t xml:space="preserve"> or NL48 (respectively)</w:t>
      </w:r>
      <w:r w:rsidRPr="0023583F">
        <w:t>. These appendices also explain how the off-site transport zone (specifically spray drift) is adjusted based on available usage data.</w:t>
      </w:r>
      <w:r>
        <w:t xml:space="preserve"> </w:t>
      </w:r>
    </w:p>
    <w:p w14:paraId="074DBBA7" w14:textId="77777777" w:rsidR="00F7230D" w:rsidRDefault="00F7230D" w:rsidP="00F7230D">
      <w:pPr>
        <w:spacing w:after="0" w:line="240" w:lineRule="auto"/>
      </w:pPr>
    </w:p>
    <w:p w14:paraId="4C24AD44" w14:textId="01573BD3" w:rsidR="00F7230D" w:rsidRDefault="00F7230D" w:rsidP="00F7230D">
      <w:pPr>
        <w:spacing w:after="0" w:line="240" w:lineRule="auto"/>
        <w:rPr>
          <w:rFonts w:eastAsiaTheme="minorEastAsia"/>
        </w:rPr>
      </w:pPr>
      <w:bookmarkStart w:id="21" w:name="_Hlk52770918"/>
      <w:bookmarkStart w:id="22" w:name="_Hlk52771142"/>
      <w:r w:rsidRPr="00800879">
        <w:rPr>
          <w:rFonts w:eastAsiaTheme="minorEastAsia"/>
        </w:rPr>
        <w:t>The Revised Method document stated “</w:t>
      </w:r>
      <w:r w:rsidRPr="00800879">
        <w:t xml:space="preserve">Over time, EPA expects to update the MAGtool and other models and tools described in this document. When a pesticide BE is conducted, it will incorporate the most current versions of models and tools intended for use in the BEs.” </w:t>
      </w:r>
      <w:r w:rsidRPr="00800879">
        <w:rPr>
          <w:rFonts w:eastAsiaTheme="minorEastAsia"/>
        </w:rPr>
        <w:t xml:space="preserve">This BE is consistent with the Revised Method and includes </w:t>
      </w:r>
      <w:r w:rsidR="00F6486A">
        <w:rPr>
          <w:rFonts w:eastAsiaTheme="minorEastAsia"/>
        </w:rPr>
        <w:t>several</w:t>
      </w:r>
      <w:r w:rsidRPr="00800879">
        <w:rPr>
          <w:rFonts w:eastAsiaTheme="minorEastAsia"/>
        </w:rPr>
        <w:t xml:space="preserve"> method updates that are intended to improve the methods for assessing exposure and effects to plants. </w:t>
      </w:r>
      <w:r w:rsidR="00F6486A">
        <w:rPr>
          <w:rFonts w:eastAsiaTheme="minorEastAsia"/>
        </w:rPr>
        <w:t>These updates include:</w:t>
      </w:r>
      <w:r w:rsidRPr="00800879">
        <w:rPr>
          <w:rFonts w:eastAsiaTheme="minorEastAsia"/>
        </w:rPr>
        <w:t xml:space="preserve"> a refined exposure model for plants inhabiting terrestrial, wetland and aquatic habitats</w:t>
      </w:r>
      <w:r w:rsidR="00F6486A">
        <w:rPr>
          <w:rFonts w:eastAsiaTheme="minorEastAsia"/>
        </w:rPr>
        <w:t>;</w:t>
      </w:r>
      <w:r w:rsidR="00F6486A" w:rsidRPr="00F6486A">
        <w:rPr>
          <w:rFonts w:eastAsiaTheme="minorEastAsia"/>
        </w:rPr>
        <w:t xml:space="preserve"> </w:t>
      </w:r>
      <w:r w:rsidR="00F6486A">
        <w:rPr>
          <w:rFonts w:eastAsiaTheme="minorEastAsia"/>
        </w:rPr>
        <w:t>consideration of new methodology for</w:t>
      </w:r>
      <w:r w:rsidRPr="00800879">
        <w:rPr>
          <w:rFonts w:eastAsiaTheme="minorEastAsia"/>
        </w:rPr>
        <w:t xml:space="preserve"> surrogate endpoints for plants when </w:t>
      </w:r>
      <w:r w:rsidRPr="00800879">
        <w:t>No Observed Adverse Effects Concentrations (</w:t>
      </w:r>
      <w:r w:rsidRPr="00800879">
        <w:rPr>
          <w:rFonts w:eastAsiaTheme="minorEastAsia"/>
        </w:rPr>
        <w:t>NOAEC) values are not available</w:t>
      </w:r>
      <w:r w:rsidR="008F51BD">
        <w:rPr>
          <w:rFonts w:eastAsiaTheme="minorEastAsia"/>
        </w:rPr>
        <w:t xml:space="preserve">, updates to the MAGtool to improve accuracy, efficiency and transparency, revision of the spatial footprint for </w:t>
      </w:r>
      <w:r w:rsidR="008F51BD" w:rsidRPr="00003E8C">
        <w:rPr>
          <w:rFonts w:eastAsiaTheme="minorEastAsia"/>
        </w:rPr>
        <w:t>alfalfa</w:t>
      </w:r>
      <w:r w:rsidR="008F51BD">
        <w:rPr>
          <w:rFonts w:eastAsiaTheme="minorEastAsia"/>
        </w:rPr>
        <w:t xml:space="preserve"> and other agricultural grasses (non-grazing areas)</w:t>
      </w:r>
      <w:r w:rsidR="008F51BD" w:rsidRPr="00003E8C">
        <w:rPr>
          <w:rFonts w:eastAsiaTheme="minorEastAsia"/>
        </w:rPr>
        <w:t>, pasture</w:t>
      </w:r>
      <w:r w:rsidR="008F51BD">
        <w:rPr>
          <w:rFonts w:eastAsiaTheme="minorEastAsia"/>
        </w:rPr>
        <w:t>/</w:t>
      </w:r>
      <w:r w:rsidR="008F51BD" w:rsidRPr="00003E8C">
        <w:rPr>
          <w:rFonts w:eastAsiaTheme="minorEastAsia"/>
        </w:rPr>
        <w:t>rangeland</w:t>
      </w:r>
      <w:r w:rsidR="008F51BD">
        <w:rPr>
          <w:rFonts w:eastAsiaTheme="minorEastAsia"/>
        </w:rPr>
        <w:t xml:space="preserve"> (grazing areas) and revisions to the aquatic modeling for residential uses</w:t>
      </w:r>
      <w:r w:rsidR="008F51BD" w:rsidRPr="00965EA8">
        <w:rPr>
          <w:rFonts w:eastAsiaTheme="minorEastAsia"/>
        </w:rPr>
        <w:t>.</w:t>
      </w:r>
      <w:r w:rsidR="008F51BD" w:rsidRPr="00800879">
        <w:rPr>
          <w:rFonts w:eastAsiaTheme="minorEastAsia"/>
        </w:rPr>
        <w:t xml:space="preserve"> These approaches are discussed below.</w:t>
      </w:r>
      <w:r w:rsidR="008F51BD">
        <w:rPr>
          <w:rFonts w:eastAsiaTheme="minorEastAsia"/>
        </w:rPr>
        <w:t xml:space="preserve"> Changes to the aquatic modeling for residential uses are discussed further in </w:t>
      </w:r>
      <w:r w:rsidR="008F51BD" w:rsidRPr="009155D4">
        <w:rPr>
          <w:rFonts w:eastAsiaTheme="minorEastAsia"/>
          <w:b/>
        </w:rPr>
        <w:t>Chapter 3</w:t>
      </w:r>
      <w:r w:rsidR="008F51BD" w:rsidRPr="00965EA8">
        <w:rPr>
          <w:rFonts w:eastAsiaTheme="minorEastAsia"/>
        </w:rPr>
        <w:t>.</w:t>
      </w:r>
      <w:r w:rsidRPr="00800879">
        <w:rPr>
          <w:rFonts w:eastAsiaTheme="minorEastAsia"/>
        </w:rPr>
        <w:t xml:space="preserve"> </w:t>
      </w:r>
    </w:p>
    <w:p w14:paraId="3617DB00" w14:textId="77777777" w:rsidR="00F7230D" w:rsidRDefault="00F7230D" w:rsidP="00F7230D">
      <w:pPr>
        <w:spacing w:after="0" w:line="240" w:lineRule="auto"/>
        <w:rPr>
          <w:rFonts w:eastAsiaTheme="minorEastAsia"/>
        </w:rPr>
      </w:pPr>
    </w:p>
    <w:p w14:paraId="4C396BE9" w14:textId="77777777" w:rsidR="00F7230D" w:rsidRDefault="00F7230D" w:rsidP="00F7230D">
      <w:pPr>
        <w:spacing w:after="0" w:line="240" w:lineRule="auto"/>
        <w:rPr>
          <w:rStyle w:val="eop"/>
          <w:shd w:val="clear" w:color="auto" w:fill="FFFFFF"/>
        </w:rPr>
      </w:pPr>
      <w:r w:rsidRPr="00800879">
        <w:rPr>
          <w:rStyle w:val="normaltextrun"/>
          <w:shd w:val="clear" w:color="auto" w:fill="FFFFFF"/>
        </w:rPr>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w:t>
      </w:r>
      <w:r w:rsidRPr="000212F1">
        <w:rPr>
          <w:rStyle w:val="normaltextrun"/>
          <w:i/>
          <w:iCs/>
          <w:shd w:val="clear" w:color="auto" w:fill="FFFFFF"/>
        </w:rPr>
        <w:t>e.g.,</w:t>
      </w:r>
      <w:r w:rsidRPr="00800879">
        <w:rPr>
          <w:rStyle w:val="normaltextrun"/>
          <w:shd w:val="clear" w:color="auto" w:fill="FFFFFF"/>
        </w:rPr>
        <w:t xml:space="preserve"> degradation) and transport (</w:t>
      </w:r>
      <w:r w:rsidRPr="004909A3">
        <w:rPr>
          <w:rStyle w:val="normaltextrun"/>
          <w:i/>
          <w:iCs/>
          <w:shd w:val="clear" w:color="auto" w:fill="FFFFFF"/>
        </w:rPr>
        <w:t>e.g.,</w:t>
      </w:r>
      <w:r w:rsidRPr="00800879">
        <w:rPr>
          <w:rStyle w:val="normaltextrun"/>
          <w:shd w:val="clear" w:color="auto" w:fill="FFFFFF"/>
        </w:rPr>
        <w:t xml:space="preserve"> runoff), using data that are typically available for pesticides, to model runoff and </w:t>
      </w:r>
      <w:r w:rsidRPr="00800879">
        <w:rPr>
          <w:rStyle w:val="normaltextrun"/>
          <w:shd w:val="clear" w:color="auto" w:fill="FFFFFF"/>
        </w:rPr>
        <w:lastRenderedPageBreak/>
        <w:t>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4909A3">
        <w:rPr>
          <w:rStyle w:val="normaltextrun"/>
          <w:i/>
          <w:iCs/>
          <w:shd w:val="clear" w:color="auto" w:fill="FFFFFF"/>
        </w:rPr>
        <w:t>i.e.,</w:t>
      </w:r>
      <w:r w:rsidRPr="00800879">
        <w:rPr>
          <w:rStyle w:val="normaltextrun"/>
          <w:shd w:val="clear" w:color="auto" w:fill="FFFFFF"/>
        </w:rPr>
        <w:t xml:space="preserve">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51EDAC79" w14:textId="77777777" w:rsidR="00F7230D" w:rsidRPr="00800879" w:rsidRDefault="00F7230D" w:rsidP="00F7230D">
      <w:pPr>
        <w:spacing w:after="0"/>
        <w:rPr>
          <w:shd w:val="clear" w:color="auto" w:fill="FFFFFF"/>
        </w:rPr>
      </w:pPr>
    </w:p>
    <w:p w14:paraId="25FE8E34" w14:textId="7661A766" w:rsidR="00F7230D" w:rsidRDefault="00F7230D" w:rsidP="00F7230D">
      <w:pPr>
        <w:spacing w:after="0"/>
      </w:pPr>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008D7D50" w:rsidRPr="00C97FD1">
        <w:rPr>
          <w:b/>
          <w:bCs/>
        </w:rPr>
        <w:t>Table 1-1</w:t>
      </w:r>
      <w:r>
        <w:rPr>
          <w:b/>
          <w:bCs/>
        </w:rPr>
        <w:fldChar w:fldCharType="begin"/>
      </w:r>
      <w:r>
        <w:instrText xml:space="preserve"> REF _Ref56678289 \h </w:instrText>
      </w:r>
      <w:r>
        <w:rPr>
          <w:b/>
          <w:bCs/>
        </w:rPr>
      </w:r>
      <w:r>
        <w:rPr>
          <w:b/>
          <w:bCs/>
        </w:rPr>
        <w:fldChar w:fldCharType="end"/>
      </w:r>
      <w:r w:rsidRPr="00800879">
        <w:t xml:space="preserve">; supporting details in </w:t>
      </w:r>
      <w:r w:rsidRPr="00800879">
        <w:rPr>
          <w:b/>
          <w:bCs/>
        </w:rPr>
        <w:t>ATTACHMENT 1-5</w:t>
      </w:r>
      <w:r w:rsidRPr="00800879">
        <w:t>). This analysis does not consider the biological significance of the percent effect but rather identifies an ICx value at which we have confidence the measured effect is discernible.</w:t>
      </w:r>
      <w:r w:rsidRPr="001366C0">
        <w:rPr>
          <w:b/>
          <w:bCs/>
        </w:rPr>
        <w:t xml:space="preserve"> </w:t>
      </w:r>
      <w:r w:rsidR="008D7D50" w:rsidRPr="008D7D50">
        <w:t>Table 1-1</w:t>
      </w:r>
      <w:r>
        <w:rPr>
          <w:b/>
          <w:bCs/>
        </w:rPr>
        <w:t xml:space="preserve"> </w:t>
      </w:r>
      <w:r>
        <w:t>p</w:t>
      </w:r>
      <w:r w:rsidRPr="00800879">
        <w:t xml:space="preserve">resents the ICx values that </w:t>
      </w:r>
      <w:r w:rsidR="006977CF">
        <w:t>can</w:t>
      </w:r>
      <w:r w:rsidR="006977CF" w:rsidRPr="00800879">
        <w:t xml:space="preserve"> </w:t>
      </w:r>
      <w:r w:rsidRPr="00800879">
        <w:t>be used as the Step 1 and 2 thresholds when a reliable NOAEC value is not available.</w:t>
      </w:r>
      <w:bookmarkEnd w:id="21"/>
      <w:r w:rsidR="006977CF" w:rsidRPr="006977CF">
        <w:t xml:space="preserve"> </w:t>
      </w:r>
      <w:r w:rsidR="007A2905" w:rsidRPr="00686ED7">
        <w:rPr>
          <w:color w:val="auto"/>
        </w:rPr>
        <w:t xml:space="preserve">However, this method was not necessary to use </w:t>
      </w:r>
      <w:r w:rsidR="006973A4" w:rsidRPr="00686ED7">
        <w:rPr>
          <w:color w:val="auto"/>
        </w:rPr>
        <w:t xml:space="preserve">for methomyl </w:t>
      </w:r>
      <w:r w:rsidR="00DE428F" w:rsidRPr="00200990">
        <w:t>because a reliable NOAEC was available</w:t>
      </w:r>
      <w:r w:rsidR="001A3725" w:rsidRPr="00200990">
        <w:t>.</w:t>
      </w:r>
      <w:r w:rsidR="006977CF">
        <w:t xml:space="preserve"> </w:t>
      </w:r>
    </w:p>
    <w:p w14:paraId="31A2181D" w14:textId="77777777" w:rsidR="00F7230D" w:rsidRDefault="00F7230D" w:rsidP="00F7230D">
      <w:pPr>
        <w:spacing w:after="0"/>
      </w:pPr>
    </w:p>
    <w:bookmarkEnd w:id="22"/>
    <w:p w14:paraId="3283E55B" w14:textId="793A5D56" w:rsidR="00F7230D" w:rsidRPr="00AB2C6F" w:rsidRDefault="00F7230D" w:rsidP="00F7230D">
      <w:pPr>
        <w:pStyle w:val="Caption"/>
        <w:spacing w:after="0"/>
        <w:rPr>
          <w:b/>
          <w:bCs/>
          <w:i w:val="0"/>
          <w:iCs w:val="0"/>
          <w:color w:val="auto"/>
          <w:sz w:val="22"/>
          <w:szCs w:val="22"/>
        </w:rPr>
      </w:pPr>
      <w:r w:rsidRPr="00200990">
        <w:rPr>
          <w:b/>
          <w:bCs/>
          <w:i w:val="0"/>
          <w:iCs w:val="0"/>
          <w:color w:val="auto"/>
          <w:sz w:val="22"/>
          <w:szCs w:val="22"/>
        </w:rPr>
        <w:t>Table 1</w:t>
      </w:r>
      <w:r w:rsidRPr="004655D8">
        <w:rPr>
          <w:b/>
          <w:bCs/>
          <w:i w:val="0"/>
          <w:iCs w:val="0"/>
          <w:color w:val="auto"/>
          <w:sz w:val="22"/>
          <w:szCs w:val="22"/>
        </w:rPr>
        <w:t>-</w:t>
      </w:r>
      <w:bookmarkStart w:id="23" w:name="_Ref56684006"/>
      <w:r w:rsidRPr="004655D8">
        <w:rPr>
          <w:b/>
          <w:bCs/>
          <w:i w:val="0"/>
          <w:iCs w:val="0"/>
          <w:color w:val="auto"/>
          <w:sz w:val="22"/>
          <w:szCs w:val="22"/>
        </w:rPr>
        <w:fldChar w:fldCharType="begin"/>
      </w:r>
      <w:r w:rsidRPr="004655D8">
        <w:rPr>
          <w:b/>
          <w:bCs/>
          <w:i w:val="0"/>
          <w:iCs w:val="0"/>
          <w:color w:val="auto"/>
          <w:sz w:val="22"/>
          <w:szCs w:val="22"/>
        </w:rPr>
        <w:instrText xml:space="preserve"> SEQ Table_1 \* ARABIC </w:instrText>
      </w:r>
      <w:r w:rsidRPr="004655D8">
        <w:rPr>
          <w:b/>
          <w:bCs/>
          <w:i w:val="0"/>
          <w:iCs w:val="0"/>
          <w:color w:val="auto"/>
          <w:sz w:val="22"/>
          <w:szCs w:val="22"/>
        </w:rPr>
        <w:fldChar w:fldCharType="separate"/>
      </w:r>
      <w:r w:rsidR="008D7D50">
        <w:rPr>
          <w:b/>
          <w:bCs/>
          <w:i w:val="0"/>
          <w:iCs w:val="0"/>
          <w:noProof/>
          <w:color w:val="auto"/>
          <w:sz w:val="22"/>
          <w:szCs w:val="22"/>
        </w:rPr>
        <w:t>1</w:t>
      </w:r>
      <w:r w:rsidRPr="004655D8">
        <w:rPr>
          <w:b/>
          <w:bCs/>
          <w:i w:val="0"/>
          <w:iCs w:val="0"/>
          <w:noProof/>
          <w:color w:val="auto"/>
          <w:sz w:val="22"/>
          <w:szCs w:val="22"/>
        </w:rPr>
        <w:fldChar w:fldCharType="end"/>
      </w:r>
      <w:bookmarkEnd w:id="23"/>
      <w:r w:rsidRPr="004655D8">
        <w:rPr>
          <w:b/>
          <w:bCs/>
          <w:i w:val="0"/>
          <w:iCs w:val="0"/>
          <w:color w:val="auto"/>
          <w:sz w:val="22"/>
          <w:szCs w:val="22"/>
        </w:rPr>
        <w:t>. Alternate Step 1 and 2 thresholds.</w:t>
      </w:r>
      <w:r w:rsidR="00AB2C6F">
        <w:rPr>
          <w:b/>
          <w:bCs/>
          <w:i w:val="0"/>
          <w:iCs w:val="0"/>
          <w:color w:val="auto"/>
          <w:sz w:val="22"/>
          <w:szCs w:val="22"/>
          <w:vertAlign w:val="superscript"/>
        </w:rPr>
        <w:t>1</w:t>
      </w:r>
    </w:p>
    <w:tbl>
      <w:tblPr>
        <w:tblStyle w:val="TableGrid"/>
        <w:tblW w:w="0" w:type="auto"/>
        <w:tblLook w:val="04A0" w:firstRow="1" w:lastRow="0" w:firstColumn="1" w:lastColumn="0" w:noHBand="0" w:noVBand="1"/>
      </w:tblPr>
      <w:tblGrid>
        <w:gridCol w:w="3116"/>
        <w:gridCol w:w="3117"/>
        <w:gridCol w:w="3117"/>
      </w:tblGrid>
      <w:tr w:rsidR="00F7230D" w14:paraId="313AE95A" w14:textId="77777777" w:rsidTr="00EE6EE5">
        <w:tc>
          <w:tcPr>
            <w:tcW w:w="3116" w:type="dxa"/>
            <w:shd w:val="clear" w:color="auto" w:fill="D9D9D9" w:themeFill="background1" w:themeFillShade="D9"/>
          </w:tcPr>
          <w:p w14:paraId="09029F37" w14:textId="77777777" w:rsidR="00F7230D" w:rsidRPr="002B2976" w:rsidRDefault="00F7230D" w:rsidP="00EE6EE5">
            <w:pPr>
              <w:rPr>
                <w:b/>
                <w:bCs/>
              </w:rPr>
            </w:pPr>
            <w:r w:rsidRPr="002B2976">
              <w:rPr>
                <w:b/>
                <w:bCs/>
              </w:rPr>
              <w:t>Test Type</w:t>
            </w:r>
          </w:p>
        </w:tc>
        <w:tc>
          <w:tcPr>
            <w:tcW w:w="3117" w:type="dxa"/>
            <w:shd w:val="clear" w:color="auto" w:fill="D9D9D9" w:themeFill="background1" w:themeFillShade="D9"/>
          </w:tcPr>
          <w:p w14:paraId="44A2BB93" w14:textId="77777777" w:rsidR="00F7230D" w:rsidRPr="002B2976" w:rsidRDefault="00F7230D" w:rsidP="00EE6EE5">
            <w:pPr>
              <w:jc w:val="center"/>
              <w:rPr>
                <w:b/>
                <w:bCs/>
              </w:rPr>
            </w:pPr>
            <w:r w:rsidRPr="002B2976">
              <w:rPr>
                <w:b/>
                <w:bCs/>
              </w:rPr>
              <w:t>Dry Weight</w:t>
            </w:r>
          </w:p>
        </w:tc>
        <w:tc>
          <w:tcPr>
            <w:tcW w:w="3117" w:type="dxa"/>
            <w:shd w:val="clear" w:color="auto" w:fill="D9D9D9" w:themeFill="background1" w:themeFillShade="D9"/>
          </w:tcPr>
          <w:p w14:paraId="3202D1E4" w14:textId="77777777" w:rsidR="00F7230D" w:rsidRPr="002B2976" w:rsidRDefault="00F7230D" w:rsidP="00EE6EE5">
            <w:pPr>
              <w:jc w:val="center"/>
              <w:rPr>
                <w:b/>
                <w:bCs/>
              </w:rPr>
            </w:pPr>
            <w:r w:rsidRPr="002B2976">
              <w:rPr>
                <w:b/>
                <w:bCs/>
              </w:rPr>
              <w:t>Shoot Height</w:t>
            </w:r>
          </w:p>
        </w:tc>
      </w:tr>
      <w:tr w:rsidR="00F7230D" w14:paraId="3BD20658" w14:textId="77777777" w:rsidTr="00EE6EE5">
        <w:tc>
          <w:tcPr>
            <w:tcW w:w="3116" w:type="dxa"/>
          </w:tcPr>
          <w:p w14:paraId="3C16ED26" w14:textId="77777777" w:rsidR="00F7230D" w:rsidRDefault="00F7230D" w:rsidP="00EE6EE5">
            <w:r>
              <w:t>Vegetative Vigor</w:t>
            </w:r>
          </w:p>
        </w:tc>
        <w:tc>
          <w:tcPr>
            <w:tcW w:w="3117" w:type="dxa"/>
          </w:tcPr>
          <w:p w14:paraId="5694A145" w14:textId="77777777" w:rsidR="00F7230D" w:rsidRDefault="00F7230D" w:rsidP="00EE6EE5">
            <w:pPr>
              <w:jc w:val="center"/>
            </w:pPr>
            <w:r>
              <w:t>IC</w:t>
            </w:r>
            <w:r w:rsidRPr="002B2976">
              <w:rPr>
                <w:vertAlign w:val="subscript"/>
              </w:rPr>
              <w:t>15</w:t>
            </w:r>
          </w:p>
        </w:tc>
        <w:tc>
          <w:tcPr>
            <w:tcW w:w="3117" w:type="dxa"/>
          </w:tcPr>
          <w:p w14:paraId="1EFBC56F" w14:textId="77777777" w:rsidR="00F7230D" w:rsidRDefault="00F7230D" w:rsidP="00EE6EE5">
            <w:pPr>
              <w:jc w:val="center"/>
            </w:pPr>
            <w:r>
              <w:t>IC</w:t>
            </w:r>
            <w:r w:rsidRPr="002B2976">
              <w:rPr>
                <w:vertAlign w:val="subscript"/>
              </w:rPr>
              <w:t>10</w:t>
            </w:r>
          </w:p>
        </w:tc>
      </w:tr>
      <w:tr w:rsidR="00F7230D" w14:paraId="49307C69" w14:textId="77777777" w:rsidTr="00EE6EE5">
        <w:tc>
          <w:tcPr>
            <w:tcW w:w="3116" w:type="dxa"/>
          </w:tcPr>
          <w:p w14:paraId="034A41B4" w14:textId="77777777" w:rsidR="00F7230D" w:rsidRDefault="00F7230D" w:rsidP="00EE6EE5">
            <w:r>
              <w:t>Seedling Emergence</w:t>
            </w:r>
          </w:p>
        </w:tc>
        <w:tc>
          <w:tcPr>
            <w:tcW w:w="3117" w:type="dxa"/>
          </w:tcPr>
          <w:p w14:paraId="52C740CD" w14:textId="77777777" w:rsidR="00F7230D" w:rsidRDefault="00F7230D" w:rsidP="00EE6EE5">
            <w:pPr>
              <w:jc w:val="center"/>
            </w:pPr>
            <w:r>
              <w:t>IC</w:t>
            </w:r>
            <w:r w:rsidRPr="002B2976">
              <w:rPr>
                <w:vertAlign w:val="subscript"/>
              </w:rPr>
              <w:t>20</w:t>
            </w:r>
          </w:p>
        </w:tc>
        <w:tc>
          <w:tcPr>
            <w:tcW w:w="3117" w:type="dxa"/>
          </w:tcPr>
          <w:p w14:paraId="410DCAF9" w14:textId="77777777" w:rsidR="00F7230D" w:rsidRDefault="00F7230D" w:rsidP="00EE6EE5">
            <w:pPr>
              <w:jc w:val="center"/>
            </w:pPr>
            <w:r>
              <w:t>IC</w:t>
            </w:r>
            <w:r w:rsidRPr="002B2976">
              <w:rPr>
                <w:vertAlign w:val="subscript"/>
              </w:rPr>
              <w:t>10</w:t>
            </w:r>
          </w:p>
        </w:tc>
      </w:tr>
    </w:tbl>
    <w:p w14:paraId="6421ACB2" w14:textId="449A2252" w:rsidR="00F7230D" w:rsidRDefault="00AB2C6F" w:rsidP="000C0552">
      <w:pPr>
        <w:spacing w:after="0" w:line="240" w:lineRule="auto"/>
        <w:rPr>
          <w:sz w:val="20"/>
          <w:szCs w:val="20"/>
        </w:rPr>
      </w:pPr>
      <w:r>
        <w:rPr>
          <w:vertAlign w:val="superscript"/>
        </w:rPr>
        <w:t>1</w:t>
      </w:r>
      <w:r w:rsidR="00042922" w:rsidRPr="00042922">
        <w:rPr>
          <w:sz w:val="20"/>
          <w:szCs w:val="20"/>
        </w:rPr>
        <w:t xml:space="preserve"> ICx values can be used as the Step 1 and 2 thresholds when a reliable NOAEC value is not available. </w:t>
      </w:r>
      <w:r w:rsidRPr="00AB2C6F">
        <w:rPr>
          <w:sz w:val="20"/>
          <w:szCs w:val="20"/>
        </w:rPr>
        <w:t>However, this method was not necessary to use for methomyl because a reliable NOAEC was available</w:t>
      </w:r>
      <w:r>
        <w:rPr>
          <w:sz w:val="20"/>
          <w:szCs w:val="20"/>
        </w:rPr>
        <w:t>.</w:t>
      </w:r>
    </w:p>
    <w:p w14:paraId="66A875C7" w14:textId="77777777" w:rsidR="00654A4D" w:rsidRDefault="00654A4D" w:rsidP="000C0552">
      <w:pPr>
        <w:spacing w:after="0"/>
      </w:pPr>
    </w:p>
    <w:p w14:paraId="222451DC" w14:textId="0D7BEFBA" w:rsidR="0066780E" w:rsidRPr="004655D8" w:rsidRDefault="0066780E" w:rsidP="000C0552">
      <w:pPr>
        <w:spacing w:after="0"/>
      </w:pPr>
      <w:r w:rsidRPr="004655D8">
        <w:t xml:space="preserve">Based on public comments and continued work to improve the tools, modifications were made to the MAGtool and an updated version was used in the final analysis. Updates to the tool incorporated continued efforts to improve the efficiency, </w:t>
      </w:r>
      <w:r w:rsidR="00563C50" w:rsidRPr="004655D8">
        <w:t>accuracy,</w:t>
      </w:r>
      <w:r w:rsidRPr="004655D8">
        <w:t xml:space="preserve"> and refinement of the tool. These updates are outlined more fully in the MAGtool documentation included on the models website</w:t>
      </w:r>
      <w:r w:rsidR="00BA594C" w:rsidRPr="004655D8">
        <w:rPr>
          <w:vertAlign w:val="superscript"/>
        </w:rPr>
        <w:t>9</w:t>
      </w:r>
      <w:r w:rsidRPr="004655D8">
        <w:t xml:space="preserve"> and included incorporation of a new batch function analysis, improvements to spray drift analysis methods and input options, as well as the ability to make effects determinations either deterministically or probabilistically.  The model allows the user to make deterministic calculations using the upper and lower bounds of the exposure assumptions, or using a probabilistic analysis, to determine impacts to a species based on mortality effects, sublethal effect or effects to prey, pollination, habitat, and dispersal vectors (PPHD). This was done to provide more transparency to the results calculations and to streamline the calculations for shorter run times. For a subset of species, selected based on the potential to refine the effects analysis, probabilistic analysis was used in making effects determinations. For the majority of species, as impacts are predicted even at the minimum or lower bound of exposure assumptions, the probabilistic analysis does not change the effects determination and was not conducted.</w:t>
      </w:r>
    </w:p>
    <w:p w14:paraId="515FBBF7" w14:textId="4FCA26F2" w:rsidR="0066780E" w:rsidRDefault="0066780E" w:rsidP="0066780E">
      <w:pPr>
        <w:spacing w:after="0" w:line="240" w:lineRule="auto"/>
      </w:pPr>
      <w:r w:rsidRPr="004655D8">
        <w:lastRenderedPageBreak/>
        <w:t>In an update to the spatial analysis used for the BE, the final BEs include updates to the pasture and rangeland UDLs and include a new Alfalfa UDL. Cultivated grasses and grass crops, as identified in USDA Cultivated Layers are included in the new Alfalfa UDL. These crops included alfalfa</w:t>
      </w:r>
      <w:r w:rsidR="0076682A" w:rsidRPr="00A61989">
        <w:t>,</w:t>
      </w:r>
      <w:r w:rsidRPr="00A61989">
        <w:t xml:space="preserve"> switchgrass, and vetch. </w:t>
      </w:r>
      <w:r w:rsidR="004D126B" w:rsidRPr="004655D8">
        <w:t xml:space="preserve">This new layer represents alfalfa and other agricultural grasses/non-grazing areas. </w:t>
      </w:r>
      <w:r w:rsidRPr="00A61989">
        <w:t xml:space="preserve">Non-cultivated pasture/grass areas typically used for grazing are included in the new Pasture/Rangeland UDL. This Pasture/Rangeland UDL (referred to in </w:t>
      </w:r>
      <w:r w:rsidR="004D126B" w:rsidRPr="00A61989">
        <w:t xml:space="preserve">previous </w:t>
      </w:r>
      <w:r w:rsidRPr="00A61989">
        <w:t>assessment</w:t>
      </w:r>
      <w:r w:rsidR="004D126B" w:rsidRPr="00A61989">
        <w:t>s</w:t>
      </w:r>
      <w:r w:rsidRPr="00A61989">
        <w:t xml:space="preserve"> just as Rangeland) includes CDL land cover categories, Other Hay/Non-Alfalfa, Pasture/Grass, Pasture/Hay,</w:t>
      </w:r>
      <w:r w:rsidR="004D126B" w:rsidRPr="00A61989">
        <w:t xml:space="preserve"> Pasture from the NLCD,</w:t>
      </w:r>
      <w:r w:rsidRPr="00A61989">
        <w:t xml:space="preserve"> in addition to other grazing/rangeland sources outlined in </w:t>
      </w:r>
      <w:r w:rsidRPr="00A61989">
        <w:rPr>
          <w:b/>
        </w:rPr>
        <w:t>Appendix 1-6</w:t>
      </w:r>
      <w:r w:rsidRPr="00A61989">
        <w:t xml:space="preserve">. The Bermuda grass UDL has been updated to reflect areas where cultivated grasses grow as defined in USDA’s Cropland Data Layer (CDL) and limited to latitudes where warm season grasses occur. Additional information on these updates are available in </w:t>
      </w:r>
      <w:r w:rsidRPr="00A61989">
        <w:rPr>
          <w:b/>
          <w:bCs/>
        </w:rPr>
        <w:t>Appendices 1-5</w:t>
      </w:r>
      <w:r w:rsidRPr="00A61989">
        <w:t xml:space="preserve"> and </w:t>
      </w:r>
      <w:r w:rsidRPr="00A61989">
        <w:rPr>
          <w:b/>
          <w:bCs/>
        </w:rPr>
        <w:t>1-6</w:t>
      </w:r>
      <w:r w:rsidRPr="00A61989">
        <w:t>.</w:t>
      </w:r>
    </w:p>
    <w:p w14:paraId="4DFA9B4A" w14:textId="77777777" w:rsidR="0066780E" w:rsidRDefault="0066780E" w:rsidP="00F7230D"/>
    <w:p w14:paraId="7AEB1FB9" w14:textId="0C8BB7C6" w:rsidR="00F7230D" w:rsidRPr="00FB5489" w:rsidRDefault="00F7230D" w:rsidP="00F7230D">
      <w:r w:rsidRPr="00FB5489">
        <w:rPr>
          <w:b/>
          <w:bCs/>
        </w:rPr>
        <w:t xml:space="preserve">Chapter 2 </w:t>
      </w:r>
      <w:r w:rsidRPr="00FB5489">
        <w:t xml:space="preserve">of this BE includes </w:t>
      </w:r>
      <w:r w:rsidR="00DD2E45">
        <w:t>methomyl</w:t>
      </w:r>
      <w:r w:rsidRPr="00FB5489">
        <w:t xml:space="preserve">’s 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w:t>
      </w:r>
      <w:r w:rsidR="00AE532E">
        <w:t>methomyl</w:t>
      </w:r>
      <w:r w:rsidRPr="00FB5489">
        <w:t xml:space="preserve"> (incident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w:t>
      </w:r>
      <w:r w:rsidR="00AE532E">
        <w:t>methomyl</w:t>
      </w:r>
      <w:r w:rsidRPr="00FB5489">
        <w:t>. For exposure in terrestrial habitats, the MAGtool</w:t>
      </w:r>
      <w:r w:rsidRPr="00D50CA8">
        <w:rPr>
          <w:vertAlign w:val="superscript"/>
        </w:rPr>
        <w:footnoteReference w:id="10"/>
      </w:r>
      <w:r w:rsidRPr="00FB5489">
        <w:t xml:space="preserve"> (version 2.2) is used (additional details in </w:t>
      </w:r>
      <w:r w:rsidRPr="00FB5489">
        <w:rPr>
          <w:b/>
          <w:bCs/>
        </w:rPr>
        <w:t xml:space="preserve">ATTACHMENT 1-1 </w:t>
      </w:r>
      <w:r w:rsidRPr="00FB5489">
        <w:t>and tool documentation). For aquatic habitats, exposure is estimated using the Pesticide in Water Calculator (PWC; version 1.52</w:t>
      </w:r>
      <w:r w:rsidRPr="00FE0BF8">
        <w:rPr>
          <w:vertAlign w:val="superscript"/>
        </w:rPr>
        <w:footnoteReference w:id="11"/>
      </w:r>
      <w:r w:rsidRPr="00FB5489">
        <w:t>) and, where appropriate, the Pesticide in Flooded Applications Model (PFAM, version 2</w:t>
      </w:r>
      <w:r w:rsidRPr="00FE0BF8">
        <w:rPr>
          <w:vertAlign w:val="superscript"/>
        </w:rPr>
        <w:footnoteReference w:id="12"/>
      </w:r>
      <w:r w:rsidRPr="00FB5489">
        <w:t xml:space="preserve">). Aquatic scenarios (referred to as “bins”) used to estimate exposures for each listed species with aquatic habitats are provided in </w:t>
      </w:r>
      <w:r w:rsidRPr="00FB5489">
        <w:rPr>
          <w:b/>
          <w:bCs/>
        </w:rPr>
        <w:t>ATTACHMENT 1-2</w:t>
      </w:r>
      <w:r w:rsidRPr="00FB5489">
        <w:t xml:space="preserve">. For plants, exposure is estimated using PAT. The MAGtool is used to integrate exposure, effects, and listed species life history information in order to make NE, NLAA and LAA determinations. </w:t>
      </w:r>
    </w:p>
    <w:p w14:paraId="78C839D2" w14:textId="5F5CD2AD" w:rsidR="000E728D" w:rsidRDefault="000E728D" w:rsidP="002C29BA">
      <w:pPr>
        <w:spacing w:after="0" w:line="240" w:lineRule="auto"/>
      </w:pPr>
    </w:p>
    <w:p w14:paraId="070B0F58" w14:textId="65A60593" w:rsidR="00561401" w:rsidRPr="00094438" w:rsidRDefault="00561401" w:rsidP="00561401">
      <w:pPr>
        <w:pStyle w:val="Heading1"/>
      </w:pPr>
      <w:bookmarkStart w:id="24" w:name="_Toc66953609"/>
      <w:r w:rsidRPr="00094438">
        <w:t>Literature Cited</w:t>
      </w:r>
      <w:bookmarkEnd w:id="24"/>
    </w:p>
    <w:p w14:paraId="2D30C340" w14:textId="42BF48D7" w:rsidR="00561401" w:rsidRDefault="00561401" w:rsidP="00561401"/>
    <w:p w14:paraId="3F5A2ABC" w14:textId="012644D8" w:rsidR="000E728D" w:rsidRDefault="00561401" w:rsidP="000A771B">
      <w:pPr>
        <w:ind w:left="432" w:hanging="432"/>
      </w:pPr>
      <w:r w:rsidRPr="00B54F13">
        <w:t xml:space="preserve">USEPA. (2010). 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 </w:t>
      </w:r>
      <w:r w:rsidRPr="00B54F13">
        <w:rPr>
          <w:i/>
        </w:rPr>
        <w:t>January 25, 2010</w:t>
      </w:r>
      <w:r w:rsidRPr="00B54F13">
        <w:t xml:space="preserve">, Available at </w:t>
      </w:r>
      <w:hyperlink r:id="rId14" w:history="1">
        <w:r w:rsidRPr="00B54F13">
          <w:rPr>
            <w:rStyle w:val="Hyperlink"/>
          </w:rPr>
          <w:t>https://www.epa.gov/pesticide-science-and-assessing-pesticide-risks/guidance-reporting-environmental-fate-and-transport</w:t>
        </w:r>
      </w:hyperlink>
      <w:r w:rsidRPr="00B54F13">
        <w:t>.</w:t>
      </w:r>
    </w:p>
    <w:p w14:paraId="6F7B2461" w14:textId="6211AB81" w:rsidR="00FC4E76" w:rsidRPr="009E564C" w:rsidRDefault="00FC4E76" w:rsidP="009E564C">
      <w:pPr>
        <w:pStyle w:val="Default"/>
        <w:ind w:left="720" w:hanging="720"/>
        <w:rPr>
          <w:rFonts w:asciiTheme="minorHAnsi" w:hAnsiTheme="minorHAnsi" w:cstheme="minorHAnsi"/>
          <w:sz w:val="22"/>
          <w:szCs w:val="22"/>
        </w:rPr>
      </w:pPr>
      <w:r w:rsidRPr="00FE0BF8">
        <w:rPr>
          <w:rFonts w:asciiTheme="minorHAnsi" w:hAnsiTheme="minorHAnsi" w:cstheme="minorHAnsi"/>
          <w:sz w:val="22"/>
          <w:szCs w:val="22"/>
        </w:rPr>
        <w:t>USEPA. 2020. Addendum for Methomyl on Characterization of the Drinking Water Assessment for Registration Review. U.S. Environmental Protection Agency, Office of Pesticide Programs, Environmental Fate and Effects Division. Arlington, VA. Dated June 12, 2020; DP 453468.</w:t>
      </w:r>
    </w:p>
    <w:sectPr w:rsidR="00FC4E76" w:rsidRPr="009E564C" w:rsidSect="00435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356E" w14:textId="77777777" w:rsidR="00077D10" w:rsidRDefault="00077D10">
      <w:pPr>
        <w:spacing w:after="0" w:line="240" w:lineRule="auto"/>
      </w:pPr>
      <w:r>
        <w:separator/>
      </w:r>
    </w:p>
  </w:endnote>
  <w:endnote w:type="continuationSeparator" w:id="0">
    <w:p w14:paraId="713A7C13" w14:textId="77777777" w:rsidR="00077D10" w:rsidRDefault="00077D10">
      <w:pPr>
        <w:spacing w:after="0" w:line="240" w:lineRule="auto"/>
      </w:pPr>
      <w:r>
        <w:continuationSeparator/>
      </w:r>
    </w:p>
  </w:endnote>
  <w:endnote w:type="continuationNotice" w:id="1">
    <w:p w14:paraId="60D0E1F4" w14:textId="77777777" w:rsidR="00077D10" w:rsidRDefault="00077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3934" w14:textId="3F0BF1E7" w:rsidR="00077D10" w:rsidRDefault="00077D10" w:rsidP="002E2CAE">
    <w:pPr>
      <w:pStyle w:val="Footer"/>
      <w:jc w:val="center"/>
    </w:pPr>
    <w:r>
      <w:t>1-</w:t>
    </w:r>
    <w:sdt>
      <w:sdtPr>
        <w:id w:val="1985577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7C5F7D8A" w14:textId="77777777" w:rsidR="00077D10" w:rsidRDefault="00077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43CC" w14:textId="77777777" w:rsidR="00077D10" w:rsidRDefault="00077D10">
      <w:pPr>
        <w:spacing w:after="0" w:line="240" w:lineRule="auto"/>
      </w:pPr>
      <w:r>
        <w:separator/>
      </w:r>
    </w:p>
  </w:footnote>
  <w:footnote w:type="continuationSeparator" w:id="0">
    <w:p w14:paraId="62483254" w14:textId="77777777" w:rsidR="00077D10" w:rsidRDefault="00077D10">
      <w:pPr>
        <w:spacing w:after="0" w:line="240" w:lineRule="auto"/>
      </w:pPr>
      <w:r>
        <w:continuationSeparator/>
      </w:r>
    </w:p>
  </w:footnote>
  <w:footnote w:type="continuationNotice" w:id="1">
    <w:p w14:paraId="7F74A805" w14:textId="77777777" w:rsidR="00077D10" w:rsidRDefault="00077D10">
      <w:pPr>
        <w:spacing w:after="0" w:line="240" w:lineRule="auto"/>
      </w:pPr>
    </w:p>
  </w:footnote>
  <w:footnote w:id="2">
    <w:p w14:paraId="6FF10952" w14:textId="575FE839" w:rsidR="00077D10" w:rsidRDefault="00077D10" w:rsidP="0031180D">
      <w:pPr>
        <w:pStyle w:val="FootnoteText"/>
      </w:pPr>
      <w:r>
        <w:rPr>
          <w:rStyle w:val="FootnoteReference"/>
        </w:rPr>
        <w:footnoteRef/>
      </w:r>
      <w:r>
        <w:t xml:space="preserve"> Available at: </w:t>
      </w:r>
      <w:hyperlink r:id="rId1" w:history="1">
        <w:r w:rsidRPr="00460542">
          <w:rPr>
            <w:rStyle w:val="Hyperlink"/>
          </w:rPr>
          <w:t>https://www.epa.gov/endangered-species/revised-method-national-level-listed-species-biological-evaluations-conventional</w:t>
        </w:r>
      </w:hyperlink>
      <w:r>
        <w:t>.</w:t>
      </w:r>
    </w:p>
  </w:footnote>
  <w:footnote w:id="3">
    <w:p w14:paraId="241ECC69" w14:textId="756C63C3" w:rsidR="00077D10" w:rsidRPr="00354AFC" w:rsidRDefault="00077D10" w:rsidP="0031180D">
      <w:pPr>
        <w:pStyle w:val="FootnoteText"/>
        <w:rPr>
          <w:rFonts w:asciiTheme="minorHAnsi" w:hAnsiTheme="minorHAnsi" w:cstheme="minorHAnsi"/>
        </w:rPr>
      </w:pPr>
      <w:r w:rsidRPr="00354AFC">
        <w:rPr>
          <w:rStyle w:val="FootnoteReference"/>
          <w:rFonts w:asciiTheme="minorHAnsi" w:hAnsiTheme="minorHAnsi" w:cstheme="minorHAnsi"/>
        </w:rPr>
        <w:footnoteRef/>
      </w:r>
      <w:r w:rsidRPr="00354AFC">
        <w:rPr>
          <w:rFonts w:asciiTheme="minorHAnsi" w:hAnsiTheme="minorHAnsi" w:cstheme="minorHAnsi"/>
        </w:rPr>
        <w:t xml:space="preserve"> Methomyl Registration Review Docket Folder. </w:t>
      </w:r>
      <w:r w:rsidRPr="00354AFC">
        <w:rPr>
          <w:rStyle w:val="breakword"/>
          <w:rFonts w:asciiTheme="minorHAnsi" w:hAnsiTheme="minorHAnsi" w:cstheme="minorHAnsi"/>
          <w:bCs/>
          <w:color w:val="333333"/>
          <w:shd w:val="clear" w:color="auto" w:fill="FFFFFF"/>
        </w:rPr>
        <w:t>Docket ID</w:t>
      </w:r>
      <w:r w:rsidRPr="00354AFC">
        <w:rPr>
          <w:rFonts w:asciiTheme="minorHAnsi" w:hAnsiTheme="minorHAnsi" w:cstheme="minorHAnsi"/>
          <w:bCs/>
          <w:color w:val="333333"/>
          <w:shd w:val="clear" w:color="auto" w:fill="FFFFFF"/>
        </w:rPr>
        <w:t>:</w:t>
      </w:r>
      <w:r w:rsidRPr="00354AFC">
        <w:rPr>
          <w:rFonts w:asciiTheme="minorHAnsi" w:hAnsiTheme="minorHAnsi" w:cstheme="minorHAnsi"/>
          <w:color w:val="333333"/>
          <w:shd w:val="clear" w:color="auto" w:fill="FFFFFF"/>
        </w:rPr>
        <w:t> </w:t>
      </w:r>
      <w:r w:rsidRPr="00354AFC">
        <w:rPr>
          <w:rStyle w:val="breakword"/>
          <w:rFonts w:asciiTheme="minorHAnsi" w:hAnsiTheme="minorHAnsi" w:cstheme="minorHAnsi"/>
          <w:color w:val="333333"/>
          <w:shd w:val="clear" w:color="auto" w:fill="FFFFFF"/>
        </w:rPr>
        <w:t xml:space="preserve">EPA-HQ-OPP-2010-0751. </w:t>
      </w:r>
      <w:r w:rsidRPr="00354AFC">
        <w:rPr>
          <w:rFonts w:asciiTheme="minorHAnsi" w:hAnsiTheme="minorHAnsi" w:cstheme="minorHAnsi"/>
        </w:rPr>
        <w:t xml:space="preserve">Available online at: </w:t>
      </w:r>
      <w:hyperlink r:id="rId2" w:history="1">
        <w:r>
          <w:rPr>
            <w:rStyle w:val="Hyperlink"/>
          </w:rPr>
          <w:t>https://www.regulations.gov/docket?D=EPA-HQ-OPP-2010-0751</w:t>
        </w:r>
      </w:hyperlink>
    </w:p>
  </w:footnote>
  <w:footnote w:id="4">
    <w:p w14:paraId="41D3BFD1" w14:textId="1A8191C8" w:rsidR="00077D10" w:rsidRPr="003E475B" w:rsidRDefault="00077D10">
      <w:pPr>
        <w:pStyle w:val="FootnoteText"/>
        <w:rPr>
          <w:rFonts w:asciiTheme="minorHAnsi" w:hAnsiTheme="minorHAnsi" w:cstheme="minorHAnsi"/>
        </w:rPr>
      </w:pPr>
      <w:r w:rsidRPr="003E475B">
        <w:rPr>
          <w:rStyle w:val="FootnoteReference"/>
          <w:rFonts w:asciiTheme="minorHAnsi" w:hAnsiTheme="minorHAnsi" w:cstheme="minorHAnsi"/>
        </w:rPr>
        <w:footnoteRef/>
      </w:r>
      <w:r w:rsidRPr="003E475B">
        <w:rPr>
          <w:rFonts w:asciiTheme="minorHAnsi" w:hAnsiTheme="minorHAnsi" w:cstheme="minorHAnsi"/>
        </w:rPr>
        <w:t xml:space="preserve"> The FAO mobility classification system is recommended for use in exposure assessments in the Office of Pesticide Programs in “</w:t>
      </w:r>
      <w:r w:rsidRPr="003E475B">
        <w:rPr>
          <w:rFonts w:asciiTheme="minorHAnsi" w:hAnsiTheme="minorHAnsi" w:cstheme="minorHAnsi"/>
          <w:i/>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Pr="003E475B">
        <w:rPr>
          <w:rFonts w:asciiTheme="minorHAnsi" w:hAnsiTheme="minorHAnsi" w:cstheme="minorHAnsi"/>
        </w:rPr>
        <w:t xml:space="preserve">” </w:t>
      </w:r>
      <w:r w:rsidRPr="003E475B">
        <w:rPr>
          <w:rFonts w:asciiTheme="minorHAnsi" w:hAnsiTheme="minorHAnsi" w:cstheme="minorHAnsi"/>
        </w:rPr>
        <w:fldChar w:fldCharType="begin"/>
      </w:r>
      <w:r w:rsidRPr="003E475B">
        <w:rPr>
          <w:rFonts w:asciiTheme="minorHAnsi" w:hAnsiTheme="minorHAnsi" w:cstheme="minorHAnsi"/>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name="Web Page"&gt;12&lt;/ref-type&gt;&lt;contributors&gt;&lt;authors&gt;&lt;author&gt;USEPA,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sidRPr="003E475B">
        <w:rPr>
          <w:rFonts w:asciiTheme="minorHAnsi" w:hAnsiTheme="minorHAnsi" w:cstheme="minorHAnsi"/>
        </w:rPr>
        <w:fldChar w:fldCharType="separate"/>
      </w:r>
      <w:r w:rsidRPr="003E475B">
        <w:rPr>
          <w:rFonts w:asciiTheme="minorHAnsi" w:hAnsiTheme="minorHAnsi" w:cstheme="minorHAnsi"/>
          <w:noProof/>
        </w:rPr>
        <w:t>(USEPA, 2010)</w:t>
      </w:r>
      <w:r w:rsidRPr="003E475B">
        <w:rPr>
          <w:rFonts w:asciiTheme="minorHAnsi" w:hAnsiTheme="minorHAnsi" w:cstheme="minorHAnsi"/>
        </w:rPr>
        <w:fldChar w:fldCharType="end"/>
      </w:r>
      <w:r w:rsidRPr="003E475B">
        <w:rPr>
          <w:rFonts w:asciiTheme="minorHAnsi" w:hAnsiTheme="minorHAnsi" w:cstheme="minorHAnsi"/>
        </w:rPr>
        <w:t>.</w:t>
      </w:r>
    </w:p>
  </w:footnote>
  <w:footnote w:id="5">
    <w:p w14:paraId="292CEE1A" w14:textId="57F993E8" w:rsidR="00077D10" w:rsidRDefault="00077D10" w:rsidP="00F7230D">
      <w:pPr>
        <w:pStyle w:val="FootnoteText"/>
      </w:pPr>
      <w:r w:rsidRPr="00017D8E">
        <w:rPr>
          <w:vertAlign w:val="superscript"/>
        </w:rPr>
        <w:t>[</w:t>
      </w:r>
      <w:r>
        <w:rPr>
          <w:rStyle w:val="FootnoteReference"/>
        </w:rPr>
        <w:footnoteRef/>
      </w:r>
      <w:r w:rsidRPr="00017D8E">
        <w:rPr>
          <w:vertAlign w:val="superscript"/>
        </w:rPr>
        <w:t>]</w:t>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2021</w:t>
      </w:r>
      <w:r w:rsidRPr="00270167">
        <w:t>). USDA-NASS, Washington, DC.</w:t>
      </w:r>
    </w:p>
  </w:footnote>
  <w:footnote w:id="6">
    <w:p w14:paraId="3BB71285" w14:textId="77777777" w:rsidR="00077D10" w:rsidRDefault="00077D10" w:rsidP="00F7230D">
      <w:pPr>
        <w:pStyle w:val="FootnoteText"/>
      </w:pPr>
      <w:r w:rsidRPr="00017D8E">
        <w:rPr>
          <w:vertAlign w:val="superscript"/>
        </w:rPr>
        <w:t>[</w:t>
      </w:r>
      <w:r>
        <w:rPr>
          <w:rStyle w:val="FootnoteReference"/>
        </w:rPr>
        <w:footnoteRef/>
      </w:r>
      <w:r w:rsidRPr="00017D8E">
        <w:rPr>
          <w:vertAlign w:val="superscript"/>
        </w:rPr>
        <w:t>]</w:t>
      </w:r>
      <w:r>
        <w:t xml:space="preserve"> Categories include: corn, cotton, rice, soybeans, wheat, vegetables and ground fruit, other grains, other row crops, other crops, pasture/hay, citrus, vineyards and other orchards.</w:t>
      </w:r>
    </w:p>
  </w:footnote>
  <w:footnote w:id="7">
    <w:p w14:paraId="794E3F32" w14:textId="77777777" w:rsidR="00077D10" w:rsidRPr="00610075" w:rsidRDefault="00077D10" w:rsidP="00F7230D">
      <w:pPr>
        <w:pStyle w:val="FootnoteText"/>
      </w:pPr>
      <w:r w:rsidRPr="00017D8E">
        <w:rPr>
          <w:vertAlign w:val="superscript"/>
        </w:rPr>
        <w:t>[</w:t>
      </w:r>
      <w:r w:rsidRPr="00610075">
        <w:rPr>
          <w:rStyle w:val="FootnoteReference"/>
        </w:rPr>
        <w:footnoteRef/>
      </w:r>
      <w:r w:rsidRPr="00017D8E">
        <w:rPr>
          <w:vertAlign w:val="superscript"/>
        </w:rPr>
        <w:t>]</w:t>
      </w:r>
      <w:r w:rsidRPr="00610075">
        <w:t xml:space="preserve"> where NL is “non-lower” and 48 refers to the number of states in ConUS</w:t>
      </w:r>
    </w:p>
  </w:footnote>
  <w:footnote w:id="8">
    <w:p w14:paraId="49DB5AEC" w14:textId="77777777" w:rsidR="00077D10" w:rsidRPr="00610075" w:rsidRDefault="00077D10" w:rsidP="00F7230D">
      <w:pPr>
        <w:pStyle w:val="FootnoteText"/>
      </w:pPr>
      <w:r w:rsidRPr="00017D8E">
        <w:rPr>
          <w:vertAlign w:val="superscript"/>
        </w:rPr>
        <w:t>[</w:t>
      </w:r>
      <w:r w:rsidRPr="00610075">
        <w:rPr>
          <w:rStyle w:val="FootnoteReference"/>
        </w:rPr>
        <w:footnoteRef/>
      </w:r>
      <w:r w:rsidRPr="00017D8E">
        <w:rPr>
          <w:vertAlign w:val="superscript"/>
        </w:rPr>
        <w:t>]</w:t>
      </w:r>
      <w:r w:rsidRPr="00610075">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9">
    <w:p w14:paraId="7F3BF004" w14:textId="6C2A6D24" w:rsidR="00077D10" w:rsidRPr="00520FAC" w:rsidRDefault="00077D10" w:rsidP="00F7230D">
      <w:pPr>
        <w:spacing w:after="0" w:line="252" w:lineRule="auto"/>
        <w:rPr>
          <w:rFonts w:eastAsia="Times New Roman"/>
          <w:sz w:val="20"/>
          <w:szCs w:val="20"/>
        </w:rPr>
      </w:pPr>
      <w:r w:rsidRPr="00017D8E">
        <w:rPr>
          <w:vertAlign w:val="superscript"/>
        </w:rPr>
        <w:t>[</w:t>
      </w:r>
      <w:r w:rsidRPr="00023DE3">
        <w:rPr>
          <w:rStyle w:val="FootnoteReference"/>
        </w:rPr>
        <w:footnoteRef/>
      </w:r>
      <w:r w:rsidRPr="00017D8E">
        <w:rPr>
          <w:vertAlign w:val="superscript"/>
        </w:rPr>
        <w:t>]</w:t>
      </w:r>
      <w:r w:rsidRPr="00023DE3">
        <w:rPr>
          <w:sz w:val="20"/>
          <w:szCs w:val="20"/>
        </w:rPr>
        <w:t xml:space="preserve"> </w:t>
      </w:r>
      <w:r w:rsidRPr="00520FAC">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4" w:history="1">
        <w:r w:rsidRPr="00520FAC">
          <w:rPr>
            <w:rStyle w:val="Hyperlink"/>
            <w:sz w:val="20"/>
            <w:szCs w:val="20"/>
          </w:rPr>
          <w:t>https://coast.noaa.gov/digitalcoast/data/ccapregional.html</w:t>
        </w:r>
      </w:hyperlink>
      <w:r w:rsidRPr="00520FAC">
        <w:rPr>
          <w:sz w:val="20"/>
          <w:szCs w:val="20"/>
        </w:rPr>
        <w:t xml:space="preserve"> (accessed </w:t>
      </w:r>
      <w:r>
        <w:rPr>
          <w:sz w:val="20"/>
          <w:szCs w:val="20"/>
        </w:rPr>
        <w:t>02</w:t>
      </w:r>
      <w:r w:rsidRPr="00520FAC">
        <w:rPr>
          <w:sz w:val="20"/>
          <w:szCs w:val="20"/>
        </w:rPr>
        <w:t>/202</w:t>
      </w:r>
      <w:r>
        <w:rPr>
          <w:sz w:val="20"/>
          <w:szCs w:val="20"/>
        </w:rPr>
        <w:t>1</w:t>
      </w:r>
      <w:r w:rsidRPr="00520FAC">
        <w:rPr>
          <w:sz w:val="20"/>
          <w:szCs w:val="20"/>
        </w:rPr>
        <w:t>)</w:t>
      </w:r>
      <w:r w:rsidRPr="00520FAC">
        <w:rPr>
          <w:rFonts w:eastAsia="Times New Roman"/>
          <w:sz w:val="20"/>
          <w:szCs w:val="20"/>
        </w:rPr>
        <w:t>.</w:t>
      </w:r>
    </w:p>
    <w:p w14:paraId="3973B2F4" w14:textId="77777777" w:rsidR="00077D10" w:rsidRDefault="00077D10" w:rsidP="00F7230D">
      <w:pPr>
        <w:pStyle w:val="FootnoteText"/>
      </w:pPr>
    </w:p>
  </w:footnote>
  <w:footnote w:id="10">
    <w:p w14:paraId="26A50AE4" w14:textId="7AA71898" w:rsidR="00077D10" w:rsidRPr="000A4575" w:rsidRDefault="00077D10" w:rsidP="00F7230D">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5" w:history="1">
        <w:r w:rsidRPr="00DE3C95">
          <w:rPr>
            <w:rStyle w:val="Hyperlink"/>
          </w:rPr>
          <w:t>https://www.epa.gov/endangered-species/models-and-tools-endangered-species-pesticide-assessments</w:t>
        </w:r>
      </w:hyperlink>
      <w:r w:rsidRPr="00E65520">
        <w:t xml:space="preserve"> (Accessed </w:t>
      </w:r>
      <w:r>
        <w:t>02/2021</w:t>
      </w:r>
      <w:r w:rsidRPr="00DE3C95">
        <w:t>).</w:t>
      </w:r>
    </w:p>
  </w:footnote>
  <w:footnote w:id="11">
    <w:p w14:paraId="249F94E9" w14:textId="4690D410" w:rsidR="00077D10" w:rsidRDefault="00077D10" w:rsidP="00F7230D">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Available online at: </w:t>
      </w:r>
      <w:hyperlink r:id="rId6"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Pr>
          <w:rStyle w:val="Hyperlink"/>
          <w:color w:val="000000" w:themeColor="text1"/>
        </w:rPr>
        <w:t>A</w:t>
      </w:r>
      <w:r w:rsidRPr="00626DEF">
        <w:rPr>
          <w:rStyle w:val="Hyperlink"/>
          <w:color w:val="000000" w:themeColor="text1"/>
        </w:rPr>
        <w:t>ccessed</w:t>
      </w:r>
      <w:r>
        <w:rPr>
          <w:rStyle w:val="Hyperlink"/>
          <w:color w:val="000000" w:themeColor="text1"/>
        </w:rPr>
        <w:t xml:space="preserve"> 02/2021</w:t>
      </w:r>
      <w:r w:rsidRPr="00626DEF">
        <w:rPr>
          <w:rStyle w:val="Hyperlink"/>
          <w:color w:val="000000" w:themeColor="text1"/>
        </w:rPr>
        <w:t>).</w:t>
      </w:r>
    </w:p>
  </w:footnote>
  <w:footnote w:id="12">
    <w:p w14:paraId="19207E72" w14:textId="77777777" w:rsidR="00077D10" w:rsidRDefault="00077D10" w:rsidP="00F7230D">
      <w:pPr>
        <w:pStyle w:val="FootnoteText"/>
      </w:pPr>
      <w:r w:rsidRPr="00017D8E">
        <w:rPr>
          <w:vertAlign w:val="superscript"/>
        </w:rPr>
        <w:t>[</w:t>
      </w:r>
      <w:r>
        <w:rPr>
          <w:rStyle w:val="FootnoteReference"/>
        </w:rPr>
        <w:footnoteRef/>
      </w:r>
      <w:r w:rsidRPr="00017D8E">
        <w:rPr>
          <w:vertAlign w:val="superscript"/>
        </w:rPr>
        <w:t>]</w:t>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929A" w14:textId="73A7CB83" w:rsidR="00077D10" w:rsidRDefault="00077D10">
    <w:pPr>
      <w:tabs>
        <w:tab w:val="center" w:pos="4680"/>
        <w:tab w:val="right" w:pos="9360"/>
      </w:tabs>
      <w:spacing w:after="0" w:line="240" w:lineRule="auto"/>
    </w:pPr>
  </w:p>
  <w:p w14:paraId="5ABD9EE1" w14:textId="77777777" w:rsidR="00077D10" w:rsidRDefault="00077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E4E5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0630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3068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EAF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DC7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CAF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64F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444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86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A0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56F7"/>
    <w:multiLevelType w:val="multilevel"/>
    <w:tmpl w:val="2078E44E"/>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9B2334"/>
    <w:multiLevelType w:val="hybridMultilevel"/>
    <w:tmpl w:val="4F189A82"/>
    <w:lvl w:ilvl="0" w:tplc="F81ABE70">
      <w:start w:val="1"/>
      <w:numFmt w:val="bullet"/>
      <w:lvlText w:val="–"/>
      <w:lvlJc w:val="left"/>
      <w:pPr>
        <w:tabs>
          <w:tab w:val="num" w:pos="360"/>
        </w:tabs>
        <w:ind w:left="360" w:hanging="360"/>
      </w:pPr>
      <w:rPr>
        <w:rFonts w:ascii="Times New Roman" w:hAnsi="Times New Roman" w:hint="default"/>
      </w:rPr>
    </w:lvl>
    <w:lvl w:ilvl="1" w:tplc="7EA04CBA">
      <w:start w:val="1"/>
      <w:numFmt w:val="bullet"/>
      <w:lvlText w:val="–"/>
      <w:lvlJc w:val="left"/>
      <w:pPr>
        <w:tabs>
          <w:tab w:val="num" w:pos="1080"/>
        </w:tabs>
        <w:ind w:left="1080" w:hanging="360"/>
      </w:pPr>
      <w:rPr>
        <w:rFonts w:ascii="Times New Roman" w:hAnsi="Times New Roman" w:hint="default"/>
      </w:rPr>
    </w:lvl>
    <w:lvl w:ilvl="2" w:tplc="131A1B8E" w:tentative="1">
      <w:start w:val="1"/>
      <w:numFmt w:val="bullet"/>
      <w:lvlText w:val="–"/>
      <w:lvlJc w:val="left"/>
      <w:pPr>
        <w:tabs>
          <w:tab w:val="num" w:pos="1800"/>
        </w:tabs>
        <w:ind w:left="1800" w:hanging="360"/>
      </w:pPr>
      <w:rPr>
        <w:rFonts w:ascii="Times New Roman" w:hAnsi="Times New Roman" w:hint="default"/>
      </w:rPr>
    </w:lvl>
    <w:lvl w:ilvl="3" w:tplc="6C58E466" w:tentative="1">
      <w:start w:val="1"/>
      <w:numFmt w:val="bullet"/>
      <w:lvlText w:val="–"/>
      <w:lvlJc w:val="left"/>
      <w:pPr>
        <w:tabs>
          <w:tab w:val="num" w:pos="2520"/>
        </w:tabs>
        <w:ind w:left="2520" w:hanging="360"/>
      </w:pPr>
      <w:rPr>
        <w:rFonts w:ascii="Times New Roman" w:hAnsi="Times New Roman" w:hint="default"/>
      </w:rPr>
    </w:lvl>
    <w:lvl w:ilvl="4" w:tplc="BD9C9772" w:tentative="1">
      <w:start w:val="1"/>
      <w:numFmt w:val="bullet"/>
      <w:lvlText w:val="–"/>
      <w:lvlJc w:val="left"/>
      <w:pPr>
        <w:tabs>
          <w:tab w:val="num" w:pos="3240"/>
        </w:tabs>
        <w:ind w:left="3240" w:hanging="360"/>
      </w:pPr>
      <w:rPr>
        <w:rFonts w:ascii="Times New Roman" w:hAnsi="Times New Roman" w:hint="default"/>
      </w:rPr>
    </w:lvl>
    <w:lvl w:ilvl="5" w:tplc="71985B36" w:tentative="1">
      <w:start w:val="1"/>
      <w:numFmt w:val="bullet"/>
      <w:lvlText w:val="–"/>
      <w:lvlJc w:val="left"/>
      <w:pPr>
        <w:tabs>
          <w:tab w:val="num" w:pos="3960"/>
        </w:tabs>
        <w:ind w:left="3960" w:hanging="360"/>
      </w:pPr>
      <w:rPr>
        <w:rFonts w:ascii="Times New Roman" w:hAnsi="Times New Roman" w:hint="default"/>
      </w:rPr>
    </w:lvl>
    <w:lvl w:ilvl="6" w:tplc="9E2A4246" w:tentative="1">
      <w:start w:val="1"/>
      <w:numFmt w:val="bullet"/>
      <w:lvlText w:val="–"/>
      <w:lvlJc w:val="left"/>
      <w:pPr>
        <w:tabs>
          <w:tab w:val="num" w:pos="4680"/>
        </w:tabs>
        <w:ind w:left="4680" w:hanging="360"/>
      </w:pPr>
      <w:rPr>
        <w:rFonts w:ascii="Times New Roman" w:hAnsi="Times New Roman" w:hint="default"/>
      </w:rPr>
    </w:lvl>
    <w:lvl w:ilvl="7" w:tplc="D62E28AA" w:tentative="1">
      <w:start w:val="1"/>
      <w:numFmt w:val="bullet"/>
      <w:lvlText w:val="–"/>
      <w:lvlJc w:val="left"/>
      <w:pPr>
        <w:tabs>
          <w:tab w:val="num" w:pos="5400"/>
        </w:tabs>
        <w:ind w:left="5400" w:hanging="360"/>
      </w:pPr>
      <w:rPr>
        <w:rFonts w:ascii="Times New Roman" w:hAnsi="Times New Roman" w:hint="default"/>
      </w:rPr>
    </w:lvl>
    <w:lvl w:ilvl="8" w:tplc="782247D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0771347C"/>
    <w:multiLevelType w:val="multilevel"/>
    <w:tmpl w:val="76F40066"/>
    <w:lvl w:ilvl="0">
      <w:start w:val="1"/>
      <w:numFmt w:val="decimal"/>
      <w:lvlText w:val="%1."/>
      <w:lvlJc w:val="left"/>
      <w:pPr>
        <w:ind w:left="408" w:hanging="408"/>
      </w:pPr>
      <w:rPr>
        <w:rFonts w:hint="default"/>
        <w:i w:val="0"/>
        <w:sz w:val="26"/>
      </w:rPr>
    </w:lvl>
    <w:lvl w:ilvl="1">
      <w:start w:val="3"/>
      <w:numFmt w:val="decimal"/>
      <w:lvlText w:val="%1.%2."/>
      <w:lvlJc w:val="left"/>
      <w:pPr>
        <w:ind w:left="720" w:hanging="720"/>
      </w:pPr>
      <w:rPr>
        <w:rFonts w:hint="default"/>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1080" w:hanging="1080"/>
      </w:pPr>
      <w:rPr>
        <w:rFonts w:hint="default"/>
        <w:i w:val="0"/>
        <w:sz w:val="26"/>
      </w:rPr>
    </w:lvl>
    <w:lvl w:ilvl="4">
      <w:start w:val="1"/>
      <w:numFmt w:val="lowerLetter"/>
      <w:lvlText w:val="%1.%2.%3.%4.%5."/>
      <w:lvlJc w:val="left"/>
      <w:pPr>
        <w:ind w:left="1080" w:hanging="1080"/>
      </w:pPr>
      <w:rPr>
        <w:rFonts w:hint="default"/>
        <w:i w:val="0"/>
        <w:sz w:val="26"/>
      </w:rPr>
    </w:lvl>
    <w:lvl w:ilvl="5">
      <w:start w:val="1"/>
      <w:numFmt w:val="decimal"/>
      <w:lvlText w:val="%1.%2.%3.%4.%5.%6."/>
      <w:lvlJc w:val="left"/>
      <w:pPr>
        <w:ind w:left="1440" w:hanging="144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800" w:hanging="180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13" w15:restartNumberingAfterBreak="0">
    <w:nsid w:val="0DC27DAF"/>
    <w:multiLevelType w:val="multilevel"/>
    <w:tmpl w:val="0B145E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601E63"/>
    <w:multiLevelType w:val="multilevel"/>
    <w:tmpl w:val="921807BE"/>
    <w:lvl w:ilvl="0">
      <w:start w:val="1"/>
      <w:numFmt w:val="decimal"/>
      <w:lvlText w:val="%1."/>
      <w:lvlJc w:val="left"/>
      <w:pPr>
        <w:ind w:left="720" w:hanging="360"/>
      </w:pPr>
      <w:rPr>
        <w:rFonts w:hint="default"/>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AA277B1"/>
    <w:multiLevelType w:val="hybridMultilevel"/>
    <w:tmpl w:val="8DAC8344"/>
    <w:lvl w:ilvl="0" w:tplc="E13693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12707E3"/>
    <w:multiLevelType w:val="multilevel"/>
    <w:tmpl w:val="6C461886"/>
    <w:lvl w:ilvl="0">
      <w:start w:val="1"/>
      <w:numFmt w:val="decimal"/>
      <w:lvlText w:val="%1."/>
      <w:lvlJc w:val="left"/>
      <w:pPr>
        <w:ind w:left="990" w:firstLine="630"/>
      </w:pPr>
    </w:lvl>
    <w:lvl w:ilvl="1">
      <w:start w:val="1"/>
      <w:numFmt w:val="decimal"/>
      <w:lvlText w:val="%1.%2."/>
      <w:lvlJc w:val="left"/>
      <w:pPr>
        <w:ind w:left="81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8" w15:restartNumberingAfterBreak="0">
    <w:nsid w:val="23786C08"/>
    <w:multiLevelType w:val="hybridMultilevel"/>
    <w:tmpl w:val="833C3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115A0"/>
    <w:multiLevelType w:val="multilevel"/>
    <w:tmpl w:val="96A27034"/>
    <w:lvl w:ilvl="0">
      <w:start w:val="400"/>
      <w:numFmt w:val="bullet"/>
      <w:lvlText w:val="-"/>
      <w:lvlJc w:val="left"/>
      <w:pPr>
        <w:ind w:left="2160" w:firstLine="360"/>
      </w:pPr>
      <w:rPr>
        <w:rFonts w:ascii="Arial" w:eastAsia="Arial" w:hAnsi="Arial" w:cs="Arial"/>
      </w:rPr>
    </w:lvl>
    <w:lvl w:ilvl="1">
      <w:start w:val="1"/>
      <w:numFmt w:val="bullet"/>
      <w:lvlText w:val="o"/>
      <w:lvlJc w:val="left"/>
      <w:pPr>
        <w:ind w:left="2880" w:firstLine="1080"/>
      </w:pPr>
      <w:rPr>
        <w:rFonts w:ascii="Arial" w:eastAsia="Arial" w:hAnsi="Arial" w:cs="Arial"/>
      </w:rPr>
    </w:lvl>
    <w:lvl w:ilvl="2">
      <w:start w:val="1"/>
      <w:numFmt w:val="bullet"/>
      <w:lvlText w:val="▪"/>
      <w:lvlJc w:val="left"/>
      <w:pPr>
        <w:ind w:left="3600" w:firstLine="1800"/>
      </w:pPr>
      <w:rPr>
        <w:rFonts w:ascii="Arial" w:eastAsia="Arial" w:hAnsi="Arial" w:cs="Arial"/>
      </w:rPr>
    </w:lvl>
    <w:lvl w:ilvl="3">
      <w:start w:val="1"/>
      <w:numFmt w:val="bullet"/>
      <w:lvlText w:val="●"/>
      <w:lvlJc w:val="left"/>
      <w:pPr>
        <w:ind w:left="4320" w:firstLine="2520"/>
      </w:pPr>
      <w:rPr>
        <w:rFonts w:ascii="Arial" w:eastAsia="Arial" w:hAnsi="Arial" w:cs="Arial"/>
      </w:rPr>
    </w:lvl>
    <w:lvl w:ilvl="4">
      <w:start w:val="1"/>
      <w:numFmt w:val="bullet"/>
      <w:lvlText w:val="o"/>
      <w:lvlJc w:val="left"/>
      <w:pPr>
        <w:ind w:left="5040" w:firstLine="3240"/>
      </w:pPr>
      <w:rPr>
        <w:rFonts w:ascii="Arial" w:eastAsia="Arial" w:hAnsi="Arial" w:cs="Arial"/>
      </w:rPr>
    </w:lvl>
    <w:lvl w:ilvl="5">
      <w:start w:val="1"/>
      <w:numFmt w:val="bullet"/>
      <w:lvlText w:val="▪"/>
      <w:lvlJc w:val="left"/>
      <w:pPr>
        <w:ind w:left="5760" w:firstLine="3960"/>
      </w:pPr>
      <w:rPr>
        <w:rFonts w:ascii="Arial" w:eastAsia="Arial" w:hAnsi="Arial" w:cs="Arial"/>
      </w:rPr>
    </w:lvl>
    <w:lvl w:ilvl="6">
      <w:start w:val="1"/>
      <w:numFmt w:val="bullet"/>
      <w:lvlText w:val="●"/>
      <w:lvlJc w:val="left"/>
      <w:pPr>
        <w:ind w:left="6480" w:firstLine="4680"/>
      </w:pPr>
      <w:rPr>
        <w:rFonts w:ascii="Arial" w:eastAsia="Arial" w:hAnsi="Arial" w:cs="Arial"/>
      </w:rPr>
    </w:lvl>
    <w:lvl w:ilvl="7">
      <w:start w:val="1"/>
      <w:numFmt w:val="bullet"/>
      <w:lvlText w:val="o"/>
      <w:lvlJc w:val="left"/>
      <w:pPr>
        <w:ind w:left="7200" w:firstLine="5400"/>
      </w:pPr>
      <w:rPr>
        <w:rFonts w:ascii="Arial" w:eastAsia="Arial" w:hAnsi="Arial" w:cs="Arial"/>
      </w:rPr>
    </w:lvl>
    <w:lvl w:ilvl="8">
      <w:start w:val="1"/>
      <w:numFmt w:val="bullet"/>
      <w:lvlText w:val="▪"/>
      <w:lvlJc w:val="left"/>
      <w:pPr>
        <w:ind w:left="7920" w:firstLine="6120"/>
      </w:pPr>
      <w:rPr>
        <w:rFonts w:ascii="Arial" w:eastAsia="Arial" w:hAnsi="Arial" w:cs="Arial"/>
      </w:rPr>
    </w:lvl>
  </w:abstractNum>
  <w:abstractNum w:abstractNumId="20" w15:restartNumberingAfterBreak="0">
    <w:nsid w:val="25864ABD"/>
    <w:multiLevelType w:val="multilevel"/>
    <w:tmpl w:val="EFD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071068"/>
    <w:multiLevelType w:val="hybridMultilevel"/>
    <w:tmpl w:val="B5286B26"/>
    <w:lvl w:ilvl="0" w:tplc="668A2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C2E"/>
    <w:multiLevelType w:val="multilevel"/>
    <w:tmpl w:val="B1D4BB8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CCC59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EA5E35"/>
    <w:multiLevelType w:val="hybridMultilevel"/>
    <w:tmpl w:val="BDD2CE12"/>
    <w:lvl w:ilvl="0" w:tplc="35BE26E0">
      <w:start w:val="1"/>
      <w:numFmt w:val="bullet"/>
      <w:lvlText w:val="–"/>
      <w:lvlJc w:val="left"/>
      <w:pPr>
        <w:tabs>
          <w:tab w:val="num" w:pos="720"/>
        </w:tabs>
        <w:ind w:left="720" w:hanging="360"/>
      </w:pPr>
      <w:rPr>
        <w:rFonts w:ascii="Times New Roman" w:hAnsi="Times New Roman" w:hint="default"/>
      </w:rPr>
    </w:lvl>
    <w:lvl w:ilvl="1" w:tplc="E886E6BC">
      <w:start w:val="1"/>
      <w:numFmt w:val="bullet"/>
      <w:lvlText w:val="–"/>
      <w:lvlJc w:val="left"/>
      <w:pPr>
        <w:tabs>
          <w:tab w:val="num" w:pos="1440"/>
        </w:tabs>
        <w:ind w:left="1440" w:hanging="360"/>
      </w:pPr>
      <w:rPr>
        <w:rFonts w:ascii="Times New Roman" w:hAnsi="Times New Roman" w:hint="default"/>
      </w:rPr>
    </w:lvl>
    <w:lvl w:ilvl="2" w:tplc="6E8448D4" w:tentative="1">
      <w:start w:val="1"/>
      <w:numFmt w:val="bullet"/>
      <w:lvlText w:val="–"/>
      <w:lvlJc w:val="left"/>
      <w:pPr>
        <w:tabs>
          <w:tab w:val="num" w:pos="2160"/>
        </w:tabs>
        <w:ind w:left="2160" w:hanging="360"/>
      </w:pPr>
      <w:rPr>
        <w:rFonts w:ascii="Times New Roman" w:hAnsi="Times New Roman" w:hint="default"/>
      </w:rPr>
    </w:lvl>
    <w:lvl w:ilvl="3" w:tplc="6D0CCF34" w:tentative="1">
      <w:start w:val="1"/>
      <w:numFmt w:val="bullet"/>
      <w:lvlText w:val="–"/>
      <w:lvlJc w:val="left"/>
      <w:pPr>
        <w:tabs>
          <w:tab w:val="num" w:pos="2880"/>
        </w:tabs>
        <w:ind w:left="2880" w:hanging="360"/>
      </w:pPr>
      <w:rPr>
        <w:rFonts w:ascii="Times New Roman" w:hAnsi="Times New Roman" w:hint="default"/>
      </w:rPr>
    </w:lvl>
    <w:lvl w:ilvl="4" w:tplc="A58A2522" w:tentative="1">
      <w:start w:val="1"/>
      <w:numFmt w:val="bullet"/>
      <w:lvlText w:val="–"/>
      <w:lvlJc w:val="left"/>
      <w:pPr>
        <w:tabs>
          <w:tab w:val="num" w:pos="3600"/>
        </w:tabs>
        <w:ind w:left="3600" w:hanging="360"/>
      </w:pPr>
      <w:rPr>
        <w:rFonts w:ascii="Times New Roman" w:hAnsi="Times New Roman" w:hint="default"/>
      </w:rPr>
    </w:lvl>
    <w:lvl w:ilvl="5" w:tplc="11E28E40" w:tentative="1">
      <w:start w:val="1"/>
      <w:numFmt w:val="bullet"/>
      <w:lvlText w:val="–"/>
      <w:lvlJc w:val="left"/>
      <w:pPr>
        <w:tabs>
          <w:tab w:val="num" w:pos="4320"/>
        </w:tabs>
        <w:ind w:left="4320" w:hanging="360"/>
      </w:pPr>
      <w:rPr>
        <w:rFonts w:ascii="Times New Roman" w:hAnsi="Times New Roman" w:hint="default"/>
      </w:rPr>
    </w:lvl>
    <w:lvl w:ilvl="6" w:tplc="D892D8CA" w:tentative="1">
      <w:start w:val="1"/>
      <w:numFmt w:val="bullet"/>
      <w:lvlText w:val="–"/>
      <w:lvlJc w:val="left"/>
      <w:pPr>
        <w:tabs>
          <w:tab w:val="num" w:pos="5040"/>
        </w:tabs>
        <w:ind w:left="5040" w:hanging="360"/>
      </w:pPr>
      <w:rPr>
        <w:rFonts w:ascii="Times New Roman" w:hAnsi="Times New Roman" w:hint="default"/>
      </w:rPr>
    </w:lvl>
    <w:lvl w:ilvl="7" w:tplc="665AEC9E" w:tentative="1">
      <w:start w:val="1"/>
      <w:numFmt w:val="bullet"/>
      <w:lvlText w:val="–"/>
      <w:lvlJc w:val="left"/>
      <w:pPr>
        <w:tabs>
          <w:tab w:val="num" w:pos="5760"/>
        </w:tabs>
        <w:ind w:left="5760" w:hanging="360"/>
      </w:pPr>
      <w:rPr>
        <w:rFonts w:ascii="Times New Roman" w:hAnsi="Times New Roman" w:hint="default"/>
      </w:rPr>
    </w:lvl>
    <w:lvl w:ilvl="8" w:tplc="04A0DC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76015CE"/>
    <w:multiLevelType w:val="multilevel"/>
    <w:tmpl w:val="23A623E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721262"/>
    <w:multiLevelType w:val="multilevel"/>
    <w:tmpl w:val="FB6C1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AD30157"/>
    <w:multiLevelType w:val="hybridMultilevel"/>
    <w:tmpl w:val="4784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A9224B"/>
    <w:multiLevelType w:val="hybridMultilevel"/>
    <w:tmpl w:val="A0AE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4588D"/>
    <w:multiLevelType w:val="multilevel"/>
    <w:tmpl w:val="FE14F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3AE38F8"/>
    <w:multiLevelType w:val="multilevel"/>
    <w:tmpl w:val="CF405AA4"/>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lowerLetter"/>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49A34203"/>
    <w:multiLevelType w:val="hybridMultilevel"/>
    <w:tmpl w:val="476A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3D3B77"/>
    <w:multiLevelType w:val="hybridMultilevel"/>
    <w:tmpl w:val="26DE5A28"/>
    <w:lvl w:ilvl="0" w:tplc="301C03CC">
      <w:start w:val="1"/>
      <w:numFmt w:val="lowerLetter"/>
      <w:lvlText w:val="%1)"/>
      <w:lvlJc w:val="left"/>
      <w:pPr>
        <w:tabs>
          <w:tab w:val="num" w:pos="720"/>
        </w:tabs>
        <w:ind w:left="720" w:hanging="360"/>
      </w:pPr>
    </w:lvl>
    <w:lvl w:ilvl="1" w:tplc="2416B632">
      <w:start w:val="1"/>
      <w:numFmt w:val="lowerLetter"/>
      <w:lvlText w:val="%2)"/>
      <w:lvlJc w:val="left"/>
      <w:pPr>
        <w:tabs>
          <w:tab w:val="num" w:pos="1440"/>
        </w:tabs>
        <w:ind w:left="1440" w:hanging="360"/>
      </w:pPr>
    </w:lvl>
    <w:lvl w:ilvl="2" w:tplc="46906632">
      <w:start w:val="334"/>
      <w:numFmt w:val="bullet"/>
      <w:lvlText w:val="•"/>
      <w:lvlJc w:val="left"/>
      <w:pPr>
        <w:tabs>
          <w:tab w:val="num" w:pos="2160"/>
        </w:tabs>
        <w:ind w:left="2160" w:hanging="360"/>
      </w:pPr>
      <w:rPr>
        <w:rFonts w:ascii="Times New Roman" w:hAnsi="Times New Roman" w:hint="default"/>
      </w:rPr>
    </w:lvl>
    <w:lvl w:ilvl="3" w:tplc="FEFEF8DC" w:tentative="1">
      <w:start w:val="1"/>
      <w:numFmt w:val="lowerLetter"/>
      <w:lvlText w:val="%4)"/>
      <w:lvlJc w:val="left"/>
      <w:pPr>
        <w:tabs>
          <w:tab w:val="num" w:pos="2880"/>
        </w:tabs>
        <w:ind w:left="2880" w:hanging="360"/>
      </w:pPr>
    </w:lvl>
    <w:lvl w:ilvl="4" w:tplc="9D2875CA" w:tentative="1">
      <w:start w:val="1"/>
      <w:numFmt w:val="lowerLetter"/>
      <w:lvlText w:val="%5)"/>
      <w:lvlJc w:val="left"/>
      <w:pPr>
        <w:tabs>
          <w:tab w:val="num" w:pos="3600"/>
        </w:tabs>
        <w:ind w:left="3600" w:hanging="360"/>
      </w:pPr>
    </w:lvl>
    <w:lvl w:ilvl="5" w:tplc="4EE294C4" w:tentative="1">
      <w:start w:val="1"/>
      <w:numFmt w:val="lowerLetter"/>
      <w:lvlText w:val="%6)"/>
      <w:lvlJc w:val="left"/>
      <w:pPr>
        <w:tabs>
          <w:tab w:val="num" w:pos="4320"/>
        </w:tabs>
        <w:ind w:left="4320" w:hanging="360"/>
      </w:pPr>
    </w:lvl>
    <w:lvl w:ilvl="6" w:tplc="C922968E" w:tentative="1">
      <w:start w:val="1"/>
      <w:numFmt w:val="lowerLetter"/>
      <w:lvlText w:val="%7)"/>
      <w:lvlJc w:val="left"/>
      <w:pPr>
        <w:tabs>
          <w:tab w:val="num" w:pos="5040"/>
        </w:tabs>
        <w:ind w:left="5040" w:hanging="360"/>
      </w:pPr>
    </w:lvl>
    <w:lvl w:ilvl="7" w:tplc="3B78BBDE" w:tentative="1">
      <w:start w:val="1"/>
      <w:numFmt w:val="lowerLetter"/>
      <w:lvlText w:val="%8)"/>
      <w:lvlJc w:val="left"/>
      <w:pPr>
        <w:tabs>
          <w:tab w:val="num" w:pos="5760"/>
        </w:tabs>
        <w:ind w:left="5760" w:hanging="360"/>
      </w:pPr>
    </w:lvl>
    <w:lvl w:ilvl="8" w:tplc="D15EC10C" w:tentative="1">
      <w:start w:val="1"/>
      <w:numFmt w:val="lowerLetter"/>
      <w:lvlText w:val="%9)"/>
      <w:lvlJc w:val="left"/>
      <w:pPr>
        <w:tabs>
          <w:tab w:val="num" w:pos="6480"/>
        </w:tabs>
        <w:ind w:left="6480" w:hanging="360"/>
      </w:pPr>
    </w:lvl>
  </w:abstractNum>
  <w:abstractNum w:abstractNumId="33" w15:restartNumberingAfterBreak="0">
    <w:nsid w:val="53FC448E"/>
    <w:multiLevelType w:val="hybridMultilevel"/>
    <w:tmpl w:val="8E0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878"/>
    <w:multiLevelType w:val="hybridMultilevel"/>
    <w:tmpl w:val="1F704BEA"/>
    <w:lvl w:ilvl="0" w:tplc="0C84907A">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1D1376"/>
    <w:multiLevelType w:val="hybridMultilevel"/>
    <w:tmpl w:val="A058E7D2"/>
    <w:lvl w:ilvl="0" w:tplc="0A92F59E">
      <w:start w:val="1"/>
      <w:numFmt w:val="bullet"/>
      <w:lvlText w:val="–"/>
      <w:lvlJc w:val="left"/>
      <w:pPr>
        <w:tabs>
          <w:tab w:val="num" w:pos="720"/>
        </w:tabs>
        <w:ind w:left="720" w:hanging="360"/>
      </w:pPr>
      <w:rPr>
        <w:rFonts w:ascii="Times New Roman" w:hAnsi="Times New Roman" w:hint="default"/>
      </w:rPr>
    </w:lvl>
    <w:lvl w:ilvl="1" w:tplc="450C3AAE">
      <w:start w:val="1"/>
      <w:numFmt w:val="bullet"/>
      <w:lvlText w:val="–"/>
      <w:lvlJc w:val="left"/>
      <w:pPr>
        <w:tabs>
          <w:tab w:val="num" w:pos="1440"/>
        </w:tabs>
        <w:ind w:left="1440" w:hanging="360"/>
      </w:pPr>
      <w:rPr>
        <w:rFonts w:ascii="Times New Roman" w:hAnsi="Times New Roman" w:hint="default"/>
      </w:rPr>
    </w:lvl>
    <w:lvl w:ilvl="2" w:tplc="8222C174" w:tentative="1">
      <w:start w:val="1"/>
      <w:numFmt w:val="bullet"/>
      <w:lvlText w:val="–"/>
      <w:lvlJc w:val="left"/>
      <w:pPr>
        <w:tabs>
          <w:tab w:val="num" w:pos="2160"/>
        </w:tabs>
        <w:ind w:left="2160" w:hanging="360"/>
      </w:pPr>
      <w:rPr>
        <w:rFonts w:ascii="Times New Roman" w:hAnsi="Times New Roman" w:hint="default"/>
      </w:rPr>
    </w:lvl>
    <w:lvl w:ilvl="3" w:tplc="00CCDF52" w:tentative="1">
      <w:start w:val="1"/>
      <w:numFmt w:val="bullet"/>
      <w:lvlText w:val="–"/>
      <w:lvlJc w:val="left"/>
      <w:pPr>
        <w:tabs>
          <w:tab w:val="num" w:pos="2880"/>
        </w:tabs>
        <w:ind w:left="2880" w:hanging="360"/>
      </w:pPr>
      <w:rPr>
        <w:rFonts w:ascii="Times New Roman" w:hAnsi="Times New Roman" w:hint="default"/>
      </w:rPr>
    </w:lvl>
    <w:lvl w:ilvl="4" w:tplc="12221D38" w:tentative="1">
      <w:start w:val="1"/>
      <w:numFmt w:val="bullet"/>
      <w:lvlText w:val="–"/>
      <w:lvlJc w:val="left"/>
      <w:pPr>
        <w:tabs>
          <w:tab w:val="num" w:pos="3600"/>
        </w:tabs>
        <w:ind w:left="3600" w:hanging="360"/>
      </w:pPr>
      <w:rPr>
        <w:rFonts w:ascii="Times New Roman" w:hAnsi="Times New Roman" w:hint="default"/>
      </w:rPr>
    </w:lvl>
    <w:lvl w:ilvl="5" w:tplc="533CAD84" w:tentative="1">
      <w:start w:val="1"/>
      <w:numFmt w:val="bullet"/>
      <w:lvlText w:val="–"/>
      <w:lvlJc w:val="left"/>
      <w:pPr>
        <w:tabs>
          <w:tab w:val="num" w:pos="4320"/>
        </w:tabs>
        <w:ind w:left="4320" w:hanging="360"/>
      </w:pPr>
      <w:rPr>
        <w:rFonts w:ascii="Times New Roman" w:hAnsi="Times New Roman" w:hint="default"/>
      </w:rPr>
    </w:lvl>
    <w:lvl w:ilvl="6" w:tplc="34562C72" w:tentative="1">
      <w:start w:val="1"/>
      <w:numFmt w:val="bullet"/>
      <w:lvlText w:val="–"/>
      <w:lvlJc w:val="left"/>
      <w:pPr>
        <w:tabs>
          <w:tab w:val="num" w:pos="5040"/>
        </w:tabs>
        <w:ind w:left="5040" w:hanging="360"/>
      </w:pPr>
      <w:rPr>
        <w:rFonts w:ascii="Times New Roman" w:hAnsi="Times New Roman" w:hint="default"/>
      </w:rPr>
    </w:lvl>
    <w:lvl w:ilvl="7" w:tplc="5E14C15A" w:tentative="1">
      <w:start w:val="1"/>
      <w:numFmt w:val="bullet"/>
      <w:lvlText w:val="–"/>
      <w:lvlJc w:val="left"/>
      <w:pPr>
        <w:tabs>
          <w:tab w:val="num" w:pos="5760"/>
        </w:tabs>
        <w:ind w:left="5760" w:hanging="360"/>
      </w:pPr>
      <w:rPr>
        <w:rFonts w:ascii="Times New Roman" w:hAnsi="Times New Roman" w:hint="default"/>
      </w:rPr>
    </w:lvl>
    <w:lvl w:ilvl="8" w:tplc="44560E6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0FE35C0"/>
    <w:multiLevelType w:val="hybridMultilevel"/>
    <w:tmpl w:val="973A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D1382"/>
    <w:multiLevelType w:val="hybridMultilevel"/>
    <w:tmpl w:val="15DE51EE"/>
    <w:lvl w:ilvl="0" w:tplc="8272DD66">
      <w:start w:val="1"/>
      <w:numFmt w:val="bullet"/>
      <w:lvlText w:val="•"/>
      <w:lvlJc w:val="left"/>
      <w:pPr>
        <w:tabs>
          <w:tab w:val="num" w:pos="720"/>
        </w:tabs>
        <w:ind w:left="720" w:hanging="360"/>
      </w:pPr>
      <w:rPr>
        <w:rFonts w:ascii="Times New Roman" w:hAnsi="Times New Roman" w:hint="default"/>
      </w:rPr>
    </w:lvl>
    <w:lvl w:ilvl="1" w:tplc="3B1E4E9C" w:tentative="1">
      <w:start w:val="1"/>
      <w:numFmt w:val="bullet"/>
      <w:lvlText w:val="•"/>
      <w:lvlJc w:val="left"/>
      <w:pPr>
        <w:tabs>
          <w:tab w:val="num" w:pos="1440"/>
        </w:tabs>
        <w:ind w:left="1440" w:hanging="360"/>
      </w:pPr>
      <w:rPr>
        <w:rFonts w:ascii="Times New Roman" w:hAnsi="Times New Roman" w:hint="default"/>
      </w:rPr>
    </w:lvl>
    <w:lvl w:ilvl="2" w:tplc="13C4885C">
      <w:start w:val="1"/>
      <w:numFmt w:val="bullet"/>
      <w:lvlText w:val="•"/>
      <w:lvlJc w:val="left"/>
      <w:pPr>
        <w:tabs>
          <w:tab w:val="num" w:pos="2160"/>
        </w:tabs>
        <w:ind w:left="2160" w:hanging="360"/>
      </w:pPr>
      <w:rPr>
        <w:rFonts w:ascii="Times New Roman" w:hAnsi="Times New Roman" w:hint="default"/>
      </w:rPr>
    </w:lvl>
    <w:lvl w:ilvl="3" w:tplc="DC6E12D6" w:tentative="1">
      <w:start w:val="1"/>
      <w:numFmt w:val="bullet"/>
      <w:lvlText w:val="•"/>
      <w:lvlJc w:val="left"/>
      <w:pPr>
        <w:tabs>
          <w:tab w:val="num" w:pos="2880"/>
        </w:tabs>
        <w:ind w:left="2880" w:hanging="360"/>
      </w:pPr>
      <w:rPr>
        <w:rFonts w:ascii="Times New Roman" w:hAnsi="Times New Roman" w:hint="default"/>
      </w:rPr>
    </w:lvl>
    <w:lvl w:ilvl="4" w:tplc="FD56836E" w:tentative="1">
      <w:start w:val="1"/>
      <w:numFmt w:val="bullet"/>
      <w:lvlText w:val="•"/>
      <w:lvlJc w:val="left"/>
      <w:pPr>
        <w:tabs>
          <w:tab w:val="num" w:pos="3600"/>
        </w:tabs>
        <w:ind w:left="3600" w:hanging="360"/>
      </w:pPr>
      <w:rPr>
        <w:rFonts w:ascii="Times New Roman" w:hAnsi="Times New Roman" w:hint="default"/>
      </w:rPr>
    </w:lvl>
    <w:lvl w:ilvl="5" w:tplc="9CEA2B3A" w:tentative="1">
      <w:start w:val="1"/>
      <w:numFmt w:val="bullet"/>
      <w:lvlText w:val="•"/>
      <w:lvlJc w:val="left"/>
      <w:pPr>
        <w:tabs>
          <w:tab w:val="num" w:pos="4320"/>
        </w:tabs>
        <w:ind w:left="4320" w:hanging="360"/>
      </w:pPr>
      <w:rPr>
        <w:rFonts w:ascii="Times New Roman" w:hAnsi="Times New Roman" w:hint="default"/>
      </w:rPr>
    </w:lvl>
    <w:lvl w:ilvl="6" w:tplc="BF247B5E" w:tentative="1">
      <w:start w:val="1"/>
      <w:numFmt w:val="bullet"/>
      <w:lvlText w:val="•"/>
      <w:lvlJc w:val="left"/>
      <w:pPr>
        <w:tabs>
          <w:tab w:val="num" w:pos="5040"/>
        </w:tabs>
        <w:ind w:left="5040" w:hanging="360"/>
      </w:pPr>
      <w:rPr>
        <w:rFonts w:ascii="Times New Roman" w:hAnsi="Times New Roman" w:hint="default"/>
      </w:rPr>
    </w:lvl>
    <w:lvl w:ilvl="7" w:tplc="4EC698B0" w:tentative="1">
      <w:start w:val="1"/>
      <w:numFmt w:val="bullet"/>
      <w:lvlText w:val="•"/>
      <w:lvlJc w:val="left"/>
      <w:pPr>
        <w:tabs>
          <w:tab w:val="num" w:pos="5760"/>
        </w:tabs>
        <w:ind w:left="5760" w:hanging="360"/>
      </w:pPr>
      <w:rPr>
        <w:rFonts w:ascii="Times New Roman" w:hAnsi="Times New Roman" w:hint="default"/>
      </w:rPr>
    </w:lvl>
    <w:lvl w:ilvl="8" w:tplc="0D2491E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EC6E86"/>
    <w:multiLevelType w:val="multilevel"/>
    <w:tmpl w:val="A12805A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0A7E69"/>
    <w:multiLevelType w:val="hybridMultilevel"/>
    <w:tmpl w:val="893C2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37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AE0121"/>
    <w:multiLevelType w:val="multilevel"/>
    <w:tmpl w:val="DEE6D9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9C84EE8"/>
    <w:multiLevelType w:val="multilevel"/>
    <w:tmpl w:val="CB425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D9E5874"/>
    <w:multiLevelType w:val="multilevel"/>
    <w:tmpl w:val="30F6D6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2"/>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3"/>
  </w:num>
  <w:num w:numId="2">
    <w:abstractNumId w:val="26"/>
  </w:num>
  <w:num w:numId="3">
    <w:abstractNumId w:val="41"/>
  </w:num>
  <w:num w:numId="4">
    <w:abstractNumId w:val="42"/>
  </w:num>
  <w:num w:numId="5">
    <w:abstractNumId w:val="22"/>
  </w:num>
  <w:num w:numId="6">
    <w:abstractNumId w:val="19"/>
  </w:num>
  <w:num w:numId="7">
    <w:abstractNumId w:val="13"/>
  </w:num>
  <w:num w:numId="8">
    <w:abstractNumId w:val="17"/>
  </w:num>
  <w:num w:numId="9">
    <w:abstractNumId w:val="23"/>
  </w:num>
  <w:num w:numId="10">
    <w:abstractNumId w:val="30"/>
  </w:num>
  <w:num w:numId="11">
    <w:abstractNumId w:val="40"/>
  </w:num>
  <w:num w:numId="12">
    <w:abstractNumId w:val="12"/>
  </w:num>
  <w:num w:numId="13">
    <w:abstractNumId w:val="33"/>
  </w:num>
  <w:num w:numId="14">
    <w:abstractNumId w:val="14"/>
  </w:num>
  <w:num w:numId="15">
    <w:abstractNumId w:val="21"/>
  </w:num>
  <w:num w:numId="16">
    <w:abstractNumId w:val="36"/>
  </w:num>
  <w:num w:numId="17">
    <w:abstractNumId w:val="31"/>
  </w:num>
  <w:num w:numId="18">
    <w:abstractNumId w:val="34"/>
  </w:num>
  <w:num w:numId="19">
    <w:abstractNumId w:val="32"/>
  </w:num>
  <w:num w:numId="20">
    <w:abstractNumId w:val="37"/>
  </w:num>
  <w:num w:numId="21">
    <w:abstractNumId w:val="35"/>
  </w:num>
  <w:num w:numId="22">
    <w:abstractNumId w:val="24"/>
  </w:num>
  <w:num w:numId="23">
    <w:abstractNumId w:val="11"/>
  </w:num>
  <w:num w:numId="24">
    <w:abstractNumId w:val="28"/>
  </w:num>
  <w:num w:numId="25">
    <w:abstractNumId w:val="18"/>
  </w:num>
  <w:num w:numId="26">
    <w:abstractNumId w:val="39"/>
  </w:num>
  <w:num w:numId="27">
    <w:abstractNumId w:val="27"/>
  </w:num>
  <w:num w:numId="28">
    <w:abstractNumId w:val="20"/>
  </w:num>
  <w:num w:numId="29">
    <w:abstractNumId w:val="10"/>
  </w:num>
  <w:num w:numId="30">
    <w:abstractNumId w:val="15"/>
  </w:num>
  <w:num w:numId="31">
    <w:abstractNumId w:val="16"/>
  </w:num>
  <w:num w:numId="32">
    <w:abstractNumId w:val="25"/>
  </w:num>
  <w:num w:numId="33">
    <w:abstractNumId w:val="3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q9Ue+inGZX9MiadOUxE29D1FTbKMamZgkb4sLJpIF94JqzYjP+kvp8sKQV1oSu0V6f6pm00ClszRq9ZK6W21g==" w:salt="5KdlmAd92diOCBR00PdgKw=="/>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72"/>
    <w:rsid w:val="00013C34"/>
    <w:rsid w:val="00015192"/>
    <w:rsid w:val="000153FA"/>
    <w:rsid w:val="00016BCE"/>
    <w:rsid w:val="00017B24"/>
    <w:rsid w:val="000212F1"/>
    <w:rsid w:val="00021AC4"/>
    <w:rsid w:val="000242A7"/>
    <w:rsid w:val="000249B0"/>
    <w:rsid w:val="00026069"/>
    <w:rsid w:val="00026C6E"/>
    <w:rsid w:val="00031647"/>
    <w:rsid w:val="000323AD"/>
    <w:rsid w:val="000327C6"/>
    <w:rsid w:val="000339FC"/>
    <w:rsid w:val="0003477C"/>
    <w:rsid w:val="000358BC"/>
    <w:rsid w:val="0003639D"/>
    <w:rsid w:val="000368D7"/>
    <w:rsid w:val="000374CE"/>
    <w:rsid w:val="00037620"/>
    <w:rsid w:val="00042922"/>
    <w:rsid w:val="00050190"/>
    <w:rsid w:val="00051FEB"/>
    <w:rsid w:val="000522B8"/>
    <w:rsid w:val="000533D5"/>
    <w:rsid w:val="000544C1"/>
    <w:rsid w:val="000547AD"/>
    <w:rsid w:val="00054B5C"/>
    <w:rsid w:val="00055AEA"/>
    <w:rsid w:val="00056414"/>
    <w:rsid w:val="0005661B"/>
    <w:rsid w:val="000572AC"/>
    <w:rsid w:val="0006117C"/>
    <w:rsid w:val="00062113"/>
    <w:rsid w:val="00070360"/>
    <w:rsid w:val="000703BB"/>
    <w:rsid w:val="00070D44"/>
    <w:rsid w:val="00070EE0"/>
    <w:rsid w:val="00074A6C"/>
    <w:rsid w:val="0007553F"/>
    <w:rsid w:val="00076548"/>
    <w:rsid w:val="00077943"/>
    <w:rsid w:val="00077D10"/>
    <w:rsid w:val="0008217F"/>
    <w:rsid w:val="00082AFC"/>
    <w:rsid w:val="00083961"/>
    <w:rsid w:val="000842BF"/>
    <w:rsid w:val="00085E9D"/>
    <w:rsid w:val="00085EC6"/>
    <w:rsid w:val="00086996"/>
    <w:rsid w:val="0009020B"/>
    <w:rsid w:val="0009182A"/>
    <w:rsid w:val="00094438"/>
    <w:rsid w:val="0009487B"/>
    <w:rsid w:val="00094E8A"/>
    <w:rsid w:val="0009713D"/>
    <w:rsid w:val="00097991"/>
    <w:rsid w:val="00097A34"/>
    <w:rsid w:val="00097B19"/>
    <w:rsid w:val="000A2B52"/>
    <w:rsid w:val="000A771B"/>
    <w:rsid w:val="000B0CBE"/>
    <w:rsid w:val="000B21CD"/>
    <w:rsid w:val="000B329D"/>
    <w:rsid w:val="000B555D"/>
    <w:rsid w:val="000B630E"/>
    <w:rsid w:val="000C0411"/>
    <w:rsid w:val="000C0552"/>
    <w:rsid w:val="000C340A"/>
    <w:rsid w:val="000C5AEF"/>
    <w:rsid w:val="000C7F81"/>
    <w:rsid w:val="000D08EB"/>
    <w:rsid w:val="000D1571"/>
    <w:rsid w:val="000D5B94"/>
    <w:rsid w:val="000D69E7"/>
    <w:rsid w:val="000E376B"/>
    <w:rsid w:val="000E6A1D"/>
    <w:rsid w:val="000E728D"/>
    <w:rsid w:val="000F01AF"/>
    <w:rsid w:val="000F276E"/>
    <w:rsid w:val="000F42A0"/>
    <w:rsid w:val="000F6A75"/>
    <w:rsid w:val="000F7CB9"/>
    <w:rsid w:val="001016B3"/>
    <w:rsid w:val="00103C83"/>
    <w:rsid w:val="00105CE1"/>
    <w:rsid w:val="00106524"/>
    <w:rsid w:val="00106B5C"/>
    <w:rsid w:val="00110808"/>
    <w:rsid w:val="00110930"/>
    <w:rsid w:val="00111AB1"/>
    <w:rsid w:val="00115CB1"/>
    <w:rsid w:val="00116523"/>
    <w:rsid w:val="00120311"/>
    <w:rsid w:val="001206ED"/>
    <w:rsid w:val="00122159"/>
    <w:rsid w:val="00123C3B"/>
    <w:rsid w:val="0012527A"/>
    <w:rsid w:val="00126EB9"/>
    <w:rsid w:val="0012704D"/>
    <w:rsid w:val="00127C45"/>
    <w:rsid w:val="00131E4E"/>
    <w:rsid w:val="001325C2"/>
    <w:rsid w:val="001359AD"/>
    <w:rsid w:val="00140B8A"/>
    <w:rsid w:val="00141DC1"/>
    <w:rsid w:val="00145D2C"/>
    <w:rsid w:val="001476D7"/>
    <w:rsid w:val="001477E7"/>
    <w:rsid w:val="00147D17"/>
    <w:rsid w:val="001521B8"/>
    <w:rsid w:val="001561C2"/>
    <w:rsid w:val="00156376"/>
    <w:rsid w:val="0015686B"/>
    <w:rsid w:val="00160D8F"/>
    <w:rsid w:val="00162577"/>
    <w:rsid w:val="00163E8D"/>
    <w:rsid w:val="00163EAA"/>
    <w:rsid w:val="00165122"/>
    <w:rsid w:val="001702D1"/>
    <w:rsid w:val="001703AF"/>
    <w:rsid w:val="00170AD2"/>
    <w:rsid w:val="00170AD6"/>
    <w:rsid w:val="0017102E"/>
    <w:rsid w:val="00171148"/>
    <w:rsid w:val="00173A94"/>
    <w:rsid w:val="001752B0"/>
    <w:rsid w:val="0017700E"/>
    <w:rsid w:val="001777F2"/>
    <w:rsid w:val="00181323"/>
    <w:rsid w:val="0018353D"/>
    <w:rsid w:val="00183867"/>
    <w:rsid w:val="00183C5E"/>
    <w:rsid w:val="00185F74"/>
    <w:rsid w:val="0018685E"/>
    <w:rsid w:val="00187C8A"/>
    <w:rsid w:val="00191FC7"/>
    <w:rsid w:val="00192033"/>
    <w:rsid w:val="00192333"/>
    <w:rsid w:val="00192A30"/>
    <w:rsid w:val="00192DBD"/>
    <w:rsid w:val="00195E3D"/>
    <w:rsid w:val="001962D5"/>
    <w:rsid w:val="00197011"/>
    <w:rsid w:val="001A2119"/>
    <w:rsid w:val="001A3725"/>
    <w:rsid w:val="001A3B0D"/>
    <w:rsid w:val="001A61B1"/>
    <w:rsid w:val="001B1D79"/>
    <w:rsid w:val="001B353D"/>
    <w:rsid w:val="001B4210"/>
    <w:rsid w:val="001C14E8"/>
    <w:rsid w:val="001C21AE"/>
    <w:rsid w:val="001C22E6"/>
    <w:rsid w:val="001C258B"/>
    <w:rsid w:val="001C2D31"/>
    <w:rsid w:val="001C417B"/>
    <w:rsid w:val="001C7229"/>
    <w:rsid w:val="001C7BC8"/>
    <w:rsid w:val="001C7BDA"/>
    <w:rsid w:val="001D2E17"/>
    <w:rsid w:val="001D3A3E"/>
    <w:rsid w:val="001D3B7F"/>
    <w:rsid w:val="001D4B8E"/>
    <w:rsid w:val="001E034B"/>
    <w:rsid w:val="001E038C"/>
    <w:rsid w:val="001E47F5"/>
    <w:rsid w:val="001E5153"/>
    <w:rsid w:val="001E642B"/>
    <w:rsid w:val="001E6497"/>
    <w:rsid w:val="001E67D2"/>
    <w:rsid w:val="001F1603"/>
    <w:rsid w:val="001F1DBE"/>
    <w:rsid w:val="001F68D7"/>
    <w:rsid w:val="00200990"/>
    <w:rsid w:val="0020280A"/>
    <w:rsid w:val="002028A0"/>
    <w:rsid w:val="00202BF2"/>
    <w:rsid w:val="00203ECB"/>
    <w:rsid w:val="002042B2"/>
    <w:rsid w:val="00205678"/>
    <w:rsid w:val="00206F3B"/>
    <w:rsid w:val="0020739C"/>
    <w:rsid w:val="002105FB"/>
    <w:rsid w:val="0021195E"/>
    <w:rsid w:val="00214C1E"/>
    <w:rsid w:val="00214E1E"/>
    <w:rsid w:val="002156ED"/>
    <w:rsid w:val="002172D3"/>
    <w:rsid w:val="002211BC"/>
    <w:rsid w:val="00221F15"/>
    <w:rsid w:val="00223803"/>
    <w:rsid w:val="00223EBA"/>
    <w:rsid w:val="0022750B"/>
    <w:rsid w:val="002308C2"/>
    <w:rsid w:val="00230F35"/>
    <w:rsid w:val="00231DE3"/>
    <w:rsid w:val="00233B9A"/>
    <w:rsid w:val="0023418B"/>
    <w:rsid w:val="00235122"/>
    <w:rsid w:val="0023583F"/>
    <w:rsid w:val="00240C1E"/>
    <w:rsid w:val="00242876"/>
    <w:rsid w:val="00246418"/>
    <w:rsid w:val="00246F72"/>
    <w:rsid w:val="00250D63"/>
    <w:rsid w:val="0025377B"/>
    <w:rsid w:val="0025742E"/>
    <w:rsid w:val="00261596"/>
    <w:rsid w:val="00262FB9"/>
    <w:rsid w:val="002644BA"/>
    <w:rsid w:val="00266B71"/>
    <w:rsid w:val="002715D6"/>
    <w:rsid w:val="00271A1C"/>
    <w:rsid w:val="00272280"/>
    <w:rsid w:val="002742F1"/>
    <w:rsid w:val="002742F7"/>
    <w:rsid w:val="00276CAE"/>
    <w:rsid w:val="00280F4A"/>
    <w:rsid w:val="00282423"/>
    <w:rsid w:val="00290D07"/>
    <w:rsid w:val="00293800"/>
    <w:rsid w:val="00295248"/>
    <w:rsid w:val="0029533E"/>
    <w:rsid w:val="00295B09"/>
    <w:rsid w:val="002965A5"/>
    <w:rsid w:val="00297883"/>
    <w:rsid w:val="002A0740"/>
    <w:rsid w:val="002A23DD"/>
    <w:rsid w:val="002A3507"/>
    <w:rsid w:val="002A4E80"/>
    <w:rsid w:val="002A4FBB"/>
    <w:rsid w:val="002A5DD1"/>
    <w:rsid w:val="002A6384"/>
    <w:rsid w:val="002A7FAC"/>
    <w:rsid w:val="002B14CB"/>
    <w:rsid w:val="002B27D9"/>
    <w:rsid w:val="002B438A"/>
    <w:rsid w:val="002B6C35"/>
    <w:rsid w:val="002B7B09"/>
    <w:rsid w:val="002C0853"/>
    <w:rsid w:val="002C1494"/>
    <w:rsid w:val="002C1E76"/>
    <w:rsid w:val="002C2695"/>
    <w:rsid w:val="002C299D"/>
    <w:rsid w:val="002C29BA"/>
    <w:rsid w:val="002C3157"/>
    <w:rsid w:val="002C58B0"/>
    <w:rsid w:val="002C6718"/>
    <w:rsid w:val="002C7B71"/>
    <w:rsid w:val="002D4EAB"/>
    <w:rsid w:val="002D572A"/>
    <w:rsid w:val="002E0757"/>
    <w:rsid w:val="002E2CAE"/>
    <w:rsid w:val="002E6440"/>
    <w:rsid w:val="002E644E"/>
    <w:rsid w:val="002F5983"/>
    <w:rsid w:val="0030528B"/>
    <w:rsid w:val="0030632A"/>
    <w:rsid w:val="003101A6"/>
    <w:rsid w:val="0031180D"/>
    <w:rsid w:val="00313A13"/>
    <w:rsid w:val="00316185"/>
    <w:rsid w:val="00317521"/>
    <w:rsid w:val="00322022"/>
    <w:rsid w:val="00323C3F"/>
    <w:rsid w:val="0032720F"/>
    <w:rsid w:val="00334D08"/>
    <w:rsid w:val="003436F9"/>
    <w:rsid w:val="00343FF4"/>
    <w:rsid w:val="00345A51"/>
    <w:rsid w:val="00346F49"/>
    <w:rsid w:val="00351F61"/>
    <w:rsid w:val="00353A7F"/>
    <w:rsid w:val="00354AFC"/>
    <w:rsid w:val="00355E20"/>
    <w:rsid w:val="00357EEB"/>
    <w:rsid w:val="00360855"/>
    <w:rsid w:val="003666C8"/>
    <w:rsid w:val="00370B93"/>
    <w:rsid w:val="00374AF2"/>
    <w:rsid w:val="003770AE"/>
    <w:rsid w:val="00377945"/>
    <w:rsid w:val="003805C2"/>
    <w:rsid w:val="003831C3"/>
    <w:rsid w:val="003832C4"/>
    <w:rsid w:val="00383556"/>
    <w:rsid w:val="00383B3C"/>
    <w:rsid w:val="00384476"/>
    <w:rsid w:val="00387D1D"/>
    <w:rsid w:val="00390732"/>
    <w:rsid w:val="003910B5"/>
    <w:rsid w:val="00391424"/>
    <w:rsid w:val="00392303"/>
    <w:rsid w:val="00392A03"/>
    <w:rsid w:val="00393048"/>
    <w:rsid w:val="00393BA1"/>
    <w:rsid w:val="00394C89"/>
    <w:rsid w:val="003972F0"/>
    <w:rsid w:val="00397432"/>
    <w:rsid w:val="003A45D9"/>
    <w:rsid w:val="003A6263"/>
    <w:rsid w:val="003B1E8E"/>
    <w:rsid w:val="003B2433"/>
    <w:rsid w:val="003B274F"/>
    <w:rsid w:val="003B51AC"/>
    <w:rsid w:val="003C09F4"/>
    <w:rsid w:val="003C165F"/>
    <w:rsid w:val="003C1CFC"/>
    <w:rsid w:val="003C3540"/>
    <w:rsid w:val="003C3D62"/>
    <w:rsid w:val="003C4A6E"/>
    <w:rsid w:val="003C56CB"/>
    <w:rsid w:val="003C616C"/>
    <w:rsid w:val="003C753E"/>
    <w:rsid w:val="003D0359"/>
    <w:rsid w:val="003D1070"/>
    <w:rsid w:val="003D1A1F"/>
    <w:rsid w:val="003D1E25"/>
    <w:rsid w:val="003D3B9C"/>
    <w:rsid w:val="003D7CD1"/>
    <w:rsid w:val="003E044B"/>
    <w:rsid w:val="003E1D35"/>
    <w:rsid w:val="003E1D42"/>
    <w:rsid w:val="003E1D4F"/>
    <w:rsid w:val="003E2D17"/>
    <w:rsid w:val="003E40E0"/>
    <w:rsid w:val="003E4385"/>
    <w:rsid w:val="003E43B2"/>
    <w:rsid w:val="003E475B"/>
    <w:rsid w:val="003E7682"/>
    <w:rsid w:val="003F02C3"/>
    <w:rsid w:val="003F0BA7"/>
    <w:rsid w:val="003F1C9C"/>
    <w:rsid w:val="003F3D48"/>
    <w:rsid w:val="003F52B5"/>
    <w:rsid w:val="003F78BE"/>
    <w:rsid w:val="0041076F"/>
    <w:rsid w:val="00412B85"/>
    <w:rsid w:val="00413DF5"/>
    <w:rsid w:val="004154CE"/>
    <w:rsid w:val="0041678E"/>
    <w:rsid w:val="00422A25"/>
    <w:rsid w:val="004249FF"/>
    <w:rsid w:val="0042771C"/>
    <w:rsid w:val="004303EE"/>
    <w:rsid w:val="00435E19"/>
    <w:rsid w:val="00437518"/>
    <w:rsid w:val="00441CB8"/>
    <w:rsid w:val="0044347B"/>
    <w:rsid w:val="0044364D"/>
    <w:rsid w:val="00443BCF"/>
    <w:rsid w:val="00443D95"/>
    <w:rsid w:val="00446350"/>
    <w:rsid w:val="00450B29"/>
    <w:rsid w:val="00454EC3"/>
    <w:rsid w:val="004558CF"/>
    <w:rsid w:val="00455F8F"/>
    <w:rsid w:val="00456F90"/>
    <w:rsid w:val="00457801"/>
    <w:rsid w:val="00457A78"/>
    <w:rsid w:val="00460542"/>
    <w:rsid w:val="00461336"/>
    <w:rsid w:val="004624C3"/>
    <w:rsid w:val="00464EF6"/>
    <w:rsid w:val="00464FEF"/>
    <w:rsid w:val="004650F1"/>
    <w:rsid w:val="004655D8"/>
    <w:rsid w:val="00465C37"/>
    <w:rsid w:val="00466880"/>
    <w:rsid w:val="00471983"/>
    <w:rsid w:val="00471B8F"/>
    <w:rsid w:val="00472A37"/>
    <w:rsid w:val="00476A84"/>
    <w:rsid w:val="004852B0"/>
    <w:rsid w:val="00486F68"/>
    <w:rsid w:val="004909A3"/>
    <w:rsid w:val="00491034"/>
    <w:rsid w:val="00493F39"/>
    <w:rsid w:val="00496CD3"/>
    <w:rsid w:val="004A1A46"/>
    <w:rsid w:val="004A1CD4"/>
    <w:rsid w:val="004A4318"/>
    <w:rsid w:val="004A4C13"/>
    <w:rsid w:val="004A5055"/>
    <w:rsid w:val="004A6414"/>
    <w:rsid w:val="004A77A8"/>
    <w:rsid w:val="004A7A80"/>
    <w:rsid w:val="004B0612"/>
    <w:rsid w:val="004B1681"/>
    <w:rsid w:val="004B1D84"/>
    <w:rsid w:val="004B1DA2"/>
    <w:rsid w:val="004B2D83"/>
    <w:rsid w:val="004B3715"/>
    <w:rsid w:val="004B3BAC"/>
    <w:rsid w:val="004B3BF1"/>
    <w:rsid w:val="004B5804"/>
    <w:rsid w:val="004B59E3"/>
    <w:rsid w:val="004B6CA7"/>
    <w:rsid w:val="004B761A"/>
    <w:rsid w:val="004C11F5"/>
    <w:rsid w:val="004C1C35"/>
    <w:rsid w:val="004C3074"/>
    <w:rsid w:val="004C3A76"/>
    <w:rsid w:val="004C528C"/>
    <w:rsid w:val="004D126B"/>
    <w:rsid w:val="004D2EE5"/>
    <w:rsid w:val="004D438F"/>
    <w:rsid w:val="004D46C7"/>
    <w:rsid w:val="004D4BD0"/>
    <w:rsid w:val="004D729E"/>
    <w:rsid w:val="004E02AC"/>
    <w:rsid w:val="004E3246"/>
    <w:rsid w:val="004E3F8B"/>
    <w:rsid w:val="004E70E1"/>
    <w:rsid w:val="004E7332"/>
    <w:rsid w:val="004F0991"/>
    <w:rsid w:val="004F3404"/>
    <w:rsid w:val="004F3AF8"/>
    <w:rsid w:val="004F4417"/>
    <w:rsid w:val="004F60F5"/>
    <w:rsid w:val="004F723F"/>
    <w:rsid w:val="00501230"/>
    <w:rsid w:val="00502EBD"/>
    <w:rsid w:val="00503326"/>
    <w:rsid w:val="00505287"/>
    <w:rsid w:val="00505CE1"/>
    <w:rsid w:val="00506C2E"/>
    <w:rsid w:val="00512056"/>
    <w:rsid w:val="00512A06"/>
    <w:rsid w:val="00513740"/>
    <w:rsid w:val="00514876"/>
    <w:rsid w:val="005148CE"/>
    <w:rsid w:val="005167A4"/>
    <w:rsid w:val="00525856"/>
    <w:rsid w:val="00531573"/>
    <w:rsid w:val="00532295"/>
    <w:rsid w:val="00532320"/>
    <w:rsid w:val="005327CC"/>
    <w:rsid w:val="00536EC3"/>
    <w:rsid w:val="00540DE9"/>
    <w:rsid w:val="00540E65"/>
    <w:rsid w:val="00540F6B"/>
    <w:rsid w:val="00541D78"/>
    <w:rsid w:val="00542519"/>
    <w:rsid w:val="00544043"/>
    <w:rsid w:val="005441C4"/>
    <w:rsid w:val="00545796"/>
    <w:rsid w:val="0054766C"/>
    <w:rsid w:val="00551A52"/>
    <w:rsid w:val="0055246B"/>
    <w:rsid w:val="005542D7"/>
    <w:rsid w:val="005543A2"/>
    <w:rsid w:val="0055509D"/>
    <w:rsid w:val="005554EB"/>
    <w:rsid w:val="00555E5D"/>
    <w:rsid w:val="005561F3"/>
    <w:rsid w:val="00557FFE"/>
    <w:rsid w:val="00561376"/>
    <w:rsid w:val="00561401"/>
    <w:rsid w:val="0056194B"/>
    <w:rsid w:val="00562DA4"/>
    <w:rsid w:val="00562DAA"/>
    <w:rsid w:val="00563C50"/>
    <w:rsid w:val="00567293"/>
    <w:rsid w:val="00567F3F"/>
    <w:rsid w:val="0057620C"/>
    <w:rsid w:val="00576B9E"/>
    <w:rsid w:val="005777AC"/>
    <w:rsid w:val="0058002A"/>
    <w:rsid w:val="0058162A"/>
    <w:rsid w:val="0058222A"/>
    <w:rsid w:val="00583E19"/>
    <w:rsid w:val="00583FB5"/>
    <w:rsid w:val="00587188"/>
    <w:rsid w:val="00587BEB"/>
    <w:rsid w:val="0059017C"/>
    <w:rsid w:val="00590215"/>
    <w:rsid w:val="005906CB"/>
    <w:rsid w:val="0059170B"/>
    <w:rsid w:val="00592AD1"/>
    <w:rsid w:val="0059590D"/>
    <w:rsid w:val="005969F1"/>
    <w:rsid w:val="005A075A"/>
    <w:rsid w:val="005A0C0E"/>
    <w:rsid w:val="005A0CD6"/>
    <w:rsid w:val="005A1E7A"/>
    <w:rsid w:val="005A3707"/>
    <w:rsid w:val="005A5FD7"/>
    <w:rsid w:val="005B00F1"/>
    <w:rsid w:val="005B36B9"/>
    <w:rsid w:val="005B55AD"/>
    <w:rsid w:val="005B73FC"/>
    <w:rsid w:val="005B752A"/>
    <w:rsid w:val="005C132D"/>
    <w:rsid w:val="005C1782"/>
    <w:rsid w:val="005C1DCA"/>
    <w:rsid w:val="005C222E"/>
    <w:rsid w:val="005C2899"/>
    <w:rsid w:val="005C588C"/>
    <w:rsid w:val="005C58D7"/>
    <w:rsid w:val="005C661F"/>
    <w:rsid w:val="005D2008"/>
    <w:rsid w:val="005D5C0E"/>
    <w:rsid w:val="005D5C46"/>
    <w:rsid w:val="005D7313"/>
    <w:rsid w:val="005D7D44"/>
    <w:rsid w:val="005E290A"/>
    <w:rsid w:val="005E353E"/>
    <w:rsid w:val="005E360F"/>
    <w:rsid w:val="005E7359"/>
    <w:rsid w:val="005F0157"/>
    <w:rsid w:val="005F17BD"/>
    <w:rsid w:val="005F3367"/>
    <w:rsid w:val="005F6091"/>
    <w:rsid w:val="00602F72"/>
    <w:rsid w:val="00604404"/>
    <w:rsid w:val="00605CD3"/>
    <w:rsid w:val="006073F6"/>
    <w:rsid w:val="00607999"/>
    <w:rsid w:val="00610075"/>
    <w:rsid w:val="00612369"/>
    <w:rsid w:val="00613375"/>
    <w:rsid w:val="006150A0"/>
    <w:rsid w:val="006155E2"/>
    <w:rsid w:val="0061572E"/>
    <w:rsid w:val="0062075E"/>
    <w:rsid w:val="006232FC"/>
    <w:rsid w:val="00627729"/>
    <w:rsid w:val="00631580"/>
    <w:rsid w:val="006338D8"/>
    <w:rsid w:val="00635689"/>
    <w:rsid w:val="00641A61"/>
    <w:rsid w:val="00641D76"/>
    <w:rsid w:val="00641ED3"/>
    <w:rsid w:val="0064286F"/>
    <w:rsid w:val="006429A6"/>
    <w:rsid w:val="006434C4"/>
    <w:rsid w:val="006448BA"/>
    <w:rsid w:val="00645056"/>
    <w:rsid w:val="00650A89"/>
    <w:rsid w:val="006533F7"/>
    <w:rsid w:val="006542F2"/>
    <w:rsid w:val="00654A4D"/>
    <w:rsid w:val="0065569D"/>
    <w:rsid w:val="0065796E"/>
    <w:rsid w:val="00657D84"/>
    <w:rsid w:val="006612EE"/>
    <w:rsid w:val="006620BD"/>
    <w:rsid w:val="00662D73"/>
    <w:rsid w:val="00664473"/>
    <w:rsid w:val="006646C2"/>
    <w:rsid w:val="006649AB"/>
    <w:rsid w:val="00665B6A"/>
    <w:rsid w:val="00667162"/>
    <w:rsid w:val="0066780E"/>
    <w:rsid w:val="006711B6"/>
    <w:rsid w:val="006715A7"/>
    <w:rsid w:val="00671669"/>
    <w:rsid w:val="00672B60"/>
    <w:rsid w:val="00675904"/>
    <w:rsid w:val="006761E8"/>
    <w:rsid w:val="00676BDA"/>
    <w:rsid w:val="00677079"/>
    <w:rsid w:val="00684B48"/>
    <w:rsid w:val="00684E8C"/>
    <w:rsid w:val="00686ED7"/>
    <w:rsid w:val="00690028"/>
    <w:rsid w:val="00690B3B"/>
    <w:rsid w:val="00690D89"/>
    <w:rsid w:val="00692A6F"/>
    <w:rsid w:val="00695C15"/>
    <w:rsid w:val="0069737C"/>
    <w:rsid w:val="006973A4"/>
    <w:rsid w:val="006977CF"/>
    <w:rsid w:val="006978E9"/>
    <w:rsid w:val="006A0262"/>
    <w:rsid w:val="006A1817"/>
    <w:rsid w:val="006A20B5"/>
    <w:rsid w:val="006A3B95"/>
    <w:rsid w:val="006A3C01"/>
    <w:rsid w:val="006A415D"/>
    <w:rsid w:val="006A4695"/>
    <w:rsid w:val="006A580C"/>
    <w:rsid w:val="006A5FA5"/>
    <w:rsid w:val="006A7E95"/>
    <w:rsid w:val="006B3F38"/>
    <w:rsid w:val="006B41CB"/>
    <w:rsid w:val="006B4DC7"/>
    <w:rsid w:val="006C080E"/>
    <w:rsid w:val="006C137C"/>
    <w:rsid w:val="006C2C80"/>
    <w:rsid w:val="006C5178"/>
    <w:rsid w:val="006C729A"/>
    <w:rsid w:val="006D1669"/>
    <w:rsid w:val="006D1D66"/>
    <w:rsid w:val="006D22C3"/>
    <w:rsid w:val="006D27BC"/>
    <w:rsid w:val="006D5744"/>
    <w:rsid w:val="006D66F5"/>
    <w:rsid w:val="006D7898"/>
    <w:rsid w:val="006E5D15"/>
    <w:rsid w:val="006F0168"/>
    <w:rsid w:val="006F19C6"/>
    <w:rsid w:val="006F2B16"/>
    <w:rsid w:val="006F41EE"/>
    <w:rsid w:val="006F4D69"/>
    <w:rsid w:val="006F5BAA"/>
    <w:rsid w:val="006F634A"/>
    <w:rsid w:val="006F745D"/>
    <w:rsid w:val="007019E5"/>
    <w:rsid w:val="0070260C"/>
    <w:rsid w:val="00710226"/>
    <w:rsid w:val="007106A6"/>
    <w:rsid w:val="007114A4"/>
    <w:rsid w:val="0071218B"/>
    <w:rsid w:val="0071292A"/>
    <w:rsid w:val="00714154"/>
    <w:rsid w:val="00716478"/>
    <w:rsid w:val="007168D4"/>
    <w:rsid w:val="00716C0B"/>
    <w:rsid w:val="00717C07"/>
    <w:rsid w:val="007205DE"/>
    <w:rsid w:val="007208EA"/>
    <w:rsid w:val="00721E5E"/>
    <w:rsid w:val="00723E1F"/>
    <w:rsid w:val="00724396"/>
    <w:rsid w:val="007244C7"/>
    <w:rsid w:val="0072587F"/>
    <w:rsid w:val="00726F05"/>
    <w:rsid w:val="00727191"/>
    <w:rsid w:val="00733091"/>
    <w:rsid w:val="007338C8"/>
    <w:rsid w:val="00733A1A"/>
    <w:rsid w:val="00735889"/>
    <w:rsid w:val="0074011E"/>
    <w:rsid w:val="00742D51"/>
    <w:rsid w:val="007433FB"/>
    <w:rsid w:val="00743FC8"/>
    <w:rsid w:val="00744688"/>
    <w:rsid w:val="007446E5"/>
    <w:rsid w:val="00744E9D"/>
    <w:rsid w:val="00746C77"/>
    <w:rsid w:val="00746E3D"/>
    <w:rsid w:val="00750C1E"/>
    <w:rsid w:val="00750CC4"/>
    <w:rsid w:val="00751C5A"/>
    <w:rsid w:val="00752F58"/>
    <w:rsid w:val="00754B06"/>
    <w:rsid w:val="007567BD"/>
    <w:rsid w:val="00757831"/>
    <w:rsid w:val="00760A14"/>
    <w:rsid w:val="0076393B"/>
    <w:rsid w:val="0076682A"/>
    <w:rsid w:val="0076729A"/>
    <w:rsid w:val="007708D0"/>
    <w:rsid w:val="00771504"/>
    <w:rsid w:val="00776055"/>
    <w:rsid w:val="0077615F"/>
    <w:rsid w:val="00777023"/>
    <w:rsid w:val="00782114"/>
    <w:rsid w:val="00782235"/>
    <w:rsid w:val="007823AA"/>
    <w:rsid w:val="007866BD"/>
    <w:rsid w:val="007869A2"/>
    <w:rsid w:val="00791A27"/>
    <w:rsid w:val="007932B8"/>
    <w:rsid w:val="007934C7"/>
    <w:rsid w:val="007946DF"/>
    <w:rsid w:val="0079485D"/>
    <w:rsid w:val="00795644"/>
    <w:rsid w:val="007A0091"/>
    <w:rsid w:val="007A0E3D"/>
    <w:rsid w:val="007A1B56"/>
    <w:rsid w:val="007A2251"/>
    <w:rsid w:val="007A2905"/>
    <w:rsid w:val="007A4F3E"/>
    <w:rsid w:val="007A7668"/>
    <w:rsid w:val="007B5453"/>
    <w:rsid w:val="007B6336"/>
    <w:rsid w:val="007B6A8D"/>
    <w:rsid w:val="007B75D1"/>
    <w:rsid w:val="007C0F68"/>
    <w:rsid w:val="007C2CFC"/>
    <w:rsid w:val="007C49ED"/>
    <w:rsid w:val="007C4BA1"/>
    <w:rsid w:val="007C4F57"/>
    <w:rsid w:val="007C6ADD"/>
    <w:rsid w:val="007D31C2"/>
    <w:rsid w:val="007D79D6"/>
    <w:rsid w:val="007E0B13"/>
    <w:rsid w:val="007E2887"/>
    <w:rsid w:val="007E5363"/>
    <w:rsid w:val="007E53E4"/>
    <w:rsid w:val="007E5511"/>
    <w:rsid w:val="007E587D"/>
    <w:rsid w:val="007E77F3"/>
    <w:rsid w:val="007E7E83"/>
    <w:rsid w:val="007F01FE"/>
    <w:rsid w:val="007F0CDB"/>
    <w:rsid w:val="007F307E"/>
    <w:rsid w:val="007F4C79"/>
    <w:rsid w:val="007F5361"/>
    <w:rsid w:val="007F68C7"/>
    <w:rsid w:val="00802260"/>
    <w:rsid w:val="00803622"/>
    <w:rsid w:val="008038BE"/>
    <w:rsid w:val="00804A4F"/>
    <w:rsid w:val="0080572F"/>
    <w:rsid w:val="008075DF"/>
    <w:rsid w:val="0081065B"/>
    <w:rsid w:val="008112F6"/>
    <w:rsid w:val="0081188A"/>
    <w:rsid w:val="00812BDA"/>
    <w:rsid w:val="008164E2"/>
    <w:rsid w:val="00820646"/>
    <w:rsid w:val="008227FA"/>
    <w:rsid w:val="00824194"/>
    <w:rsid w:val="008246D6"/>
    <w:rsid w:val="0082478D"/>
    <w:rsid w:val="00824A31"/>
    <w:rsid w:val="00832DAC"/>
    <w:rsid w:val="00833C39"/>
    <w:rsid w:val="008343DA"/>
    <w:rsid w:val="00836EDB"/>
    <w:rsid w:val="0084071B"/>
    <w:rsid w:val="00841F28"/>
    <w:rsid w:val="0084349D"/>
    <w:rsid w:val="008469C3"/>
    <w:rsid w:val="00850811"/>
    <w:rsid w:val="00850C84"/>
    <w:rsid w:val="008516FD"/>
    <w:rsid w:val="00851E04"/>
    <w:rsid w:val="00853347"/>
    <w:rsid w:val="00855FE3"/>
    <w:rsid w:val="008569C8"/>
    <w:rsid w:val="00857E70"/>
    <w:rsid w:val="008610FD"/>
    <w:rsid w:val="00861149"/>
    <w:rsid w:val="00861869"/>
    <w:rsid w:val="008627BE"/>
    <w:rsid w:val="008645BB"/>
    <w:rsid w:val="00864FC8"/>
    <w:rsid w:val="00866070"/>
    <w:rsid w:val="00870A73"/>
    <w:rsid w:val="008731B3"/>
    <w:rsid w:val="0087383E"/>
    <w:rsid w:val="00876530"/>
    <w:rsid w:val="00882734"/>
    <w:rsid w:val="008828DA"/>
    <w:rsid w:val="00883B58"/>
    <w:rsid w:val="008857E6"/>
    <w:rsid w:val="00886C89"/>
    <w:rsid w:val="00895D14"/>
    <w:rsid w:val="00895F66"/>
    <w:rsid w:val="00896345"/>
    <w:rsid w:val="00896D1D"/>
    <w:rsid w:val="008A3B5A"/>
    <w:rsid w:val="008A4FDF"/>
    <w:rsid w:val="008B39EC"/>
    <w:rsid w:val="008B4B9D"/>
    <w:rsid w:val="008B4F2F"/>
    <w:rsid w:val="008B50A7"/>
    <w:rsid w:val="008B531C"/>
    <w:rsid w:val="008B7D12"/>
    <w:rsid w:val="008C0873"/>
    <w:rsid w:val="008C2CFF"/>
    <w:rsid w:val="008C3456"/>
    <w:rsid w:val="008C4EB3"/>
    <w:rsid w:val="008C55BC"/>
    <w:rsid w:val="008C6163"/>
    <w:rsid w:val="008C776D"/>
    <w:rsid w:val="008D0743"/>
    <w:rsid w:val="008D1851"/>
    <w:rsid w:val="008D3592"/>
    <w:rsid w:val="008D379A"/>
    <w:rsid w:val="008D40D3"/>
    <w:rsid w:val="008D53ED"/>
    <w:rsid w:val="008D7D50"/>
    <w:rsid w:val="008E24B8"/>
    <w:rsid w:val="008E41DB"/>
    <w:rsid w:val="008E50F2"/>
    <w:rsid w:val="008E6AA3"/>
    <w:rsid w:val="008E763C"/>
    <w:rsid w:val="008F1FDC"/>
    <w:rsid w:val="008F2EB1"/>
    <w:rsid w:val="008F51BD"/>
    <w:rsid w:val="00900031"/>
    <w:rsid w:val="00900525"/>
    <w:rsid w:val="009044A4"/>
    <w:rsid w:val="009051D4"/>
    <w:rsid w:val="0090691A"/>
    <w:rsid w:val="00910252"/>
    <w:rsid w:val="00912E80"/>
    <w:rsid w:val="0091666A"/>
    <w:rsid w:val="009215C0"/>
    <w:rsid w:val="00921765"/>
    <w:rsid w:val="00921F20"/>
    <w:rsid w:val="00923A2A"/>
    <w:rsid w:val="0092552C"/>
    <w:rsid w:val="009317FE"/>
    <w:rsid w:val="009339B5"/>
    <w:rsid w:val="00940515"/>
    <w:rsid w:val="00943C60"/>
    <w:rsid w:val="00945099"/>
    <w:rsid w:val="00950F5C"/>
    <w:rsid w:val="00954150"/>
    <w:rsid w:val="00955AEE"/>
    <w:rsid w:val="0095639A"/>
    <w:rsid w:val="00956C45"/>
    <w:rsid w:val="00957335"/>
    <w:rsid w:val="00957BED"/>
    <w:rsid w:val="00960275"/>
    <w:rsid w:val="00961351"/>
    <w:rsid w:val="00966A25"/>
    <w:rsid w:val="00966A37"/>
    <w:rsid w:val="009724BD"/>
    <w:rsid w:val="00973B9D"/>
    <w:rsid w:val="00973F27"/>
    <w:rsid w:val="00975EFD"/>
    <w:rsid w:val="00977545"/>
    <w:rsid w:val="009778D3"/>
    <w:rsid w:val="0097793D"/>
    <w:rsid w:val="00977B9E"/>
    <w:rsid w:val="00977C96"/>
    <w:rsid w:val="0098048E"/>
    <w:rsid w:val="00981DB5"/>
    <w:rsid w:val="0098485B"/>
    <w:rsid w:val="0099003C"/>
    <w:rsid w:val="00996448"/>
    <w:rsid w:val="009A6560"/>
    <w:rsid w:val="009A74B2"/>
    <w:rsid w:val="009B26DB"/>
    <w:rsid w:val="009B292C"/>
    <w:rsid w:val="009B3510"/>
    <w:rsid w:val="009B3972"/>
    <w:rsid w:val="009B42FF"/>
    <w:rsid w:val="009B4E8D"/>
    <w:rsid w:val="009B7A91"/>
    <w:rsid w:val="009B7F47"/>
    <w:rsid w:val="009C0E8B"/>
    <w:rsid w:val="009C3620"/>
    <w:rsid w:val="009C36BE"/>
    <w:rsid w:val="009C451A"/>
    <w:rsid w:val="009C5B1D"/>
    <w:rsid w:val="009C7556"/>
    <w:rsid w:val="009C7E1C"/>
    <w:rsid w:val="009D11ED"/>
    <w:rsid w:val="009D28C3"/>
    <w:rsid w:val="009D4653"/>
    <w:rsid w:val="009E0B3E"/>
    <w:rsid w:val="009E2DCC"/>
    <w:rsid w:val="009E4B18"/>
    <w:rsid w:val="009E4B8C"/>
    <w:rsid w:val="009E4FD5"/>
    <w:rsid w:val="009E564C"/>
    <w:rsid w:val="009E6414"/>
    <w:rsid w:val="009E6A84"/>
    <w:rsid w:val="009F0C3B"/>
    <w:rsid w:val="009F19C3"/>
    <w:rsid w:val="009F1D4B"/>
    <w:rsid w:val="009F563A"/>
    <w:rsid w:val="00A008B0"/>
    <w:rsid w:val="00A0224F"/>
    <w:rsid w:val="00A052EB"/>
    <w:rsid w:val="00A073AD"/>
    <w:rsid w:val="00A10B19"/>
    <w:rsid w:val="00A12B04"/>
    <w:rsid w:val="00A16E1B"/>
    <w:rsid w:val="00A206AF"/>
    <w:rsid w:val="00A2249F"/>
    <w:rsid w:val="00A2386A"/>
    <w:rsid w:val="00A24975"/>
    <w:rsid w:val="00A30136"/>
    <w:rsid w:val="00A31B07"/>
    <w:rsid w:val="00A31E50"/>
    <w:rsid w:val="00A34070"/>
    <w:rsid w:val="00A352BA"/>
    <w:rsid w:val="00A45705"/>
    <w:rsid w:val="00A50409"/>
    <w:rsid w:val="00A51A9E"/>
    <w:rsid w:val="00A51B16"/>
    <w:rsid w:val="00A53398"/>
    <w:rsid w:val="00A544ED"/>
    <w:rsid w:val="00A54555"/>
    <w:rsid w:val="00A54890"/>
    <w:rsid w:val="00A54C4A"/>
    <w:rsid w:val="00A55C54"/>
    <w:rsid w:val="00A61989"/>
    <w:rsid w:val="00A61D3B"/>
    <w:rsid w:val="00A63989"/>
    <w:rsid w:val="00A63BC9"/>
    <w:rsid w:val="00A644D2"/>
    <w:rsid w:val="00A65BB6"/>
    <w:rsid w:val="00A664A3"/>
    <w:rsid w:val="00A6681D"/>
    <w:rsid w:val="00A71E2D"/>
    <w:rsid w:val="00A72251"/>
    <w:rsid w:val="00A73A4C"/>
    <w:rsid w:val="00A75C1F"/>
    <w:rsid w:val="00A7703F"/>
    <w:rsid w:val="00A828CB"/>
    <w:rsid w:val="00A84E6C"/>
    <w:rsid w:val="00A9080E"/>
    <w:rsid w:val="00A91437"/>
    <w:rsid w:val="00A920A4"/>
    <w:rsid w:val="00A92456"/>
    <w:rsid w:val="00A9407E"/>
    <w:rsid w:val="00A94499"/>
    <w:rsid w:val="00A94915"/>
    <w:rsid w:val="00A94BFC"/>
    <w:rsid w:val="00A9663B"/>
    <w:rsid w:val="00A9782A"/>
    <w:rsid w:val="00AA0B35"/>
    <w:rsid w:val="00AA2420"/>
    <w:rsid w:val="00AA4A03"/>
    <w:rsid w:val="00AA575E"/>
    <w:rsid w:val="00AA619B"/>
    <w:rsid w:val="00AA664D"/>
    <w:rsid w:val="00AA6C13"/>
    <w:rsid w:val="00AA751C"/>
    <w:rsid w:val="00AB2BBF"/>
    <w:rsid w:val="00AB2C6F"/>
    <w:rsid w:val="00AB31C1"/>
    <w:rsid w:val="00AB7344"/>
    <w:rsid w:val="00AC4698"/>
    <w:rsid w:val="00AC53FA"/>
    <w:rsid w:val="00AC6884"/>
    <w:rsid w:val="00AC71D8"/>
    <w:rsid w:val="00AD084F"/>
    <w:rsid w:val="00AD44CC"/>
    <w:rsid w:val="00AD50C8"/>
    <w:rsid w:val="00AD5586"/>
    <w:rsid w:val="00AD6A29"/>
    <w:rsid w:val="00AD76EB"/>
    <w:rsid w:val="00AE180A"/>
    <w:rsid w:val="00AE182E"/>
    <w:rsid w:val="00AE37CA"/>
    <w:rsid w:val="00AE44EA"/>
    <w:rsid w:val="00AE532E"/>
    <w:rsid w:val="00AE77C7"/>
    <w:rsid w:val="00AF166B"/>
    <w:rsid w:val="00AF402F"/>
    <w:rsid w:val="00AF595F"/>
    <w:rsid w:val="00AF5A58"/>
    <w:rsid w:val="00B0080E"/>
    <w:rsid w:val="00B01F16"/>
    <w:rsid w:val="00B04F8D"/>
    <w:rsid w:val="00B06F43"/>
    <w:rsid w:val="00B07884"/>
    <w:rsid w:val="00B07C2B"/>
    <w:rsid w:val="00B110F8"/>
    <w:rsid w:val="00B11CC8"/>
    <w:rsid w:val="00B12BD4"/>
    <w:rsid w:val="00B12CC3"/>
    <w:rsid w:val="00B15850"/>
    <w:rsid w:val="00B21DAE"/>
    <w:rsid w:val="00B228B9"/>
    <w:rsid w:val="00B23E32"/>
    <w:rsid w:val="00B24072"/>
    <w:rsid w:val="00B270DE"/>
    <w:rsid w:val="00B332F6"/>
    <w:rsid w:val="00B33BDA"/>
    <w:rsid w:val="00B3476C"/>
    <w:rsid w:val="00B34E12"/>
    <w:rsid w:val="00B35F77"/>
    <w:rsid w:val="00B36554"/>
    <w:rsid w:val="00B369BF"/>
    <w:rsid w:val="00B40D05"/>
    <w:rsid w:val="00B4437B"/>
    <w:rsid w:val="00B44659"/>
    <w:rsid w:val="00B46A32"/>
    <w:rsid w:val="00B51DF6"/>
    <w:rsid w:val="00B531E5"/>
    <w:rsid w:val="00B53BE1"/>
    <w:rsid w:val="00B54A44"/>
    <w:rsid w:val="00B62775"/>
    <w:rsid w:val="00B64B77"/>
    <w:rsid w:val="00B667C1"/>
    <w:rsid w:val="00B729F9"/>
    <w:rsid w:val="00B7472E"/>
    <w:rsid w:val="00B74991"/>
    <w:rsid w:val="00B756F6"/>
    <w:rsid w:val="00B7576A"/>
    <w:rsid w:val="00B77CE4"/>
    <w:rsid w:val="00B77E83"/>
    <w:rsid w:val="00B827E0"/>
    <w:rsid w:val="00B82A59"/>
    <w:rsid w:val="00B82E6C"/>
    <w:rsid w:val="00B91516"/>
    <w:rsid w:val="00B923C6"/>
    <w:rsid w:val="00B92C71"/>
    <w:rsid w:val="00B92CF9"/>
    <w:rsid w:val="00B94ADF"/>
    <w:rsid w:val="00B9553A"/>
    <w:rsid w:val="00BA075C"/>
    <w:rsid w:val="00BA192E"/>
    <w:rsid w:val="00BA2075"/>
    <w:rsid w:val="00BA252C"/>
    <w:rsid w:val="00BA3A7C"/>
    <w:rsid w:val="00BA4DFF"/>
    <w:rsid w:val="00BA594C"/>
    <w:rsid w:val="00BA5F42"/>
    <w:rsid w:val="00BB13F9"/>
    <w:rsid w:val="00BB167D"/>
    <w:rsid w:val="00BB2E13"/>
    <w:rsid w:val="00BB3492"/>
    <w:rsid w:val="00BB3BB8"/>
    <w:rsid w:val="00BB40F0"/>
    <w:rsid w:val="00BB7B00"/>
    <w:rsid w:val="00BC078D"/>
    <w:rsid w:val="00BC0DA1"/>
    <w:rsid w:val="00BC12C2"/>
    <w:rsid w:val="00BC23C0"/>
    <w:rsid w:val="00BC50D3"/>
    <w:rsid w:val="00BC7C76"/>
    <w:rsid w:val="00BD0AC5"/>
    <w:rsid w:val="00BD0D07"/>
    <w:rsid w:val="00BD65FA"/>
    <w:rsid w:val="00BD72EA"/>
    <w:rsid w:val="00BD78A6"/>
    <w:rsid w:val="00BE018B"/>
    <w:rsid w:val="00BE0D96"/>
    <w:rsid w:val="00BE3421"/>
    <w:rsid w:val="00BE6BB8"/>
    <w:rsid w:val="00BE7CC3"/>
    <w:rsid w:val="00BF0525"/>
    <w:rsid w:val="00BF14DE"/>
    <w:rsid w:val="00BF24C4"/>
    <w:rsid w:val="00BF2637"/>
    <w:rsid w:val="00BF3123"/>
    <w:rsid w:val="00BF4206"/>
    <w:rsid w:val="00BF5EFD"/>
    <w:rsid w:val="00BF69AB"/>
    <w:rsid w:val="00C04656"/>
    <w:rsid w:val="00C05004"/>
    <w:rsid w:val="00C0622A"/>
    <w:rsid w:val="00C06986"/>
    <w:rsid w:val="00C109D2"/>
    <w:rsid w:val="00C10E5A"/>
    <w:rsid w:val="00C114C3"/>
    <w:rsid w:val="00C13526"/>
    <w:rsid w:val="00C143E1"/>
    <w:rsid w:val="00C15677"/>
    <w:rsid w:val="00C22D0A"/>
    <w:rsid w:val="00C23D6E"/>
    <w:rsid w:val="00C25767"/>
    <w:rsid w:val="00C30F1E"/>
    <w:rsid w:val="00C34FEE"/>
    <w:rsid w:val="00C36638"/>
    <w:rsid w:val="00C37E3E"/>
    <w:rsid w:val="00C40549"/>
    <w:rsid w:val="00C409BE"/>
    <w:rsid w:val="00C40E9A"/>
    <w:rsid w:val="00C42340"/>
    <w:rsid w:val="00C43AE4"/>
    <w:rsid w:val="00C512D5"/>
    <w:rsid w:val="00C51427"/>
    <w:rsid w:val="00C6079D"/>
    <w:rsid w:val="00C612CF"/>
    <w:rsid w:val="00C635D6"/>
    <w:rsid w:val="00C654FB"/>
    <w:rsid w:val="00C675CD"/>
    <w:rsid w:val="00C736F3"/>
    <w:rsid w:val="00C77798"/>
    <w:rsid w:val="00C82A6F"/>
    <w:rsid w:val="00C84DEE"/>
    <w:rsid w:val="00C85550"/>
    <w:rsid w:val="00C91DA8"/>
    <w:rsid w:val="00C9482E"/>
    <w:rsid w:val="00C948E6"/>
    <w:rsid w:val="00C94D96"/>
    <w:rsid w:val="00C97077"/>
    <w:rsid w:val="00C97F72"/>
    <w:rsid w:val="00C97FD1"/>
    <w:rsid w:val="00CA475A"/>
    <w:rsid w:val="00CA54B9"/>
    <w:rsid w:val="00CA6B2D"/>
    <w:rsid w:val="00CA71DF"/>
    <w:rsid w:val="00CB0278"/>
    <w:rsid w:val="00CB0751"/>
    <w:rsid w:val="00CB0BEA"/>
    <w:rsid w:val="00CB40BF"/>
    <w:rsid w:val="00CB4CB6"/>
    <w:rsid w:val="00CB5729"/>
    <w:rsid w:val="00CB5805"/>
    <w:rsid w:val="00CC053C"/>
    <w:rsid w:val="00CC7F05"/>
    <w:rsid w:val="00CD3AE4"/>
    <w:rsid w:val="00CD539D"/>
    <w:rsid w:val="00CD5EE6"/>
    <w:rsid w:val="00CD60E9"/>
    <w:rsid w:val="00CD7198"/>
    <w:rsid w:val="00CD7985"/>
    <w:rsid w:val="00CE19A4"/>
    <w:rsid w:val="00CE3064"/>
    <w:rsid w:val="00CE46AC"/>
    <w:rsid w:val="00CE6A18"/>
    <w:rsid w:val="00CE7422"/>
    <w:rsid w:val="00CE7581"/>
    <w:rsid w:val="00CF1083"/>
    <w:rsid w:val="00CF3255"/>
    <w:rsid w:val="00CF35D8"/>
    <w:rsid w:val="00CF379E"/>
    <w:rsid w:val="00D04B9C"/>
    <w:rsid w:val="00D05952"/>
    <w:rsid w:val="00D061B0"/>
    <w:rsid w:val="00D061C9"/>
    <w:rsid w:val="00D07736"/>
    <w:rsid w:val="00D11FE7"/>
    <w:rsid w:val="00D120F9"/>
    <w:rsid w:val="00D1563F"/>
    <w:rsid w:val="00D15A5E"/>
    <w:rsid w:val="00D15B73"/>
    <w:rsid w:val="00D15E4B"/>
    <w:rsid w:val="00D16511"/>
    <w:rsid w:val="00D16B5A"/>
    <w:rsid w:val="00D17D4D"/>
    <w:rsid w:val="00D2095E"/>
    <w:rsid w:val="00D22269"/>
    <w:rsid w:val="00D22928"/>
    <w:rsid w:val="00D2468A"/>
    <w:rsid w:val="00D26034"/>
    <w:rsid w:val="00D3065D"/>
    <w:rsid w:val="00D31C00"/>
    <w:rsid w:val="00D32920"/>
    <w:rsid w:val="00D34091"/>
    <w:rsid w:val="00D3487D"/>
    <w:rsid w:val="00D41A03"/>
    <w:rsid w:val="00D41D96"/>
    <w:rsid w:val="00D42439"/>
    <w:rsid w:val="00D427F0"/>
    <w:rsid w:val="00D45397"/>
    <w:rsid w:val="00D47D53"/>
    <w:rsid w:val="00D47F99"/>
    <w:rsid w:val="00D5074F"/>
    <w:rsid w:val="00D54059"/>
    <w:rsid w:val="00D5519A"/>
    <w:rsid w:val="00D57E59"/>
    <w:rsid w:val="00D7030D"/>
    <w:rsid w:val="00D71DDD"/>
    <w:rsid w:val="00D71F62"/>
    <w:rsid w:val="00D7526F"/>
    <w:rsid w:val="00D7634D"/>
    <w:rsid w:val="00D7687D"/>
    <w:rsid w:val="00D76C6D"/>
    <w:rsid w:val="00D8576B"/>
    <w:rsid w:val="00D86594"/>
    <w:rsid w:val="00D86B31"/>
    <w:rsid w:val="00D86F8E"/>
    <w:rsid w:val="00D920DE"/>
    <w:rsid w:val="00D92E33"/>
    <w:rsid w:val="00D93ED6"/>
    <w:rsid w:val="00D96455"/>
    <w:rsid w:val="00D979CF"/>
    <w:rsid w:val="00DA109A"/>
    <w:rsid w:val="00DA340C"/>
    <w:rsid w:val="00DA7587"/>
    <w:rsid w:val="00DA7AB5"/>
    <w:rsid w:val="00DA7C5D"/>
    <w:rsid w:val="00DB07BD"/>
    <w:rsid w:val="00DB1239"/>
    <w:rsid w:val="00DB193F"/>
    <w:rsid w:val="00DB243B"/>
    <w:rsid w:val="00DB5EA1"/>
    <w:rsid w:val="00DB7C22"/>
    <w:rsid w:val="00DC1ED3"/>
    <w:rsid w:val="00DC3C17"/>
    <w:rsid w:val="00DC46E2"/>
    <w:rsid w:val="00DC562F"/>
    <w:rsid w:val="00DC6C94"/>
    <w:rsid w:val="00DC77C2"/>
    <w:rsid w:val="00DC7D45"/>
    <w:rsid w:val="00DD2E45"/>
    <w:rsid w:val="00DD697E"/>
    <w:rsid w:val="00DD72A2"/>
    <w:rsid w:val="00DD7C08"/>
    <w:rsid w:val="00DE3C02"/>
    <w:rsid w:val="00DE428F"/>
    <w:rsid w:val="00DE4A6A"/>
    <w:rsid w:val="00DE62C2"/>
    <w:rsid w:val="00DE69BB"/>
    <w:rsid w:val="00DE75EB"/>
    <w:rsid w:val="00DF0130"/>
    <w:rsid w:val="00DF0A24"/>
    <w:rsid w:val="00DF17D1"/>
    <w:rsid w:val="00DF1C96"/>
    <w:rsid w:val="00DF4A25"/>
    <w:rsid w:val="00DF6B1A"/>
    <w:rsid w:val="00DF7986"/>
    <w:rsid w:val="00E020EC"/>
    <w:rsid w:val="00E03F55"/>
    <w:rsid w:val="00E05E71"/>
    <w:rsid w:val="00E0711A"/>
    <w:rsid w:val="00E10811"/>
    <w:rsid w:val="00E10845"/>
    <w:rsid w:val="00E1456D"/>
    <w:rsid w:val="00E14E9D"/>
    <w:rsid w:val="00E22259"/>
    <w:rsid w:val="00E26B71"/>
    <w:rsid w:val="00E26FED"/>
    <w:rsid w:val="00E30C26"/>
    <w:rsid w:val="00E30D83"/>
    <w:rsid w:val="00E33BF4"/>
    <w:rsid w:val="00E35EBE"/>
    <w:rsid w:val="00E37250"/>
    <w:rsid w:val="00E407B4"/>
    <w:rsid w:val="00E421DB"/>
    <w:rsid w:val="00E43694"/>
    <w:rsid w:val="00E46BC5"/>
    <w:rsid w:val="00E55240"/>
    <w:rsid w:val="00E601FF"/>
    <w:rsid w:val="00E607CD"/>
    <w:rsid w:val="00E63229"/>
    <w:rsid w:val="00E660D2"/>
    <w:rsid w:val="00E72364"/>
    <w:rsid w:val="00E723FA"/>
    <w:rsid w:val="00E7488B"/>
    <w:rsid w:val="00E776A4"/>
    <w:rsid w:val="00E80BB7"/>
    <w:rsid w:val="00E84666"/>
    <w:rsid w:val="00E85D4E"/>
    <w:rsid w:val="00E86B6C"/>
    <w:rsid w:val="00E95626"/>
    <w:rsid w:val="00E95F41"/>
    <w:rsid w:val="00E97CF9"/>
    <w:rsid w:val="00EA0B98"/>
    <w:rsid w:val="00EA16E8"/>
    <w:rsid w:val="00EA1AA8"/>
    <w:rsid w:val="00EA1C94"/>
    <w:rsid w:val="00EA25DB"/>
    <w:rsid w:val="00EB02CE"/>
    <w:rsid w:val="00EB359C"/>
    <w:rsid w:val="00EB4C5B"/>
    <w:rsid w:val="00EB5571"/>
    <w:rsid w:val="00EB69EE"/>
    <w:rsid w:val="00EB713F"/>
    <w:rsid w:val="00EC079F"/>
    <w:rsid w:val="00EC0E9E"/>
    <w:rsid w:val="00EC2086"/>
    <w:rsid w:val="00EC2E46"/>
    <w:rsid w:val="00EC454C"/>
    <w:rsid w:val="00EC6D51"/>
    <w:rsid w:val="00ED017B"/>
    <w:rsid w:val="00ED25EC"/>
    <w:rsid w:val="00ED263C"/>
    <w:rsid w:val="00ED2ABC"/>
    <w:rsid w:val="00ED4F70"/>
    <w:rsid w:val="00ED53CB"/>
    <w:rsid w:val="00EE13BC"/>
    <w:rsid w:val="00EE25E0"/>
    <w:rsid w:val="00EE340D"/>
    <w:rsid w:val="00EE6EE5"/>
    <w:rsid w:val="00EF0778"/>
    <w:rsid w:val="00EF1A9B"/>
    <w:rsid w:val="00EF2015"/>
    <w:rsid w:val="00EF5112"/>
    <w:rsid w:val="00EF74FD"/>
    <w:rsid w:val="00EF765E"/>
    <w:rsid w:val="00F00145"/>
    <w:rsid w:val="00F002C6"/>
    <w:rsid w:val="00F00320"/>
    <w:rsid w:val="00F0076D"/>
    <w:rsid w:val="00F013CE"/>
    <w:rsid w:val="00F05A01"/>
    <w:rsid w:val="00F11683"/>
    <w:rsid w:val="00F11FCE"/>
    <w:rsid w:val="00F24815"/>
    <w:rsid w:val="00F26E1E"/>
    <w:rsid w:val="00F26FEA"/>
    <w:rsid w:val="00F30735"/>
    <w:rsid w:val="00F31724"/>
    <w:rsid w:val="00F32396"/>
    <w:rsid w:val="00F326DB"/>
    <w:rsid w:val="00F34FEF"/>
    <w:rsid w:val="00F361C3"/>
    <w:rsid w:val="00F36934"/>
    <w:rsid w:val="00F41C41"/>
    <w:rsid w:val="00F421B0"/>
    <w:rsid w:val="00F477AD"/>
    <w:rsid w:val="00F50803"/>
    <w:rsid w:val="00F51E3A"/>
    <w:rsid w:val="00F543D8"/>
    <w:rsid w:val="00F54585"/>
    <w:rsid w:val="00F5501C"/>
    <w:rsid w:val="00F55591"/>
    <w:rsid w:val="00F567B3"/>
    <w:rsid w:val="00F5759C"/>
    <w:rsid w:val="00F60087"/>
    <w:rsid w:val="00F6048C"/>
    <w:rsid w:val="00F618E0"/>
    <w:rsid w:val="00F6194B"/>
    <w:rsid w:val="00F63EB6"/>
    <w:rsid w:val="00F6486A"/>
    <w:rsid w:val="00F65B5A"/>
    <w:rsid w:val="00F66C6D"/>
    <w:rsid w:val="00F7230D"/>
    <w:rsid w:val="00F72BE7"/>
    <w:rsid w:val="00F75BF1"/>
    <w:rsid w:val="00F825E2"/>
    <w:rsid w:val="00F82B1E"/>
    <w:rsid w:val="00F8443F"/>
    <w:rsid w:val="00F87134"/>
    <w:rsid w:val="00F87888"/>
    <w:rsid w:val="00F90036"/>
    <w:rsid w:val="00F90194"/>
    <w:rsid w:val="00F90258"/>
    <w:rsid w:val="00F9399B"/>
    <w:rsid w:val="00F93B88"/>
    <w:rsid w:val="00F93F6F"/>
    <w:rsid w:val="00F9571C"/>
    <w:rsid w:val="00F968DB"/>
    <w:rsid w:val="00F96971"/>
    <w:rsid w:val="00F97467"/>
    <w:rsid w:val="00FA0CF4"/>
    <w:rsid w:val="00FA4286"/>
    <w:rsid w:val="00FA4CF9"/>
    <w:rsid w:val="00FA660A"/>
    <w:rsid w:val="00FB0129"/>
    <w:rsid w:val="00FB1071"/>
    <w:rsid w:val="00FB164E"/>
    <w:rsid w:val="00FB2794"/>
    <w:rsid w:val="00FB2D2D"/>
    <w:rsid w:val="00FB3D00"/>
    <w:rsid w:val="00FB57C3"/>
    <w:rsid w:val="00FB5B6B"/>
    <w:rsid w:val="00FB7C0F"/>
    <w:rsid w:val="00FC0D4F"/>
    <w:rsid w:val="00FC2286"/>
    <w:rsid w:val="00FC3327"/>
    <w:rsid w:val="00FC3589"/>
    <w:rsid w:val="00FC36B0"/>
    <w:rsid w:val="00FC4E76"/>
    <w:rsid w:val="00FC5B90"/>
    <w:rsid w:val="00FC6FDB"/>
    <w:rsid w:val="00FD36B6"/>
    <w:rsid w:val="00FD3789"/>
    <w:rsid w:val="00FD5390"/>
    <w:rsid w:val="00FD659A"/>
    <w:rsid w:val="00FD76B9"/>
    <w:rsid w:val="00FE01B8"/>
    <w:rsid w:val="00FE06A0"/>
    <w:rsid w:val="00FE0BF8"/>
    <w:rsid w:val="00FE2C32"/>
    <w:rsid w:val="00FE4FCF"/>
    <w:rsid w:val="00FE674F"/>
    <w:rsid w:val="00FE748D"/>
    <w:rsid w:val="00FF3D6B"/>
    <w:rsid w:val="00FF743C"/>
    <w:rsid w:val="0401DD6D"/>
    <w:rsid w:val="1BC1B511"/>
    <w:rsid w:val="518A49E2"/>
    <w:rsid w:val="7AC4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8F04B5"/>
  <w15:docId w15:val="{E986CBBB-B33D-4888-80DB-16D0E7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87F"/>
  </w:style>
  <w:style w:type="paragraph" w:styleId="Heading1">
    <w:name w:val="heading 1"/>
    <w:basedOn w:val="Normal"/>
    <w:next w:val="Normal"/>
    <w:link w:val="Heading1Char"/>
    <w:uiPriority w:val="9"/>
    <w:qFormat/>
    <w:rsid w:val="007E53E4"/>
    <w:pPr>
      <w:keepNext/>
      <w:keepLines/>
      <w:numPr>
        <w:numId w:val="44"/>
      </w:numPr>
      <w:spacing w:after="0" w:line="240" w:lineRule="auto"/>
      <w:outlineLvl w:val="0"/>
    </w:pPr>
    <w:rPr>
      <w:color w:val="4472C4" w:themeColor="accent5"/>
      <w:sz w:val="24"/>
      <w:szCs w:val="28"/>
    </w:rPr>
  </w:style>
  <w:style w:type="paragraph" w:styleId="Heading2">
    <w:name w:val="heading 2"/>
    <w:basedOn w:val="Normal"/>
    <w:next w:val="Normal"/>
    <w:link w:val="Heading2Char"/>
    <w:uiPriority w:val="9"/>
    <w:qFormat/>
    <w:rsid w:val="00C34FEE"/>
    <w:pPr>
      <w:keepNext/>
      <w:keepLines/>
      <w:numPr>
        <w:ilvl w:val="1"/>
        <w:numId w:val="44"/>
      </w:numPr>
      <w:spacing w:before="200" w:after="0" w:line="276" w:lineRule="auto"/>
      <w:ind w:left="1170" w:hanging="540"/>
      <w:outlineLvl w:val="1"/>
    </w:pPr>
    <w:rPr>
      <w:color w:val="4472C4" w:themeColor="accent5"/>
      <w:szCs w:val="24"/>
    </w:rPr>
  </w:style>
  <w:style w:type="paragraph" w:styleId="Heading3">
    <w:name w:val="heading 3"/>
    <w:basedOn w:val="Normal"/>
    <w:next w:val="Normal"/>
    <w:link w:val="Heading3Char"/>
    <w:qFormat/>
    <w:pPr>
      <w:keepNext/>
      <w:keepLines/>
      <w:numPr>
        <w:ilvl w:val="2"/>
        <w:numId w:val="44"/>
      </w:numPr>
      <w:spacing w:before="200" w:after="0" w:line="276" w:lineRule="auto"/>
      <w:outlineLvl w:val="2"/>
    </w:pPr>
    <w:rPr>
      <w:b/>
      <w:color w:val="5B9BD5"/>
    </w:rPr>
  </w:style>
  <w:style w:type="paragraph" w:styleId="Heading4">
    <w:name w:val="heading 4"/>
    <w:basedOn w:val="Normal"/>
    <w:next w:val="Normal"/>
    <w:link w:val="Heading4Char"/>
    <w:uiPriority w:val="9"/>
    <w:qFormat/>
    <w:pPr>
      <w:keepNext/>
      <w:keepLines/>
      <w:numPr>
        <w:ilvl w:val="3"/>
        <w:numId w:val="44"/>
      </w:numPr>
      <w:spacing w:before="240" w:after="40"/>
      <w:contextualSpacing/>
      <w:outlineLvl w:val="3"/>
    </w:pPr>
    <w:rPr>
      <w:b/>
      <w:sz w:val="24"/>
      <w:szCs w:val="24"/>
    </w:rPr>
  </w:style>
  <w:style w:type="paragraph" w:styleId="Heading5">
    <w:name w:val="heading 5"/>
    <w:basedOn w:val="Normal"/>
    <w:next w:val="Normal"/>
    <w:link w:val="Heading5Char"/>
    <w:uiPriority w:val="9"/>
    <w:qFormat/>
    <w:pPr>
      <w:keepNext/>
      <w:keepLines/>
      <w:numPr>
        <w:ilvl w:val="4"/>
        <w:numId w:val="44"/>
      </w:numPr>
      <w:spacing w:before="220" w:after="40"/>
      <w:contextualSpacing/>
      <w:outlineLvl w:val="4"/>
    </w:pPr>
    <w:rPr>
      <w:b/>
    </w:rPr>
  </w:style>
  <w:style w:type="paragraph" w:styleId="Heading6">
    <w:name w:val="heading 6"/>
    <w:basedOn w:val="Normal"/>
    <w:next w:val="Normal"/>
    <w:qFormat/>
    <w:pPr>
      <w:keepNext/>
      <w:keepLines/>
      <w:numPr>
        <w:ilvl w:val="5"/>
        <w:numId w:val="44"/>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228B9"/>
    <w:pPr>
      <w:keepNext/>
      <w:keepLines/>
      <w:numPr>
        <w:ilvl w:val="6"/>
        <w:numId w:val="4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587F"/>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587F"/>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rPr>
      <w:color w:val="7B7B7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1"/>
    <w:rPr>
      <w:rFonts w:ascii="Segoe UI" w:hAnsi="Segoe UI" w:cs="Segoe UI"/>
      <w:sz w:val="18"/>
      <w:szCs w:val="18"/>
    </w:rPr>
  </w:style>
  <w:style w:type="paragraph" w:styleId="FootnoteText">
    <w:name w:val="footnote text"/>
    <w:basedOn w:val="Normal"/>
    <w:link w:val="FootnoteTextChar"/>
    <w:uiPriority w:val="99"/>
    <w:unhideWhenUsed/>
    <w:rsid w:val="00F05A01"/>
    <w:pPr>
      <w:spacing w:after="0" w:line="240" w:lineRule="auto"/>
    </w:pPr>
    <w:rPr>
      <w:sz w:val="20"/>
      <w:szCs w:val="20"/>
    </w:rPr>
  </w:style>
  <w:style w:type="character" w:customStyle="1" w:styleId="FootnoteTextChar">
    <w:name w:val="Footnote Text Char"/>
    <w:basedOn w:val="DefaultParagraphFont"/>
    <w:link w:val="FootnoteText"/>
    <w:uiPriority w:val="99"/>
    <w:rsid w:val="00F05A01"/>
    <w:rPr>
      <w:sz w:val="20"/>
      <w:szCs w:val="20"/>
    </w:rPr>
  </w:style>
  <w:style w:type="character" w:styleId="FootnoteReference">
    <w:name w:val="footnote reference"/>
    <w:basedOn w:val="DefaultParagraphFont"/>
    <w:uiPriority w:val="99"/>
    <w:unhideWhenUsed/>
    <w:rsid w:val="00F05A01"/>
    <w:rPr>
      <w:vertAlign w:val="superscript"/>
    </w:rPr>
  </w:style>
  <w:style w:type="paragraph" w:styleId="ListParagraph">
    <w:name w:val="List Paragraph"/>
    <w:basedOn w:val="Normal"/>
    <w:uiPriority w:val="1"/>
    <w:qFormat/>
    <w:rsid w:val="006715A7"/>
    <w:pPr>
      <w:ind w:left="720"/>
      <w:contextualSpacing/>
    </w:pPr>
  </w:style>
  <w:style w:type="character" w:styleId="Hyperlink">
    <w:name w:val="Hyperlink"/>
    <w:basedOn w:val="DefaultParagraphFont"/>
    <w:uiPriority w:val="99"/>
    <w:unhideWhenUsed/>
    <w:rsid w:val="0006117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2BD4"/>
    <w:rPr>
      <w:b/>
      <w:bCs/>
    </w:rPr>
  </w:style>
  <w:style w:type="character" w:customStyle="1" w:styleId="CommentSubjectChar">
    <w:name w:val="Comment Subject Char"/>
    <w:basedOn w:val="CommentTextChar"/>
    <w:link w:val="CommentSubject"/>
    <w:uiPriority w:val="99"/>
    <w:semiHidden/>
    <w:rsid w:val="00B12BD4"/>
    <w:rPr>
      <w:b/>
      <w:bCs/>
      <w:sz w:val="20"/>
      <w:szCs w:val="20"/>
    </w:rPr>
  </w:style>
  <w:style w:type="paragraph" w:styleId="Header">
    <w:name w:val="header"/>
    <w:basedOn w:val="Normal"/>
    <w:link w:val="HeaderChar"/>
    <w:uiPriority w:val="99"/>
    <w:unhideWhenUsed/>
    <w:rsid w:val="00F2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EA"/>
  </w:style>
  <w:style w:type="paragraph" w:styleId="Footer">
    <w:name w:val="footer"/>
    <w:basedOn w:val="Normal"/>
    <w:link w:val="FooterChar"/>
    <w:uiPriority w:val="99"/>
    <w:unhideWhenUsed/>
    <w:rsid w:val="00F2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EA"/>
  </w:style>
  <w:style w:type="paragraph" w:styleId="TOCHeading">
    <w:name w:val="TOC Heading"/>
    <w:basedOn w:val="Heading1"/>
    <w:next w:val="Normal"/>
    <w:uiPriority w:val="39"/>
    <w:unhideWhenUsed/>
    <w:qFormat/>
    <w:rsid w:val="0064286F"/>
    <w:pPr>
      <w:numPr>
        <w:numId w:val="0"/>
      </w:numPr>
      <w:spacing w:before="240" w:line="259" w:lineRule="auto"/>
      <w:ind w:left="432" w:hanging="432"/>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4286F"/>
    <w:pPr>
      <w:spacing w:after="100"/>
    </w:pPr>
  </w:style>
  <w:style w:type="paragraph" w:styleId="TOC2">
    <w:name w:val="toc 2"/>
    <w:basedOn w:val="Normal"/>
    <w:next w:val="Normal"/>
    <w:autoRedefine/>
    <w:uiPriority w:val="39"/>
    <w:unhideWhenUsed/>
    <w:rsid w:val="00F60087"/>
    <w:pPr>
      <w:tabs>
        <w:tab w:val="left" w:pos="880"/>
        <w:tab w:val="right" w:leader="dot" w:pos="9350"/>
      </w:tabs>
      <w:spacing w:after="100"/>
      <w:ind w:left="220"/>
    </w:pPr>
  </w:style>
  <w:style w:type="paragraph" w:styleId="TOC3">
    <w:name w:val="toc 3"/>
    <w:basedOn w:val="Normal"/>
    <w:next w:val="Normal"/>
    <w:autoRedefine/>
    <w:uiPriority w:val="39"/>
    <w:unhideWhenUsed/>
    <w:rsid w:val="0091666A"/>
    <w:pPr>
      <w:spacing w:after="100"/>
      <w:ind w:left="440"/>
    </w:pPr>
  </w:style>
  <w:style w:type="paragraph" w:styleId="TOC4">
    <w:name w:val="toc 4"/>
    <w:basedOn w:val="Normal"/>
    <w:next w:val="Normal"/>
    <w:autoRedefine/>
    <w:uiPriority w:val="39"/>
    <w:unhideWhenUsed/>
    <w:rsid w:val="0091666A"/>
    <w:pPr>
      <w:spacing w:after="100"/>
      <w:ind w:left="660"/>
    </w:pPr>
  </w:style>
  <w:style w:type="paragraph" w:styleId="TOC5">
    <w:name w:val="toc 5"/>
    <w:basedOn w:val="Normal"/>
    <w:next w:val="Normal"/>
    <w:autoRedefine/>
    <w:uiPriority w:val="39"/>
    <w:unhideWhenUsed/>
    <w:rsid w:val="00B228B9"/>
    <w:pPr>
      <w:spacing w:after="100"/>
      <w:ind w:left="880"/>
    </w:pPr>
  </w:style>
  <w:style w:type="paragraph" w:styleId="TOC6">
    <w:name w:val="toc 6"/>
    <w:basedOn w:val="Normal"/>
    <w:next w:val="Normal"/>
    <w:autoRedefine/>
    <w:uiPriority w:val="39"/>
    <w:unhideWhenUsed/>
    <w:rsid w:val="00B228B9"/>
    <w:pPr>
      <w:spacing w:after="100"/>
      <w:ind w:left="1100"/>
    </w:pPr>
  </w:style>
  <w:style w:type="character" w:customStyle="1" w:styleId="Heading7Char">
    <w:name w:val="Heading 7 Char"/>
    <w:basedOn w:val="DefaultParagraphFont"/>
    <w:link w:val="Heading7"/>
    <w:uiPriority w:val="9"/>
    <w:semiHidden/>
    <w:rsid w:val="00B228B9"/>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B228B9"/>
    <w:pPr>
      <w:spacing w:after="100"/>
      <w:ind w:left="1320"/>
    </w:pPr>
  </w:style>
  <w:style w:type="paragraph" w:styleId="Caption">
    <w:name w:val="caption"/>
    <w:basedOn w:val="Normal"/>
    <w:next w:val="Normal"/>
    <w:uiPriority w:val="35"/>
    <w:unhideWhenUsed/>
    <w:qFormat/>
    <w:rsid w:val="0094509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45099"/>
    <w:pPr>
      <w:spacing w:after="0"/>
    </w:pPr>
  </w:style>
  <w:style w:type="character" w:styleId="FollowedHyperlink">
    <w:name w:val="FollowedHyperlink"/>
    <w:basedOn w:val="DefaultParagraphFont"/>
    <w:uiPriority w:val="99"/>
    <w:semiHidden/>
    <w:unhideWhenUsed/>
    <w:rsid w:val="00E10845"/>
    <w:rPr>
      <w:color w:val="954F72" w:themeColor="followedHyperlink"/>
      <w:u w:val="single"/>
    </w:rPr>
  </w:style>
  <w:style w:type="character" w:styleId="SubtleEmphasis">
    <w:name w:val="Subtle Emphasis"/>
    <w:basedOn w:val="DefaultParagraphFont"/>
    <w:uiPriority w:val="19"/>
    <w:qFormat/>
    <w:rsid w:val="00A9080E"/>
    <w:rPr>
      <w:i/>
      <w:iCs/>
      <w:color w:val="404040" w:themeColor="text1" w:themeTint="BF"/>
    </w:rPr>
  </w:style>
  <w:style w:type="character" w:customStyle="1" w:styleId="Heading3Char">
    <w:name w:val="Heading 3 Char"/>
    <w:basedOn w:val="DefaultParagraphFont"/>
    <w:link w:val="Heading3"/>
    <w:rsid w:val="00DD7C08"/>
    <w:rPr>
      <w:b/>
      <w:color w:val="5B9BD5"/>
    </w:rPr>
  </w:style>
  <w:style w:type="character" w:styleId="Mention">
    <w:name w:val="Mention"/>
    <w:basedOn w:val="DefaultParagraphFont"/>
    <w:uiPriority w:val="99"/>
    <w:unhideWhenUsed/>
    <w:rsid w:val="008C2CFF"/>
    <w:rPr>
      <w:color w:val="2B579A"/>
      <w:shd w:val="clear" w:color="auto" w:fill="E6E6E6"/>
    </w:rPr>
  </w:style>
  <w:style w:type="table" w:styleId="TableGrid">
    <w:name w:val="Table Grid"/>
    <w:aliases w:val="Signature Table"/>
    <w:basedOn w:val="TableNormal"/>
    <w:uiPriority w:val="39"/>
    <w:rsid w:val="008C2CF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CFF"/>
    <w:pPr>
      <w:spacing w:after="0" w:line="240" w:lineRule="auto"/>
    </w:pPr>
    <w:rPr>
      <w:rFonts w:asciiTheme="minorHAnsi" w:eastAsiaTheme="minorHAnsi" w:hAnsiTheme="minorHAnsi" w:cstheme="minorBidi"/>
      <w:color w:val="auto"/>
    </w:rPr>
  </w:style>
  <w:style w:type="paragraph" w:styleId="EndnoteText">
    <w:name w:val="endnote text"/>
    <w:basedOn w:val="Normal"/>
    <w:link w:val="EndnoteTextChar"/>
    <w:uiPriority w:val="99"/>
    <w:semiHidden/>
    <w:unhideWhenUsed/>
    <w:rsid w:val="008C2CFF"/>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8C2CFF"/>
    <w:rPr>
      <w:rFonts w:asciiTheme="minorHAnsi" w:eastAsiaTheme="minorHAnsi" w:hAnsiTheme="minorHAnsi" w:cstheme="minorBidi"/>
      <w:color w:val="auto"/>
      <w:sz w:val="20"/>
      <w:szCs w:val="20"/>
    </w:rPr>
  </w:style>
  <w:style w:type="character" w:styleId="EndnoteReference">
    <w:name w:val="endnote reference"/>
    <w:basedOn w:val="DefaultParagraphFont"/>
    <w:uiPriority w:val="99"/>
    <w:semiHidden/>
    <w:unhideWhenUsed/>
    <w:rsid w:val="008C2CFF"/>
    <w:rPr>
      <w:vertAlign w:val="superscript"/>
    </w:rPr>
  </w:style>
  <w:style w:type="character" w:styleId="Emphasis">
    <w:name w:val="Emphasis"/>
    <w:basedOn w:val="DefaultParagraphFont"/>
    <w:uiPriority w:val="20"/>
    <w:qFormat/>
    <w:rsid w:val="008C2CFF"/>
    <w:rPr>
      <w:i/>
      <w:iCs/>
    </w:rPr>
  </w:style>
  <w:style w:type="character" w:customStyle="1" w:styleId="Heading1Char">
    <w:name w:val="Heading 1 Char"/>
    <w:basedOn w:val="DefaultParagraphFont"/>
    <w:link w:val="Heading1"/>
    <w:uiPriority w:val="9"/>
    <w:rsid w:val="007E53E4"/>
    <w:rPr>
      <w:color w:val="4472C4" w:themeColor="accent5"/>
      <w:sz w:val="24"/>
      <w:szCs w:val="28"/>
    </w:rPr>
  </w:style>
  <w:style w:type="character" w:customStyle="1" w:styleId="Heading4Char">
    <w:name w:val="Heading 4 Char"/>
    <w:basedOn w:val="DefaultParagraphFont"/>
    <w:link w:val="Heading4"/>
    <w:uiPriority w:val="9"/>
    <w:rsid w:val="008C2CFF"/>
    <w:rPr>
      <w:b/>
      <w:sz w:val="24"/>
      <w:szCs w:val="24"/>
    </w:rPr>
  </w:style>
  <w:style w:type="character" w:customStyle="1" w:styleId="Heading2Char">
    <w:name w:val="Heading 2 Char"/>
    <w:basedOn w:val="DefaultParagraphFont"/>
    <w:link w:val="Heading2"/>
    <w:uiPriority w:val="9"/>
    <w:rsid w:val="00C34FEE"/>
    <w:rPr>
      <w:color w:val="4472C4" w:themeColor="accent5"/>
      <w:szCs w:val="24"/>
    </w:rPr>
  </w:style>
  <w:style w:type="paragraph" w:styleId="NormalWeb">
    <w:name w:val="Normal (Web)"/>
    <w:basedOn w:val="Normal"/>
    <w:uiPriority w:val="99"/>
    <w:semiHidden/>
    <w:unhideWhenUsed/>
    <w:rsid w:val="008C2C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rsid w:val="008C2CF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8C2CFF"/>
    <w:rPr>
      <w:rFonts w:eastAsiaTheme="minorHAnsi" w:cstheme="minorBidi"/>
      <w:color w:val="auto"/>
      <w:szCs w:val="21"/>
    </w:rPr>
  </w:style>
  <w:style w:type="character" w:customStyle="1" w:styleId="normaltextrun1">
    <w:name w:val="normaltextrun1"/>
    <w:basedOn w:val="DefaultParagraphFont"/>
    <w:rsid w:val="008C2CFF"/>
  </w:style>
  <w:style w:type="character" w:styleId="PlaceholderText">
    <w:name w:val="Placeholder Text"/>
    <w:basedOn w:val="DefaultParagraphFont"/>
    <w:uiPriority w:val="99"/>
    <w:semiHidden/>
    <w:rsid w:val="008C2CFF"/>
    <w:rPr>
      <w:color w:val="808080"/>
    </w:rPr>
  </w:style>
  <w:style w:type="character" w:customStyle="1" w:styleId="Heading5Char">
    <w:name w:val="Heading 5 Char"/>
    <w:basedOn w:val="DefaultParagraphFont"/>
    <w:link w:val="Heading5"/>
    <w:uiPriority w:val="9"/>
    <w:rsid w:val="008C2CFF"/>
    <w:rPr>
      <w:b/>
    </w:rPr>
  </w:style>
  <w:style w:type="paragraph" w:styleId="NoSpacing">
    <w:name w:val="No Spacing"/>
    <w:uiPriority w:val="1"/>
    <w:qFormat/>
    <w:rsid w:val="008C2CFF"/>
    <w:pPr>
      <w:spacing w:after="0" w:line="240" w:lineRule="auto"/>
    </w:pPr>
    <w:rPr>
      <w:rFonts w:asciiTheme="minorHAnsi" w:eastAsiaTheme="minorHAnsi" w:hAnsiTheme="minorHAnsi" w:cstheme="minorBidi"/>
      <w:color w:val="auto"/>
    </w:rPr>
  </w:style>
  <w:style w:type="paragraph" w:customStyle="1" w:styleId="Default">
    <w:name w:val="Default"/>
    <w:rsid w:val="008C2CFF"/>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paragraph">
    <w:name w:val="paragraph"/>
    <w:basedOn w:val="Normal"/>
    <w:rsid w:val="002073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0739C"/>
  </w:style>
  <w:style w:type="character" w:customStyle="1" w:styleId="eop">
    <w:name w:val="eop"/>
    <w:basedOn w:val="DefaultParagraphFont"/>
    <w:rsid w:val="0020739C"/>
  </w:style>
  <w:style w:type="character" w:styleId="UnresolvedMention">
    <w:name w:val="Unresolved Mention"/>
    <w:basedOn w:val="DefaultParagraphFont"/>
    <w:uiPriority w:val="99"/>
    <w:unhideWhenUsed/>
    <w:rsid w:val="00667162"/>
    <w:rPr>
      <w:color w:val="605E5C"/>
      <w:shd w:val="clear" w:color="auto" w:fill="E1DFDD"/>
    </w:rPr>
  </w:style>
  <w:style w:type="character" w:customStyle="1" w:styleId="Heading8Char">
    <w:name w:val="Heading 8 Char"/>
    <w:basedOn w:val="DefaultParagraphFont"/>
    <w:link w:val="Heading8"/>
    <w:uiPriority w:val="9"/>
    <w:semiHidden/>
    <w:rsid w:val="00725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587F"/>
    <w:rPr>
      <w:rFonts w:asciiTheme="majorHAnsi" w:eastAsiaTheme="majorEastAsia" w:hAnsiTheme="majorHAnsi" w:cstheme="majorBidi"/>
      <w:i/>
      <w:iCs/>
      <w:color w:val="272727" w:themeColor="text1" w:themeTint="D8"/>
      <w:sz w:val="21"/>
      <w:szCs w:val="21"/>
    </w:rPr>
  </w:style>
  <w:style w:type="character" w:customStyle="1" w:styleId="breakword">
    <w:name w:val="breakword"/>
    <w:basedOn w:val="DefaultParagraphFont"/>
    <w:rsid w:val="00354AFC"/>
  </w:style>
  <w:style w:type="character" w:customStyle="1" w:styleId="spellingerror">
    <w:name w:val="spellingerror"/>
    <w:basedOn w:val="DefaultParagraphFont"/>
    <w:rsid w:val="00F7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6842">
      <w:bodyDiv w:val="1"/>
      <w:marLeft w:val="0"/>
      <w:marRight w:val="0"/>
      <w:marTop w:val="0"/>
      <w:marBottom w:val="0"/>
      <w:divBdr>
        <w:top w:val="none" w:sz="0" w:space="0" w:color="auto"/>
        <w:left w:val="none" w:sz="0" w:space="0" w:color="auto"/>
        <w:bottom w:val="none" w:sz="0" w:space="0" w:color="auto"/>
        <w:right w:val="none" w:sz="0" w:space="0" w:color="auto"/>
      </w:divBdr>
    </w:div>
    <w:div w:id="895701367">
      <w:bodyDiv w:val="1"/>
      <w:marLeft w:val="0"/>
      <w:marRight w:val="0"/>
      <w:marTop w:val="0"/>
      <w:marBottom w:val="0"/>
      <w:divBdr>
        <w:top w:val="none" w:sz="0" w:space="0" w:color="auto"/>
        <w:left w:val="none" w:sz="0" w:space="0" w:color="auto"/>
        <w:bottom w:val="none" w:sz="0" w:space="0" w:color="auto"/>
        <w:right w:val="none" w:sz="0" w:space="0" w:color="auto"/>
      </w:divBdr>
    </w:div>
    <w:div w:id="970473710">
      <w:bodyDiv w:val="1"/>
      <w:marLeft w:val="0"/>
      <w:marRight w:val="0"/>
      <w:marTop w:val="0"/>
      <w:marBottom w:val="0"/>
      <w:divBdr>
        <w:top w:val="none" w:sz="0" w:space="0" w:color="auto"/>
        <w:left w:val="none" w:sz="0" w:space="0" w:color="auto"/>
        <w:bottom w:val="none" w:sz="0" w:space="0" w:color="auto"/>
        <w:right w:val="none" w:sz="0" w:space="0" w:color="auto"/>
      </w:divBdr>
    </w:div>
    <w:div w:id="1331105282">
      <w:bodyDiv w:val="1"/>
      <w:marLeft w:val="0"/>
      <w:marRight w:val="0"/>
      <w:marTop w:val="0"/>
      <w:marBottom w:val="0"/>
      <w:divBdr>
        <w:top w:val="none" w:sz="0" w:space="0" w:color="auto"/>
        <w:left w:val="none" w:sz="0" w:space="0" w:color="auto"/>
        <w:bottom w:val="none" w:sz="0" w:space="0" w:color="auto"/>
        <w:right w:val="none" w:sz="0" w:space="0" w:color="auto"/>
      </w:divBdr>
    </w:div>
    <w:div w:id="1376739675">
      <w:bodyDiv w:val="1"/>
      <w:marLeft w:val="0"/>
      <w:marRight w:val="0"/>
      <w:marTop w:val="0"/>
      <w:marBottom w:val="0"/>
      <w:divBdr>
        <w:top w:val="none" w:sz="0" w:space="0" w:color="auto"/>
        <w:left w:val="none" w:sz="0" w:space="0" w:color="auto"/>
        <w:bottom w:val="none" w:sz="0" w:space="0" w:color="auto"/>
        <w:right w:val="none" w:sz="0" w:space="0" w:color="auto"/>
      </w:divBdr>
    </w:div>
    <w:div w:id="1417633632">
      <w:bodyDiv w:val="1"/>
      <w:marLeft w:val="0"/>
      <w:marRight w:val="0"/>
      <w:marTop w:val="0"/>
      <w:marBottom w:val="0"/>
      <w:divBdr>
        <w:top w:val="none" w:sz="0" w:space="0" w:color="auto"/>
        <w:left w:val="none" w:sz="0" w:space="0" w:color="auto"/>
        <w:bottom w:val="none" w:sz="0" w:space="0" w:color="auto"/>
        <w:right w:val="none" w:sz="0" w:space="0" w:color="auto"/>
      </w:divBdr>
    </w:div>
    <w:div w:id="1508595781">
      <w:bodyDiv w:val="1"/>
      <w:marLeft w:val="0"/>
      <w:marRight w:val="0"/>
      <w:marTop w:val="0"/>
      <w:marBottom w:val="0"/>
      <w:divBdr>
        <w:top w:val="none" w:sz="0" w:space="0" w:color="auto"/>
        <w:left w:val="none" w:sz="0" w:space="0" w:color="auto"/>
        <w:bottom w:val="none" w:sz="0" w:space="0" w:color="auto"/>
        <w:right w:val="none" w:sz="0" w:space="0" w:color="auto"/>
      </w:divBdr>
      <w:divsChild>
        <w:div w:id="87049023">
          <w:marLeft w:val="0"/>
          <w:marRight w:val="0"/>
          <w:marTop w:val="0"/>
          <w:marBottom w:val="0"/>
          <w:divBdr>
            <w:top w:val="none" w:sz="0" w:space="0" w:color="auto"/>
            <w:left w:val="none" w:sz="0" w:space="0" w:color="auto"/>
            <w:bottom w:val="none" w:sz="0" w:space="0" w:color="auto"/>
            <w:right w:val="none" w:sz="0" w:space="0" w:color="auto"/>
          </w:divBdr>
        </w:div>
        <w:div w:id="1675255267">
          <w:marLeft w:val="0"/>
          <w:marRight w:val="0"/>
          <w:marTop w:val="0"/>
          <w:marBottom w:val="0"/>
          <w:divBdr>
            <w:top w:val="none" w:sz="0" w:space="0" w:color="auto"/>
            <w:left w:val="none" w:sz="0" w:space="0" w:color="auto"/>
            <w:bottom w:val="none" w:sz="0" w:space="0" w:color="auto"/>
            <w:right w:val="none" w:sz="0" w:space="0" w:color="auto"/>
          </w:divBdr>
        </w:div>
        <w:div w:id="15545876">
          <w:marLeft w:val="0"/>
          <w:marRight w:val="0"/>
          <w:marTop w:val="0"/>
          <w:marBottom w:val="0"/>
          <w:divBdr>
            <w:top w:val="none" w:sz="0" w:space="0" w:color="auto"/>
            <w:left w:val="none" w:sz="0" w:space="0" w:color="auto"/>
            <w:bottom w:val="none" w:sz="0" w:space="0" w:color="auto"/>
            <w:right w:val="none" w:sz="0" w:space="0" w:color="auto"/>
          </w:divBdr>
        </w:div>
        <w:div w:id="920026643">
          <w:marLeft w:val="0"/>
          <w:marRight w:val="0"/>
          <w:marTop w:val="0"/>
          <w:marBottom w:val="0"/>
          <w:divBdr>
            <w:top w:val="none" w:sz="0" w:space="0" w:color="auto"/>
            <w:left w:val="none" w:sz="0" w:space="0" w:color="auto"/>
            <w:bottom w:val="none" w:sz="0" w:space="0" w:color="auto"/>
            <w:right w:val="none" w:sz="0" w:space="0" w:color="auto"/>
          </w:divBdr>
        </w:div>
        <w:div w:id="1215312111">
          <w:marLeft w:val="0"/>
          <w:marRight w:val="0"/>
          <w:marTop w:val="0"/>
          <w:marBottom w:val="0"/>
          <w:divBdr>
            <w:top w:val="none" w:sz="0" w:space="0" w:color="auto"/>
            <w:left w:val="none" w:sz="0" w:space="0" w:color="auto"/>
            <w:bottom w:val="none" w:sz="0" w:space="0" w:color="auto"/>
            <w:right w:val="none" w:sz="0" w:space="0" w:color="auto"/>
          </w:divBdr>
        </w:div>
      </w:divsChild>
    </w:div>
    <w:div w:id="1718041253">
      <w:bodyDiv w:val="1"/>
      <w:marLeft w:val="0"/>
      <w:marRight w:val="0"/>
      <w:marTop w:val="0"/>
      <w:marBottom w:val="0"/>
      <w:divBdr>
        <w:top w:val="none" w:sz="0" w:space="0" w:color="auto"/>
        <w:left w:val="none" w:sz="0" w:space="0" w:color="auto"/>
        <w:bottom w:val="none" w:sz="0" w:space="0" w:color="auto"/>
        <w:right w:val="none" w:sz="0" w:space="0" w:color="auto"/>
      </w:divBdr>
    </w:div>
    <w:div w:id="175940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pesticide-science-and-assessing-pesticide-risks/guidance-reporting-environmental-fate-and-trans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0-0751"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pesticide-science-and-assessing-pesticide-risks/models-pesticide-risk-assessment%23aquatic"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coast.noaa.gov/digitalcoast/data/ccapreg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2018-03-23T13:17:52+00:00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896C3BA-412C-4940-92BF-C945AEAA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A402-A7A6-4E14-8981-C4D61865F8DB}">
  <ds:schemaRefs>
    <ds:schemaRef ds:uri="4ffa91fb-a0ff-4ac5-b2db-65c790d184a4"/>
    <ds:schemaRef ds:uri="http://purl.org/dc/elements/1.1/"/>
    <ds:schemaRef ds:uri="http://schemas.microsoft.com/office/infopath/2007/PartnerControls"/>
    <ds:schemaRef ds:uri="http://schemas.openxmlformats.org/package/2006/metadata/core-properties"/>
    <ds:schemaRef ds:uri="http://schemas.microsoft.com/sharepoint/v3"/>
    <ds:schemaRef ds:uri="1b69afd8-9bdb-481b-b26a-06cbd17fa30c"/>
    <ds:schemaRef ds:uri="http://schemas.microsoft.com/sharepoint/v3/fields"/>
    <ds:schemaRef ds:uri="http://purl.org/dc/terms/"/>
    <ds:schemaRef ds:uri="a5d1ca4e-0a3f-4119-b619-e20b93ebd1aa"/>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6294B6-E549-472B-8096-9A501468D1B4}">
  <ds:schemaRefs>
    <ds:schemaRef ds:uri="http://schemas.microsoft.com/sharepoint/v3/contenttype/forms"/>
  </ds:schemaRefs>
</ds:datastoreItem>
</file>

<file path=customXml/itemProps4.xml><?xml version="1.0" encoding="utf-8"?>
<ds:datastoreItem xmlns:ds="http://schemas.openxmlformats.org/officeDocument/2006/customXml" ds:itemID="{62088AC1-6AD5-4245-8056-0DF420549CD2}">
  <ds:schemaRefs>
    <ds:schemaRef ds:uri="http://schemas.openxmlformats.org/officeDocument/2006/bibliography"/>
  </ds:schemaRefs>
</ds:datastoreItem>
</file>

<file path=customXml/itemProps5.xml><?xml version="1.0" encoding="utf-8"?>
<ds:datastoreItem xmlns:ds="http://schemas.openxmlformats.org/officeDocument/2006/customXml" ds:itemID="{5248A94F-1509-494B-87AE-B4815A12996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3972</Words>
  <Characters>22647</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Fowler, Jerrett</cp:lastModifiedBy>
  <cp:revision>50</cp:revision>
  <cp:lastPrinted>2015-10-16T18:59:00Z</cp:lastPrinted>
  <dcterms:created xsi:type="dcterms:W3CDTF">2021-03-16T20:49:00Z</dcterms:created>
  <dcterms:modified xsi:type="dcterms:W3CDTF">2021-03-18T13:53:00Z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