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0257" w14:textId="77777777" w:rsidR="00D254FC" w:rsidRPr="00655BB3" w:rsidRDefault="00D254FC" w:rsidP="00D254FC">
      <w:pPr>
        <w:rPr>
          <w:rFonts w:asciiTheme="minorHAnsi" w:eastAsia="Calibri" w:hAnsiTheme="minorHAnsi" w:cs="Calibri"/>
          <w:b/>
          <w:color w:val="4472C4"/>
          <w:sz w:val="32"/>
          <w:szCs w:val="24"/>
        </w:rPr>
      </w:pPr>
      <w:r w:rsidRPr="00655BB3">
        <w:rPr>
          <w:rFonts w:asciiTheme="minorHAnsi" w:eastAsia="Calibri" w:hAnsiTheme="minorHAnsi" w:cs="Calibri"/>
          <w:b/>
          <w:color w:val="4472C4"/>
          <w:sz w:val="32"/>
          <w:szCs w:val="24"/>
        </w:rPr>
        <w:t>APPENDIX 4-8. Additional Qualitative Species Analyses</w:t>
      </w:r>
    </w:p>
    <w:p w14:paraId="598BB93E" w14:textId="77777777" w:rsidR="00D254FC" w:rsidRDefault="00D254FC" w:rsidP="00D254FC">
      <w:pPr>
        <w:rPr>
          <w:rFonts w:asciiTheme="minorHAnsi" w:eastAsia="Calibri" w:hAnsiTheme="minorHAnsi" w:cs="Calibri"/>
          <w:color w:val="auto"/>
          <w:sz w:val="22"/>
          <w:szCs w:val="24"/>
        </w:rPr>
      </w:pPr>
    </w:p>
    <w:p w14:paraId="604E601B" w14:textId="77777777" w:rsidR="00D254FC" w:rsidRPr="00184C37" w:rsidRDefault="00D254FC" w:rsidP="00FD3F11">
      <w:pPr>
        <w:pStyle w:val="BEHeader1"/>
      </w:pPr>
      <w:r w:rsidRPr="00184C37">
        <w:t>Step 2a: Is the species exposure pathway considered incomplete?</w:t>
      </w:r>
    </w:p>
    <w:p w14:paraId="39C9CAD2" w14:textId="77777777" w:rsidR="00D254FC" w:rsidRDefault="00D254FC" w:rsidP="00D254FC">
      <w:pPr>
        <w:rPr>
          <w:rFonts w:asciiTheme="minorHAnsi" w:hAnsiTheme="minorHAnsi" w:cstheme="minorHAnsi"/>
          <w:sz w:val="22"/>
          <w:szCs w:val="22"/>
        </w:rPr>
      </w:pPr>
    </w:p>
    <w:p w14:paraId="0D769A0E" w14:textId="1DFCD678" w:rsidR="00D254FC" w:rsidRPr="00184C37" w:rsidRDefault="00D254FC" w:rsidP="00D254FC">
      <w:pPr>
        <w:rPr>
          <w:rFonts w:asciiTheme="minorHAnsi" w:hAnsiTheme="minorHAnsi" w:cstheme="minorHAnsi"/>
          <w:sz w:val="22"/>
          <w:szCs w:val="22"/>
        </w:rPr>
      </w:pPr>
      <w:r>
        <w:rPr>
          <w:rFonts w:asciiTheme="minorHAnsi" w:hAnsiTheme="minorHAnsi" w:cstheme="minorHAnsi"/>
          <w:sz w:val="22"/>
          <w:szCs w:val="22"/>
        </w:rPr>
        <w:t xml:space="preserve">For </w:t>
      </w:r>
      <w:r w:rsidR="00094B8A">
        <w:rPr>
          <w:rFonts w:asciiTheme="minorHAnsi" w:hAnsiTheme="minorHAnsi" w:cstheme="minorHAnsi"/>
          <w:sz w:val="22"/>
          <w:szCs w:val="22"/>
        </w:rPr>
        <w:t>methomyl</w:t>
      </w:r>
      <w:r>
        <w:rPr>
          <w:rFonts w:asciiTheme="minorHAnsi" w:hAnsiTheme="minorHAnsi" w:cstheme="minorHAnsi"/>
          <w:sz w:val="22"/>
          <w:szCs w:val="22"/>
        </w:rPr>
        <w:t xml:space="preserve">, </w:t>
      </w:r>
      <w:r w:rsidRPr="00184C37">
        <w:rPr>
          <w:rFonts w:asciiTheme="minorHAnsi" w:hAnsiTheme="minorHAnsi" w:cstheme="minorHAnsi"/>
          <w:sz w:val="22"/>
          <w:szCs w:val="22"/>
        </w:rPr>
        <w:t>three types of species characteristics led to a conclusion that the exposure pathway is incomplete: species that only occur on uninhabited islands, species that predominantly occur in the open ocean and terrestrial species that only occur in caves. Additional explanation of why the exposure pathway is incomplete for these three types of species habitats is provided below.</w:t>
      </w:r>
    </w:p>
    <w:p w14:paraId="1A00D4AB" w14:textId="77777777" w:rsidR="00D254FC" w:rsidRPr="00184C37" w:rsidRDefault="00D254FC" w:rsidP="00D254FC">
      <w:pPr>
        <w:rPr>
          <w:rFonts w:asciiTheme="minorHAnsi" w:hAnsiTheme="minorHAnsi" w:cstheme="minorHAnsi"/>
          <w:sz w:val="22"/>
          <w:szCs w:val="22"/>
        </w:rPr>
      </w:pPr>
    </w:p>
    <w:p w14:paraId="2CEB65D6" w14:textId="4FBDA641" w:rsidR="00D254FC" w:rsidRPr="00184C37"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 xml:space="preserve">Species whose ranges only occur on uninhabited islands are not expected to be exposed to </w:t>
      </w:r>
      <w:r w:rsidR="00094B8A">
        <w:rPr>
          <w:rFonts w:asciiTheme="minorHAnsi" w:hAnsiTheme="minorHAnsi" w:cstheme="minorHAnsi"/>
          <w:sz w:val="22"/>
          <w:szCs w:val="22"/>
        </w:rPr>
        <w:t>methomyl</w:t>
      </w:r>
      <w:r w:rsidRPr="00184C37">
        <w:rPr>
          <w:rFonts w:asciiTheme="minorHAnsi" w:hAnsiTheme="minorHAnsi" w:cstheme="minorHAnsi"/>
          <w:sz w:val="22"/>
          <w:szCs w:val="22"/>
        </w:rPr>
        <w:t xml:space="preserve"> because </w:t>
      </w:r>
      <w:r w:rsidR="00094B8A">
        <w:rPr>
          <w:rFonts w:asciiTheme="minorHAnsi" w:hAnsiTheme="minorHAnsi" w:cstheme="minorHAnsi"/>
          <w:sz w:val="22"/>
          <w:szCs w:val="22"/>
        </w:rPr>
        <w:t>methomyl</w:t>
      </w:r>
      <w:r w:rsidRPr="00184C37">
        <w:rPr>
          <w:rFonts w:asciiTheme="minorHAnsi" w:hAnsiTheme="minorHAnsi" w:cstheme="minorHAnsi"/>
          <w:sz w:val="22"/>
          <w:szCs w:val="22"/>
        </w:rPr>
        <w:t xml:space="preserve"> is not reasonably expected to be applied in areas not inhabited by humans. According to </w:t>
      </w:r>
      <w:r w:rsidR="00094B8A">
        <w:rPr>
          <w:rFonts w:asciiTheme="minorHAnsi" w:hAnsiTheme="minorHAnsi" w:cstheme="minorHAnsi"/>
          <w:sz w:val="22"/>
          <w:szCs w:val="22"/>
        </w:rPr>
        <w:t>methomyl</w:t>
      </w:r>
      <w:r w:rsidRPr="00184C37">
        <w:rPr>
          <w:rFonts w:asciiTheme="minorHAnsi" w:hAnsiTheme="minorHAnsi" w:cstheme="minorHAnsi"/>
          <w:sz w:val="22"/>
          <w:szCs w:val="22"/>
        </w:rPr>
        <w:t>’s usage data (</w:t>
      </w:r>
      <w:r w:rsidRPr="008A1B60">
        <w:rPr>
          <w:rFonts w:asciiTheme="minorHAnsi" w:hAnsiTheme="minorHAnsi" w:cstheme="minorHAnsi"/>
          <w:b/>
          <w:sz w:val="22"/>
          <w:szCs w:val="22"/>
        </w:rPr>
        <w:t>A</w:t>
      </w:r>
      <w:r w:rsidR="00FD3F11">
        <w:rPr>
          <w:rFonts w:asciiTheme="minorHAnsi" w:hAnsiTheme="minorHAnsi" w:cstheme="minorHAnsi"/>
          <w:b/>
          <w:sz w:val="22"/>
          <w:szCs w:val="22"/>
        </w:rPr>
        <w:t>PPENDIX</w:t>
      </w:r>
      <w:r w:rsidRPr="008A1B60">
        <w:rPr>
          <w:rFonts w:asciiTheme="minorHAnsi" w:hAnsiTheme="minorHAnsi" w:cstheme="minorHAnsi"/>
          <w:b/>
          <w:sz w:val="22"/>
          <w:szCs w:val="22"/>
        </w:rPr>
        <w:t xml:space="preserve"> 1-4</w:t>
      </w:r>
      <w:r w:rsidRPr="00184C37">
        <w:rPr>
          <w:rFonts w:asciiTheme="minorHAnsi" w:hAnsiTheme="minorHAnsi" w:cstheme="minorHAnsi"/>
          <w:sz w:val="22"/>
          <w:szCs w:val="22"/>
        </w:rPr>
        <w:t xml:space="preserve">) the majority of </w:t>
      </w:r>
      <w:r w:rsidR="00094B8A">
        <w:rPr>
          <w:rFonts w:asciiTheme="minorHAnsi" w:hAnsiTheme="minorHAnsi" w:cstheme="minorHAnsi"/>
          <w:sz w:val="22"/>
          <w:szCs w:val="22"/>
        </w:rPr>
        <w:t>methomyl</w:t>
      </w:r>
      <w:r w:rsidRPr="00184C37">
        <w:rPr>
          <w:rFonts w:asciiTheme="minorHAnsi" w:hAnsiTheme="minorHAnsi" w:cstheme="minorHAnsi"/>
          <w:sz w:val="22"/>
          <w:szCs w:val="22"/>
        </w:rPr>
        <w:t xml:space="preserve">’s usage is on residential and agricultural uses, which would not be expected to occur on uninhabited islands. Other registered uses of </w:t>
      </w:r>
      <w:r w:rsidR="00094B8A">
        <w:rPr>
          <w:rFonts w:asciiTheme="minorHAnsi" w:hAnsiTheme="minorHAnsi" w:cstheme="minorHAnsi"/>
          <w:sz w:val="22"/>
          <w:szCs w:val="22"/>
        </w:rPr>
        <w:t>methomyl</w:t>
      </w:r>
      <w:r w:rsidRPr="00184C37">
        <w:rPr>
          <w:rFonts w:asciiTheme="minorHAnsi" w:hAnsiTheme="minorHAnsi" w:cstheme="minorHAnsi"/>
          <w:sz w:val="22"/>
          <w:szCs w:val="22"/>
        </w:rPr>
        <w:t>, including forestry and rangeland (</w:t>
      </w:r>
      <w:r w:rsidRPr="008A1B60">
        <w:rPr>
          <w:rFonts w:asciiTheme="minorHAnsi" w:hAnsiTheme="minorHAnsi" w:cstheme="minorHAnsi"/>
          <w:b/>
          <w:sz w:val="22"/>
          <w:szCs w:val="22"/>
        </w:rPr>
        <w:t>A</w:t>
      </w:r>
      <w:r w:rsidR="00FD3F11">
        <w:rPr>
          <w:rFonts w:asciiTheme="minorHAnsi" w:hAnsiTheme="minorHAnsi" w:cstheme="minorHAnsi"/>
          <w:b/>
          <w:sz w:val="22"/>
          <w:szCs w:val="22"/>
        </w:rPr>
        <w:t>PPENDIX</w:t>
      </w:r>
      <w:r w:rsidRPr="008A1B60">
        <w:rPr>
          <w:rFonts w:asciiTheme="minorHAnsi" w:hAnsiTheme="minorHAnsi" w:cstheme="minorHAnsi"/>
          <w:b/>
          <w:sz w:val="22"/>
          <w:szCs w:val="22"/>
        </w:rPr>
        <w:t xml:space="preserve"> 1-2</w:t>
      </w:r>
      <w:r w:rsidRPr="00184C37">
        <w:rPr>
          <w:rFonts w:asciiTheme="minorHAnsi" w:hAnsiTheme="minorHAnsi" w:cstheme="minorHAnsi"/>
          <w:sz w:val="22"/>
          <w:szCs w:val="22"/>
        </w:rPr>
        <w:t>) would not be expected to be needed in areas where people do not live.</w:t>
      </w:r>
    </w:p>
    <w:p w14:paraId="5DAE81AE" w14:textId="77777777" w:rsidR="00D254FC" w:rsidRPr="00184C37" w:rsidRDefault="00D254FC" w:rsidP="00D254FC">
      <w:pPr>
        <w:rPr>
          <w:rFonts w:asciiTheme="minorHAnsi" w:hAnsiTheme="minorHAnsi" w:cstheme="minorHAnsi"/>
          <w:sz w:val="22"/>
          <w:szCs w:val="22"/>
        </w:rPr>
      </w:pPr>
    </w:p>
    <w:p w14:paraId="0AB1E03B" w14:textId="48CB91DB" w:rsidR="00D254FC" w:rsidRPr="00184C37"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Exposures to species that predominantly occur in the open ocean (</w:t>
      </w:r>
      <w:r w:rsidRPr="00184C37">
        <w:rPr>
          <w:rFonts w:asciiTheme="minorHAnsi" w:hAnsiTheme="minorHAnsi" w:cstheme="minorHAnsi"/>
          <w:i/>
          <w:sz w:val="22"/>
          <w:szCs w:val="22"/>
        </w:rPr>
        <w:t>e.g.,</w:t>
      </w:r>
      <w:r w:rsidRPr="00184C37">
        <w:rPr>
          <w:rFonts w:asciiTheme="minorHAnsi" w:hAnsiTheme="minorHAnsi" w:cstheme="minorHAnsi"/>
          <w:sz w:val="22"/>
          <w:szCs w:val="22"/>
        </w:rPr>
        <w:t xml:space="preserve"> whales) or rely on ocean species (</w:t>
      </w:r>
      <w:r w:rsidRPr="00184C37">
        <w:rPr>
          <w:rFonts w:asciiTheme="minorHAnsi" w:hAnsiTheme="minorHAnsi" w:cstheme="minorHAnsi"/>
          <w:i/>
          <w:sz w:val="22"/>
          <w:szCs w:val="22"/>
        </w:rPr>
        <w:t>e.g.,</w:t>
      </w:r>
      <w:r w:rsidRPr="00184C37">
        <w:rPr>
          <w:rFonts w:asciiTheme="minorHAnsi" w:hAnsiTheme="minorHAnsi" w:cstheme="minorHAnsi"/>
          <w:sz w:val="22"/>
          <w:szCs w:val="22"/>
        </w:rPr>
        <w:t xml:space="preserve"> seabirds) are reasonably expected to be </w:t>
      </w:r>
      <w:r w:rsidRPr="00184C37">
        <w:rPr>
          <w:rFonts w:asciiTheme="minorHAnsi" w:hAnsiTheme="minorHAnsi" w:cstheme="minorHAnsi"/>
          <w:i/>
          <w:sz w:val="22"/>
          <w:szCs w:val="22"/>
        </w:rPr>
        <w:t>de</w:t>
      </w:r>
      <w:r w:rsidRPr="00184C37">
        <w:rPr>
          <w:rFonts w:asciiTheme="minorHAnsi" w:hAnsiTheme="minorHAnsi" w:cstheme="minorHAnsi"/>
          <w:sz w:val="22"/>
          <w:szCs w:val="22"/>
        </w:rPr>
        <w:t xml:space="preserve"> </w:t>
      </w:r>
      <w:r w:rsidRPr="00184C37">
        <w:rPr>
          <w:rFonts w:asciiTheme="minorHAnsi" w:hAnsiTheme="minorHAnsi" w:cstheme="minorHAnsi"/>
          <w:i/>
          <w:sz w:val="22"/>
          <w:szCs w:val="22"/>
        </w:rPr>
        <w:t>minimus</w:t>
      </w:r>
      <w:r w:rsidRPr="00184C37">
        <w:rPr>
          <w:rFonts w:asciiTheme="minorHAnsi" w:hAnsiTheme="minorHAnsi" w:cstheme="minorHAnsi"/>
          <w:sz w:val="22"/>
          <w:szCs w:val="22"/>
        </w:rPr>
        <w:t xml:space="preserve">. This is because </w:t>
      </w:r>
      <w:r w:rsidR="00094B8A">
        <w:rPr>
          <w:rFonts w:asciiTheme="minorHAnsi" w:hAnsiTheme="minorHAnsi" w:cstheme="minorHAnsi"/>
          <w:sz w:val="22"/>
          <w:szCs w:val="22"/>
        </w:rPr>
        <w:t>methomyl</w:t>
      </w:r>
      <w:r w:rsidRPr="00184C37">
        <w:rPr>
          <w:rFonts w:asciiTheme="minorHAnsi" w:hAnsiTheme="minorHAnsi" w:cstheme="minorHAnsi"/>
          <w:sz w:val="22"/>
          <w:szCs w:val="22"/>
        </w:rPr>
        <w:t xml:space="preserve"> is not applied directly to the ocean and does not bioaccumulate.</w:t>
      </w:r>
    </w:p>
    <w:p w14:paraId="64F4001D" w14:textId="77777777" w:rsidR="00D254FC" w:rsidRPr="00184C37" w:rsidRDefault="00D254FC" w:rsidP="00D254FC">
      <w:pPr>
        <w:rPr>
          <w:rFonts w:asciiTheme="minorHAnsi" w:hAnsiTheme="minorHAnsi" w:cstheme="minorHAnsi"/>
          <w:sz w:val="22"/>
          <w:szCs w:val="22"/>
        </w:rPr>
      </w:pPr>
    </w:p>
    <w:p w14:paraId="1FD62387" w14:textId="77777777" w:rsidR="005469ED" w:rsidRDefault="00094B8A" w:rsidP="00D254FC">
      <w:pPr>
        <w:rPr>
          <w:rFonts w:asciiTheme="minorHAnsi" w:hAnsiTheme="minorHAnsi" w:cstheme="minorHAnsi"/>
          <w:sz w:val="22"/>
          <w:szCs w:val="22"/>
        </w:rPr>
      </w:pPr>
      <w:r>
        <w:rPr>
          <w:rFonts w:asciiTheme="minorHAnsi" w:hAnsiTheme="minorHAnsi" w:cstheme="minorHAnsi"/>
          <w:sz w:val="22"/>
          <w:szCs w:val="22"/>
        </w:rPr>
        <w:t>Methomyl</w:t>
      </w:r>
      <w:r w:rsidR="00D254FC" w:rsidRPr="00184C37">
        <w:rPr>
          <w:rFonts w:asciiTheme="minorHAnsi" w:hAnsiTheme="minorHAnsi" w:cstheme="minorHAnsi"/>
          <w:sz w:val="22"/>
          <w:szCs w:val="22"/>
        </w:rPr>
        <w:t xml:space="preserve"> is not registered for applications within caves. Exposures to terrestrial organisms living within caves are expected to be </w:t>
      </w:r>
      <w:r w:rsidR="00D254FC" w:rsidRPr="00184C37">
        <w:rPr>
          <w:rFonts w:asciiTheme="minorHAnsi" w:hAnsiTheme="minorHAnsi" w:cstheme="minorHAnsi"/>
          <w:i/>
          <w:sz w:val="22"/>
          <w:szCs w:val="22"/>
        </w:rPr>
        <w:t>de minimus</w:t>
      </w:r>
      <w:r w:rsidR="00D254FC" w:rsidRPr="00184C37">
        <w:rPr>
          <w:rFonts w:asciiTheme="minorHAnsi" w:hAnsiTheme="minorHAnsi" w:cstheme="minorHAnsi"/>
          <w:sz w:val="22"/>
          <w:szCs w:val="22"/>
        </w:rPr>
        <w:t xml:space="preserve">. As discussed in Chapter 3, the major transport routes of </w:t>
      </w:r>
      <w:r>
        <w:rPr>
          <w:rFonts w:asciiTheme="minorHAnsi" w:hAnsiTheme="minorHAnsi" w:cstheme="minorHAnsi"/>
          <w:sz w:val="22"/>
          <w:szCs w:val="22"/>
        </w:rPr>
        <w:t>methomyl</w:t>
      </w:r>
      <w:r w:rsidR="00D254FC" w:rsidRPr="00184C37">
        <w:rPr>
          <w:rFonts w:asciiTheme="minorHAnsi" w:hAnsiTheme="minorHAnsi" w:cstheme="minorHAnsi"/>
          <w:sz w:val="22"/>
          <w:szCs w:val="22"/>
        </w:rPr>
        <w:t xml:space="preserve"> from treatment sites to non-target areas include spray drift and runoff. Since caves are enclosed, spray drift transport is not reasonably expected to result in exposures to cave dwelling organisms. Runoff transport may lead to </w:t>
      </w:r>
      <w:r>
        <w:rPr>
          <w:rFonts w:asciiTheme="minorHAnsi" w:hAnsiTheme="minorHAnsi" w:cstheme="minorHAnsi"/>
          <w:sz w:val="22"/>
          <w:szCs w:val="22"/>
        </w:rPr>
        <w:t>methomyl</w:t>
      </w:r>
      <w:r w:rsidR="00D254FC" w:rsidRPr="00184C37">
        <w:rPr>
          <w:rFonts w:asciiTheme="minorHAnsi" w:hAnsiTheme="minorHAnsi" w:cstheme="minorHAnsi"/>
          <w:sz w:val="22"/>
          <w:szCs w:val="22"/>
        </w:rPr>
        <w:t xml:space="preserve"> reaching ground water that is associated with caves. Therefore, for aquatic species that inhabit caves (</w:t>
      </w:r>
      <w:r w:rsidR="00D254FC" w:rsidRPr="00747D7C">
        <w:rPr>
          <w:rFonts w:asciiTheme="minorHAnsi" w:hAnsiTheme="minorHAnsi" w:cstheme="minorHAnsi"/>
          <w:i/>
          <w:iCs/>
          <w:sz w:val="22"/>
          <w:szCs w:val="22"/>
        </w:rPr>
        <w:t xml:space="preserve">e.g., </w:t>
      </w:r>
      <w:proofErr w:type="spellStart"/>
      <w:r w:rsidR="00D254FC" w:rsidRPr="00184C37">
        <w:rPr>
          <w:rFonts w:asciiTheme="minorHAnsi" w:hAnsiTheme="minorHAnsi" w:cstheme="minorHAnsi"/>
          <w:sz w:val="22"/>
          <w:szCs w:val="22"/>
        </w:rPr>
        <w:t>barton</w:t>
      </w:r>
      <w:proofErr w:type="spellEnd"/>
      <w:r w:rsidR="00D254FC" w:rsidRPr="00184C37">
        <w:rPr>
          <w:rFonts w:asciiTheme="minorHAnsi" w:hAnsiTheme="minorHAnsi" w:cstheme="minorHAnsi"/>
          <w:sz w:val="22"/>
          <w:szCs w:val="22"/>
        </w:rPr>
        <w:t xml:space="preserve"> springs salamander), exposures and associated risks are assessed</w:t>
      </w:r>
      <w:r w:rsidR="00EC3C24">
        <w:rPr>
          <w:rFonts w:asciiTheme="minorHAnsi" w:hAnsiTheme="minorHAnsi" w:cstheme="minorHAnsi"/>
          <w:sz w:val="22"/>
          <w:szCs w:val="22"/>
        </w:rPr>
        <w:t xml:space="preserve"> </w:t>
      </w:r>
      <w:bookmarkStart w:id="0" w:name="_Hlk33694190"/>
      <w:r w:rsidR="00EC3C24">
        <w:rPr>
          <w:rFonts w:asciiTheme="minorHAnsi" w:hAnsiTheme="minorHAnsi" w:cstheme="minorHAnsi"/>
          <w:sz w:val="22"/>
          <w:szCs w:val="22"/>
        </w:rPr>
        <w:t>in Step</w:t>
      </w:r>
      <w:r w:rsidR="00EC0DD6">
        <w:rPr>
          <w:rFonts w:asciiTheme="minorHAnsi" w:hAnsiTheme="minorHAnsi" w:cstheme="minorHAnsi"/>
          <w:sz w:val="22"/>
          <w:szCs w:val="22"/>
        </w:rPr>
        <w:t>s 2e through 2i</w:t>
      </w:r>
      <w:bookmarkEnd w:id="0"/>
      <w:r w:rsidR="00D254FC" w:rsidRPr="00184C37">
        <w:rPr>
          <w:rFonts w:asciiTheme="minorHAnsi" w:hAnsiTheme="minorHAnsi" w:cstheme="minorHAnsi"/>
          <w:sz w:val="22"/>
          <w:szCs w:val="22"/>
        </w:rPr>
        <w:t>.</w:t>
      </w:r>
    </w:p>
    <w:p w14:paraId="0FD934AB" w14:textId="77777777" w:rsidR="005469ED" w:rsidRDefault="005469ED" w:rsidP="00D254FC">
      <w:pPr>
        <w:rPr>
          <w:rFonts w:asciiTheme="minorHAnsi" w:hAnsiTheme="minorHAnsi" w:cstheme="minorHAnsi"/>
          <w:sz w:val="22"/>
          <w:szCs w:val="22"/>
        </w:rPr>
      </w:pPr>
    </w:p>
    <w:p w14:paraId="027F2633" w14:textId="06CB8D8B" w:rsidR="0016387D" w:rsidRDefault="00D254FC" w:rsidP="00D254FC">
      <w:pPr>
        <w:rPr>
          <w:rFonts w:asciiTheme="minorHAnsi" w:hAnsiTheme="minorHAnsi" w:cstheme="minorHAnsi"/>
          <w:sz w:val="22"/>
          <w:szCs w:val="22"/>
        </w:rPr>
      </w:pPr>
      <w:bookmarkStart w:id="1" w:name="_Hlk33693733"/>
      <w:r w:rsidRPr="00184C37">
        <w:rPr>
          <w:rFonts w:asciiTheme="minorHAnsi" w:hAnsiTheme="minorHAnsi" w:cstheme="minorHAnsi"/>
          <w:sz w:val="22"/>
          <w:szCs w:val="22"/>
        </w:rPr>
        <w:t>For listed terrestrial species that are obligate to caves (</w:t>
      </w:r>
      <w:r w:rsidRPr="00747D7C">
        <w:rPr>
          <w:rFonts w:asciiTheme="minorHAnsi" w:hAnsiTheme="minorHAnsi" w:cstheme="minorHAnsi"/>
          <w:i/>
          <w:iCs/>
          <w:sz w:val="22"/>
          <w:szCs w:val="22"/>
        </w:rPr>
        <w:t>e.g.,</w:t>
      </w:r>
      <w:r w:rsidRPr="00184C37">
        <w:rPr>
          <w:rFonts w:asciiTheme="minorHAnsi" w:hAnsiTheme="minorHAnsi" w:cstheme="minorHAnsi"/>
          <w:sz w:val="22"/>
          <w:szCs w:val="22"/>
        </w:rPr>
        <w:t xml:space="preserve"> spiders), exposure from water is expected to be </w:t>
      </w:r>
      <w:r w:rsidRPr="00184C37">
        <w:rPr>
          <w:rFonts w:asciiTheme="minorHAnsi" w:hAnsiTheme="minorHAnsi" w:cstheme="minorHAnsi"/>
          <w:i/>
          <w:sz w:val="22"/>
          <w:szCs w:val="22"/>
        </w:rPr>
        <w:t>de minimus</w:t>
      </w:r>
      <w:r w:rsidR="00413EBC">
        <w:rPr>
          <w:rFonts w:asciiTheme="minorHAnsi" w:hAnsiTheme="minorHAnsi" w:cstheme="minorHAnsi"/>
          <w:sz w:val="22"/>
          <w:szCs w:val="22"/>
        </w:rPr>
        <w:t>. T</w:t>
      </w:r>
      <w:r w:rsidR="00413EBC" w:rsidRPr="00413EBC">
        <w:rPr>
          <w:rFonts w:asciiTheme="minorHAnsi" w:hAnsiTheme="minorHAnsi" w:cstheme="minorHAnsi"/>
          <w:sz w:val="22"/>
          <w:szCs w:val="22"/>
        </w:rPr>
        <w:t xml:space="preserve">he atmosphere of the inner cave (where </w:t>
      </w:r>
      <w:r w:rsidR="005B1DF3">
        <w:rPr>
          <w:rFonts w:asciiTheme="minorHAnsi" w:hAnsiTheme="minorHAnsi" w:cstheme="minorHAnsi"/>
          <w:sz w:val="22"/>
          <w:szCs w:val="22"/>
        </w:rPr>
        <w:t>these obligate cave spec</w:t>
      </w:r>
      <w:r w:rsidR="00CA2276">
        <w:rPr>
          <w:rFonts w:asciiTheme="minorHAnsi" w:hAnsiTheme="minorHAnsi" w:cstheme="minorHAnsi"/>
          <w:sz w:val="22"/>
          <w:szCs w:val="22"/>
        </w:rPr>
        <w:t>i</w:t>
      </w:r>
      <w:r w:rsidR="005B1DF3">
        <w:rPr>
          <w:rFonts w:asciiTheme="minorHAnsi" w:hAnsiTheme="minorHAnsi" w:cstheme="minorHAnsi"/>
          <w:sz w:val="22"/>
          <w:szCs w:val="22"/>
        </w:rPr>
        <w:t>es</w:t>
      </w:r>
      <w:r w:rsidR="00413EBC" w:rsidRPr="00413EBC">
        <w:rPr>
          <w:rFonts w:asciiTheme="minorHAnsi" w:hAnsiTheme="minorHAnsi" w:cstheme="minorHAnsi"/>
          <w:sz w:val="22"/>
          <w:szCs w:val="22"/>
        </w:rPr>
        <w:t xml:space="preserve"> live) is saturated with water vapor. Species have adapted to this hydrating environment by increasing their permeability such that they “become freshwater animals living in an </w:t>
      </w:r>
      <w:proofErr w:type="spellStart"/>
      <w:r w:rsidR="00413EBC" w:rsidRPr="00413EBC">
        <w:rPr>
          <w:rFonts w:asciiTheme="minorHAnsi" w:hAnsiTheme="minorHAnsi" w:cstheme="minorHAnsi"/>
          <w:sz w:val="22"/>
          <w:szCs w:val="22"/>
        </w:rPr>
        <w:t>aereal</w:t>
      </w:r>
      <w:proofErr w:type="spellEnd"/>
      <w:r w:rsidR="00413EBC" w:rsidRPr="00413EBC">
        <w:rPr>
          <w:rFonts w:asciiTheme="minorHAnsi" w:hAnsiTheme="minorHAnsi" w:cstheme="minorHAnsi"/>
          <w:sz w:val="22"/>
          <w:szCs w:val="22"/>
        </w:rPr>
        <w:t xml:space="preserve"> environment” (Howarth 1987). This means that species get </w:t>
      </w:r>
      <w:proofErr w:type="gramStart"/>
      <w:r w:rsidR="00CA2276">
        <w:rPr>
          <w:rFonts w:asciiTheme="minorHAnsi" w:hAnsiTheme="minorHAnsi" w:cstheme="minorHAnsi"/>
          <w:sz w:val="22"/>
          <w:szCs w:val="22"/>
        </w:rPr>
        <w:t xml:space="preserve">the </w:t>
      </w:r>
      <w:r>
        <w:rPr>
          <w:rFonts w:asciiTheme="minorHAnsi" w:hAnsiTheme="minorHAnsi" w:cstheme="minorHAnsi"/>
          <w:sz w:val="22"/>
          <w:szCs w:val="22"/>
        </w:rPr>
        <w:t>majority of</w:t>
      </w:r>
      <w:proofErr w:type="gramEnd"/>
      <w:r>
        <w:rPr>
          <w:rFonts w:asciiTheme="minorHAnsi" w:hAnsiTheme="minorHAnsi" w:cstheme="minorHAnsi"/>
          <w:sz w:val="22"/>
          <w:szCs w:val="22"/>
        </w:rPr>
        <w:t xml:space="preserve"> their </w:t>
      </w:r>
      <w:r w:rsidR="00101BCA">
        <w:rPr>
          <w:rFonts w:asciiTheme="minorHAnsi" w:hAnsiTheme="minorHAnsi" w:cstheme="minorHAnsi"/>
          <w:sz w:val="22"/>
          <w:szCs w:val="22"/>
        </w:rPr>
        <w:t xml:space="preserve">water needs met by the atmosphere and </w:t>
      </w:r>
      <w:r>
        <w:rPr>
          <w:rFonts w:asciiTheme="minorHAnsi" w:hAnsiTheme="minorHAnsi" w:cstheme="minorHAnsi"/>
          <w:sz w:val="22"/>
          <w:szCs w:val="22"/>
        </w:rPr>
        <w:t>from consumption of their prey</w:t>
      </w:r>
      <w:r w:rsidR="00CA2276">
        <w:rPr>
          <w:rFonts w:asciiTheme="minorHAnsi" w:hAnsiTheme="minorHAnsi" w:cstheme="minorHAnsi"/>
          <w:sz w:val="22"/>
          <w:szCs w:val="22"/>
        </w:rPr>
        <w:t>.</w:t>
      </w:r>
      <w:r w:rsidRPr="00184C37">
        <w:rPr>
          <w:rFonts w:asciiTheme="minorHAnsi" w:hAnsiTheme="minorHAnsi" w:cstheme="minorHAnsi"/>
          <w:sz w:val="22"/>
          <w:szCs w:val="22"/>
        </w:rPr>
        <w:t xml:space="preserve"> </w:t>
      </w:r>
      <w:r w:rsidR="005469ED" w:rsidRPr="005469ED">
        <w:rPr>
          <w:rFonts w:asciiTheme="minorHAnsi" w:hAnsiTheme="minorHAnsi" w:cstheme="minorHAnsi"/>
          <w:sz w:val="22"/>
          <w:szCs w:val="22"/>
        </w:rPr>
        <w:t xml:space="preserve">For </w:t>
      </w:r>
      <w:r w:rsidR="00413EBC">
        <w:rPr>
          <w:rFonts w:asciiTheme="minorHAnsi" w:hAnsiTheme="minorHAnsi" w:cstheme="minorHAnsi"/>
          <w:sz w:val="22"/>
          <w:szCs w:val="22"/>
        </w:rPr>
        <w:t xml:space="preserve">terrestrial </w:t>
      </w:r>
      <w:r w:rsidR="005469ED">
        <w:rPr>
          <w:rFonts w:asciiTheme="minorHAnsi" w:hAnsiTheme="minorHAnsi" w:cstheme="minorHAnsi"/>
          <w:sz w:val="22"/>
          <w:szCs w:val="22"/>
        </w:rPr>
        <w:t>obligate cave species</w:t>
      </w:r>
      <w:r w:rsidR="005469ED" w:rsidRPr="005469ED">
        <w:rPr>
          <w:rFonts w:asciiTheme="minorHAnsi" w:hAnsiTheme="minorHAnsi" w:cstheme="minorHAnsi"/>
          <w:sz w:val="22"/>
          <w:szCs w:val="22"/>
        </w:rPr>
        <w:t xml:space="preserve">, water sources are limited to the condensation in the cave and on cave walls resulting from </w:t>
      </w:r>
      <w:r w:rsidR="00413EBC">
        <w:rPr>
          <w:rFonts w:asciiTheme="minorHAnsi" w:hAnsiTheme="minorHAnsi" w:cstheme="minorHAnsi"/>
          <w:sz w:val="22"/>
          <w:szCs w:val="22"/>
        </w:rPr>
        <w:t>groundwater sources</w:t>
      </w:r>
      <w:r w:rsidR="004137A6">
        <w:rPr>
          <w:rFonts w:asciiTheme="minorHAnsi" w:hAnsiTheme="minorHAnsi" w:cstheme="minorHAnsi"/>
          <w:sz w:val="22"/>
          <w:szCs w:val="22"/>
        </w:rPr>
        <w:t xml:space="preserve"> </w:t>
      </w:r>
      <w:r w:rsidR="00630FC2" w:rsidRPr="00630FC2">
        <w:rPr>
          <w:rFonts w:asciiTheme="minorHAnsi" w:hAnsiTheme="minorHAnsi" w:cstheme="minorHAnsi"/>
          <w:sz w:val="22"/>
          <w:szCs w:val="22"/>
        </w:rPr>
        <w:t xml:space="preserve">or </w:t>
      </w:r>
      <w:r w:rsidR="00762F40">
        <w:rPr>
          <w:rFonts w:asciiTheme="minorHAnsi" w:hAnsiTheme="minorHAnsi" w:cstheme="minorHAnsi"/>
          <w:sz w:val="22"/>
          <w:szCs w:val="22"/>
        </w:rPr>
        <w:t xml:space="preserve">from </w:t>
      </w:r>
      <w:r w:rsidR="00630FC2" w:rsidRPr="00630FC2">
        <w:rPr>
          <w:rFonts w:asciiTheme="minorHAnsi" w:hAnsiTheme="minorHAnsi" w:cstheme="minorHAnsi"/>
          <w:sz w:val="22"/>
          <w:szCs w:val="22"/>
        </w:rPr>
        <w:t>detritus/guano.</w:t>
      </w:r>
      <w:r w:rsidR="00762F40">
        <w:rPr>
          <w:rFonts w:asciiTheme="minorHAnsi" w:hAnsiTheme="minorHAnsi" w:cstheme="minorHAnsi"/>
          <w:sz w:val="22"/>
          <w:szCs w:val="22"/>
        </w:rPr>
        <w:t xml:space="preserve"> Methomyl is </w:t>
      </w:r>
      <w:r w:rsidR="00630FC2" w:rsidRPr="00630FC2">
        <w:rPr>
          <w:rFonts w:asciiTheme="minorHAnsi" w:hAnsiTheme="minorHAnsi" w:cstheme="minorHAnsi"/>
          <w:sz w:val="22"/>
          <w:szCs w:val="22"/>
        </w:rPr>
        <w:t>not expect</w:t>
      </w:r>
      <w:r w:rsidR="00762F40">
        <w:rPr>
          <w:rFonts w:asciiTheme="minorHAnsi" w:hAnsiTheme="minorHAnsi" w:cstheme="minorHAnsi"/>
          <w:sz w:val="22"/>
          <w:szCs w:val="22"/>
        </w:rPr>
        <w:t>ed</w:t>
      </w:r>
      <w:r w:rsidR="00630FC2" w:rsidRPr="00630FC2">
        <w:rPr>
          <w:rFonts w:asciiTheme="minorHAnsi" w:hAnsiTheme="minorHAnsi" w:cstheme="minorHAnsi"/>
          <w:sz w:val="22"/>
          <w:szCs w:val="22"/>
        </w:rPr>
        <w:t xml:space="preserve"> to volatilize from water (based on the</w:t>
      </w:r>
      <w:r w:rsidR="00762F40">
        <w:rPr>
          <w:rFonts w:asciiTheme="minorHAnsi" w:hAnsiTheme="minorHAnsi" w:cstheme="minorHAnsi"/>
          <w:sz w:val="22"/>
          <w:szCs w:val="22"/>
        </w:rPr>
        <w:t xml:space="preserve"> low vapor pressure</w:t>
      </w:r>
      <w:r w:rsidR="005621DF">
        <w:t xml:space="preserve"> of </w:t>
      </w:r>
      <w:r w:rsidR="005621DF" w:rsidRPr="005621DF">
        <w:rPr>
          <w:rFonts w:asciiTheme="minorHAnsi" w:hAnsiTheme="minorHAnsi" w:cstheme="minorHAnsi"/>
          <w:sz w:val="22"/>
          <w:szCs w:val="22"/>
        </w:rPr>
        <w:t>5.4x10</w:t>
      </w:r>
      <w:r w:rsidR="005621DF" w:rsidRPr="00D84D8D">
        <w:rPr>
          <w:rFonts w:asciiTheme="minorHAnsi" w:hAnsiTheme="minorHAnsi" w:cstheme="minorHAnsi"/>
          <w:sz w:val="22"/>
          <w:szCs w:val="22"/>
          <w:vertAlign w:val="superscript"/>
        </w:rPr>
        <w:t>-6</w:t>
      </w:r>
      <w:r w:rsidR="005621DF" w:rsidRPr="005621DF">
        <w:rPr>
          <w:rFonts w:asciiTheme="minorHAnsi" w:hAnsiTheme="minorHAnsi" w:cstheme="minorHAnsi"/>
          <w:sz w:val="22"/>
          <w:szCs w:val="22"/>
        </w:rPr>
        <w:t xml:space="preserve"> torr</w:t>
      </w:r>
      <w:r w:rsidR="00762F40">
        <w:rPr>
          <w:rFonts w:asciiTheme="minorHAnsi" w:hAnsiTheme="minorHAnsi" w:cstheme="minorHAnsi"/>
          <w:sz w:val="22"/>
          <w:szCs w:val="22"/>
        </w:rPr>
        <w:t xml:space="preserve"> and</w:t>
      </w:r>
      <w:r w:rsidR="00630FC2" w:rsidRPr="00630FC2">
        <w:rPr>
          <w:rFonts w:asciiTheme="minorHAnsi" w:hAnsiTheme="minorHAnsi" w:cstheme="minorHAnsi"/>
          <w:sz w:val="22"/>
          <w:szCs w:val="22"/>
        </w:rPr>
        <w:t xml:space="preserve"> H</w:t>
      </w:r>
      <w:r w:rsidR="00762F40">
        <w:rPr>
          <w:rFonts w:asciiTheme="minorHAnsi" w:hAnsiTheme="minorHAnsi" w:cstheme="minorHAnsi"/>
          <w:sz w:val="22"/>
          <w:szCs w:val="22"/>
        </w:rPr>
        <w:t xml:space="preserve">enry’s Law </w:t>
      </w:r>
      <w:r w:rsidR="00630FC2" w:rsidRPr="00630FC2">
        <w:rPr>
          <w:rFonts w:asciiTheme="minorHAnsi" w:hAnsiTheme="minorHAnsi" w:cstheme="minorHAnsi"/>
          <w:sz w:val="22"/>
          <w:szCs w:val="22"/>
        </w:rPr>
        <w:t>C</w:t>
      </w:r>
      <w:r w:rsidR="00762F40">
        <w:rPr>
          <w:rFonts w:asciiTheme="minorHAnsi" w:hAnsiTheme="minorHAnsi" w:cstheme="minorHAnsi"/>
          <w:sz w:val="22"/>
          <w:szCs w:val="22"/>
        </w:rPr>
        <w:t xml:space="preserve">onstant </w:t>
      </w:r>
      <w:r w:rsidR="00762F40" w:rsidRPr="005469ED">
        <w:rPr>
          <w:rFonts w:asciiTheme="minorHAnsi" w:hAnsiTheme="minorHAnsi" w:cstheme="minorHAnsi"/>
          <w:sz w:val="22"/>
          <w:szCs w:val="22"/>
        </w:rPr>
        <w:t>&lt; 2x10-8 atm-m3/mol</w:t>
      </w:r>
      <w:r w:rsidR="00630FC2" w:rsidRPr="00630FC2">
        <w:rPr>
          <w:rFonts w:asciiTheme="minorHAnsi" w:hAnsiTheme="minorHAnsi" w:cstheme="minorHAnsi"/>
          <w:sz w:val="22"/>
          <w:szCs w:val="22"/>
        </w:rPr>
        <w:t>) or guano</w:t>
      </w:r>
      <w:r w:rsidR="005469ED" w:rsidRPr="005469ED">
        <w:rPr>
          <w:rFonts w:asciiTheme="minorHAnsi" w:hAnsiTheme="minorHAnsi" w:cstheme="minorHAnsi"/>
          <w:sz w:val="22"/>
          <w:szCs w:val="22"/>
        </w:rPr>
        <w:t xml:space="preserve">. As a result, methomyl </w:t>
      </w:r>
      <w:r w:rsidR="00101BCA">
        <w:rPr>
          <w:rFonts w:asciiTheme="minorHAnsi" w:hAnsiTheme="minorHAnsi" w:cstheme="minorHAnsi"/>
          <w:sz w:val="22"/>
          <w:szCs w:val="22"/>
        </w:rPr>
        <w:t>is</w:t>
      </w:r>
      <w:r w:rsidR="005469ED" w:rsidRPr="005469ED">
        <w:rPr>
          <w:rFonts w:asciiTheme="minorHAnsi" w:hAnsiTheme="minorHAnsi" w:cstheme="minorHAnsi"/>
          <w:sz w:val="22"/>
          <w:szCs w:val="22"/>
        </w:rPr>
        <w:t xml:space="preserve"> not expected to be present in </w:t>
      </w:r>
      <w:r w:rsidR="008C045B">
        <w:rPr>
          <w:rFonts w:asciiTheme="minorHAnsi" w:hAnsiTheme="minorHAnsi" w:cstheme="minorHAnsi"/>
          <w:sz w:val="22"/>
          <w:szCs w:val="22"/>
        </w:rPr>
        <w:t>water vapor</w:t>
      </w:r>
      <w:r w:rsidR="00C6443E">
        <w:rPr>
          <w:rFonts w:asciiTheme="minorHAnsi" w:hAnsiTheme="minorHAnsi" w:cstheme="minorHAnsi"/>
          <w:sz w:val="22"/>
          <w:szCs w:val="22"/>
        </w:rPr>
        <w:t xml:space="preserve"> or </w:t>
      </w:r>
      <w:r w:rsidR="005469ED" w:rsidRPr="005469ED">
        <w:rPr>
          <w:rFonts w:asciiTheme="minorHAnsi" w:hAnsiTheme="minorHAnsi" w:cstheme="minorHAnsi"/>
          <w:sz w:val="22"/>
          <w:szCs w:val="22"/>
        </w:rPr>
        <w:t xml:space="preserve">condensation water that may occur in caves. </w:t>
      </w:r>
    </w:p>
    <w:bookmarkEnd w:id="1"/>
    <w:p w14:paraId="23FF5613" w14:textId="77777777" w:rsidR="0016387D" w:rsidRDefault="0016387D" w:rsidP="00D254FC">
      <w:pPr>
        <w:rPr>
          <w:rFonts w:asciiTheme="minorHAnsi" w:hAnsiTheme="minorHAnsi" w:cstheme="minorHAnsi"/>
          <w:sz w:val="22"/>
          <w:szCs w:val="22"/>
        </w:rPr>
      </w:pPr>
    </w:p>
    <w:p w14:paraId="7FB539B7" w14:textId="73C84217" w:rsidR="00D254FC" w:rsidRDefault="00D254FC" w:rsidP="00D254FC">
      <w:pPr>
        <w:rPr>
          <w:rFonts w:asciiTheme="minorHAnsi" w:hAnsiTheme="minorHAnsi" w:cstheme="minorHAnsi"/>
          <w:b/>
          <w:sz w:val="22"/>
          <w:szCs w:val="22"/>
          <w:u w:val="single"/>
        </w:rPr>
      </w:pPr>
      <w:r>
        <w:rPr>
          <w:rFonts w:asciiTheme="minorHAnsi" w:hAnsiTheme="minorHAnsi" w:cstheme="minorHAnsi"/>
          <w:sz w:val="22"/>
          <w:szCs w:val="22"/>
        </w:rPr>
        <w:t>Another possible route of exposure is from</w:t>
      </w:r>
      <w:r w:rsidRPr="00E26271">
        <w:rPr>
          <w:rFonts w:asciiTheme="minorHAnsi" w:hAnsiTheme="minorHAnsi"/>
          <w:sz w:val="22"/>
          <w:szCs w:val="22"/>
        </w:rPr>
        <w:t xml:space="preserve"> </w:t>
      </w:r>
      <w:r w:rsidRPr="002B669D">
        <w:rPr>
          <w:rFonts w:asciiTheme="minorHAnsi" w:hAnsiTheme="minorHAnsi"/>
          <w:sz w:val="22"/>
          <w:szCs w:val="22"/>
        </w:rPr>
        <w:t>leaf litter, animal droppings, and carcasses that may fall or be washed into cave systems</w:t>
      </w:r>
      <w:r>
        <w:rPr>
          <w:rFonts w:asciiTheme="minorHAnsi" w:hAnsiTheme="minorHAnsi"/>
          <w:sz w:val="22"/>
          <w:szCs w:val="22"/>
        </w:rPr>
        <w:t>.</w:t>
      </w:r>
      <w:r>
        <w:rPr>
          <w:rFonts w:asciiTheme="minorHAnsi" w:hAnsiTheme="minorHAnsi" w:cstheme="minorHAnsi"/>
          <w:sz w:val="22"/>
          <w:szCs w:val="22"/>
        </w:rPr>
        <w:t xml:space="preserve"> </w:t>
      </w:r>
      <w:r w:rsidR="00F73438">
        <w:rPr>
          <w:rFonts w:asciiTheme="minorHAnsi" w:hAnsiTheme="minorHAnsi" w:cstheme="minorHAnsi"/>
          <w:sz w:val="22"/>
          <w:szCs w:val="22"/>
        </w:rPr>
        <w:t>T</w:t>
      </w:r>
      <w:r w:rsidR="00F73438" w:rsidRPr="002B669D">
        <w:rPr>
          <w:rFonts w:asciiTheme="minorHAnsi" w:hAnsiTheme="minorHAnsi"/>
          <w:sz w:val="22"/>
          <w:szCs w:val="22"/>
        </w:rPr>
        <w:t xml:space="preserve">here </w:t>
      </w:r>
      <w:r w:rsidRPr="002B669D">
        <w:rPr>
          <w:rFonts w:asciiTheme="minorHAnsi" w:hAnsiTheme="minorHAnsi"/>
          <w:sz w:val="22"/>
          <w:szCs w:val="22"/>
        </w:rPr>
        <w:t>is evidence in the literature</w:t>
      </w:r>
      <w:r>
        <w:rPr>
          <w:rFonts w:asciiTheme="minorHAnsi" w:hAnsiTheme="minorHAnsi"/>
          <w:sz w:val="22"/>
          <w:szCs w:val="22"/>
        </w:rPr>
        <w:t xml:space="preserve"> </w:t>
      </w:r>
      <w:r w:rsidRPr="002B669D">
        <w:rPr>
          <w:rFonts w:asciiTheme="minorHAnsi" w:hAnsiTheme="minorHAnsi"/>
          <w:sz w:val="22"/>
          <w:szCs w:val="22"/>
        </w:rPr>
        <w:t>indicating that animal feces (</w:t>
      </w:r>
      <w:r w:rsidRPr="002B669D">
        <w:rPr>
          <w:rFonts w:asciiTheme="minorHAnsi" w:hAnsiTheme="minorHAnsi"/>
          <w:i/>
          <w:sz w:val="22"/>
          <w:szCs w:val="22"/>
        </w:rPr>
        <w:t>e.g</w:t>
      </w:r>
      <w:r w:rsidRPr="002B669D">
        <w:rPr>
          <w:rFonts w:asciiTheme="minorHAnsi" w:hAnsiTheme="minorHAnsi"/>
          <w:sz w:val="22"/>
          <w:szCs w:val="22"/>
        </w:rPr>
        <w:t>., guano) and carcasses contaminated with pesticides have been found in cave systems (</w:t>
      </w:r>
      <w:r w:rsidRPr="002B669D">
        <w:rPr>
          <w:rFonts w:asciiTheme="minorHAnsi" w:hAnsiTheme="minorHAnsi"/>
          <w:i/>
          <w:sz w:val="22"/>
          <w:szCs w:val="22"/>
        </w:rPr>
        <w:t>e.g</w:t>
      </w:r>
      <w:r w:rsidRPr="002B669D">
        <w:rPr>
          <w:rFonts w:asciiTheme="minorHAnsi" w:hAnsiTheme="minorHAnsi"/>
          <w:sz w:val="22"/>
          <w:szCs w:val="22"/>
        </w:rPr>
        <w:t xml:space="preserve">., </w:t>
      </w:r>
      <w:r>
        <w:rPr>
          <w:rFonts w:asciiTheme="minorHAnsi" w:hAnsiTheme="minorHAnsi"/>
          <w:sz w:val="22"/>
          <w:szCs w:val="22"/>
        </w:rPr>
        <w:t xml:space="preserve">Land, </w:t>
      </w:r>
      <w:r w:rsidRPr="00DB2FA8">
        <w:rPr>
          <w:rFonts w:asciiTheme="minorHAnsi" w:hAnsiTheme="minorHAnsi"/>
          <w:i/>
          <w:sz w:val="22"/>
          <w:szCs w:val="22"/>
        </w:rPr>
        <w:t>et al.</w:t>
      </w:r>
      <w:r>
        <w:rPr>
          <w:rFonts w:asciiTheme="minorHAnsi" w:hAnsiTheme="minorHAnsi"/>
          <w:sz w:val="22"/>
          <w:szCs w:val="22"/>
        </w:rPr>
        <w:t xml:space="preserve"> 2019; </w:t>
      </w:r>
      <w:proofErr w:type="spellStart"/>
      <w:r>
        <w:rPr>
          <w:rFonts w:asciiTheme="minorHAnsi" w:hAnsiTheme="minorHAnsi"/>
          <w:sz w:val="22"/>
          <w:szCs w:val="22"/>
        </w:rPr>
        <w:t>Eidels</w:t>
      </w:r>
      <w:proofErr w:type="spellEnd"/>
      <w:r>
        <w:rPr>
          <w:rFonts w:asciiTheme="minorHAnsi" w:hAnsiTheme="minorHAnsi"/>
          <w:sz w:val="22"/>
          <w:szCs w:val="22"/>
        </w:rPr>
        <w:t xml:space="preserve">, </w:t>
      </w:r>
      <w:r w:rsidRPr="00DB2FA8">
        <w:rPr>
          <w:rFonts w:asciiTheme="minorHAnsi" w:hAnsiTheme="minorHAnsi"/>
          <w:i/>
          <w:sz w:val="22"/>
          <w:szCs w:val="22"/>
        </w:rPr>
        <w:t>et al</w:t>
      </w:r>
      <w:r>
        <w:rPr>
          <w:rFonts w:asciiTheme="minorHAnsi" w:hAnsiTheme="minorHAnsi"/>
          <w:sz w:val="22"/>
          <w:szCs w:val="22"/>
        </w:rPr>
        <w:t xml:space="preserve">. 2012; </w:t>
      </w:r>
      <w:proofErr w:type="spellStart"/>
      <w:r w:rsidRPr="002B669D">
        <w:rPr>
          <w:rFonts w:asciiTheme="minorHAnsi" w:hAnsiTheme="minorHAnsi"/>
          <w:sz w:val="22"/>
          <w:szCs w:val="22"/>
        </w:rPr>
        <w:t>Eidels</w:t>
      </w:r>
      <w:proofErr w:type="spellEnd"/>
      <w:r w:rsidRPr="002B669D">
        <w:rPr>
          <w:rFonts w:asciiTheme="minorHAnsi" w:hAnsiTheme="minorHAnsi"/>
          <w:sz w:val="22"/>
          <w:szCs w:val="22"/>
        </w:rPr>
        <w:t xml:space="preserve">, </w:t>
      </w:r>
      <w:r w:rsidRPr="002B669D">
        <w:rPr>
          <w:rFonts w:asciiTheme="minorHAnsi" w:hAnsiTheme="minorHAnsi"/>
          <w:i/>
          <w:sz w:val="22"/>
          <w:szCs w:val="22"/>
        </w:rPr>
        <w:t>et al.</w:t>
      </w:r>
      <w:r w:rsidRPr="002B669D">
        <w:rPr>
          <w:rFonts w:asciiTheme="minorHAnsi" w:hAnsiTheme="minorHAnsi"/>
          <w:sz w:val="22"/>
          <w:szCs w:val="22"/>
        </w:rPr>
        <w:t xml:space="preserve"> 2007; Land 2001; MacFarland 1998; and Sandel 1999)</w:t>
      </w:r>
      <w:r w:rsidR="00F73438">
        <w:rPr>
          <w:rFonts w:asciiTheme="minorHAnsi" w:hAnsiTheme="minorHAnsi"/>
          <w:sz w:val="22"/>
          <w:szCs w:val="22"/>
        </w:rPr>
        <w:t>. While methomyl was not measure</w:t>
      </w:r>
      <w:r w:rsidR="00413EBC">
        <w:rPr>
          <w:rFonts w:asciiTheme="minorHAnsi" w:hAnsiTheme="minorHAnsi"/>
          <w:sz w:val="22"/>
          <w:szCs w:val="22"/>
        </w:rPr>
        <w:t>d</w:t>
      </w:r>
      <w:r w:rsidR="00F73438">
        <w:rPr>
          <w:rFonts w:asciiTheme="minorHAnsi" w:hAnsiTheme="minorHAnsi"/>
          <w:sz w:val="22"/>
          <w:szCs w:val="22"/>
        </w:rPr>
        <w:t>,</w:t>
      </w:r>
      <w:r>
        <w:rPr>
          <w:rFonts w:asciiTheme="minorHAnsi" w:hAnsiTheme="minorHAnsi"/>
          <w:sz w:val="22"/>
          <w:szCs w:val="22"/>
        </w:rPr>
        <w:t xml:space="preserve"> residues</w:t>
      </w:r>
      <w:r w:rsidR="00094B8A">
        <w:rPr>
          <w:rFonts w:asciiTheme="minorHAnsi" w:hAnsiTheme="minorHAnsi"/>
          <w:sz w:val="22"/>
          <w:szCs w:val="22"/>
        </w:rPr>
        <w:t xml:space="preserve"> of another carbamate, carbaryl,</w:t>
      </w:r>
      <w:r>
        <w:rPr>
          <w:rFonts w:asciiTheme="minorHAnsi" w:hAnsiTheme="minorHAnsi"/>
          <w:sz w:val="22"/>
          <w:szCs w:val="22"/>
        </w:rPr>
        <w:t xml:space="preserve"> were either not detected or detected but not quantifiable</w:t>
      </w:r>
      <w:r w:rsidRPr="002B669D">
        <w:rPr>
          <w:rFonts w:asciiTheme="minorHAnsi" w:hAnsiTheme="minorHAnsi"/>
          <w:sz w:val="22"/>
          <w:szCs w:val="22"/>
        </w:rPr>
        <w:t xml:space="preserve">. </w:t>
      </w:r>
      <w:r>
        <w:rPr>
          <w:rFonts w:asciiTheme="minorHAnsi" w:hAnsiTheme="minorHAnsi"/>
          <w:sz w:val="22"/>
          <w:szCs w:val="22"/>
        </w:rPr>
        <w:t xml:space="preserve">Study authors suggest that </w:t>
      </w:r>
      <w:r w:rsidR="00094B8A">
        <w:rPr>
          <w:rFonts w:asciiTheme="minorHAnsi" w:hAnsiTheme="minorHAnsi"/>
          <w:sz w:val="22"/>
          <w:szCs w:val="22"/>
        </w:rPr>
        <w:t>carbamate</w:t>
      </w:r>
      <w:r>
        <w:rPr>
          <w:rFonts w:asciiTheme="minorHAnsi" w:hAnsiTheme="minorHAnsi"/>
          <w:sz w:val="22"/>
          <w:szCs w:val="22"/>
        </w:rPr>
        <w:t xml:space="preserve"> residues may not be found because </w:t>
      </w:r>
      <w:r w:rsidR="00094B8A">
        <w:rPr>
          <w:rFonts w:asciiTheme="minorHAnsi" w:hAnsiTheme="minorHAnsi"/>
          <w:sz w:val="22"/>
          <w:szCs w:val="22"/>
        </w:rPr>
        <w:t>they</w:t>
      </w:r>
      <w:r>
        <w:rPr>
          <w:rFonts w:asciiTheme="minorHAnsi" w:hAnsiTheme="minorHAnsi"/>
          <w:sz w:val="22"/>
          <w:szCs w:val="22"/>
        </w:rPr>
        <w:t xml:space="preserve"> </w:t>
      </w:r>
      <w:r w:rsidR="00D33343">
        <w:rPr>
          <w:rFonts w:asciiTheme="minorHAnsi" w:hAnsiTheme="minorHAnsi"/>
          <w:sz w:val="22"/>
          <w:szCs w:val="22"/>
        </w:rPr>
        <w:t xml:space="preserve">are </w:t>
      </w:r>
      <w:r>
        <w:rPr>
          <w:rFonts w:asciiTheme="minorHAnsi" w:hAnsiTheme="minorHAnsi"/>
          <w:sz w:val="22"/>
          <w:szCs w:val="22"/>
        </w:rPr>
        <w:t>rapidly metabolized and excreted from the body</w:t>
      </w:r>
      <w:r w:rsidR="00EC0DD6">
        <w:rPr>
          <w:rFonts w:asciiTheme="minorHAnsi" w:hAnsiTheme="minorHAnsi"/>
          <w:sz w:val="22"/>
          <w:szCs w:val="22"/>
        </w:rPr>
        <w:t xml:space="preserve"> (Land, </w:t>
      </w:r>
      <w:r w:rsidR="00EC0DD6" w:rsidRPr="00D84D8D">
        <w:rPr>
          <w:rFonts w:asciiTheme="minorHAnsi" w:hAnsiTheme="minorHAnsi"/>
          <w:i/>
          <w:sz w:val="22"/>
          <w:szCs w:val="22"/>
        </w:rPr>
        <w:t>et at</w:t>
      </w:r>
      <w:r w:rsidR="00EC0DD6">
        <w:rPr>
          <w:rFonts w:asciiTheme="minorHAnsi" w:hAnsiTheme="minorHAnsi"/>
          <w:sz w:val="22"/>
          <w:szCs w:val="22"/>
        </w:rPr>
        <w:t>. 2019)</w:t>
      </w:r>
      <w:r>
        <w:rPr>
          <w:rFonts w:asciiTheme="minorHAnsi" w:hAnsiTheme="minorHAnsi"/>
          <w:sz w:val="22"/>
          <w:szCs w:val="22"/>
        </w:rPr>
        <w:t xml:space="preserve">. Therefore, </w:t>
      </w:r>
      <w:r>
        <w:rPr>
          <w:rFonts w:asciiTheme="minorHAnsi" w:hAnsiTheme="minorHAnsi"/>
          <w:sz w:val="22"/>
          <w:szCs w:val="22"/>
        </w:rPr>
        <w:lastRenderedPageBreak/>
        <w:t xml:space="preserve">exposures to species that rely on food items that are derived from exterior sources are expected to be </w:t>
      </w:r>
      <w:r>
        <w:rPr>
          <w:rFonts w:asciiTheme="minorHAnsi" w:hAnsiTheme="minorHAnsi"/>
          <w:i/>
          <w:sz w:val="22"/>
          <w:szCs w:val="22"/>
        </w:rPr>
        <w:t>de minimus</w:t>
      </w:r>
      <w:r>
        <w:rPr>
          <w:rFonts w:asciiTheme="minorHAnsi" w:hAnsiTheme="minorHAnsi"/>
          <w:sz w:val="22"/>
          <w:szCs w:val="22"/>
        </w:rPr>
        <w:t xml:space="preserve">. </w:t>
      </w:r>
      <w:r w:rsidRPr="00184C37" w:rsidDel="00E26271">
        <w:rPr>
          <w:rStyle w:val="CommentReference"/>
          <w:rFonts w:asciiTheme="minorHAnsi" w:hAnsiTheme="minorHAnsi" w:cstheme="minorHAnsi"/>
          <w:sz w:val="22"/>
          <w:szCs w:val="22"/>
        </w:rPr>
        <w:t xml:space="preserve"> </w:t>
      </w:r>
    </w:p>
    <w:p w14:paraId="667411DF" w14:textId="77777777" w:rsidR="00D254FC" w:rsidRDefault="00D254FC" w:rsidP="00D254FC">
      <w:pPr>
        <w:rPr>
          <w:rFonts w:asciiTheme="minorHAnsi" w:hAnsiTheme="minorHAnsi" w:cstheme="minorHAnsi"/>
          <w:b/>
          <w:sz w:val="22"/>
          <w:szCs w:val="22"/>
          <w:u w:val="single"/>
        </w:rPr>
      </w:pPr>
    </w:p>
    <w:p w14:paraId="0DDE838A" w14:textId="77777777" w:rsidR="00D254FC" w:rsidRPr="00184C37" w:rsidRDefault="00D254FC" w:rsidP="00FD3F11">
      <w:pPr>
        <w:pStyle w:val="BEHeader1"/>
      </w:pPr>
      <w:r w:rsidRPr="00184C37">
        <w:t>Step 2d: Are exposure models considered unreliable for assessed species?</w:t>
      </w:r>
    </w:p>
    <w:p w14:paraId="2C68EB59" w14:textId="77777777" w:rsidR="00D254FC" w:rsidRDefault="00D254FC" w:rsidP="00D254FC">
      <w:pPr>
        <w:rPr>
          <w:rFonts w:asciiTheme="minorHAnsi" w:hAnsiTheme="minorHAnsi" w:cstheme="minorHAnsi"/>
          <w:b/>
          <w:sz w:val="22"/>
          <w:szCs w:val="22"/>
          <w:u w:val="single"/>
        </w:rPr>
      </w:pPr>
    </w:p>
    <w:p w14:paraId="5019813C" w14:textId="26476EBD" w:rsidR="00D254FC" w:rsidRPr="004B1E23" w:rsidRDefault="00D254FC" w:rsidP="00D254FC">
      <w:pPr>
        <w:rPr>
          <w:rFonts w:asciiTheme="minorHAnsi" w:hAnsiTheme="minorHAnsi" w:cstheme="minorHAnsi"/>
          <w:sz w:val="22"/>
          <w:szCs w:val="22"/>
        </w:rPr>
      </w:pPr>
      <w:r>
        <w:rPr>
          <w:rFonts w:asciiTheme="minorHAnsi" w:hAnsiTheme="minorHAnsi" w:cstheme="minorHAnsi"/>
          <w:sz w:val="22"/>
          <w:szCs w:val="22"/>
        </w:rPr>
        <w:t>At this time, t</w:t>
      </w:r>
      <w:r w:rsidRPr="004B1E23">
        <w:rPr>
          <w:rFonts w:asciiTheme="minorHAnsi" w:hAnsiTheme="minorHAnsi" w:cstheme="minorHAnsi"/>
          <w:sz w:val="22"/>
          <w:szCs w:val="22"/>
        </w:rPr>
        <w:t xml:space="preserve">he current exposure models used in this assessment </w:t>
      </w:r>
      <w:r>
        <w:rPr>
          <w:rFonts w:asciiTheme="minorHAnsi" w:hAnsiTheme="minorHAnsi" w:cstheme="minorHAnsi"/>
          <w:sz w:val="22"/>
          <w:szCs w:val="22"/>
        </w:rPr>
        <w:t>do not</w:t>
      </w:r>
      <w:r w:rsidRPr="004B1E23">
        <w:rPr>
          <w:rFonts w:asciiTheme="minorHAnsi" w:hAnsiTheme="minorHAnsi" w:cstheme="minorHAnsi"/>
          <w:sz w:val="22"/>
          <w:szCs w:val="22"/>
        </w:rPr>
        <w:t xml:space="preserve"> estimate exposures for all types of pesticide applications, all habitat types, or for all potential exposure routes</w:t>
      </w:r>
      <w:r>
        <w:rPr>
          <w:rFonts w:asciiTheme="minorHAnsi" w:hAnsiTheme="minorHAnsi" w:cstheme="minorHAnsi"/>
          <w:sz w:val="22"/>
          <w:szCs w:val="22"/>
        </w:rPr>
        <w:t xml:space="preserve"> relevant to listed species</w:t>
      </w:r>
      <w:r w:rsidRPr="004B1E23">
        <w:rPr>
          <w:rFonts w:asciiTheme="minorHAnsi" w:hAnsiTheme="minorHAnsi" w:cstheme="minorHAnsi"/>
          <w:sz w:val="22"/>
          <w:szCs w:val="22"/>
        </w:rPr>
        <w:t>. Therefore, there may be uncertainty in the exposure values being used for a particular species based on what potential uses it</w:t>
      </w:r>
      <w:r>
        <w:rPr>
          <w:rFonts w:asciiTheme="minorHAnsi" w:hAnsiTheme="minorHAnsi" w:cstheme="minorHAnsi"/>
          <w:sz w:val="22"/>
          <w:szCs w:val="22"/>
        </w:rPr>
        <w:t>s range or critical habitat</w:t>
      </w:r>
      <w:r w:rsidRPr="004B1E23">
        <w:rPr>
          <w:rFonts w:asciiTheme="minorHAnsi" w:hAnsiTheme="minorHAnsi" w:cstheme="minorHAnsi"/>
          <w:sz w:val="22"/>
          <w:szCs w:val="22"/>
        </w:rPr>
        <w:t xml:space="preserve"> may overlap with, what type of habitat </w:t>
      </w:r>
      <w:r>
        <w:rPr>
          <w:rFonts w:asciiTheme="minorHAnsi" w:hAnsiTheme="minorHAnsi" w:cstheme="minorHAnsi"/>
          <w:sz w:val="22"/>
          <w:szCs w:val="22"/>
        </w:rPr>
        <w:t>the species</w:t>
      </w:r>
      <w:r w:rsidRPr="004B1E23">
        <w:rPr>
          <w:rFonts w:asciiTheme="minorHAnsi" w:hAnsiTheme="minorHAnsi" w:cstheme="minorHAnsi"/>
          <w:sz w:val="22"/>
          <w:szCs w:val="22"/>
        </w:rPr>
        <w:t xml:space="preserve"> is found in, or what the main potential exposure route(s) might be. For species and critical habitats that have not been determined to be NE or NLAA based on the above analyses, </w:t>
      </w:r>
      <w:r>
        <w:rPr>
          <w:rFonts w:asciiTheme="minorHAnsi" w:hAnsiTheme="minorHAnsi" w:cstheme="minorHAnsi"/>
          <w:sz w:val="22"/>
          <w:szCs w:val="22"/>
        </w:rPr>
        <w:t xml:space="preserve">consideration is given to </w:t>
      </w:r>
      <w:r w:rsidRPr="004B1E23">
        <w:rPr>
          <w:rFonts w:asciiTheme="minorHAnsi" w:hAnsiTheme="minorHAnsi" w:cstheme="minorHAnsi"/>
          <w:sz w:val="22"/>
          <w:szCs w:val="22"/>
        </w:rPr>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Pr>
          <w:rFonts w:asciiTheme="minorHAnsi" w:hAnsiTheme="minorHAnsi" w:cstheme="minorHAnsi"/>
          <w:sz w:val="22"/>
          <w:szCs w:val="22"/>
        </w:rPr>
        <w:t>is</w:t>
      </w:r>
      <w:r w:rsidRPr="004B1E23">
        <w:rPr>
          <w:rFonts w:asciiTheme="minorHAnsi" w:hAnsiTheme="minorHAnsi" w:cstheme="minorHAnsi"/>
          <w:sz w:val="22"/>
          <w:szCs w:val="22"/>
        </w:rPr>
        <w:t xml:space="preserve"> conducted.</w:t>
      </w:r>
    </w:p>
    <w:p w14:paraId="7D7FB4B5" w14:textId="77777777" w:rsidR="00D254FC" w:rsidRPr="004B1E23" w:rsidRDefault="00D254FC" w:rsidP="00D254FC">
      <w:pPr>
        <w:rPr>
          <w:rFonts w:asciiTheme="minorHAnsi" w:hAnsiTheme="minorHAnsi" w:cstheme="minorHAnsi"/>
          <w:sz w:val="22"/>
          <w:szCs w:val="22"/>
        </w:rPr>
      </w:pPr>
    </w:p>
    <w:p w14:paraId="274482C2" w14:textId="2FF6B662" w:rsidR="00D254FC" w:rsidRDefault="0CFBC77D" w:rsidP="0CFBC77D">
      <w:pPr>
        <w:rPr>
          <w:rFonts w:asciiTheme="minorHAnsi" w:hAnsiTheme="minorHAnsi" w:cstheme="minorBidi"/>
          <w:sz w:val="22"/>
          <w:szCs w:val="22"/>
        </w:rPr>
      </w:pPr>
      <w:r w:rsidRPr="0CFBC77D">
        <w:rPr>
          <w:rFonts w:asciiTheme="minorHAnsi" w:hAnsiTheme="minorHAnsi" w:cstheme="minorBidi"/>
          <w:sz w:val="22"/>
          <w:szCs w:val="22"/>
        </w:rPr>
        <w:t>The qualitative analysis considered whether exposures to methomyl are reasonably certain to occur given the habitat of the listed species (</w:t>
      </w:r>
      <w:r w:rsidRPr="00747D7C">
        <w:rPr>
          <w:rFonts w:asciiTheme="minorHAnsi" w:hAnsiTheme="minorHAnsi" w:cstheme="minorBidi"/>
          <w:i/>
          <w:iCs/>
          <w:sz w:val="22"/>
          <w:szCs w:val="22"/>
        </w:rPr>
        <w:t>e.g.,</w:t>
      </w:r>
      <w:r w:rsidRPr="0CFBC77D">
        <w:rPr>
          <w:rFonts w:asciiTheme="minorHAnsi" w:hAnsiTheme="minorHAnsi" w:cstheme="minorBidi"/>
          <w:sz w:val="22"/>
          <w:szCs w:val="22"/>
        </w:rPr>
        <w:t xml:space="preserve"> ocean, beach, and/or freshwater habitats) and, if exposures are expected to occur, are impacts to an individual likely. The analysis also considered the potential for effects to the PPHD of the species and whether those effects would rise to the level of impacting an individual of a listed species.</w:t>
      </w:r>
    </w:p>
    <w:p w14:paraId="78E52536" w14:textId="77777777" w:rsidR="008527F8" w:rsidRDefault="008527F8" w:rsidP="00D254FC">
      <w:pPr>
        <w:rPr>
          <w:rFonts w:asciiTheme="minorHAnsi" w:hAnsiTheme="minorHAnsi" w:cstheme="minorHAnsi"/>
          <w:b/>
          <w:color w:val="auto"/>
          <w:sz w:val="22"/>
          <w:szCs w:val="22"/>
          <w:u w:val="single"/>
        </w:rPr>
      </w:pPr>
    </w:p>
    <w:p w14:paraId="1A0B9E09" w14:textId="548E79D8" w:rsidR="00D254FC" w:rsidRPr="008527F8" w:rsidRDefault="004F3781" w:rsidP="00D254FC">
      <w:pPr>
        <w:rPr>
          <w:rFonts w:asciiTheme="minorHAnsi" w:hAnsiTheme="minorHAnsi" w:cstheme="minorHAnsi"/>
          <w:b/>
          <w:color w:val="auto"/>
          <w:sz w:val="22"/>
          <w:szCs w:val="22"/>
          <w:u w:val="single"/>
        </w:rPr>
      </w:pPr>
      <w:r w:rsidRPr="008527F8">
        <w:rPr>
          <w:rFonts w:asciiTheme="minorHAnsi" w:hAnsiTheme="minorHAnsi" w:cstheme="minorHAnsi"/>
          <w:b/>
          <w:color w:val="auto"/>
          <w:sz w:val="22"/>
          <w:szCs w:val="22"/>
          <w:u w:val="single"/>
        </w:rPr>
        <w:t>LAA Determinations</w:t>
      </w:r>
    </w:p>
    <w:p w14:paraId="7AA33541" w14:textId="77777777" w:rsidR="004F3781" w:rsidRPr="000A1B44" w:rsidRDefault="004F3781" w:rsidP="00D254FC">
      <w:pPr>
        <w:rPr>
          <w:rFonts w:asciiTheme="minorHAnsi" w:hAnsiTheme="minorHAnsi" w:cstheme="minorHAnsi"/>
          <w:b/>
          <w:sz w:val="22"/>
          <w:szCs w:val="22"/>
          <w:u w:val="single"/>
        </w:rPr>
      </w:pPr>
    </w:p>
    <w:p w14:paraId="4ABA7704" w14:textId="77777777" w:rsidR="00D254FC" w:rsidRPr="000A1B44" w:rsidRDefault="00D254FC" w:rsidP="00D254FC">
      <w:pPr>
        <w:rPr>
          <w:rFonts w:asciiTheme="minorHAnsi" w:hAnsiTheme="minorHAnsi" w:cstheme="minorHAnsi"/>
          <w:b/>
          <w:i/>
          <w:sz w:val="22"/>
          <w:szCs w:val="22"/>
        </w:rPr>
      </w:pPr>
      <w:r w:rsidRPr="000A1B44">
        <w:rPr>
          <w:rFonts w:asciiTheme="minorHAnsi" w:hAnsiTheme="minorHAnsi" w:cstheme="minorHAnsi"/>
          <w:b/>
          <w:i/>
          <w:sz w:val="22"/>
          <w:szCs w:val="22"/>
        </w:rPr>
        <w:t>Aquatic Species</w:t>
      </w:r>
    </w:p>
    <w:p w14:paraId="6E74B3AF" w14:textId="77777777" w:rsidR="00D254FC" w:rsidRPr="000A1B44" w:rsidRDefault="00D254FC" w:rsidP="00D254FC">
      <w:pPr>
        <w:rPr>
          <w:rFonts w:asciiTheme="minorHAnsi" w:hAnsiTheme="minorHAnsi" w:cstheme="minorHAnsi"/>
          <w:sz w:val="22"/>
          <w:szCs w:val="22"/>
        </w:rPr>
      </w:pPr>
    </w:p>
    <w:p w14:paraId="0E1E3B9C" w14:textId="33346299"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The killer whale (</w:t>
      </w:r>
      <w:r w:rsidRPr="000A1B44">
        <w:rPr>
          <w:rFonts w:asciiTheme="minorHAnsi" w:hAnsiTheme="minorHAnsi" w:cstheme="minorHAnsi"/>
          <w:i/>
          <w:sz w:val="22"/>
          <w:szCs w:val="22"/>
        </w:rPr>
        <w:t>Orcinus orca</w:t>
      </w:r>
      <w:r w:rsidRPr="000A1B44">
        <w:rPr>
          <w:rFonts w:asciiTheme="minorHAnsi" w:hAnsiTheme="minorHAnsi" w:cstheme="minorHAnsi"/>
          <w:sz w:val="22"/>
          <w:szCs w:val="22"/>
        </w:rPr>
        <w:t xml:space="preserve">, Southern resident DPS), is found in the Strait of Georgia, Strait of Juan de Fuca, and Puget Sound, and has an obligate relationship with Pacific salmon (which are anadromous), including several species (Chinook, chum, and coho) that are themselves considered threatened or endangered.  </w:t>
      </w:r>
      <w:r w:rsidR="00094B8A">
        <w:rPr>
          <w:rFonts w:asciiTheme="minorHAnsi" w:hAnsiTheme="minorHAnsi" w:cstheme="minorHAnsi"/>
          <w:sz w:val="22"/>
          <w:szCs w:val="22"/>
        </w:rPr>
        <w:t>Methomyl</w:t>
      </w:r>
      <w:r w:rsidRPr="000A1B44">
        <w:rPr>
          <w:rFonts w:asciiTheme="minorHAnsi" w:hAnsiTheme="minorHAnsi" w:cstheme="minorHAnsi"/>
          <w:sz w:val="22"/>
          <w:szCs w:val="22"/>
        </w:rPr>
        <w:t xml:space="preserve"> exposures are reasonably expected to be </w:t>
      </w:r>
      <w:r w:rsidRPr="000A1B44">
        <w:rPr>
          <w:rFonts w:asciiTheme="minorHAnsi" w:hAnsiTheme="minorHAnsi" w:cstheme="minorHAnsi"/>
          <w:i/>
          <w:sz w:val="22"/>
          <w:szCs w:val="22"/>
        </w:rPr>
        <w:t>de minimus</w:t>
      </w:r>
      <w:r w:rsidRPr="000A1B44">
        <w:rPr>
          <w:rFonts w:asciiTheme="minorHAnsi" w:hAnsiTheme="minorHAnsi" w:cstheme="minorHAnsi"/>
          <w:sz w:val="22"/>
          <w:szCs w:val="22"/>
        </w:rPr>
        <w:t xml:space="preserve"> </w:t>
      </w:r>
      <w:r w:rsidR="00E105A7">
        <w:rPr>
          <w:rFonts w:asciiTheme="minorHAnsi" w:hAnsiTheme="minorHAnsi" w:cstheme="minorHAnsi"/>
          <w:sz w:val="22"/>
          <w:szCs w:val="22"/>
        </w:rPr>
        <w:t xml:space="preserve">in these waters </w:t>
      </w:r>
      <w:r w:rsidRPr="000A1B44">
        <w:rPr>
          <w:rFonts w:asciiTheme="minorHAnsi" w:hAnsiTheme="minorHAnsi" w:cstheme="minorHAnsi"/>
          <w:sz w:val="22"/>
          <w:szCs w:val="22"/>
        </w:rPr>
        <w:t>due to dilution</w:t>
      </w:r>
      <w:r>
        <w:rPr>
          <w:rFonts w:asciiTheme="minorHAnsi" w:hAnsiTheme="minorHAnsi" w:cstheme="minorHAnsi"/>
          <w:sz w:val="22"/>
          <w:szCs w:val="22"/>
        </w:rPr>
        <w:t xml:space="preserve"> and the fate characteristics of </w:t>
      </w:r>
      <w:r w:rsidR="00094B8A">
        <w:rPr>
          <w:rFonts w:asciiTheme="minorHAnsi" w:hAnsiTheme="minorHAnsi" w:cstheme="minorHAnsi"/>
          <w:sz w:val="22"/>
          <w:szCs w:val="22"/>
        </w:rPr>
        <w:t>methomyl</w:t>
      </w:r>
      <w:r>
        <w:rPr>
          <w:rFonts w:asciiTheme="minorHAnsi" w:hAnsiTheme="minorHAnsi" w:cstheme="minorHAnsi"/>
          <w:sz w:val="22"/>
          <w:szCs w:val="22"/>
        </w:rPr>
        <w:t xml:space="preserve"> (</w:t>
      </w:r>
      <w:r w:rsidRPr="003A456B">
        <w:rPr>
          <w:rFonts w:asciiTheme="minorHAnsi" w:hAnsiTheme="minorHAnsi" w:cstheme="minorHAnsi"/>
          <w:i/>
          <w:iCs/>
          <w:sz w:val="22"/>
          <w:szCs w:val="22"/>
        </w:rPr>
        <w:t>i.e.,</w:t>
      </w:r>
      <w:r>
        <w:rPr>
          <w:rFonts w:asciiTheme="minorHAnsi" w:hAnsiTheme="minorHAnsi" w:cstheme="minorHAnsi"/>
          <w:sz w:val="22"/>
          <w:szCs w:val="22"/>
        </w:rPr>
        <w:t xml:space="preserve"> not persistent, and not expected to bioaccumulate)</w:t>
      </w:r>
      <w:r w:rsidRPr="000A1B44">
        <w:rPr>
          <w:rFonts w:asciiTheme="minorHAnsi" w:hAnsiTheme="minorHAnsi" w:cstheme="minorHAnsi"/>
          <w:sz w:val="22"/>
          <w:szCs w:val="22"/>
        </w:rPr>
        <w:t xml:space="preserve">; therefore, exposures to killer whales are not expected. Because LAA determinations with strong evidence of risk were made for listed species of Pacific salmon (upon which the killer whales depend) (see </w:t>
      </w:r>
      <w:r w:rsidRPr="000A1B44">
        <w:rPr>
          <w:rFonts w:asciiTheme="minorHAnsi" w:hAnsiTheme="minorHAnsi" w:cstheme="minorHAnsi"/>
          <w:b/>
          <w:sz w:val="22"/>
          <w:szCs w:val="22"/>
        </w:rPr>
        <w:t>APPENDIX 4-3</w:t>
      </w:r>
      <w:r w:rsidRPr="000A1B44">
        <w:rPr>
          <w:rFonts w:asciiTheme="minorHAnsi" w:hAnsiTheme="minorHAnsi" w:cstheme="minorHAnsi"/>
          <w:sz w:val="22"/>
          <w:szCs w:val="22"/>
        </w:rPr>
        <w:t xml:space="preserve"> for details on how many individuals of the salmon population may be impacted), there is a potential for effects to the PPHD of the listed killer whale DPS. The same conclusions and rationale apply to the designated critical habitat associated with this species. Therefore, a “Likely to Adversely Affect” (LAA) determination is made for the killer whale (Southern resident DPS) and its designated critical habitat from the use of </w:t>
      </w:r>
      <w:r w:rsidR="00094B8A">
        <w:rPr>
          <w:rFonts w:asciiTheme="minorHAnsi" w:hAnsiTheme="minorHAnsi" w:cstheme="minorHAnsi"/>
          <w:sz w:val="22"/>
          <w:szCs w:val="22"/>
        </w:rPr>
        <w:t>methomyl</w:t>
      </w:r>
      <w:r w:rsidRPr="000A1B44">
        <w:rPr>
          <w:rFonts w:asciiTheme="minorHAnsi" w:hAnsiTheme="minorHAnsi" w:cstheme="minorHAnsi"/>
          <w:sz w:val="22"/>
          <w:szCs w:val="22"/>
        </w:rPr>
        <w:t xml:space="preserve"> based on effects to the PPHD. An LAA determination is made for the killer whale with moderate evidence of risk because</w:t>
      </w:r>
      <w:r w:rsidR="00B265E8">
        <w:rPr>
          <w:rFonts w:asciiTheme="minorHAnsi" w:hAnsiTheme="minorHAnsi" w:cstheme="minorHAnsi"/>
          <w:sz w:val="22"/>
          <w:szCs w:val="22"/>
        </w:rPr>
        <w:t xml:space="preserve"> w</w:t>
      </w:r>
      <w:r w:rsidRPr="000A1B44">
        <w:rPr>
          <w:rFonts w:asciiTheme="minorHAnsi" w:hAnsiTheme="minorHAnsi" w:cstheme="minorHAnsi"/>
          <w:sz w:val="22"/>
          <w:szCs w:val="22"/>
        </w:rPr>
        <w:t xml:space="preserve">hile effects to the </w:t>
      </w:r>
      <w:r>
        <w:rPr>
          <w:rFonts w:asciiTheme="minorHAnsi" w:hAnsiTheme="minorHAnsi" w:cstheme="minorHAnsi"/>
          <w:sz w:val="22"/>
          <w:szCs w:val="22"/>
        </w:rPr>
        <w:t>orca</w:t>
      </w:r>
      <w:r w:rsidRPr="000A1B44">
        <w:rPr>
          <w:rFonts w:asciiTheme="minorHAnsi" w:hAnsiTheme="minorHAnsi" w:cstheme="minorHAnsi"/>
          <w:sz w:val="22"/>
          <w:szCs w:val="22"/>
        </w:rPr>
        <w:t xml:space="preserve"> are not anticipated, there is strong evidence of effects to the PPHD</w:t>
      </w:r>
      <w:r>
        <w:rPr>
          <w:rFonts w:asciiTheme="minorHAnsi" w:hAnsiTheme="minorHAnsi" w:cstheme="minorHAnsi"/>
          <w:sz w:val="22"/>
          <w:szCs w:val="22"/>
        </w:rPr>
        <w:t xml:space="preserve"> (</w:t>
      </w:r>
      <w:r w:rsidRPr="003A456B">
        <w:rPr>
          <w:rFonts w:asciiTheme="minorHAnsi" w:hAnsiTheme="minorHAnsi" w:cstheme="minorHAnsi"/>
          <w:i/>
          <w:iCs/>
          <w:sz w:val="22"/>
          <w:szCs w:val="22"/>
        </w:rPr>
        <w:t>i.e.</w:t>
      </w:r>
      <w:r>
        <w:rPr>
          <w:rFonts w:asciiTheme="minorHAnsi" w:hAnsiTheme="minorHAnsi" w:cstheme="minorHAnsi"/>
          <w:sz w:val="22"/>
          <w:szCs w:val="22"/>
        </w:rPr>
        <w:t>, salmon)</w:t>
      </w:r>
      <w:r w:rsidRPr="00512E34">
        <w:rPr>
          <w:rFonts w:asciiTheme="minorHAnsi" w:hAnsiTheme="minorHAnsi" w:cstheme="minorHAnsi"/>
          <w:sz w:val="22"/>
          <w:szCs w:val="22"/>
        </w:rPr>
        <w:t xml:space="preserve"> based on potential effects to an individual of the listed salmon species. </w:t>
      </w:r>
      <w:r>
        <w:rPr>
          <w:rFonts w:asciiTheme="minorHAnsi" w:hAnsiTheme="minorHAnsi" w:cstheme="minorHAnsi"/>
          <w:sz w:val="22"/>
          <w:szCs w:val="22"/>
        </w:rPr>
        <w:t>There is</w:t>
      </w:r>
      <w:r w:rsidRPr="00512E34">
        <w:rPr>
          <w:rFonts w:asciiTheme="minorHAnsi" w:hAnsiTheme="minorHAnsi" w:cstheme="minorHAnsi"/>
          <w:sz w:val="22"/>
          <w:szCs w:val="22"/>
        </w:rPr>
        <w:t xml:space="preserve"> uncertainty</w:t>
      </w:r>
      <w:r w:rsidR="00E105A7">
        <w:rPr>
          <w:rFonts w:asciiTheme="minorHAnsi" w:hAnsiTheme="minorHAnsi" w:cstheme="minorHAnsi"/>
          <w:sz w:val="22"/>
          <w:szCs w:val="22"/>
        </w:rPr>
        <w:t xml:space="preserve">, however, </w:t>
      </w:r>
      <w:r w:rsidRPr="00512E34">
        <w:rPr>
          <w:rFonts w:asciiTheme="minorHAnsi" w:hAnsiTheme="minorHAnsi" w:cstheme="minorHAnsi"/>
          <w:sz w:val="22"/>
          <w:szCs w:val="22"/>
        </w:rPr>
        <w:t xml:space="preserve">that </w:t>
      </w:r>
      <w:r>
        <w:rPr>
          <w:rFonts w:asciiTheme="minorHAnsi" w:hAnsiTheme="minorHAnsi" w:cstheme="minorHAnsi"/>
          <w:sz w:val="22"/>
          <w:szCs w:val="22"/>
        </w:rPr>
        <w:t>effects to an individual of a listed salmon will</w:t>
      </w:r>
      <w:r w:rsidRPr="00512E34">
        <w:rPr>
          <w:rFonts w:asciiTheme="minorHAnsi" w:hAnsiTheme="minorHAnsi" w:cstheme="minorHAnsi"/>
          <w:sz w:val="22"/>
          <w:szCs w:val="22"/>
        </w:rPr>
        <w:t xml:space="preserve"> result in effects to the orca</w:t>
      </w:r>
      <w:r>
        <w:rPr>
          <w:rFonts w:asciiTheme="minorHAnsi" w:hAnsiTheme="minorHAnsi" w:cstheme="minorHAnsi"/>
          <w:sz w:val="22"/>
          <w:szCs w:val="22"/>
        </w:rPr>
        <w:t>. In addition,</w:t>
      </w:r>
      <w:r w:rsidRPr="00512E34">
        <w:rPr>
          <w:rFonts w:asciiTheme="minorHAnsi" w:hAnsiTheme="minorHAnsi" w:cstheme="minorHAnsi"/>
          <w:sz w:val="22"/>
          <w:szCs w:val="22"/>
        </w:rPr>
        <w:t xml:space="preserve"> there are other species of </w:t>
      </w:r>
      <w:r>
        <w:rPr>
          <w:rFonts w:asciiTheme="minorHAnsi" w:hAnsiTheme="minorHAnsi" w:cstheme="minorHAnsi"/>
          <w:sz w:val="22"/>
          <w:szCs w:val="22"/>
        </w:rPr>
        <w:t xml:space="preserve">non-listed </w:t>
      </w:r>
      <w:r w:rsidRPr="00512E34">
        <w:rPr>
          <w:rFonts w:asciiTheme="minorHAnsi" w:hAnsiTheme="minorHAnsi" w:cstheme="minorHAnsi"/>
          <w:sz w:val="22"/>
          <w:szCs w:val="22"/>
        </w:rPr>
        <w:t xml:space="preserve">salmon that may be available </w:t>
      </w:r>
      <w:r w:rsidR="00E105A7">
        <w:rPr>
          <w:rFonts w:asciiTheme="minorHAnsi" w:hAnsiTheme="minorHAnsi" w:cstheme="minorHAnsi"/>
          <w:sz w:val="22"/>
          <w:szCs w:val="22"/>
        </w:rPr>
        <w:t>for the forage-base which</w:t>
      </w:r>
      <w:r w:rsidRPr="00512E34">
        <w:rPr>
          <w:rFonts w:asciiTheme="minorHAnsi" w:hAnsiTheme="minorHAnsi" w:cstheme="minorHAnsi"/>
          <w:sz w:val="22"/>
          <w:szCs w:val="22"/>
        </w:rPr>
        <w:t xml:space="preserve"> were not assessed. </w:t>
      </w:r>
      <w:r w:rsidRPr="000A1B44">
        <w:rPr>
          <w:rFonts w:asciiTheme="minorHAnsi" w:hAnsiTheme="minorHAnsi" w:cstheme="minorHAnsi"/>
          <w:sz w:val="22"/>
          <w:szCs w:val="22"/>
        </w:rPr>
        <w:t xml:space="preserve"> </w:t>
      </w:r>
    </w:p>
    <w:p w14:paraId="38E18D0A" w14:textId="77777777" w:rsidR="00D254FC" w:rsidRPr="000A1B44" w:rsidRDefault="00D254FC" w:rsidP="00D254FC">
      <w:pPr>
        <w:rPr>
          <w:rFonts w:asciiTheme="minorHAnsi" w:eastAsia="Arial" w:hAnsiTheme="minorHAnsi" w:cstheme="minorHAnsi"/>
          <w:sz w:val="22"/>
          <w:szCs w:val="22"/>
        </w:rPr>
      </w:pPr>
    </w:p>
    <w:p w14:paraId="3FEC8968" w14:textId="70D118D7"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The Western manatee forages in freshwater, as well as marine environments and requires freshwater on a regular basis. There is a great deal of uncertainty in estimating potential </w:t>
      </w:r>
      <w:r w:rsidR="00094B8A">
        <w:rPr>
          <w:rFonts w:asciiTheme="minorHAnsi" w:hAnsiTheme="minorHAnsi" w:cstheme="minorHAnsi"/>
          <w:sz w:val="22"/>
          <w:szCs w:val="22"/>
        </w:rPr>
        <w:t>methomyl</w:t>
      </w:r>
      <w:r w:rsidRPr="000A1B44">
        <w:rPr>
          <w:rFonts w:asciiTheme="minorHAnsi" w:hAnsiTheme="minorHAnsi" w:cstheme="minorHAnsi"/>
          <w:sz w:val="22"/>
          <w:szCs w:val="22"/>
        </w:rPr>
        <w:t xml:space="preserve"> exposures in marine environments that support the Western manatee, but </w:t>
      </w:r>
      <w:r>
        <w:rPr>
          <w:rFonts w:asciiTheme="minorHAnsi" w:hAnsiTheme="minorHAnsi" w:cstheme="minorHAnsi"/>
          <w:sz w:val="22"/>
          <w:szCs w:val="22"/>
        </w:rPr>
        <w:t xml:space="preserve">it is possible to use Estimated </w:t>
      </w:r>
      <w:r>
        <w:rPr>
          <w:rFonts w:asciiTheme="minorHAnsi" w:hAnsiTheme="minorHAnsi" w:cstheme="minorHAnsi"/>
          <w:sz w:val="22"/>
          <w:szCs w:val="22"/>
        </w:rPr>
        <w:lastRenderedPageBreak/>
        <w:t xml:space="preserve">Environmental Concentrations (EECs) for the large flowing bins (3 and 4) to estimate exposures </w:t>
      </w:r>
      <w:r w:rsidRPr="000A1B44">
        <w:rPr>
          <w:rFonts w:asciiTheme="minorHAnsi" w:hAnsiTheme="minorHAnsi" w:cstheme="minorHAnsi"/>
          <w:sz w:val="22"/>
          <w:szCs w:val="22"/>
        </w:rPr>
        <w:t>in freshwater</w:t>
      </w:r>
      <w:r>
        <w:rPr>
          <w:rFonts w:asciiTheme="minorHAnsi" w:hAnsiTheme="minorHAnsi" w:cstheme="minorHAnsi"/>
          <w:sz w:val="22"/>
          <w:szCs w:val="22"/>
        </w:rPr>
        <w:t xml:space="preserve"> environments (max daily EECs for HUC 3 = </w:t>
      </w:r>
      <w:r w:rsidR="00D05008">
        <w:rPr>
          <w:rFonts w:asciiTheme="minorHAnsi" w:hAnsiTheme="minorHAnsi" w:cstheme="minorHAnsi"/>
          <w:sz w:val="22"/>
          <w:szCs w:val="22"/>
        </w:rPr>
        <w:t>226</w:t>
      </w:r>
      <w:r>
        <w:rPr>
          <w:rFonts w:asciiTheme="minorHAnsi" w:hAnsiTheme="minorHAnsi" w:cstheme="minorHAnsi"/>
          <w:sz w:val="22"/>
          <w:szCs w:val="22"/>
        </w:rPr>
        <w:t xml:space="preserve"> µg/L)</w:t>
      </w:r>
      <w:r w:rsidRPr="000A1B44">
        <w:rPr>
          <w:rFonts w:asciiTheme="minorHAnsi" w:hAnsiTheme="minorHAnsi" w:cstheme="minorHAnsi"/>
          <w:sz w:val="22"/>
          <w:szCs w:val="22"/>
        </w:rPr>
        <w:t>. In addition, while there are uncertainties in the potential for effects due to uncertainties in the toxicity database, which utilizes small mammals as a surrogate</w:t>
      </w:r>
      <w:r w:rsidR="00E105A7">
        <w:rPr>
          <w:rFonts w:asciiTheme="minorHAnsi" w:hAnsiTheme="minorHAnsi" w:cstheme="minorHAnsi"/>
          <w:sz w:val="22"/>
          <w:szCs w:val="22"/>
        </w:rPr>
        <w:t xml:space="preserve"> for the manatee</w:t>
      </w:r>
      <w:r w:rsidRPr="000A1B44">
        <w:rPr>
          <w:rFonts w:asciiTheme="minorHAnsi" w:hAnsiTheme="minorHAnsi" w:cstheme="minorHAnsi"/>
          <w:sz w:val="22"/>
          <w:szCs w:val="22"/>
        </w:rPr>
        <w:t xml:space="preserve">, the effects thresholds for </w:t>
      </w:r>
      <w:r w:rsidR="00094B8A">
        <w:rPr>
          <w:rFonts w:asciiTheme="minorHAnsi" w:hAnsiTheme="minorHAnsi" w:cstheme="minorHAnsi"/>
          <w:sz w:val="22"/>
          <w:szCs w:val="22"/>
        </w:rPr>
        <w:t>methomyl</w:t>
      </w:r>
      <w:r w:rsidRPr="000A1B44">
        <w:rPr>
          <w:rFonts w:asciiTheme="minorHAnsi" w:hAnsiTheme="minorHAnsi" w:cstheme="minorHAnsi"/>
          <w:sz w:val="22"/>
          <w:szCs w:val="22"/>
        </w:rPr>
        <w:t xml:space="preserve"> are relatively low (</w:t>
      </w:r>
      <w:r w:rsidRPr="00766FCE">
        <w:rPr>
          <w:rStyle w:val="normaltextrun"/>
          <w:rFonts w:ascii="Calibri" w:hAnsi="Calibri" w:cs="Calibri"/>
          <w:sz w:val="22"/>
          <w:szCs w:val="22"/>
        </w:rPr>
        <w:t>L</w:t>
      </w:r>
      <w:r w:rsidR="008B57E9">
        <w:rPr>
          <w:rStyle w:val="normaltextrun"/>
          <w:rFonts w:ascii="Calibri" w:hAnsi="Calibri" w:cs="Calibri"/>
          <w:sz w:val="22"/>
          <w:szCs w:val="22"/>
        </w:rPr>
        <w:t>D</w:t>
      </w:r>
      <w:r w:rsidRPr="00766FCE">
        <w:rPr>
          <w:rStyle w:val="normaltextrun"/>
          <w:rFonts w:ascii="Calibri" w:hAnsi="Calibri" w:cs="Calibri"/>
          <w:sz w:val="22"/>
          <w:szCs w:val="22"/>
          <w:vertAlign w:val="subscript"/>
        </w:rPr>
        <w:t>50</w:t>
      </w:r>
      <w:r w:rsidRPr="00766FCE">
        <w:rPr>
          <w:rStyle w:val="normaltextrun"/>
          <w:rFonts w:ascii="Calibri" w:hAnsi="Calibri" w:cs="Calibri"/>
          <w:sz w:val="22"/>
          <w:szCs w:val="22"/>
        </w:rPr>
        <w:t xml:space="preserve"> = </w:t>
      </w:r>
      <w:r w:rsidR="008B57E9">
        <w:rPr>
          <w:rStyle w:val="normaltextrun"/>
          <w:rFonts w:ascii="Calibri" w:hAnsi="Calibri" w:cs="Calibri"/>
          <w:sz w:val="22"/>
          <w:szCs w:val="22"/>
        </w:rPr>
        <w:t>7.14</w:t>
      </w:r>
      <w:r w:rsidRPr="00766FCE">
        <w:rPr>
          <w:rStyle w:val="normaltextrun"/>
          <w:rFonts w:ascii="Calibri" w:hAnsi="Calibri" w:cs="Calibri"/>
          <w:sz w:val="22"/>
          <w:szCs w:val="22"/>
        </w:rPr>
        <w:t xml:space="preserve"> mg/kg-</w:t>
      </w:r>
      <w:proofErr w:type="spellStart"/>
      <w:r w:rsidRPr="00766FCE">
        <w:rPr>
          <w:rStyle w:val="spellingerror"/>
          <w:rFonts w:ascii="Calibri" w:hAnsi="Calibri" w:cs="Calibri"/>
          <w:sz w:val="22"/>
          <w:szCs w:val="22"/>
        </w:rPr>
        <w:t>bw</w:t>
      </w:r>
      <w:proofErr w:type="spellEnd"/>
      <w:r w:rsidRPr="00766FCE">
        <w:rPr>
          <w:rStyle w:val="normaltextrun"/>
          <w:rFonts w:ascii="Calibri" w:hAnsi="Calibri" w:cs="Calibri"/>
          <w:sz w:val="22"/>
          <w:szCs w:val="22"/>
        </w:rPr>
        <w:t>; LOAEC = </w:t>
      </w:r>
      <w:r w:rsidR="008B57E9">
        <w:rPr>
          <w:rStyle w:val="normaltextrun"/>
          <w:rFonts w:ascii="Calibri" w:hAnsi="Calibri" w:cs="Calibri"/>
          <w:sz w:val="22"/>
          <w:szCs w:val="22"/>
        </w:rPr>
        <w:t>2.0</w:t>
      </w:r>
      <w:r w:rsidRPr="00766FCE">
        <w:rPr>
          <w:rStyle w:val="normaltextrun"/>
          <w:rFonts w:ascii="Calibri" w:hAnsi="Calibri" w:cs="Calibri"/>
          <w:sz w:val="22"/>
          <w:szCs w:val="22"/>
        </w:rPr>
        <w:t xml:space="preserve"> mg-kg/</w:t>
      </w:r>
      <w:proofErr w:type="spellStart"/>
      <w:r w:rsidRPr="00766FCE">
        <w:rPr>
          <w:rStyle w:val="spellingerror"/>
          <w:rFonts w:ascii="Calibri" w:hAnsi="Calibri" w:cs="Calibri"/>
          <w:sz w:val="22"/>
          <w:szCs w:val="22"/>
        </w:rPr>
        <w:t>bw</w:t>
      </w:r>
      <w:proofErr w:type="spellEnd"/>
      <w:r w:rsidRPr="00766FCE">
        <w:rPr>
          <w:rStyle w:val="normaltextrun"/>
          <w:rFonts w:ascii="Calibri" w:hAnsi="Calibri" w:cs="Calibri"/>
          <w:sz w:val="22"/>
          <w:szCs w:val="22"/>
        </w:rPr>
        <w:t>/day based</w:t>
      </w:r>
      <w:r w:rsidR="00DB5D8F">
        <w:rPr>
          <w:rStyle w:val="normaltextrun"/>
          <w:rFonts w:ascii="Calibri" w:hAnsi="Calibri" w:cs="Calibri"/>
          <w:sz w:val="22"/>
          <w:szCs w:val="22"/>
        </w:rPr>
        <w:t xml:space="preserve"> on</w:t>
      </w:r>
      <w:r w:rsidRPr="00766FCE">
        <w:rPr>
          <w:rStyle w:val="normaltextrun"/>
          <w:rFonts w:ascii="Calibri" w:hAnsi="Calibri" w:cs="Calibri"/>
          <w:sz w:val="22"/>
          <w:szCs w:val="22"/>
        </w:rPr>
        <w:t xml:space="preserve"> </w:t>
      </w:r>
      <w:r w:rsidR="008B57E9" w:rsidRPr="008B57E9">
        <w:rPr>
          <w:rFonts w:asciiTheme="minorHAnsi" w:eastAsia="Calibri" w:hAnsiTheme="minorHAnsi" w:cstheme="minorHAnsi"/>
          <w:sz w:val="22"/>
          <w:szCs w:val="22"/>
        </w:rPr>
        <w:t>↓ 73% reduction in body weight gain in female rats (days 2-8)</w:t>
      </w:r>
      <w:r w:rsidRPr="000A1B44">
        <w:rPr>
          <w:rFonts w:asciiTheme="minorHAnsi" w:hAnsiTheme="minorHAnsi" w:cstheme="minorHAnsi"/>
          <w:sz w:val="22"/>
          <w:szCs w:val="22"/>
        </w:rPr>
        <w:t xml:space="preserve">). Therefore, there is a potential for the manatee to be exposed to concentrations of </w:t>
      </w:r>
      <w:r w:rsidR="00094B8A">
        <w:rPr>
          <w:rFonts w:asciiTheme="minorHAnsi" w:hAnsiTheme="minorHAnsi" w:cstheme="minorHAnsi"/>
          <w:sz w:val="22"/>
          <w:szCs w:val="22"/>
        </w:rPr>
        <w:t>methomyl</w:t>
      </w:r>
      <w:r w:rsidRPr="000A1B44">
        <w:rPr>
          <w:rFonts w:asciiTheme="minorHAnsi" w:hAnsiTheme="minorHAnsi" w:cstheme="minorHAnsi"/>
          <w:sz w:val="22"/>
          <w:szCs w:val="22"/>
        </w:rPr>
        <w:t xml:space="preserve"> that may result in impacts to an individual. </w:t>
      </w:r>
      <w:r w:rsidR="00094B8A">
        <w:rPr>
          <w:rFonts w:asciiTheme="minorHAnsi" w:hAnsiTheme="minorHAnsi" w:cstheme="minorHAnsi"/>
          <w:sz w:val="22"/>
          <w:szCs w:val="22"/>
        </w:rPr>
        <w:t xml:space="preserve">Effects to the PPHD of the manatee are not anticipated as they </w:t>
      </w:r>
      <w:r w:rsidRPr="000A1B44">
        <w:rPr>
          <w:rFonts w:asciiTheme="minorHAnsi" w:hAnsiTheme="minorHAnsi" w:cstheme="minorHAnsi"/>
          <w:sz w:val="22"/>
          <w:szCs w:val="22"/>
        </w:rPr>
        <w:t xml:space="preserve">primarily forage on aquatic vegetation and algae, which </w:t>
      </w:r>
      <w:r w:rsidR="00094B8A">
        <w:rPr>
          <w:rFonts w:asciiTheme="minorHAnsi" w:hAnsiTheme="minorHAnsi" w:cstheme="minorHAnsi"/>
          <w:sz w:val="22"/>
          <w:szCs w:val="22"/>
        </w:rPr>
        <w:t>are not</w:t>
      </w:r>
      <w:r w:rsidRPr="000A1B44">
        <w:rPr>
          <w:rFonts w:asciiTheme="minorHAnsi" w:hAnsiTheme="minorHAnsi" w:cstheme="minorHAnsi"/>
          <w:sz w:val="22"/>
          <w:szCs w:val="22"/>
        </w:rPr>
        <w:t xml:space="preserve"> impacted by exposure to </w:t>
      </w:r>
      <w:r w:rsidR="00094B8A">
        <w:rPr>
          <w:rFonts w:asciiTheme="minorHAnsi" w:hAnsiTheme="minorHAnsi" w:cstheme="minorHAnsi"/>
          <w:sz w:val="22"/>
          <w:szCs w:val="22"/>
        </w:rPr>
        <w:t>methomyl</w:t>
      </w:r>
      <w:r w:rsidRPr="000A1B44">
        <w:rPr>
          <w:rFonts w:asciiTheme="minorHAnsi" w:hAnsiTheme="minorHAnsi" w:cstheme="minorHAnsi"/>
          <w:sz w:val="22"/>
          <w:szCs w:val="22"/>
        </w:rPr>
        <w:t>. Therefore, a LAA determination is made for the Western manatee</w:t>
      </w:r>
      <w:r w:rsidR="00F51F5C">
        <w:rPr>
          <w:rFonts w:asciiTheme="minorHAnsi" w:hAnsiTheme="minorHAnsi" w:cstheme="minorHAnsi"/>
          <w:sz w:val="22"/>
          <w:szCs w:val="22"/>
        </w:rPr>
        <w:t>,</w:t>
      </w:r>
      <w:r w:rsidRPr="000A1B44">
        <w:rPr>
          <w:rFonts w:asciiTheme="minorHAnsi" w:hAnsiTheme="minorHAnsi" w:cstheme="minorHAnsi"/>
          <w:sz w:val="22"/>
          <w:szCs w:val="22"/>
        </w:rPr>
        <w:t xml:space="preserve"> with weak evidence of risk because the potential for exposure and effects are uncertain. </w:t>
      </w:r>
    </w:p>
    <w:p w14:paraId="3EE3B76E" w14:textId="43E87AEE" w:rsidR="00D254FC" w:rsidRDefault="00D254FC" w:rsidP="00D254FC">
      <w:pPr>
        <w:rPr>
          <w:rFonts w:asciiTheme="minorHAnsi" w:hAnsiTheme="minorHAnsi" w:cstheme="minorHAnsi"/>
          <w:sz w:val="22"/>
          <w:szCs w:val="22"/>
        </w:rPr>
      </w:pPr>
      <w:bookmarkStart w:id="2" w:name="_Hlk32299910"/>
    </w:p>
    <w:p w14:paraId="48C0D04E" w14:textId="690CA149" w:rsidR="004F3781" w:rsidRPr="008527F8" w:rsidRDefault="004F3781" w:rsidP="00D254FC">
      <w:pPr>
        <w:rPr>
          <w:rFonts w:asciiTheme="minorHAnsi" w:hAnsiTheme="minorHAnsi" w:cstheme="minorHAnsi"/>
          <w:b/>
          <w:bCs/>
          <w:color w:val="auto"/>
          <w:sz w:val="22"/>
          <w:szCs w:val="22"/>
          <w:u w:val="single"/>
        </w:rPr>
      </w:pPr>
      <w:r w:rsidRPr="008527F8">
        <w:rPr>
          <w:rFonts w:asciiTheme="minorHAnsi" w:hAnsiTheme="minorHAnsi" w:cstheme="minorHAnsi"/>
          <w:b/>
          <w:bCs/>
          <w:color w:val="auto"/>
          <w:sz w:val="22"/>
          <w:szCs w:val="22"/>
          <w:u w:val="single"/>
        </w:rPr>
        <w:t>NLAA Determinations</w:t>
      </w:r>
    </w:p>
    <w:p w14:paraId="3A395116" w14:textId="77777777" w:rsidR="004F3781" w:rsidRPr="000A1B44" w:rsidRDefault="004F3781" w:rsidP="00D254FC">
      <w:pPr>
        <w:rPr>
          <w:rFonts w:asciiTheme="minorHAnsi" w:hAnsiTheme="minorHAnsi" w:cstheme="minorHAnsi"/>
          <w:sz w:val="22"/>
          <w:szCs w:val="22"/>
        </w:rPr>
      </w:pPr>
    </w:p>
    <w:p w14:paraId="4100C6D6" w14:textId="77777777" w:rsidR="00D254FC" w:rsidRPr="000A1B44" w:rsidRDefault="00D254FC" w:rsidP="00D254FC">
      <w:pPr>
        <w:rPr>
          <w:rFonts w:asciiTheme="minorHAnsi" w:hAnsiTheme="minorHAnsi" w:cstheme="minorHAnsi"/>
          <w:b/>
          <w:i/>
          <w:sz w:val="22"/>
          <w:szCs w:val="22"/>
        </w:rPr>
      </w:pPr>
      <w:r w:rsidRPr="000A1B44">
        <w:rPr>
          <w:rFonts w:asciiTheme="minorHAnsi" w:hAnsiTheme="minorHAnsi" w:cstheme="minorHAnsi"/>
          <w:b/>
          <w:i/>
          <w:sz w:val="22"/>
          <w:szCs w:val="22"/>
        </w:rPr>
        <w:t xml:space="preserve">Aquatic Species </w:t>
      </w:r>
    </w:p>
    <w:p w14:paraId="55D8CB58" w14:textId="77777777" w:rsidR="00D254FC" w:rsidRPr="000A1B44" w:rsidRDefault="00D254FC" w:rsidP="00D254FC">
      <w:pPr>
        <w:rPr>
          <w:rFonts w:asciiTheme="minorHAnsi" w:hAnsiTheme="minorHAnsi" w:cstheme="minorHAnsi"/>
          <w:b/>
          <w:i/>
          <w:sz w:val="22"/>
          <w:szCs w:val="22"/>
        </w:rPr>
      </w:pPr>
    </w:p>
    <w:p w14:paraId="78FDD35F" w14:textId="3B1E7E43"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Effects to marine mammals (</w:t>
      </w:r>
      <w:r w:rsidRPr="007F027B">
        <w:rPr>
          <w:rFonts w:asciiTheme="minorHAnsi" w:hAnsiTheme="minorHAnsi" w:cstheme="minorHAnsi"/>
          <w:i/>
          <w:iCs/>
          <w:sz w:val="22"/>
          <w:szCs w:val="22"/>
        </w:rPr>
        <w:t>e.g.,</w:t>
      </w:r>
      <w:r w:rsidRPr="000A1B44">
        <w:rPr>
          <w:rFonts w:asciiTheme="minorHAnsi" w:hAnsiTheme="minorHAnsi" w:cstheme="minorHAnsi"/>
          <w:sz w:val="22"/>
          <w:szCs w:val="22"/>
        </w:rPr>
        <w:t xml:space="preserve"> pinnipeds, mustelids, polar bear, manatee), sea birds, and sea turtles are considered for both aquatic and terrestrial exposures. Effects to fish and corals are considered for aquatic exposures only. Since </w:t>
      </w:r>
      <w:r w:rsidR="00094B8A">
        <w:rPr>
          <w:rFonts w:asciiTheme="minorHAnsi" w:hAnsiTheme="minorHAnsi" w:cstheme="minorHAnsi"/>
          <w:sz w:val="22"/>
          <w:szCs w:val="22"/>
        </w:rPr>
        <w:t>methomyl</w:t>
      </w:r>
      <w:r w:rsidRPr="000A1B44">
        <w:rPr>
          <w:rFonts w:asciiTheme="minorHAnsi" w:hAnsiTheme="minorHAnsi" w:cstheme="minorHAnsi"/>
          <w:sz w:val="22"/>
          <w:szCs w:val="22"/>
        </w:rPr>
        <w:t xml:space="preserve"> is not considered bioaccumulative and is not expected to accumulate in the tissue of prey, exposure </w:t>
      </w:r>
      <w:r>
        <w:rPr>
          <w:rFonts w:asciiTheme="minorHAnsi" w:hAnsiTheme="minorHAnsi" w:cstheme="minorHAnsi"/>
          <w:sz w:val="22"/>
          <w:szCs w:val="22"/>
        </w:rPr>
        <w:t>from</w:t>
      </w:r>
      <w:r w:rsidRPr="000A1B44">
        <w:rPr>
          <w:rFonts w:asciiTheme="minorHAnsi" w:hAnsiTheme="minorHAnsi" w:cstheme="minorHAnsi"/>
          <w:sz w:val="22"/>
          <w:szCs w:val="22"/>
        </w:rPr>
        <w:t xml:space="preserve"> eating contaminated fish would be very low. In the marine environment, exposure of these species to conventional pesticides is not reasonably expected to reach the estuarine/marine environments at concentrations high enough to impact an individual of a species because of dilution. Additionally, tidal reversal in freshwater streams and vertical stratification of the freshwater inflow due to differences in salinity and temperature can enhance the mixing process at the freshwater/marine interface and disperse potential pesticide concentrations that may occur in freshwater streams and rivers that discharge into marine environments, limiting the potential for a pesticide to reach individuals of the listed species. See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for the complete list of species considered for exposure in the marine environment. </w:t>
      </w:r>
    </w:p>
    <w:p w14:paraId="3CA2CCA3" w14:textId="77777777" w:rsidR="00D254FC" w:rsidRPr="000A1B44" w:rsidRDefault="00D254FC" w:rsidP="00D254FC">
      <w:pPr>
        <w:rPr>
          <w:rFonts w:asciiTheme="minorHAnsi" w:hAnsiTheme="minorHAnsi" w:cstheme="minorHAnsi"/>
          <w:sz w:val="22"/>
          <w:szCs w:val="22"/>
        </w:rPr>
      </w:pPr>
    </w:p>
    <w:p w14:paraId="4C915D0F" w14:textId="49A962A4" w:rsidR="00D254FC"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Marine mammals, sea birds, and sea turtles may also spend a portion of their </w:t>
      </w:r>
      <w:proofErr w:type="gramStart"/>
      <w:r w:rsidRPr="000A1B44">
        <w:rPr>
          <w:rFonts w:asciiTheme="minorHAnsi" w:hAnsiTheme="minorHAnsi" w:cstheme="minorHAnsi"/>
          <w:sz w:val="22"/>
          <w:szCs w:val="22"/>
        </w:rPr>
        <w:t>life-cycle</w:t>
      </w:r>
      <w:proofErr w:type="gramEnd"/>
      <w:r w:rsidRPr="000A1B44">
        <w:rPr>
          <w:rFonts w:asciiTheme="minorHAnsi" w:hAnsiTheme="minorHAnsi" w:cstheme="minorHAnsi"/>
          <w:sz w:val="22"/>
          <w:szCs w:val="22"/>
        </w:rPr>
        <w:t xml:space="preserve"> (</w:t>
      </w:r>
      <w:r w:rsidRPr="000A1B44">
        <w:rPr>
          <w:rFonts w:asciiTheme="minorHAnsi" w:hAnsiTheme="minorHAnsi" w:cstheme="minorHAnsi"/>
          <w:i/>
          <w:sz w:val="22"/>
          <w:szCs w:val="22"/>
        </w:rPr>
        <w:t>i.e.,</w:t>
      </w:r>
      <w:r w:rsidRPr="000A1B44">
        <w:rPr>
          <w:rFonts w:asciiTheme="minorHAnsi" w:hAnsiTheme="minorHAnsi" w:cstheme="minorHAnsi"/>
          <w:sz w:val="22"/>
          <w:szCs w:val="22"/>
        </w:rPr>
        <w:t xml:space="preserve"> breeding and basking) on shore, so the potential for exposure in the terrestrial environment is also considered. See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for the complete list of aquatic species with the potential for terrestrial exposure. Potential exposure routes include inhalation and dermal interception of spray droplets on the day of application. Since these species do not forage while on land, dietary exposure while in terrestrial habitats is not expected. Based on the points below, exposure at concentrations high enough to impact an individual are not reasonably expected to occur for these species. </w:t>
      </w:r>
    </w:p>
    <w:p w14:paraId="7FABEC1A" w14:textId="77777777" w:rsidR="00D254FC" w:rsidRPr="000A1B44" w:rsidRDefault="00D254FC" w:rsidP="00D254FC">
      <w:pPr>
        <w:rPr>
          <w:rFonts w:asciiTheme="minorHAnsi" w:hAnsiTheme="minorHAnsi" w:cstheme="minorHAnsi"/>
          <w:sz w:val="22"/>
          <w:szCs w:val="22"/>
        </w:rPr>
      </w:pPr>
    </w:p>
    <w:p w14:paraId="018D919E" w14:textId="77777777"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sidRPr="000A1B44">
        <w:rPr>
          <w:rFonts w:asciiTheme="minorHAnsi" w:hAnsiTheme="minorHAnsi" w:cstheme="minorHAnsi"/>
          <w:sz w:val="22"/>
          <w:szCs w:val="22"/>
        </w:rPr>
        <w:t xml:space="preserve">In a quantitative assessment, the overlap analysis assumes that all individuals of the species are in the terrestrial portion of their range, which represents a relatively small fraction of the entire range of the species. This artificially inflates the overlap numbers resulting in low confidence in the potential for exposure. </w:t>
      </w:r>
    </w:p>
    <w:p w14:paraId="2F180ABB" w14:textId="4847977A"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While in the terrestrial environment, exposure of these species would be limited to spray drift from use sites adjacent to nesting or basking sites. The potential for exposure in the terrestrial environment is limited because</w:t>
      </w:r>
      <w:r w:rsidRPr="000A1B44">
        <w:rPr>
          <w:rFonts w:asciiTheme="minorHAnsi" w:hAnsiTheme="minorHAnsi" w:cstheme="minorHAnsi"/>
          <w:sz w:val="22"/>
          <w:szCs w:val="22"/>
        </w:rPr>
        <w:t xml:space="preserve"> on the day of application, </w:t>
      </w:r>
      <w:r w:rsidR="00094B8A">
        <w:rPr>
          <w:rFonts w:asciiTheme="minorHAnsi" w:hAnsiTheme="minorHAnsi" w:cstheme="minorHAnsi"/>
          <w:sz w:val="22"/>
          <w:szCs w:val="22"/>
        </w:rPr>
        <w:t>methomyl</w:t>
      </w:r>
      <w:r w:rsidRPr="000A1B44">
        <w:rPr>
          <w:rFonts w:asciiTheme="minorHAnsi" w:hAnsiTheme="minorHAnsi" w:cstheme="minorHAnsi"/>
          <w:sz w:val="22"/>
          <w:szCs w:val="22"/>
        </w:rPr>
        <w:t xml:space="preserve"> would have to be transported by wind blowing from the application site toward the beach with little opportunity for interception of spray droplets.</w:t>
      </w:r>
    </w:p>
    <w:p w14:paraId="4860617B" w14:textId="77777777" w:rsidR="00D254FC" w:rsidRPr="001B7E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sidRPr="000A1B44">
        <w:rPr>
          <w:rFonts w:asciiTheme="minorHAnsi" w:hAnsiTheme="minorHAnsi" w:cstheme="minorHAnsi"/>
          <w:sz w:val="22"/>
          <w:szCs w:val="22"/>
        </w:rPr>
        <w:t xml:space="preserve">The duration of potential exposures would be limited as these species spend a relatively short amount of time on the shore for basking and/or breeding purposes. For example, </w:t>
      </w:r>
      <w:r w:rsidRPr="000A1B44">
        <w:rPr>
          <w:rStyle w:val="normaltextrun"/>
          <w:rFonts w:asciiTheme="minorHAnsi" w:hAnsiTheme="minorHAnsi" w:cstheme="minorHAnsi"/>
          <w:color w:val="000000"/>
          <w:sz w:val="22"/>
          <w:szCs w:val="22"/>
          <w:bdr w:val="none" w:sz="0" w:space="0" w:color="auto" w:frame="1"/>
        </w:rPr>
        <w:t xml:space="preserve">sea turtles utilize beaches to lay their eggs, while some species use beaches to bask, however, </w:t>
      </w:r>
      <w:r w:rsidRPr="000A1B44">
        <w:rPr>
          <w:rFonts w:asciiTheme="minorHAnsi" w:hAnsiTheme="minorHAnsi" w:cstheme="minorHAnsi"/>
          <w:sz w:val="22"/>
          <w:szCs w:val="22"/>
        </w:rPr>
        <w:t xml:space="preserve">sea turtles </w:t>
      </w:r>
      <w:r w:rsidRPr="000A1B44">
        <w:rPr>
          <w:rFonts w:asciiTheme="minorHAnsi" w:hAnsiTheme="minorHAnsi" w:cstheme="minorHAnsi"/>
          <w:sz w:val="22"/>
          <w:szCs w:val="22"/>
        </w:rPr>
        <w:lastRenderedPageBreak/>
        <w:t xml:space="preserve">spend </w:t>
      </w:r>
      <w:proofErr w:type="gramStart"/>
      <w:r w:rsidRPr="000A1B44">
        <w:rPr>
          <w:rFonts w:asciiTheme="minorHAnsi" w:hAnsiTheme="minorHAnsi" w:cstheme="minorHAnsi"/>
          <w:sz w:val="22"/>
          <w:szCs w:val="22"/>
        </w:rPr>
        <w:t>the vast majority of</w:t>
      </w:r>
      <w:proofErr w:type="gramEnd"/>
      <w:r w:rsidRPr="000A1B44">
        <w:rPr>
          <w:rFonts w:asciiTheme="minorHAnsi" w:hAnsiTheme="minorHAnsi" w:cstheme="minorHAnsi"/>
          <w:sz w:val="22"/>
          <w:szCs w:val="22"/>
        </w:rPr>
        <w:t xml:space="preserve"> their lives in aquatic habitats. </w:t>
      </w:r>
    </w:p>
    <w:p w14:paraId="34887DD8" w14:textId="77777777"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In addition, s</w:t>
      </w:r>
      <w:r w:rsidRPr="000A1B44">
        <w:rPr>
          <w:rFonts w:asciiTheme="minorHAnsi" w:hAnsiTheme="minorHAnsi" w:cstheme="minorHAnsi"/>
          <w:sz w:val="22"/>
          <w:szCs w:val="22"/>
        </w:rPr>
        <w:t>everal of the species only occur in aquatic and terrestrial areas that are in Alaska. These species include the bearded seal, the Pacific walrus, the ringed seal, and the polar bear. Although, there are some potential pesticide use sites found in Southcentral Alaska, they are likely limited and/or largely removed from coastal areas.  A limited amount of land is used for grains and fruits and vegetables, based on USDA’s Census of Agriculture data for Alaska (2012).  Most of these crops are grown in the interior of the state (e.g</w:t>
      </w:r>
      <w:r w:rsidRPr="000A1B44">
        <w:rPr>
          <w:rFonts w:asciiTheme="minorHAnsi" w:hAnsiTheme="minorHAnsi" w:cstheme="minorHAnsi"/>
          <w:i/>
          <w:sz w:val="22"/>
          <w:szCs w:val="22"/>
        </w:rPr>
        <w:t>.</w:t>
      </w:r>
      <w:r w:rsidRPr="000A1B44">
        <w:rPr>
          <w:rFonts w:asciiTheme="minorHAnsi" w:hAnsiTheme="minorHAnsi" w:cstheme="minorHAnsi"/>
          <w:sz w:val="22"/>
          <w:szCs w:val="22"/>
        </w:rPr>
        <w:t>, near Fairbanks).  Although, there are some potential agricultural use sites found in Southcentral Alaska (e.g., forage crops), they are limited and largely removed from coastal areas.  Therefore, pesticide exposure to these species is not reasonably expected to occur.</w:t>
      </w:r>
    </w:p>
    <w:p w14:paraId="735094A4" w14:textId="77777777" w:rsidR="00D254FC" w:rsidRPr="000A1B44" w:rsidRDefault="00D254FC" w:rsidP="00D254FC">
      <w:pPr>
        <w:rPr>
          <w:rFonts w:asciiTheme="minorHAnsi" w:hAnsiTheme="minorHAnsi" w:cstheme="minorHAnsi"/>
          <w:sz w:val="22"/>
          <w:szCs w:val="22"/>
        </w:rPr>
      </w:pPr>
    </w:p>
    <w:p w14:paraId="75635B39" w14:textId="10FD9B0B"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Effects to the PPHD of marine mammals, fish, sea birds, sea turtles, and corals are also considered. The listed species considered rely on more than one dietary item, most of which are entirely marine. In estuarine/marine environments, exposures to conventional pesticides are not reasonably expected to decrease prey populations. Therefore, a</w:t>
      </w:r>
      <w:r>
        <w:rPr>
          <w:rFonts w:asciiTheme="minorHAnsi" w:hAnsiTheme="minorHAnsi" w:cstheme="minorHAnsi"/>
          <w:sz w:val="22"/>
          <w:szCs w:val="22"/>
        </w:rPr>
        <w:t>n</w:t>
      </w:r>
      <w:r w:rsidRPr="000A1B44">
        <w:rPr>
          <w:rFonts w:asciiTheme="minorHAnsi" w:hAnsiTheme="minorHAnsi" w:cstheme="minorHAnsi"/>
          <w:sz w:val="22"/>
          <w:szCs w:val="22"/>
        </w:rPr>
        <w:t xml:space="preserve"> NLAA determination is made for these species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w:t>
      </w:r>
    </w:p>
    <w:p w14:paraId="7FAF9F73" w14:textId="77777777" w:rsidR="00D254FC" w:rsidRPr="000A1B44" w:rsidRDefault="00D254FC" w:rsidP="00D254FC">
      <w:pPr>
        <w:rPr>
          <w:rFonts w:asciiTheme="minorHAnsi" w:hAnsiTheme="minorHAnsi" w:cstheme="minorHAnsi"/>
          <w:b/>
          <w:sz w:val="22"/>
          <w:szCs w:val="22"/>
          <w:u w:val="single"/>
        </w:rPr>
      </w:pPr>
    </w:p>
    <w:p w14:paraId="0F8507D3" w14:textId="2236192A" w:rsidR="00D254FC" w:rsidRPr="000A1B44" w:rsidRDefault="38A9E3B5" w:rsidP="343FF397">
      <w:pPr>
        <w:rPr>
          <w:rFonts w:asciiTheme="minorHAnsi" w:hAnsiTheme="minorHAnsi" w:cstheme="minorBidi"/>
          <w:sz w:val="22"/>
          <w:szCs w:val="22"/>
        </w:rPr>
      </w:pPr>
      <w:r w:rsidRPr="343FF397">
        <w:rPr>
          <w:rFonts w:ascii="Calibri" w:eastAsia="Calibri" w:hAnsi="Calibri" w:cs="Calibri"/>
          <w:sz w:val="22"/>
          <w:szCs w:val="22"/>
        </w:rPr>
        <w:t>Of the 47 species with NLAA determinations due to incomplete exposure pathways (step 2A), 15 have designated critical habitats. Additionally, of the 47 species with NLAA determinations due to unreliable exposure models (step 2D), 14 have designated critical habitats.</w:t>
      </w:r>
      <w:r w:rsidR="2D492980" w:rsidRPr="343FF397">
        <w:rPr>
          <w:rFonts w:asciiTheme="minorHAnsi" w:hAnsiTheme="minorHAnsi" w:cstheme="minorBidi"/>
          <w:sz w:val="22"/>
          <w:szCs w:val="22"/>
        </w:rPr>
        <w:t xml:space="preserve"> NLAA determinations are made for the designated critical habitats of these species (</w:t>
      </w:r>
      <w:r w:rsidR="2D492980" w:rsidRPr="343FF397">
        <w:rPr>
          <w:rFonts w:asciiTheme="minorHAnsi" w:hAnsiTheme="minorHAnsi" w:cstheme="minorBidi"/>
          <w:b/>
          <w:bCs/>
          <w:sz w:val="22"/>
          <w:szCs w:val="22"/>
        </w:rPr>
        <w:t>APPENDIX 4</w:t>
      </w:r>
      <w:r w:rsidR="58DFF197" w:rsidRPr="343FF397">
        <w:rPr>
          <w:rFonts w:asciiTheme="minorHAnsi" w:hAnsiTheme="minorHAnsi" w:cstheme="minorBidi"/>
          <w:b/>
          <w:bCs/>
          <w:sz w:val="22"/>
          <w:szCs w:val="22"/>
        </w:rPr>
        <w:t>-</w:t>
      </w:r>
      <w:r w:rsidR="2D492980" w:rsidRPr="343FF397">
        <w:rPr>
          <w:rFonts w:asciiTheme="minorHAnsi" w:hAnsiTheme="minorHAnsi" w:cstheme="minorBidi"/>
          <w:b/>
          <w:bCs/>
          <w:sz w:val="22"/>
          <w:szCs w:val="22"/>
        </w:rPr>
        <w:t>1</w:t>
      </w:r>
      <w:r w:rsidR="2D492980" w:rsidRPr="343FF397">
        <w:rPr>
          <w:rFonts w:asciiTheme="minorHAnsi" w:hAnsiTheme="minorHAnsi" w:cstheme="minorBidi"/>
          <w:sz w:val="22"/>
          <w:szCs w:val="22"/>
        </w:rPr>
        <w:t>). In addition, the beluga whale occurs in waters of the US and terrestrial areas that are in Alaska. Although, there are some potential pesticide use sites found in Southcentral Alaska, they are likely limited and/or largely removed from coastal areas.  A limited amount of land is used for grains and fruits and vegetables, based on USDA’s Census of Agriculture data for Alaska (2012).  Most of these crops are grown in the interior of the state (e.g., near Fairbanks).  Although, there are some potential agricultural use sites found in Southcentral Alaska (e.g., forage crops), they are limited and largely removed from coastal areas.  Therefore, pesticide exposure to the critical habitat of these species is not reasonably expected to occur.</w:t>
      </w:r>
    </w:p>
    <w:p w14:paraId="7D89E5AB" w14:textId="77777777" w:rsidR="00D254FC" w:rsidRPr="000A1B44" w:rsidRDefault="00D254FC" w:rsidP="00D254FC">
      <w:pPr>
        <w:rPr>
          <w:rFonts w:asciiTheme="minorHAnsi" w:hAnsiTheme="minorHAnsi" w:cstheme="minorHAnsi"/>
          <w:sz w:val="22"/>
          <w:szCs w:val="22"/>
        </w:rPr>
      </w:pPr>
    </w:p>
    <w:p w14:paraId="2E3CBDEB" w14:textId="77777777" w:rsidR="00D254FC" w:rsidRPr="000A1B44" w:rsidRDefault="00D254FC" w:rsidP="00D254FC">
      <w:pPr>
        <w:rPr>
          <w:rFonts w:asciiTheme="minorHAnsi" w:hAnsiTheme="minorHAnsi" w:cstheme="minorHAnsi"/>
          <w:b/>
          <w:i/>
          <w:sz w:val="22"/>
          <w:szCs w:val="22"/>
        </w:rPr>
      </w:pPr>
      <w:r w:rsidRPr="000A1B44">
        <w:rPr>
          <w:rFonts w:asciiTheme="minorHAnsi" w:hAnsiTheme="minorHAnsi" w:cstheme="minorHAnsi"/>
          <w:b/>
          <w:i/>
          <w:sz w:val="22"/>
          <w:szCs w:val="22"/>
        </w:rPr>
        <w:t>Terrestrial Species</w:t>
      </w:r>
    </w:p>
    <w:bookmarkEnd w:id="2"/>
    <w:p w14:paraId="6B4EB051" w14:textId="77777777" w:rsidR="00D254FC" w:rsidRPr="000A1B44" w:rsidRDefault="00D254FC" w:rsidP="00D254FC">
      <w:pPr>
        <w:rPr>
          <w:rFonts w:asciiTheme="minorHAnsi" w:hAnsiTheme="minorHAnsi" w:cstheme="minorHAnsi"/>
          <w:sz w:val="22"/>
          <w:szCs w:val="22"/>
        </w:rPr>
      </w:pPr>
    </w:p>
    <w:p w14:paraId="44CF0C5C" w14:textId="6F6D6500" w:rsidR="00D254FC" w:rsidRPr="004B1E23"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There is one species of terrestrial animal, the wood bison, that has extensive portions of its range located outside of the United States</w:t>
      </w:r>
      <w:r>
        <w:rPr>
          <w:rFonts w:asciiTheme="minorHAnsi" w:hAnsiTheme="minorHAnsi" w:cstheme="minorHAnsi"/>
          <w:sz w:val="22"/>
          <w:szCs w:val="22"/>
        </w:rPr>
        <w:t xml:space="preserve"> (i.e., in Canada)</w:t>
      </w:r>
      <w:r w:rsidRPr="000A1B44">
        <w:rPr>
          <w:rFonts w:asciiTheme="minorHAnsi" w:hAnsiTheme="minorHAnsi" w:cstheme="minorHAnsi"/>
          <w:sz w:val="22"/>
          <w:szCs w:val="22"/>
        </w:rPr>
        <w:t>. In a quantitative assessment, the overlap analysis assumes that all individuals of the species are in the portion of their range located in the United States, which represents a relatively small fraction of the entire range of the species. Since this artificially inflates the overlap numbers, which would result in low confidence in the potential for exposure, the overlap analysis was not run for these species and they are assessed qualitatively. For the wood bison, the population in the United States consists of a nonessential experimental population (NEP) established in 2015 in Western Alaska. This population is highly managed and tracked extensively. In addition, while there are some potential pesticide use sites found in Southcentral Alaska, they are likely limited and/or largely removed from areas utilized by the wood bison.  A limited amount of land is used for grains and fruits and vegetables (USDA’s Census of Agriculture data for Alaska (2012)</w:t>
      </w:r>
      <w:r>
        <w:rPr>
          <w:rFonts w:asciiTheme="minorHAnsi" w:hAnsiTheme="minorHAnsi" w:cstheme="minorHAnsi"/>
          <w:sz w:val="22"/>
          <w:szCs w:val="22"/>
        </w:rPr>
        <w:t>)</w:t>
      </w:r>
      <w:r w:rsidRPr="000A1B44">
        <w:rPr>
          <w:rFonts w:asciiTheme="minorHAnsi" w:hAnsiTheme="minorHAnsi" w:cstheme="minorHAnsi"/>
          <w:sz w:val="22"/>
          <w:szCs w:val="22"/>
        </w:rPr>
        <w:t>.  Most of these crops are grown in the interior of the state (</w:t>
      </w:r>
      <w:r w:rsidRPr="007F027B">
        <w:rPr>
          <w:rFonts w:asciiTheme="minorHAnsi" w:hAnsiTheme="minorHAnsi" w:cstheme="minorHAnsi"/>
          <w:i/>
          <w:iCs/>
          <w:sz w:val="22"/>
          <w:szCs w:val="22"/>
        </w:rPr>
        <w:t xml:space="preserve">e.g., </w:t>
      </w:r>
      <w:r w:rsidRPr="000A1B44">
        <w:rPr>
          <w:rFonts w:asciiTheme="minorHAnsi" w:hAnsiTheme="minorHAnsi" w:cstheme="minorHAnsi"/>
          <w:sz w:val="22"/>
          <w:szCs w:val="22"/>
        </w:rPr>
        <w:t>near Fairbanks).  Although there are some potential agricultural use sites found in Southcentral Alaska (</w:t>
      </w:r>
      <w:r w:rsidRPr="007F027B">
        <w:rPr>
          <w:rFonts w:asciiTheme="minorHAnsi" w:hAnsiTheme="minorHAnsi" w:cstheme="minorHAnsi"/>
          <w:i/>
          <w:iCs/>
          <w:sz w:val="22"/>
          <w:szCs w:val="22"/>
        </w:rPr>
        <w:t>e.g.,</w:t>
      </w:r>
      <w:r w:rsidRPr="000A1B44">
        <w:rPr>
          <w:rFonts w:asciiTheme="minorHAnsi" w:hAnsiTheme="minorHAnsi" w:cstheme="minorHAnsi"/>
          <w:sz w:val="22"/>
          <w:szCs w:val="22"/>
        </w:rPr>
        <w:t xml:space="preserve"> forage crops), they are limited.  Therefore, pesticide exposure to the wood bison is not reasonably expected to occur and a NLAA determination is made.</w:t>
      </w:r>
    </w:p>
    <w:p w14:paraId="561A05DB" w14:textId="2B12ACF6" w:rsidR="00D254FC" w:rsidRDefault="00D254FC" w:rsidP="00D254FC">
      <w:pPr>
        <w:rPr>
          <w:rFonts w:asciiTheme="minorHAnsi" w:eastAsia="Calibri" w:hAnsiTheme="minorHAnsi" w:cs="Calibri"/>
          <w:b/>
          <w:color w:val="auto"/>
          <w:sz w:val="22"/>
          <w:szCs w:val="24"/>
        </w:rPr>
      </w:pPr>
    </w:p>
    <w:p w14:paraId="0C604D09" w14:textId="77777777" w:rsidR="00AB51B2" w:rsidRDefault="00AB51B2" w:rsidP="00D254FC">
      <w:pPr>
        <w:rPr>
          <w:rFonts w:asciiTheme="minorHAnsi" w:eastAsia="Calibri" w:hAnsiTheme="minorHAnsi" w:cs="Calibri"/>
          <w:b/>
          <w:color w:val="auto"/>
          <w:sz w:val="22"/>
          <w:szCs w:val="24"/>
        </w:rPr>
        <w:sectPr w:rsidR="00AB51B2" w:rsidSect="00A42AEC">
          <w:footerReference w:type="default" r:id="rId11"/>
          <w:pgSz w:w="12240" w:h="15840"/>
          <w:pgMar w:top="1440" w:right="1440" w:bottom="1440" w:left="1440" w:header="720" w:footer="720" w:gutter="0"/>
          <w:cols w:space="720"/>
        </w:sectPr>
      </w:pPr>
    </w:p>
    <w:p w14:paraId="3F5F73A2" w14:textId="34094049" w:rsidR="002E4AF2" w:rsidRDefault="00AA3603" w:rsidP="00AA3603">
      <w:pPr>
        <w:pStyle w:val="BEHeader1"/>
      </w:pPr>
      <w:r>
        <w:lastRenderedPageBreak/>
        <w:t>References</w:t>
      </w:r>
    </w:p>
    <w:p w14:paraId="61F3EE55" w14:textId="2F39DA25" w:rsidR="00AA3603" w:rsidRDefault="00AA3603" w:rsidP="00AA3603"/>
    <w:p w14:paraId="1D7DAADA" w14:textId="3811C341" w:rsidR="00AA3603" w:rsidRDefault="00AA3603" w:rsidP="00AA3603">
      <w:pPr>
        <w:rPr>
          <w:rFonts w:asciiTheme="minorHAnsi" w:hAnsiTheme="minorHAnsi" w:cstheme="minorHAnsi"/>
          <w:sz w:val="22"/>
          <w:szCs w:val="18"/>
        </w:rPr>
      </w:pPr>
      <w:proofErr w:type="spellStart"/>
      <w:r>
        <w:rPr>
          <w:rFonts w:asciiTheme="minorHAnsi" w:hAnsiTheme="minorHAnsi" w:cstheme="minorHAnsi"/>
          <w:sz w:val="22"/>
          <w:szCs w:val="18"/>
        </w:rPr>
        <w:t>Eidels</w:t>
      </w:r>
      <w:proofErr w:type="spellEnd"/>
      <w:r>
        <w:rPr>
          <w:rFonts w:asciiTheme="minorHAnsi" w:hAnsiTheme="minorHAnsi" w:cstheme="minorHAnsi"/>
          <w:sz w:val="22"/>
          <w:szCs w:val="18"/>
        </w:rPr>
        <w:t>, R.R., and J.O. Whitaker Jr. 2007. Insecticide Residues in Bats and Guano from Indiana. Proceedings of the Indiana Academy of Science 116(1):50-57.</w:t>
      </w:r>
    </w:p>
    <w:p w14:paraId="1C7C62D7" w14:textId="6AE89DDB" w:rsidR="00AA3603" w:rsidRDefault="00AA3603" w:rsidP="00AA3603">
      <w:pPr>
        <w:rPr>
          <w:rFonts w:asciiTheme="minorHAnsi" w:hAnsiTheme="minorHAnsi" w:cstheme="minorHAnsi"/>
          <w:sz w:val="22"/>
          <w:szCs w:val="18"/>
        </w:rPr>
      </w:pPr>
    </w:p>
    <w:p w14:paraId="78FCCCE5" w14:textId="5A75FB3C" w:rsidR="00AA3603" w:rsidRDefault="00AA3603" w:rsidP="00AA3603">
      <w:pPr>
        <w:rPr>
          <w:rFonts w:asciiTheme="minorHAnsi" w:hAnsiTheme="minorHAnsi" w:cstheme="minorHAnsi"/>
          <w:sz w:val="22"/>
          <w:szCs w:val="18"/>
        </w:rPr>
      </w:pPr>
      <w:proofErr w:type="spellStart"/>
      <w:r>
        <w:rPr>
          <w:rFonts w:asciiTheme="minorHAnsi" w:hAnsiTheme="minorHAnsi" w:cstheme="minorHAnsi"/>
          <w:sz w:val="22"/>
          <w:szCs w:val="18"/>
        </w:rPr>
        <w:t>Eidels</w:t>
      </w:r>
      <w:proofErr w:type="spellEnd"/>
      <w:r>
        <w:rPr>
          <w:rFonts w:asciiTheme="minorHAnsi" w:hAnsiTheme="minorHAnsi" w:cstheme="minorHAnsi"/>
          <w:sz w:val="22"/>
          <w:szCs w:val="18"/>
        </w:rPr>
        <w:t xml:space="preserve">, R.R., and J.O. Whitaker Jr. 2013. Screening of Insecticides in Bats from Indiana. Proceedings of the Indiana Academy of Science 121(2):133-142. </w:t>
      </w:r>
    </w:p>
    <w:p w14:paraId="7B341BC3" w14:textId="191A086B" w:rsidR="00AA3603" w:rsidRDefault="00AA3603" w:rsidP="00AA3603">
      <w:pPr>
        <w:rPr>
          <w:rFonts w:asciiTheme="minorHAnsi" w:hAnsiTheme="minorHAnsi" w:cstheme="minorHAnsi"/>
          <w:sz w:val="22"/>
          <w:szCs w:val="18"/>
        </w:rPr>
      </w:pPr>
    </w:p>
    <w:p w14:paraId="16C1BF06" w14:textId="471C1605" w:rsidR="00AA3603" w:rsidRDefault="00AA3603" w:rsidP="00AA3603">
      <w:pPr>
        <w:rPr>
          <w:rFonts w:asciiTheme="minorHAnsi" w:hAnsiTheme="minorHAnsi" w:cstheme="minorHAnsi"/>
          <w:sz w:val="22"/>
          <w:szCs w:val="18"/>
        </w:rPr>
      </w:pPr>
      <w:r>
        <w:rPr>
          <w:rFonts w:asciiTheme="minorHAnsi" w:hAnsiTheme="minorHAnsi" w:cstheme="minorHAnsi"/>
          <w:sz w:val="22"/>
          <w:szCs w:val="18"/>
        </w:rPr>
        <w:t>Howarth, F.G. 1987. The evolution of non-</w:t>
      </w:r>
      <w:proofErr w:type="spellStart"/>
      <w:r>
        <w:rPr>
          <w:rFonts w:asciiTheme="minorHAnsi" w:hAnsiTheme="minorHAnsi" w:cstheme="minorHAnsi"/>
          <w:sz w:val="22"/>
          <w:szCs w:val="18"/>
        </w:rPr>
        <w:t>relictual</w:t>
      </w:r>
      <w:proofErr w:type="spellEnd"/>
      <w:r>
        <w:rPr>
          <w:rFonts w:asciiTheme="minorHAnsi" w:hAnsiTheme="minorHAnsi" w:cstheme="minorHAnsi"/>
          <w:sz w:val="22"/>
          <w:szCs w:val="18"/>
        </w:rPr>
        <w:t xml:space="preserve"> tropical </w:t>
      </w:r>
      <w:proofErr w:type="spellStart"/>
      <w:r>
        <w:rPr>
          <w:rFonts w:asciiTheme="minorHAnsi" w:hAnsiTheme="minorHAnsi" w:cstheme="minorHAnsi"/>
          <w:sz w:val="22"/>
          <w:szCs w:val="18"/>
        </w:rPr>
        <w:t>troglobites</w:t>
      </w:r>
      <w:proofErr w:type="spellEnd"/>
      <w:r>
        <w:rPr>
          <w:rFonts w:asciiTheme="minorHAnsi" w:hAnsiTheme="minorHAnsi" w:cstheme="minorHAnsi"/>
          <w:sz w:val="22"/>
          <w:szCs w:val="18"/>
        </w:rPr>
        <w:t>. International Journal of Speleology 16: 1-16.</w:t>
      </w:r>
    </w:p>
    <w:p w14:paraId="7C4EF1CF" w14:textId="77777777" w:rsidR="00AA3603" w:rsidRDefault="00AA3603" w:rsidP="00AA3603">
      <w:pPr>
        <w:rPr>
          <w:rFonts w:asciiTheme="minorHAnsi" w:hAnsiTheme="minorHAnsi" w:cstheme="minorHAnsi"/>
          <w:sz w:val="22"/>
          <w:szCs w:val="18"/>
        </w:rPr>
      </w:pPr>
    </w:p>
    <w:p w14:paraId="59728E83" w14:textId="1B85A299" w:rsidR="00AA3603" w:rsidRDefault="00AA3603" w:rsidP="00AA3603">
      <w:pPr>
        <w:rPr>
          <w:rFonts w:asciiTheme="minorHAnsi" w:hAnsiTheme="minorHAnsi" w:cstheme="minorHAnsi"/>
          <w:sz w:val="22"/>
          <w:szCs w:val="18"/>
        </w:rPr>
      </w:pPr>
      <w:r>
        <w:rPr>
          <w:rFonts w:asciiTheme="minorHAnsi" w:hAnsiTheme="minorHAnsi" w:cstheme="minorHAnsi"/>
          <w:sz w:val="22"/>
          <w:szCs w:val="18"/>
        </w:rPr>
        <w:t xml:space="preserve">Land, T.A., D.R. Clark Jr., C.E. Pekins, and T.E. </w:t>
      </w:r>
      <w:proofErr w:type="spellStart"/>
      <w:r>
        <w:rPr>
          <w:rFonts w:asciiTheme="minorHAnsi" w:hAnsiTheme="minorHAnsi" w:cstheme="minorHAnsi"/>
          <w:sz w:val="22"/>
          <w:szCs w:val="18"/>
        </w:rPr>
        <w:t>Lacher</w:t>
      </w:r>
      <w:proofErr w:type="spellEnd"/>
      <w:r>
        <w:rPr>
          <w:rFonts w:asciiTheme="minorHAnsi" w:hAnsiTheme="minorHAnsi" w:cstheme="minorHAnsi"/>
          <w:sz w:val="22"/>
          <w:szCs w:val="18"/>
        </w:rPr>
        <w:t xml:space="preserve"> Jr. 2019. Seasonal Emergence and Historical Contaminant Exposure of Cave Myotis (</w:t>
      </w:r>
      <w:r>
        <w:rPr>
          <w:rFonts w:asciiTheme="minorHAnsi" w:hAnsiTheme="minorHAnsi" w:cstheme="minorHAnsi"/>
          <w:i/>
          <w:iCs/>
          <w:sz w:val="22"/>
          <w:szCs w:val="18"/>
        </w:rPr>
        <w:t>Myotis velifer</w:t>
      </w:r>
      <w:r>
        <w:rPr>
          <w:rFonts w:asciiTheme="minorHAnsi" w:hAnsiTheme="minorHAnsi" w:cstheme="minorHAnsi"/>
          <w:sz w:val="22"/>
          <w:szCs w:val="18"/>
        </w:rPr>
        <w:t xml:space="preserve">) in Central Texas and Current Status of the Population. Environments; 6: 21. </w:t>
      </w:r>
    </w:p>
    <w:p w14:paraId="70BB86D2" w14:textId="65300BD1" w:rsidR="00AA3603" w:rsidRDefault="00AA3603" w:rsidP="00AA3603">
      <w:pPr>
        <w:rPr>
          <w:rFonts w:asciiTheme="minorHAnsi" w:hAnsiTheme="minorHAnsi" w:cstheme="minorHAnsi"/>
          <w:sz w:val="22"/>
          <w:szCs w:val="18"/>
        </w:rPr>
      </w:pPr>
    </w:p>
    <w:p w14:paraId="7F422F8F" w14:textId="0BF758B4" w:rsidR="00AA3603" w:rsidRPr="00AA3603" w:rsidRDefault="00AA3603" w:rsidP="00AA3603">
      <w:pPr>
        <w:rPr>
          <w:rFonts w:asciiTheme="minorHAnsi" w:hAnsiTheme="minorHAnsi" w:cstheme="minorHAnsi"/>
          <w:sz w:val="22"/>
          <w:szCs w:val="18"/>
        </w:rPr>
      </w:pPr>
      <w:r>
        <w:rPr>
          <w:rFonts w:asciiTheme="minorHAnsi" w:hAnsiTheme="minorHAnsi" w:cstheme="minorHAnsi"/>
          <w:sz w:val="22"/>
          <w:szCs w:val="18"/>
        </w:rPr>
        <w:t>McFarland, C.A. 1998. Potential Agricultural Insecticide Exposure of Indiana Bats (</w:t>
      </w:r>
      <w:r>
        <w:rPr>
          <w:rFonts w:asciiTheme="minorHAnsi" w:hAnsiTheme="minorHAnsi" w:cstheme="minorHAnsi"/>
          <w:i/>
          <w:iCs/>
          <w:sz w:val="22"/>
          <w:szCs w:val="18"/>
        </w:rPr>
        <w:t>Myotis sodalis</w:t>
      </w:r>
      <w:r>
        <w:rPr>
          <w:rFonts w:asciiTheme="minorHAnsi" w:hAnsiTheme="minorHAnsi" w:cstheme="minorHAnsi"/>
          <w:sz w:val="22"/>
          <w:szCs w:val="18"/>
        </w:rPr>
        <w:t xml:space="preserve">) in Missouri. Unpublished Master’s thesis. </w:t>
      </w:r>
    </w:p>
    <w:p w14:paraId="6849E9E7" w14:textId="769F309C" w:rsidR="00AA3603" w:rsidRDefault="00AA3603" w:rsidP="00AA3603">
      <w:pPr>
        <w:rPr>
          <w:rFonts w:asciiTheme="minorHAnsi" w:hAnsiTheme="minorHAnsi" w:cstheme="minorHAnsi"/>
          <w:sz w:val="22"/>
          <w:szCs w:val="18"/>
        </w:rPr>
      </w:pPr>
    </w:p>
    <w:p w14:paraId="5418CDE0" w14:textId="77777777" w:rsidR="00AA3603" w:rsidRPr="00AA3603" w:rsidRDefault="00AA3603" w:rsidP="00AA3603">
      <w:pPr>
        <w:rPr>
          <w:rFonts w:asciiTheme="minorHAnsi" w:hAnsiTheme="minorHAnsi" w:cstheme="minorHAnsi"/>
          <w:sz w:val="22"/>
          <w:szCs w:val="18"/>
        </w:rPr>
      </w:pPr>
    </w:p>
    <w:sectPr w:rsidR="00AA3603" w:rsidRPr="00AA3603" w:rsidSect="00A42AE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ED089" w14:textId="77777777" w:rsidR="006B6D93" w:rsidRDefault="006B6D93" w:rsidP="008A1B60">
      <w:r>
        <w:separator/>
      </w:r>
    </w:p>
  </w:endnote>
  <w:endnote w:type="continuationSeparator" w:id="0">
    <w:p w14:paraId="060578D3" w14:textId="77777777" w:rsidR="006B6D93" w:rsidRDefault="006B6D93" w:rsidP="008A1B60">
      <w:r>
        <w:continuationSeparator/>
      </w:r>
    </w:p>
  </w:endnote>
  <w:endnote w:type="continuationNotice" w:id="1">
    <w:p w14:paraId="5B181BB3" w14:textId="77777777" w:rsidR="006B6D93" w:rsidRDefault="006B6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757515"/>
      <w:docPartObj>
        <w:docPartGallery w:val="Page Numbers (Bottom of Page)"/>
        <w:docPartUnique/>
      </w:docPartObj>
    </w:sdtPr>
    <w:sdtEndPr>
      <w:rPr>
        <w:noProof/>
      </w:rPr>
    </w:sdtEndPr>
    <w:sdtContent>
      <w:p w14:paraId="1E9662CB" w14:textId="0D725B95" w:rsidR="008A1B60" w:rsidRDefault="008A1B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CAAA5C" w14:textId="77777777" w:rsidR="008A1B60" w:rsidRDefault="008A1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5A51B" w14:textId="77777777" w:rsidR="006B6D93" w:rsidRDefault="006B6D93" w:rsidP="008A1B60">
      <w:r>
        <w:separator/>
      </w:r>
    </w:p>
  </w:footnote>
  <w:footnote w:type="continuationSeparator" w:id="0">
    <w:p w14:paraId="65581B19" w14:textId="77777777" w:rsidR="006B6D93" w:rsidRDefault="006B6D93" w:rsidP="008A1B60">
      <w:r>
        <w:continuationSeparator/>
      </w:r>
    </w:p>
  </w:footnote>
  <w:footnote w:type="continuationNotice" w:id="1">
    <w:p w14:paraId="2E4D4795" w14:textId="77777777" w:rsidR="006B6D93" w:rsidRDefault="006B6D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015FE"/>
    <w:multiLevelType w:val="multilevel"/>
    <w:tmpl w:val="B9D0145E"/>
    <w:lvl w:ilvl="0">
      <w:start w:val="1"/>
      <w:numFmt w:val="decimal"/>
      <w:pStyle w:val="BEHeader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73985"/>
    <w:multiLevelType w:val="multilevel"/>
    <w:tmpl w:val="82F216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o63qMb19z13N+iMwzKuWOFd8qOkgyELXFackLOnOudMsR77Q5Obpg8d/qDommM85HusMVHzgBCI9bywwZGaQKA==" w:salt="eZNSHjO+mDRbAC4bfrlmt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FC"/>
    <w:rsid w:val="0000006F"/>
    <w:rsid w:val="00036C51"/>
    <w:rsid w:val="000570F3"/>
    <w:rsid w:val="00094B8A"/>
    <w:rsid w:val="00101BCA"/>
    <w:rsid w:val="00147654"/>
    <w:rsid w:val="0016387D"/>
    <w:rsid w:val="00173120"/>
    <w:rsid w:val="001965C5"/>
    <w:rsid w:val="001C3882"/>
    <w:rsid w:val="001C5837"/>
    <w:rsid w:val="002078CB"/>
    <w:rsid w:val="002979BC"/>
    <w:rsid w:val="002E4AF2"/>
    <w:rsid w:val="003460BC"/>
    <w:rsid w:val="003A456B"/>
    <w:rsid w:val="004137A6"/>
    <w:rsid w:val="00413EBC"/>
    <w:rsid w:val="0042776A"/>
    <w:rsid w:val="00431A39"/>
    <w:rsid w:val="004F1ED9"/>
    <w:rsid w:val="004F3781"/>
    <w:rsid w:val="005469ED"/>
    <w:rsid w:val="005621DF"/>
    <w:rsid w:val="0056558F"/>
    <w:rsid w:val="00593B74"/>
    <w:rsid w:val="005B1DF3"/>
    <w:rsid w:val="00612600"/>
    <w:rsid w:val="00630FC2"/>
    <w:rsid w:val="00655BB3"/>
    <w:rsid w:val="006B6D93"/>
    <w:rsid w:val="006F6DE4"/>
    <w:rsid w:val="00747D7C"/>
    <w:rsid w:val="00762F40"/>
    <w:rsid w:val="007F027B"/>
    <w:rsid w:val="008527F8"/>
    <w:rsid w:val="00877A2F"/>
    <w:rsid w:val="00884303"/>
    <w:rsid w:val="008A1B60"/>
    <w:rsid w:val="008B57E9"/>
    <w:rsid w:val="008C045B"/>
    <w:rsid w:val="00A11320"/>
    <w:rsid w:val="00A42AEC"/>
    <w:rsid w:val="00A808A1"/>
    <w:rsid w:val="00A878A5"/>
    <w:rsid w:val="00AA1318"/>
    <w:rsid w:val="00AA3603"/>
    <w:rsid w:val="00AB51B2"/>
    <w:rsid w:val="00AE5E3F"/>
    <w:rsid w:val="00B265E8"/>
    <w:rsid w:val="00B823FF"/>
    <w:rsid w:val="00C265BD"/>
    <w:rsid w:val="00C6443E"/>
    <w:rsid w:val="00C67E7F"/>
    <w:rsid w:val="00C81062"/>
    <w:rsid w:val="00CA2276"/>
    <w:rsid w:val="00D05008"/>
    <w:rsid w:val="00D254FC"/>
    <w:rsid w:val="00D33343"/>
    <w:rsid w:val="00D45293"/>
    <w:rsid w:val="00D84D8D"/>
    <w:rsid w:val="00DB5D8F"/>
    <w:rsid w:val="00E105A7"/>
    <w:rsid w:val="00E1421C"/>
    <w:rsid w:val="00E40377"/>
    <w:rsid w:val="00E63778"/>
    <w:rsid w:val="00EC0DD6"/>
    <w:rsid w:val="00EC3C24"/>
    <w:rsid w:val="00F51F5C"/>
    <w:rsid w:val="00F6057B"/>
    <w:rsid w:val="00F67C01"/>
    <w:rsid w:val="00F73438"/>
    <w:rsid w:val="00FA03D5"/>
    <w:rsid w:val="00FB5AF8"/>
    <w:rsid w:val="00FD3F11"/>
    <w:rsid w:val="0C176AC7"/>
    <w:rsid w:val="0CFBC77D"/>
    <w:rsid w:val="2D492980"/>
    <w:rsid w:val="343FF397"/>
    <w:rsid w:val="38A9E3B5"/>
    <w:rsid w:val="58DFF197"/>
    <w:rsid w:val="6295F7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404D5"/>
  <w15:chartTrackingRefBased/>
  <w15:docId w15:val="{F1C51FD0-645E-4428-98DF-BCE621DB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54FC"/>
    <w:pPr>
      <w:spacing w:after="0" w:line="240" w:lineRule="auto"/>
    </w:pPr>
    <w:rPr>
      <w:rFonts w:ascii="Times New Roman" w:hAnsi="Times New Roman"/>
      <w:color w:val="000000"/>
      <w:sz w:val="24"/>
    </w:rPr>
  </w:style>
  <w:style w:type="paragraph" w:styleId="Heading1">
    <w:name w:val="heading 1"/>
    <w:basedOn w:val="Normal"/>
    <w:next w:val="Normal"/>
    <w:link w:val="Heading1Char"/>
    <w:qFormat/>
    <w:rsid w:val="00D254FC"/>
    <w:pPr>
      <w:keepNext/>
      <w:keepLines/>
      <w:numPr>
        <w:numId w:val="1"/>
      </w:numPr>
      <w:spacing w:before="240"/>
      <w:outlineLvl w:val="0"/>
    </w:pPr>
    <w:rPr>
      <w:rFonts w:ascii="Calibri" w:eastAsia="Calibri" w:hAnsi="Calibri" w:cs="Calibri"/>
      <w:color w:val="2E75B5"/>
      <w:sz w:val="32"/>
    </w:rPr>
  </w:style>
  <w:style w:type="paragraph" w:styleId="Heading2">
    <w:name w:val="heading 2"/>
    <w:aliases w:val="Heading 2 Char2,Char Char,Heading 2 Char1 Char,Heading 2 Char1,Char"/>
    <w:basedOn w:val="Normal"/>
    <w:next w:val="Normal"/>
    <w:link w:val="Heading2Char"/>
    <w:qFormat/>
    <w:rsid w:val="00AB51B2"/>
    <w:pPr>
      <w:keepNext/>
      <w:keepLines/>
      <w:numPr>
        <w:ilvl w:val="1"/>
        <w:numId w:val="1"/>
      </w:numPr>
      <w:spacing w:before="40"/>
      <w:outlineLvl w:val="1"/>
    </w:pPr>
    <w:rPr>
      <w:rFonts w:ascii="Calibri" w:eastAsia="Calibri" w:hAnsi="Calibri" w:cs="Calibri"/>
      <w:color w:val="2E75B5"/>
      <w:sz w:val="22"/>
    </w:rPr>
  </w:style>
  <w:style w:type="paragraph" w:styleId="Heading3">
    <w:name w:val="heading 3"/>
    <w:basedOn w:val="Normal"/>
    <w:next w:val="Normal"/>
    <w:link w:val="Heading3Char"/>
    <w:qFormat/>
    <w:rsid w:val="00D254FC"/>
    <w:pPr>
      <w:keepNext/>
      <w:keepLines/>
      <w:numPr>
        <w:ilvl w:val="2"/>
        <w:numId w:val="1"/>
      </w:numPr>
      <w:outlineLvl w:val="2"/>
    </w:pPr>
    <w:rPr>
      <w:rFonts w:ascii="Calibri" w:hAnsi="Calibri"/>
      <w:color w:val="5B9BD5" w:themeColor="accent5"/>
    </w:rPr>
  </w:style>
  <w:style w:type="paragraph" w:styleId="Heading4">
    <w:name w:val="heading 4"/>
    <w:basedOn w:val="Normal"/>
    <w:next w:val="Normal"/>
    <w:link w:val="Heading4Char"/>
    <w:qFormat/>
    <w:rsid w:val="00D254FC"/>
    <w:pPr>
      <w:keepNext/>
      <w:keepLines/>
      <w:numPr>
        <w:ilvl w:val="3"/>
        <w:numId w:val="1"/>
      </w:numPr>
      <w:outlineLvl w:val="3"/>
    </w:pPr>
    <w:rPr>
      <w:rFonts w:ascii="Calibri" w:hAnsi="Calibri"/>
      <w:i/>
      <w:color w:val="5B9BD5"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D254FC"/>
    <w:pPr>
      <w:keepNext/>
      <w:keepLines/>
      <w:numPr>
        <w:ilvl w:val="4"/>
        <w:numId w:val="1"/>
      </w:numPr>
      <w:outlineLvl w:val="4"/>
    </w:pPr>
    <w:rPr>
      <w:rFonts w:ascii="Calibri" w:hAnsi="Calibri"/>
      <w:i/>
      <w:color w:val="5B9BD5" w:themeColor="accent5"/>
      <w:sz w:val="22"/>
    </w:rPr>
  </w:style>
  <w:style w:type="paragraph" w:styleId="Heading6">
    <w:name w:val="heading 6"/>
    <w:aliases w:val=" Char1 Char, Char1"/>
    <w:basedOn w:val="Normal"/>
    <w:next w:val="Normal"/>
    <w:link w:val="Heading6Char"/>
    <w:qFormat/>
    <w:rsid w:val="00D254FC"/>
    <w:pPr>
      <w:keepNext/>
      <w:keepLines/>
      <w:numPr>
        <w:ilvl w:val="5"/>
        <w:numId w:val="1"/>
      </w:numPr>
      <w:outlineLvl w:val="5"/>
    </w:pPr>
    <w:rPr>
      <w:sz w:val="28"/>
    </w:rPr>
  </w:style>
  <w:style w:type="paragraph" w:styleId="Heading7">
    <w:name w:val="heading 7"/>
    <w:basedOn w:val="Normal"/>
    <w:next w:val="Normal"/>
    <w:link w:val="Heading7Char"/>
    <w:qFormat/>
    <w:rsid w:val="00D254FC"/>
    <w:pPr>
      <w:keepNext/>
      <w:numPr>
        <w:ilvl w:val="6"/>
        <w:numId w:val="1"/>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D254FC"/>
    <w:pPr>
      <w:keepNext/>
      <w:numPr>
        <w:ilvl w:val="7"/>
        <w:numId w:val="1"/>
      </w:numPr>
      <w:tabs>
        <w:tab w:val="num" w:pos="1440"/>
      </w:tabs>
      <w:outlineLvl w:val="7"/>
    </w:pPr>
    <w:rPr>
      <w:i/>
      <w:color w:val="auto"/>
      <w:szCs w:val="24"/>
    </w:rPr>
  </w:style>
  <w:style w:type="paragraph" w:styleId="Heading9">
    <w:name w:val="heading 9"/>
    <w:basedOn w:val="Normal"/>
    <w:next w:val="Normal"/>
    <w:link w:val="Heading9Char"/>
    <w:qFormat/>
    <w:rsid w:val="00D254FC"/>
    <w:pPr>
      <w:keepNext/>
      <w:numPr>
        <w:ilvl w:val="8"/>
        <w:numId w:val="1"/>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4FC"/>
    <w:rPr>
      <w:rFonts w:eastAsia="Calibri" w:cs="Calibri"/>
      <w:color w:val="2E75B5"/>
      <w:sz w:val="32"/>
    </w:rPr>
  </w:style>
  <w:style w:type="character" w:customStyle="1" w:styleId="Heading2Char">
    <w:name w:val="Heading 2 Char"/>
    <w:aliases w:val="Heading 2 Char2 Char,Char Char Char,Heading 2 Char1 Char Char,Heading 2 Char1 Char1,Char Char1"/>
    <w:basedOn w:val="DefaultParagraphFont"/>
    <w:link w:val="Heading2"/>
    <w:rsid w:val="00AB51B2"/>
    <w:rPr>
      <w:rFonts w:eastAsia="Calibri" w:cs="Calibri"/>
      <w:color w:val="2E75B5"/>
      <w:sz w:val="22"/>
    </w:rPr>
  </w:style>
  <w:style w:type="character" w:customStyle="1" w:styleId="Heading3Char">
    <w:name w:val="Heading 3 Char"/>
    <w:basedOn w:val="DefaultParagraphFont"/>
    <w:link w:val="Heading3"/>
    <w:rsid w:val="00D254FC"/>
    <w:rPr>
      <w:color w:val="5B9BD5" w:themeColor="accent5"/>
      <w:sz w:val="24"/>
    </w:rPr>
  </w:style>
  <w:style w:type="character" w:customStyle="1" w:styleId="Heading4Char">
    <w:name w:val="Heading 4 Char"/>
    <w:basedOn w:val="DefaultParagraphFont"/>
    <w:link w:val="Heading4"/>
    <w:rsid w:val="00D254FC"/>
    <w:rPr>
      <w:i/>
      <w:color w:val="5B9BD5" w:themeColor="accent5"/>
      <w:sz w:val="24"/>
    </w:rPr>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D254FC"/>
    <w:rPr>
      <w:i/>
      <w:color w:val="5B9BD5" w:themeColor="accent5"/>
      <w:sz w:val="22"/>
    </w:rPr>
  </w:style>
  <w:style w:type="character" w:customStyle="1" w:styleId="Heading6Char">
    <w:name w:val="Heading 6 Char"/>
    <w:aliases w:val=" Char1 Char Char, Char1 Char1"/>
    <w:basedOn w:val="DefaultParagraphFont"/>
    <w:link w:val="Heading6"/>
    <w:rsid w:val="00D254FC"/>
    <w:rPr>
      <w:rFonts w:ascii="Times New Roman" w:hAnsi="Times New Roman"/>
      <w:color w:val="000000"/>
      <w:sz w:val="28"/>
    </w:rPr>
  </w:style>
  <w:style w:type="character" w:customStyle="1" w:styleId="Heading7Char">
    <w:name w:val="Heading 7 Char"/>
    <w:basedOn w:val="DefaultParagraphFont"/>
    <w:link w:val="Heading7"/>
    <w:rsid w:val="00D254FC"/>
    <w:rPr>
      <w:rFonts w:ascii="Arial" w:hAnsi="Arial"/>
      <w:b/>
      <w:bCs/>
      <w:szCs w:val="24"/>
    </w:rPr>
  </w:style>
  <w:style w:type="character" w:customStyle="1" w:styleId="Heading8Char">
    <w:name w:val="Heading 8 Char"/>
    <w:basedOn w:val="DefaultParagraphFont"/>
    <w:link w:val="Heading8"/>
    <w:rsid w:val="00D254FC"/>
    <w:rPr>
      <w:rFonts w:ascii="Times New Roman" w:hAnsi="Times New Roman"/>
      <w:i/>
      <w:sz w:val="24"/>
      <w:szCs w:val="24"/>
    </w:rPr>
  </w:style>
  <w:style w:type="character" w:customStyle="1" w:styleId="Heading9Char">
    <w:name w:val="Heading 9 Char"/>
    <w:basedOn w:val="DefaultParagraphFont"/>
    <w:link w:val="Heading9"/>
    <w:rsid w:val="00D254FC"/>
    <w:rPr>
      <w:rFonts w:ascii="Arial" w:hAnsi="Arial"/>
      <w:i/>
      <w:iCs/>
      <w:szCs w:val="24"/>
    </w:rPr>
  </w:style>
  <w:style w:type="paragraph" w:styleId="CommentText">
    <w:name w:val="annotation text"/>
    <w:basedOn w:val="Normal"/>
    <w:link w:val="CommentTextChar"/>
    <w:uiPriority w:val="99"/>
    <w:unhideWhenUsed/>
    <w:rsid w:val="00D254FC"/>
    <w:rPr>
      <w:sz w:val="20"/>
    </w:rPr>
  </w:style>
  <w:style w:type="character" w:customStyle="1" w:styleId="CommentTextChar">
    <w:name w:val="Comment Text Char"/>
    <w:basedOn w:val="DefaultParagraphFont"/>
    <w:link w:val="CommentText"/>
    <w:uiPriority w:val="99"/>
    <w:rsid w:val="00D254FC"/>
    <w:rPr>
      <w:rFonts w:ascii="Times New Roman" w:hAnsi="Times New Roman"/>
      <w:color w:val="000000"/>
    </w:rPr>
  </w:style>
  <w:style w:type="character" w:styleId="CommentReference">
    <w:name w:val="annotation reference"/>
    <w:basedOn w:val="DefaultParagraphFont"/>
    <w:uiPriority w:val="99"/>
    <w:semiHidden/>
    <w:unhideWhenUsed/>
    <w:rsid w:val="00D254FC"/>
    <w:rPr>
      <w:sz w:val="16"/>
      <w:szCs w:val="16"/>
    </w:rPr>
  </w:style>
  <w:style w:type="paragraph" w:styleId="ListParagraph">
    <w:name w:val="List Paragraph"/>
    <w:basedOn w:val="Normal"/>
    <w:uiPriority w:val="34"/>
    <w:qFormat/>
    <w:rsid w:val="00D254FC"/>
    <w:pPr>
      <w:spacing w:line="276" w:lineRule="auto"/>
      <w:ind w:left="720"/>
      <w:contextualSpacing/>
    </w:pPr>
    <w:rPr>
      <w:rFonts w:eastAsiaTheme="minorHAnsi"/>
      <w:color w:val="auto"/>
      <w:szCs w:val="24"/>
    </w:rPr>
  </w:style>
  <w:style w:type="character" w:customStyle="1" w:styleId="normaltextrun">
    <w:name w:val="normaltextrun"/>
    <w:basedOn w:val="DefaultParagraphFont"/>
    <w:rsid w:val="00D254FC"/>
  </w:style>
  <w:style w:type="character" w:customStyle="1" w:styleId="spellingerror">
    <w:name w:val="spellingerror"/>
    <w:basedOn w:val="DefaultParagraphFont"/>
    <w:rsid w:val="00D254FC"/>
  </w:style>
  <w:style w:type="paragraph" w:styleId="BalloonText">
    <w:name w:val="Balloon Text"/>
    <w:basedOn w:val="Normal"/>
    <w:link w:val="BalloonTextChar"/>
    <w:uiPriority w:val="99"/>
    <w:semiHidden/>
    <w:unhideWhenUsed/>
    <w:rsid w:val="00D25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FC"/>
    <w:rPr>
      <w:rFonts w:ascii="Segoe UI" w:hAnsi="Segoe UI" w:cs="Segoe UI"/>
      <w:color w:val="000000"/>
      <w:sz w:val="18"/>
      <w:szCs w:val="18"/>
    </w:rPr>
  </w:style>
  <w:style w:type="paragraph" w:styleId="Header">
    <w:name w:val="header"/>
    <w:basedOn w:val="Normal"/>
    <w:link w:val="HeaderChar"/>
    <w:uiPriority w:val="99"/>
    <w:unhideWhenUsed/>
    <w:rsid w:val="008A1B60"/>
    <w:pPr>
      <w:tabs>
        <w:tab w:val="center" w:pos="4680"/>
        <w:tab w:val="right" w:pos="9360"/>
      </w:tabs>
    </w:pPr>
  </w:style>
  <w:style w:type="character" w:customStyle="1" w:styleId="HeaderChar">
    <w:name w:val="Header Char"/>
    <w:basedOn w:val="DefaultParagraphFont"/>
    <w:link w:val="Header"/>
    <w:uiPriority w:val="99"/>
    <w:rsid w:val="008A1B60"/>
    <w:rPr>
      <w:rFonts w:ascii="Times New Roman" w:hAnsi="Times New Roman"/>
      <w:color w:val="000000"/>
      <w:sz w:val="24"/>
    </w:rPr>
  </w:style>
  <w:style w:type="paragraph" w:styleId="Footer">
    <w:name w:val="footer"/>
    <w:basedOn w:val="Normal"/>
    <w:link w:val="FooterChar"/>
    <w:uiPriority w:val="99"/>
    <w:unhideWhenUsed/>
    <w:rsid w:val="008A1B60"/>
    <w:pPr>
      <w:tabs>
        <w:tab w:val="center" w:pos="4680"/>
        <w:tab w:val="right" w:pos="9360"/>
      </w:tabs>
    </w:pPr>
  </w:style>
  <w:style w:type="character" w:customStyle="1" w:styleId="FooterChar">
    <w:name w:val="Footer Char"/>
    <w:basedOn w:val="DefaultParagraphFont"/>
    <w:link w:val="Footer"/>
    <w:uiPriority w:val="99"/>
    <w:rsid w:val="008A1B60"/>
    <w:rPr>
      <w:rFonts w:ascii="Times New Roman" w:hAnsi="Times New Roman"/>
      <w:color w:val="000000"/>
      <w:sz w:val="24"/>
    </w:rPr>
  </w:style>
  <w:style w:type="paragraph" w:styleId="CommentSubject">
    <w:name w:val="annotation subject"/>
    <w:basedOn w:val="CommentText"/>
    <w:next w:val="CommentText"/>
    <w:link w:val="CommentSubjectChar"/>
    <w:uiPriority w:val="99"/>
    <w:semiHidden/>
    <w:unhideWhenUsed/>
    <w:rsid w:val="008B57E9"/>
    <w:rPr>
      <w:b/>
      <w:bCs/>
    </w:rPr>
  </w:style>
  <w:style w:type="character" w:customStyle="1" w:styleId="CommentSubjectChar">
    <w:name w:val="Comment Subject Char"/>
    <w:basedOn w:val="CommentTextChar"/>
    <w:link w:val="CommentSubject"/>
    <w:uiPriority w:val="99"/>
    <w:semiHidden/>
    <w:rsid w:val="008B57E9"/>
    <w:rPr>
      <w:rFonts w:ascii="Times New Roman" w:hAnsi="Times New Roman"/>
      <w:b/>
      <w:bCs/>
      <w:color w:val="000000"/>
    </w:rPr>
  </w:style>
  <w:style w:type="paragraph" w:customStyle="1" w:styleId="BEHeader1">
    <w:name w:val="BE Header 1"/>
    <w:basedOn w:val="Heading1"/>
    <w:link w:val="BEHeader1Char"/>
    <w:qFormat/>
    <w:rsid w:val="00655BB3"/>
    <w:pPr>
      <w:numPr>
        <w:numId w:val="3"/>
      </w:numPr>
    </w:pPr>
    <w:rPr>
      <w:rFonts w:asciiTheme="minorHAnsi" w:hAnsiTheme="minorHAnsi" w:cstheme="minorHAnsi"/>
      <w:color w:val="4472C4"/>
      <w:sz w:val="24"/>
    </w:rPr>
  </w:style>
  <w:style w:type="paragraph" w:customStyle="1" w:styleId="BEHeader2">
    <w:name w:val="BE Header 2"/>
    <w:basedOn w:val="Heading2"/>
    <w:link w:val="BEHeader2Char"/>
    <w:qFormat/>
    <w:rsid w:val="00FD3F11"/>
    <w:rPr>
      <w:rFonts w:asciiTheme="minorHAnsi" w:hAnsiTheme="minorHAnsi" w:cstheme="minorHAnsi"/>
      <w:color w:val="5B9BD5" w:themeColor="accent5"/>
      <w:szCs w:val="22"/>
    </w:rPr>
  </w:style>
  <w:style w:type="character" w:customStyle="1" w:styleId="BEHeader1Char">
    <w:name w:val="BE Header 1 Char"/>
    <w:basedOn w:val="Heading1Char"/>
    <w:link w:val="BEHeader1"/>
    <w:rsid w:val="00655BB3"/>
    <w:rPr>
      <w:rFonts w:asciiTheme="minorHAnsi" w:eastAsia="Calibri" w:hAnsiTheme="minorHAnsi" w:cstheme="minorHAnsi"/>
      <w:color w:val="4472C4"/>
      <w:sz w:val="24"/>
    </w:rPr>
  </w:style>
  <w:style w:type="character" w:customStyle="1" w:styleId="BEHeader2Char">
    <w:name w:val="BE Header 2 Char"/>
    <w:basedOn w:val="Heading2Char"/>
    <w:link w:val="BEHeader2"/>
    <w:rsid w:val="00FD3F11"/>
    <w:rPr>
      <w:rFonts w:asciiTheme="minorHAnsi" w:eastAsia="Calibri" w:hAnsiTheme="minorHAnsi" w:cstheme="minorHAnsi"/>
      <w:color w:val="5B9BD5" w:themeColor="accent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746158">
      <w:bodyDiv w:val="1"/>
      <w:marLeft w:val="0"/>
      <w:marRight w:val="0"/>
      <w:marTop w:val="0"/>
      <w:marBottom w:val="0"/>
      <w:divBdr>
        <w:top w:val="none" w:sz="0" w:space="0" w:color="auto"/>
        <w:left w:val="none" w:sz="0" w:space="0" w:color="auto"/>
        <w:bottom w:val="none" w:sz="0" w:space="0" w:color="auto"/>
        <w:right w:val="none" w:sz="0" w:space="0" w:color="auto"/>
      </w:divBdr>
    </w:div>
    <w:div w:id="8073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2020-02-25T14:26:29+00:00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Anderson, Brian</DisplayName>
        <AccountId>650</AccountId>
        <AccountType/>
      </UserInfo>
    </SharedWithUsers>
  </documentManagement>
</p:properties>
</file>

<file path=customXml/itemProps1.xml><?xml version="1.0" encoding="utf-8"?>
<ds:datastoreItem xmlns:ds="http://schemas.openxmlformats.org/officeDocument/2006/customXml" ds:itemID="{33FFA146-5C9A-47E4-8917-FBC64B63C891}">
  <ds:schemaRefs>
    <ds:schemaRef ds:uri="Microsoft.SharePoint.Taxonomy.ContentTypeSync"/>
  </ds:schemaRefs>
</ds:datastoreItem>
</file>

<file path=customXml/itemProps2.xml><?xml version="1.0" encoding="utf-8"?>
<ds:datastoreItem xmlns:ds="http://schemas.openxmlformats.org/officeDocument/2006/customXml" ds:itemID="{46235C58-F158-4864-AC4B-C343FC941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52116-6805-4F3A-AB11-0EF3E2CE55E9}">
  <ds:schemaRefs>
    <ds:schemaRef ds:uri="http://schemas.microsoft.com/sharepoint/v3/contenttype/forms"/>
  </ds:schemaRefs>
</ds:datastoreItem>
</file>

<file path=customXml/itemProps4.xml><?xml version="1.0" encoding="utf-8"?>
<ds:datastoreItem xmlns:ds="http://schemas.openxmlformats.org/officeDocument/2006/customXml" ds:itemID="{A8D39B41-7CF0-439F-9B24-1530BC7F19E4}">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4ffa91fb-a0ff-4ac5-b2db-65c790d184a4"/>
    <ds:schemaRef ds:uri="http://purl.org/dc/terms/"/>
    <ds:schemaRef ds:uri="1b69afd8-9bdb-481b-b26a-06cbd17fa30c"/>
    <ds:schemaRef ds:uri="a5d1ca4e-0a3f-4119-b619-e20b93ebd1aa"/>
    <ds:schemaRef ds:uri="http://purl.org/dc/dcmitype/"/>
    <ds:schemaRef ds:uri="http://schemas.microsoft.com/sharepoint/v3/fields"/>
    <ds:schemaRef ds:uri="http://schemas.microsoft.com/sharepoint.v3"/>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2362</Words>
  <Characters>13464</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Elizabeth</dc:creator>
  <cp:keywords/>
  <dc:description/>
  <cp:lastModifiedBy>Fowler, Jerrett</cp:lastModifiedBy>
  <cp:revision>51</cp:revision>
  <dcterms:created xsi:type="dcterms:W3CDTF">2020-02-25T14:25:00Z</dcterms:created>
  <dcterms:modified xsi:type="dcterms:W3CDTF">2021-03-17T13:26:00Z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