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29DC1D" w14:textId="42EC94E1" w:rsidR="00145AE6" w:rsidRPr="00923CFF" w:rsidRDefault="00923CFF">
      <w:pPr>
        <w:rPr>
          <w:color w:val="4472C4"/>
          <w:sz w:val="32"/>
          <w:szCs w:val="32"/>
        </w:rPr>
      </w:pPr>
      <w:r w:rsidRPr="00923CFF">
        <w:rPr>
          <w:b/>
          <w:color w:val="4472C4"/>
          <w:sz w:val="32"/>
          <w:szCs w:val="32"/>
        </w:rPr>
        <w:t>APPENDIX</w:t>
      </w:r>
      <w:r w:rsidR="00BC456F" w:rsidRPr="00923CFF">
        <w:rPr>
          <w:b/>
          <w:color w:val="4472C4"/>
          <w:sz w:val="32"/>
          <w:szCs w:val="32"/>
        </w:rPr>
        <w:t xml:space="preserve"> 4-</w:t>
      </w:r>
      <w:r w:rsidRPr="00923CFF">
        <w:rPr>
          <w:b/>
          <w:color w:val="4472C4"/>
          <w:sz w:val="32"/>
          <w:szCs w:val="32"/>
        </w:rPr>
        <w:t>5</w:t>
      </w:r>
      <w:r w:rsidR="00BC456F" w:rsidRPr="00923CFF">
        <w:rPr>
          <w:b/>
          <w:color w:val="4472C4"/>
          <w:sz w:val="32"/>
          <w:szCs w:val="32"/>
        </w:rPr>
        <w:t xml:space="preserve">. </w:t>
      </w:r>
      <w:r w:rsidR="00672E91" w:rsidRPr="00672E91">
        <w:rPr>
          <w:b/>
          <w:color w:val="4472C4"/>
          <w:sz w:val="32"/>
          <w:szCs w:val="32"/>
        </w:rPr>
        <w:t xml:space="preserve">Analysis of </w:t>
      </w:r>
      <w:r w:rsidR="00FC6F97" w:rsidRPr="00923CFF">
        <w:rPr>
          <w:b/>
          <w:color w:val="4472C4"/>
          <w:sz w:val="32"/>
          <w:szCs w:val="32"/>
        </w:rPr>
        <w:t>G</w:t>
      </w:r>
      <w:r w:rsidRPr="00923CFF">
        <w:rPr>
          <w:b/>
          <w:color w:val="4472C4"/>
          <w:sz w:val="32"/>
          <w:szCs w:val="32"/>
        </w:rPr>
        <w:t>ranular and Fly Bait Uses</w:t>
      </w:r>
    </w:p>
    <w:p w14:paraId="23EE1935" w14:textId="77777777" w:rsidR="00145AE6" w:rsidRDefault="00145AE6"/>
    <w:p w14:paraId="0049C379" w14:textId="3B54AFCE" w:rsidR="00145AE6" w:rsidRDefault="00FC6F97">
      <w:r>
        <w:t xml:space="preserve">Most </w:t>
      </w:r>
      <w:r w:rsidR="00BD3330">
        <w:t>methomyl</w:t>
      </w:r>
      <w:r>
        <w:t xml:space="preserve"> use and usage involves flowable uses (</w:t>
      </w:r>
      <w:r>
        <w:rPr>
          <w:i/>
        </w:rPr>
        <w:t>e.g</w:t>
      </w:r>
      <w:r>
        <w:t xml:space="preserve">., emulsifiable concentrate, wettable powder).  Therefore, the methods developed for analyzing terrestrial exposures in this BE focus on flowable uses; however, </w:t>
      </w:r>
      <w:r w:rsidR="00BD3330">
        <w:t>methomyl</w:t>
      </w:r>
      <w:r>
        <w:t xml:space="preserve"> also has non-flowable uses: </w:t>
      </w:r>
      <w:r w:rsidR="00BD3330">
        <w:t xml:space="preserve">granular and fly bait </w:t>
      </w:r>
      <w:r>
        <w:t xml:space="preserve">uses.  </w:t>
      </w:r>
    </w:p>
    <w:p w14:paraId="28DCBBCB" w14:textId="77777777" w:rsidR="00145AE6" w:rsidRDefault="00145AE6"/>
    <w:p w14:paraId="371D357D" w14:textId="34E6396E" w:rsidR="00145AE6" w:rsidRPr="00510E3A" w:rsidRDefault="00FC6F97">
      <w:pPr>
        <w:rPr>
          <w:color w:val="auto"/>
        </w:rPr>
      </w:pPr>
      <w:r>
        <w:t>Because exposures related to granular/bait uses are readily modeled using our current aquatic modeling approaches,</w:t>
      </w:r>
      <w:r w:rsidRPr="00510E3A">
        <w:rPr>
          <w:color w:val="auto"/>
        </w:rPr>
        <w:t xml:space="preserve"> these types of uses are incorporated into the aquatic exposure</w:t>
      </w:r>
      <w:r w:rsidR="004B184F" w:rsidRPr="00510E3A">
        <w:rPr>
          <w:color w:val="auto"/>
        </w:rPr>
        <w:t xml:space="preserve"> analysis</w:t>
      </w:r>
      <w:r w:rsidRPr="00510E3A">
        <w:rPr>
          <w:color w:val="auto"/>
        </w:rPr>
        <w:t xml:space="preserve"> used to help make effects determinations for listed aquatic species (and those that rely on aquatic species).  However, due to differences in estimating potential exposures from granular/bait uses and flowable uses, these (granular/bait) uses are not as easily incorporated into the current modeling approach for assessing terrestrial exposures</w:t>
      </w:r>
      <w:r w:rsidR="00327F07" w:rsidRPr="00510E3A">
        <w:rPr>
          <w:color w:val="auto"/>
        </w:rPr>
        <w:t xml:space="preserve"> to listed terrestrial species.</w:t>
      </w:r>
      <w:r w:rsidRPr="00510E3A">
        <w:rPr>
          <w:color w:val="auto"/>
        </w:rPr>
        <w:t xml:space="preserve"> </w:t>
      </w:r>
      <w:r w:rsidR="001A0C85" w:rsidRPr="00510E3A">
        <w:rPr>
          <w:color w:val="auto"/>
        </w:rPr>
        <w:t>Exposure of listed terrestrial species to</w:t>
      </w:r>
      <w:r w:rsidRPr="00510E3A">
        <w:rPr>
          <w:color w:val="auto"/>
        </w:rPr>
        <w:t xml:space="preserve"> flowable uses</w:t>
      </w:r>
      <w:r w:rsidR="001A0C85" w:rsidRPr="00510E3A">
        <w:rPr>
          <w:color w:val="auto"/>
        </w:rPr>
        <w:t>, which</w:t>
      </w:r>
      <w:r w:rsidRPr="00510E3A">
        <w:rPr>
          <w:color w:val="auto"/>
        </w:rPr>
        <w:t xml:space="preserve"> account for most of the use and usage of </w:t>
      </w:r>
      <w:r w:rsidR="009D63D0" w:rsidRPr="00510E3A">
        <w:rPr>
          <w:color w:val="auto"/>
        </w:rPr>
        <w:t>methomyl</w:t>
      </w:r>
      <w:r w:rsidRPr="00510E3A">
        <w:rPr>
          <w:color w:val="auto"/>
        </w:rPr>
        <w:t xml:space="preserve">, </w:t>
      </w:r>
      <w:r w:rsidR="001A0C85" w:rsidRPr="00510E3A">
        <w:rPr>
          <w:color w:val="auto"/>
        </w:rPr>
        <w:t>is</w:t>
      </w:r>
      <w:r w:rsidRPr="00510E3A">
        <w:rPr>
          <w:color w:val="auto"/>
        </w:rPr>
        <w:t xml:space="preserve"> incorporated into the current </w:t>
      </w:r>
      <w:r w:rsidR="00D77EA1" w:rsidRPr="00510E3A">
        <w:rPr>
          <w:color w:val="auto"/>
        </w:rPr>
        <w:t xml:space="preserve">version of the </w:t>
      </w:r>
      <w:proofErr w:type="spellStart"/>
      <w:r w:rsidR="00D77EA1" w:rsidRPr="00510E3A">
        <w:rPr>
          <w:color w:val="auto"/>
        </w:rPr>
        <w:t>MAGTool</w:t>
      </w:r>
      <w:proofErr w:type="spellEnd"/>
      <w:r w:rsidR="00D77EA1" w:rsidRPr="00510E3A">
        <w:rPr>
          <w:color w:val="auto"/>
        </w:rPr>
        <w:t xml:space="preserve"> (v2.3) that are</w:t>
      </w:r>
      <w:r w:rsidR="004B184F" w:rsidRPr="00510E3A">
        <w:rPr>
          <w:color w:val="auto"/>
        </w:rPr>
        <w:t xml:space="preserve"> </w:t>
      </w:r>
      <w:r w:rsidRPr="00510E3A">
        <w:rPr>
          <w:color w:val="auto"/>
        </w:rPr>
        <w:t xml:space="preserve">used to </w:t>
      </w:r>
      <w:r w:rsidR="00D77EA1" w:rsidRPr="00510E3A">
        <w:rPr>
          <w:color w:val="auto"/>
        </w:rPr>
        <w:t xml:space="preserve">help make </w:t>
      </w:r>
      <w:r w:rsidRPr="00510E3A">
        <w:rPr>
          <w:color w:val="auto"/>
        </w:rPr>
        <w:t>effects determinations for listed terrestrial species (and those that rely on terrestrial species).  While</w:t>
      </w:r>
      <w:r w:rsidR="0047448F" w:rsidRPr="00510E3A">
        <w:rPr>
          <w:color w:val="auto"/>
        </w:rPr>
        <w:t xml:space="preserve"> </w:t>
      </w:r>
      <w:r w:rsidRPr="00510E3A">
        <w:rPr>
          <w:color w:val="auto"/>
        </w:rPr>
        <w:t xml:space="preserve">the granular/bait uses are not built into these tools, they </w:t>
      </w:r>
      <w:r w:rsidR="001A0C85" w:rsidRPr="00510E3A">
        <w:rPr>
          <w:color w:val="auto"/>
        </w:rPr>
        <w:t>are</w:t>
      </w:r>
      <w:r w:rsidRPr="00510E3A">
        <w:rPr>
          <w:color w:val="auto"/>
        </w:rPr>
        <w:t xml:space="preserve"> considered when making effects determinations.</w:t>
      </w:r>
      <w:r w:rsidR="00D77EA1" w:rsidRPr="00510E3A">
        <w:rPr>
          <w:color w:val="auto"/>
        </w:rPr>
        <w:t xml:space="preserve"> </w:t>
      </w:r>
      <w:r w:rsidR="00D77EA1" w:rsidRPr="00510E3A">
        <w:rPr>
          <w:rStyle w:val="normaltextrun"/>
          <w:color w:val="auto"/>
          <w:shd w:val="clear" w:color="auto" w:fill="FFFFFF"/>
        </w:rPr>
        <w:t xml:space="preserve">In the individual effects determinations output sheets from the </w:t>
      </w:r>
      <w:proofErr w:type="spellStart"/>
      <w:r w:rsidR="00D77EA1" w:rsidRPr="00510E3A">
        <w:rPr>
          <w:rStyle w:val="normaltextrun"/>
          <w:color w:val="auto"/>
          <w:shd w:val="clear" w:color="auto" w:fill="FFFFFF"/>
        </w:rPr>
        <w:t>MAGtool</w:t>
      </w:r>
      <w:proofErr w:type="spellEnd"/>
      <w:r w:rsidR="00D77EA1" w:rsidRPr="00510E3A">
        <w:rPr>
          <w:rStyle w:val="normaltextrun"/>
          <w:color w:val="auto"/>
          <w:shd w:val="clear" w:color="auto" w:fill="FFFFFF"/>
        </w:rPr>
        <w:t xml:space="preserve"> (</w:t>
      </w:r>
      <w:r w:rsidR="00D77EA1" w:rsidRPr="00510E3A">
        <w:rPr>
          <w:rStyle w:val="normaltextrun"/>
          <w:b/>
          <w:bCs/>
          <w:color w:val="auto"/>
          <w:shd w:val="clear" w:color="auto" w:fill="FFFFFF"/>
        </w:rPr>
        <w:t>Appendix 4</w:t>
      </w:r>
      <w:r w:rsidR="00974A9F">
        <w:rPr>
          <w:rStyle w:val="normaltextrun"/>
          <w:b/>
          <w:bCs/>
          <w:color w:val="auto"/>
          <w:shd w:val="clear" w:color="auto" w:fill="FFFFFF"/>
        </w:rPr>
        <w:t>-</w:t>
      </w:r>
      <w:r w:rsidR="00D77EA1" w:rsidRPr="00510E3A">
        <w:rPr>
          <w:rStyle w:val="normaltextrun"/>
          <w:b/>
          <w:bCs/>
          <w:color w:val="auto"/>
          <w:shd w:val="clear" w:color="auto" w:fill="FFFFFF"/>
        </w:rPr>
        <w:t>9</w:t>
      </w:r>
      <w:r w:rsidR="00D77EA1" w:rsidRPr="00510E3A">
        <w:rPr>
          <w:rStyle w:val="normaltextrun"/>
          <w:color w:val="auto"/>
          <w:shd w:val="clear" w:color="auto" w:fill="FFFFFF"/>
        </w:rPr>
        <w:t>), if a terrestrial animal range or critical habitat has overlap with a use site where granular uses are permitted, as shown in </w:t>
      </w:r>
      <w:r w:rsidR="00D77EA1" w:rsidRPr="00510E3A">
        <w:rPr>
          <w:rStyle w:val="normaltextrun"/>
          <w:b/>
          <w:bCs/>
          <w:color w:val="auto"/>
          <w:shd w:val="clear" w:color="auto" w:fill="FFFFFF"/>
        </w:rPr>
        <w:t>Table 1</w:t>
      </w:r>
      <w:r w:rsidR="00D77EA1" w:rsidRPr="00510E3A">
        <w:rPr>
          <w:rStyle w:val="normaltextrun"/>
          <w:color w:val="auto"/>
          <w:shd w:val="clear" w:color="auto" w:fill="FFFFFF"/>
        </w:rPr>
        <w:t xml:space="preserve"> below, it is specified that this use should be given additional consideration by the assessor. Consideration of this additional use outside of the flowable uses already captured in the </w:t>
      </w:r>
      <w:proofErr w:type="spellStart"/>
      <w:r w:rsidR="00D77EA1" w:rsidRPr="00510E3A">
        <w:rPr>
          <w:rStyle w:val="normaltextrun"/>
          <w:color w:val="auto"/>
          <w:shd w:val="clear" w:color="auto" w:fill="FFFFFF"/>
        </w:rPr>
        <w:t>MAGtool</w:t>
      </w:r>
      <w:proofErr w:type="spellEnd"/>
      <w:r w:rsidR="00D77EA1" w:rsidRPr="00510E3A">
        <w:rPr>
          <w:rStyle w:val="normaltextrun"/>
          <w:color w:val="auto"/>
          <w:shd w:val="clear" w:color="auto" w:fill="FFFFFF"/>
        </w:rPr>
        <w:t xml:space="preserve"> did not result in the alteration of any effects determinations.</w:t>
      </w:r>
      <w:r w:rsidRPr="00510E3A">
        <w:rPr>
          <w:color w:val="auto"/>
        </w:rPr>
        <w:t xml:space="preserve"> A discussion of the methods for assessing </w:t>
      </w:r>
      <w:r w:rsidR="00B13C07" w:rsidRPr="00510E3A">
        <w:rPr>
          <w:color w:val="auto"/>
        </w:rPr>
        <w:t>risk</w:t>
      </w:r>
      <w:r w:rsidR="006D21AC" w:rsidRPr="00510E3A">
        <w:rPr>
          <w:color w:val="auto"/>
        </w:rPr>
        <w:t xml:space="preserve"> from </w:t>
      </w:r>
      <w:r w:rsidRPr="00510E3A">
        <w:rPr>
          <w:color w:val="auto"/>
        </w:rPr>
        <w:t xml:space="preserve">granular </w:t>
      </w:r>
      <w:r w:rsidR="009D63D0" w:rsidRPr="00510E3A">
        <w:rPr>
          <w:color w:val="auto"/>
        </w:rPr>
        <w:t xml:space="preserve">and fly bait </w:t>
      </w:r>
      <w:r w:rsidRPr="00510E3A">
        <w:rPr>
          <w:color w:val="auto"/>
        </w:rPr>
        <w:t xml:space="preserve">uses for </w:t>
      </w:r>
      <w:r w:rsidR="001A0C85" w:rsidRPr="00510E3A">
        <w:rPr>
          <w:color w:val="auto"/>
        </w:rPr>
        <w:t xml:space="preserve">listed </w:t>
      </w:r>
      <w:r w:rsidRPr="00510E3A">
        <w:rPr>
          <w:color w:val="auto"/>
        </w:rPr>
        <w:t xml:space="preserve">terrestrial species </w:t>
      </w:r>
      <w:r w:rsidR="006D21AC" w:rsidRPr="00510E3A">
        <w:rPr>
          <w:color w:val="auto"/>
        </w:rPr>
        <w:t xml:space="preserve">is </w:t>
      </w:r>
      <w:r w:rsidRPr="00510E3A">
        <w:rPr>
          <w:color w:val="auto"/>
        </w:rPr>
        <w:t>described below.</w:t>
      </w:r>
    </w:p>
    <w:p w14:paraId="7699BCFF" w14:textId="77777777" w:rsidR="00145AE6" w:rsidRDefault="00145AE6"/>
    <w:p w14:paraId="1BA54629" w14:textId="2FA2A566" w:rsidR="00FD3F32" w:rsidRPr="00FD3F32" w:rsidRDefault="00FD3F32" w:rsidP="00923CFF">
      <w:pPr>
        <w:pStyle w:val="BEHeader1"/>
      </w:pPr>
      <w:r w:rsidRPr="00FD3F32">
        <w:t>Granule Use</w:t>
      </w:r>
    </w:p>
    <w:p w14:paraId="2E814818" w14:textId="77777777" w:rsidR="00FD3F32" w:rsidRDefault="00FD3F32"/>
    <w:p w14:paraId="11EA3AA7" w14:textId="75D07D26" w:rsidR="00045266" w:rsidRDefault="00FC6F97">
      <w:r>
        <w:t>For terrestrial organisms, the primary route of exposure to granules is assumed to be via ingestion</w:t>
      </w:r>
      <w:r w:rsidR="00D77EA1">
        <w:t xml:space="preserve"> by</w:t>
      </w:r>
      <w:r w:rsidR="00660EA7">
        <w:t xml:space="preserve"> vertebrates and ingestion and contact</w:t>
      </w:r>
      <w:r w:rsidR="00D77EA1">
        <w:t xml:space="preserve"> by</w:t>
      </w:r>
      <w:r w:rsidR="00660EA7">
        <w:t xml:space="preserve"> terrestrial invertebrates</w:t>
      </w:r>
      <w:r>
        <w:t>.  Spray drift is not ex</w:t>
      </w:r>
      <w:r w:rsidR="00327F07">
        <w:t>pected from these types of uses;</w:t>
      </w:r>
      <w:r>
        <w:t xml:space="preserve"> therefore, potential terrestrial exposures are assumed to be limited to the sites of application. </w:t>
      </w:r>
      <w:r w:rsidR="009D63D0">
        <w:t>Methomyl has one granular registration (for use on corn)</w:t>
      </w:r>
      <w:r w:rsidR="003D439F">
        <w:t xml:space="preserve">: Methomyl 5G granules (EPA Reg. Number - </w:t>
      </w:r>
      <w:r w:rsidR="003D439F" w:rsidRPr="003D439F">
        <w:t>57242-2</w:t>
      </w:r>
      <w:r w:rsidR="003D439F">
        <w:t>)</w:t>
      </w:r>
      <w:r w:rsidR="009D63D0">
        <w:t xml:space="preserve">.  Methomyl also has flowable registrations for corn.  </w:t>
      </w:r>
      <w:r>
        <w:t xml:space="preserve">Therefore, </w:t>
      </w:r>
      <w:r w:rsidR="009D63D0">
        <w:t>the methomyl granular</w:t>
      </w:r>
      <w:r>
        <w:t xml:space="preserve"> </w:t>
      </w:r>
      <w:r w:rsidR="009D63D0">
        <w:t>use</w:t>
      </w:r>
      <w:r>
        <w:t xml:space="preserve"> </w:t>
      </w:r>
      <w:r w:rsidR="009D63D0">
        <w:t xml:space="preserve">does not </w:t>
      </w:r>
      <w:r>
        <w:t xml:space="preserve">represent a different use footprint than the one being captured by the flowable uses. The maximum granular application </w:t>
      </w:r>
      <w:r w:rsidR="00C8249D">
        <w:t>use rate</w:t>
      </w:r>
      <w:r>
        <w:t xml:space="preserve"> </w:t>
      </w:r>
      <w:r w:rsidR="00C8249D">
        <w:t xml:space="preserve">is </w:t>
      </w:r>
      <w:r w:rsidR="00C8249D" w:rsidRPr="001F3199">
        <w:t>0.15</w:t>
      </w:r>
      <w:r w:rsidR="00C8249D">
        <w:t xml:space="preserve"> lb a.i./acre per application, with a maximum annual application rate of </w:t>
      </w:r>
      <w:r w:rsidR="00C8249D" w:rsidRPr="001F3199">
        <w:t>1.5</w:t>
      </w:r>
      <w:r w:rsidR="00C8249D">
        <w:t xml:space="preserve"> lb a.i./acre (</w:t>
      </w:r>
      <w:r w:rsidR="001F3199">
        <w:t xml:space="preserve">10 applications/year; </w:t>
      </w:r>
      <w:r w:rsidR="00C8249D">
        <w:t>the minimum application interval is not specified).</w:t>
      </w:r>
      <w:r>
        <w:t xml:space="preserve"> </w:t>
      </w:r>
      <w:r w:rsidR="00C8249D">
        <w:t>The maximum</w:t>
      </w:r>
      <w:r w:rsidR="00EA4464">
        <w:t xml:space="preserve"> single</w:t>
      </w:r>
      <w:r w:rsidR="00C8249D">
        <w:t xml:space="preserve"> flowable</w:t>
      </w:r>
      <w:r w:rsidR="00EA4464">
        <w:t xml:space="preserve"> application rate for corn is</w:t>
      </w:r>
      <w:r w:rsidR="00C8249D">
        <w:t xml:space="preserve"> 0.45 lb a.i./acre for field, popcorn, seed and sweet corn. Maximum annual application rates are 2.25 lb a.i./acre (4.5 lb a.i./acre in CA, HI, and TX) for field, popcorn and seed corn, and 12.6 lb a.i./acre (18.9 lb a.i./acre in AZ) for sweet corn</w:t>
      </w:r>
      <w:r w:rsidR="005A5ECE">
        <w:t xml:space="preserve"> (see </w:t>
      </w:r>
      <w:r w:rsidR="005A5ECE" w:rsidRPr="005A5ECE">
        <w:rPr>
          <w:b/>
        </w:rPr>
        <w:t xml:space="preserve">APPENDIX </w:t>
      </w:r>
      <w:r w:rsidR="005F4048">
        <w:rPr>
          <w:b/>
        </w:rPr>
        <w:t>1-3</w:t>
      </w:r>
      <w:r w:rsidR="005A5ECE">
        <w:t>)</w:t>
      </w:r>
      <w:r w:rsidR="00C8249D">
        <w:t xml:space="preserve">.  </w:t>
      </w:r>
      <w:r>
        <w:t>Therefore</w:t>
      </w:r>
      <w:r w:rsidR="00616EB1">
        <w:t>,</w:t>
      </w:r>
      <w:r w:rsidR="00045266">
        <w:t xml:space="preserve"> for methomyl</w:t>
      </w:r>
      <w:r>
        <w:t xml:space="preserve">, the granular use rates </w:t>
      </w:r>
      <w:r w:rsidR="00646447">
        <w:t xml:space="preserve">for corn </w:t>
      </w:r>
      <w:r>
        <w:t>are lower than the application rates for</w:t>
      </w:r>
      <w:r w:rsidR="00646447">
        <w:t xml:space="preserve"> the</w:t>
      </w:r>
      <w:r>
        <w:t xml:space="preserve"> </w:t>
      </w:r>
      <w:r w:rsidR="00646447">
        <w:t>flowable uses on corn</w:t>
      </w:r>
      <w:r w:rsidR="00B13C07">
        <w:t xml:space="preserve"> and are expected, generally, to result in lower exposure concentrations to non-target organisms</w:t>
      </w:r>
      <w:r>
        <w:t>.</w:t>
      </w:r>
      <w:bookmarkStart w:id="0" w:name="h.gjdgxs" w:colFirst="0" w:colLast="0"/>
      <w:bookmarkEnd w:id="0"/>
      <w:r w:rsidR="00045266">
        <w:t xml:space="preserve"> </w:t>
      </w:r>
    </w:p>
    <w:p w14:paraId="53CF081D" w14:textId="77777777" w:rsidR="00045266" w:rsidRDefault="00045266"/>
    <w:p w14:paraId="41B8348E" w14:textId="5A5E1550" w:rsidR="00145AE6" w:rsidRDefault="6685DD5B">
      <w:r>
        <w:t xml:space="preserve">For terrestrial invertebrates, the primary routes of exposure from the granular uses of methomyl are </w:t>
      </w:r>
      <w:r w:rsidR="00531A60">
        <w:t xml:space="preserve">assumed </w:t>
      </w:r>
      <w:r>
        <w:t xml:space="preserve">to be via contact with contaminated soil and/or ingestion of contaminated plants that uptake methomyl from the soil. </w:t>
      </w:r>
      <w:r w:rsidR="00531A60">
        <w:t>This approach is consistent with EFED’s risk assessment method for bees.</w:t>
      </w:r>
      <w:r>
        <w:t xml:space="preserve"> </w:t>
      </w:r>
      <w:r w:rsidR="00531A60">
        <w:t xml:space="preserve">For ground dwelling species, there may also be contact with or ingestion of soil or granules. </w:t>
      </w:r>
      <w:r>
        <w:t xml:space="preserve">Since the application rates are lower for the granular use on corn than the flowable uses on corn, the soil </w:t>
      </w:r>
      <w:r>
        <w:lastRenderedPageBreak/>
        <w:t xml:space="preserve">concentrations from the granular use are expected to be lower than the concentrations from the flowable uses. There are currently no </w:t>
      </w:r>
      <w:r w:rsidRPr="00923CFF">
        <w:t>standard methods for assessing exposure and risk via consumption of contaminated plants that have taken up a pesticide and distributed the residues within the plant.</w:t>
      </w:r>
      <w:r>
        <w:t xml:space="preserve">  It is anticipated that the residue concentrations in plants from the granular use will </w:t>
      </w:r>
      <w:r w:rsidRPr="00923CFF">
        <w:t>be lower</w:t>
      </w:r>
      <w:r>
        <w:t xml:space="preserve"> than the residues on plants from flowable uses (assuming similar application rates) because the assessment for </w:t>
      </w:r>
      <w:r w:rsidRPr="00923CFF">
        <w:t>flowable uses assumes that a plant or invertebrate being consumed is</w:t>
      </w:r>
      <w:r w:rsidRPr="00510E3A">
        <w:t xml:space="preserve"> </w:t>
      </w:r>
      <w:r w:rsidRPr="005B173C">
        <w:t>sp</w:t>
      </w:r>
      <w:r w:rsidRPr="00923CFF">
        <w:t>rayed directly</w:t>
      </w:r>
      <w:r>
        <w:t xml:space="preserve">.  Therefore, for terrestrial invertebrates, the estimated exposures from the flowable uses are used as a protective proxy for the exposures from the granular uses.   </w:t>
      </w:r>
    </w:p>
    <w:p w14:paraId="52C4F8D6" w14:textId="77777777" w:rsidR="00145AE6" w:rsidRDefault="00145AE6"/>
    <w:p w14:paraId="63F1673B" w14:textId="07F16857" w:rsidR="00B84208" w:rsidRDefault="6685DD5B">
      <w:bookmarkStart w:id="1" w:name="_Hlk33109377"/>
      <w:r>
        <w:t>For terrestrial vertebrates, the primary route of exposure is expected to be to birds found on the site of application that may ingest the granules, which are clay-based, as grit. Other vertebrates are generally not expected to</w:t>
      </w:r>
      <w:r w:rsidR="00531A60">
        <w:t xml:space="preserve"> intentionally</w:t>
      </w:r>
      <w:r>
        <w:t xml:space="preserve"> ingest the granules because they are not food-based and are only likely to be </w:t>
      </w:r>
      <w:r w:rsidRPr="00923CFF">
        <w:t>intentionally</w:t>
      </w:r>
      <w:r>
        <w:t xml:space="preserve"> ingested by animals that require grit for normal digestion (</w:t>
      </w:r>
      <w:r w:rsidRPr="6685DD5B">
        <w:rPr>
          <w:i/>
          <w:iCs/>
        </w:rPr>
        <w:t>i.e</w:t>
      </w:r>
      <w:r>
        <w:t xml:space="preserve">., birds). </w:t>
      </w:r>
      <w:r w:rsidR="00531A60">
        <w:t>Other taxa may also</w:t>
      </w:r>
      <w:r>
        <w:t xml:space="preserve"> eat soil or have incidental soil </w:t>
      </w:r>
      <w:r w:rsidR="00531A60">
        <w:t>ingestion; however, the probability of incidental ingestion for other vertebrates is assumed to be lower.</w:t>
      </w:r>
      <w:r>
        <w:t xml:space="preserve"> </w:t>
      </w:r>
      <w:r w:rsidRPr="00923CFF">
        <w:t>Because the quantity of potential granules consumed will be lower via incidental soil consumption relative to animals that may consume granules directly</w:t>
      </w:r>
      <w:r>
        <w:t>, the risk exposure estimates calculated for direct consumption of granule(s) by birds are used as a conservative proxy for the exposure of other terrestrial vertebrates.</w:t>
      </w:r>
    </w:p>
    <w:bookmarkEnd w:id="1"/>
    <w:p w14:paraId="35F5CE0A" w14:textId="77777777" w:rsidR="00B84208" w:rsidRDefault="00B84208"/>
    <w:p w14:paraId="698B0DFE" w14:textId="01FE14BC" w:rsidR="00145AE6" w:rsidRDefault="00FC6F97">
      <w:r>
        <w:t xml:space="preserve">The currently registered </w:t>
      </w:r>
      <w:r w:rsidR="006E0FE8">
        <w:t>methomyl granular product</w:t>
      </w:r>
      <w:r>
        <w:t xml:space="preserve"> contain</w:t>
      </w:r>
      <w:r w:rsidR="006E0FE8">
        <w:t>s</w:t>
      </w:r>
      <w:r w:rsidR="00814B43">
        <w:t xml:space="preserve"> 5% a.i</w:t>
      </w:r>
      <w:r>
        <w:t xml:space="preserve">. To explore potential exposures to birds, the number of </w:t>
      </w:r>
      <w:r w:rsidR="00814B43">
        <w:t>methomyl granules (</w:t>
      </w:r>
      <w:r>
        <w:t xml:space="preserve">5% a.i. products) that birds of different sizes would need to ingest to exceed the acute mortality threshold is calculated using T-REX (see </w:t>
      </w:r>
      <w:r>
        <w:rPr>
          <w:b/>
        </w:rPr>
        <w:t>Table</w:t>
      </w:r>
      <w:r w:rsidR="00B12D81">
        <w:rPr>
          <w:b/>
        </w:rPr>
        <w:t xml:space="preserve"> </w:t>
      </w:r>
      <w:r w:rsidR="008C71DD" w:rsidRPr="008C71DD">
        <w:rPr>
          <w:b/>
        </w:rPr>
        <w:t>1</w:t>
      </w:r>
      <w:r w:rsidR="00040FAF">
        <w:t>). Based on this analysis, 20 g,</w:t>
      </w:r>
      <w:r>
        <w:t xml:space="preserve"> 100 g, and 1,000 g birds would need to ingest </w:t>
      </w:r>
      <w:r w:rsidR="00196A85">
        <w:t>1.11</w:t>
      </w:r>
      <w:r w:rsidR="00040FAF">
        <w:t xml:space="preserve">, </w:t>
      </w:r>
      <w:r w:rsidR="00196A85">
        <w:t>6.31</w:t>
      </w:r>
      <w:r w:rsidR="00040FAF">
        <w:t xml:space="preserve">, and </w:t>
      </w:r>
      <w:r w:rsidR="00196A85">
        <w:t>75.9</w:t>
      </w:r>
      <w:r>
        <w:t xml:space="preserve"> granules, respectively, to exceed the mortality threshold. </w:t>
      </w:r>
    </w:p>
    <w:p w14:paraId="16A4CAD4" w14:textId="77777777" w:rsidR="00145AE6" w:rsidRDefault="00145AE6"/>
    <w:p w14:paraId="4B05DCAA" w14:textId="3F1E8898" w:rsidR="00145AE6" w:rsidRDefault="00FC6F97">
      <w:r>
        <w:rPr>
          <w:b/>
        </w:rPr>
        <w:t>Table</w:t>
      </w:r>
      <w:r w:rsidR="00B12D81">
        <w:rPr>
          <w:b/>
        </w:rPr>
        <w:t xml:space="preserve"> </w:t>
      </w:r>
      <w:r w:rsidR="008C71DD" w:rsidRPr="008C71DD">
        <w:rPr>
          <w:b/>
        </w:rPr>
        <w:t>1</w:t>
      </w:r>
      <w:r>
        <w:rPr>
          <w:b/>
        </w:rPr>
        <w:t xml:space="preserve">. T-REX Input and Outputs for the </w:t>
      </w:r>
      <w:r w:rsidR="00814B43">
        <w:rPr>
          <w:b/>
        </w:rPr>
        <w:t>Methomyl</w:t>
      </w:r>
      <w:r>
        <w:rPr>
          <w:b/>
        </w:rPr>
        <w:t xml:space="preserve"> Granular</w:t>
      </w:r>
      <w:r w:rsidR="00814B43">
        <w:rPr>
          <w:b/>
        </w:rPr>
        <w:t xml:space="preserve"> Exposure Estimates for Birds (</w:t>
      </w:r>
      <w:r>
        <w:rPr>
          <w:b/>
        </w:rPr>
        <w:t>5% a.i. products)</w:t>
      </w:r>
    </w:p>
    <w:tbl>
      <w:tblPr>
        <w:tblStyle w:val="4"/>
        <w:tblW w:w="9072" w:type="dxa"/>
        <w:tblInd w:w="-16" w:type="dxa"/>
        <w:tblLayout w:type="fixed"/>
        <w:tblLook w:val="0000" w:firstRow="0" w:lastRow="0" w:firstColumn="0" w:lastColumn="0" w:noHBand="0" w:noVBand="0"/>
      </w:tblPr>
      <w:tblGrid>
        <w:gridCol w:w="6462"/>
        <w:gridCol w:w="900"/>
        <w:gridCol w:w="810"/>
        <w:gridCol w:w="900"/>
      </w:tblGrid>
      <w:tr w:rsidR="00145AE6" w:rsidRPr="00782506" w14:paraId="517557F0" w14:textId="77777777" w:rsidTr="6685DD5B">
        <w:trPr>
          <w:trHeight w:val="240"/>
        </w:trPr>
        <w:tc>
          <w:tcPr>
            <w:tcW w:w="646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7E6E6"/>
            <w:vAlign w:val="bottom"/>
          </w:tcPr>
          <w:p w14:paraId="3AEF41B2" w14:textId="77777777" w:rsidR="00145AE6" w:rsidRPr="00782506" w:rsidRDefault="00FC6F97">
            <w:pPr>
              <w:rPr>
                <w:sz w:val="20"/>
                <w:szCs w:val="20"/>
              </w:rPr>
            </w:pPr>
            <w:r w:rsidRPr="00782506">
              <w:rPr>
                <w:b/>
                <w:sz w:val="20"/>
                <w:szCs w:val="20"/>
              </w:rPr>
              <w:t>In-put/Out-put</w:t>
            </w:r>
          </w:p>
        </w:tc>
        <w:tc>
          <w:tcPr>
            <w:tcW w:w="90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07B81EA3" w14:textId="77777777" w:rsidR="00145AE6" w:rsidRPr="00782506" w:rsidRDefault="00FC6F97">
            <w:pPr>
              <w:jc w:val="center"/>
              <w:rPr>
                <w:sz w:val="20"/>
                <w:szCs w:val="20"/>
              </w:rPr>
            </w:pPr>
            <w:r w:rsidRPr="00782506">
              <w:rPr>
                <w:b/>
                <w:sz w:val="20"/>
                <w:szCs w:val="20"/>
              </w:rPr>
              <w:t>20 g Bird</w:t>
            </w:r>
          </w:p>
        </w:tc>
        <w:tc>
          <w:tcPr>
            <w:tcW w:w="81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3D7C05F1" w14:textId="77777777" w:rsidR="00145AE6" w:rsidRPr="00782506" w:rsidRDefault="00FC6F97">
            <w:pPr>
              <w:jc w:val="center"/>
              <w:rPr>
                <w:sz w:val="20"/>
                <w:szCs w:val="20"/>
              </w:rPr>
            </w:pPr>
            <w:r w:rsidRPr="00782506">
              <w:rPr>
                <w:b/>
                <w:sz w:val="20"/>
                <w:szCs w:val="20"/>
              </w:rPr>
              <w:t>100 g Bird</w:t>
            </w:r>
          </w:p>
        </w:tc>
        <w:tc>
          <w:tcPr>
            <w:tcW w:w="90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59FCC744" w14:textId="77777777" w:rsidR="00145AE6" w:rsidRPr="00782506" w:rsidRDefault="00FC6F97">
            <w:pPr>
              <w:jc w:val="center"/>
              <w:rPr>
                <w:sz w:val="20"/>
                <w:szCs w:val="20"/>
              </w:rPr>
            </w:pPr>
            <w:r w:rsidRPr="00782506">
              <w:rPr>
                <w:b/>
                <w:sz w:val="20"/>
                <w:szCs w:val="20"/>
              </w:rPr>
              <w:t>1,000 g Bird</w:t>
            </w:r>
          </w:p>
        </w:tc>
      </w:tr>
      <w:tr w:rsidR="00145AE6" w:rsidRPr="00782506" w14:paraId="6E1097B1" w14:textId="77777777" w:rsidTr="6685DD5B">
        <w:trPr>
          <w:trHeight w:val="240"/>
        </w:trPr>
        <w:tc>
          <w:tcPr>
            <w:tcW w:w="6462"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bottom"/>
          </w:tcPr>
          <w:p w14:paraId="1DBB8308" w14:textId="77777777" w:rsidR="00145AE6" w:rsidRPr="00782506" w:rsidRDefault="00FC6F97">
            <w:pPr>
              <w:rPr>
                <w:sz w:val="20"/>
                <w:szCs w:val="20"/>
              </w:rPr>
            </w:pPr>
            <w:r w:rsidRPr="00782506">
              <w:rPr>
                <w:sz w:val="20"/>
                <w:szCs w:val="20"/>
              </w:rPr>
              <w:t>Weight of bird (kg)</w:t>
            </w:r>
          </w:p>
        </w:tc>
        <w:tc>
          <w:tcPr>
            <w:tcW w:w="900" w:type="dxa"/>
            <w:tcBorders>
              <w:top w:val="single" w:sz="4" w:space="0" w:color="000000" w:themeColor="text1"/>
              <w:left w:val="nil"/>
              <w:bottom w:val="single" w:sz="4" w:space="0" w:color="000000" w:themeColor="text1"/>
              <w:right w:val="single" w:sz="4" w:space="0" w:color="000000" w:themeColor="text1"/>
            </w:tcBorders>
          </w:tcPr>
          <w:p w14:paraId="3D9E9283" w14:textId="77777777" w:rsidR="00145AE6" w:rsidRPr="00782506" w:rsidRDefault="00FC6F97">
            <w:pPr>
              <w:jc w:val="center"/>
              <w:rPr>
                <w:sz w:val="20"/>
                <w:szCs w:val="20"/>
              </w:rPr>
            </w:pPr>
            <w:r w:rsidRPr="00782506">
              <w:rPr>
                <w:sz w:val="20"/>
                <w:szCs w:val="20"/>
              </w:rPr>
              <w:t>0.02</w:t>
            </w:r>
          </w:p>
        </w:tc>
        <w:tc>
          <w:tcPr>
            <w:tcW w:w="810" w:type="dxa"/>
            <w:tcBorders>
              <w:top w:val="single" w:sz="4" w:space="0" w:color="000000" w:themeColor="text1"/>
              <w:left w:val="nil"/>
              <w:bottom w:val="single" w:sz="4" w:space="0" w:color="000000" w:themeColor="text1"/>
              <w:right w:val="single" w:sz="4" w:space="0" w:color="000000" w:themeColor="text1"/>
            </w:tcBorders>
          </w:tcPr>
          <w:p w14:paraId="076785CF" w14:textId="77777777" w:rsidR="00145AE6" w:rsidRPr="00782506" w:rsidRDefault="00FC6F97">
            <w:pPr>
              <w:jc w:val="center"/>
              <w:rPr>
                <w:sz w:val="20"/>
                <w:szCs w:val="20"/>
              </w:rPr>
            </w:pPr>
            <w:r w:rsidRPr="00782506">
              <w:rPr>
                <w:sz w:val="20"/>
                <w:szCs w:val="20"/>
              </w:rPr>
              <w:t>0.10</w:t>
            </w:r>
          </w:p>
        </w:tc>
        <w:tc>
          <w:tcPr>
            <w:tcW w:w="900" w:type="dxa"/>
            <w:tcBorders>
              <w:top w:val="single" w:sz="4" w:space="0" w:color="000000" w:themeColor="text1"/>
              <w:left w:val="nil"/>
              <w:bottom w:val="single" w:sz="4" w:space="0" w:color="000000" w:themeColor="text1"/>
              <w:right w:val="single" w:sz="4" w:space="0" w:color="000000" w:themeColor="text1"/>
            </w:tcBorders>
          </w:tcPr>
          <w:p w14:paraId="2984FDFD" w14:textId="77777777" w:rsidR="00145AE6" w:rsidRPr="00782506" w:rsidRDefault="00FC6F97">
            <w:pPr>
              <w:jc w:val="center"/>
              <w:rPr>
                <w:sz w:val="20"/>
                <w:szCs w:val="20"/>
              </w:rPr>
            </w:pPr>
            <w:r w:rsidRPr="00782506">
              <w:rPr>
                <w:sz w:val="20"/>
                <w:szCs w:val="20"/>
              </w:rPr>
              <w:t>1.0</w:t>
            </w:r>
          </w:p>
        </w:tc>
      </w:tr>
      <w:tr w:rsidR="00145AE6" w:rsidRPr="00782506" w14:paraId="3735C240" w14:textId="77777777" w:rsidTr="6685DD5B">
        <w:trPr>
          <w:trHeight w:val="2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0D9857C4" w14:textId="4A1CFC1D" w:rsidR="00145AE6" w:rsidRPr="00782506" w:rsidRDefault="00FC6F97">
            <w:pPr>
              <w:rPr>
                <w:sz w:val="20"/>
                <w:szCs w:val="20"/>
              </w:rPr>
            </w:pPr>
            <w:r w:rsidRPr="00782506">
              <w:rPr>
                <w:sz w:val="20"/>
                <w:szCs w:val="20"/>
              </w:rPr>
              <w:t>Adjusted threshold, mg/kg-bw</w:t>
            </w:r>
            <w:r w:rsidRPr="00782506">
              <w:rPr>
                <w:sz w:val="20"/>
                <w:szCs w:val="20"/>
                <w:vertAlign w:val="superscript"/>
              </w:rPr>
              <w:t>1</w:t>
            </w:r>
            <w:r w:rsidR="008030AB" w:rsidRPr="00782506">
              <w:rPr>
                <w:sz w:val="20"/>
                <w:szCs w:val="20"/>
                <w:vertAlign w:val="superscript"/>
              </w:rPr>
              <w:t>, 2</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286BB46D" w14:textId="7FF1C39A" w:rsidR="00145AE6" w:rsidRPr="00782506" w:rsidRDefault="00D913F7">
            <w:pPr>
              <w:jc w:val="center"/>
              <w:rPr>
                <w:sz w:val="20"/>
                <w:szCs w:val="20"/>
              </w:rPr>
            </w:pPr>
            <w:r>
              <w:rPr>
                <w:sz w:val="20"/>
                <w:szCs w:val="20"/>
              </w:rPr>
              <w:t>2.10</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6F5723E" w14:textId="78E9F0D7" w:rsidR="00145AE6" w:rsidRPr="00782506" w:rsidRDefault="007A1F40">
            <w:pPr>
              <w:jc w:val="center"/>
              <w:rPr>
                <w:sz w:val="20"/>
                <w:szCs w:val="20"/>
                <w:highlight w:val="yellow"/>
              </w:rPr>
            </w:pPr>
            <w:r>
              <w:rPr>
                <w:sz w:val="20"/>
                <w:szCs w:val="20"/>
              </w:rPr>
              <w:t>2.39</w:t>
            </w:r>
          </w:p>
        </w:tc>
        <w:tc>
          <w:tcPr>
            <w:tcW w:w="900" w:type="dxa"/>
            <w:tcBorders>
              <w:top w:val="single" w:sz="4" w:space="0" w:color="000000" w:themeColor="text1"/>
              <w:left w:val="nil"/>
              <w:bottom w:val="single" w:sz="4" w:space="0" w:color="000000" w:themeColor="text1"/>
              <w:right w:val="single" w:sz="4" w:space="0" w:color="000000" w:themeColor="text1"/>
            </w:tcBorders>
          </w:tcPr>
          <w:p w14:paraId="512C9AA6" w14:textId="41C958B9" w:rsidR="00145AE6" w:rsidRPr="00782506" w:rsidRDefault="007A1F40">
            <w:pPr>
              <w:jc w:val="center"/>
              <w:rPr>
                <w:sz w:val="20"/>
                <w:szCs w:val="20"/>
              </w:rPr>
            </w:pPr>
            <w:r>
              <w:rPr>
                <w:sz w:val="20"/>
                <w:szCs w:val="20"/>
              </w:rPr>
              <w:t>2.87</w:t>
            </w:r>
          </w:p>
        </w:tc>
      </w:tr>
      <w:tr w:rsidR="00814B43" w:rsidRPr="00782506" w14:paraId="387498A9" w14:textId="77777777" w:rsidTr="6685DD5B">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2469D2F7" w14:textId="77777777" w:rsidR="00814B43" w:rsidRPr="00782506" w:rsidRDefault="00814B43" w:rsidP="00814B43">
            <w:pPr>
              <w:rPr>
                <w:sz w:val="20"/>
                <w:szCs w:val="20"/>
              </w:rPr>
            </w:pPr>
            <w:r w:rsidRPr="00782506">
              <w:rPr>
                <w:sz w:val="20"/>
                <w:szCs w:val="20"/>
              </w:rPr>
              <w:t>mg a.i. needed to achieve the adjusted threshold for bird of assessed weight</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0ACF0CAC" w14:textId="645D8B58" w:rsidR="00814B43" w:rsidRPr="00782506" w:rsidRDefault="00484773" w:rsidP="00814B43">
            <w:pPr>
              <w:jc w:val="center"/>
              <w:rPr>
                <w:sz w:val="20"/>
                <w:szCs w:val="20"/>
              </w:rPr>
            </w:pPr>
            <w:r>
              <w:rPr>
                <w:sz w:val="20"/>
                <w:szCs w:val="20"/>
              </w:rPr>
              <w:t>0.04</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425EC24" w14:textId="73B79C83" w:rsidR="00814B43" w:rsidRPr="00E4363A" w:rsidRDefault="0083519B" w:rsidP="00814B43">
            <w:pPr>
              <w:jc w:val="center"/>
              <w:rPr>
                <w:sz w:val="20"/>
                <w:szCs w:val="20"/>
              </w:rPr>
            </w:pPr>
            <w:r w:rsidRPr="00321119">
              <w:rPr>
                <w:sz w:val="20"/>
                <w:szCs w:val="20"/>
              </w:rPr>
              <w:t>0.24</w:t>
            </w:r>
          </w:p>
        </w:tc>
        <w:tc>
          <w:tcPr>
            <w:tcW w:w="900" w:type="dxa"/>
            <w:tcBorders>
              <w:top w:val="single" w:sz="4" w:space="0" w:color="000000" w:themeColor="text1"/>
              <w:left w:val="nil"/>
              <w:bottom w:val="single" w:sz="4" w:space="0" w:color="000000" w:themeColor="text1"/>
              <w:right w:val="single" w:sz="4" w:space="0" w:color="000000" w:themeColor="text1"/>
            </w:tcBorders>
          </w:tcPr>
          <w:p w14:paraId="7DE0E9C1" w14:textId="65FC3CDB" w:rsidR="00814B43" w:rsidRPr="00E4363A" w:rsidRDefault="003F1039" w:rsidP="00814B43">
            <w:pPr>
              <w:jc w:val="center"/>
              <w:rPr>
                <w:sz w:val="20"/>
                <w:szCs w:val="20"/>
              </w:rPr>
            </w:pPr>
            <w:r w:rsidRPr="00321119">
              <w:rPr>
                <w:sz w:val="20"/>
                <w:szCs w:val="20"/>
              </w:rPr>
              <w:t>2.87</w:t>
            </w:r>
          </w:p>
        </w:tc>
      </w:tr>
      <w:tr w:rsidR="00814B43" w:rsidRPr="00782506" w14:paraId="4FD54D10" w14:textId="77777777" w:rsidTr="6685DD5B">
        <w:trPr>
          <w:trHeight w:val="12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6C11557F" w14:textId="77777777" w:rsidR="00814B43" w:rsidRPr="00782506" w:rsidRDefault="00814B43" w:rsidP="00814B43">
            <w:pPr>
              <w:rPr>
                <w:sz w:val="20"/>
                <w:szCs w:val="20"/>
              </w:rPr>
            </w:pPr>
            <w:r w:rsidRPr="00782506">
              <w:rPr>
                <w:sz w:val="20"/>
                <w:szCs w:val="20"/>
              </w:rPr>
              <w:t xml:space="preserve">Fraction of a.i. in formulated product </w:t>
            </w:r>
          </w:p>
        </w:tc>
        <w:tc>
          <w:tcPr>
            <w:tcW w:w="900" w:type="dxa"/>
            <w:tcBorders>
              <w:top w:val="single" w:sz="4" w:space="0" w:color="000000" w:themeColor="text1"/>
              <w:left w:val="nil"/>
              <w:bottom w:val="single" w:sz="4" w:space="0" w:color="000000" w:themeColor="text1"/>
              <w:right w:val="single" w:sz="4" w:space="0" w:color="000000" w:themeColor="text1"/>
            </w:tcBorders>
          </w:tcPr>
          <w:p w14:paraId="7009DBA0" w14:textId="5D78E7CE" w:rsidR="00814B43" w:rsidRPr="00782506" w:rsidRDefault="00814B43" w:rsidP="00814B43">
            <w:pPr>
              <w:jc w:val="center"/>
              <w:rPr>
                <w:sz w:val="20"/>
                <w:szCs w:val="20"/>
              </w:rPr>
            </w:pPr>
            <w:r w:rsidRPr="00782506">
              <w:rPr>
                <w:sz w:val="20"/>
                <w:szCs w:val="20"/>
              </w:rPr>
              <w:t>0.05</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53B77F2" w14:textId="0B5955CC" w:rsidR="00814B43" w:rsidRPr="00273BAC" w:rsidRDefault="00814B43" w:rsidP="00814B43">
            <w:pPr>
              <w:jc w:val="center"/>
              <w:rPr>
                <w:sz w:val="20"/>
                <w:szCs w:val="20"/>
              </w:rPr>
            </w:pPr>
            <w:r w:rsidRPr="00273BAC">
              <w:rPr>
                <w:sz w:val="20"/>
                <w:szCs w:val="20"/>
              </w:rPr>
              <w:t>0.05</w:t>
            </w:r>
          </w:p>
        </w:tc>
        <w:tc>
          <w:tcPr>
            <w:tcW w:w="900" w:type="dxa"/>
            <w:tcBorders>
              <w:top w:val="single" w:sz="4" w:space="0" w:color="000000" w:themeColor="text1"/>
              <w:left w:val="nil"/>
              <w:bottom w:val="single" w:sz="4" w:space="0" w:color="000000" w:themeColor="text1"/>
              <w:right w:val="single" w:sz="4" w:space="0" w:color="000000" w:themeColor="text1"/>
            </w:tcBorders>
          </w:tcPr>
          <w:p w14:paraId="15754B45" w14:textId="2DE71B33" w:rsidR="00814B43" w:rsidRPr="00273BAC" w:rsidRDefault="00814B43" w:rsidP="00814B43">
            <w:pPr>
              <w:jc w:val="center"/>
              <w:rPr>
                <w:sz w:val="20"/>
                <w:szCs w:val="20"/>
              </w:rPr>
            </w:pPr>
            <w:r w:rsidRPr="00273BAC">
              <w:rPr>
                <w:sz w:val="20"/>
                <w:szCs w:val="20"/>
              </w:rPr>
              <w:t>0.05</w:t>
            </w:r>
          </w:p>
        </w:tc>
      </w:tr>
      <w:tr w:rsidR="00FC61A3" w:rsidRPr="00782506" w14:paraId="7A13674A" w14:textId="77777777" w:rsidTr="6685DD5B">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44FA4517" w14:textId="36D2A35F" w:rsidR="00FC61A3" w:rsidRPr="00782506" w:rsidRDefault="00FC61A3" w:rsidP="00FC61A3">
            <w:pPr>
              <w:rPr>
                <w:sz w:val="20"/>
                <w:szCs w:val="20"/>
              </w:rPr>
            </w:pPr>
            <w:r w:rsidRPr="00782506">
              <w:rPr>
                <w:sz w:val="20"/>
                <w:szCs w:val="20"/>
              </w:rPr>
              <w:t>Weight of 1 granule (mg, obtained from registrant)</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50395ADF" w14:textId="01C162BA" w:rsidR="00FC61A3" w:rsidRPr="00782506" w:rsidRDefault="00FC61A3" w:rsidP="00FC61A3">
            <w:pPr>
              <w:jc w:val="center"/>
              <w:rPr>
                <w:sz w:val="20"/>
                <w:szCs w:val="20"/>
              </w:rPr>
            </w:pPr>
            <w:r w:rsidRPr="00782506">
              <w:rPr>
                <w:sz w:val="20"/>
                <w:szCs w:val="20"/>
              </w:rPr>
              <w:t>0.756</w:t>
            </w:r>
          </w:p>
        </w:tc>
        <w:tc>
          <w:tcPr>
            <w:tcW w:w="810" w:type="dxa"/>
            <w:tcBorders>
              <w:top w:val="single" w:sz="4" w:space="0" w:color="000000" w:themeColor="text1"/>
              <w:left w:val="nil"/>
              <w:bottom w:val="single" w:sz="4" w:space="0" w:color="000000" w:themeColor="text1"/>
              <w:right w:val="single" w:sz="4" w:space="0" w:color="000000" w:themeColor="text1"/>
            </w:tcBorders>
            <w:vAlign w:val="center"/>
          </w:tcPr>
          <w:p w14:paraId="435FFCD8" w14:textId="5BE4BE00" w:rsidR="00FC61A3" w:rsidRPr="00782506" w:rsidRDefault="00FC61A3" w:rsidP="00FC61A3">
            <w:pPr>
              <w:jc w:val="center"/>
              <w:rPr>
                <w:sz w:val="20"/>
                <w:szCs w:val="20"/>
              </w:rPr>
            </w:pPr>
            <w:r w:rsidRPr="00782506">
              <w:rPr>
                <w:sz w:val="20"/>
                <w:szCs w:val="20"/>
              </w:rPr>
              <w:t>0.756</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5473D085" w14:textId="633A935A" w:rsidR="00FC61A3" w:rsidRPr="00782506" w:rsidRDefault="00FC61A3" w:rsidP="00FC61A3">
            <w:pPr>
              <w:jc w:val="center"/>
              <w:rPr>
                <w:sz w:val="20"/>
                <w:szCs w:val="20"/>
              </w:rPr>
            </w:pPr>
            <w:r w:rsidRPr="00782506">
              <w:rPr>
                <w:sz w:val="20"/>
                <w:szCs w:val="20"/>
              </w:rPr>
              <w:t>0.756</w:t>
            </w:r>
          </w:p>
        </w:tc>
      </w:tr>
      <w:tr w:rsidR="00FC61A3" w:rsidRPr="00782506" w14:paraId="49E2BD36" w14:textId="77777777" w:rsidTr="6685DD5B">
        <w:trPr>
          <w:trHeight w:val="2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556E6E14" w14:textId="77777777" w:rsidR="00FC61A3" w:rsidRPr="00782506" w:rsidRDefault="00FC61A3" w:rsidP="00FC61A3">
            <w:pPr>
              <w:rPr>
                <w:sz w:val="20"/>
                <w:szCs w:val="20"/>
              </w:rPr>
            </w:pPr>
            <w:r w:rsidRPr="00782506">
              <w:rPr>
                <w:sz w:val="20"/>
                <w:szCs w:val="20"/>
              </w:rPr>
              <w:t xml:space="preserve">mg a.i./granule </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0881DA33" w14:textId="1087989E" w:rsidR="00FC61A3" w:rsidRPr="00782506" w:rsidRDefault="00FC61A3" w:rsidP="00FC61A3">
            <w:pPr>
              <w:jc w:val="center"/>
              <w:rPr>
                <w:sz w:val="20"/>
                <w:szCs w:val="20"/>
              </w:rPr>
            </w:pPr>
            <w:r w:rsidRPr="00782506">
              <w:rPr>
                <w:sz w:val="20"/>
                <w:szCs w:val="20"/>
              </w:rPr>
              <w:t>0.038</w:t>
            </w:r>
          </w:p>
        </w:tc>
        <w:tc>
          <w:tcPr>
            <w:tcW w:w="810" w:type="dxa"/>
            <w:tcBorders>
              <w:top w:val="single" w:sz="4" w:space="0" w:color="000000" w:themeColor="text1"/>
              <w:left w:val="nil"/>
              <w:bottom w:val="single" w:sz="4" w:space="0" w:color="000000" w:themeColor="text1"/>
              <w:right w:val="single" w:sz="4" w:space="0" w:color="000000" w:themeColor="text1"/>
            </w:tcBorders>
            <w:vAlign w:val="center"/>
          </w:tcPr>
          <w:p w14:paraId="789C7D56" w14:textId="1FF88C43" w:rsidR="00FC61A3" w:rsidRPr="00782506" w:rsidRDefault="00FC61A3" w:rsidP="00FC61A3">
            <w:pPr>
              <w:jc w:val="center"/>
              <w:rPr>
                <w:sz w:val="20"/>
                <w:szCs w:val="20"/>
              </w:rPr>
            </w:pPr>
            <w:r w:rsidRPr="00782506">
              <w:rPr>
                <w:sz w:val="20"/>
                <w:szCs w:val="20"/>
              </w:rPr>
              <w:t>0.038</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26814FE5" w14:textId="3145BF15" w:rsidR="00FC61A3" w:rsidRPr="00782506" w:rsidRDefault="00FC61A3" w:rsidP="00FC61A3">
            <w:pPr>
              <w:jc w:val="center"/>
              <w:rPr>
                <w:sz w:val="20"/>
                <w:szCs w:val="20"/>
              </w:rPr>
            </w:pPr>
            <w:r w:rsidRPr="00782506">
              <w:rPr>
                <w:sz w:val="20"/>
                <w:szCs w:val="20"/>
              </w:rPr>
              <w:t>0.038</w:t>
            </w:r>
          </w:p>
        </w:tc>
      </w:tr>
      <w:tr w:rsidR="00814B43" w:rsidRPr="00782506" w14:paraId="71F0A921" w14:textId="77777777" w:rsidTr="6685DD5B">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1A81A33A" w14:textId="0CCAE93A" w:rsidR="00814B43" w:rsidRPr="00782506" w:rsidRDefault="00814B43" w:rsidP="003C5351">
            <w:pPr>
              <w:rPr>
                <w:sz w:val="20"/>
                <w:szCs w:val="20"/>
              </w:rPr>
            </w:pPr>
            <w:r w:rsidRPr="00782506">
              <w:rPr>
                <w:sz w:val="20"/>
                <w:szCs w:val="20"/>
              </w:rPr>
              <w:t xml:space="preserve">No. of granules needed to </w:t>
            </w:r>
            <w:r w:rsidR="003C5351">
              <w:rPr>
                <w:sz w:val="20"/>
                <w:szCs w:val="20"/>
              </w:rPr>
              <w:t>exceed mortality</w:t>
            </w:r>
            <w:r w:rsidRPr="00782506">
              <w:rPr>
                <w:sz w:val="20"/>
                <w:szCs w:val="20"/>
              </w:rPr>
              <w:t xml:space="preserve"> threshold</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7A5F9D0B" w14:textId="55AAE4D7" w:rsidR="00814B43" w:rsidRPr="00782506" w:rsidRDefault="6685DD5B" w:rsidP="00814B43">
            <w:pPr>
              <w:jc w:val="center"/>
              <w:rPr>
                <w:sz w:val="20"/>
                <w:szCs w:val="20"/>
              </w:rPr>
            </w:pPr>
            <w:r w:rsidRPr="6685DD5B">
              <w:rPr>
                <w:sz w:val="20"/>
                <w:szCs w:val="20"/>
              </w:rPr>
              <w:t>1.11</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11898F2" w14:textId="36CAAD3D" w:rsidR="00814B43" w:rsidRPr="00782506" w:rsidRDefault="00A611CD" w:rsidP="00814B43">
            <w:pPr>
              <w:jc w:val="center"/>
              <w:rPr>
                <w:sz w:val="20"/>
                <w:szCs w:val="20"/>
              </w:rPr>
            </w:pPr>
            <w:r>
              <w:rPr>
                <w:sz w:val="20"/>
                <w:szCs w:val="20"/>
              </w:rPr>
              <w:t>6.31</w:t>
            </w:r>
          </w:p>
        </w:tc>
        <w:tc>
          <w:tcPr>
            <w:tcW w:w="900" w:type="dxa"/>
            <w:tcBorders>
              <w:top w:val="single" w:sz="4" w:space="0" w:color="000000" w:themeColor="text1"/>
              <w:left w:val="nil"/>
              <w:bottom w:val="single" w:sz="4" w:space="0" w:color="000000" w:themeColor="text1"/>
              <w:right w:val="single" w:sz="4" w:space="0" w:color="000000" w:themeColor="text1"/>
            </w:tcBorders>
          </w:tcPr>
          <w:p w14:paraId="67B04FC2" w14:textId="6F373111" w:rsidR="00814B43" w:rsidRPr="00782506" w:rsidRDefault="008D0448" w:rsidP="00814B43">
            <w:pPr>
              <w:jc w:val="center"/>
              <w:rPr>
                <w:sz w:val="20"/>
                <w:szCs w:val="20"/>
              </w:rPr>
            </w:pPr>
            <w:r>
              <w:rPr>
                <w:sz w:val="20"/>
                <w:szCs w:val="20"/>
              </w:rPr>
              <w:t>75.9</w:t>
            </w:r>
          </w:p>
        </w:tc>
      </w:tr>
    </w:tbl>
    <w:p w14:paraId="3539CA96" w14:textId="5CFAC7C8" w:rsidR="008030AB" w:rsidRPr="008030AB" w:rsidRDefault="00FC6F97" w:rsidP="008030AB">
      <w:pPr>
        <w:rPr>
          <w:sz w:val="20"/>
          <w:szCs w:val="20"/>
        </w:rPr>
      </w:pPr>
      <w:r w:rsidRPr="008030AB">
        <w:rPr>
          <w:sz w:val="20"/>
          <w:szCs w:val="20"/>
          <w:vertAlign w:val="superscript"/>
        </w:rPr>
        <w:t>1</w:t>
      </w:r>
      <w:r w:rsidRPr="008030AB">
        <w:rPr>
          <w:sz w:val="20"/>
          <w:szCs w:val="20"/>
        </w:rPr>
        <w:t xml:space="preserve"> </w:t>
      </w:r>
      <w:r w:rsidR="008030AB" w:rsidRPr="008030AB">
        <w:rPr>
          <w:sz w:val="20"/>
          <w:szCs w:val="20"/>
        </w:rPr>
        <w:t>Based on the</w:t>
      </w:r>
      <w:r w:rsidR="004707E6">
        <w:rPr>
          <w:sz w:val="20"/>
          <w:szCs w:val="20"/>
        </w:rPr>
        <w:t xml:space="preserve"> LD</w:t>
      </w:r>
      <w:r w:rsidR="004707E6" w:rsidRPr="00321119">
        <w:rPr>
          <w:sz w:val="20"/>
          <w:szCs w:val="20"/>
          <w:vertAlign w:val="subscript"/>
        </w:rPr>
        <w:t>50</w:t>
      </w:r>
      <w:r w:rsidR="004707E6">
        <w:rPr>
          <w:sz w:val="20"/>
          <w:szCs w:val="20"/>
        </w:rPr>
        <w:t xml:space="preserve"> </w:t>
      </w:r>
      <w:r w:rsidR="008030AB" w:rsidRPr="008030AB">
        <w:rPr>
          <w:sz w:val="20"/>
          <w:szCs w:val="20"/>
        </w:rPr>
        <w:t xml:space="preserve">for mortality of </w:t>
      </w:r>
      <w:r w:rsidR="003B0212">
        <w:rPr>
          <w:sz w:val="20"/>
          <w:szCs w:val="20"/>
        </w:rPr>
        <w:t>2.03</w:t>
      </w:r>
      <w:r w:rsidR="008030AB" w:rsidRPr="008030AB">
        <w:rPr>
          <w:sz w:val="20"/>
          <w:szCs w:val="20"/>
        </w:rPr>
        <w:t xml:space="preserve"> </w:t>
      </w:r>
      <w:r w:rsidR="00040FAF">
        <w:rPr>
          <w:sz w:val="20"/>
          <w:szCs w:val="20"/>
        </w:rPr>
        <w:t>mg a.i./kg-bw for a 13.2 g bird.</w:t>
      </w:r>
    </w:p>
    <w:p w14:paraId="01358E0E" w14:textId="1627567C" w:rsidR="00145AE6" w:rsidRPr="008030AB" w:rsidRDefault="008030AB" w:rsidP="008030AB">
      <w:pPr>
        <w:rPr>
          <w:sz w:val="20"/>
          <w:szCs w:val="20"/>
        </w:rPr>
      </w:pPr>
      <w:r w:rsidRPr="008030AB">
        <w:rPr>
          <w:sz w:val="20"/>
          <w:szCs w:val="20"/>
          <w:vertAlign w:val="superscript"/>
        </w:rPr>
        <w:t>2</w:t>
      </w:r>
      <w:r w:rsidRPr="008030AB">
        <w:rPr>
          <w:sz w:val="20"/>
          <w:szCs w:val="20"/>
        </w:rPr>
        <w:t xml:space="preserve"> A Mineau scaling factor of 1.08 is used based on the methomyl-specific results in Mineau, </w:t>
      </w:r>
      <w:r w:rsidRPr="008030AB">
        <w:rPr>
          <w:i/>
          <w:sz w:val="20"/>
          <w:szCs w:val="20"/>
        </w:rPr>
        <w:t>et al</w:t>
      </w:r>
      <w:r w:rsidRPr="008030AB">
        <w:rPr>
          <w:sz w:val="20"/>
          <w:szCs w:val="20"/>
        </w:rPr>
        <w:t>. 1996.</w:t>
      </w:r>
    </w:p>
    <w:p w14:paraId="60758636" w14:textId="77777777" w:rsidR="008030AB" w:rsidRDefault="008030AB"/>
    <w:p w14:paraId="0BE961C6" w14:textId="533C829C" w:rsidR="009C18B8" w:rsidRDefault="006B15D9">
      <w:r>
        <w:t>F</w:t>
      </w:r>
      <w:r w:rsidR="6685DD5B">
        <w:t xml:space="preserve">or vertebrate animals that may ingest contaminated plants, it is anticipated that the residue concentrations in plants from the granular corn use </w:t>
      </w:r>
      <w:r w:rsidR="6685DD5B" w:rsidRPr="00923CFF">
        <w:t>will be lower</w:t>
      </w:r>
      <w:r w:rsidR="6685DD5B">
        <w:t xml:space="preserve"> than the residues on plants from flowable corn uses (assuming similar application rates).  Therefore, for terrestrial vertebrates that may ingest contaminated plant material, the estimated exposures from the flowable uses on corn will be used as a protective proxy for the exposures from the granular use on corn.  </w:t>
      </w:r>
    </w:p>
    <w:p w14:paraId="13589238" w14:textId="77777777" w:rsidR="009C18B8" w:rsidRDefault="009C18B8"/>
    <w:p w14:paraId="0E7D73F4" w14:textId="0DB0194B" w:rsidR="00FD3F32" w:rsidRPr="00FD3F32" w:rsidRDefault="00FD3F32" w:rsidP="00923CFF">
      <w:pPr>
        <w:pStyle w:val="BEHeader1"/>
      </w:pPr>
      <w:r w:rsidRPr="00FD3F32">
        <w:lastRenderedPageBreak/>
        <w:t>Fly Bait Use</w:t>
      </w:r>
    </w:p>
    <w:p w14:paraId="7DD6081E" w14:textId="77777777" w:rsidR="00FD3F32" w:rsidRDefault="00FD3F32"/>
    <w:p w14:paraId="31B1CD62" w14:textId="3C9CB86F" w:rsidR="009A53B6" w:rsidRDefault="6685DD5B">
      <w:r>
        <w:t>There are currently three registered methomyl fly bait products:  Golden Malrin RF-128 Fly Killer (2724-274); Lurectron Scatter bait (7319-6); and Stimukil Fly Bait (53871-3).  All three products are formulated as solid baits and contain 1% methomyl. Additionally, they are all co-formulated with (z)-9-tricosene (PC Code 103201, also referred to as ‘Muscamone’), a female house fly sex pheromone registered as a biopesticide.  The pheromone is used to attract flies and is orders of magnitude less toxic to aquatic and terrestrial species than methomyl on an acute exposure basis. Golden Malrin Fly Killer, Lurectron Scatter bait, and Stimukil Fly Bait contain 0.049%, 0.26%, and 0.040% (z)-9-tricosene, respectively. These fly baits are the only currently registered methomyl products that are not Restricted Use Pesticides (Restricted Use Pesticides can only be applied by, or under the supervision of, a certified applicator). There are known reports of the methomyl fly baits being illegally used to control ‘nuisance’ vertebrate pests (</w:t>
      </w:r>
      <w:r w:rsidRPr="6685DD5B">
        <w:rPr>
          <w:i/>
          <w:iCs/>
        </w:rPr>
        <w:t>e.g</w:t>
      </w:r>
      <w:r>
        <w:t>., raccoons). The fly bait labels have recently been changed to make it clearer that the products should not be used on non-target animals, specifically vertebrate pests. The assessment below only considers currently registered fly bait uses (</w:t>
      </w:r>
      <w:r w:rsidRPr="6685DD5B">
        <w:rPr>
          <w:i/>
          <w:iCs/>
        </w:rPr>
        <w:t>i.e</w:t>
      </w:r>
      <w:r>
        <w:t xml:space="preserve">., the use of the fly baits to control flies).  </w:t>
      </w:r>
    </w:p>
    <w:p w14:paraId="0D20F316" w14:textId="77777777" w:rsidR="009A53B6" w:rsidRDefault="009A53B6"/>
    <w:p w14:paraId="124B2E97" w14:textId="0E472250" w:rsidR="00F764B7" w:rsidRDefault="00A60329">
      <w:r>
        <w:t>Golden Malrin, Lurectron, and Stimukil can all be used</w:t>
      </w:r>
      <w:r w:rsidR="005A09D3">
        <w:t xml:space="preserve"> both</w:t>
      </w:r>
      <w:r>
        <w:t xml:space="preserve"> as </w:t>
      </w:r>
      <w:r w:rsidR="00F764B7">
        <w:t xml:space="preserve">a </w:t>
      </w:r>
      <w:r>
        <w:t>scatte</w:t>
      </w:r>
      <w:r w:rsidR="00F764B7">
        <w:t>r</w:t>
      </w:r>
      <w:r w:rsidR="005A09D3">
        <w:t xml:space="preserve"> </w:t>
      </w:r>
      <w:r>
        <w:t>bait</w:t>
      </w:r>
      <w:r w:rsidR="005A09D3">
        <w:t xml:space="preserve"> (</w:t>
      </w:r>
      <w:r w:rsidR="0080080B">
        <w:t xml:space="preserve">i.e. applied outside of a container) </w:t>
      </w:r>
      <w:r>
        <w:t xml:space="preserve"> and in bait stations</w:t>
      </w:r>
      <w:r w:rsidR="00F764B7">
        <w:t xml:space="preserve"> at 0.22 lb a.i./acre outside a variety of industrial, commercial, and livestock buildings (see </w:t>
      </w:r>
      <w:r w:rsidR="00F764B7" w:rsidRPr="00F764B7">
        <w:rPr>
          <w:b/>
        </w:rPr>
        <w:t>Table</w:t>
      </w:r>
      <w:r w:rsidR="006E6D1A">
        <w:rPr>
          <w:b/>
        </w:rPr>
        <w:t xml:space="preserve"> </w:t>
      </w:r>
      <w:r w:rsidR="00F66C21">
        <w:rPr>
          <w:b/>
        </w:rPr>
        <w:t>2</w:t>
      </w:r>
      <w:r w:rsidR="00F764B7">
        <w:t>). Additionally, Lurectron and Stimukil can be used as a brush on paste on the walls, windowsills and support beams of livestock housing (outside).</w:t>
      </w:r>
      <w:r w:rsidR="00095569">
        <w:t xml:space="preserve"> According to the labels, none of the products can be used around homes or in any other place where children or pets are likely to be present</w:t>
      </w:r>
      <w:r w:rsidR="006E2E7A">
        <w:t xml:space="preserve"> or in areas accessible to livestock. </w:t>
      </w:r>
      <w:r w:rsidR="00444517">
        <w:t>For use around dumpsters, the</w:t>
      </w:r>
      <w:r w:rsidR="006E2E7A">
        <w:t xml:space="preserve"> scatter</w:t>
      </w:r>
      <w:r w:rsidR="0080080B">
        <w:t xml:space="preserve"> </w:t>
      </w:r>
      <w:r w:rsidR="006E2E7A">
        <w:t>baits can only be placed around dumpsters that are enclosed (</w:t>
      </w:r>
      <w:r w:rsidR="006E2E7A" w:rsidRPr="006E2E7A">
        <w:rPr>
          <w:i/>
        </w:rPr>
        <w:t>i.e</w:t>
      </w:r>
      <w:r w:rsidR="006E2E7A">
        <w:t>., fenced in)</w:t>
      </w:r>
      <w:r w:rsidR="00444517">
        <w:t>,</w:t>
      </w:r>
      <w:r w:rsidR="006E2E7A">
        <w:t xml:space="preserve"> and </w:t>
      </w:r>
      <w:r w:rsidR="00444517">
        <w:t xml:space="preserve">for all </w:t>
      </w:r>
      <w:r w:rsidR="0057205D">
        <w:t xml:space="preserve">the bait station </w:t>
      </w:r>
      <w:r w:rsidR="00444517">
        <w:t xml:space="preserve">uses, </w:t>
      </w:r>
      <w:r w:rsidR="006E2E7A">
        <w:t>bait stations must be at least 4 feet above the ground.</w:t>
      </w:r>
    </w:p>
    <w:p w14:paraId="5F5979CA" w14:textId="7508A08D" w:rsidR="00F0639A" w:rsidRDefault="00F0639A"/>
    <w:p w14:paraId="1DE621F5" w14:textId="66E2A936" w:rsidR="00823866" w:rsidRPr="00823866" w:rsidRDefault="00823866" w:rsidP="00823866">
      <w:pPr>
        <w:rPr>
          <w:b/>
        </w:rPr>
      </w:pPr>
      <w:r w:rsidRPr="00823866">
        <w:rPr>
          <w:b/>
        </w:rPr>
        <w:t>Table</w:t>
      </w:r>
      <w:r w:rsidR="006E6D1A">
        <w:rPr>
          <w:b/>
        </w:rPr>
        <w:t xml:space="preserve"> </w:t>
      </w:r>
      <w:r w:rsidR="00F66C21">
        <w:rPr>
          <w:b/>
        </w:rPr>
        <w:t>2</w:t>
      </w:r>
      <w:r w:rsidRPr="00823866">
        <w:rPr>
          <w:b/>
        </w:rPr>
        <w:t>. Methomyl Fly Bait Use Information</w:t>
      </w:r>
    </w:p>
    <w:tbl>
      <w:tblPr>
        <w:tblStyle w:val="TableGrid"/>
        <w:tblW w:w="10710" w:type="dxa"/>
        <w:tblInd w:w="-545" w:type="dxa"/>
        <w:tblLook w:val="04A0" w:firstRow="1" w:lastRow="0" w:firstColumn="1" w:lastColumn="0" w:noHBand="0" w:noVBand="1"/>
      </w:tblPr>
      <w:tblGrid>
        <w:gridCol w:w="1440"/>
        <w:gridCol w:w="3780"/>
        <w:gridCol w:w="2070"/>
        <w:gridCol w:w="2070"/>
        <w:gridCol w:w="1350"/>
      </w:tblGrid>
      <w:tr w:rsidR="00823866" w:rsidRPr="002672C4" w14:paraId="44195BFA" w14:textId="77777777" w:rsidTr="00630CFA">
        <w:tc>
          <w:tcPr>
            <w:tcW w:w="1440" w:type="dxa"/>
            <w:shd w:val="clear" w:color="auto" w:fill="F2F2F2" w:themeFill="background1" w:themeFillShade="F2"/>
            <w:vAlign w:val="center"/>
          </w:tcPr>
          <w:p w14:paraId="1079512F" w14:textId="6A31196A" w:rsidR="00823866" w:rsidRPr="002672C4" w:rsidRDefault="00823866" w:rsidP="00823866">
            <w:pPr>
              <w:jc w:val="center"/>
              <w:rPr>
                <w:rFonts w:asciiTheme="minorHAnsi" w:hAnsiTheme="minorHAnsi"/>
                <w:b/>
              </w:rPr>
            </w:pPr>
            <w:r w:rsidRPr="002672C4">
              <w:rPr>
                <w:rFonts w:asciiTheme="minorHAnsi" w:hAnsiTheme="minorHAnsi"/>
                <w:b/>
              </w:rPr>
              <w:t>USE</w:t>
            </w:r>
          </w:p>
        </w:tc>
        <w:tc>
          <w:tcPr>
            <w:tcW w:w="3780" w:type="dxa"/>
            <w:shd w:val="clear" w:color="auto" w:fill="F2F2F2" w:themeFill="background1" w:themeFillShade="F2"/>
            <w:vAlign w:val="center"/>
          </w:tcPr>
          <w:p w14:paraId="192C40E8" w14:textId="78A8E92C" w:rsidR="00823866" w:rsidRPr="002672C4" w:rsidRDefault="00823866" w:rsidP="00823866">
            <w:pPr>
              <w:jc w:val="center"/>
              <w:rPr>
                <w:rFonts w:asciiTheme="minorHAnsi" w:hAnsiTheme="minorHAnsi"/>
                <w:b/>
              </w:rPr>
            </w:pPr>
            <w:r w:rsidRPr="002672C4">
              <w:rPr>
                <w:rFonts w:asciiTheme="minorHAnsi" w:hAnsiTheme="minorHAnsi"/>
                <w:b/>
              </w:rPr>
              <w:t>USE SITE</w:t>
            </w:r>
          </w:p>
        </w:tc>
        <w:tc>
          <w:tcPr>
            <w:tcW w:w="2070" w:type="dxa"/>
            <w:shd w:val="clear" w:color="auto" w:fill="F2F2F2" w:themeFill="background1" w:themeFillShade="F2"/>
            <w:vAlign w:val="center"/>
          </w:tcPr>
          <w:p w14:paraId="51C2CD09" w14:textId="03062BE2" w:rsidR="00823866" w:rsidRPr="002672C4" w:rsidRDefault="00823866" w:rsidP="00823866">
            <w:pPr>
              <w:jc w:val="center"/>
              <w:rPr>
                <w:rFonts w:asciiTheme="minorHAnsi" w:hAnsiTheme="minorHAnsi"/>
                <w:b/>
              </w:rPr>
            </w:pPr>
            <w:r w:rsidRPr="002672C4">
              <w:rPr>
                <w:rFonts w:asciiTheme="minorHAnsi" w:hAnsiTheme="minorHAnsi"/>
                <w:b/>
              </w:rPr>
              <w:t>PRODUCT(S)</w:t>
            </w:r>
          </w:p>
        </w:tc>
        <w:tc>
          <w:tcPr>
            <w:tcW w:w="2070" w:type="dxa"/>
            <w:shd w:val="clear" w:color="auto" w:fill="F2F2F2" w:themeFill="background1" w:themeFillShade="F2"/>
            <w:vAlign w:val="center"/>
          </w:tcPr>
          <w:p w14:paraId="3940BA6C" w14:textId="662D7AD2" w:rsidR="00823866" w:rsidRPr="002672C4" w:rsidRDefault="00823866" w:rsidP="00823866">
            <w:pPr>
              <w:jc w:val="center"/>
              <w:rPr>
                <w:rFonts w:asciiTheme="minorHAnsi" w:hAnsiTheme="minorHAnsi"/>
                <w:b/>
              </w:rPr>
            </w:pPr>
            <w:r w:rsidRPr="002672C4">
              <w:rPr>
                <w:rFonts w:asciiTheme="minorHAnsi" w:hAnsiTheme="minorHAnsi"/>
                <w:b/>
              </w:rPr>
              <w:t>MAXIMUM SINGLE APPLICATION RATE</w:t>
            </w:r>
          </w:p>
        </w:tc>
        <w:tc>
          <w:tcPr>
            <w:tcW w:w="1350" w:type="dxa"/>
            <w:shd w:val="clear" w:color="auto" w:fill="F2F2F2" w:themeFill="background1" w:themeFillShade="F2"/>
            <w:vAlign w:val="center"/>
          </w:tcPr>
          <w:p w14:paraId="033C8726" w14:textId="79CDA5B3" w:rsidR="00823866" w:rsidRPr="002672C4" w:rsidRDefault="00823866" w:rsidP="00823866">
            <w:pPr>
              <w:jc w:val="center"/>
              <w:rPr>
                <w:rFonts w:asciiTheme="minorHAnsi" w:hAnsiTheme="minorHAnsi"/>
                <w:b/>
              </w:rPr>
            </w:pPr>
            <w:r w:rsidRPr="002672C4">
              <w:rPr>
                <w:rFonts w:asciiTheme="minorHAnsi" w:hAnsiTheme="minorHAnsi"/>
                <w:b/>
              </w:rPr>
              <w:t>MINIMUM APPLICATION INTERVAL</w:t>
            </w:r>
          </w:p>
        </w:tc>
      </w:tr>
      <w:tr w:rsidR="00823866" w:rsidRPr="002672C4" w14:paraId="5ADF3B92" w14:textId="77777777" w:rsidTr="00630CFA">
        <w:trPr>
          <w:trHeight w:val="431"/>
        </w:trPr>
        <w:tc>
          <w:tcPr>
            <w:tcW w:w="1440" w:type="dxa"/>
            <w:vMerge w:val="restart"/>
            <w:vAlign w:val="center"/>
          </w:tcPr>
          <w:p w14:paraId="1BEA4EE1" w14:textId="25EDB935" w:rsidR="00823866" w:rsidRPr="002672C4" w:rsidRDefault="00823866" w:rsidP="00823866">
            <w:pPr>
              <w:rPr>
                <w:rFonts w:asciiTheme="minorHAnsi" w:hAnsiTheme="minorHAnsi"/>
              </w:rPr>
            </w:pPr>
            <w:r w:rsidRPr="002672C4">
              <w:rPr>
                <w:rFonts w:asciiTheme="minorHAnsi" w:hAnsiTheme="minorHAnsi"/>
              </w:rPr>
              <w:t>Scatter</w:t>
            </w:r>
            <w:r w:rsidR="0080080B">
              <w:rPr>
                <w:rFonts w:asciiTheme="minorHAnsi" w:hAnsiTheme="minorHAnsi"/>
              </w:rPr>
              <w:t xml:space="preserve"> B</w:t>
            </w:r>
            <w:r w:rsidRPr="002672C4">
              <w:rPr>
                <w:rFonts w:asciiTheme="minorHAnsi" w:hAnsiTheme="minorHAnsi"/>
              </w:rPr>
              <w:t>ait</w:t>
            </w:r>
          </w:p>
        </w:tc>
        <w:tc>
          <w:tcPr>
            <w:tcW w:w="3780" w:type="dxa"/>
            <w:vMerge w:val="restart"/>
            <w:vAlign w:val="center"/>
          </w:tcPr>
          <w:p w14:paraId="06E0DC0B" w14:textId="411F2D2D" w:rsidR="00823866" w:rsidRPr="002672C4" w:rsidRDefault="00823866" w:rsidP="00823866">
            <w:pPr>
              <w:rPr>
                <w:rFonts w:asciiTheme="minorHAnsi" w:hAnsiTheme="minorHAnsi"/>
              </w:rPr>
            </w:pPr>
            <w:r w:rsidRPr="002672C4">
              <w:rPr>
                <w:rFonts w:asciiTheme="minorHAnsi" w:hAnsiTheme="minorHAnsi"/>
              </w:rPr>
              <w:t>Outside of commercial facilities, such as, canneries, beverage plants, meat and poultry processing plants, food processing plants, commercial refuse dumpsters which are enclosed, feedlots, and livestock housing.</w:t>
            </w:r>
            <w:r w:rsidR="00630CFA" w:rsidRPr="002672C4">
              <w:rPr>
                <w:rFonts w:asciiTheme="minorHAnsi" w:hAnsiTheme="minorHAnsi"/>
              </w:rPr>
              <w:t xml:space="preserve"> </w:t>
            </w:r>
          </w:p>
        </w:tc>
        <w:tc>
          <w:tcPr>
            <w:tcW w:w="2070" w:type="dxa"/>
            <w:vAlign w:val="center"/>
          </w:tcPr>
          <w:p w14:paraId="7B663E5A" w14:textId="4C996E95" w:rsidR="00823866" w:rsidRPr="002672C4" w:rsidRDefault="00823866" w:rsidP="00823866">
            <w:pPr>
              <w:rPr>
                <w:rFonts w:asciiTheme="minorHAnsi" w:hAnsiTheme="minorHAnsi"/>
              </w:rPr>
            </w:pPr>
            <w:r w:rsidRPr="002672C4">
              <w:rPr>
                <w:rFonts w:asciiTheme="minorHAnsi" w:hAnsiTheme="minorHAnsi"/>
              </w:rPr>
              <w:t>Golden Malrin</w:t>
            </w:r>
            <w:r w:rsidR="00630CFA" w:rsidRPr="002672C4">
              <w:rPr>
                <w:rFonts w:asciiTheme="minorHAnsi" w:hAnsiTheme="minorHAnsi"/>
                <w:vertAlign w:val="superscript"/>
              </w:rPr>
              <w:t>1</w:t>
            </w:r>
          </w:p>
        </w:tc>
        <w:tc>
          <w:tcPr>
            <w:tcW w:w="2070" w:type="dxa"/>
            <w:vMerge w:val="restart"/>
            <w:vAlign w:val="center"/>
          </w:tcPr>
          <w:p w14:paraId="1EFA7FBE" w14:textId="77777777" w:rsidR="00823866" w:rsidRPr="002672C4" w:rsidRDefault="00823866" w:rsidP="00823866">
            <w:pPr>
              <w:rPr>
                <w:rFonts w:asciiTheme="minorHAnsi" w:hAnsiTheme="minorHAnsi"/>
              </w:rPr>
            </w:pPr>
            <w:r w:rsidRPr="002672C4">
              <w:rPr>
                <w:rFonts w:asciiTheme="minorHAnsi" w:hAnsiTheme="minorHAnsi"/>
              </w:rPr>
              <w:t xml:space="preserve">0.22 lb a.i./acre </w:t>
            </w:r>
          </w:p>
          <w:p w14:paraId="1D57C1C6" w14:textId="77777777" w:rsidR="00823866" w:rsidRPr="002672C4" w:rsidRDefault="00823866" w:rsidP="00823866">
            <w:pPr>
              <w:rPr>
                <w:rFonts w:asciiTheme="minorHAnsi" w:hAnsiTheme="minorHAnsi"/>
              </w:rPr>
            </w:pPr>
          </w:p>
          <w:p w14:paraId="1C72F0EB" w14:textId="3C23ABC2" w:rsidR="00823866" w:rsidRPr="002672C4" w:rsidRDefault="00823866" w:rsidP="00823866">
            <w:pPr>
              <w:rPr>
                <w:rFonts w:asciiTheme="minorHAnsi" w:hAnsiTheme="minorHAnsi"/>
              </w:rPr>
            </w:pPr>
            <w:r w:rsidRPr="002672C4">
              <w:rPr>
                <w:rFonts w:asciiTheme="minorHAnsi" w:hAnsiTheme="minorHAnsi"/>
              </w:rPr>
              <w:t>(4 oz product/500 ft</w:t>
            </w:r>
            <w:r w:rsidRPr="002672C4">
              <w:rPr>
                <w:rFonts w:asciiTheme="minorHAnsi" w:hAnsiTheme="minorHAnsi"/>
                <w:vertAlign w:val="superscript"/>
              </w:rPr>
              <w:t>2</w:t>
            </w:r>
            <w:r w:rsidR="00630CFA" w:rsidRPr="002672C4">
              <w:rPr>
                <w:rFonts w:asciiTheme="minorHAnsi" w:hAnsiTheme="minorHAnsi"/>
              </w:rPr>
              <w:t>)</w:t>
            </w:r>
          </w:p>
        </w:tc>
        <w:tc>
          <w:tcPr>
            <w:tcW w:w="1350" w:type="dxa"/>
            <w:vMerge w:val="restart"/>
            <w:vAlign w:val="center"/>
          </w:tcPr>
          <w:p w14:paraId="52CAB0DD" w14:textId="77777777" w:rsidR="00F66C21" w:rsidRDefault="00823866" w:rsidP="00823866">
            <w:pPr>
              <w:rPr>
                <w:rFonts w:asciiTheme="minorHAnsi" w:hAnsiTheme="minorHAnsi"/>
              </w:rPr>
            </w:pPr>
            <w:r w:rsidRPr="002672C4">
              <w:rPr>
                <w:rFonts w:asciiTheme="minorHAnsi" w:hAnsiTheme="minorHAnsi"/>
              </w:rPr>
              <w:t xml:space="preserve">Daily with heavy fly  </w:t>
            </w:r>
          </w:p>
          <w:p w14:paraId="00912258" w14:textId="4867D7B2" w:rsidR="00823866" w:rsidRPr="002672C4" w:rsidRDefault="00823866" w:rsidP="00823866">
            <w:pPr>
              <w:rPr>
                <w:rFonts w:asciiTheme="minorHAnsi" w:hAnsiTheme="minorHAnsi"/>
              </w:rPr>
            </w:pPr>
            <w:r w:rsidRPr="002672C4">
              <w:rPr>
                <w:rFonts w:asciiTheme="minorHAnsi" w:hAnsiTheme="minorHAnsi"/>
              </w:rPr>
              <w:t>infestation, then every 2-3 days</w:t>
            </w:r>
          </w:p>
        </w:tc>
      </w:tr>
      <w:tr w:rsidR="00823866" w:rsidRPr="002672C4" w14:paraId="12BE2E49" w14:textId="77777777" w:rsidTr="00630CFA">
        <w:trPr>
          <w:trHeight w:val="521"/>
        </w:trPr>
        <w:tc>
          <w:tcPr>
            <w:tcW w:w="1440" w:type="dxa"/>
            <w:vMerge/>
            <w:vAlign w:val="center"/>
          </w:tcPr>
          <w:p w14:paraId="524C9D37" w14:textId="77777777" w:rsidR="00823866" w:rsidRPr="002672C4" w:rsidRDefault="00823866" w:rsidP="00823866">
            <w:pPr>
              <w:rPr>
                <w:rFonts w:asciiTheme="minorHAnsi" w:hAnsiTheme="minorHAnsi"/>
              </w:rPr>
            </w:pPr>
          </w:p>
        </w:tc>
        <w:tc>
          <w:tcPr>
            <w:tcW w:w="3780" w:type="dxa"/>
            <w:vMerge/>
            <w:vAlign w:val="center"/>
          </w:tcPr>
          <w:p w14:paraId="60381B59" w14:textId="77777777" w:rsidR="00823866" w:rsidRPr="002672C4" w:rsidRDefault="00823866" w:rsidP="00823866">
            <w:pPr>
              <w:rPr>
                <w:rFonts w:asciiTheme="minorHAnsi" w:hAnsiTheme="minorHAnsi"/>
              </w:rPr>
            </w:pPr>
          </w:p>
        </w:tc>
        <w:tc>
          <w:tcPr>
            <w:tcW w:w="2070" w:type="dxa"/>
            <w:vAlign w:val="center"/>
          </w:tcPr>
          <w:p w14:paraId="637E1366" w14:textId="2BE6E7AB" w:rsidR="00823866" w:rsidRPr="002672C4" w:rsidRDefault="00823866" w:rsidP="00823866">
            <w:pPr>
              <w:rPr>
                <w:rFonts w:asciiTheme="minorHAnsi" w:hAnsiTheme="minorHAnsi"/>
              </w:rPr>
            </w:pPr>
            <w:r w:rsidRPr="002672C4">
              <w:rPr>
                <w:rFonts w:asciiTheme="minorHAnsi" w:hAnsiTheme="minorHAnsi"/>
              </w:rPr>
              <w:t>Lurecton Scatter</w:t>
            </w:r>
            <w:r w:rsidR="0080080B">
              <w:rPr>
                <w:rFonts w:asciiTheme="minorHAnsi" w:hAnsiTheme="minorHAnsi"/>
              </w:rPr>
              <w:t xml:space="preserve"> B</w:t>
            </w:r>
            <w:r w:rsidRPr="002672C4">
              <w:rPr>
                <w:rFonts w:asciiTheme="minorHAnsi" w:hAnsiTheme="minorHAnsi"/>
              </w:rPr>
              <w:t>ait</w:t>
            </w:r>
            <w:r w:rsidR="00630CFA" w:rsidRPr="002672C4">
              <w:rPr>
                <w:rFonts w:asciiTheme="minorHAnsi" w:hAnsiTheme="minorHAnsi"/>
                <w:vertAlign w:val="superscript"/>
              </w:rPr>
              <w:t>1</w:t>
            </w:r>
          </w:p>
        </w:tc>
        <w:tc>
          <w:tcPr>
            <w:tcW w:w="2070" w:type="dxa"/>
            <w:vMerge/>
            <w:vAlign w:val="center"/>
          </w:tcPr>
          <w:p w14:paraId="76BB29BC" w14:textId="77777777" w:rsidR="00823866" w:rsidRPr="002672C4" w:rsidRDefault="00823866" w:rsidP="00823866">
            <w:pPr>
              <w:rPr>
                <w:rFonts w:asciiTheme="minorHAnsi" w:hAnsiTheme="minorHAnsi"/>
              </w:rPr>
            </w:pPr>
          </w:p>
        </w:tc>
        <w:tc>
          <w:tcPr>
            <w:tcW w:w="1350" w:type="dxa"/>
            <w:vMerge/>
            <w:vAlign w:val="center"/>
          </w:tcPr>
          <w:p w14:paraId="053D10E7" w14:textId="77777777" w:rsidR="00823866" w:rsidRPr="002672C4" w:rsidRDefault="00823866" w:rsidP="00823866">
            <w:pPr>
              <w:rPr>
                <w:rFonts w:asciiTheme="minorHAnsi" w:hAnsiTheme="minorHAnsi"/>
              </w:rPr>
            </w:pPr>
          </w:p>
        </w:tc>
      </w:tr>
      <w:tr w:rsidR="00823866" w:rsidRPr="002672C4" w14:paraId="02F075AE" w14:textId="77777777" w:rsidTr="00630CFA">
        <w:trPr>
          <w:trHeight w:val="359"/>
        </w:trPr>
        <w:tc>
          <w:tcPr>
            <w:tcW w:w="1440" w:type="dxa"/>
            <w:vMerge/>
            <w:vAlign w:val="center"/>
          </w:tcPr>
          <w:p w14:paraId="25025B1F" w14:textId="77777777" w:rsidR="00823866" w:rsidRPr="002672C4" w:rsidRDefault="00823866" w:rsidP="00823866">
            <w:pPr>
              <w:rPr>
                <w:rFonts w:asciiTheme="minorHAnsi" w:hAnsiTheme="minorHAnsi"/>
              </w:rPr>
            </w:pPr>
          </w:p>
        </w:tc>
        <w:tc>
          <w:tcPr>
            <w:tcW w:w="3780" w:type="dxa"/>
            <w:vMerge/>
            <w:vAlign w:val="center"/>
          </w:tcPr>
          <w:p w14:paraId="666E7B5E" w14:textId="77777777" w:rsidR="00823866" w:rsidRPr="002672C4" w:rsidRDefault="00823866" w:rsidP="00823866">
            <w:pPr>
              <w:rPr>
                <w:rFonts w:asciiTheme="minorHAnsi" w:hAnsiTheme="minorHAnsi"/>
              </w:rPr>
            </w:pPr>
          </w:p>
        </w:tc>
        <w:tc>
          <w:tcPr>
            <w:tcW w:w="2070" w:type="dxa"/>
            <w:vAlign w:val="center"/>
          </w:tcPr>
          <w:p w14:paraId="377FAD73" w14:textId="401F24F1" w:rsidR="00823866" w:rsidRPr="002672C4" w:rsidRDefault="00823866" w:rsidP="00823866">
            <w:pPr>
              <w:rPr>
                <w:rFonts w:asciiTheme="minorHAnsi" w:hAnsiTheme="minorHAnsi"/>
              </w:rPr>
            </w:pPr>
            <w:r w:rsidRPr="002672C4">
              <w:rPr>
                <w:rFonts w:asciiTheme="minorHAnsi" w:hAnsiTheme="minorHAnsi"/>
              </w:rPr>
              <w:t>Stimukil Fly Bait</w:t>
            </w:r>
          </w:p>
        </w:tc>
        <w:tc>
          <w:tcPr>
            <w:tcW w:w="2070" w:type="dxa"/>
            <w:vMerge/>
            <w:vAlign w:val="center"/>
          </w:tcPr>
          <w:p w14:paraId="382DE89F" w14:textId="77777777" w:rsidR="00823866" w:rsidRPr="002672C4" w:rsidRDefault="00823866" w:rsidP="00823866">
            <w:pPr>
              <w:rPr>
                <w:rFonts w:asciiTheme="minorHAnsi" w:hAnsiTheme="minorHAnsi"/>
              </w:rPr>
            </w:pPr>
          </w:p>
        </w:tc>
        <w:tc>
          <w:tcPr>
            <w:tcW w:w="1350" w:type="dxa"/>
            <w:vMerge/>
            <w:vAlign w:val="center"/>
          </w:tcPr>
          <w:p w14:paraId="5441FF6A" w14:textId="77777777" w:rsidR="00823866" w:rsidRPr="002672C4" w:rsidRDefault="00823866" w:rsidP="00823866">
            <w:pPr>
              <w:rPr>
                <w:rFonts w:asciiTheme="minorHAnsi" w:hAnsiTheme="minorHAnsi"/>
              </w:rPr>
            </w:pPr>
          </w:p>
        </w:tc>
      </w:tr>
      <w:tr w:rsidR="00823866" w:rsidRPr="002672C4" w14:paraId="22E09C20" w14:textId="77777777" w:rsidTr="00630CFA">
        <w:trPr>
          <w:trHeight w:val="485"/>
        </w:trPr>
        <w:tc>
          <w:tcPr>
            <w:tcW w:w="1440" w:type="dxa"/>
            <w:vMerge w:val="restart"/>
            <w:vAlign w:val="center"/>
          </w:tcPr>
          <w:p w14:paraId="40FD3352" w14:textId="32F7B6D8" w:rsidR="00823866" w:rsidRPr="002672C4" w:rsidRDefault="00823866" w:rsidP="00823866">
            <w:pPr>
              <w:rPr>
                <w:rFonts w:asciiTheme="minorHAnsi" w:hAnsiTheme="minorHAnsi"/>
              </w:rPr>
            </w:pPr>
            <w:r w:rsidRPr="002672C4">
              <w:rPr>
                <w:rFonts w:asciiTheme="minorHAnsi" w:hAnsiTheme="minorHAnsi"/>
              </w:rPr>
              <w:t>Bait Stations</w:t>
            </w:r>
          </w:p>
        </w:tc>
        <w:tc>
          <w:tcPr>
            <w:tcW w:w="3780" w:type="dxa"/>
            <w:vMerge w:val="restart"/>
            <w:vAlign w:val="center"/>
          </w:tcPr>
          <w:p w14:paraId="4CA6A994" w14:textId="0175B159" w:rsidR="00823866" w:rsidRPr="002672C4" w:rsidRDefault="00823866" w:rsidP="00823866">
            <w:pPr>
              <w:rPr>
                <w:rFonts w:asciiTheme="minorHAnsi" w:hAnsiTheme="minorHAnsi"/>
              </w:rPr>
            </w:pPr>
            <w:r w:rsidRPr="002672C4">
              <w:rPr>
                <w:rFonts w:asciiTheme="minorHAnsi" w:hAnsiTheme="minorHAnsi"/>
              </w:rPr>
              <w:t>Stables, outside of milking parlors, kennels, fast food establishments, restaurants, commissaries, bakeries, supermarkets, warehouses, feedlots, livestock housing, food processing plants, beverage plants, meat and poultry processing plants, fenced dumpsters</w:t>
            </w:r>
          </w:p>
        </w:tc>
        <w:tc>
          <w:tcPr>
            <w:tcW w:w="2070" w:type="dxa"/>
            <w:vAlign w:val="center"/>
          </w:tcPr>
          <w:p w14:paraId="30C475F9" w14:textId="73002406" w:rsidR="00823866" w:rsidRPr="002672C4" w:rsidRDefault="00823866" w:rsidP="00823866">
            <w:pPr>
              <w:rPr>
                <w:rFonts w:asciiTheme="minorHAnsi" w:hAnsiTheme="minorHAnsi"/>
              </w:rPr>
            </w:pPr>
            <w:r w:rsidRPr="002672C4">
              <w:rPr>
                <w:rFonts w:asciiTheme="minorHAnsi" w:hAnsiTheme="minorHAnsi"/>
              </w:rPr>
              <w:t>Golden Malrin</w:t>
            </w:r>
          </w:p>
        </w:tc>
        <w:tc>
          <w:tcPr>
            <w:tcW w:w="2070" w:type="dxa"/>
            <w:vMerge w:val="restart"/>
            <w:vAlign w:val="center"/>
          </w:tcPr>
          <w:p w14:paraId="21465A38" w14:textId="77777777" w:rsidR="00823866" w:rsidRPr="002672C4" w:rsidRDefault="00823866" w:rsidP="00823866">
            <w:pPr>
              <w:rPr>
                <w:rFonts w:asciiTheme="minorHAnsi" w:hAnsiTheme="minorHAnsi"/>
              </w:rPr>
            </w:pPr>
            <w:r w:rsidRPr="002672C4">
              <w:rPr>
                <w:rFonts w:asciiTheme="minorHAnsi" w:hAnsiTheme="minorHAnsi"/>
              </w:rPr>
              <w:t xml:space="preserve">0.22 lb a.i./acre </w:t>
            </w:r>
          </w:p>
          <w:p w14:paraId="0AD5C7F2" w14:textId="77777777" w:rsidR="00823866" w:rsidRPr="002672C4" w:rsidRDefault="00823866" w:rsidP="00823866">
            <w:pPr>
              <w:rPr>
                <w:rFonts w:asciiTheme="minorHAnsi" w:hAnsiTheme="minorHAnsi"/>
              </w:rPr>
            </w:pPr>
          </w:p>
          <w:p w14:paraId="7BEE97D0" w14:textId="13205F58" w:rsidR="00823866" w:rsidRPr="002672C4" w:rsidRDefault="00823866" w:rsidP="00823866">
            <w:pPr>
              <w:rPr>
                <w:rFonts w:asciiTheme="minorHAnsi" w:hAnsiTheme="minorHAnsi"/>
              </w:rPr>
            </w:pPr>
            <w:r w:rsidRPr="002672C4">
              <w:rPr>
                <w:rFonts w:asciiTheme="minorHAnsi" w:hAnsiTheme="minorHAnsi"/>
              </w:rPr>
              <w:t>(1 oz product/bait station with 4 bait stations/500 ft</w:t>
            </w:r>
            <w:r w:rsidRPr="002672C4">
              <w:rPr>
                <w:rFonts w:asciiTheme="minorHAnsi" w:hAnsiTheme="minorHAnsi"/>
                <w:vertAlign w:val="superscript"/>
              </w:rPr>
              <w:t>2</w:t>
            </w:r>
            <w:r w:rsidRPr="002672C4">
              <w:rPr>
                <w:rFonts w:asciiTheme="minorHAnsi" w:hAnsiTheme="minorHAnsi"/>
              </w:rPr>
              <w:t>)</w:t>
            </w:r>
          </w:p>
        </w:tc>
        <w:tc>
          <w:tcPr>
            <w:tcW w:w="1350" w:type="dxa"/>
            <w:vMerge/>
            <w:vAlign w:val="center"/>
          </w:tcPr>
          <w:p w14:paraId="0B42F5E9" w14:textId="77777777" w:rsidR="00823866" w:rsidRPr="002672C4" w:rsidRDefault="00823866" w:rsidP="00823866">
            <w:pPr>
              <w:rPr>
                <w:rFonts w:asciiTheme="minorHAnsi" w:hAnsiTheme="minorHAnsi"/>
              </w:rPr>
            </w:pPr>
          </w:p>
        </w:tc>
      </w:tr>
      <w:tr w:rsidR="00823866" w:rsidRPr="002672C4" w14:paraId="1DCA6DE2" w14:textId="77777777" w:rsidTr="00630CFA">
        <w:trPr>
          <w:trHeight w:val="521"/>
        </w:trPr>
        <w:tc>
          <w:tcPr>
            <w:tcW w:w="1440" w:type="dxa"/>
            <w:vMerge/>
            <w:vAlign w:val="center"/>
          </w:tcPr>
          <w:p w14:paraId="1BB6BB7E" w14:textId="22FFD463" w:rsidR="00823866" w:rsidRPr="002672C4" w:rsidRDefault="00823866" w:rsidP="00823866">
            <w:pPr>
              <w:rPr>
                <w:rFonts w:asciiTheme="minorHAnsi" w:hAnsiTheme="minorHAnsi"/>
              </w:rPr>
            </w:pPr>
          </w:p>
        </w:tc>
        <w:tc>
          <w:tcPr>
            <w:tcW w:w="3780" w:type="dxa"/>
            <w:vMerge/>
            <w:vAlign w:val="center"/>
          </w:tcPr>
          <w:p w14:paraId="4C439E06" w14:textId="77777777" w:rsidR="00823866" w:rsidRPr="002672C4" w:rsidRDefault="00823866" w:rsidP="00823866">
            <w:pPr>
              <w:rPr>
                <w:rFonts w:asciiTheme="minorHAnsi" w:hAnsiTheme="minorHAnsi"/>
              </w:rPr>
            </w:pPr>
          </w:p>
        </w:tc>
        <w:tc>
          <w:tcPr>
            <w:tcW w:w="2070" w:type="dxa"/>
            <w:vAlign w:val="center"/>
          </w:tcPr>
          <w:p w14:paraId="5912306F" w14:textId="5452548D" w:rsidR="00823866" w:rsidRPr="002672C4" w:rsidRDefault="00823866" w:rsidP="00823866">
            <w:pPr>
              <w:rPr>
                <w:rFonts w:asciiTheme="minorHAnsi" w:hAnsiTheme="minorHAnsi"/>
              </w:rPr>
            </w:pPr>
            <w:r w:rsidRPr="002672C4">
              <w:rPr>
                <w:rFonts w:asciiTheme="minorHAnsi" w:hAnsiTheme="minorHAnsi"/>
              </w:rPr>
              <w:t>Lurecton Scatter</w:t>
            </w:r>
            <w:r w:rsidR="0061575F">
              <w:rPr>
                <w:rFonts w:asciiTheme="minorHAnsi" w:hAnsiTheme="minorHAnsi"/>
              </w:rPr>
              <w:t xml:space="preserve"> B</w:t>
            </w:r>
            <w:r w:rsidRPr="002672C4">
              <w:rPr>
                <w:rFonts w:asciiTheme="minorHAnsi" w:hAnsiTheme="minorHAnsi"/>
              </w:rPr>
              <w:t>ait</w:t>
            </w:r>
            <w:r w:rsidR="00630CFA" w:rsidRPr="002672C4">
              <w:rPr>
                <w:rFonts w:asciiTheme="minorHAnsi" w:hAnsiTheme="minorHAnsi"/>
                <w:vertAlign w:val="superscript"/>
              </w:rPr>
              <w:t>2</w:t>
            </w:r>
          </w:p>
        </w:tc>
        <w:tc>
          <w:tcPr>
            <w:tcW w:w="2070" w:type="dxa"/>
            <w:vMerge/>
            <w:vAlign w:val="center"/>
          </w:tcPr>
          <w:p w14:paraId="29D8ED83" w14:textId="77777777" w:rsidR="00823866" w:rsidRPr="002672C4" w:rsidRDefault="00823866" w:rsidP="00823866">
            <w:pPr>
              <w:rPr>
                <w:rFonts w:asciiTheme="minorHAnsi" w:hAnsiTheme="minorHAnsi"/>
              </w:rPr>
            </w:pPr>
          </w:p>
        </w:tc>
        <w:tc>
          <w:tcPr>
            <w:tcW w:w="1350" w:type="dxa"/>
            <w:vMerge/>
            <w:vAlign w:val="center"/>
          </w:tcPr>
          <w:p w14:paraId="021C969B" w14:textId="77777777" w:rsidR="00823866" w:rsidRPr="002672C4" w:rsidRDefault="00823866" w:rsidP="00823866">
            <w:pPr>
              <w:rPr>
                <w:rFonts w:asciiTheme="minorHAnsi" w:hAnsiTheme="minorHAnsi"/>
              </w:rPr>
            </w:pPr>
          </w:p>
        </w:tc>
      </w:tr>
      <w:tr w:rsidR="00823866" w:rsidRPr="002672C4" w14:paraId="20BF297C" w14:textId="77777777" w:rsidTr="00630CFA">
        <w:trPr>
          <w:trHeight w:val="449"/>
        </w:trPr>
        <w:tc>
          <w:tcPr>
            <w:tcW w:w="1440" w:type="dxa"/>
            <w:vMerge/>
            <w:vAlign w:val="center"/>
          </w:tcPr>
          <w:p w14:paraId="79E64C12" w14:textId="77777777" w:rsidR="00823866" w:rsidRPr="002672C4" w:rsidRDefault="00823866" w:rsidP="00823866">
            <w:pPr>
              <w:rPr>
                <w:rFonts w:asciiTheme="minorHAnsi" w:hAnsiTheme="minorHAnsi"/>
              </w:rPr>
            </w:pPr>
          </w:p>
        </w:tc>
        <w:tc>
          <w:tcPr>
            <w:tcW w:w="3780" w:type="dxa"/>
            <w:vMerge/>
            <w:vAlign w:val="center"/>
          </w:tcPr>
          <w:p w14:paraId="13013EA3" w14:textId="77777777" w:rsidR="00823866" w:rsidRPr="002672C4" w:rsidRDefault="00823866" w:rsidP="00823866">
            <w:pPr>
              <w:rPr>
                <w:rFonts w:asciiTheme="minorHAnsi" w:hAnsiTheme="minorHAnsi"/>
              </w:rPr>
            </w:pPr>
          </w:p>
        </w:tc>
        <w:tc>
          <w:tcPr>
            <w:tcW w:w="2070" w:type="dxa"/>
            <w:vAlign w:val="center"/>
          </w:tcPr>
          <w:p w14:paraId="31CC9C80" w14:textId="30AE6614" w:rsidR="00823866" w:rsidRPr="002672C4" w:rsidRDefault="00823866" w:rsidP="00823866">
            <w:pPr>
              <w:rPr>
                <w:rFonts w:asciiTheme="minorHAnsi" w:hAnsiTheme="minorHAnsi"/>
              </w:rPr>
            </w:pPr>
            <w:r w:rsidRPr="002672C4">
              <w:rPr>
                <w:rFonts w:asciiTheme="minorHAnsi" w:hAnsiTheme="minorHAnsi"/>
              </w:rPr>
              <w:t>Stimukil Fly Bait</w:t>
            </w:r>
            <w:r w:rsidR="00630CFA" w:rsidRPr="002672C4">
              <w:rPr>
                <w:rFonts w:asciiTheme="minorHAnsi" w:hAnsiTheme="minorHAnsi"/>
                <w:vertAlign w:val="superscript"/>
              </w:rPr>
              <w:t>2</w:t>
            </w:r>
          </w:p>
        </w:tc>
        <w:tc>
          <w:tcPr>
            <w:tcW w:w="2070" w:type="dxa"/>
            <w:vMerge/>
            <w:vAlign w:val="center"/>
          </w:tcPr>
          <w:p w14:paraId="119CB790" w14:textId="77777777" w:rsidR="00823866" w:rsidRPr="002672C4" w:rsidRDefault="00823866" w:rsidP="00823866">
            <w:pPr>
              <w:rPr>
                <w:rFonts w:asciiTheme="minorHAnsi" w:hAnsiTheme="minorHAnsi"/>
              </w:rPr>
            </w:pPr>
          </w:p>
        </w:tc>
        <w:tc>
          <w:tcPr>
            <w:tcW w:w="1350" w:type="dxa"/>
            <w:vMerge/>
            <w:vAlign w:val="center"/>
          </w:tcPr>
          <w:p w14:paraId="443AD9B7" w14:textId="77777777" w:rsidR="00823866" w:rsidRPr="002672C4" w:rsidRDefault="00823866" w:rsidP="00823866">
            <w:pPr>
              <w:rPr>
                <w:rFonts w:asciiTheme="minorHAnsi" w:hAnsiTheme="minorHAnsi"/>
              </w:rPr>
            </w:pPr>
          </w:p>
        </w:tc>
      </w:tr>
      <w:tr w:rsidR="00630CFA" w:rsidRPr="002672C4" w14:paraId="38E8BC18" w14:textId="77777777" w:rsidTr="00630CFA">
        <w:trPr>
          <w:trHeight w:val="307"/>
        </w:trPr>
        <w:tc>
          <w:tcPr>
            <w:tcW w:w="1440" w:type="dxa"/>
            <w:vMerge w:val="restart"/>
            <w:vAlign w:val="center"/>
          </w:tcPr>
          <w:p w14:paraId="1DD23F1C" w14:textId="16A0CDD1" w:rsidR="00630CFA" w:rsidRPr="002672C4" w:rsidRDefault="00630CFA" w:rsidP="00630CFA">
            <w:pPr>
              <w:rPr>
                <w:rFonts w:asciiTheme="minorHAnsi" w:hAnsiTheme="minorHAnsi"/>
              </w:rPr>
            </w:pPr>
            <w:r w:rsidRPr="002672C4">
              <w:rPr>
                <w:rFonts w:asciiTheme="minorHAnsi" w:hAnsiTheme="minorHAnsi"/>
              </w:rPr>
              <w:t>Brush on Paste</w:t>
            </w:r>
          </w:p>
        </w:tc>
        <w:tc>
          <w:tcPr>
            <w:tcW w:w="3780" w:type="dxa"/>
            <w:vMerge w:val="restart"/>
            <w:vAlign w:val="center"/>
          </w:tcPr>
          <w:p w14:paraId="25CBD397" w14:textId="32049661" w:rsidR="00630CFA" w:rsidRPr="002672C4" w:rsidRDefault="00630CFA" w:rsidP="00630CFA">
            <w:pPr>
              <w:rPr>
                <w:rFonts w:asciiTheme="minorHAnsi" w:hAnsiTheme="minorHAnsi"/>
              </w:rPr>
            </w:pPr>
            <w:r w:rsidRPr="002672C4">
              <w:rPr>
                <w:rFonts w:asciiTheme="minorHAnsi" w:hAnsiTheme="minorHAnsi"/>
              </w:rPr>
              <w:t>Livestock housing walls, windowsills, and support beams (outside)</w:t>
            </w:r>
          </w:p>
        </w:tc>
        <w:tc>
          <w:tcPr>
            <w:tcW w:w="2070" w:type="dxa"/>
            <w:vAlign w:val="center"/>
          </w:tcPr>
          <w:p w14:paraId="17810719" w14:textId="75827F5C" w:rsidR="00630CFA" w:rsidRPr="002672C4" w:rsidRDefault="00630CFA" w:rsidP="00630CFA">
            <w:pPr>
              <w:rPr>
                <w:rFonts w:asciiTheme="minorHAnsi" w:hAnsiTheme="minorHAnsi"/>
              </w:rPr>
            </w:pPr>
            <w:r w:rsidRPr="002672C4">
              <w:rPr>
                <w:rFonts w:asciiTheme="minorHAnsi" w:hAnsiTheme="minorHAnsi"/>
              </w:rPr>
              <w:t>Lurecton Scatter</w:t>
            </w:r>
            <w:r w:rsidR="0061575F">
              <w:rPr>
                <w:rFonts w:asciiTheme="minorHAnsi" w:hAnsiTheme="minorHAnsi"/>
              </w:rPr>
              <w:t xml:space="preserve"> B</w:t>
            </w:r>
            <w:r w:rsidRPr="002672C4">
              <w:rPr>
                <w:rFonts w:asciiTheme="minorHAnsi" w:hAnsiTheme="minorHAnsi"/>
              </w:rPr>
              <w:t>ait</w:t>
            </w:r>
          </w:p>
        </w:tc>
        <w:tc>
          <w:tcPr>
            <w:tcW w:w="2070" w:type="dxa"/>
            <w:vMerge w:val="restart"/>
            <w:vAlign w:val="center"/>
          </w:tcPr>
          <w:p w14:paraId="4BFA093F" w14:textId="2CE4FA38" w:rsidR="00630CFA" w:rsidRPr="002672C4" w:rsidRDefault="00630CFA" w:rsidP="00630CFA">
            <w:pPr>
              <w:rPr>
                <w:rFonts w:asciiTheme="minorHAnsi" w:hAnsiTheme="minorHAnsi"/>
              </w:rPr>
            </w:pPr>
            <w:r w:rsidRPr="002672C4">
              <w:rPr>
                <w:rFonts w:asciiTheme="minorHAnsi" w:hAnsiTheme="minorHAnsi"/>
              </w:rPr>
              <w:t>Mix with water (1:1 ratio - product to water)</w:t>
            </w:r>
          </w:p>
        </w:tc>
        <w:tc>
          <w:tcPr>
            <w:tcW w:w="1350" w:type="dxa"/>
            <w:vMerge w:val="restart"/>
            <w:vAlign w:val="center"/>
          </w:tcPr>
          <w:p w14:paraId="52419472" w14:textId="726F4497" w:rsidR="00630CFA" w:rsidRPr="002672C4" w:rsidRDefault="00630CFA" w:rsidP="00630CFA">
            <w:pPr>
              <w:rPr>
                <w:rFonts w:asciiTheme="minorHAnsi" w:hAnsiTheme="minorHAnsi"/>
              </w:rPr>
            </w:pPr>
            <w:r w:rsidRPr="002672C4">
              <w:rPr>
                <w:rFonts w:asciiTheme="minorHAnsi" w:hAnsiTheme="minorHAnsi"/>
              </w:rPr>
              <w:t>Reapply every 3 – 5 days</w:t>
            </w:r>
          </w:p>
        </w:tc>
      </w:tr>
      <w:tr w:rsidR="00630CFA" w:rsidRPr="002672C4" w14:paraId="1558EF25" w14:textId="77777777" w:rsidTr="00630CFA">
        <w:trPr>
          <w:trHeight w:val="62"/>
        </w:trPr>
        <w:tc>
          <w:tcPr>
            <w:tcW w:w="1440" w:type="dxa"/>
            <w:vMerge/>
            <w:vAlign w:val="center"/>
          </w:tcPr>
          <w:p w14:paraId="74DA7E3C" w14:textId="77777777" w:rsidR="00630CFA" w:rsidRPr="002672C4" w:rsidRDefault="00630CFA" w:rsidP="00630CFA">
            <w:pPr>
              <w:rPr>
                <w:rFonts w:asciiTheme="minorHAnsi" w:hAnsiTheme="minorHAnsi"/>
              </w:rPr>
            </w:pPr>
          </w:p>
        </w:tc>
        <w:tc>
          <w:tcPr>
            <w:tcW w:w="3780" w:type="dxa"/>
            <w:vMerge/>
            <w:vAlign w:val="center"/>
          </w:tcPr>
          <w:p w14:paraId="7D29ACEB" w14:textId="77777777" w:rsidR="00630CFA" w:rsidRPr="002672C4" w:rsidRDefault="00630CFA" w:rsidP="00630CFA">
            <w:pPr>
              <w:rPr>
                <w:rFonts w:asciiTheme="minorHAnsi" w:hAnsiTheme="minorHAnsi"/>
              </w:rPr>
            </w:pPr>
          </w:p>
        </w:tc>
        <w:tc>
          <w:tcPr>
            <w:tcW w:w="2070" w:type="dxa"/>
            <w:vAlign w:val="center"/>
          </w:tcPr>
          <w:p w14:paraId="42DBAD94" w14:textId="12C7752F" w:rsidR="00630CFA" w:rsidRPr="002672C4" w:rsidRDefault="00630CFA" w:rsidP="00630CFA">
            <w:pPr>
              <w:rPr>
                <w:rFonts w:asciiTheme="minorHAnsi" w:hAnsiTheme="minorHAnsi"/>
              </w:rPr>
            </w:pPr>
            <w:r w:rsidRPr="002672C4">
              <w:rPr>
                <w:rFonts w:asciiTheme="minorHAnsi" w:hAnsiTheme="minorHAnsi"/>
              </w:rPr>
              <w:t>Stimukil Fly Bait</w:t>
            </w:r>
          </w:p>
        </w:tc>
        <w:tc>
          <w:tcPr>
            <w:tcW w:w="2070" w:type="dxa"/>
            <w:vMerge/>
            <w:vAlign w:val="center"/>
          </w:tcPr>
          <w:p w14:paraId="009EEA80" w14:textId="77777777" w:rsidR="00630CFA" w:rsidRPr="002672C4" w:rsidRDefault="00630CFA" w:rsidP="00630CFA">
            <w:pPr>
              <w:rPr>
                <w:rFonts w:asciiTheme="minorHAnsi" w:hAnsiTheme="minorHAnsi"/>
              </w:rPr>
            </w:pPr>
          </w:p>
        </w:tc>
        <w:tc>
          <w:tcPr>
            <w:tcW w:w="1350" w:type="dxa"/>
            <w:vMerge/>
            <w:vAlign w:val="center"/>
          </w:tcPr>
          <w:p w14:paraId="6B96DAE8" w14:textId="77777777" w:rsidR="00630CFA" w:rsidRPr="002672C4" w:rsidRDefault="00630CFA" w:rsidP="00630CFA">
            <w:pPr>
              <w:rPr>
                <w:rFonts w:asciiTheme="minorHAnsi" w:hAnsiTheme="minorHAnsi"/>
              </w:rPr>
            </w:pPr>
          </w:p>
        </w:tc>
      </w:tr>
    </w:tbl>
    <w:p w14:paraId="4F0E6811" w14:textId="5DD1CDA7" w:rsidR="00823866" w:rsidRPr="00630CFA" w:rsidRDefault="00630CFA" w:rsidP="00823866">
      <w:pPr>
        <w:rPr>
          <w:sz w:val="20"/>
          <w:szCs w:val="20"/>
        </w:rPr>
      </w:pPr>
      <w:r w:rsidRPr="00630CFA">
        <w:rPr>
          <w:sz w:val="20"/>
          <w:szCs w:val="20"/>
          <w:vertAlign w:val="superscript"/>
        </w:rPr>
        <w:t>1</w:t>
      </w:r>
      <w:r w:rsidRPr="00630CFA">
        <w:rPr>
          <w:sz w:val="20"/>
          <w:szCs w:val="20"/>
        </w:rPr>
        <w:t xml:space="preserve"> Can also be used inside on walkways in caged poultry houses at this rate and application interval.</w:t>
      </w:r>
    </w:p>
    <w:p w14:paraId="2D8EE41C" w14:textId="1BBF48BF" w:rsidR="00630CFA" w:rsidRPr="00630CFA" w:rsidRDefault="00630CFA" w:rsidP="00823866">
      <w:pPr>
        <w:rPr>
          <w:sz w:val="20"/>
          <w:szCs w:val="20"/>
        </w:rPr>
      </w:pPr>
      <w:r w:rsidRPr="00630CFA">
        <w:rPr>
          <w:sz w:val="20"/>
          <w:szCs w:val="20"/>
          <w:vertAlign w:val="superscript"/>
        </w:rPr>
        <w:t>2</w:t>
      </w:r>
      <w:r w:rsidRPr="00630CFA">
        <w:rPr>
          <w:sz w:val="20"/>
          <w:szCs w:val="20"/>
        </w:rPr>
        <w:t xml:space="preserve"> Can also be used inside of caged poultry layer houses at this application rate; replenished every 3 – 5 days.</w:t>
      </w:r>
    </w:p>
    <w:p w14:paraId="670438CE" w14:textId="77777777" w:rsidR="00823866" w:rsidRDefault="00823866"/>
    <w:p w14:paraId="74D86AFF" w14:textId="65393CCB" w:rsidR="000D54A1" w:rsidRDefault="6685DD5B">
      <w:r>
        <w:t>Due to the registered use sites for the fly baits, fly baits are expected to be used in developed areas.  Additionally, when applications of the fly baits are made, they are expected to be very localized (</w:t>
      </w:r>
      <w:r w:rsidRPr="6685DD5B">
        <w:rPr>
          <w:i/>
          <w:iCs/>
        </w:rPr>
        <w:t>e.g</w:t>
      </w:r>
      <w:r>
        <w:t xml:space="preserve">., perimeter treatments around buildings and treatments around enclosed dumpsters). The best spatial representation of where fly bait could be used would be one that represents these developed areas. Since the fly bait use is applied as spot and perimeter treatments, it is expected that the spatial footprint of the developed landcover would grossly overestimate the footprint. The chances of an individual of a listed species being exposed to methomyl from fly bait use is considered </w:t>
      </w:r>
      <w:r w:rsidRPr="00923CFF">
        <w:t>discountable</w:t>
      </w:r>
      <w:r>
        <w:t xml:space="preserve">.  For these reasons, the fly bait uses are not considered significant contributors to exposure from methomyl use. Therefore, this use is not incorporated quantitatively into the action area and the effects determinations made for methomyl will be made based on the non-fly bait uses. </w:t>
      </w:r>
    </w:p>
    <w:p w14:paraId="37A08517" w14:textId="77777777" w:rsidR="000D54A1" w:rsidRDefault="000D54A1"/>
    <w:p w14:paraId="24AF140B" w14:textId="77777777" w:rsidR="00002210" w:rsidRDefault="00002210"/>
    <w:sectPr w:rsidR="00002210" w:rsidSect="00674139">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A1F9E" w14:textId="77777777" w:rsidR="00413A7A" w:rsidRDefault="00413A7A">
      <w:r>
        <w:separator/>
      </w:r>
    </w:p>
  </w:endnote>
  <w:endnote w:type="continuationSeparator" w:id="0">
    <w:p w14:paraId="55FBA35B" w14:textId="77777777" w:rsidR="00413A7A" w:rsidRDefault="00413A7A">
      <w:r>
        <w:continuationSeparator/>
      </w:r>
    </w:p>
  </w:endnote>
  <w:endnote w:type="continuationNotice" w:id="1">
    <w:p w14:paraId="4D47E060" w14:textId="77777777" w:rsidR="00413A7A" w:rsidRDefault="0041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B6FB" w14:textId="4CBCA8E0" w:rsidR="00C65CBB" w:rsidRDefault="00974A9F">
    <w:pPr>
      <w:pStyle w:val="Footer"/>
      <w:jc w:val="center"/>
    </w:pPr>
    <w:sdt>
      <w:sdtPr>
        <w:id w:val="1878194960"/>
        <w:docPartObj>
          <w:docPartGallery w:val="Page Numbers (Bottom of Page)"/>
          <w:docPartUnique/>
        </w:docPartObj>
      </w:sdtPr>
      <w:sdtEndPr>
        <w:rPr>
          <w:noProof/>
        </w:rPr>
      </w:sdtEndPr>
      <w:sdtContent>
        <w:r w:rsidR="00C65CBB">
          <w:fldChar w:fldCharType="begin"/>
        </w:r>
        <w:r w:rsidR="00C65CBB">
          <w:instrText xml:space="preserve"> PAGE   \* MERGEFORMAT </w:instrText>
        </w:r>
        <w:r w:rsidR="00C65CBB">
          <w:fldChar w:fldCharType="separate"/>
        </w:r>
        <w:r w:rsidR="00C65CBB">
          <w:rPr>
            <w:noProof/>
          </w:rPr>
          <w:t>2</w:t>
        </w:r>
        <w:r w:rsidR="00C65CBB">
          <w:rPr>
            <w:noProof/>
          </w:rPr>
          <w:fldChar w:fldCharType="end"/>
        </w:r>
      </w:sdtContent>
    </w:sdt>
  </w:p>
  <w:p w14:paraId="2C46F4C1" w14:textId="77777777" w:rsidR="00C65CBB" w:rsidRDefault="00C65CB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73C8" w14:textId="77777777" w:rsidR="00413A7A" w:rsidRDefault="00413A7A">
      <w:r>
        <w:separator/>
      </w:r>
    </w:p>
  </w:footnote>
  <w:footnote w:type="continuationSeparator" w:id="0">
    <w:p w14:paraId="562E4235" w14:textId="77777777" w:rsidR="00413A7A" w:rsidRDefault="00413A7A">
      <w:r>
        <w:continuationSeparator/>
      </w:r>
    </w:p>
  </w:footnote>
  <w:footnote w:type="continuationNotice" w:id="1">
    <w:p w14:paraId="176174AB" w14:textId="77777777" w:rsidR="00413A7A" w:rsidRDefault="00413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B6E"/>
    <w:multiLevelType w:val="multilevel"/>
    <w:tmpl w:val="1932ED52"/>
    <w:lvl w:ilvl="0">
      <w:start w:val="1"/>
      <w:numFmt w:val="decimal"/>
      <w:pStyle w:val="BEHeader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2721F96"/>
    <w:multiLevelType w:val="hybridMultilevel"/>
    <w:tmpl w:val="5FE8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ocumentProtection w:edit="readOnly" w:enforcement="1" w:cryptProviderType="rsaAES" w:cryptAlgorithmClass="hash" w:cryptAlgorithmType="typeAny" w:cryptAlgorithmSid="14" w:cryptSpinCount="100000" w:hash="6AfiZfjgJJ9N1l/ZI4EONJ1XBSIQe6TxZkGusA4mU+gMgGam+2PMo/5DSpfCntjgNGjqSQrXNJRRqgZMC5QcqQ==" w:salt="nqw6WAXCi6Bx/zdXz9gbD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E6"/>
    <w:rsid w:val="00002210"/>
    <w:rsid w:val="00026350"/>
    <w:rsid w:val="000357CF"/>
    <w:rsid w:val="00040A33"/>
    <w:rsid w:val="00040FAF"/>
    <w:rsid w:val="000424AD"/>
    <w:rsid w:val="000428CE"/>
    <w:rsid w:val="000442A0"/>
    <w:rsid w:val="00045266"/>
    <w:rsid w:val="000458CE"/>
    <w:rsid w:val="00056CD7"/>
    <w:rsid w:val="00075766"/>
    <w:rsid w:val="00081F61"/>
    <w:rsid w:val="000839CA"/>
    <w:rsid w:val="00087234"/>
    <w:rsid w:val="00092ADE"/>
    <w:rsid w:val="00095569"/>
    <w:rsid w:val="000971D6"/>
    <w:rsid w:val="000A099D"/>
    <w:rsid w:val="000A7266"/>
    <w:rsid w:val="000B5904"/>
    <w:rsid w:val="000B62D0"/>
    <w:rsid w:val="000B7AD4"/>
    <w:rsid w:val="000C3AA3"/>
    <w:rsid w:val="000C4AF4"/>
    <w:rsid w:val="000D2C45"/>
    <w:rsid w:val="000D54A1"/>
    <w:rsid w:val="000D7C69"/>
    <w:rsid w:val="000E1A85"/>
    <w:rsid w:val="000E3183"/>
    <w:rsid w:val="000E4A1E"/>
    <w:rsid w:val="000E4AD0"/>
    <w:rsid w:val="000F004B"/>
    <w:rsid w:val="000F05C4"/>
    <w:rsid w:val="000F61D9"/>
    <w:rsid w:val="00112475"/>
    <w:rsid w:val="0011540F"/>
    <w:rsid w:val="00115BEC"/>
    <w:rsid w:val="00115FEA"/>
    <w:rsid w:val="00123857"/>
    <w:rsid w:val="00125084"/>
    <w:rsid w:val="001410DE"/>
    <w:rsid w:val="00144463"/>
    <w:rsid w:val="00145AE6"/>
    <w:rsid w:val="00145EEE"/>
    <w:rsid w:val="0015088B"/>
    <w:rsid w:val="00152E42"/>
    <w:rsid w:val="00154CA4"/>
    <w:rsid w:val="00155439"/>
    <w:rsid w:val="001577DA"/>
    <w:rsid w:val="00164C0E"/>
    <w:rsid w:val="00165815"/>
    <w:rsid w:val="001670F5"/>
    <w:rsid w:val="00174967"/>
    <w:rsid w:val="0018187A"/>
    <w:rsid w:val="00182315"/>
    <w:rsid w:val="00184623"/>
    <w:rsid w:val="00192FCA"/>
    <w:rsid w:val="00196A85"/>
    <w:rsid w:val="001A0420"/>
    <w:rsid w:val="001A0C85"/>
    <w:rsid w:val="001A2BC9"/>
    <w:rsid w:val="001A540F"/>
    <w:rsid w:val="001B2FF0"/>
    <w:rsid w:val="001B37D5"/>
    <w:rsid w:val="001C76E0"/>
    <w:rsid w:val="001D2228"/>
    <w:rsid w:val="001D33F6"/>
    <w:rsid w:val="001E1F13"/>
    <w:rsid w:val="001F0F90"/>
    <w:rsid w:val="001F3199"/>
    <w:rsid w:val="001F4F34"/>
    <w:rsid w:val="001F5D51"/>
    <w:rsid w:val="002018FC"/>
    <w:rsid w:val="00204E5B"/>
    <w:rsid w:val="002075F4"/>
    <w:rsid w:val="00212494"/>
    <w:rsid w:val="00213678"/>
    <w:rsid w:val="00241121"/>
    <w:rsid w:val="0024313C"/>
    <w:rsid w:val="00243405"/>
    <w:rsid w:val="00252254"/>
    <w:rsid w:val="00252480"/>
    <w:rsid w:val="00256A4A"/>
    <w:rsid w:val="002672C4"/>
    <w:rsid w:val="00273BAC"/>
    <w:rsid w:val="002870BD"/>
    <w:rsid w:val="00296993"/>
    <w:rsid w:val="002A1E91"/>
    <w:rsid w:val="002A3756"/>
    <w:rsid w:val="002B7C03"/>
    <w:rsid w:val="002C1960"/>
    <w:rsid w:val="002C3DAB"/>
    <w:rsid w:val="002D3AC5"/>
    <w:rsid w:val="002D3FAC"/>
    <w:rsid w:val="002D4C40"/>
    <w:rsid w:val="002E2F7A"/>
    <w:rsid w:val="002F0453"/>
    <w:rsid w:val="002F4077"/>
    <w:rsid w:val="002F4184"/>
    <w:rsid w:val="002F4701"/>
    <w:rsid w:val="002F4CB7"/>
    <w:rsid w:val="00306A30"/>
    <w:rsid w:val="00316983"/>
    <w:rsid w:val="00317E9A"/>
    <w:rsid w:val="00321119"/>
    <w:rsid w:val="00321B81"/>
    <w:rsid w:val="00325150"/>
    <w:rsid w:val="00327F07"/>
    <w:rsid w:val="00330922"/>
    <w:rsid w:val="00341A8B"/>
    <w:rsid w:val="00343E6D"/>
    <w:rsid w:val="003455B7"/>
    <w:rsid w:val="003457E8"/>
    <w:rsid w:val="00353D67"/>
    <w:rsid w:val="003555A4"/>
    <w:rsid w:val="00364EA9"/>
    <w:rsid w:val="003726BE"/>
    <w:rsid w:val="00373826"/>
    <w:rsid w:val="0038722F"/>
    <w:rsid w:val="003940C6"/>
    <w:rsid w:val="003A4124"/>
    <w:rsid w:val="003A5653"/>
    <w:rsid w:val="003A7DF3"/>
    <w:rsid w:val="003B0212"/>
    <w:rsid w:val="003B2CF3"/>
    <w:rsid w:val="003B563B"/>
    <w:rsid w:val="003C5351"/>
    <w:rsid w:val="003D3359"/>
    <w:rsid w:val="003D439F"/>
    <w:rsid w:val="003D5496"/>
    <w:rsid w:val="003F1039"/>
    <w:rsid w:val="0040054E"/>
    <w:rsid w:val="00405E32"/>
    <w:rsid w:val="00413A7A"/>
    <w:rsid w:val="00421B2F"/>
    <w:rsid w:val="00427438"/>
    <w:rsid w:val="00430227"/>
    <w:rsid w:val="004378F7"/>
    <w:rsid w:val="00440B63"/>
    <w:rsid w:val="00441366"/>
    <w:rsid w:val="00442D0F"/>
    <w:rsid w:val="00444517"/>
    <w:rsid w:val="00444D70"/>
    <w:rsid w:val="0045107B"/>
    <w:rsid w:val="00453686"/>
    <w:rsid w:val="004674FC"/>
    <w:rsid w:val="004707E6"/>
    <w:rsid w:val="00470EFB"/>
    <w:rsid w:val="00470F62"/>
    <w:rsid w:val="00473F93"/>
    <w:rsid w:val="00474441"/>
    <w:rsid w:val="0047448F"/>
    <w:rsid w:val="00483532"/>
    <w:rsid w:val="00484773"/>
    <w:rsid w:val="004907DE"/>
    <w:rsid w:val="00492347"/>
    <w:rsid w:val="004935FA"/>
    <w:rsid w:val="00497577"/>
    <w:rsid w:val="004A1441"/>
    <w:rsid w:val="004A1CDB"/>
    <w:rsid w:val="004A29C9"/>
    <w:rsid w:val="004A3C31"/>
    <w:rsid w:val="004B184F"/>
    <w:rsid w:val="004C3C06"/>
    <w:rsid w:val="004C7D85"/>
    <w:rsid w:val="004D042E"/>
    <w:rsid w:val="004F213C"/>
    <w:rsid w:val="005011FB"/>
    <w:rsid w:val="005041C8"/>
    <w:rsid w:val="005069EE"/>
    <w:rsid w:val="00510E3A"/>
    <w:rsid w:val="00511DEC"/>
    <w:rsid w:val="00512295"/>
    <w:rsid w:val="00523022"/>
    <w:rsid w:val="00530EA9"/>
    <w:rsid w:val="00531A60"/>
    <w:rsid w:val="00547F95"/>
    <w:rsid w:val="0055019B"/>
    <w:rsid w:val="005523AF"/>
    <w:rsid w:val="00553691"/>
    <w:rsid w:val="00555E35"/>
    <w:rsid w:val="00557CD6"/>
    <w:rsid w:val="00563859"/>
    <w:rsid w:val="00565B01"/>
    <w:rsid w:val="0056713F"/>
    <w:rsid w:val="00570C80"/>
    <w:rsid w:val="00571C6A"/>
    <w:rsid w:val="0057205D"/>
    <w:rsid w:val="005756A2"/>
    <w:rsid w:val="005869C1"/>
    <w:rsid w:val="00591CA0"/>
    <w:rsid w:val="005A09D3"/>
    <w:rsid w:val="005A4BD6"/>
    <w:rsid w:val="005A5ECE"/>
    <w:rsid w:val="005B173C"/>
    <w:rsid w:val="005B7EDD"/>
    <w:rsid w:val="005C3F88"/>
    <w:rsid w:val="005C44F9"/>
    <w:rsid w:val="005D1D60"/>
    <w:rsid w:val="005D351E"/>
    <w:rsid w:val="005E066B"/>
    <w:rsid w:val="005F4048"/>
    <w:rsid w:val="00612A52"/>
    <w:rsid w:val="00613789"/>
    <w:rsid w:val="0061575F"/>
    <w:rsid w:val="00616EB1"/>
    <w:rsid w:val="00622A46"/>
    <w:rsid w:val="00630CFA"/>
    <w:rsid w:val="006365C3"/>
    <w:rsid w:val="00636735"/>
    <w:rsid w:val="00636CD6"/>
    <w:rsid w:val="00642AE3"/>
    <w:rsid w:val="00646447"/>
    <w:rsid w:val="006543B4"/>
    <w:rsid w:val="00657467"/>
    <w:rsid w:val="00660EA7"/>
    <w:rsid w:val="00672E91"/>
    <w:rsid w:val="00674139"/>
    <w:rsid w:val="00674CBC"/>
    <w:rsid w:val="006872B8"/>
    <w:rsid w:val="00696472"/>
    <w:rsid w:val="00697D7C"/>
    <w:rsid w:val="006A022E"/>
    <w:rsid w:val="006A6CAF"/>
    <w:rsid w:val="006B03A3"/>
    <w:rsid w:val="006B15D9"/>
    <w:rsid w:val="006C752E"/>
    <w:rsid w:val="006D21AC"/>
    <w:rsid w:val="006E0FE8"/>
    <w:rsid w:val="006E2E7A"/>
    <w:rsid w:val="006E6AC5"/>
    <w:rsid w:val="006E6D1A"/>
    <w:rsid w:val="006F1AFA"/>
    <w:rsid w:val="00705AF6"/>
    <w:rsid w:val="00706DEA"/>
    <w:rsid w:val="0070780A"/>
    <w:rsid w:val="00711199"/>
    <w:rsid w:val="00714DC5"/>
    <w:rsid w:val="007155C5"/>
    <w:rsid w:val="00721E12"/>
    <w:rsid w:val="007238EC"/>
    <w:rsid w:val="00732F14"/>
    <w:rsid w:val="0074444C"/>
    <w:rsid w:val="00746237"/>
    <w:rsid w:val="007571A9"/>
    <w:rsid w:val="007604FD"/>
    <w:rsid w:val="007622DF"/>
    <w:rsid w:val="00762B1E"/>
    <w:rsid w:val="007705B3"/>
    <w:rsid w:val="00773BE5"/>
    <w:rsid w:val="00782506"/>
    <w:rsid w:val="00786E77"/>
    <w:rsid w:val="00787D1E"/>
    <w:rsid w:val="007A1162"/>
    <w:rsid w:val="007A1F40"/>
    <w:rsid w:val="007B6F87"/>
    <w:rsid w:val="007C11DE"/>
    <w:rsid w:val="007D0B2E"/>
    <w:rsid w:val="007D31D6"/>
    <w:rsid w:val="007E451B"/>
    <w:rsid w:val="007F0E0E"/>
    <w:rsid w:val="007F5573"/>
    <w:rsid w:val="0080080B"/>
    <w:rsid w:val="00800EBF"/>
    <w:rsid w:val="008030AB"/>
    <w:rsid w:val="00803E02"/>
    <w:rsid w:val="00804E68"/>
    <w:rsid w:val="00814B43"/>
    <w:rsid w:val="008200C1"/>
    <w:rsid w:val="00821240"/>
    <w:rsid w:val="00823291"/>
    <w:rsid w:val="0082368D"/>
    <w:rsid w:val="00823866"/>
    <w:rsid w:val="00824AA1"/>
    <w:rsid w:val="00824D60"/>
    <w:rsid w:val="008336B0"/>
    <w:rsid w:val="0083519B"/>
    <w:rsid w:val="00836D71"/>
    <w:rsid w:val="00845AE1"/>
    <w:rsid w:val="00850339"/>
    <w:rsid w:val="008603B6"/>
    <w:rsid w:val="00862E84"/>
    <w:rsid w:val="00866679"/>
    <w:rsid w:val="00877F28"/>
    <w:rsid w:val="0089317B"/>
    <w:rsid w:val="008958E2"/>
    <w:rsid w:val="008A219E"/>
    <w:rsid w:val="008A22FB"/>
    <w:rsid w:val="008A3D33"/>
    <w:rsid w:val="008A54AA"/>
    <w:rsid w:val="008A5A93"/>
    <w:rsid w:val="008B5F94"/>
    <w:rsid w:val="008C71DD"/>
    <w:rsid w:val="008D0448"/>
    <w:rsid w:val="008E214D"/>
    <w:rsid w:val="008E5BEE"/>
    <w:rsid w:val="009010F3"/>
    <w:rsid w:val="009025C0"/>
    <w:rsid w:val="00904F1C"/>
    <w:rsid w:val="0091447D"/>
    <w:rsid w:val="00914AFC"/>
    <w:rsid w:val="009202B6"/>
    <w:rsid w:val="009231FE"/>
    <w:rsid w:val="00923CFF"/>
    <w:rsid w:val="00924DD2"/>
    <w:rsid w:val="00930A88"/>
    <w:rsid w:val="00930E38"/>
    <w:rsid w:val="00931BFC"/>
    <w:rsid w:val="00952056"/>
    <w:rsid w:val="009544D9"/>
    <w:rsid w:val="009662FF"/>
    <w:rsid w:val="0097252F"/>
    <w:rsid w:val="00974A9F"/>
    <w:rsid w:val="0097524C"/>
    <w:rsid w:val="00977544"/>
    <w:rsid w:val="009808A4"/>
    <w:rsid w:val="009808C6"/>
    <w:rsid w:val="009826AD"/>
    <w:rsid w:val="00982F50"/>
    <w:rsid w:val="009830F7"/>
    <w:rsid w:val="00986B8C"/>
    <w:rsid w:val="0099322B"/>
    <w:rsid w:val="0099375C"/>
    <w:rsid w:val="009A53B6"/>
    <w:rsid w:val="009A7122"/>
    <w:rsid w:val="009A774D"/>
    <w:rsid w:val="009B7105"/>
    <w:rsid w:val="009C18B8"/>
    <w:rsid w:val="009D63D0"/>
    <w:rsid w:val="009E6B76"/>
    <w:rsid w:val="009F7C04"/>
    <w:rsid w:val="00A012FF"/>
    <w:rsid w:val="00A038F7"/>
    <w:rsid w:val="00A1307D"/>
    <w:rsid w:val="00A2376B"/>
    <w:rsid w:val="00A27BA9"/>
    <w:rsid w:val="00A45D3B"/>
    <w:rsid w:val="00A52929"/>
    <w:rsid w:val="00A578BD"/>
    <w:rsid w:val="00A60329"/>
    <w:rsid w:val="00A611CD"/>
    <w:rsid w:val="00A638C8"/>
    <w:rsid w:val="00A652A1"/>
    <w:rsid w:val="00A82C3C"/>
    <w:rsid w:val="00A95B7E"/>
    <w:rsid w:val="00AA25C6"/>
    <w:rsid w:val="00AC5702"/>
    <w:rsid w:val="00AE0F29"/>
    <w:rsid w:val="00AE4A11"/>
    <w:rsid w:val="00AE4CF1"/>
    <w:rsid w:val="00AE5F65"/>
    <w:rsid w:val="00AE687F"/>
    <w:rsid w:val="00AE705A"/>
    <w:rsid w:val="00AF537C"/>
    <w:rsid w:val="00B051FC"/>
    <w:rsid w:val="00B1028B"/>
    <w:rsid w:val="00B12D81"/>
    <w:rsid w:val="00B13C07"/>
    <w:rsid w:val="00B16C9F"/>
    <w:rsid w:val="00B41CB4"/>
    <w:rsid w:val="00B52C78"/>
    <w:rsid w:val="00B76035"/>
    <w:rsid w:val="00B76AE1"/>
    <w:rsid w:val="00B80C9A"/>
    <w:rsid w:val="00B81409"/>
    <w:rsid w:val="00B84208"/>
    <w:rsid w:val="00B8782E"/>
    <w:rsid w:val="00BA41B6"/>
    <w:rsid w:val="00BA6F1F"/>
    <w:rsid w:val="00BB06D9"/>
    <w:rsid w:val="00BB63C7"/>
    <w:rsid w:val="00BC286E"/>
    <w:rsid w:val="00BC319E"/>
    <w:rsid w:val="00BC41A1"/>
    <w:rsid w:val="00BC456F"/>
    <w:rsid w:val="00BC4E65"/>
    <w:rsid w:val="00BC6411"/>
    <w:rsid w:val="00BD3330"/>
    <w:rsid w:val="00BD534B"/>
    <w:rsid w:val="00BE0DB0"/>
    <w:rsid w:val="00BF3B28"/>
    <w:rsid w:val="00C02F10"/>
    <w:rsid w:val="00C12794"/>
    <w:rsid w:val="00C13A15"/>
    <w:rsid w:val="00C25BBB"/>
    <w:rsid w:val="00C327E4"/>
    <w:rsid w:val="00C35499"/>
    <w:rsid w:val="00C40F47"/>
    <w:rsid w:val="00C557DA"/>
    <w:rsid w:val="00C56263"/>
    <w:rsid w:val="00C63441"/>
    <w:rsid w:val="00C65CBB"/>
    <w:rsid w:val="00C7340F"/>
    <w:rsid w:val="00C73B7B"/>
    <w:rsid w:val="00C76383"/>
    <w:rsid w:val="00C8249D"/>
    <w:rsid w:val="00C867B6"/>
    <w:rsid w:val="00C92147"/>
    <w:rsid w:val="00C92B54"/>
    <w:rsid w:val="00C92E5C"/>
    <w:rsid w:val="00C9375B"/>
    <w:rsid w:val="00C948C9"/>
    <w:rsid w:val="00C94ACE"/>
    <w:rsid w:val="00C95957"/>
    <w:rsid w:val="00C96453"/>
    <w:rsid w:val="00CA34CA"/>
    <w:rsid w:val="00CA4B2F"/>
    <w:rsid w:val="00CB01ED"/>
    <w:rsid w:val="00CB65AE"/>
    <w:rsid w:val="00CB752C"/>
    <w:rsid w:val="00CC1B95"/>
    <w:rsid w:val="00CC5C97"/>
    <w:rsid w:val="00CD6FF3"/>
    <w:rsid w:val="00CE61D8"/>
    <w:rsid w:val="00CF3F58"/>
    <w:rsid w:val="00CF445A"/>
    <w:rsid w:val="00D008AE"/>
    <w:rsid w:val="00D05D3D"/>
    <w:rsid w:val="00D120A2"/>
    <w:rsid w:val="00D13120"/>
    <w:rsid w:val="00D13E6D"/>
    <w:rsid w:val="00D152AA"/>
    <w:rsid w:val="00D16B74"/>
    <w:rsid w:val="00D26B95"/>
    <w:rsid w:val="00D333BE"/>
    <w:rsid w:val="00D35A2B"/>
    <w:rsid w:val="00D47C36"/>
    <w:rsid w:val="00D5220D"/>
    <w:rsid w:val="00D525B3"/>
    <w:rsid w:val="00D5309D"/>
    <w:rsid w:val="00D576A7"/>
    <w:rsid w:val="00D77EA1"/>
    <w:rsid w:val="00D83253"/>
    <w:rsid w:val="00D8457B"/>
    <w:rsid w:val="00D913F7"/>
    <w:rsid w:val="00DA5CF1"/>
    <w:rsid w:val="00DA5E7F"/>
    <w:rsid w:val="00DB4147"/>
    <w:rsid w:val="00DB56EF"/>
    <w:rsid w:val="00DD0020"/>
    <w:rsid w:val="00DD1A6D"/>
    <w:rsid w:val="00DE2788"/>
    <w:rsid w:val="00E001E9"/>
    <w:rsid w:val="00E04D1E"/>
    <w:rsid w:val="00E11366"/>
    <w:rsid w:val="00E13C9E"/>
    <w:rsid w:val="00E336BA"/>
    <w:rsid w:val="00E36C6B"/>
    <w:rsid w:val="00E4090D"/>
    <w:rsid w:val="00E41A40"/>
    <w:rsid w:val="00E4363A"/>
    <w:rsid w:val="00E4373A"/>
    <w:rsid w:val="00E470D2"/>
    <w:rsid w:val="00E61717"/>
    <w:rsid w:val="00E63513"/>
    <w:rsid w:val="00E7270B"/>
    <w:rsid w:val="00E7279D"/>
    <w:rsid w:val="00E761F3"/>
    <w:rsid w:val="00E84B38"/>
    <w:rsid w:val="00E85E81"/>
    <w:rsid w:val="00E93A07"/>
    <w:rsid w:val="00EA4464"/>
    <w:rsid w:val="00EA6F43"/>
    <w:rsid w:val="00EB4748"/>
    <w:rsid w:val="00EC6B75"/>
    <w:rsid w:val="00ED053D"/>
    <w:rsid w:val="00EE1591"/>
    <w:rsid w:val="00EE5DA3"/>
    <w:rsid w:val="00EE798E"/>
    <w:rsid w:val="00EF492E"/>
    <w:rsid w:val="00EF6340"/>
    <w:rsid w:val="00F02981"/>
    <w:rsid w:val="00F03362"/>
    <w:rsid w:val="00F0639A"/>
    <w:rsid w:val="00F104F5"/>
    <w:rsid w:val="00F35148"/>
    <w:rsid w:val="00F37023"/>
    <w:rsid w:val="00F448BD"/>
    <w:rsid w:val="00F46DB6"/>
    <w:rsid w:val="00F57F42"/>
    <w:rsid w:val="00F66C21"/>
    <w:rsid w:val="00F709E3"/>
    <w:rsid w:val="00F73CBA"/>
    <w:rsid w:val="00F764B7"/>
    <w:rsid w:val="00F86B37"/>
    <w:rsid w:val="00F9211E"/>
    <w:rsid w:val="00F9222D"/>
    <w:rsid w:val="00F97196"/>
    <w:rsid w:val="00F97D09"/>
    <w:rsid w:val="00FA01F3"/>
    <w:rsid w:val="00FA2A54"/>
    <w:rsid w:val="00FA7929"/>
    <w:rsid w:val="00FB3DA6"/>
    <w:rsid w:val="00FB7654"/>
    <w:rsid w:val="00FC31BE"/>
    <w:rsid w:val="00FC61A3"/>
    <w:rsid w:val="00FC6F97"/>
    <w:rsid w:val="00FD1B08"/>
    <w:rsid w:val="00FD34D2"/>
    <w:rsid w:val="00FD3F32"/>
    <w:rsid w:val="00FE42AC"/>
    <w:rsid w:val="00FF1226"/>
    <w:rsid w:val="6685D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326B3A"/>
  <w15:docId w15:val="{A455DD52-39D1-4537-AFC5-D190518D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numPr>
        <w:ilvl w:val="1"/>
        <w:numId w:val="2"/>
      </w:numPr>
      <w:spacing w:before="360" w:after="80"/>
      <w:contextualSpacing/>
      <w:outlineLvl w:val="1"/>
    </w:pPr>
    <w:rPr>
      <w:b/>
      <w:sz w:val="36"/>
      <w:szCs w:val="36"/>
    </w:rPr>
  </w:style>
  <w:style w:type="paragraph" w:styleId="Heading3">
    <w:name w:val="heading 3"/>
    <w:basedOn w:val="Normal"/>
    <w:next w:val="Normal"/>
    <w:pPr>
      <w:keepNext/>
      <w:keepLines/>
      <w:numPr>
        <w:ilvl w:val="2"/>
        <w:numId w:val="2"/>
      </w:numPr>
      <w:spacing w:before="280" w:after="80"/>
      <w:contextualSpacing/>
      <w:outlineLvl w:val="2"/>
    </w:pPr>
    <w:rPr>
      <w:b/>
      <w:sz w:val="28"/>
      <w:szCs w:val="28"/>
    </w:rPr>
  </w:style>
  <w:style w:type="paragraph" w:styleId="Heading4">
    <w:name w:val="heading 4"/>
    <w:basedOn w:val="Normal"/>
    <w:next w:val="Normal"/>
    <w:pPr>
      <w:keepNext/>
      <w:keepLines/>
      <w:numPr>
        <w:ilvl w:val="3"/>
        <w:numId w:val="2"/>
      </w:numPr>
      <w:spacing w:before="240" w:after="40"/>
      <w:contextualSpacing/>
      <w:outlineLvl w:val="3"/>
    </w:pPr>
    <w:rPr>
      <w:b/>
      <w:sz w:val="24"/>
      <w:szCs w:val="24"/>
    </w:rPr>
  </w:style>
  <w:style w:type="paragraph" w:styleId="Heading5">
    <w:name w:val="heading 5"/>
    <w:basedOn w:val="Normal"/>
    <w:next w:val="Normal"/>
    <w:pPr>
      <w:keepNext/>
      <w:keepLines/>
      <w:numPr>
        <w:ilvl w:val="4"/>
        <w:numId w:val="2"/>
      </w:numPr>
      <w:spacing w:before="220" w:after="40"/>
      <w:contextualSpacing/>
      <w:outlineLvl w:val="4"/>
    </w:pPr>
    <w:rPr>
      <w:b/>
    </w:rPr>
  </w:style>
  <w:style w:type="paragraph" w:styleId="Heading6">
    <w:name w:val="heading 6"/>
    <w:basedOn w:val="Normal"/>
    <w:next w:val="Normal"/>
    <w:pPr>
      <w:keepNext/>
      <w:keepLines/>
      <w:numPr>
        <w:ilvl w:val="5"/>
        <w:numId w:val="2"/>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923CF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23CF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3CF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7">
    <w:name w:val="7"/>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
    <w:name w:val="6"/>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5">
    <w:name w:val="5"/>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F97"/>
    <w:rPr>
      <w:rFonts w:ascii="Tahoma" w:hAnsi="Tahoma" w:cs="Tahoma"/>
      <w:sz w:val="16"/>
      <w:szCs w:val="16"/>
    </w:rPr>
  </w:style>
  <w:style w:type="character" w:customStyle="1" w:styleId="BalloonTextChar">
    <w:name w:val="Balloon Text Char"/>
    <w:basedOn w:val="DefaultParagraphFont"/>
    <w:link w:val="BalloonText"/>
    <w:uiPriority w:val="99"/>
    <w:semiHidden/>
    <w:rsid w:val="00FC6F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6F97"/>
    <w:rPr>
      <w:b/>
      <w:bCs/>
    </w:rPr>
  </w:style>
  <w:style w:type="character" w:customStyle="1" w:styleId="CommentSubjectChar">
    <w:name w:val="Comment Subject Char"/>
    <w:basedOn w:val="CommentTextChar"/>
    <w:link w:val="CommentSubject"/>
    <w:uiPriority w:val="99"/>
    <w:semiHidden/>
    <w:rsid w:val="00FC6F97"/>
    <w:rPr>
      <w:b/>
      <w:bCs/>
      <w:sz w:val="20"/>
      <w:szCs w:val="20"/>
    </w:rPr>
  </w:style>
  <w:style w:type="paragraph" w:styleId="Header">
    <w:name w:val="header"/>
    <w:basedOn w:val="Normal"/>
    <w:link w:val="HeaderChar"/>
    <w:uiPriority w:val="99"/>
    <w:unhideWhenUsed/>
    <w:rsid w:val="00DB4147"/>
    <w:pPr>
      <w:tabs>
        <w:tab w:val="center" w:pos="4680"/>
        <w:tab w:val="right" w:pos="9360"/>
      </w:tabs>
    </w:pPr>
  </w:style>
  <w:style w:type="character" w:customStyle="1" w:styleId="HeaderChar">
    <w:name w:val="Header Char"/>
    <w:basedOn w:val="DefaultParagraphFont"/>
    <w:link w:val="Header"/>
    <w:uiPriority w:val="99"/>
    <w:rsid w:val="00DB4147"/>
  </w:style>
  <w:style w:type="paragraph" w:styleId="Footer">
    <w:name w:val="footer"/>
    <w:basedOn w:val="Normal"/>
    <w:link w:val="FooterChar"/>
    <w:uiPriority w:val="99"/>
    <w:unhideWhenUsed/>
    <w:rsid w:val="00DB4147"/>
    <w:pPr>
      <w:tabs>
        <w:tab w:val="center" w:pos="4680"/>
        <w:tab w:val="right" w:pos="9360"/>
      </w:tabs>
    </w:pPr>
  </w:style>
  <w:style w:type="character" w:customStyle="1" w:styleId="FooterChar">
    <w:name w:val="Footer Char"/>
    <w:basedOn w:val="DefaultParagraphFont"/>
    <w:link w:val="Footer"/>
    <w:uiPriority w:val="99"/>
    <w:rsid w:val="00DB4147"/>
  </w:style>
  <w:style w:type="table" w:styleId="TableGrid">
    <w:name w:val="Table Grid"/>
    <w:basedOn w:val="TableNormal"/>
    <w:uiPriority w:val="39"/>
    <w:rsid w:val="00823866"/>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5C0"/>
    <w:rPr>
      <w:sz w:val="20"/>
      <w:szCs w:val="20"/>
    </w:rPr>
  </w:style>
  <w:style w:type="character" w:customStyle="1" w:styleId="FootnoteTextChar">
    <w:name w:val="Footnote Text Char"/>
    <w:basedOn w:val="DefaultParagraphFont"/>
    <w:link w:val="FootnoteText"/>
    <w:uiPriority w:val="99"/>
    <w:semiHidden/>
    <w:rsid w:val="009025C0"/>
    <w:rPr>
      <w:sz w:val="20"/>
      <w:szCs w:val="20"/>
    </w:rPr>
  </w:style>
  <w:style w:type="character" w:styleId="FootnoteReference">
    <w:name w:val="footnote reference"/>
    <w:basedOn w:val="DefaultParagraphFont"/>
    <w:uiPriority w:val="99"/>
    <w:semiHidden/>
    <w:unhideWhenUsed/>
    <w:rsid w:val="009025C0"/>
    <w:rPr>
      <w:vertAlign w:val="superscript"/>
    </w:rPr>
  </w:style>
  <w:style w:type="paragraph" w:styleId="ListParagraph">
    <w:name w:val="List Paragraph"/>
    <w:basedOn w:val="Normal"/>
    <w:uiPriority w:val="34"/>
    <w:qFormat/>
    <w:rsid w:val="00836D71"/>
    <w:pPr>
      <w:ind w:left="720"/>
      <w:contextualSpacing/>
    </w:pPr>
  </w:style>
  <w:style w:type="paragraph" w:customStyle="1" w:styleId="BEHeader1">
    <w:name w:val="BE_Header1"/>
    <w:basedOn w:val="Heading1"/>
    <w:link w:val="BEHeader1Char"/>
    <w:qFormat/>
    <w:rsid w:val="00923CFF"/>
    <w:pPr>
      <w:numPr>
        <w:numId w:val="2"/>
      </w:numPr>
      <w:spacing w:before="0" w:after="0"/>
    </w:pPr>
    <w:rPr>
      <w:b w:val="0"/>
      <w:color w:val="4472C4"/>
      <w:sz w:val="24"/>
    </w:rPr>
  </w:style>
  <w:style w:type="character" w:customStyle="1" w:styleId="Heading7Char">
    <w:name w:val="Heading 7 Char"/>
    <w:basedOn w:val="DefaultParagraphFont"/>
    <w:link w:val="Heading7"/>
    <w:uiPriority w:val="9"/>
    <w:semiHidden/>
    <w:rsid w:val="00923CF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923CFF"/>
    <w:rPr>
      <w:b/>
      <w:sz w:val="48"/>
      <w:szCs w:val="48"/>
    </w:rPr>
  </w:style>
  <w:style w:type="character" w:customStyle="1" w:styleId="BEHeader1Char">
    <w:name w:val="BE_Header1 Char"/>
    <w:basedOn w:val="Heading1Char"/>
    <w:link w:val="BEHeader1"/>
    <w:rsid w:val="00923CFF"/>
    <w:rPr>
      <w:b w:val="0"/>
      <w:color w:val="4472C4"/>
      <w:sz w:val="24"/>
      <w:szCs w:val="48"/>
    </w:rPr>
  </w:style>
  <w:style w:type="character" w:customStyle="1" w:styleId="Heading8Char">
    <w:name w:val="Heading 8 Char"/>
    <w:basedOn w:val="DefaultParagraphFont"/>
    <w:link w:val="Heading8"/>
    <w:uiPriority w:val="9"/>
    <w:semiHidden/>
    <w:rsid w:val="00923C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3CFF"/>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D7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20942">
      <w:bodyDiv w:val="1"/>
      <w:marLeft w:val="0"/>
      <w:marRight w:val="0"/>
      <w:marTop w:val="0"/>
      <w:marBottom w:val="0"/>
      <w:divBdr>
        <w:top w:val="none" w:sz="0" w:space="0" w:color="auto"/>
        <w:left w:val="none" w:sz="0" w:space="0" w:color="auto"/>
        <w:bottom w:val="none" w:sz="0" w:space="0" w:color="auto"/>
        <w:right w:val="none" w:sz="0" w:space="0" w:color="auto"/>
      </w:divBdr>
    </w:div>
    <w:div w:id="853302900">
      <w:bodyDiv w:val="1"/>
      <w:marLeft w:val="0"/>
      <w:marRight w:val="0"/>
      <w:marTop w:val="0"/>
      <w:marBottom w:val="0"/>
      <w:divBdr>
        <w:top w:val="none" w:sz="0" w:space="0" w:color="auto"/>
        <w:left w:val="none" w:sz="0" w:space="0" w:color="auto"/>
        <w:bottom w:val="none" w:sz="0" w:space="0" w:color="auto"/>
        <w:right w:val="none" w:sz="0" w:space="0" w:color="auto"/>
      </w:divBdr>
    </w:div>
    <w:div w:id="1047145348">
      <w:bodyDiv w:val="1"/>
      <w:marLeft w:val="0"/>
      <w:marRight w:val="0"/>
      <w:marTop w:val="0"/>
      <w:marBottom w:val="0"/>
      <w:divBdr>
        <w:top w:val="none" w:sz="0" w:space="0" w:color="auto"/>
        <w:left w:val="none" w:sz="0" w:space="0" w:color="auto"/>
        <w:bottom w:val="none" w:sz="0" w:space="0" w:color="auto"/>
        <w:right w:val="none" w:sz="0" w:space="0" w:color="auto"/>
      </w:divBdr>
    </w:div>
    <w:div w:id="1365789235">
      <w:bodyDiv w:val="1"/>
      <w:marLeft w:val="0"/>
      <w:marRight w:val="0"/>
      <w:marTop w:val="0"/>
      <w:marBottom w:val="0"/>
      <w:divBdr>
        <w:top w:val="none" w:sz="0" w:space="0" w:color="auto"/>
        <w:left w:val="none" w:sz="0" w:space="0" w:color="auto"/>
        <w:bottom w:val="none" w:sz="0" w:space="0" w:color="auto"/>
        <w:right w:val="none" w:sz="0" w:space="0" w:color="auto"/>
      </w:divBdr>
    </w:div>
    <w:div w:id="1423447885">
      <w:bodyDiv w:val="1"/>
      <w:marLeft w:val="0"/>
      <w:marRight w:val="0"/>
      <w:marTop w:val="0"/>
      <w:marBottom w:val="0"/>
      <w:divBdr>
        <w:top w:val="none" w:sz="0" w:space="0" w:color="auto"/>
        <w:left w:val="none" w:sz="0" w:space="0" w:color="auto"/>
        <w:bottom w:val="none" w:sz="0" w:space="0" w:color="auto"/>
        <w:right w:val="none" w:sz="0" w:space="0" w:color="auto"/>
      </w:divBdr>
    </w:div>
    <w:div w:id="180014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2018-01-03T12:36:45+00:00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UserInfo>
        <DisplayName>Rossmeisl, Colleen</DisplayName>
        <AccountId>825</AccountId>
        <AccountType/>
      </UserInfo>
      <UserInfo>
        <DisplayName>Fowler, Jerrett</DisplayName>
        <AccountId>6397</AccountId>
        <AccountType/>
      </UserInfo>
      <UserInfo>
        <DisplayName>Wendel, Christina</DisplayName>
        <AccountId>4298</AccountId>
        <AccountType/>
      </UserInfo>
      <UserInfo>
        <DisplayName>Blankinship, Amy</DisplayName>
        <AccountId>1004</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6BE3A-1268-44E0-9004-D306C5587AC2}">
  <ds:schemaRefs>
    <ds:schemaRef ds:uri="http://schemas.openxmlformats.org/officeDocument/2006/bibliography"/>
  </ds:schemaRefs>
</ds:datastoreItem>
</file>

<file path=customXml/itemProps2.xml><?xml version="1.0" encoding="utf-8"?>
<ds:datastoreItem xmlns:ds="http://schemas.openxmlformats.org/officeDocument/2006/customXml" ds:itemID="{70F20939-A71A-4728-942D-B1BAD0412E62}">
  <ds:schemaRefs>
    <ds:schemaRef ds:uri="http://schemas.microsoft.com/sharepoint/v3/contenttype/forms"/>
  </ds:schemaRefs>
</ds:datastoreItem>
</file>

<file path=customXml/itemProps3.xml><?xml version="1.0" encoding="utf-8"?>
<ds:datastoreItem xmlns:ds="http://schemas.openxmlformats.org/officeDocument/2006/customXml" ds:itemID="{98300948-BF97-4654-833E-4B41260C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18C39-E8F2-410F-9CA2-445145064289}">
  <ds:schemaRefs>
    <ds:schemaRef ds:uri="Microsoft.SharePoint.Taxonomy.ContentTypeSync"/>
  </ds:schemaRefs>
</ds:datastoreItem>
</file>

<file path=customXml/itemProps5.xml><?xml version="1.0" encoding="utf-8"?>
<ds:datastoreItem xmlns:ds="http://schemas.openxmlformats.org/officeDocument/2006/customXml" ds:itemID="{8C59760B-1093-4FC4-97DA-1961F1DF8796}">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1b69afd8-9bdb-481b-b26a-06cbd17fa30c"/>
    <ds:schemaRef ds:uri="4ffa91fb-a0ff-4ac5-b2db-65c790d184a4"/>
    <ds:schemaRef ds:uri="http://schemas.microsoft.com/office/2006/metadata/properties"/>
    <ds:schemaRef ds:uri="a5d1ca4e-0a3f-4119-b619-e20b93ebd1aa"/>
    <ds:schemaRef ds:uri="http://schemas.microsoft.com/sharepoint/v3/fields"/>
    <ds:schemaRef ds:uri="http://schemas.microsoft.com/sharepoint.v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1735</Words>
  <Characters>9891</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Fowler, Jerrett</cp:lastModifiedBy>
  <cp:revision>33</cp:revision>
  <cp:lastPrinted>2016-10-12T19:05:00Z</cp:lastPrinted>
  <dcterms:created xsi:type="dcterms:W3CDTF">2020-01-24T13:42:00Z</dcterms:created>
  <dcterms:modified xsi:type="dcterms:W3CDTF">2021-03-17T12:47:00Z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