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8B1911" w14:textId="4FC3F52B" w:rsidR="009A1ABB" w:rsidRPr="00BB3BB8" w:rsidRDefault="009A1ABB" w:rsidP="009A1ABB">
      <w:pPr>
        <w:keepNext/>
        <w:keepLines/>
        <w:spacing w:after="0" w:line="240" w:lineRule="auto"/>
      </w:pPr>
      <w:r w:rsidRPr="00BB3BB8">
        <w:rPr>
          <w:b/>
          <w:sz w:val="24"/>
          <w:szCs w:val="24"/>
        </w:rPr>
        <w:t xml:space="preserve">DRAFT Problem Formulation </w:t>
      </w:r>
      <w:r>
        <w:rPr>
          <w:b/>
          <w:sz w:val="24"/>
          <w:szCs w:val="24"/>
        </w:rPr>
        <w:t xml:space="preserve">for Malathion </w:t>
      </w:r>
      <w:bookmarkStart w:id="0" w:name="_GoBack"/>
      <w:bookmarkEnd w:id="0"/>
      <w:r>
        <w:rPr>
          <w:b/>
          <w:sz w:val="24"/>
          <w:szCs w:val="24"/>
        </w:rPr>
        <w:t>ESA Assessment</w:t>
      </w:r>
      <w:r w:rsidRPr="00BB3BB8">
        <w:rPr>
          <w:b/>
          <w:sz w:val="24"/>
          <w:szCs w:val="24"/>
        </w:rPr>
        <w:t xml:space="preserve"> (Steps 1 and 2)</w:t>
      </w:r>
    </w:p>
    <w:p w14:paraId="776065B9" w14:textId="77777777" w:rsidR="009A1ABB" w:rsidRDefault="009A1ABB" w:rsidP="009A2045">
      <w:pPr>
        <w:rPr>
          <w:b/>
          <w:sz w:val="24"/>
          <w:szCs w:val="24"/>
        </w:rPr>
      </w:pPr>
    </w:p>
    <w:p w14:paraId="610D3F1E" w14:textId="258EBC16" w:rsidR="00C60928" w:rsidRPr="009A2045" w:rsidRDefault="00C60928" w:rsidP="009A2045">
      <w:pPr>
        <w:rPr>
          <w:b/>
          <w:sz w:val="24"/>
          <w:szCs w:val="24"/>
        </w:rPr>
      </w:pPr>
      <w:r w:rsidRPr="009A2045">
        <w:rPr>
          <w:b/>
          <w:sz w:val="24"/>
          <w:szCs w:val="24"/>
        </w:rPr>
        <w:t>Table of Contents</w:t>
      </w:r>
    </w:p>
    <w:p w14:paraId="39F9A8B1" w14:textId="77777777" w:rsidR="001D59AA" w:rsidRPr="009A2045" w:rsidRDefault="009B1B40" w:rsidP="009A2045">
      <w:pPr>
        <w:pStyle w:val="TOC1"/>
        <w:tabs>
          <w:tab w:val="left" w:pos="440"/>
          <w:tab w:val="right" w:leader="dot" w:pos="9350"/>
        </w:tabs>
        <w:rPr>
          <w:rFonts w:asciiTheme="minorHAnsi" w:eastAsiaTheme="minorEastAsia" w:hAnsiTheme="minorHAnsi" w:cstheme="minorBidi"/>
          <w:noProof/>
          <w:color w:val="auto"/>
        </w:rPr>
      </w:pPr>
      <w:r w:rsidRPr="009A2045">
        <w:rPr>
          <w:rFonts w:asciiTheme="minorHAnsi" w:hAnsiTheme="minorHAnsi"/>
        </w:rPr>
        <w:fldChar w:fldCharType="begin"/>
      </w:r>
      <w:r w:rsidRPr="009A2045">
        <w:rPr>
          <w:rFonts w:asciiTheme="minorHAnsi" w:hAnsiTheme="minorHAnsi"/>
        </w:rPr>
        <w:instrText xml:space="preserve"> TOC \o "1-7" \h \z \u </w:instrText>
      </w:r>
      <w:r w:rsidRPr="009A2045">
        <w:rPr>
          <w:rFonts w:asciiTheme="minorHAnsi" w:hAnsiTheme="minorHAnsi"/>
        </w:rPr>
        <w:fldChar w:fldCharType="separate"/>
      </w:r>
      <w:hyperlink w:anchor="_Toc436043008" w:history="1">
        <w:r w:rsidR="001D59AA" w:rsidRPr="009A2045">
          <w:rPr>
            <w:rStyle w:val="Hyperlink"/>
            <w:noProof/>
          </w:rPr>
          <w:t>1.</w:t>
        </w:r>
        <w:r w:rsidR="001D59AA" w:rsidRPr="009A2045">
          <w:rPr>
            <w:rFonts w:asciiTheme="minorHAnsi" w:eastAsiaTheme="minorEastAsia" w:hAnsiTheme="minorHAnsi" w:cstheme="minorBidi"/>
            <w:noProof/>
            <w:color w:val="auto"/>
          </w:rPr>
          <w:tab/>
        </w:r>
        <w:r w:rsidR="001D59AA" w:rsidRPr="009A2045">
          <w:rPr>
            <w:rStyle w:val="Hyperlink"/>
            <w:noProof/>
          </w:rPr>
          <w:t>Introduction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_Toc436043008 \h </w:instrText>
        </w:r>
        <w:r w:rsidR="001D59AA" w:rsidRPr="009A2045">
          <w:rPr>
            <w:noProof/>
            <w:webHidden/>
          </w:rPr>
        </w:r>
        <w:r w:rsidR="001D59AA" w:rsidRPr="009A2045">
          <w:rPr>
            <w:noProof/>
            <w:webHidden/>
          </w:rPr>
          <w:fldChar w:fldCharType="separate"/>
        </w:r>
        <w:r w:rsidR="001D59AA" w:rsidRPr="009A2045">
          <w:rPr>
            <w:noProof/>
            <w:webHidden/>
          </w:rPr>
          <w:t>4</w:t>
        </w:r>
        <w:r w:rsidR="001D59AA" w:rsidRPr="009A2045">
          <w:rPr>
            <w:noProof/>
            <w:webHidden/>
          </w:rPr>
          <w:fldChar w:fldCharType="end"/>
        </w:r>
      </w:hyperlink>
    </w:p>
    <w:p w14:paraId="39C96F09" w14:textId="77777777" w:rsidR="001D59AA" w:rsidRPr="009A2045" w:rsidRDefault="009A1ABB" w:rsidP="009A2045">
      <w:pPr>
        <w:pStyle w:val="TOC2"/>
        <w:tabs>
          <w:tab w:val="left" w:pos="880"/>
          <w:tab w:val="right" w:leader="dot" w:pos="9350"/>
        </w:tabs>
        <w:rPr>
          <w:rFonts w:asciiTheme="minorHAnsi" w:eastAsiaTheme="minorEastAsia" w:hAnsiTheme="minorHAnsi" w:cstheme="minorBidi"/>
          <w:noProof/>
          <w:color w:val="auto"/>
        </w:rPr>
      </w:pPr>
      <w:hyperlink w:anchor="_Toc436043009" w:history="1">
        <w:r w:rsidR="001D59AA" w:rsidRPr="009A2045">
          <w:rPr>
            <w:rStyle w:val="Hyperlink"/>
            <w:noProof/>
          </w:rPr>
          <w:t>1.1.</w:t>
        </w:r>
        <w:r w:rsidR="001D59AA" w:rsidRPr="009A2045">
          <w:rPr>
            <w:rFonts w:asciiTheme="minorHAnsi" w:eastAsiaTheme="minorEastAsia" w:hAnsiTheme="minorHAnsi" w:cstheme="minorBidi"/>
            <w:noProof/>
            <w:color w:val="auto"/>
          </w:rPr>
          <w:tab/>
        </w:r>
        <w:r w:rsidR="001D59AA" w:rsidRPr="009A2045">
          <w:rPr>
            <w:rStyle w:val="Hyperlink"/>
            <w:noProof/>
          </w:rPr>
          <w:t>Description of the Federal Action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_Toc436043009 \h </w:instrText>
        </w:r>
        <w:r w:rsidR="001D59AA" w:rsidRPr="009A2045">
          <w:rPr>
            <w:noProof/>
            <w:webHidden/>
          </w:rPr>
        </w:r>
        <w:r w:rsidR="001D59AA" w:rsidRPr="009A2045">
          <w:rPr>
            <w:noProof/>
            <w:webHidden/>
          </w:rPr>
          <w:fldChar w:fldCharType="separate"/>
        </w:r>
        <w:r w:rsidR="001D59AA" w:rsidRPr="009A2045">
          <w:rPr>
            <w:noProof/>
            <w:webHidden/>
          </w:rPr>
          <w:t>4</w:t>
        </w:r>
        <w:r w:rsidR="001D59AA" w:rsidRPr="009A2045">
          <w:rPr>
            <w:noProof/>
            <w:webHidden/>
          </w:rPr>
          <w:fldChar w:fldCharType="end"/>
        </w:r>
      </w:hyperlink>
    </w:p>
    <w:p w14:paraId="7FB572D9"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10" w:history="1">
        <w:r w:rsidR="001D59AA" w:rsidRPr="009A2045">
          <w:rPr>
            <w:rStyle w:val="Hyperlink"/>
            <w:noProof/>
          </w:rPr>
          <w:t>1.1.1.</w:t>
        </w:r>
        <w:r w:rsidR="001D59AA" w:rsidRPr="009A2045">
          <w:rPr>
            <w:rFonts w:asciiTheme="minorHAnsi" w:eastAsiaTheme="minorEastAsia" w:hAnsiTheme="minorHAnsi" w:cstheme="minorBidi"/>
            <w:noProof/>
            <w:color w:val="auto"/>
          </w:rPr>
          <w:tab/>
        </w:r>
        <w:r w:rsidR="001D59AA" w:rsidRPr="009A2045">
          <w:rPr>
            <w:rStyle w:val="Hyperlink"/>
            <w:noProof/>
          </w:rPr>
          <w:t>Nature of the Regulatory Action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_Toc436043010 \h </w:instrText>
        </w:r>
        <w:r w:rsidR="001D59AA" w:rsidRPr="009A2045">
          <w:rPr>
            <w:noProof/>
            <w:webHidden/>
          </w:rPr>
        </w:r>
        <w:r w:rsidR="001D59AA" w:rsidRPr="009A2045">
          <w:rPr>
            <w:noProof/>
            <w:webHidden/>
          </w:rPr>
          <w:fldChar w:fldCharType="separate"/>
        </w:r>
        <w:r w:rsidR="001D59AA" w:rsidRPr="009A2045">
          <w:rPr>
            <w:noProof/>
            <w:webHidden/>
          </w:rPr>
          <w:t>5</w:t>
        </w:r>
        <w:r w:rsidR="001D59AA" w:rsidRPr="009A2045">
          <w:rPr>
            <w:noProof/>
            <w:webHidden/>
          </w:rPr>
          <w:fldChar w:fldCharType="end"/>
        </w:r>
      </w:hyperlink>
    </w:p>
    <w:p w14:paraId="6F03F314"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1" w:history="1">
        <w:r w:rsidR="001D59AA" w:rsidRPr="009A2045">
          <w:rPr>
            <w:rStyle w:val="Hyperlink"/>
            <w:noProof/>
          </w:rPr>
          <w:t>1.1.1.1.</w:t>
        </w:r>
        <w:r w:rsidR="001D59AA" w:rsidRPr="009A2045">
          <w:rPr>
            <w:rFonts w:asciiTheme="minorHAnsi" w:eastAsiaTheme="minorEastAsia" w:hAnsiTheme="minorHAnsi" w:cstheme="minorBidi"/>
            <w:noProof/>
            <w:color w:val="auto"/>
          </w:rPr>
          <w:tab/>
        </w:r>
        <w:r w:rsidR="001D59AA" w:rsidRPr="009A2045">
          <w:rPr>
            <w:rStyle w:val="Hyperlink"/>
            <w:noProof/>
          </w:rPr>
          <w:t>Pesticide registration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_Toc436043011 \h </w:instrText>
        </w:r>
        <w:r w:rsidR="001D59AA" w:rsidRPr="009A2045">
          <w:rPr>
            <w:noProof/>
            <w:webHidden/>
          </w:rPr>
        </w:r>
        <w:r w:rsidR="001D59AA" w:rsidRPr="009A2045">
          <w:rPr>
            <w:noProof/>
            <w:webHidden/>
          </w:rPr>
          <w:fldChar w:fldCharType="separate"/>
        </w:r>
        <w:r w:rsidR="001D59AA" w:rsidRPr="009A2045">
          <w:rPr>
            <w:noProof/>
            <w:webHidden/>
          </w:rPr>
          <w:t>5</w:t>
        </w:r>
        <w:r w:rsidR="001D59AA" w:rsidRPr="009A2045">
          <w:rPr>
            <w:noProof/>
            <w:webHidden/>
          </w:rPr>
          <w:fldChar w:fldCharType="end"/>
        </w:r>
      </w:hyperlink>
    </w:p>
    <w:p w14:paraId="05913709"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2" w:history="1">
        <w:r w:rsidR="001D59AA" w:rsidRPr="009A2045">
          <w:rPr>
            <w:rStyle w:val="Hyperlink"/>
            <w:noProof/>
          </w:rPr>
          <w:t>1.1.1.2.</w:t>
        </w:r>
        <w:r w:rsidR="001D59AA" w:rsidRPr="009A2045">
          <w:rPr>
            <w:rFonts w:asciiTheme="minorHAnsi" w:eastAsiaTheme="minorEastAsia" w:hAnsiTheme="minorHAnsi" w:cstheme="minorBidi"/>
            <w:noProof/>
            <w:color w:val="auto"/>
          </w:rPr>
          <w:tab/>
        </w:r>
        <w:r w:rsidR="001D59AA" w:rsidRPr="009A2045">
          <w:rPr>
            <w:rStyle w:val="Hyperlink"/>
            <w:noProof/>
          </w:rPr>
          <w:t>Registration Review</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_Toc436043012 \h </w:instrText>
        </w:r>
        <w:r w:rsidR="001D59AA" w:rsidRPr="009A2045">
          <w:rPr>
            <w:noProof/>
            <w:webHidden/>
          </w:rPr>
        </w:r>
        <w:r w:rsidR="001D59AA" w:rsidRPr="009A2045">
          <w:rPr>
            <w:noProof/>
            <w:webHidden/>
          </w:rPr>
          <w:fldChar w:fldCharType="separate"/>
        </w:r>
        <w:r w:rsidR="001D59AA" w:rsidRPr="009A2045">
          <w:rPr>
            <w:noProof/>
            <w:webHidden/>
          </w:rPr>
          <w:t>6</w:t>
        </w:r>
        <w:r w:rsidR="001D59AA" w:rsidRPr="009A2045">
          <w:rPr>
            <w:noProof/>
            <w:webHidden/>
          </w:rPr>
          <w:fldChar w:fldCharType="end"/>
        </w:r>
      </w:hyperlink>
    </w:p>
    <w:p w14:paraId="2EF915FC"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3" w:history="1">
        <w:r w:rsidR="001D59AA" w:rsidRPr="009A2045">
          <w:rPr>
            <w:rStyle w:val="Hyperlink"/>
            <w:noProof/>
          </w:rPr>
          <w:t>1.1.1.3.</w:t>
        </w:r>
        <w:r w:rsidR="001D59AA" w:rsidRPr="009A2045">
          <w:rPr>
            <w:rFonts w:asciiTheme="minorHAnsi" w:eastAsiaTheme="minorEastAsia" w:hAnsiTheme="minorHAnsi" w:cstheme="minorBidi"/>
            <w:noProof/>
            <w:color w:val="auto"/>
          </w:rPr>
          <w:tab/>
        </w:r>
        <w:r w:rsidR="001D59AA" w:rsidRPr="009A2045">
          <w:rPr>
            <w:rStyle w:val="Hyperlink"/>
            <w:noProof/>
          </w:rPr>
          <w:t>Pesticide Labels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_Toc436043013 \h </w:instrText>
        </w:r>
        <w:r w:rsidR="001D59AA" w:rsidRPr="009A2045">
          <w:rPr>
            <w:noProof/>
            <w:webHidden/>
          </w:rPr>
        </w:r>
        <w:r w:rsidR="001D59AA" w:rsidRPr="009A2045">
          <w:rPr>
            <w:noProof/>
            <w:webHidden/>
          </w:rPr>
          <w:fldChar w:fldCharType="separate"/>
        </w:r>
        <w:r w:rsidR="001D59AA" w:rsidRPr="009A2045">
          <w:rPr>
            <w:noProof/>
            <w:webHidden/>
          </w:rPr>
          <w:t>6</w:t>
        </w:r>
        <w:r w:rsidR="001D59AA" w:rsidRPr="009A2045">
          <w:rPr>
            <w:noProof/>
            <w:webHidden/>
          </w:rPr>
          <w:fldChar w:fldCharType="end"/>
        </w:r>
      </w:hyperlink>
    </w:p>
    <w:p w14:paraId="24CD237D"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4" w:history="1">
        <w:r w:rsidR="001D59AA" w:rsidRPr="009A2045">
          <w:rPr>
            <w:rStyle w:val="Hyperlink"/>
            <w:noProof/>
          </w:rPr>
          <w:t>1.1.1.4.</w:t>
        </w:r>
        <w:r w:rsidR="001D59AA" w:rsidRPr="009A2045">
          <w:rPr>
            <w:rFonts w:asciiTheme="minorHAnsi" w:eastAsiaTheme="minorEastAsia" w:hAnsiTheme="minorHAnsi" w:cstheme="minorBidi"/>
            <w:noProof/>
            <w:color w:val="auto"/>
          </w:rPr>
          <w:tab/>
        </w:r>
        <w:r w:rsidR="001D59AA" w:rsidRPr="009A2045">
          <w:rPr>
            <w:rStyle w:val="Hyperlink"/>
            <w:noProof/>
          </w:rPr>
          <w:t>Monitoring and Reporting</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_Toc436043014 \h </w:instrText>
        </w:r>
        <w:r w:rsidR="001D59AA" w:rsidRPr="009A2045">
          <w:rPr>
            <w:noProof/>
            <w:webHidden/>
          </w:rPr>
        </w:r>
        <w:r w:rsidR="001D59AA" w:rsidRPr="009A2045">
          <w:rPr>
            <w:noProof/>
            <w:webHidden/>
          </w:rPr>
          <w:fldChar w:fldCharType="separate"/>
        </w:r>
        <w:r w:rsidR="001D59AA" w:rsidRPr="009A2045">
          <w:rPr>
            <w:noProof/>
            <w:webHidden/>
          </w:rPr>
          <w:t>7</w:t>
        </w:r>
        <w:r w:rsidR="001D59AA" w:rsidRPr="009A2045">
          <w:rPr>
            <w:noProof/>
            <w:webHidden/>
          </w:rPr>
          <w:fldChar w:fldCharType="end"/>
        </w:r>
      </w:hyperlink>
    </w:p>
    <w:p w14:paraId="6CD73C10"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15" w:history="1">
        <w:r w:rsidR="001D59AA" w:rsidRPr="009A2045">
          <w:rPr>
            <w:rStyle w:val="Hyperlink"/>
            <w:noProof/>
          </w:rPr>
          <w:t>1.1.2.</w:t>
        </w:r>
        <w:r w:rsidR="001D59AA" w:rsidRPr="009A2045">
          <w:rPr>
            <w:rFonts w:asciiTheme="minorHAnsi" w:eastAsiaTheme="minorEastAsia" w:hAnsiTheme="minorHAnsi" w:cstheme="minorBidi"/>
            <w:noProof/>
            <w:color w:val="auto"/>
          </w:rPr>
          <w:tab/>
        </w:r>
        <w:r w:rsidR="001D59AA" w:rsidRPr="009A2045">
          <w:rPr>
            <w:rStyle w:val="Hyperlink"/>
            <w:noProof/>
          </w:rPr>
          <w:t>Use Data (Labels)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_Toc436043015 \h </w:instrText>
        </w:r>
        <w:r w:rsidR="001D59AA" w:rsidRPr="009A2045">
          <w:rPr>
            <w:noProof/>
            <w:webHidden/>
          </w:rPr>
        </w:r>
        <w:r w:rsidR="001D59AA" w:rsidRPr="009A2045">
          <w:rPr>
            <w:noProof/>
            <w:webHidden/>
          </w:rPr>
          <w:fldChar w:fldCharType="separate"/>
        </w:r>
        <w:r w:rsidR="001D59AA" w:rsidRPr="009A2045">
          <w:rPr>
            <w:noProof/>
            <w:webHidden/>
          </w:rPr>
          <w:t>7</w:t>
        </w:r>
        <w:r w:rsidR="001D59AA" w:rsidRPr="009A2045">
          <w:rPr>
            <w:noProof/>
            <w:webHidden/>
          </w:rPr>
          <w:fldChar w:fldCharType="end"/>
        </w:r>
      </w:hyperlink>
    </w:p>
    <w:p w14:paraId="182820DC"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6" w:history="1">
        <w:r w:rsidR="001D59AA" w:rsidRPr="009A2045">
          <w:rPr>
            <w:rStyle w:val="Hyperlink"/>
            <w:noProof/>
          </w:rPr>
          <w:t>1.1.2.1.</w:t>
        </w:r>
        <w:r w:rsidR="001D59AA" w:rsidRPr="009A2045">
          <w:rPr>
            <w:rFonts w:asciiTheme="minorHAnsi" w:eastAsiaTheme="minorEastAsia" w:hAnsiTheme="minorHAnsi" w:cstheme="minorBidi"/>
            <w:noProof/>
            <w:color w:val="auto"/>
          </w:rPr>
          <w:tab/>
        </w:r>
        <w:r w:rsidR="001D59AA" w:rsidRPr="009A2045">
          <w:rPr>
            <w:rStyle w:val="Hyperlink"/>
            <w:noProof/>
          </w:rPr>
          <w:t>Current Registrations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_Toc436043016 \h </w:instrText>
        </w:r>
        <w:r w:rsidR="001D59AA" w:rsidRPr="009A2045">
          <w:rPr>
            <w:noProof/>
            <w:webHidden/>
          </w:rPr>
        </w:r>
        <w:r w:rsidR="001D59AA" w:rsidRPr="009A2045">
          <w:rPr>
            <w:noProof/>
            <w:webHidden/>
          </w:rPr>
          <w:fldChar w:fldCharType="separate"/>
        </w:r>
        <w:r w:rsidR="001D59AA" w:rsidRPr="009A2045">
          <w:rPr>
            <w:noProof/>
            <w:webHidden/>
          </w:rPr>
          <w:t>7</w:t>
        </w:r>
        <w:r w:rsidR="001D59AA" w:rsidRPr="009A2045">
          <w:rPr>
            <w:noProof/>
            <w:webHidden/>
          </w:rPr>
          <w:fldChar w:fldCharType="end"/>
        </w:r>
      </w:hyperlink>
    </w:p>
    <w:p w14:paraId="568152E4"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7" w:history="1">
        <w:r w:rsidR="001D59AA" w:rsidRPr="009A2045">
          <w:rPr>
            <w:rStyle w:val="Hyperlink"/>
            <w:noProof/>
          </w:rPr>
          <w:t>1.1.2.2.</w:t>
        </w:r>
        <w:r w:rsidR="001D59AA" w:rsidRPr="009A2045">
          <w:rPr>
            <w:rFonts w:asciiTheme="minorHAnsi" w:eastAsiaTheme="minorEastAsia" w:hAnsiTheme="minorHAnsi" w:cstheme="minorBidi"/>
            <w:noProof/>
            <w:color w:val="auto"/>
          </w:rPr>
          <w:tab/>
        </w:r>
        <w:r w:rsidR="001D59AA" w:rsidRPr="009A2045">
          <w:rPr>
            <w:rStyle w:val="Hyperlink"/>
            <w:noProof/>
          </w:rPr>
          <w:t>Inert Ingredients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_Toc436043017 \h </w:instrText>
        </w:r>
        <w:r w:rsidR="001D59AA" w:rsidRPr="009A2045">
          <w:rPr>
            <w:noProof/>
            <w:webHidden/>
          </w:rPr>
        </w:r>
        <w:r w:rsidR="001D59AA" w:rsidRPr="009A2045">
          <w:rPr>
            <w:noProof/>
            <w:webHidden/>
          </w:rPr>
          <w:fldChar w:fldCharType="separate"/>
        </w:r>
        <w:r w:rsidR="001D59AA" w:rsidRPr="009A2045">
          <w:rPr>
            <w:noProof/>
            <w:webHidden/>
          </w:rPr>
          <w:t>9</w:t>
        </w:r>
        <w:r w:rsidR="001D59AA" w:rsidRPr="009A2045">
          <w:rPr>
            <w:noProof/>
            <w:webHidden/>
          </w:rPr>
          <w:fldChar w:fldCharType="end"/>
        </w:r>
      </w:hyperlink>
    </w:p>
    <w:p w14:paraId="3A55CCCB"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8" w:history="1">
        <w:r w:rsidR="001D59AA" w:rsidRPr="009A2045">
          <w:rPr>
            <w:rStyle w:val="Hyperlink"/>
            <w:noProof/>
          </w:rPr>
          <w:t>1.1.2.3.</w:t>
        </w:r>
        <w:r w:rsidR="001D59AA" w:rsidRPr="009A2045">
          <w:rPr>
            <w:rFonts w:asciiTheme="minorHAnsi" w:eastAsiaTheme="minorEastAsia" w:hAnsiTheme="minorHAnsi" w:cstheme="minorBidi"/>
            <w:noProof/>
            <w:color w:val="auto"/>
          </w:rPr>
          <w:tab/>
        </w:r>
        <w:r w:rsidR="001D59AA" w:rsidRPr="009A2045">
          <w:rPr>
            <w:rStyle w:val="Hyperlink"/>
            <w:noProof/>
          </w:rPr>
          <w:t>Recommended Tank Mixes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_Toc436043018 \h </w:instrText>
        </w:r>
        <w:r w:rsidR="001D59AA" w:rsidRPr="009A2045">
          <w:rPr>
            <w:noProof/>
            <w:webHidden/>
          </w:rPr>
        </w:r>
        <w:r w:rsidR="001D59AA" w:rsidRPr="009A2045">
          <w:rPr>
            <w:noProof/>
            <w:webHidden/>
          </w:rPr>
          <w:fldChar w:fldCharType="separate"/>
        </w:r>
        <w:r w:rsidR="001D59AA" w:rsidRPr="009A2045">
          <w:rPr>
            <w:noProof/>
            <w:webHidden/>
          </w:rPr>
          <w:t>10</w:t>
        </w:r>
        <w:r w:rsidR="001D59AA" w:rsidRPr="009A2045">
          <w:rPr>
            <w:noProof/>
            <w:webHidden/>
          </w:rPr>
          <w:fldChar w:fldCharType="end"/>
        </w:r>
      </w:hyperlink>
    </w:p>
    <w:p w14:paraId="089E6B08"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19" w:history="1">
        <w:r w:rsidR="001D59AA" w:rsidRPr="009A2045">
          <w:rPr>
            <w:rStyle w:val="Hyperlink"/>
            <w:noProof/>
          </w:rPr>
          <w:t>1.1.2.4.</w:t>
        </w:r>
        <w:r w:rsidR="001D59AA" w:rsidRPr="009A2045">
          <w:rPr>
            <w:rFonts w:asciiTheme="minorHAnsi" w:eastAsiaTheme="minorEastAsia" w:hAnsiTheme="minorHAnsi" w:cstheme="minorBidi"/>
            <w:noProof/>
            <w:color w:val="auto"/>
          </w:rPr>
          <w:tab/>
        </w:r>
        <w:r w:rsidR="001D59AA" w:rsidRPr="009A2045">
          <w:rPr>
            <w:rStyle w:val="Hyperlink"/>
            <w:noProof/>
          </w:rPr>
          <w:t>Use Sites, Application methods, and Application Rates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_Toc436043019 \h </w:instrText>
        </w:r>
        <w:r w:rsidR="001D59AA" w:rsidRPr="009A2045">
          <w:rPr>
            <w:noProof/>
            <w:webHidden/>
          </w:rPr>
        </w:r>
        <w:r w:rsidR="001D59AA" w:rsidRPr="009A2045">
          <w:rPr>
            <w:noProof/>
            <w:webHidden/>
          </w:rPr>
          <w:fldChar w:fldCharType="separate"/>
        </w:r>
        <w:r w:rsidR="001D59AA" w:rsidRPr="009A2045">
          <w:rPr>
            <w:noProof/>
            <w:webHidden/>
          </w:rPr>
          <w:t>13</w:t>
        </w:r>
        <w:r w:rsidR="001D59AA" w:rsidRPr="009A2045">
          <w:rPr>
            <w:noProof/>
            <w:webHidden/>
          </w:rPr>
          <w:fldChar w:fldCharType="end"/>
        </w:r>
      </w:hyperlink>
    </w:p>
    <w:p w14:paraId="407CB8DF" w14:textId="77777777" w:rsidR="001D59AA" w:rsidRPr="009A2045" w:rsidRDefault="009A1ABB" w:rsidP="009A2045">
      <w:pPr>
        <w:pStyle w:val="TOC5"/>
        <w:tabs>
          <w:tab w:val="left" w:pos="1929"/>
          <w:tab w:val="right" w:leader="dot" w:pos="9350"/>
        </w:tabs>
        <w:rPr>
          <w:rFonts w:asciiTheme="minorHAnsi" w:eastAsiaTheme="minorEastAsia" w:hAnsiTheme="minorHAnsi" w:cstheme="minorBidi"/>
          <w:noProof/>
          <w:color w:val="auto"/>
        </w:rPr>
      </w:pPr>
      <w:hyperlink w:anchor="_Toc436043020" w:history="1">
        <w:r w:rsidR="001D59AA" w:rsidRPr="009A2045">
          <w:rPr>
            <w:rStyle w:val="Hyperlink"/>
            <w:noProof/>
          </w:rPr>
          <w:t>1.1.2.4.a.</w:t>
        </w:r>
        <w:r w:rsidR="001D59AA" w:rsidRPr="009A2045">
          <w:rPr>
            <w:rFonts w:asciiTheme="minorHAnsi" w:eastAsiaTheme="minorEastAsia" w:hAnsiTheme="minorHAnsi" w:cstheme="minorBidi"/>
            <w:noProof/>
            <w:color w:val="auto"/>
          </w:rPr>
          <w:tab/>
        </w:r>
        <w:r w:rsidR="001D59AA" w:rsidRPr="009A2045">
          <w:rPr>
            <w:rStyle w:val="Hyperlink"/>
            <w:noProof/>
          </w:rPr>
          <w:t>Summary of non-agricultural uses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_Toc436043020 \h </w:instrText>
        </w:r>
        <w:r w:rsidR="001D59AA" w:rsidRPr="009A2045">
          <w:rPr>
            <w:noProof/>
            <w:webHidden/>
          </w:rPr>
        </w:r>
        <w:r w:rsidR="001D59AA" w:rsidRPr="009A2045">
          <w:rPr>
            <w:noProof/>
            <w:webHidden/>
          </w:rPr>
          <w:fldChar w:fldCharType="separate"/>
        </w:r>
        <w:r w:rsidR="001D59AA" w:rsidRPr="009A2045">
          <w:rPr>
            <w:noProof/>
            <w:webHidden/>
          </w:rPr>
          <w:t>13</w:t>
        </w:r>
        <w:r w:rsidR="001D59AA" w:rsidRPr="009A2045">
          <w:rPr>
            <w:noProof/>
            <w:webHidden/>
          </w:rPr>
          <w:fldChar w:fldCharType="end"/>
        </w:r>
      </w:hyperlink>
    </w:p>
    <w:p w14:paraId="0BCD07E0" w14:textId="77777777" w:rsidR="001D59AA" w:rsidRPr="009A2045" w:rsidRDefault="009A1ABB" w:rsidP="009A2045">
      <w:pPr>
        <w:pStyle w:val="TOC5"/>
        <w:tabs>
          <w:tab w:val="left" w:pos="1939"/>
          <w:tab w:val="right" w:leader="dot" w:pos="9350"/>
        </w:tabs>
        <w:rPr>
          <w:rFonts w:asciiTheme="minorHAnsi" w:eastAsiaTheme="minorEastAsia" w:hAnsiTheme="minorHAnsi" w:cstheme="minorBidi"/>
          <w:noProof/>
          <w:color w:val="auto"/>
        </w:rPr>
      </w:pPr>
      <w:hyperlink w:anchor="_Toc436043021" w:history="1">
        <w:r w:rsidR="001D59AA" w:rsidRPr="009A2045">
          <w:rPr>
            <w:rStyle w:val="Hyperlink"/>
            <w:noProof/>
          </w:rPr>
          <w:t>1.1.2.4.b.</w:t>
        </w:r>
        <w:r w:rsidR="001D59AA" w:rsidRPr="009A2045">
          <w:rPr>
            <w:rFonts w:asciiTheme="minorHAnsi" w:eastAsiaTheme="minorEastAsia" w:hAnsiTheme="minorHAnsi" w:cstheme="minorBidi"/>
            <w:noProof/>
            <w:color w:val="auto"/>
          </w:rPr>
          <w:tab/>
        </w:r>
        <w:r w:rsidR="001D59AA" w:rsidRPr="009A2045">
          <w:rPr>
            <w:rStyle w:val="Hyperlink"/>
            <w:noProof/>
          </w:rPr>
          <w:t>Summary of Agricultural and Ultra-low Volume Uses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_Toc436043021 \h </w:instrText>
        </w:r>
        <w:r w:rsidR="001D59AA" w:rsidRPr="009A2045">
          <w:rPr>
            <w:noProof/>
            <w:webHidden/>
          </w:rPr>
        </w:r>
        <w:r w:rsidR="001D59AA" w:rsidRPr="009A2045">
          <w:rPr>
            <w:noProof/>
            <w:webHidden/>
          </w:rPr>
          <w:fldChar w:fldCharType="separate"/>
        </w:r>
        <w:r w:rsidR="001D59AA" w:rsidRPr="009A2045">
          <w:rPr>
            <w:noProof/>
            <w:webHidden/>
          </w:rPr>
          <w:t>19</w:t>
        </w:r>
        <w:r w:rsidR="001D59AA" w:rsidRPr="009A2045">
          <w:rPr>
            <w:noProof/>
            <w:webHidden/>
          </w:rPr>
          <w:fldChar w:fldCharType="end"/>
        </w:r>
      </w:hyperlink>
    </w:p>
    <w:p w14:paraId="53B3CD14"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22" w:history="1">
        <w:r w:rsidR="001D59AA" w:rsidRPr="009A2045">
          <w:rPr>
            <w:rStyle w:val="Hyperlink"/>
            <w:noProof/>
          </w:rPr>
          <w:t>1.1.2.5.</w:t>
        </w:r>
        <w:r w:rsidR="001D59AA" w:rsidRPr="009A2045">
          <w:rPr>
            <w:rFonts w:asciiTheme="minorHAnsi" w:eastAsiaTheme="minorEastAsia" w:hAnsiTheme="minorHAnsi" w:cstheme="minorBidi"/>
            <w:noProof/>
            <w:color w:val="auto"/>
          </w:rPr>
          <w:tab/>
        </w:r>
        <w:r w:rsidR="001D59AA" w:rsidRPr="009A2045">
          <w:rPr>
            <w:rStyle w:val="Hyperlink"/>
            <w:noProof/>
          </w:rPr>
          <w:t>Outstanding Mitigations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_Toc436043022 \h </w:instrText>
        </w:r>
        <w:r w:rsidR="001D59AA" w:rsidRPr="009A2045">
          <w:rPr>
            <w:noProof/>
            <w:webHidden/>
          </w:rPr>
        </w:r>
        <w:r w:rsidR="001D59AA" w:rsidRPr="009A2045">
          <w:rPr>
            <w:noProof/>
            <w:webHidden/>
          </w:rPr>
          <w:fldChar w:fldCharType="separate"/>
        </w:r>
        <w:r w:rsidR="001D59AA" w:rsidRPr="009A2045">
          <w:rPr>
            <w:noProof/>
            <w:webHidden/>
          </w:rPr>
          <w:t>28</w:t>
        </w:r>
        <w:r w:rsidR="001D59AA" w:rsidRPr="009A2045">
          <w:rPr>
            <w:noProof/>
            <w:webHidden/>
          </w:rPr>
          <w:fldChar w:fldCharType="end"/>
        </w:r>
      </w:hyperlink>
    </w:p>
    <w:p w14:paraId="33CF54A7"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23" w:history="1">
        <w:r w:rsidR="001D59AA" w:rsidRPr="009A2045">
          <w:rPr>
            <w:rStyle w:val="Hyperlink"/>
            <w:noProof/>
          </w:rPr>
          <w:t>1.1.3.</w:t>
        </w:r>
        <w:r w:rsidR="001D59AA" w:rsidRPr="009A2045">
          <w:rPr>
            <w:rFonts w:asciiTheme="minorHAnsi" w:eastAsiaTheme="minorEastAsia" w:hAnsiTheme="minorHAnsi" w:cstheme="minorBidi"/>
            <w:noProof/>
            <w:color w:val="auto"/>
          </w:rPr>
          <w:tab/>
        </w:r>
        <w:r w:rsidR="001D59AA" w:rsidRPr="009A2045">
          <w:rPr>
            <w:rStyle w:val="Hyperlink"/>
            <w:noProof/>
          </w:rPr>
          <w:t>Usage Data</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_Toc436043023 \h </w:instrText>
        </w:r>
        <w:r w:rsidR="001D59AA" w:rsidRPr="009A2045">
          <w:rPr>
            <w:noProof/>
            <w:webHidden/>
          </w:rPr>
        </w:r>
        <w:r w:rsidR="001D59AA" w:rsidRPr="009A2045">
          <w:rPr>
            <w:noProof/>
            <w:webHidden/>
          </w:rPr>
          <w:fldChar w:fldCharType="separate"/>
        </w:r>
        <w:r w:rsidR="001D59AA" w:rsidRPr="009A2045">
          <w:rPr>
            <w:noProof/>
            <w:webHidden/>
          </w:rPr>
          <w:t>28</w:t>
        </w:r>
        <w:r w:rsidR="001D59AA" w:rsidRPr="009A2045">
          <w:rPr>
            <w:noProof/>
            <w:webHidden/>
          </w:rPr>
          <w:fldChar w:fldCharType="end"/>
        </w:r>
      </w:hyperlink>
    </w:p>
    <w:p w14:paraId="33EF6316" w14:textId="77777777" w:rsidR="001D59AA" w:rsidRPr="009A2045" w:rsidRDefault="009A1ABB" w:rsidP="009A2045">
      <w:pPr>
        <w:pStyle w:val="TOC2"/>
        <w:tabs>
          <w:tab w:val="left" w:pos="880"/>
          <w:tab w:val="right" w:leader="dot" w:pos="9350"/>
        </w:tabs>
        <w:rPr>
          <w:rFonts w:asciiTheme="minorHAnsi" w:eastAsiaTheme="minorEastAsia" w:hAnsiTheme="minorHAnsi" w:cstheme="minorBidi"/>
          <w:noProof/>
          <w:color w:val="auto"/>
        </w:rPr>
      </w:pPr>
      <w:hyperlink w:anchor="_Toc436043024" w:history="1">
        <w:r w:rsidR="001D59AA" w:rsidRPr="009A2045">
          <w:rPr>
            <w:rStyle w:val="Hyperlink"/>
            <w:noProof/>
          </w:rPr>
          <w:t>1.2.</w:t>
        </w:r>
        <w:r w:rsidR="001D59AA" w:rsidRPr="009A2045">
          <w:rPr>
            <w:rFonts w:asciiTheme="minorHAnsi" w:eastAsiaTheme="minorEastAsia" w:hAnsiTheme="minorHAnsi" w:cstheme="minorBidi"/>
            <w:noProof/>
            <w:color w:val="auto"/>
          </w:rPr>
          <w:tab/>
        </w:r>
        <w:r w:rsidR="001D59AA" w:rsidRPr="009A2045">
          <w:rPr>
            <w:rStyle w:val="Hyperlink"/>
            <w:noProof/>
          </w:rPr>
          <w:t>1.2. Pesticide Active Ingredient Information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_Toc436043024 \h </w:instrText>
        </w:r>
        <w:r w:rsidR="001D59AA" w:rsidRPr="009A2045">
          <w:rPr>
            <w:noProof/>
            <w:webHidden/>
          </w:rPr>
        </w:r>
        <w:r w:rsidR="001D59AA" w:rsidRPr="009A2045">
          <w:rPr>
            <w:noProof/>
            <w:webHidden/>
          </w:rPr>
          <w:fldChar w:fldCharType="separate"/>
        </w:r>
        <w:r w:rsidR="001D59AA" w:rsidRPr="009A2045">
          <w:rPr>
            <w:noProof/>
            <w:webHidden/>
          </w:rPr>
          <w:t>30</w:t>
        </w:r>
        <w:r w:rsidR="001D59AA" w:rsidRPr="009A2045">
          <w:rPr>
            <w:noProof/>
            <w:webHidden/>
          </w:rPr>
          <w:fldChar w:fldCharType="end"/>
        </w:r>
      </w:hyperlink>
    </w:p>
    <w:p w14:paraId="01B9035C"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25" w:history="1">
        <w:r w:rsidR="001D59AA" w:rsidRPr="009A2045">
          <w:rPr>
            <w:rStyle w:val="Hyperlink"/>
            <w:noProof/>
          </w:rPr>
          <w:t>1.2.1</w:t>
        </w:r>
        <w:r w:rsidR="001D59AA" w:rsidRPr="009A2045">
          <w:rPr>
            <w:rFonts w:asciiTheme="minorHAnsi" w:eastAsiaTheme="minorEastAsia" w:hAnsiTheme="minorHAnsi" w:cstheme="minorBidi"/>
            <w:noProof/>
            <w:color w:val="auto"/>
          </w:rPr>
          <w:tab/>
        </w:r>
        <w:r w:rsidR="001D59AA" w:rsidRPr="009A2045">
          <w:rPr>
            <w:rStyle w:val="Hyperlink"/>
            <w:noProof/>
          </w:rPr>
          <w:t>Mode and Mechanism of Action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_Toc436043025 \h </w:instrText>
        </w:r>
        <w:r w:rsidR="001D59AA" w:rsidRPr="009A2045">
          <w:rPr>
            <w:noProof/>
            <w:webHidden/>
          </w:rPr>
        </w:r>
        <w:r w:rsidR="001D59AA" w:rsidRPr="009A2045">
          <w:rPr>
            <w:noProof/>
            <w:webHidden/>
          </w:rPr>
          <w:fldChar w:fldCharType="separate"/>
        </w:r>
        <w:r w:rsidR="001D59AA" w:rsidRPr="009A2045">
          <w:rPr>
            <w:noProof/>
            <w:webHidden/>
          </w:rPr>
          <w:t>30</w:t>
        </w:r>
        <w:r w:rsidR="001D59AA" w:rsidRPr="009A2045">
          <w:rPr>
            <w:noProof/>
            <w:webHidden/>
          </w:rPr>
          <w:fldChar w:fldCharType="end"/>
        </w:r>
      </w:hyperlink>
    </w:p>
    <w:p w14:paraId="31C29506"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26" w:history="1">
        <w:r w:rsidR="001D59AA" w:rsidRPr="009A2045">
          <w:rPr>
            <w:rStyle w:val="Hyperlink"/>
            <w:noProof/>
          </w:rPr>
          <w:t>1.2.2.</w:t>
        </w:r>
        <w:r w:rsidR="001D59AA" w:rsidRPr="009A2045">
          <w:rPr>
            <w:rFonts w:asciiTheme="minorHAnsi" w:eastAsiaTheme="minorEastAsia" w:hAnsiTheme="minorHAnsi" w:cstheme="minorBidi"/>
            <w:noProof/>
            <w:color w:val="auto"/>
          </w:rPr>
          <w:tab/>
        </w:r>
        <w:r w:rsidR="001D59AA" w:rsidRPr="009A2045">
          <w:rPr>
            <w:rStyle w:val="Hyperlink"/>
            <w:noProof/>
          </w:rPr>
          <w:t>Fate Overview</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_Toc436043026 \h </w:instrText>
        </w:r>
        <w:r w:rsidR="001D59AA" w:rsidRPr="009A2045">
          <w:rPr>
            <w:noProof/>
            <w:webHidden/>
          </w:rPr>
        </w:r>
        <w:r w:rsidR="001D59AA" w:rsidRPr="009A2045">
          <w:rPr>
            <w:noProof/>
            <w:webHidden/>
          </w:rPr>
          <w:fldChar w:fldCharType="separate"/>
        </w:r>
        <w:r w:rsidR="001D59AA" w:rsidRPr="009A2045">
          <w:rPr>
            <w:noProof/>
            <w:webHidden/>
          </w:rPr>
          <w:t>31</w:t>
        </w:r>
        <w:r w:rsidR="001D59AA" w:rsidRPr="009A2045">
          <w:rPr>
            <w:noProof/>
            <w:webHidden/>
          </w:rPr>
          <w:fldChar w:fldCharType="end"/>
        </w:r>
      </w:hyperlink>
    </w:p>
    <w:p w14:paraId="10DBCE4B"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27" w:history="1">
        <w:r w:rsidR="001D59AA" w:rsidRPr="009A2045">
          <w:rPr>
            <w:rStyle w:val="Hyperlink"/>
            <w:noProof/>
          </w:rPr>
          <w:t>1.2.3.</w:t>
        </w:r>
        <w:r w:rsidR="001D59AA" w:rsidRPr="009A2045">
          <w:rPr>
            <w:rFonts w:asciiTheme="minorHAnsi" w:eastAsiaTheme="minorEastAsia" w:hAnsiTheme="minorHAnsi" w:cstheme="minorBidi"/>
            <w:noProof/>
            <w:color w:val="auto"/>
          </w:rPr>
          <w:tab/>
        </w:r>
        <w:r w:rsidR="001D59AA" w:rsidRPr="009A2045">
          <w:rPr>
            <w:rStyle w:val="Hyperlink"/>
            <w:noProof/>
          </w:rPr>
          <w:t>Degradates of Concern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_Toc436043027 \h </w:instrText>
        </w:r>
        <w:r w:rsidR="001D59AA" w:rsidRPr="009A2045">
          <w:rPr>
            <w:noProof/>
            <w:webHidden/>
          </w:rPr>
        </w:r>
        <w:r w:rsidR="001D59AA" w:rsidRPr="009A2045">
          <w:rPr>
            <w:noProof/>
            <w:webHidden/>
          </w:rPr>
          <w:fldChar w:fldCharType="separate"/>
        </w:r>
        <w:r w:rsidR="001D59AA" w:rsidRPr="009A2045">
          <w:rPr>
            <w:noProof/>
            <w:webHidden/>
          </w:rPr>
          <w:t>32</w:t>
        </w:r>
        <w:r w:rsidR="001D59AA" w:rsidRPr="009A2045">
          <w:rPr>
            <w:noProof/>
            <w:webHidden/>
          </w:rPr>
          <w:fldChar w:fldCharType="end"/>
        </w:r>
      </w:hyperlink>
    </w:p>
    <w:p w14:paraId="5B85C5D2" w14:textId="77777777" w:rsidR="001D59AA" w:rsidRPr="009A2045" w:rsidRDefault="009A1ABB" w:rsidP="009A2045">
      <w:pPr>
        <w:pStyle w:val="TOC2"/>
        <w:tabs>
          <w:tab w:val="left" w:pos="880"/>
          <w:tab w:val="right" w:leader="dot" w:pos="9350"/>
        </w:tabs>
        <w:rPr>
          <w:rFonts w:asciiTheme="minorHAnsi" w:eastAsiaTheme="minorEastAsia" w:hAnsiTheme="minorHAnsi" w:cstheme="minorBidi"/>
          <w:noProof/>
          <w:color w:val="auto"/>
        </w:rPr>
      </w:pPr>
      <w:hyperlink w:anchor="_Toc436043028" w:history="1">
        <w:r w:rsidR="001D59AA" w:rsidRPr="009A2045">
          <w:rPr>
            <w:rStyle w:val="Hyperlink"/>
            <w:i/>
            <w:noProof/>
          </w:rPr>
          <w:t>1.3.</w:t>
        </w:r>
        <w:r w:rsidR="001D59AA" w:rsidRPr="009A2045">
          <w:rPr>
            <w:rFonts w:asciiTheme="minorHAnsi" w:eastAsiaTheme="minorEastAsia" w:hAnsiTheme="minorHAnsi" w:cstheme="minorBidi"/>
            <w:noProof/>
            <w:color w:val="auto"/>
          </w:rPr>
          <w:tab/>
        </w:r>
        <w:r w:rsidR="001D59AA" w:rsidRPr="009A2045">
          <w:rPr>
            <w:rStyle w:val="Hyperlink"/>
            <w:noProof/>
          </w:rPr>
          <w:t>1.3. Conceptual Model</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_Toc436043028 \h </w:instrText>
        </w:r>
        <w:r w:rsidR="001D59AA" w:rsidRPr="009A2045">
          <w:rPr>
            <w:noProof/>
            <w:webHidden/>
          </w:rPr>
        </w:r>
        <w:r w:rsidR="001D59AA" w:rsidRPr="009A2045">
          <w:rPr>
            <w:noProof/>
            <w:webHidden/>
          </w:rPr>
          <w:fldChar w:fldCharType="separate"/>
        </w:r>
        <w:r w:rsidR="001D59AA" w:rsidRPr="009A2045">
          <w:rPr>
            <w:noProof/>
            <w:webHidden/>
          </w:rPr>
          <w:t>32</w:t>
        </w:r>
        <w:r w:rsidR="001D59AA" w:rsidRPr="009A2045">
          <w:rPr>
            <w:noProof/>
            <w:webHidden/>
          </w:rPr>
          <w:fldChar w:fldCharType="end"/>
        </w:r>
      </w:hyperlink>
    </w:p>
    <w:p w14:paraId="3602FA6F"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29" w:history="1">
        <w:r w:rsidR="001D59AA" w:rsidRPr="009A2045">
          <w:rPr>
            <w:rStyle w:val="Hyperlink"/>
            <w:noProof/>
          </w:rPr>
          <w:t>1.3.1.</w:t>
        </w:r>
        <w:r w:rsidR="001D59AA" w:rsidRPr="009A2045">
          <w:rPr>
            <w:rFonts w:asciiTheme="minorHAnsi" w:eastAsiaTheme="minorEastAsia" w:hAnsiTheme="minorHAnsi" w:cstheme="minorBidi"/>
            <w:noProof/>
            <w:color w:val="auto"/>
          </w:rPr>
          <w:tab/>
        </w:r>
        <w:r w:rsidR="001D59AA" w:rsidRPr="009A2045">
          <w:rPr>
            <w:rStyle w:val="Hyperlink"/>
            <w:noProof/>
          </w:rPr>
          <w:t>Conceptual Model for Potential Exposure Routes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_Toc436043029 \h </w:instrText>
        </w:r>
        <w:r w:rsidR="001D59AA" w:rsidRPr="009A2045">
          <w:rPr>
            <w:noProof/>
            <w:webHidden/>
          </w:rPr>
        </w:r>
        <w:r w:rsidR="001D59AA" w:rsidRPr="009A2045">
          <w:rPr>
            <w:noProof/>
            <w:webHidden/>
          </w:rPr>
          <w:fldChar w:fldCharType="separate"/>
        </w:r>
        <w:r w:rsidR="001D59AA" w:rsidRPr="009A2045">
          <w:rPr>
            <w:noProof/>
            <w:webHidden/>
          </w:rPr>
          <w:t>32</w:t>
        </w:r>
        <w:r w:rsidR="001D59AA" w:rsidRPr="009A2045">
          <w:rPr>
            <w:noProof/>
            <w:webHidden/>
          </w:rPr>
          <w:fldChar w:fldCharType="end"/>
        </w:r>
      </w:hyperlink>
    </w:p>
    <w:p w14:paraId="2B4E3271"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30" w:history="1">
        <w:r w:rsidR="001D59AA" w:rsidRPr="009A2045">
          <w:rPr>
            <w:rStyle w:val="Hyperlink"/>
            <w:noProof/>
          </w:rPr>
          <w:t>1.3.2.</w:t>
        </w:r>
        <w:r w:rsidR="001D59AA" w:rsidRPr="009A2045">
          <w:rPr>
            <w:rFonts w:asciiTheme="minorHAnsi" w:eastAsiaTheme="minorEastAsia" w:hAnsiTheme="minorHAnsi" w:cstheme="minorBidi"/>
            <w:noProof/>
            <w:color w:val="auto"/>
          </w:rPr>
          <w:tab/>
        </w:r>
        <w:r w:rsidR="001D59AA" w:rsidRPr="009A2045">
          <w:rPr>
            <w:rStyle w:val="Hyperlink"/>
            <w:noProof/>
          </w:rPr>
          <w:t>Risk Hypotheses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_Toc436043030 \h </w:instrText>
        </w:r>
        <w:r w:rsidR="001D59AA" w:rsidRPr="009A2045">
          <w:rPr>
            <w:noProof/>
            <w:webHidden/>
          </w:rPr>
        </w:r>
        <w:r w:rsidR="001D59AA" w:rsidRPr="009A2045">
          <w:rPr>
            <w:noProof/>
            <w:webHidden/>
          </w:rPr>
          <w:fldChar w:fldCharType="separate"/>
        </w:r>
        <w:r w:rsidR="001D59AA" w:rsidRPr="009A2045">
          <w:rPr>
            <w:noProof/>
            <w:webHidden/>
          </w:rPr>
          <w:t>35</w:t>
        </w:r>
        <w:r w:rsidR="001D59AA" w:rsidRPr="009A2045">
          <w:rPr>
            <w:noProof/>
            <w:webHidden/>
          </w:rPr>
          <w:fldChar w:fldCharType="end"/>
        </w:r>
      </w:hyperlink>
    </w:p>
    <w:p w14:paraId="71F1E2C7" w14:textId="77777777" w:rsidR="001D59AA" w:rsidRPr="009A2045" w:rsidRDefault="009A1ABB" w:rsidP="009A2045">
      <w:pPr>
        <w:pStyle w:val="TOC2"/>
        <w:tabs>
          <w:tab w:val="left" w:pos="880"/>
          <w:tab w:val="right" w:leader="dot" w:pos="9350"/>
        </w:tabs>
        <w:rPr>
          <w:rFonts w:asciiTheme="minorHAnsi" w:eastAsiaTheme="minorEastAsia" w:hAnsiTheme="minorHAnsi" w:cstheme="minorBidi"/>
          <w:noProof/>
          <w:color w:val="auto"/>
        </w:rPr>
      </w:pPr>
      <w:hyperlink w:anchor="_Toc436043031" w:history="1">
        <w:r w:rsidR="001D59AA" w:rsidRPr="009A2045">
          <w:rPr>
            <w:rStyle w:val="Hyperlink"/>
            <w:noProof/>
          </w:rPr>
          <w:t>1.4.</w:t>
        </w:r>
        <w:r w:rsidR="001D59AA" w:rsidRPr="009A2045">
          <w:rPr>
            <w:rFonts w:asciiTheme="minorHAnsi" w:eastAsiaTheme="minorEastAsia" w:hAnsiTheme="minorHAnsi" w:cstheme="minorBidi"/>
            <w:noProof/>
            <w:color w:val="auto"/>
          </w:rPr>
          <w:tab/>
        </w:r>
        <w:r w:rsidR="001D59AA" w:rsidRPr="009A2045">
          <w:rPr>
            <w:rStyle w:val="Hyperlink"/>
            <w:noProof/>
          </w:rPr>
          <w:t>1.4. Analysis Plan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_Toc436043031 \h </w:instrText>
        </w:r>
        <w:r w:rsidR="001D59AA" w:rsidRPr="009A2045">
          <w:rPr>
            <w:noProof/>
            <w:webHidden/>
          </w:rPr>
        </w:r>
        <w:r w:rsidR="001D59AA" w:rsidRPr="009A2045">
          <w:rPr>
            <w:noProof/>
            <w:webHidden/>
          </w:rPr>
          <w:fldChar w:fldCharType="separate"/>
        </w:r>
        <w:r w:rsidR="001D59AA" w:rsidRPr="009A2045">
          <w:rPr>
            <w:noProof/>
            <w:webHidden/>
          </w:rPr>
          <w:t>36</w:t>
        </w:r>
        <w:r w:rsidR="001D59AA" w:rsidRPr="009A2045">
          <w:rPr>
            <w:noProof/>
            <w:webHidden/>
          </w:rPr>
          <w:fldChar w:fldCharType="end"/>
        </w:r>
      </w:hyperlink>
    </w:p>
    <w:p w14:paraId="6795E24E"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32" w:history="1">
        <w:r w:rsidR="001D59AA" w:rsidRPr="009A2045">
          <w:rPr>
            <w:rStyle w:val="Hyperlink"/>
            <w:noProof/>
          </w:rPr>
          <w:t>1.4.1.</w:t>
        </w:r>
        <w:r w:rsidR="001D59AA" w:rsidRPr="009A2045">
          <w:rPr>
            <w:rFonts w:asciiTheme="minorHAnsi" w:eastAsiaTheme="minorEastAsia" w:hAnsiTheme="minorHAnsi" w:cstheme="minorBidi"/>
            <w:noProof/>
            <w:color w:val="auto"/>
          </w:rPr>
          <w:tab/>
        </w:r>
        <w:r w:rsidR="001D59AA" w:rsidRPr="009A2045">
          <w:rPr>
            <w:rStyle w:val="Hyperlink"/>
            <w:noProof/>
          </w:rPr>
          <w:t>Step 1 - May Affect/No Effect Determinations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_Toc436043032 \h </w:instrText>
        </w:r>
        <w:r w:rsidR="001D59AA" w:rsidRPr="009A2045">
          <w:rPr>
            <w:noProof/>
            <w:webHidden/>
          </w:rPr>
        </w:r>
        <w:r w:rsidR="001D59AA" w:rsidRPr="009A2045">
          <w:rPr>
            <w:noProof/>
            <w:webHidden/>
          </w:rPr>
          <w:fldChar w:fldCharType="separate"/>
        </w:r>
        <w:r w:rsidR="001D59AA" w:rsidRPr="009A2045">
          <w:rPr>
            <w:noProof/>
            <w:webHidden/>
          </w:rPr>
          <w:t>37</w:t>
        </w:r>
        <w:r w:rsidR="001D59AA" w:rsidRPr="009A2045">
          <w:rPr>
            <w:noProof/>
            <w:webHidden/>
          </w:rPr>
          <w:fldChar w:fldCharType="end"/>
        </w:r>
      </w:hyperlink>
    </w:p>
    <w:p w14:paraId="7C17A778" w14:textId="77777777" w:rsidR="001D59AA" w:rsidRPr="009A2045" w:rsidRDefault="009A1ABB" w:rsidP="009A2045">
      <w:pPr>
        <w:pStyle w:val="TOC4"/>
        <w:tabs>
          <w:tab w:val="right" w:leader="dot" w:pos="9350"/>
        </w:tabs>
        <w:rPr>
          <w:rFonts w:asciiTheme="minorHAnsi" w:eastAsiaTheme="minorEastAsia" w:hAnsiTheme="minorHAnsi" w:cstheme="minorBidi"/>
          <w:noProof/>
          <w:color w:val="auto"/>
        </w:rPr>
      </w:pPr>
      <w:hyperlink w:anchor="_Toc436043033" w:history="1">
        <w:r w:rsidR="001D59AA" w:rsidRPr="009A2045">
          <w:rPr>
            <w:rStyle w:val="Hyperlink"/>
            <w:noProof/>
          </w:rPr>
          <w:t>1.4.1.1      Action Area</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_Toc436043033 \h </w:instrText>
        </w:r>
        <w:r w:rsidR="001D59AA" w:rsidRPr="009A2045">
          <w:rPr>
            <w:noProof/>
            <w:webHidden/>
          </w:rPr>
        </w:r>
        <w:r w:rsidR="001D59AA" w:rsidRPr="009A2045">
          <w:rPr>
            <w:noProof/>
            <w:webHidden/>
          </w:rPr>
          <w:fldChar w:fldCharType="separate"/>
        </w:r>
        <w:r w:rsidR="001D59AA" w:rsidRPr="009A2045">
          <w:rPr>
            <w:noProof/>
            <w:webHidden/>
          </w:rPr>
          <w:t>38</w:t>
        </w:r>
        <w:r w:rsidR="001D59AA" w:rsidRPr="009A2045">
          <w:rPr>
            <w:noProof/>
            <w:webHidden/>
          </w:rPr>
          <w:fldChar w:fldCharType="end"/>
        </w:r>
      </w:hyperlink>
    </w:p>
    <w:p w14:paraId="32809E55" w14:textId="77777777" w:rsidR="001D59AA" w:rsidRPr="009A2045" w:rsidRDefault="009A1ABB" w:rsidP="009A2045">
      <w:pPr>
        <w:pStyle w:val="TOC5"/>
        <w:tabs>
          <w:tab w:val="left" w:pos="1929"/>
          <w:tab w:val="right" w:leader="dot" w:pos="9350"/>
        </w:tabs>
        <w:rPr>
          <w:rFonts w:asciiTheme="minorHAnsi" w:eastAsiaTheme="minorEastAsia" w:hAnsiTheme="minorHAnsi" w:cstheme="minorBidi"/>
          <w:noProof/>
          <w:color w:val="auto"/>
        </w:rPr>
      </w:pPr>
      <w:hyperlink w:anchor="_Toc436043034" w:history="1">
        <w:r w:rsidR="001D59AA" w:rsidRPr="009A2045">
          <w:rPr>
            <w:rStyle w:val="Hyperlink"/>
            <w:noProof/>
          </w:rPr>
          <w:t>1.4.1.1.a.</w:t>
        </w:r>
        <w:r w:rsidR="001D59AA" w:rsidRPr="009A2045">
          <w:rPr>
            <w:rFonts w:asciiTheme="minorHAnsi" w:eastAsiaTheme="minorEastAsia" w:hAnsiTheme="minorHAnsi" w:cstheme="minorBidi"/>
            <w:noProof/>
            <w:color w:val="auto"/>
          </w:rPr>
          <w:tab/>
        </w:r>
        <w:r w:rsidR="001D59AA" w:rsidRPr="009A2045">
          <w:rPr>
            <w:rStyle w:val="Hyperlink"/>
            <w:noProof/>
          </w:rPr>
          <w:t>Use Site Footprint</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_Toc436043034 \h </w:instrText>
        </w:r>
        <w:r w:rsidR="001D59AA" w:rsidRPr="009A2045">
          <w:rPr>
            <w:noProof/>
            <w:webHidden/>
          </w:rPr>
        </w:r>
        <w:r w:rsidR="001D59AA" w:rsidRPr="009A2045">
          <w:rPr>
            <w:noProof/>
            <w:webHidden/>
          </w:rPr>
          <w:fldChar w:fldCharType="separate"/>
        </w:r>
        <w:r w:rsidR="001D59AA" w:rsidRPr="009A2045">
          <w:rPr>
            <w:noProof/>
            <w:webHidden/>
          </w:rPr>
          <w:t>38</w:t>
        </w:r>
        <w:r w:rsidR="001D59AA" w:rsidRPr="009A2045">
          <w:rPr>
            <w:noProof/>
            <w:webHidden/>
          </w:rPr>
          <w:fldChar w:fldCharType="end"/>
        </w:r>
      </w:hyperlink>
    </w:p>
    <w:p w14:paraId="0B46E08C" w14:textId="77777777" w:rsidR="001D59AA" w:rsidRPr="009A2045" w:rsidRDefault="009A1ABB" w:rsidP="009A2045">
      <w:pPr>
        <w:pStyle w:val="TOC5"/>
        <w:tabs>
          <w:tab w:val="left" w:pos="1939"/>
          <w:tab w:val="right" w:leader="dot" w:pos="9350"/>
        </w:tabs>
        <w:rPr>
          <w:rFonts w:asciiTheme="minorHAnsi" w:eastAsiaTheme="minorEastAsia" w:hAnsiTheme="minorHAnsi" w:cstheme="minorBidi"/>
          <w:noProof/>
          <w:color w:val="auto"/>
        </w:rPr>
      </w:pPr>
      <w:hyperlink w:anchor="_Toc436043035" w:history="1">
        <w:r w:rsidR="001D59AA" w:rsidRPr="009A2045">
          <w:rPr>
            <w:rStyle w:val="Hyperlink"/>
            <w:noProof/>
          </w:rPr>
          <w:t>1.4.1.1.b.</w:t>
        </w:r>
        <w:r w:rsidR="001D59AA" w:rsidRPr="009A2045">
          <w:rPr>
            <w:rFonts w:asciiTheme="minorHAnsi" w:eastAsiaTheme="minorEastAsia" w:hAnsiTheme="minorHAnsi" w:cstheme="minorBidi"/>
            <w:noProof/>
            <w:color w:val="auto"/>
          </w:rPr>
          <w:tab/>
        </w:r>
        <w:r w:rsidR="001D59AA" w:rsidRPr="009A2045">
          <w:rPr>
            <w:rStyle w:val="Hyperlink"/>
            <w:noProof/>
          </w:rPr>
          <w:t>Thresholds of effects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_Toc436043035 \h </w:instrText>
        </w:r>
        <w:r w:rsidR="001D59AA" w:rsidRPr="009A2045">
          <w:rPr>
            <w:noProof/>
            <w:webHidden/>
          </w:rPr>
        </w:r>
        <w:r w:rsidR="001D59AA" w:rsidRPr="009A2045">
          <w:rPr>
            <w:noProof/>
            <w:webHidden/>
          </w:rPr>
          <w:fldChar w:fldCharType="separate"/>
        </w:r>
        <w:r w:rsidR="001D59AA" w:rsidRPr="009A2045">
          <w:rPr>
            <w:noProof/>
            <w:webHidden/>
          </w:rPr>
          <w:t>39</w:t>
        </w:r>
        <w:r w:rsidR="001D59AA" w:rsidRPr="009A2045">
          <w:rPr>
            <w:noProof/>
            <w:webHidden/>
          </w:rPr>
          <w:fldChar w:fldCharType="end"/>
        </w:r>
      </w:hyperlink>
    </w:p>
    <w:p w14:paraId="39212125" w14:textId="77777777" w:rsidR="001D59AA" w:rsidRPr="009A2045" w:rsidRDefault="009A1ABB" w:rsidP="009A2045">
      <w:pPr>
        <w:pStyle w:val="TOC6"/>
        <w:tabs>
          <w:tab w:val="left" w:pos="2271"/>
          <w:tab w:val="right" w:leader="dot" w:pos="9350"/>
        </w:tabs>
        <w:rPr>
          <w:rFonts w:asciiTheme="minorHAnsi" w:eastAsiaTheme="minorEastAsia" w:hAnsiTheme="minorHAnsi" w:cstheme="minorBidi"/>
          <w:noProof/>
          <w:color w:val="auto"/>
        </w:rPr>
      </w:pPr>
      <w:hyperlink w:anchor="_Toc436043036" w:history="1">
        <w:r w:rsidR="001D59AA" w:rsidRPr="009A2045">
          <w:rPr>
            <w:rStyle w:val="Hyperlink"/>
            <w:noProof/>
          </w:rPr>
          <w:t>1.4.1.1.b.1</w:t>
        </w:r>
        <w:r w:rsidR="001D59AA" w:rsidRPr="009A2045">
          <w:rPr>
            <w:rFonts w:asciiTheme="minorHAnsi" w:eastAsiaTheme="minorEastAsia" w:hAnsiTheme="minorHAnsi" w:cstheme="minorBidi"/>
            <w:noProof/>
            <w:color w:val="auto"/>
          </w:rPr>
          <w:tab/>
        </w:r>
        <w:r w:rsidR="001D59AA" w:rsidRPr="009A2045">
          <w:rPr>
            <w:rStyle w:val="Hyperlink"/>
            <w:noProof/>
          </w:rPr>
          <w:t>Mortality (acute) and sublethal thresholds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_Toc436043036 \h </w:instrText>
        </w:r>
        <w:r w:rsidR="001D59AA" w:rsidRPr="009A2045">
          <w:rPr>
            <w:noProof/>
            <w:webHidden/>
          </w:rPr>
        </w:r>
        <w:r w:rsidR="001D59AA" w:rsidRPr="009A2045">
          <w:rPr>
            <w:noProof/>
            <w:webHidden/>
          </w:rPr>
          <w:fldChar w:fldCharType="separate"/>
        </w:r>
        <w:r w:rsidR="001D59AA" w:rsidRPr="009A2045">
          <w:rPr>
            <w:noProof/>
            <w:webHidden/>
          </w:rPr>
          <w:t>39</w:t>
        </w:r>
        <w:r w:rsidR="001D59AA" w:rsidRPr="009A2045">
          <w:rPr>
            <w:noProof/>
            <w:webHidden/>
          </w:rPr>
          <w:fldChar w:fldCharType="end"/>
        </w:r>
      </w:hyperlink>
    </w:p>
    <w:p w14:paraId="47014A74" w14:textId="77777777" w:rsidR="001D59AA" w:rsidRPr="009A2045" w:rsidRDefault="009A1ABB" w:rsidP="009A2045">
      <w:pPr>
        <w:pStyle w:val="TOC5"/>
        <w:tabs>
          <w:tab w:val="left" w:pos="1917"/>
          <w:tab w:val="right" w:leader="dot" w:pos="9350"/>
        </w:tabs>
        <w:rPr>
          <w:rFonts w:asciiTheme="minorHAnsi" w:eastAsiaTheme="minorEastAsia" w:hAnsiTheme="minorHAnsi" w:cstheme="minorBidi"/>
          <w:noProof/>
          <w:color w:val="auto"/>
        </w:rPr>
      </w:pPr>
      <w:hyperlink w:anchor="_Toc436043037" w:history="1">
        <w:r w:rsidR="001D59AA" w:rsidRPr="009A2045">
          <w:rPr>
            <w:rStyle w:val="Hyperlink"/>
            <w:noProof/>
          </w:rPr>
          <w:t>1.4.1.1.c.</w:t>
        </w:r>
        <w:r w:rsidR="001D59AA" w:rsidRPr="009A2045">
          <w:rPr>
            <w:rFonts w:asciiTheme="minorHAnsi" w:eastAsiaTheme="minorEastAsia" w:hAnsiTheme="minorHAnsi" w:cstheme="minorBidi"/>
            <w:noProof/>
            <w:color w:val="auto"/>
          </w:rPr>
          <w:tab/>
        </w:r>
        <w:r w:rsidR="001D59AA" w:rsidRPr="009A2045">
          <w:rPr>
            <w:rStyle w:val="Hyperlink"/>
            <w:noProof/>
          </w:rPr>
          <w:t>Off-site Transport Area</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_Toc436043037 \h </w:instrText>
        </w:r>
        <w:r w:rsidR="001D59AA" w:rsidRPr="009A2045">
          <w:rPr>
            <w:noProof/>
            <w:webHidden/>
          </w:rPr>
        </w:r>
        <w:r w:rsidR="001D59AA" w:rsidRPr="009A2045">
          <w:rPr>
            <w:noProof/>
            <w:webHidden/>
          </w:rPr>
          <w:fldChar w:fldCharType="separate"/>
        </w:r>
        <w:r w:rsidR="001D59AA" w:rsidRPr="009A2045">
          <w:rPr>
            <w:noProof/>
            <w:webHidden/>
          </w:rPr>
          <w:t>41</w:t>
        </w:r>
        <w:r w:rsidR="001D59AA" w:rsidRPr="009A2045">
          <w:rPr>
            <w:noProof/>
            <w:webHidden/>
          </w:rPr>
          <w:fldChar w:fldCharType="end"/>
        </w:r>
      </w:hyperlink>
    </w:p>
    <w:p w14:paraId="17921EF5" w14:textId="77777777" w:rsidR="001D59AA" w:rsidRPr="009A2045" w:rsidRDefault="009A1ABB" w:rsidP="009A2045">
      <w:pPr>
        <w:pStyle w:val="TOC6"/>
        <w:tabs>
          <w:tab w:val="right" w:leader="dot" w:pos="9350"/>
        </w:tabs>
        <w:rPr>
          <w:rFonts w:asciiTheme="minorHAnsi" w:eastAsiaTheme="minorEastAsia" w:hAnsiTheme="minorHAnsi" w:cstheme="minorBidi"/>
          <w:noProof/>
          <w:color w:val="auto"/>
        </w:rPr>
      </w:pPr>
      <w:hyperlink w:anchor="_Toc436043038" w:history="1">
        <w:r w:rsidR="001D59AA" w:rsidRPr="009A2045">
          <w:rPr>
            <w:rStyle w:val="Hyperlink"/>
            <w:noProof/>
          </w:rPr>
          <w:t>1.4.1.1.c.1    Aquatic Modeling</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_Toc436043038 \h </w:instrText>
        </w:r>
        <w:r w:rsidR="001D59AA" w:rsidRPr="009A2045">
          <w:rPr>
            <w:noProof/>
            <w:webHidden/>
          </w:rPr>
        </w:r>
        <w:r w:rsidR="001D59AA" w:rsidRPr="009A2045">
          <w:rPr>
            <w:noProof/>
            <w:webHidden/>
          </w:rPr>
          <w:fldChar w:fldCharType="separate"/>
        </w:r>
        <w:r w:rsidR="001D59AA" w:rsidRPr="009A2045">
          <w:rPr>
            <w:noProof/>
            <w:webHidden/>
          </w:rPr>
          <w:t>41</w:t>
        </w:r>
        <w:r w:rsidR="001D59AA" w:rsidRPr="009A2045">
          <w:rPr>
            <w:noProof/>
            <w:webHidden/>
          </w:rPr>
          <w:fldChar w:fldCharType="end"/>
        </w:r>
      </w:hyperlink>
    </w:p>
    <w:p w14:paraId="5BBA562C" w14:textId="77777777" w:rsidR="001D59AA" w:rsidRPr="009A2045" w:rsidRDefault="009A1ABB" w:rsidP="009A2045">
      <w:pPr>
        <w:pStyle w:val="TOC6"/>
        <w:tabs>
          <w:tab w:val="left" w:pos="2248"/>
          <w:tab w:val="right" w:leader="dot" w:pos="9350"/>
        </w:tabs>
        <w:rPr>
          <w:rFonts w:asciiTheme="minorHAnsi" w:eastAsiaTheme="minorEastAsia" w:hAnsiTheme="minorHAnsi" w:cstheme="minorBidi"/>
          <w:noProof/>
          <w:color w:val="auto"/>
        </w:rPr>
      </w:pPr>
      <w:hyperlink w:anchor="_Toc436043039" w:history="1">
        <w:r w:rsidR="001D59AA" w:rsidRPr="009A2045">
          <w:rPr>
            <w:rStyle w:val="Hyperlink"/>
            <w:noProof/>
          </w:rPr>
          <w:t>1.4.1.1.c.2</w:t>
        </w:r>
        <w:r w:rsidR="001D59AA" w:rsidRPr="009A2045">
          <w:rPr>
            <w:rFonts w:asciiTheme="minorHAnsi" w:eastAsiaTheme="minorEastAsia" w:hAnsiTheme="minorHAnsi" w:cstheme="minorBidi"/>
            <w:noProof/>
            <w:color w:val="auto"/>
          </w:rPr>
          <w:tab/>
        </w:r>
        <w:r w:rsidR="001D59AA" w:rsidRPr="009A2045">
          <w:rPr>
            <w:rStyle w:val="Hyperlink"/>
            <w:noProof/>
          </w:rPr>
          <w:t>Terrestrial Modeling</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_Toc436043039 \h </w:instrText>
        </w:r>
        <w:r w:rsidR="001D59AA" w:rsidRPr="009A2045">
          <w:rPr>
            <w:noProof/>
            <w:webHidden/>
          </w:rPr>
        </w:r>
        <w:r w:rsidR="001D59AA" w:rsidRPr="009A2045">
          <w:rPr>
            <w:noProof/>
            <w:webHidden/>
          </w:rPr>
          <w:fldChar w:fldCharType="separate"/>
        </w:r>
        <w:r w:rsidR="001D59AA" w:rsidRPr="009A2045">
          <w:rPr>
            <w:noProof/>
            <w:webHidden/>
          </w:rPr>
          <w:t>43</w:t>
        </w:r>
        <w:r w:rsidR="001D59AA" w:rsidRPr="009A2045">
          <w:rPr>
            <w:noProof/>
            <w:webHidden/>
          </w:rPr>
          <w:fldChar w:fldCharType="end"/>
        </w:r>
      </w:hyperlink>
    </w:p>
    <w:p w14:paraId="1688C688"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40" w:history="1">
        <w:r w:rsidR="001D59AA" w:rsidRPr="009A2045">
          <w:rPr>
            <w:rStyle w:val="Hyperlink"/>
            <w:noProof/>
          </w:rPr>
          <w:t>1.4.1.2.</w:t>
        </w:r>
        <w:r w:rsidR="001D59AA" w:rsidRPr="009A2045">
          <w:rPr>
            <w:rFonts w:asciiTheme="minorHAnsi" w:eastAsiaTheme="minorEastAsia" w:hAnsiTheme="minorHAnsi" w:cstheme="minorBidi"/>
            <w:noProof/>
            <w:color w:val="auto"/>
          </w:rPr>
          <w:tab/>
        </w:r>
        <w:r w:rsidR="001D59AA" w:rsidRPr="009A2045">
          <w:rPr>
            <w:rStyle w:val="Hyperlink"/>
            <w:noProof/>
          </w:rPr>
          <w:t>Species/Critical Habitat Locations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_Toc436043040 \h </w:instrText>
        </w:r>
        <w:r w:rsidR="001D59AA" w:rsidRPr="009A2045">
          <w:rPr>
            <w:noProof/>
            <w:webHidden/>
          </w:rPr>
        </w:r>
        <w:r w:rsidR="001D59AA" w:rsidRPr="009A2045">
          <w:rPr>
            <w:noProof/>
            <w:webHidden/>
          </w:rPr>
          <w:fldChar w:fldCharType="separate"/>
        </w:r>
        <w:r w:rsidR="001D59AA" w:rsidRPr="009A2045">
          <w:rPr>
            <w:noProof/>
            <w:webHidden/>
          </w:rPr>
          <w:t>43</w:t>
        </w:r>
        <w:r w:rsidR="001D59AA" w:rsidRPr="009A2045">
          <w:rPr>
            <w:noProof/>
            <w:webHidden/>
          </w:rPr>
          <w:fldChar w:fldCharType="end"/>
        </w:r>
      </w:hyperlink>
    </w:p>
    <w:p w14:paraId="1834FC24"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41" w:history="1">
        <w:r w:rsidR="001D59AA" w:rsidRPr="009A2045">
          <w:rPr>
            <w:rStyle w:val="Hyperlink"/>
            <w:noProof/>
          </w:rPr>
          <w:t>1.4.1.3.</w:t>
        </w:r>
        <w:r w:rsidR="001D59AA" w:rsidRPr="009A2045">
          <w:rPr>
            <w:rFonts w:asciiTheme="minorHAnsi" w:eastAsiaTheme="minorEastAsia" w:hAnsiTheme="minorHAnsi" w:cstheme="minorBidi"/>
            <w:noProof/>
            <w:color w:val="auto"/>
          </w:rPr>
          <w:tab/>
        </w:r>
        <w:r w:rsidR="001D59AA" w:rsidRPr="009A2045">
          <w:rPr>
            <w:rStyle w:val="Hyperlink"/>
            <w:noProof/>
          </w:rPr>
          <w:t>Overlap Analysis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_Toc436043041 \h </w:instrText>
        </w:r>
        <w:r w:rsidR="001D59AA" w:rsidRPr="009A2045">
          <w:rPr>
            <w:noProof/>
            <w:webHidden/>
          </w:rPr>
        </w:r>
        <w:r w:rsidR="001D59AA" w:rsidRPr="009A2045">
          <w:rPr>
            <w:noProof/>
            <w:webHidden/>
          </w:rPr>
          <w:fldChar w:fldCharType="separate"/>
        </w:r>
        <w:r w:rsidR="001D59AA" w:rsidRPr="009A2045">
          <w:rPr>
            <w:noProof/>
            <w:webHidden/>
          </w:rPr>
          <w:t>44</w:t>
        </w:r>
        <w:r w:rsidR="001D59AA" w:rsidRPr="009A2045">
          <w:rPr>
            <w:noProof/>
            <w:webHidden/>
          </w:rPr>
          <w:fldChar w:fldCharType="end"/>
        </w:r>
      </w:hyperlink>
    </w:p>
    <w:p w14:paraId="43B9B56A" w14:textId="77777777" w:rsidR="001D59AA" w:rsidRPr="009A2045" w:rsidRDefault="009A1ABB" w:rsidP="009A2045">
      <w:pPr>
        <w:pStyle w:val="TOC3"/>
        <w:tabs>
          <w:tab w:val="left" w:pos="1320"/>
          <w:tab w:val="right" w:leader="dot" w:pos="9350"/>
        </w:tabs>
        <w:rPr>
          <w:rFonts w:asciiTheme="minorHAnsi" w:eastAsiaTheme="minorEastAsia" w:hAnsiTheme="minorHAnsi" w:cstheme="minorBidi"/>
          <w:noProof/>
          <w:color w:val="auto"/>
        </w:rPr>
      </w:pPr>
      <w:hyperlink w:anchor="_Toc436043042" w:history="1">
        <w:r w:rsidR="001D59AA" w:rsidRPr="009A2045">
          <w:rPr>
            <w:rStyle w:val="Hyperlink"/>
            <w:noProof/>
          </w:rPr>
          <w:t>1.4.2.</w:t>
        </w:r>
        <w:r w:rsidR="001D59AA" w:rsidRPr="009A2045">
          <w:rPr>
            <w:rFonts w:asciiTheme="minorHAnsi" w:eastAsiaTheme="minorEastAsia" w:hAnsiTheme="minorHAnsi" w:cstheme="minorBidi"/>
            <w:noProof/>
            <w:color w:val="auto"/>
          </w:rPr>
          <w:tab/>
        </w:r>
        <w:r w:rsidR="001D59AA" w:rsidRPr="009A2045">
          <w:rPr>
            <w:rStyle w:val="Hyperlink"/>
            <w:noProof/>
          </w:rPr>
          <w:t>Step 2 – LAA/NLAA Determinations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_Toc436043042 \h </w:instrText>
        </w:r>
        <w:r w:rsidR="001D59AA" w:rsidRPr="009A2045">
          <w:rPr>
            <w:noProof/>
            <w:webHidden/>
          </w:rPr>
        </w:r>
        <w:r w:rsidR="001D59AA" w:rsidRPr="009A2045">
          <w:rPr>
            <w:noProof/>
            <w:webHidden/>
          </w:rPr>
          <w:fldChar w:fldCharType="separate"/>
        </w:r>
        <w:r w:rsidR="001D59AA" w:rsidRPr="009A2045">
          <w:rPr>
            <w:noProof/>
            <w:webHidden/>
          </w:rPr>
          <w:t>45</w:t>
        </w:r>
        <w:r w:rsidR="001D59AA" w:rsidRPr="009A2045">
          <w:rPr>
            <w:noProof/>
            <w:webHidden/>
          </w:rPr>
          <w:fldChar w:fldCharType="end"/>
        </w:r>
      </w:hyperlink>
    </w:p>
    <w:p w14:paraId="46717029"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43" w:history="1">
        <w:r w:rsidR="001D59AA" w:rsidRPr="009A2045">
          <w:rPr>
            <w:rStyle w:val="Hyperlink"/>
            <w:noProof/>
          </w:rPr>
          <w:t>1.4.2.1.</w:t>
        </w:r>
        <w:r w:rsidR="001D59AA" w:rsidRPr="009A2045">
          <w:rPr>
            <w:rFonts w:asciiTheme="minorHAnsi" w:eastAsiaTheme="minorEastAsia" w:hAnsiTheme="minorHAnsi" w:cstheme="minorBidi"/>
            <w:noProof/>
            <w:color w:val="auto"/>
          </w:rPr>
          <w:tab/>
        </w:r>
        <w:r w:rsidR="001D59AA" w:rsidRPr="009A2045">
          <w:rPr>
            <w:rStyle w:val="Hyperlink"/>
            <w:noProof/>
          </w:rPr>
          <w:t>Lines of Evidence</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_Toc436043043 \h </w:instrText>
        </w:r>
        <w:r w:rsidR="001D59AA" w:rsidRPr="009A2045">
          <w:rPr>
            <w:noProof/>
            <w:webHidden/>
          </w:rPr>
        </w:r>
        <w:r w:rsidR="001D59AA" w:rsidRPr="009A2045">
          <w:rPr>
            <w:noProof/>
            <w:webHidden/>
          </w:rPr>
          <w:fldChar w:fldCharType="separate"/>
        </w:r>
        <w:r w:rsidR="001D59AA" w:rsidRPr="009A2045">
          <w:rPr>
            <w:noProof/>
            <w:webHidden/>
          </w:rPr>
          <w:t>46</w:t>
        </w:r>
        <w:r w:rsidR="001D59AA" w:rsidRPr="009A2045">
          <w:rPr>
            <w:noProof/>
            <w:webHidden/>
          </w:rPr>
          <w:fldChar w:fldCharType="end"/>
        </w:r>
      </w:hyperlink>
    </w:p>
    <w:p w14:paraId="08E8A7C5" w14:textId="77777777" w:rsidR="001D59AA" w:rsidRPr="009A2045" w:rsidRDefault="009A1ABB" w:rsidP="009A2045">
      <w:pPr>
        <w:pStyle w:val="TOC4"/>
        <w:tabs>
          <w:tab w:val="left" w:pos="1760"/>
          <w:tab w:val="right" w:leader="dot" w:pos="9350"/>
        </w:tabs>
        <w:rPr>
          <w:rFonts w:asciiTheme="minorHAnsi" w:eastAsiaTheme="minorEastAsia" w:hAnsiTheme="minorHAnsi" w:cstheme="minorBidi"/>
          <w:noProof/>
          <w:color w:val="auto"/>
        </w:rPr>
      </w:pPr>
      <w:hyperlink w:anchor="_Toc436043044" w:history="1">
        <w:r w:rsidR="001D59AA" w:rsidRPr="009A2045">
          <w:rPr>
            <w:rStyle w:val="Hyperlink"/>
            <w:noProof/>
          </w:rPr>
          <w:t>1.4.2.2.</w:t>
        </w:r>
        <w:r w:rsidR="001D59AA" w:rsidRPr="009A2045">
          <w:rPr>
            <w:rFonts w:asciiTheme="minorHAnsi" w:eastAsiaTheme="minorEastAsia" w:hAnsiTheme="minorHAnsi" w:cstheme="minorBidi"/>
            <w:noProof/>
            <w:color w:val="auto"/>
          </w:rPr>
          <w:tab/>
        </w:r>
        <w:r w:rsidR="001D59AA" w:rsidRPr="009A2045">
          <w:rPr>
            <w:rStyle w:val="Hyperlink"/>
            <w:noProof/>
          </w:rPr>
          <w:t>Weight of Evidence Approach</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_Toc436043044 \h </w:instrText>
        </w:r>
        <w:r w:rsidR="001D59AA" w:rsidRPr="009A2045">
          <w:rPr>
            <w:noProof/>
            <w:webHidden/>
          </w:rPr>
        </w:r>
        <w:r w:rsidR="001D59AA" w:rsidRPr="009A2045">
          <w:rPr>
            <w:noProof/>
            <w:webHidden/>
          </w:rPr>
          <w:fldChar w:fldCharType="separate"/>
        </w:r>
        <w:r w:rsidR="001D59AA" w:rsidRPr="009A2045">
          <w:rPr>
            <w:noProof/>
            <w:webHidden/>
          </w:rPr>
          <w:t>54</w:t>
        </w:r>
        <w:r w:rsidR="001D59AA" w:rsidRPr="009A2045">
          <w:rPr>
            <w:noProof/>
            <w:webHidden/>
          </w:rPr>
          <w:fldChar w:fldCharType="end"/>
        </w:r>
      </w:hyperlink>
    </w:p>
    <w:p w14:paraId="6078DFFF" w14:textId="77777777" w:rsidR="001D59AA" w:rsidRPr="009A2045" w:rsidRDefault="009A1ABB" w:rsidP="009A2045">
      <w:pPr>
        <w:pStyle w:val="TOC5"/>
        <w:tabs>
          <w:tab w:val="left" w:pos="1929"/>
          <w:tab w:val="right" w:leader="dot" w:pos="9350"/>
        </w:tabs>
        <w:rPr>
          <w:rFonts w:asciiTheme="minorHAnsi" w:eastAsiaTheme="minorEastAsia" w:hAnsiTheme="minorHAnsi" w:cstheme="minorBidi"/>
          <w:noProof/>
          <w:color w:val="auto"/>
        </w:rPr>
      </w:pPr>
      <w:hyperlink w:anchor="_Toc436043045" w:history="1">
        <w:r w:rsidR="001D59AA" w:rsidRPr="009A2045">
          <w:rPr>
            <w:rStyle w:val="Hyperlink"/>
            <w:noProof/>
          </w:rPr>
          <w:t>1.4.2.2.a.</w:t>
        </w:r>
        <w:r w:rsidR="001D59AA" w:rsidRPr="009A2045">
          <w:rPr>
            <w:rFonts w:asciiTheme="minorHAnsi" w:eastAsiaTheme="minorEastAsia" w:hAnsiTheme="minorHAnsi" w:cstheme="minorBidi"/>
            <w:noProof/>
            <w:color w:val="auto"/>
          </w:rPr>
          <w:tab/>
        </w:r>
        <w:r w:rsidR="001D59AA" w:rsidRPr="009A2045">
          <w:rPr>
            <w:rStyle w:val="Hyperlink"/>
            <w:noProof/>
          </w:rPr>
          <w:t>Estimated exposures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_Toc436043045 \h </w:instrText>
        </w:r>
        <w:r w:rsidR="001D59AA" w:rsidRPr="009A2045">
          <w:rPr>
            <w:noProof/>
            <w:webHidden/>
          </w:rPr>
        </w:r>
        <w:r w:rsidR="001D59AA" w:rsidRPr="009A2045">
          <w:rPr>
            <w:noProof/>
            <w:webHidden/>
          </w:rPr>
          <w:fldChar w:fldCharType="separate"/>
        </w:r>
        <w:r w:rsidR="001D59AA" w:rsidRPr="009A2045">
          <w:rPr>
            <w:noProof/>
            <w:webHidden/>
          </w:rPr>
          <w:t>58</w:t>
        </w:r>
        <w:r w:rsidR="001D59AA" w:rsidRPr="009A2045">
          <w:rPr>
            <w:noProof/>
            <w:webHidden/>
          </w:rPr>
          <w:fldChar w:fldCharType="end"/>
        </w:r>
      </w:hyperlink>
    </w:p>
    <w:p w14:paraId="183612A7" w14:textId="77777777" w:rsidR="001D59AA" w:rsidRPr="009A2045" w:rsidRDefault="009A1ABB" w:rsidP="009A2045">
      <w:pPr>
        <w:pStyle w:val="TOC6"/>
        <w:tabs>
          <w:tab w:val="left" w:pos="2316"/>
          <w:tab w:val="right" w:leader="dot" w:pos="9350"/>
        </w:tabs>
        <w:rPr>
          <w:rFonts w:asciiTheme="minorHAnsi" w:eastAsiaTheme="minorEastAsia" w:hAnsiTheme="minorHAnsi" w:cstheme="minorBidi"/>
          <w:noProof/>
          <w:color w:val="auto"/>
        </w:rPr>
      </w:pPr>
      <w:hyperlink w:anchor="_Toc436043046" w:history="1">
        <w:r w:rsidR="001D59AA" w:rsidRPr="009A2045">
          <w:rPr>
            <w:rStyle w:val="Hyperlink"/>
            <w:noProof/>
          </w:rPr>
          <w:t>1.4.2.2.a.1.</w:t>
        </w:r>
        <w:r w:rsidR="001D59AA" w:rsidRPr="009A2045">
          <w:rPr>
            <w:rFonts w:asciiTheme="minorHAnsi" w:eastAsiaTheme="minorEastAsia" w:hAnsiTheme="minorHAnsi" w:cstheme="minorBidi"/>
            <w:noProof/>
            <w:color w:val="auto"/>
          </w:rPr>
          <w:tab/>
        </w:r>
        <w:r w:rsidR="001D59AA" w:rsidRPr="009A2045">
          <w:rPr>
            <w:rStyle w:val="Hyperlink"/>
            <w:noProof/>
          </w:rPr>
          <w:t>Aquatic habitats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_Toc436043046 \h </w:instrText>
        </w:r>
        <w:r w:rsidR="001D59AA" w:rsidRPr="009A2045">
          <w:rPr>
            <w:noProof/>
            <w:webHidden/>
          </w:rPr>
        </w:r>
        <w:r w:rsidR="001D59AA" w:rsidRPr="009A2045">
          <w:rPr>
            <w:noProof/>
            <w:webHidden/>
          </w:rPr>
          <w:fldChar w:fldCharType="separate"/>
        </w:r>
        <w:r w:rsidR="001D59AA" w:rsidRPr="009A2045">
          <w:rPr>
            <w:noProof/>
            <w:webHidden/>
          </w:rPr>
          <w:t>58</w:t>
        </w:r>
        <w:r w:rsidR="001D59AA" w:rsidRPr="009A2045">
          <w:rPr>
            <w:noProof/>
            <w:webHidden/>
          </w:rPr>
          <w:fldChar w:fldCharType="end"/>
        </w:r>
      </w:hyperlink>
    </w:p>
    <w:p w14:paraId="6D76626A" w14:textId="77777777" w:rsidR="001D59AA" w:rsidRPr="009A2045" w:rsidRDefault="009A1ABB" w:rsidP="009A2045">
      <w:pPr>
        <w:pStyle w:val="TOC6"/>
        <w:tabs>
          <w:tab w:val="left" w:pos="2316"/>
          <w:tab w:val="right" w:leader="dot" w:pos="9350"/>
        </w:tabs>
        <w:rPr>
          <w:rFonts w:asciiTheme="minorHAnsi" w:eastAsiaTheme="minorEastAsia" w:hAnsiTheme="minorHAnsi" w:cstheme="minorBidi"/>
          <w:noProof/>
          <w:color w:val="auto"/>
        </w:rPr>
      </w:pPr>
      <w:hyperlink w:anchor="_Toc436043047" w:history="1">
        <w:r w:rsidR="001D59AA" w:rsidRPr="009A2045">
          <w:rPr>
            <w:rStyle w:val="Hyperlink"/>
            <w:noProof/>
          </w:rPr>
          <w:t>1.4.2.2.a.2.</w:t>
        </w:r>
        <w:r w:rsidR="001D59AA" w:rsidRPr="009A2045">
          <w:rPr>
            <w:rFonts w:asciiTheme="minorHAnsi" w:eastAsiaTheme="minorEastAsia" w:hAnsiTheme="minorHAnsi" w:cstheme="minorBidi"/>
            <w:noProof/>
            <w:color w:val="auto"/>
          </w:rPr>
          <w:tab/>
        </w:r>
        <w:r w:rsidR="001D59AA" w:rsidRPr="009A2045">
          <w:rPr>
            <w:rStyle w:val="Hyperlink"/>
            <w:noProof/>
          </w:rPr>
          <w:t>Terrestrial habitats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_Toc436043047 \h </w:instrText>
        </w:r>
        <w:r w:rsidR="001D59AA" w:rsidRPr="009A2045">
          <w:rPr>
            <w:noProof/>
            <w:webHidden/>
          </w:rPr>
        </w:r>
        <w:r w:rsidR="001D59AA" w:rsidRPr="009A2045">
          <w:rPr>
            <w:noProof/>
            <w:webHidden/>
          </w:rPr>
          <w:fldChar w:fldCharType="separate"/>
        </w:r>
        <w:r w:rsidR="001D59AA" w:rsidRPr="009A2045">
          <w:rPr>
            <w:noProof/>
            <w:webHidden/>
          </w:rPr>
          <w:t>60</w:t>
        </w:r>
        <w:r w:rsidR="001D59AA" w:rsidRPr="009A2045">
          <w:rPr>
            <w:noProof/>
            <w:webHidden/>
          </w:rPr>
          <w:fldChar w:fldCharType="end"/>
        </w:r>
      </w:hyperlink>
    </w:p>
    <w:p w14:paraId="71AA5CDD" w14:textId="77777777" w:rsidR="001D59AA" w:rsidRPr="009A2045" w:rsidRDefault="009A1ABB" w:rsidP="009A2045">
      <w:pPr>
        <w:pStyle w:val="TOC5"/>
        <w:tabs>
          <w:tab w:val="right" w:leader="dot" w:pos="9350"/>
        </w:tabs>
        <w:rPr>
          <w:rFonts w:asciiTheme="minorHAnsi" w:eastAsiaTheme="minorEastAsia" w:hAnsiTheme="minorHAnsi" w:cstheme="minorBidi"/>
          <w:noProof/>
          <w:color w:val="auto"/>
        </w:rPr>
      </w:pPr>
      <w:hyperlink w:anchor="_Toc436043048" w:history="1">
        <w:r w:rsidR="001D59AA" w:rsidRPr="009A2045">
          <w:rPr>
            <w:rStyle w:val="Hyperlink"/>
            <w:noProof/>
          </w:rPr>
          <w:t>1.4.2.2.b. Estimated effects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_Toc436043048 \h </w:instrText>
        </w:r>
        <w:r w:rsidR="001D59AA" w:rsidRPr="009A2045">
          <w:rPr>
            <w:noProof/>
            <w:webHidden/>
          </w:rPr>
        </w:r>
        <w:r w:rsidR="001D59AA" w:rsidRPr="009A2045">
          <w:rPr>
            <w:noProof/>
            <w:webHidden/>
          </w:rPr>
          <w:fldChar w:fldCharType="separate"/>
        </w:r>
        <w:r w:rsidR="001D59AA" w:rsidRPr="009A2045">
          <w:rPr>
            <w:noProof/>
            <w:webHidden/>
          </w:rPr>
          <w:t>61</w:t>
        </w:r>
        <w:r w:rsidR="001D59AA" w:rsidRPr="009A2045">
          <w:rPr>
            <w:noProof/>
            <w:webHidden/>
          </w:rPr>
          <w:fldChar w:fldCharType="end"/>
        </w:r>
      </w:hyperlink>
    </w:p>
    <w:p w14:paraId="2FB97AE7" w14:textId="77777777" w:rsidR="001D59AA" w:rsidRPr="009A2045" w:rsidRDefault="009A1ABB" w:rsidP="009A2045">
      <w:pPr>
        <w:pStyle w:val="TOC6"/>
        <w:tabs>
          <w:tab w:val="left" w:pos="2271"/>
          <w:tab w:val="right" w:leader="dot" w:pos="9350"/>
        </w:tabs>
        <w:rPr>
          <w:rFonts w:asciiTheme="minorHAnsi" w:eastAsiaTheme="minorEastAsia" w:hAnsiTheme="minorHAnsi" w:cstheme="minorBidi"/>
          <w:noProof/>
          <w:color w:val="auto"/>
        </w:rPr>
      </w:pPr>
      <w:hyperlink w:anchor="_Toc436043049" w:history="1">
        <w:r w:rsidR="001D59AA" w:rsidRPr="009A2045">
          <w:rPr>
            <w:rStyle w:val="Hyperlink"/>
            <w:noProof/>
          </w:rPr>
          <w:t>1.4.2.2.b.1</w:t>
        </w:r>
        <w:r w:rsidR="001D59AA" w:rsidRPr="009A2045">
          <w:rPr>
            <w:rFonts w:asciiTheme="minorHAnsi" w:eastAsiaTheme="minorEastAsia" w:hAnsiTheme="minorHAnsi" w:cstheme="minorBidi"/>
            <w:noProof/>
            <w:color w:val="auto"/>
          </w:rPr>
          <w:tab/>
        </w:r>
        <w:r w:rsidR="001D59AA" w:rsidRPr="009A2045">
          <w:rPr>
            <w:rStyle w:val="Hyperlink"/>
            <w:noProof/>
          </w:rPr>
          <w:t>Effects thresholds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_Toc436043049 \h </w:instrText>
        </w:r>
        <w:r w:rsidR="001D59AA" w:rsidRPr="009A2045">
          <w:rPr>
            <w:noProof/>
            <w:webHidden/>
          </w:rPr>
        </w:r>
        <w:r w:rsidR="001D59AA" w:rsidRPr="009A2045">
          <w:rPr>
            <w:noProof/>
            <w:webHidden/>
          </w:rPr>
          <w:fldChar w:fldCharType="separate"/>
        </w:r>
        <w:r w:rsidR="001D59AA" w:rsidRPr="009A2045">
          <w:rPr>
            <w:noProof/>
            <w:webHidden/>
          </w:rPr>
          <w:t>61</w:t>
        </w:r>
        <w:r w:rsidR="001D59AA" w:rsidRPr="009A2045">
          <w:rPr>
            <w:noProof/>
            <w:webHidden/>
          </w:rPr>
          <w:fldChar w:fldCharType="end"/>
        </w:r>
      </w:hyperlink>
    </w:p>
    <w:p w14:paraId="79ACCA0E" w14:textId="77777777" w:rsidR="001D59AA" w:rsidRPr="009A2045" w:rsidRDefault="009A1ABB" w:rsidP="009A2045">
      <w:pPr>
        <w:pStyle w:val="TOC7"/>
        <w:tabs>
          <w:tab w:val="left" w:pos="2658"/>
          <w:tab w:val="right" w:leader="dot" w:pos="9350"/>
        </w:tabs>
        <w:rPr>
          <w:rFonts w:asciiTheme="minorHAnsi" w:eastAsiaTheme="minorEastAsia" w:hAnsiTheme="minorHAnsi" w:cstheme="minorBidi"/>
          <w:noProof/>
          <w:color w:val="auto"/>
        </w:rPr>
      </w:pPr>
      <w:hyperlink w:anchor="_Toc436043050" w:history="1">
        <w:r w:rsidR="001D59AA" w:rsidRPr="009A2045">
          <w:rPr>
            <w:rStyle w:val="Hyperlink"/>
            <w:noProof/>
          </w:rPr>
          <w:t>1.4.2.1.b.1.1</w:t>
        </w:r>
        <w:r w:rsidR="001D59AA" w:rsidRPr="009A2045">
          <w:rPr>
            <w:rFonts w:asciiTheme="minorHAnsi" w:eastAsiaTheme="minorEastAsia" w:hAnsiTheme="minorHAnsi" w:cstheme="minorBidi"/>
            <w:noProof/>
            <w:color w:val="auto"/>
          </w:rPr>
          <w:tab/>
        </w:r>
        <w:r w:rsidR="001D59AA" w:rsidRPr="009A2045">
          <w:rPr>
            <w:rStyle w:val="Hyperlink"/>
            <w:noProof/>
          </w:rPr>
          <w:t>Direct and indirect effect thresholds based on mortality</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_Toc436043050 \h </w:instrText>
        </w:r>
        <w:r w:rsidR="001D59AA" w:rsidRPr="009A2045">
          <w:rPr>
            <w:noProof/>
            <w:webHidden/>
          </w:rPr>
        </w:r>
        <w:r w:rsidR="001D59AA" w:rsidRPr="009A2045">
          <w:rPr>
            <w:noProof/>
            <w:webHidden/>
          </w:rPr>
          <w:fldChar w:fldCharType="separate"/>
        </w:r>
        <w:r w:rsidR="001D59AA" w:rsidRPr="009A2045">
          <w:rPr>
            <w:noProof/>
            <w:webHidden/>
          </w:rPr>
          <w:t>62</w:t>
        </w:r>
        <w:r w:rsidR="001D59AA" w:rsidRPr="009A2045">
          <w:rPr>
            <w:noProof/>
            <w:webHidden/>
          </w:rPr>
          <w:fldChar w:fldCharType="end"/>
        </w:r>
      </w:hyperlink>
    </w:p>
    <w:p w14:paraId="74D068A1" w14:textId="77777777" w:rsidR="001D59AA" w:rsidRPr="009A2045" w:rsidRDefault="009A1ABB" w:rsidP="009A2045">
      <w:pPr>
        <w:pStyle w:val="TOC7"/>
        <w:tabs>
          <w:tab w:val="left" w:pos="2713"/>
          <w:tab w:val="right" w:leader="dot" w:pos="9350"/>
        </w:tabs>
        <w:rPr>
          <w:rFonts w:asciiTheme="minorHAnsi" w:eastAsiaTheme="minorEastAsia" w:hAnsiTheme="minorHAnsi" w:cstheme="minorBidi"/>
          <w:noProof/>
          <w:color w:val="auto"/>
        </w:rPr>
      </w:pPr>
      <w:hyperlink w:anchor="_Toc436043051" w:history="1">
        <w:r w:rsidR="001D59AA" w:rsidRPr="009A2045">
          <w:rPr>
            <w:rStyle w:val="Hyperlink"/>
            <w:noProof/>
          </w:rPr>
          <w:t>1.4.2.1.b.1.2.</w:t>
        </w:r>
        <w:r w:rsidR="001D59AA" w:rsidRPr="009A2045">
          <w:rPr>
            <w:rFonts w:asciiTheme="minorHAnsi" w:eastAsiaTheme="minorEastAsia" w:hAnsiTheme="minorHAnsi" w:cstheme="minorBidi"/>
            <w:noProof/>
            <w:color w:val="auto"/>
          </w:rPr>
          <w:tab/>
        </w:r>
        <w:r w:rsidR="001D59AA" w:rsidRPr="009A2045">
          <w:rPr>
            <w:rStyle w:val="Hyperlink"/>
            <w:noProof/>
          </w:rPr>
          <w:t>Direct and indirect effect thresholds based on sublethal endpoints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_Toc436043051 \h </w:instrText>
        </w:r>
        <w:r w:rsidR="001D59AA" w:rsidRPr="009A2045">
          <w:rPr>
            <w:noProof/>
            <w:webHidden/>
          </w:rPr>
        </w:r>
        <w:r w:rsidR="001D59AA" w:rsidRPr="009A2045">
          <w:rPr>
            <w:noProof/>
            <w:webHidden/>
          </w:rPr>
          <w:fldChar w:fldCharType="separate"/>
        </w:r>
        <w:r w:rsidR="001D59AA" w:rsidRPr="009A2045">
          <w:rPr>
            <w:noProof/>
            <w:webHidden/>
          </w:rPr>
          <w:t>62</w:t>
        </w:r>
        <w:r w:rsidR="001D59AA" w:rsidRPr="009A2045">
          <w:rPr>
            <w:noProof/>
            <w:webHidden/>
          </w:rPr>
          <w:fldChar w:fldCharType="end"/>
        </w:r>
      </w:hyperlink>
    </w:p>
    <w:p w14:paraId="7A4AD7E7" w14:textId="77777777" w:rsidR="001D59AA" w:rsidRPr="009A2045" w:rsidRDefault="009A1ABB" w:rsidP="009A2045">
      <w:pPr>
        <w:pStyle w:val="TOC5"/>
        <w:tabs>
          <w:tab w:val="left" w:pos="1929"/>
          <w:tab w:val="right" w:leader="dot" w:pos="9350"/>
        </w:tabs>
        <w:rPr>
          <w:rFonts w:asciiTheme="minorHAnsi" w:eastAsiaTheme="minorEastAsia" w:hAnsiTheme="minorHAnsi" w:cstheme="minorBidi"/>
          <w:noProof/>
          <w:color w:val="auto"/>
        </w:rPr>
      </w:pPr>
      <w:hyperlink w:anchor="_Toc436043052" w:history="1">
        <w:r w:rsidR="001D59AA" w:rsidRPr="009A2045">
          <w:rPr>
            <w:rStyle w:val="Hyperlink"/>
            <w:noProof/>
          </w:rPr>
          <w:t>1.4.2.2.a.</w:t>
        </w:r>
        <w:r w:rsidR="001D59AA" w:rsidRPr="009A2045">
          <w:rPr>
            <w:rFonts w:asciiTheme="minorHAnsi" w:eastAsiaTheme="minorEastAsia" w:hAnsiTheme="minorHAnsi" w:cstheme="minorBidi"/>
            <w:noProof/>
            <w:color w:val="auto"/>
          </w:rPr>
          <w:tab/>
        </w:r>
        <w:r w:rsidR="001D59AA" w:rsidRPr="009A2045">
          <w:rPr>
            <w:rStyle w:val="Hyperlink"/>
            <w:noProof/>
          </w:rPr>
          <w:t>Effect arrays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_Toc436043052 \h </w:instrText>
        </w:r>
        <w:r w:rsidR="001D59AA" w:rsidRPr="009A2045">
          <w:rPr>
            <w:noProof/>
            <w:webHidden/>
          </w:rPr>
        </w:r>
        <w:r w:rsidR="001D59AA" w:rsidRPr="009A2045">
          <w:rPr>
            <w:noProof/>
            <w:webHidden/>
          </w:rPr>
          <w:fldChar w:fldCharType="separate"/>
        </w:r>
        <w:r w:rsidR="001D59AA" w:rsidRPr="009A2045">
          <w:rPr>
            <w:noProof/>
            <w:webHidden/>
          </w:rPr>
          <w:t>64</w:t>
        </w:r>
        <w:r w:rsidR="001D59AA" w:rsidRPr="009A2045">
          <w:rPr>
            <w:noProof/>
            <w:webHidden/>
          </w:rPr>
          <w:fldChar w:fldCharType="end"/>
        </w:r>
      </w:hyperlink>
    </w:p>
    <w:p w14:paraId="2449BD05" w14:textId="77777777" w:rsidR="001D59AA" w:rsidRPr="009A2045" w:rsidRDefault="009A1ABB" w:rsidP="009A2045">
      <w:pPr>
        <w:pStyle w:val="TOC5"/>
        <w:tabs>
          <w:tab w:val="left" w:pos="1939"/>
          <w:tab w:val="right" w:leader="dot" w:pos="9350"/>
        </w:tabs>
        <w:rPr>
          <w:rFonts w:asciiTheme="minorHAnsi" w:eastAsiaTheme="minorEastAsia" w:hAnsiTheme="minorHAnsi" w:cstheme="minorBidi"/>
          <w:noProof/>
          <w:color w:val="auto"/>
        </w:rPr>
      </w:pPr>
      <w:hyperlink w:anchor="_Toc436043053" w:history="1">
        <w:r w:rsidR="001D59AA" w:rsidRPr="009A2045">
          <w:rPr>
            <w:rStyle w:val="Hyperlink"/>
            <w:noProof/>
          </w:rPr>
          <w:t>1.4.2.2.b.</w:t>
        </w:r>
        <w:r w:rsidR="001D59AA" w:rsidRPr="009A2045">
          <w:rPr>
            <w:rFonts w:asciiTheme="minorHAnsi" w:eastAsiaTheme="minorEastAsia" w:hAnsiTheme="minorHAnsi" w:cstheme="minorBidi"/>
            <w:noProof/>
            <w:color w:val="auto"/>
          </w:rPr>
          <w:tab/>
        </w:r>
        <w:r w:rsidR="001D59AA" w:rsidRPr="009A2045">
          <w:rPr>
            <w:rStyle w:val="Hyperlink"/>
            <w:noProof/>
          </w:rPr>
          <w:t>Incident data</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_Toc436043053 \h </w:instrText>
        </w:r>
        <w:r w:rsidR="001D59AA" w:rsidRPr="009A2045">
          <w:rPr>
            <w:noProof/>
            <w:webHidden/>
          </w:rPr>
        </w:r>
        <w:r w:rsidR="001D59AA" w:rsidRPr="009A2045">
          <w:rPr>
            <w:noProof/>
            <w:webHidden/>
          </w:rPr>
          <w:fldChar w:fldCharType="separate"/>
        </w:r>
        <w:r w:rsidR="001D59AA" w:rsidRPr="009A2045">
          <w:rPr>
            <w:noProof/>
            <w:webHidden/>
          </w:rPr>
          <w:t>65</w:t>
        </w:r>
        <w:r w:rsidR="001D59AA" w:rsidRPr="009A2045">
          <w:rPr>
            <w:noProof/>
            <w:webHidden/>
          </w:rPr>
          <w:fldChar w:fldCharType="end"/>
        </w:r>
      </w:hyperlink>
    </w:p>
    <w:p w14:paraId="3BE52549" w14:textId="77777777" w:rsidR="001D59AA" w:rsidRPr="009A2045" w:rsidRDefault="009A1ABB" w:rsidP="009A2045">
      <w:pPr>
        <w:pStyle w:val="TOC5"/>
        <w:tabs>
          <w:tab w:val="left" w:pos="1917"/>
          <w:tab w:val="right" w:leader="dot" w:pos="9350"/>
        </w:tabs>
        <w:rPr>
          <w:rFonts w:asciiTheme="minorHAnsi" w:eastAsiaTheme="minorEastAsia" w:hAnsiTheme="minorHAnsi" w:cstheme="minorBidi"/>
          <w:noProof/>
          <w:color w:val="auto"/>
        </w:rPr>
      </w:pPr>
      <w:hyperlink w:anchor="_Toc436043054" w:history="1">
        <w:r w:rsidR="001D59AA" w:rsidRPr="009A2045">
          <w:rPr>
            <w:rStyle w:val="Hyperlink"/>
            <w:noProof/>
          </w:rPr>
          <w:t>1.4.2.2.c.</w:t>
        </w:r>
        <w:r w:rsidR="001D59AA" w:rsidRPr="009A2045">
          <w:rPr>
            <w:rFonts w:asciiTheme="minorHAnsi" w:eastAsiaTheme="minorEastAsia" w:hAnsiTheme="minorHAnsi" w:cstheme="minorBidi"/>
            <w:noProof/>
            <w:color w:val="auto"/>
          </w:rPr>
          <w:tab/>
        </w:r>
        <w:r w:rsidR="001D59AA" w:rsidRPr="009A2045">
          <w:rPr>
            <w:rStyle w:val="Hyperlink"/>
            <w:noProof/>
          </w:rPr>
          <w:t>Effects to designated critical habitat</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_Toc436043054 \h </w:instrText>
        </w:r>
        <w:r w:rsidR="001D59AA" w:rsidRPr="009A2045">
          <w:rPr>
            <w:noProof/>
            <w:webHidden/>
          </w:rPr>
        </w:r>
        <w:r w:rsidR="001D59AA" w:rsidRPr="009A2045">
          <w:rPr>
            <w:noProof/>
            <w:webHidden/>
          </w:rPr>
          <w:fldChar w:fldCharType="separate"/>
        </w:r>
        <w:r w:rsidR="001D59AA" w:rsidRPr="009A2045">
          <w:rPr>
            <w:noProof/>
            <w:webHidden/>
          </w:rPr>
          <w:t>66</w:t>
        </w:r>
        <w:r w:rsidR="001D59AA" w:rsidRPr="009A2045">
          <w:rPr>
            <w:noProof/>
            <w:webHidden/>
          </w:rPr>
          <w:fldChar w:fldCharType="end"/>
        </w:r>
      </w:hyperlink>
    </w:p>
    <w:p w14:paraId="60D42B66" w14:textId="77777777" w:rsidR="001D59AA" w:rsidRPr="009A2045" w:rsidRDefault="009A1ABB" w:rsidP="009A2045">
      <w:pPr>
        <w:pStyle w:val="TOC5"/>
        <w:tabs>
          <w:tab w:val="left" w:pos="1939"/>
          <w:tab w:val="right" w:leader="dot" w:pos="9350"/>
        </w:tabs>
        <w:rPr>
          <w:rFonts w:asciiTheme="minorHAnsi" w:eastAsiaTheme="minorEastAsia" w:hAnsiTheme="minorHAnsi" w:cstheme="minorBidi"/>
          <w:noProof/>
          <w:color w:val="auto"/>
        </w:rPr>
      </w:pPr>
      <w:hyperlink w:anchor="_Toc436043055" w:history="1">
        <w:r w:rsidR="001D59AA" w:rsidRPr="009A2045">
          <w:rPr>
            <w:rStyle w:val="Hyperlink"/>
            <w:noProof/>
          </w:rPr>
          <w:t>1.4.2.2.d.</w:t>
        </w:r>
        <w:r w:rsidR="001D59AA" w:rsidRPr="009A2045">
          <w:rPr>
            <w:rFonts w:asciiTheme="minorHAnsi" w:eastAsiaTheme="minorEastAsia" w:hAnsiTheme="minorHAnsi" w:cstheme="minorBidi"/>
            <w:noProof/>
            <w:color w:val="auto"/>
          </w:rPr>
          <w:tab/>
        </w:r>
        <w:r w:rsidR="001D59AA" w:rsidRPr="009A2045">
          <w:rPr>
            <w:rStyle w:val="Hyperlink"/>
            <w:noProof/>
          </w:rPr>
          <w:t>Probabilistic approach for 15 bird species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_Toc436043055 \h </w:instrText>
        </w:r>
        <w:r w:rsidR="001D59AA" w:rsidRPr="009A2045">
          <w:rPr>
            <w:noProof/>
            <w:webHidden/>
          </w:rPr>
        </w:r>
        <w:r w:rsidR="001D59AA" w:rsidRPr="009A2045">
          <w:rPr>
            <w:noProof/>
            <w:webHidden/>
          </w:rPr>
          <w:fldChar w:fldCharType="separate"/>
        </w:r>
        <w:r w:rsidR="001D59AA" w:rsidRPr="009A2045">
          <w:rPr>
            <w:noProof/>
            <w:webHidden/>
          </w:rPr>
          <w:t>66</w:t>
        </w:r>
        <w:r w:rsidR="001D59AA" w:rsidRPr="009A2045">
          <w:rPr>
            <w:noProof/>
            <w:webHidden/>
          </w:rPr>
          <w:fldChar w:fldCharType="end"/>
        </w:r>
      </w:hyperlink>
    </w:p>
    <w:p w14:paraId="4691C5A4" w14:textId="77777777" w:rsidR="001D59AA" w:rsidRPr="009A2045" w:rsidRDefault="009A1ABB" w:rsidP="009A2045">
      <w:pPr>
        <w:pStyle w:val="TOC5"/>
        <w:tabs>
          <w:tab w:val="left" w:pos="1933"/>
          <w:tab w:val="right" w:leader="dot" w:pos="9350"/>
        </w:tabs>
        <w:rPr>
          <w:rFonts w:asciiTheme="minorHAnsi" w:eastAsiaTheme="minorEastAsia" w:hAnsiTheme="minorHAnsi" w:cstheme="minorBidi"/>
          <w:noProof/>
          <w:color w:val="auto"/>
        </w:rPr>
      </w:pPr>
      <w:hyperlink w:anchor="_Toc436043056" w:history="1">
        <w:r w:rsidR="001D59AA" w:rsidRPr="009A2045">
          <w:rPr>
            <w:rStyle w:val="Hyperlink"/>
            <w:noProof/>
          </w:rPr>
          <w:t>1.4.2.2.e.</w:t>
        </w:r>
        <w:r w:rsidR="001D59AA" w:rsidRPr="009A2045">
          <w:rPr>
            <w:rFonts w:asciiTheme="minorHAnsi" w:eastAsiaTheme="minorEastAsia" w:hAnsiTheme="minorHAnsi" w:cstheme="minorBidi"/>
            <w:noProof/>
            <w:color w:val="auto"/>
          </w:rPr>
          <w:tab/>
        </w:r>
        <w:r w:rsidR="001D59AA" w:rsidRPr="009A2045">
          <w:rPr>
            <w:rStyle w:val="Hyperlink"/>
            <w:noProof/>
          </w:rPr>
          <w:t>Mixture Analysis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_Toc436043056 \h </w:instrText>
        </w:r>
        <w:r w:rsidR="001D59AA" w:rsidRPr="009A2045">
          <w:rPr>
            <w:noProof/>
            <w:webHidden/>
          </w:rPr>
        </w:r>
        <w:r w:rsidR="001D59AA" w:rsidRPr="009A2045">
          <w:rPr>
            <w:noProof/>
            <w:webHidden/>
          </w:rPr>
          <w:fldChar w:fldCharType="separate"/>
        </w:r>
        <w:r w:rsidR="001D59AA" w:rsidRPr="009A2045">
          <w:rPr>
            <w:noProof/>
            <w:webHidden/>
          </w:rPr>
          <w:t>67</w:t>
        </w:r>
        <w:r w:rsidR="001D59AA" w:rsidRPr="009A2045">
          <w:rPr>
            <w:noProof/>
            <w:webHidden/>
          </w:rPr>
          <w:fldChar w:fldCharType="end"/>
        </w:r>
      </w:hyperlink>
    </w:p>
    <w:p w14:paraId="6157F965" w14:textId="77777777" w:rsidR="001D59AA" w:rsidRPr="009A2045" w:rsidRDefault="009A1ABB" w:rsidP="009A2045">
      <w:pPr>
        <w:pStyle w:val="TOC5"/>
        <w:tabs>
          <w:tab w:val="left" w:pos="1891"/>
          <w:tab w:val="right" w:leader="dot" w:pos="9350"/>
        </w:tabs>
        <w:rPr>
          <w:rFonts w:asciiTheme="minorHAnsi" w:eastAsiaTheme="minorEastAsia" w:hAnsiTheme="minorHAnsi" w:cstheme="minorBidi"/>
          <w:noProof/>
          <w:color w:val="auto"/>
        </w:rPr>
      </w:pPr>
      <w:hyperlink w:anchor="_Toc436043057" w:history="1">
        <w:r w:rsidR="001D59AA" w:rsidRPr="009A2045">
          <w:rPr>
            <w:rStyle w:val="Hyperlink"/>
            <w:noProof/>
          </w:rPr>
          <w:t>1.4.2.2.f.</w:t>
        </w:r>
        <w:r w:rsidR="001D59AA" w:rsidRPr="009A2045">
          <w:rPr>
            <w:rFonts w:asciiTheme="minorHAnsi" w:eastAsiaTheme="minorEastAsia" w:hAnsiTheme="minorHAnsi" w:cstheme="minorBidi"/>
            <w:noProof/>
            <w:color w:val="auto"/>
          </w:rPr>
          <w:tab/>
        </w:r>
        <w:r w:rsidR="001D59AA" w:rsidRPr="009A2045">
          <w:rPr>
            <w:rStyle w:val="Hyperlink"/>
            <w:noProof/>
          </w:rPr>
          <w:t>Consideration of Impacts of Biotic and/or Abiotic Stressors on the Effects of Malathion</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_Toc436043057 \h </w:instrText>
        </w:r>
        <w:r w:rsidR="001D59AA" w:rsidRPr="009A2045">
          <w:rPr>
            <w:noProof/>
            <w:webHidden/>
          </w:rPr>
        </w:r>
        <w:r w:rsidR="001D59AA" w:rsidRPr="009A2045">
          <w:rPr>
            <w:noProof/>
            <w:webHidden/>
          </w:rPr>
          <w:fldChar w:fldCharType="separate"/>
        </w:r>
        <w:r w:rsidR="001D59AA" w:rsidRPr="009A2045">
          <w:rPr>
            <w:noProof/>
            <w:webHidden/>
          </w:rPr>
          <w:t>69</w:t>
        </w:r>
        <w:r w:rsidR="001D59AA" w:rsidRPr="009A2045">
          <w:rPr>
            <w:noProof/>
            <w:webHidden/>
          </w:rPr>
          <w:fldChar w:fldCharType="end"/>
        </w:r>
      </w:hyperlink>
    </w:p>
    <w:p w14:paraId="07078936" w14:textId="77777777" w:rsidR="001D59AA" w:rsidRPr="009A2045" w:rsidRDefault="009A1ABB" w:rsidP="009A2045">
      <w:pPr>
        <w:pStyle w:val="TOC2"/>
        <w:tabs>
          <w:tab w:val="left" w:pos="880"/>
          <w:tab w:val="right" w:leader="dot" w:pos="9350"/>
        </w:tabs>
        <w:rPr>
          <w:rFonts w:asciiTheme="minorHAnsi" w:eastAsiaTheme="minorEastAsia" w:hAnsiTheme="minorHAnsi" w:cstheme="minorBidi"/>
          <w:noProof/>
          <w:color w:val="auto"/>
        </w:rPr>
      </w:pPr>
      <w:hyperlink w:anchor="_Toc436043058" w:history="1">
        <w:r w:rsidR="001D59AA" w:rsidRPr="009A2045">
          <w:rPr>
            <w:rStyle w:val="Hyperlink"/>
            <w:noProof/>
          </w:rPr>
          <w:t>1.5.</w:t>
        </w:r>
        <w:r w:rsidR="001D59AA" w:rsidRPr="009A2045">
          <w:rPr>
            <w:rFonts w:asciiTheme="minorHAnsi" w:eastAsiaTheme="minorEastAsia" w:hAnsiTheme="minorHAnsi" w:cstheme="minorBidi"/>
            <w:noProof/>
            <w:color w:val="auto"/>
          </w:rPr>
          <w:tab/>
        </w:r>
        <w:r w:rsidR="001D59AA" w:rsidRPr="009A2045">
          <w:rPr>
            <w:rStyle w:val="Hyperlink"/>
            <w:noProof/>
          </w:rPr>
          <w:t>1.5. References</w:t>
        </w:r>
        <w:r w:rsidR="001D59AA" w:rsidRPr="009A2045">
          <w:rPr>
            <w:noProof/>
            <w:webHidden/>
          </w:rPr>
          <w:tab/>
        </w:r>
        <w:r w:rsidR="001D59AA" w:rsidRPr="009A2045">
          <w:rPr>
            <w:noProof/>
            <w:webHidden/>
          </w:rPr>
          <w:fldChar w:fldCharType="begin"/>
        </w:r>
        <w:r w:rsidR="001D59AA" w:rsidRPr="009A2045">
          <w:rPr>
            <w:noProof/>
            <w:webHidden/>
          </w:rPr>
          <w:instrText xml:space="preserve"> PAGEREF _Toc436043058 \h </w:instrText>
        </w:r>
        <w:r w:rsidR="001D59AA" w:rsidRPr="009A2045">
          <w:rPr>
            <w:noProof/>
            <w:webHidden/>
          </w:rPr>
        </w:r>
        <w:r w:rsidR="001D59AA" w:rsidRPr="009A2045">
          <w:rPr>
            <w:noProof/>
            <w:webHidden/>
          </w:rPr>
          <w:fldChar w:fldCharType="separate"/>
        </w:r>
        <w:r w:rsidR="001D59AA" w:rsidRPr="009A2045">
          <w:rPr>
            <w:noProof/>
            <w:webHidden/>
          </w:rPr>
          <w:t>78</w:t>
        </w:r>
        <w:r w:rsidR="001D59AA" w:rsidRPr="009A2045">
          <w:rPr>
            <w:noProof/>
            <w:webHidden/>
          </w:rPr>
          <w:fldChar w:fldCharType="end"/>
        </w:r>
      </w:hyperlink>
    </w:p>
    <w:p w14:paraId="725702D2" w14:textId="77777777" w:rsidR="00C60928" w:rsidRPr="009A2045" w:rsidRDefault="009B1B40" w:rsidP="009A2045">
      <w:pPr>
        <w:keepNext/>
        <w:keepLines/>
        <w:spacing w:after="0" w:line="240" w:lineRule="auto"/>
        <w:rPr>
          <w:rFonts w:asciiTheme="minorHAnsi" w:hAnsiTheme="minorHAnsi"/>
        </w:rPr>
      </w:pPr>
      <w:r w:rsidRPr="009A2045">
        <w:rPr>
          <w:rFonts w:asciiTheme="minorHAnsi" w:hAnsiTheme="minorHAnsi"/>
        </w:rPr>
        <w:fldChar w:fldCharType="end"/>
      </w:r>
    </w:p>
    <w:p w14:paraId="13E99978" w14:textId="11B4797A" w:rsidR="007D2D89" w:rsidRPr="009A2045" w:rsidRDefault="007D2D89" w:rsidP="009A2045">
      <w:pPr>
        <w:keepNext/>
        <w:keepLines/>
        <w:spacing w:after="0" w:line="240" w:lineRule="auto"/>
        <w:rPr>
          <w:b/>
          <w:sz w:val="24"/>
          <w:szCs w:val="24"/>
        </w:rPr>
      </w:pPr>
      <w:r w:rsidRPr="009A2045">
        <w:rPr>
          <w:b/>
          <w:sz w:val="24"/>
          <w:szCs w:val="24"/>
        </w:rPr>
        <w:t xml:space="preserve">List of </w:t>
      </w:r>
      <w:r w:rsidR="00C60928" w:rsidRPr="009A2045">
        <w:rPr>
          <w:b/>
          <w:sz w:val="24"/>
          <w:szCs w:val="24"/>
        </w:rPr>
        <w:t>Figures</w:t>
      </w:r>
    </w:p>
    <w:p w14:paraId="53A50746" w14:textId="77777777" w:rsidR="00C60928" w:rsidRPr="009A2045" w:rsidRDefault="00C60928" w:rsidP="009A2045">
      <w:pPr>
        <w:keepNext/>
        <w:keepLines/>
        <w:spacing w:after="0" w:line="240" w:lineRule="auto"/>
        <w:rPr>
          <w:sz w:val="24"/>
          <w:szCs w:val="24"/>
        </w:rPr>
      </w:pPr>
    </w:p>
    <w:p w14:paraId="18C2FBF3" w14:textId="415398F8" w:rsidR="00C60928" w:rsidRPr="009A2045" w:rsidRDefault="00C60928" w:rsidP="009A2045">
      <w:pPr>
        <w:pStyle w:val="TableofFigures"/>
        <w:tabs>
          <w:tab w:val="right" w:leader="dot" w:pos="9350"/>
        </w:tabs>
        <w:rPr>
          <w:rFonts w:asciiTheme="minorHAnsi" w:eastAsiaTheme="minorEastAsia" w:hAnsiTheme="minorHAnsi" w:cstheme="minorBidi"/>
          <w:noProof/>
          <w:color w:val="auto"/>
        </w:rPr>
      </w:pPr>
      <w:r w:rsidRPr="009A2045">
        <w:fldChar w:fldCharType="begin"/>
      </w:r>
      <w:r w:rsidRPr="009A2045">
        <w:instrText xml:space="preserve"> TOC \h \z \c "Figure" </w:instrText>
      </w:r>
      <w:r w:rsidRPr="009A2045">
        <w:fldChar w:fldCharType="separate"/>
      </w:r>
      <w:hyperlink w:anchor="_Toc435773400" w:history="1">
        <w:r w:rsidRPr="009A2045">
          <w:rPr>
            <w:rStyle w:val="Hyperlink"/>
            <w:noProof/>
          </w:rPr>
          <w:t>Figure 1-1. Malathion Use Spatial Distribution (2012) and Use by Year a</w:t>
        </w:r>
        <w:r w:rsidR="005F7359" w:rsidRPr="009A2045">
          <w:rPr>
            <w:rStyle w:val="Hyperlink"/>
            <w:noProof/>
          </w:rPr>
          <w:t>nd</w:t>
        </w:r>
        <w:r w:rsidRPr="009A2045">
          <w:rPr>
            <w:rStyle w:val="Hyperlink"/>
            <w:noProof/>
          </w:rPr>
          <w:t xml:space="preserve"> Crop (1992-2012).</w:t>
        </w:r>
        <w:r w:rsidRPr="009A2045">
          <w:rPr>
            <w:noProof/>
            <w:webHidden/>
          </w:rPr>
          <w:tab/>
        </w:r>
        <w:r w:rsidRPr="009A2045">
          <w:rPr>
            <w:noProof/>
            <w:webHidden/>
          </w:rPr>
          <w:fldChar w:fldCharType="begin"/>
        </w:r>
        <w:r w:rsidRPr="009A2045">
          <w:rPr>
            <w:noProof/>
            <w:webHidden/>
          </w:rPr>
          <w:instrText xml:space="preserve"> PAGEREF _Toc435773400 \h </w:instrText>
        </w:r>
        <w:r w:rsidRPr="009A2045">
          <w:rPr>
            <w:noProof/>
            <w:webHidden/>
          </w:rPr>
        </w:r>
        <w:r w:rsidRPr="009A2045">
          <w:rPr>
            <w:noProof/>
            <w:webHidden/>
          </w:rPr>
          <w:fldChar w:fldCharType="separate"/>
        </w:r>
        <w:r w:rsidRPr="009A2045">
          <w:rPr>
            <w:noProof/>
            <w:webHidden/>
          </w:rPr>
          <w:t>26</w:t>
        </w:r>
        <w:r w:rsidRPr="009A2045">
          <w:rPr>
            <w:noProof/>
            <w:webHidden/>
          </w:rPr>
          <w:fldChar w:fldCharType="end"/>
        </w:r>
      </w:hyperlink>
    </w:p>
    <w:p w14:paraId="0B484BA2" w14:textId="5786A72A"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01" w:history="1">
        <w:r w:rsidR="00C60928" w:rsidRPr="009A2045">
          <w:rPr>
            <w:rStyle w:val="Hyperlink"/>
            <w:noProof/>
          </w:rPr>
          <w:t>Figure 1-2.  Adverse Outcome Pathway for Organophosphates and Acetylcholinesterase Inhibition.</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_Toc435773401 \h </w:instrText>
        </w:r>
        <w:r w:rsidR="00C60928" w:rsidRPr="009A2045">
          <w:rPr>
            <w:noProof/>
            <w:webHidden/>
          </w:rPr>
        </w:r>
        <w:r w:rsidR="00C60928" w:rsidRPr="009A2045">
          <w:rPr>
            <w:noProof/>
            <w:webHidden/>
          </w:rPr>
          <w:fldChar w:fldCharType="separate"/>
        </w:r>
        <w:r w:rsidR="00C60928" w:rsidRPr="009A2045">
          <w:rPr>
            <w:noProof/>
            <w:webHidden/>
          </w:rPr>
          <w:t>28</w:t>
        </w:r>
        <w:r w:rsidR="00C60928" w:rsidRPr="009A2045">
          <w:rPr>
            <w:noProof/>
            <w:webHidden/>
          </w:rPr>
          <w:fldChar w:fldCharType="end"/>
        </w:r>
      </w:hyperlink>
    </w:p>
    <w:p w14:paraId="6F8A3BB9" w14:textId="59F5697A" w:rsidR="00C60928" w:rsidRPr="009A2045" w:rsidRDefault="00C60928" w:rsidP="009A2045">
      <w:pPr>
        <w:pStyle w:val="TableofFigures"/>
        <w:tabs>
          <w:tab w:val="right" w:leader="dot" w:pos="9350"/>
        </w:tabs>
        <w:rPr>
          <w:rFonts w:asciiTheme="minorHAnsi" w:eastAsiaTheme="minorEastAsia" w:hAnsiTheme="minorHAnsi" w:cstheme="minorBidi"/>
          <w:noProof/>
          <w:color w:val="auto"/>
        </w:rPr>
      </w:pPr>
      <w:r w:rsidRPr="009A2045">
        <w:rPr>
          <w:rStyle w:val="Hyperlink"/>
          <w:noProof/>
          <w:color w:val="auto"/>
          <w:u w:val="none"/>
        </w:rPr>
        <w:t xml:space="preserve">Figure 1-3.  </w:t>
      </w:r>
      <w:hyperlink w:anchor="_Toc435773402" w:history="1">
        <w:r w:rsidRPr="009A2045">
          <w:rPr>
            <w:rStyle w:val="Hyperlink"/>
            <w:noProof/>
          </w:rPr>
          <w:t>Conceptual Model for Malathion Effects on Aquatic Organisms</w:t>
        </w:r>
        <w:r w:rsidRPr="009A2045">
          <w:rPr>
            <w:noProof/>
            <w:webHidden/>
          </w:rPr>
          <w:tab/>
        </w:r>
        <w:r w:rsidRPr="009A2045">
          <w:rPr>
            <w:noProof/>
            <w:webHidden/>
          </w:rPr>
          <w:fldChar w:fldCharType="begin"/>
        </w:r>
        <w:r w:rsidRPr="009A2045">
          <w:rPr>
            <w:noProof/>
            <w:webHidden/>
          </w:rPr>
          <w:instrText xml:space="preserve"> PAGEREF _Toc435773402 \h </w:instrText>
        </w:r>
        <w:r w:rsidRPr="009A2045">
          <w:rPr>
            <w:noProof/>
            <w:webHidden/>
          </w:rPr>
        </w:r>
        <w:r w:rsidRPr="009A2045">
          <w:rPr>
            <w:noProof/>
            <w:webHidden/>
          </w:rPr>
          <w:fldChar w:fldCharType="separate"/>
        </w:r>
        <w:r w:rsidRPr="009A2045">
          <w:rPr>
            <w:noProof/>
            <w:webHidden/>
          </w:rPr>
          <w:t>30</w:t>
        </w:r>
        <w:r w:rsidRPr="009A2045">
          <w:rPr>
            <w:noProof/>
            <w:webHidden/>
          </w:rPr>
          <w:fldChar w:fldCharType="end"/>
        </w:r>
      </w:hyperlink>
    </w:p>
    <w:p w14:paraId="2522190D" w14:textId="696F8195"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03" w:history="1">
        <w:r w:rsidR="00C60928" w:rsidRPr="009A2045">
          <w:rPr>
            <w:rStyle w:val="Hyperlink"/>
            <w:noProof/>
          </w:rPr>
          <w:t>Figure 1-4.  Conceptual Model for Malathion Effects on Terrestrial Organisms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_Toc435773403 \h </w:instrText>
        </w:r>
        <w:r w:rsidR="00C60928" w:rsidRPr="009A2045">
          <w:rPr>
            <w:noProof/>
            <w:webHidden/>
          </w:rPr>
        </w:r>
        <w:r w:rsidR="00C60928" w:rsidRPr="009A2045">
          <w:rPr>
            <w:noProof/>
            <w:webHidden/>
          </w:rPr>
          <w:fldChar w:fldCharType="separate"/>
        </w:r>
        <w:r w:rsidR="00C60928" w:rsidRPr="009A2045">
          <w:rPr>
            <w:noProof/>
            <w:webHidden/>
          </w:rPr>
          <w:t>31</w:t>
        </w:r>
        <w:r w:rsidR="00C60928" w:rsidRPr="009A2045">
          <w:rPr>
            <w:noProof/>
            <w:webHidden/>
          </w:rPr>
          <w:fldChar w:fldCharType="end"/>
        </w:r>
      </w:hyperlink>
    </w:p>
    <w:p w14:paraId="2827D07B" w14:textId="0B57FDBF"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04" w:history="1">
        <w:r w:rsidR="00C60928" w:rsidRPr="009A2045">
          <w:rPr>
            <w:rStyle w:val="Hyperlink"/>
            <w:noProof/>
          </w:rPr>
          <w:t>Figure 1-5.  Three Step ESA Consultation Approach Modified from a Figure in the NRC (2013) Report</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_Toc435773404 \h </w:instrText>
        </w:r>
        <w:r w:rsidR="00C60928" w:rsidRPr="009A2045">
          <w:rPr>
            <w:noProof/>
            <w:webHidden/>
          </w:rPr>
        </w:r>
        <w:r w:rsidR="00C60928" w:rsidRPr="009A2045">
          <w:rPr>
            <w:noProof/>
            <w:webHidden/>
          </w:rPr>
          <w:fldChar w:fldCharType="separate"/>
        </w:r>
        <w:r w:rsidR="00C60928" w:rsidRPr="009A2045">
          <w:rPr>
            <w:noProof/>
            <w:webHidden/>
          </w:rPr>
          <w:t>33</w:t>
        </w:r>
        <w:r w:rsidR="00C60928" w:rsidRPr="009A2045">
          <w:rPr>
            <w:noProof/>
            <w:webHidden/>
          </w:rPr>
          <w:fldChar w:fldCharType="end"/>
        </w:r>
      </w:hyperlink>
    </w:p>
    <w:p w14:paraId="1A75C079" w14:textId="63C7EC58"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05" w:history="1">
        <w:r w:rsidR="00C60928" w:rsidRPr="009A2045">
          <w:rPr>
            <w:rStyle w:val="Hyperlink"/>
            <w:noProof/>
          </w:rPr>
          <w:t>Figure 1-6.  Step 1 - Action Area and Species' Ranges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_Toc435773405 \h </w:instrText>
        </w:r>
        <w:r w:rsidR="00C60928" w:rsidRPr="009A2045">
          <w:rPr>
            <w:noProof/>
            <w:webHidden/>
          </w:rPr>
        </w:r>
        <w:r w:rsidR="00C60928" w:rsidRPr="009A2045">
          <w:rPr>
            <w:noProof/>
            <w:webHidden/>
          </w:rPr>
          <w:fldChar w:fldCharType="separate"/>
        </w:r>
        <w:r w:rsidR="00C60928" w:rsidRPr="009A2045">
          <w:rPr>
            <w:noProof/>
            <w:webHidden/>
          </w:rPr>
          <w:t>35</w:t>
        </w:r>
        <w:r w:rsidR="00C60928" w:rsidRPr="009A2045">
          <w:rPr>
            <w:noProof/>
            <w:webHidden/>
          </w:rPr>
          <w:fldChar w:fldCharType="end"/>
        </w:r>
      </w:hyperlink>
    </w:p>
    <w:p w14:paraId="3265A7DE" w14:textId="6FA4F087"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06" w:history="1">
        <w:r w:rsidR="00C60928" w:rsidRPr="009A2045">
          <w:rPr>
            <w:rStyle w:val="Hyperlink"/>
            <w:noProof/>
          </w:rPr>
          <w:t>Figure 1-7.  Example Display of All Lines of Evidence for a Risk Hypothes</w:t>
        </w:r>
        <w:r w:rsidR="005F7359" w:rsidRPr="009A2045">
          <w:rPr>
            <w:rStyle w:val="Hyperlink"/>
            <w:noProof/>
          </w:rPr>
          <w:t>is</w:t>
        </w:r>
        <w:r w:rsidR="00C60928" w:rsidRPr="009A2045">
          <w:rPr>
            <w:rStyle w:val="Hyperlink"/>
            <w:noProof/>
          </w:rPr>
          <w:t xml:space="preserve"> Based on Confidence and Risk</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_Toc435773406 \h </w:instrText>
        </w:r>
        <w:r w:rsidR="00C60928" w:rsidRPr="009A2045">
          <w:rPr>
            <w:noProof/>
            <w:webHidden/>
          </w:rPr>
        </w:r>
        <w:r w:rsidR="00C60928" w:rsidRPr="009A2045">
          <w:rPr>
            <w:noProof/>
            <w:webHidden/>
          </w:rPr>
          <w:fldChar w:fldCharType="separate"/>
        </w:r>
        <w:r w:rsidR="00C60928" w:rsidRPr="009A2045">
          <w:rPr>
            <w:noProof/>
            <w:webHidden/>
          </w:rPr>
          <w:t>53</w:t>
        </w:r>
        <w:r w:rsidR="00C60928" w:rsidRPr="009A2045">
          <w:rPr>
            <w:noProof/>
            <w:webHidden/>
          </w:rPr>
          <w:fldChar w:fldCharType="end"/>
        </w:r>
      </w:hyperlink>
    </w:p>
    <w:p w14:paraId="2BC65E71" w14:textId="77777777" w:rsidR="00C60928" w:rsidRPr="009A2045" w:rsidRDefault="00C60928" w:rsidP="009A2045">
      <w:pPr>
        <w:keepNext/>
        <w:keepLines/>
        <w:spacing w:after="0" w:line="240" w:lineRule="auto"/>
      </w:pPr>
      <w:r w:rsidRPr="009A2045">
        <w:fldChar w:fldCharType="end"/>
      </w:r>
    </w:p>
    <w:p w14:paraId="530D6710" w14:textId="4437AD59" w:rsidR="00C60928" w:rsidRPr="009A2045" w:rsidRDefault="00C60928" w:rsidP="009A2045">
      <w:pPr>
        <w:keepNext/>
        <w:keepLines/>
        <w:spacing w:after="0" w:line="240" w:lineRule="auto"/>
        <w:rPr>
          <w:b/>
          <w:sz w:val="24"/>
          <w:szCs w:val="24"/>
        </w:rPr>
      </w:pPr>
      <w:r w:rsidRPr="009A2045">
        <w:rPr>
          <w:b/>
          <w:sz w:val="24"/>
          <w:szCs w:val="24"/>
        </w:rPr>
        <w:t>List of Tables</w:t>
      </w:r>
    </w:p>
    <w:p w14:paraId="236298BD" w14:textId="7421E2F9" w:rsidR="00C60928" w:rsidRPr="009A2045" w:rsidRDefault="00C60928" w:rsidP="009A2045">
      <w:pPr>
        <w:keepNext/>
        <w:keepLines/>
        <w:spacing w:after="0" w:line="240" w:lineRule="auto"/>
        <w:rPr>
          <w:noProof/>
        </w:rPr>
      </w:pPr>
      <w:r w:rsidRPr="009A2045">
        <w:fldChar w:fldCharType="begin"/>
      </w:r>
      <w:r w:rsidRPr="009A2045">
        <w:instrText xml:space="preserve"> TOC \h \z \c "Table" </w:instrText>
      </w:r>
      <w:r w:rsidRPr="009A2045">
        <w:fldChar w:fldCharType="separate"/>
      </w:r>
    </w:p>
    <w:p w14:paraId="188A543E" w14:textId="77777777"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35" w:history="1">
        <w:r w:rsidR="00C60928" w:rsidRPr="009A2045">
          <w:rPr>
            <w:rStyle w:val="Hyperlink"/>
            <w:noProof/>
          </w:rPr>
          <w:t>Table 1-1. Multi-A.I. Products Containing Malathion.</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_Toc435773435 \h </w:instrText>
        </w:r>
        <w:r w:rsidR="00C60928" w:rsidRPr="009A2045">
          <w:rPr>
            <w:noProof/>
            <w:webHidden/>
          </w:rPr>
        </w:r>
        <w:r w:rsidR="00C60928" w:rsidRPr="009A2045">
          <w:rPr>
            <w:noProof/>
            <w:webHidden/>
          </w:rPr>
          <w:fldChar w:fldCharType="separate"/>
        </w:r>
        <w:r w:rsidR="00C60928" w:rsidRPr="009A2045">
          <w:rPr>
            <w:noProof/>
            <w:webHidden/>
          </w:rPr>
          <w:t>10</w:t>
        </w:r>
        <w:r w:rsidR="00C60928" w:rsidRPr="009A2045">
          <w:rPr>
            <w:noProof/>
            <w:webHidden/>
          </w:rPr>
          <w:fldChar w:fldCharType="end"/>
        </w:r>
      </w:hyperlink>
    </w:p>
    <w:p w14:paraId="0DCE903D" w14:textId="1606B910"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36" w:history="1">
        <w:r w:rsidR="00C60928" w:rsidRPr="009A2045">
          <w:rPr>
            <w:rStyle w:val="Hyperlink"/>
            <w:noProof/>
          </w:rPr>
          <w:t>Table 1-2. Summary of Tank Mixes Specified on Malathion Product Labels.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_Toc435773436 \h </w:instrText>
        </w:r>
        <w:r w:rsidR="00C60928" w:rsidRPr="009A2045">
          <w:rPr>
            <w:noProof/>
            <w:webHidden/>
          </w:rPr>
        </w:r>
        <w:r w:rsidR="00C60928" w:rsidRPr="009A2045">
          <w:rPr>
            <w:noProof/>
            <w:webHidden/>
          </w:rPr>
          <w:fldChar w:fldCharType="separate"/>
        </w:r>
        <w:r w:rsidR="00C60928" w:rsidRPr="009A2045">
          <w:rPr>
            <w:noProof/>
            <w:webHidden/>
          </w:rPr>
          <w:t>11</w:t>
        </w:r>
        <w:r w:rsidR="00C60928" w:rsidRPr="009A2045">
          <w:rPr>
            <w:noProof/>
            <w:webHidden/>
          </w:rPr>
          <w:fldChar w:fldCharType="end"/>
        </w:r>
      </w:hyperlink>
    </w:p>
    <w:p w14:paraId="4880331A" w14:textId="791AFE3D"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37" w:history="1">
        <w:r w:rsidR="00C60928" w:rsidRPr="009A2045">
          <w:rPr>
            <w:rStyle w:val="Hyperlink"/>
            <w:noProof/>
          </w:rPr>
          <w:t>Table 1-3.  Malathion Use Summary of Non-Agricultural (Residential and Commercial) Uses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_Toc435773437 \h </w:instrText>
        </w:r>
        <w:r w:rsidR="00C60928" w:rsidRPr="009A2045">
          <w:rPr>
            <w:noProof/>
            <w:webHidden/>
          </w:rPr>
        </w:r>
        <w:r w:rsidR="00C60928" w:rsidRPr="009A2045">
          <w:rPr>
            <w:noProof/>
            <w:webHidden/>
          </w:rPr>
          <w:fldChar w:fldCharType="separate"/>
        </w:r>
        <w:r w:rsidR="00C60928" w:rsidRPr="009A2045">
          <w:rPr>
            <w:noProof/>
            <w:webHidden/>
          </w:rPr>
          <w:t>14</w:t>
        </w:r>
        <w:r w:rsidR="00C60928" w:rsidRPr="009A2045">
          <w:rPr>
            <w:noProof/>
            <w:webHidden/>
          </w:rPr>
          <w:fldChar w:fldCharType="end"/>
        </w:r>
      </w:hyperlink>
    </w:p>
    <w:p w14:paraId="79353619" w14:textId="23B903D4"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38" w:history="1">
        <w:r w:rsidR="00C60928" w:rsidRPr="009A2045">
          <w:rPr>
            <w:rStyle w:val="Hyperlink"/>
            <w:noProof/>
          </w:rPr>
          <w:t>Table 1-4. Malathion Use Summary of Agricultural Uses with Conventional Application Methods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_Toc435773438 \h </w:instrText>
        </w:r>
        <w:r w:rsidR="00C60928" w:rsidRPr="009A2045">
          <w:rPr>
            <w:noProof/>
            <w:webHidden/>
          </w:rPr>
        </w:r>
        <w:r w:rsidR="00C60928" w:rsidRPr="009A2045">
          <w:rPr>
            <w:noProof/>
            <w:webHidden/>
          </w:rPr>
          <w:fldChar w:fldCharType="separate"/>
        </w:r>
        <w:r w:rsidR="00C60928" w:rsidRPr="009A2045">
          <w:rPr>
            <w:noProof/>
            <w:webHidden/>
          </w:rPr>
          <w:t>19</w:t>
        </w:r>
        <w:r w:rsidR="00C60928" w:rsidRPr="009A2045">
          <w:rPr>
            <w:noProof/>
            <w:webHidden/>
          </w:rPr>
          <w:fldChar w:fldCharType="end"/>
        </w:r>
      </w:hyperlink>
    </w:p>
    <w:p w14:paraId="09694C21" w14:textId="5B3A3F17"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39" w:history="1">
        <w:r w:rsidR="00C60928" w:rsidRPr="009A2045">
          <w:rPr>
            <w:rStyle w:val="Hyperlink"/>
            <w:noProof/>
          </w:rPr>
          <w:t>Table 1-5. Malathion Use Summary of Agricultural and Non-Agricultural Uses with Ultra Low Volume Applications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_Toc435773439 \h </w:instrText>
        </w:r>
        <w:r w:rsidR="00C60928" w:rsidRPr="009A2045">
          <w:rPr>
            <w:noProof/>
            <w:webHidden/>
          </w:rPr>
        </w:r>
        <w:r w:rsidR="00C60928" w:rsidRPr="009A2045">
          <w:rPr>
            <w:noProof/>
            <w:webHidden/>
          </w:rPr>
          <w:fldChar w:fldCharType="separate"/>
        </w:r>
        <w:r w:rsidR="00C60928" w:rsidRPr="009A2045">
          <w:rPr>
            <w:noProof/>
            <w:webHidden/>
          </w:rPr>
          <w:t>24</w:t>
        </w:r>
        <w:r w:rsidR="00C60928" w:rsidRPr="009A2045">
          <w:rPr>
            <w:noProof/>
            <w:webHidden/>
          </w:rPr>
          <w:fldChar w:fldCharType="end"/>
        </w:r>
      </w:hyperlink>
    </w:p>
    <w:p w14:paraId="279A48F5" w14:textId="2F261563"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0" w:history="1">
        <w:r w:rsidR="00C60928" w:rsidRPr="009A2045">
          <w:rPr>
            <w:rStyle w:val="Hyperlink"/>
            <w:noProof/>
          </w:rPr>
          <w:t>Table 1-6. Endpoints and Associated Threshold Selection Strategies That Will Be Used to Delineate the Boundary of the Action Area in Step 1</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_Toc435773440 \h </w:instrText>
        </w:r>
        <w:r w:rsidR="00C60928" w:rsidRPr="009A2045">
          <w:rPr>
            <w:noProof/>
            <w:webHidden/>
          </w:rPr>
        </w:r>
        <w:r w:rsidR="00C60928" w:rsidRPr="009A2045">
          <w:rPr>
            <w:noProof/>
            <w:webHidden/>
          </w:rPr>
          <w:fldChar w:fldCharType="separate"/>
        </w:r>
        <w:r w:rsidR="00C60928" w:rsidRPr="009A2045">
          <w:rPr>
            <w:noProof/>
            <w:webHidden/>
          </w:rPr>
          <w:t>37</w:t>
        </w:r>
        <w:r w:rsidR="00C60928" w:rsidRPr="009A2045">
          <w:rPr>
            <w:noProof/>
            <w:webHidden/>
          </w:rPr>
          <w:fldChar w:fldCharType="end"/>
        </w:r>
      </w:hyperlink>
    </w:p>
    <w:p w14:paraId="64EDB6F8" w14:textId="7E0F6AB5"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1" w:history="1">
        <w:r w:rsidR="00C60928" w:rsidRPr="009A2045">
          <w:rPr>
            <w:rStyle w:val="Hyperlink"/>
            <w:noProof/>
          </w:rPr>
          <w:t>Table 1-7. Lines of Evidence for Risk Hypotheses</w:t>
        </w:r>
        <w:r w:rsidR="00C60928" w:rsidRPr="009A2045">
          <w:rPr>
            <w:rStyle w:val="Hyperlink"/>
            <w:b/>
            <w:noProof/>
          </w:rPr>
          <w:t>.</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_Toc435773441 \h </w:instrText>
        </w:r>
        <w:r w:rsidR="00C60928" w:rsidRPr="009A2045">
          <w:rPr>
            <w:noProof/>
            <w:webHidden/>
          </w:rPr>
        </w:r>
        <w:r w:rsidR="00C60928" w:rsidRPr="009A2045">
          <w:rPr>
            <w:noProof/>
            <w:webHidden/>
          </w:rPr>
          <w:fldChar w:fldCharType="separate"/>
        </w:r>
        <w:r w:rsidR="00C60928" w:rsidRPr="009A2045">
          <w:rPr>
            <w:noProof/>
            <w:webHidden/>
          </w:rPr>
          <w:t>45</w:t>
        </w:r>
        <w:r w:rsidR="00C60928" w:rsidRPr="009A2045">
          <w:rPr>
            <w:noProof/>
            <w:webHidden/>
          </w:rPr>
          <w:fldChar w:fldCharType="end"/>
        </w:r>
      </w:hyperlink>
    </w:p>
    <w:p w14:paraId="0E912B61" w14:textId="45DB378C"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2" w:history="1">
        <w:r w:rsidR="00C60928" w:rsidRPr="009A2045">
          <w:rPr>
            <w:rStyle w:val="Hyperlink"/>
            <w:noProof/>
          </w:rPr>
          <w:t>Table 1-8. Effect</w:t>
        </w:r>
        <w:r w:rsidR="00F1745F" w:rsidRPr="009A2045">
          <w:rPr>
            <w:rStyle w:val="Hyperlink"/>
            <w:noProof/>
          </w:rPr>
          <w:t>s</w:t>
        </w:r>
        <w:r w:rsidR="00C60928" w:rsidRPr="009A2045">
          <w:rPr>
            <w:rStyle w:val="Hyperlink"/>
            <w:noProof/>
          </w:rPr>
          <w:t xml:space="preserve"> Determinations Based on Pairings of Risk and Confidence for a Line of Evidence</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_Toc435773442 \h </w:instrText>
        </w:r>
        <w:r w:rsidR="00C60928" w:rsidRPr="009A2045">
          <w:rPr>
            <w:noProof/>
            <w:webHidden/>
          </w:rPr>
        </w:r>
        <w:r w:rsidR="00C60928" w:rsidRPr="009A2045">
          <w:rPr>
            <w:noProof/>
            <w:webHidden/>
          </w:rPr>
          <w:fldChar w:fldCharType="separate"/>
        </w:r>
        <w:r w:rsidR="00C60928" w:rsidRPr="009A2045">
          <w:rPr>
            <w:noProof/>
            <w:webHidden/>
          </w:rPr>
          <w:t>55</w:t>
        </w:r>
        <w:r w:rsidR="00C60928" w:rsidRPr="009A2045">
          <w:rPr>
            <w:noProof/>
            <w:webHidden/>
          </w:rPr>
          <w:fldChar w:fldCharType="end"/>
        </w:r>
      </w:hyperlink>
    </w:p>
    <w:p w14:paraId="7239CF33" w14:textId="7EF01FD6"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3" w:history="1">
        <w:r w:rsidR="00C60928" w:rsidRPr="009A2045">
          <w:rPr>
            <w:rStyle w:val="Hyperlink"/>
            <w:noProof/>
          </w:rPr>
          <w:t>Table 1-9. Generic Aquatic Habitats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_Toc435773443 \h </w:instrText>
        </w:r>
        <w:r w:rsidR="00C60928" w:rsidRPr="009A2045">
          <w:rPr>
            <w:noProof/>
            <w:webHidden/>
          </w:rPr>
        </w:r>
        <w:r w:rsidR="00C60928" w:rsidRPr="009A2045">
          <w:rPr>
            <w:noProof/>
            <w:webHidden/>
          </w:rPr>
          <w:fldChar w:fldCharType="separate"/>
        </w:r>
        <w:r w:rsidR="00C60928" w:rsidRPr="009A2045">
          <w:rPr>
            <w:noProof/>
            <w:webHidden/>
          </w:rPr>
          <w:t>56</w:t>
        </w:r>
        <w:r w:rsidR="00C60928" w:rsidRPr="009A2045">
          <w:rPr>
            <w:noProof/>
            <w:webHidden/>
          </w:rPr>
          <w:fldChar w:fldCharType="end"/>
        </w:r>
      </w:hyperlink>
    </w:p>
    <w:p w14:paraId="2ECEC2C0" w14:textId="62C07FE0"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4" w:history="1">
        <w:r w:rsidR="00C60928" w:rsidRPr="009A2045">
          <w:rPr>
            <w:rStyle w:val="Hyperlink"/>
            <w:noProof/>
          </w:rPr>
          <w:t>Table 1-10. Step 2 Habitats.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_Toc435773444 \h </w:instrText>
        </w:r>
        <w:r w:rsidR="00C60928" w:rsidRPr="009A2045">
          <w:rPr>
            <w:noProof/>
            <w:webHidden/>
          </w:rPr>
        </w:r>
        <w:r w:rsidR="00C60928" w:rsidRPr="009A2045">
          <w:rPr>
            <w:noProof/>
            <w:webHidden/>
          </w:rPr>
          <w:fldChar w:fldCharType="separate"/>
        </w:r>
        <w:r w:rsidR="00C60928" w:rsidRPr="009A2045">
          <w:rPr>
            <w:noProof/>
            <w:webHidden/>
          </w:rPr>
          <w:t>61</w:t>
        </w:r>
        <w:r w:rsidR="00C60928" w:rsidRPr="009A2045">
          <w:rPr>
            <w:noProof/>
            <w:webHidden/>
          </w:rPr>
          <w:fldChar w:fldCharType="end"/>
        </w:r>
      </w:hyperlink>
    </w:p>
    <w:p w14:paraId="4D1216E4" w14:textId="599AD140"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5" w:history="1">
        <w:r w:rsidR="00C60928" w:rsidRPr="009A2045">
          <w:rPr>
            <w:rStyle w:val="Hyperlink"/>
            <w:noProof/>
          </w:rPr>
          <w:t>Table 1-11. Impurities Reported in Technical Malathion (CalEPA 1981)</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_Toc435773445 \h </w:instrText>
        </w:r>
        <w:r w:rsidR="00C60928" w:rsidRPr="009A2045">
          <w:rPr>
            <w:noProof/>
            <w:webHidden/>
          </w:rPr>
        </w:r>
        <w:r w:rsidR="00C60928" w:rsidRPr="009A2045">
          <w:rPr>
            <w:noProof/>
            <w:webHidden/>
          </w:rPr>
          <w:fldChar w:fldCharType="separate"/>
        </w:r>
        <w:r w:rsidR="00C60928" w:rsidRPr="009A2045">
          <w:rPr>
            <w:noProof/>
            <w:webHidden/>
          </w:rPr>
          <w:t>68</w:t>
        </w:r>
        <w:r w:rsidR="00C60928" w:rsidRPr="009A2045">
          <w:rPr>
            <w:noProof/>
            <w:webHidden/>
          </w:rPr>
          <w:fldChar w:fldCharType="end"/>
        </w:r>
      </w:hyperlink>
    </w:p>
    <w:p w14:paraId="4A050C2F" w14:textId="235A78B1"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6" w:history="1">
        <w:r w:rsidR="00C60928" w:rsidRPr="009A2045">
          <w:rPr>
            <w:rStyle w:val="Hyperlink"/>
            <w:noProof/>
          </w:rPr>
          <w:t>Table 1-12. Comparison of Recently Submitted Toxicity Values to Other Reported Toxicity Values for Aquatic Species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_Toc435773446 \h </w:instrText>
        </w:r>
        <w:r w:rsidR="00C60928" w:rsidRPr="009A2045">
          <w:rPr>
            <w:noProof/>
            <w:webHidden/>
          </w:rPr>
        </w:r>
        <w:r w:rsidR="00C60928" w:rsidRPr="009A2045">
          <w:rPr>
            <w:noProof/>
            <w:webHidden/>
          </w:rPr>
          <w:fldChar w:fldCharType="separate"/>
        </w:r>
        <w:r w:rsidR="00C60928" w:rsidRPr="009A2045">
          <w:rPr>
            <w:noProof/>
            <w:webHidden/>
          </w:rPr>
          <w:t>70</w:t>
        </w:r>
        <w:r w:rsidR="00C60928" w:rsidRPr="009A2045">
          <w:rPr>
            <w:noProof/>
            <w:webHidden/>
          </w:rPr>
          <w:fldChar w:fldCharType="end"/>
        </w:r>
      </w:hyperlink>
    </w:p>
    <w:p w14:paraId="3EB13B5E" w14:textId="60D4DC1D" w:rsidR="00C60928" w:rsidRPr="009A2045" w:rsidRDefault="009A1ABB" w:rsidP="009A2045">
      <w:pPr>
        <w:pStyle w:val="TableofFigures"/>
        <w:tabs>
          <w:tab w:val="right" w:leader="dot" w:pos="9350"/>
        </w:tabs>
        <w:rPr>
          <w:rFonts w:asciiTheme="minorHAnsi" w:eastAsiaTheme="minorEastAsia" w:hAnsiTheme="minorHAnsi" w:cstheme="minorBidi"/>
          <w:noProof/>
          <w:color w:val="auto"/>
        </w:rPr>
      </w:pPr>
      <w:hyperlink w:anchor="_Toc435773447" w:history="1">
        <w:r w:rsidR="00C60928" w:rsidRPr="009A2045">
          <w:rPr>
            <w:rStyle w:val="Hyperlink"/>
            <w:noProof/>
          </w:rPr>
          <w:t>Table 1-13. Comparison of Recently Submitted Toxicity Values to Other Reported Toxicity Values for Terrestrial Species</w:t>
        </w:r>
        <w:r w:rsidR="00C60928" w:rsidRPr="009A2045">
          <w:rPr>
            <w:noProof/>
            <w:webHidden/>
          </w:rPr>
          <w:tab/>
        </w:r>
        <w:r w:rsidR="00C60928" w:rsidRPr="009A2045">
          <w:rPr>
            <w:noProof/>
            <w:webHidden/>
          </w:rPr>
          <w:fldChar w:fldCharType="begin"/>
        </w:r>
        <w:r w:rsidR="00C60928" w:rsidRPr="009A2045">
          <w:rPr>
            <w:noProof/>
            <w:webHidden/>
          </w:rPr>
          <w:instrText xml:space="preserve"> PAGEREF _Toc435773447 \h </w:instrText>
        </w:r>
        <w:r w:rsidR="00C60928" w:rsidRPr="009A2045">
          <w:rPr>
            <w:noProof/>
            <w:webHidden/>
          </w:rPr>
        </w:r>
        <w:r w:rsidR="00C60928" w:rsidRPr="009A2045">
          <w:rPr>
            <w:noProof/>
            <w:webHidden/>
          </w:rPr>
          <w:fldChar w:fldCharType="separate"/>
        </w:r>
        <w:r w:rsidR="00C60928" w:rsidRPr="009A2045">
          <w:rPr>
            <w:noProof/>
            <w:webHidden/>
          </w:rPr>
          <w:t>74</w:t>
        </w:r>
        <w:r w:rsidR="00C60928" w:rsidRPr="009A2045">
          <w:rPr>
            <w:noProof/>
            <w:webHidden/>
          </w:rPr>
          <w:fldChar w:fldCharType="end"/>
        </w:r>
      </w:hyperlink>
    </w:p>
    <w:p w14:paraId="4FEAF8E9" w14:textId="7ACCCCEF" w:rsidR="001D557C" w:rsidRPr="009A2045" w:rsidRDefault="00C60928" w:rsidP="009A2045">
      <w:pPr>
        <w:pStyle w:val="Heading1"/>
        <w:numPr>
          <w:ilvl w:val="0"/>
          <w:numId w:val="15"/>
        </w:numPr>
        <w:rPr>
          <w:sz w:val="32"/>
          <w:szCs w:val="32"/>
        </w:rPr>
      </w:pPr>
      <w:r w:rsidRPr="009A2045">
        <w:lastRenderedPageBreak/>
        <w:fldChar w:fldCharType="end"/>
      </w:r>
      <w:bookmarkStart w:id="1" w:name="_Toc432773295"/>
      <w:r w:rsidR="001D557C" w:rsidRPr="009A2045">
        <w:rPr>
          <w:sz w:val="32"/>
          <w:szCs w:val="32"/>
        </w:rPr>
        <w:t xml:space="preserve"> </w:t>
      </w:r>
      <w:bookmarkStart w:id="2" w:name="_Toc436043008"/>
      <w:bookmarkEnd w:id="1"/>
      <w:r w:rsidR="001D557C" w:rsidRPr="009A2045">
        <w:rPr>
          <w:sz w:val="32"/>
          <w:szCs w:val="32"/>
        </w:rPr>
        <w:t>Introduction</w:t>
      </w:r>
      <w:bookmarkEnd w:id="2"/>
    </w:p>
    <w:p w14:paraId="6531526D" w14:textId="4B247009" w:rsidR="007B3FD5" w:rsidRPr="009A2045" w:rsidRDefault="007B3FD5" w:rsidP="009A2045">
      <w:pPr>
        <w:keepNext/>
        <w:keepLines/>
        <w:spacing w:after="0" w:line="240" w:lineRule="auto"/>
      </w:pPr>
    </w:p>
    <w:p w14:paraId="3033F9E3" w14:textId="144720F0" w:rsidR="007B3FD5" w:rsidRPr="009A2045" w:rsidRDefault="007B3FD5" w:rsidP="009A2045">
      <w:pPr>
        <w:keepNext/>
        <w:keepLines/>
        <w:spacing w:after="0" w:line="240" w:lineRule="auto"/>
      </w:pPr>
      <w:r w:rsidRPr="009A2045">
        <w:t xml:space="preserve">The purpose of this document is to support a process to evaluate whether the registered uses of </w:t>
      </w:r>
      <w:proofErr w:type="gramStart"/>
      <w:r w:rsidR="009F0204" w:rsidRPr="009A2045">
        <w:t>malathion</w:t>
      </w:r>
      <w:proofErr w:type="gramEnd"/>
      <w:r w:rsidRPr="009A2045">
        <w:t xml:space="preserve"> (PC code </w:t>
      </w:r>
      <w:r w:rsidR="009F0204" w:rsidRPr="009A2045">
        <w:t>057701)</w:t>
      </w:r>
      <w:r w:rsidRPr="009A2045">
        <w:t xml:space="preserve"> will result in potential risk to endangered and threatened (listed) species and/or designated critical habitat.  This effort is being completed in support of the registration review process.  In registration review, all pesticides distributed and sold in the United States are reevaluated every 15 years to make sure that as changes occur, products in the marketplace can still be used safely without unreasonable adverse effects</w:t>
      </w:r>
      <w:r w:rsidRPr="009A2045">
        <w:rPr>
          <w:rStyle w:val="FootnoteReference"/>
        </w:rPr>
        <w:footnoteReference w:id="1"/>
      </w:r>
      <w:r w:rsidRPr="009A2045">
        <w:t xml:space="preserve"> to non-listed species under the Federal Insecticide, Fungicide, and Rodenticide Act (FIFRA) and that registered uses do not jeopardize the continued existence of listed species and/or result in adverse modification of critical habitat as administered under the Endangered Species Act (ESA).</w:t>
      </w:r>
    </w:p>
    <w:p w14:paraId="55064E95" w14:textId="77777777" w:rsidR="007B3FD5" w:rsidRPr="009A2045" w:rsidRDefault="007B3FD5" w:rsidP="009A2045">
      <w:pPr>
        <w:keepNext/>
        <w:keepLines/>
        <w:spacing w:after="0" w:line="240" w:lineRule="auto"/>
      </w:pPr>
    </w:p>
    <w:p w14:paraId="6E019127" w14:textId="1594BB65" w:rsidR="007B3FD5" w:rsidRPr="009A2045" w:rsidRDefault="007B3FD5" w:rsidP="009A2045">
      <w:pPr>
        <w:keepNext/>
        <w:keepLines/>
        <w:spacing w:after="0" w:line="240" w:lineRule="auto"/>
      </w:pPr>
      <w:r w:rsidRPr="009A2045">
        <w:t>The listed species assessment process follows the recommendations of the National Research Council (NRC) of the National Academies' Committee on Ecological Risk Assessment under the FIFRA and the ESA provided</w:t>
      </w:r>
      <w:r w:rsidRPr="009A2045">
        <w:rPr>
          <w:vertAlign w:val="superscript"/>
        </w:rPr>
        <w:t xml:space="preserve"> </w:t>
      </w:r>
      <w:r w:rsidRPr="009A2045">
        <w:t xml:space="preserve">in the form of a report entitled, </w:t>
      </w:r>
      <w:r w:rsidRPr="009A2045">
        <w:rPr>
          <w:i/>
        </w:rPr>
        <w:t xml:space="preserve">Assessing Risks to Endangered and Threatened Species from Pesticides </w:t>
      </w:r>
      <w:r w:rsidRPr="009A2045">
        <w:t>(NRC, 2013). Based on the NRC report recommendations, the agencies</w:t>
      </w:r>
      <w:r w:rsidRPr="009A2045">
        <w:rPr>
          <w:rStyle w:val="FootnoteReference"/>
        </w:rPr>
        <w:footnoteReference w:id="2"/>
      </w:r>
      <w:r w:rsidRPr="009A2045">
        <w:t xml:space="preserve"> responsible for conducting the listed species risk assessments use a three-step consultation process to evaluate the potential risk to listed species [</w:t>
      </w:r>
      <w:r w:rsidRPr="009A2045">
        <w:rPr>
          <w:i/>
        </w:rPr>
        <w:t>i.e</w:t>
      </w:r>
      <w:r w:rsidRPr="009A2045">
        <w:t xml:space="preserve">., Step 1 (‘No Effect/May Affect’ determination), Step 2 (‘Not Likely to Adversely Affect (NLAA)/Likely to Adversely Affect (LAA)’ determination), and Step 3 (‘Jeopardy/No Jeopardy’ determination and “adverse modification/no adverse modification” determination on effects to designated critical habitat(s)], with the understanding that the data and analyses for each step will be used, when possible, for the subsequent steps.  This document, referred to as the biological evaluation (BE), represents Steps 1 and 2 in the 3-step listed species assessment process for </w:t>
      </w:r>
      <w:proofErr w:type="gramStart"/>
      <w:r w:rsidR="009F0204" w:rsidRPr="009A2045">
        <w:t>malathion</w:t>
      </w:r>
      <w:proofErr w:type="gramEnd"/>
      <w:r w:rsidRPr="009A2045">
        <w:t xml:space="preserve">. </w:t>
      </w:r>
    </w:p>
    <w:p w14:paraId="4D2A7C01" w14:textId="77777777" w:rsidR="007B3FD5" w:rsidRPr="009A2045" w:rsidRDefault="007B3FD5" w:rsidP="009A2045">
      <w:pPr>
        <w:keepNext/>
        <w:keepLines/>
        <w:spacing w:after="0" w:line="240" w:lineRule="auto"/>
      </w:pPr>
    </w:p>
    <w:p w14:paraId="71E40F7F" w14:textId="3E1AF17F" w:rsidR="007B3FD5" w:rsidRPr="009A2045" w:rsidRDefault="007B3FD5" w:rsidP="009A2045">
      <w:pPr>
        <w:keepNext/>
        <w:keepLines/>
        <w:spacing w:after="0" w:line="240" w:lineRule="auto"/>
      </w:pPr>
      <w:r w:rsidRPr="009A2045">
        <w:t xml:space="preserve">The problem formulation outlines the strategic framework and analysis plan for evaluating potential risk posed by the stressors of the action to listed species and their designated critical habitats.  Risk hypotheses define predicted effects of </w:t>
      </w:r>
      <w:proofErr w:type="gramStart"/>
      <w:r w:rsidR="009F0204" w:rsidRPr="009A2045">
        <w:t>malathion</w:t>
      </w:r>
      <w:proofErr w:type="gramEnd"/>
      <w:r w:rsidRPr="009A2045">
        <w:t xml:space="preserve"> exposure on species and assessment endpoints and provide the framework of the analysis in terms of linking stressor, exposure, and effects. Risk hypotheses are evaluated using lines of evidence constructed from the best commercial and scientific data available. We determine whether the registered uses of </w:t>
      </w:r>
      <w:proofErr w:type="gramStart"/>
      <w:r w:rsidR="009F0204" w:rsidRPr="009A2045">
        <w:t>malathion</w:t>
      </w:r>
      <w:proofErr w:type="gramEnd"/>
      <w:r w:rsidRPr="009A2045">
        <w:t xml:space="preserve"> adversely affect individuals of listed species and their designated critical habitats.  </w:t>
      </w:r>
    </w:p>
    <w:p w14:paraId="553372DF" w14:textId="77777777" w:rsidR="007B3FD5" w:rsidRPr="009A2045" w:rsidRDefault="007B3FD5" w:rsidP="009A2045">
      <w:pPr>
        <w:keepNext/>
        <w:keepLines/>
        <w:spacing w:after="0" w:line="240" w:lineRule="auto"/>
      </w:pPr>
    </w:p>
    <w:p w14:paraId="31CAB90B" w14:textId="01ABCB55" w:rsidR="007B3FD5" w:rsidRPr="009A2045" w:rsidRDefault="00EC7ECD" w:rsidP="009A2045">
      <w:pPr>
        <w:pStyle w:val="Heading2"/>
      </w:pPr>
      <w:r w:rsidRPr="009A2045">
        <w:rPr>
          <w:color w:val="auto"/>
          <w:sz w:val="28"/>
          <w:szCs w:val="28"/>
        </w:rPr>
        <w:t xml:space="preserve">     </w:t>
      </w:r>
      <w:bookmarkStart w:id="3" w:name="_Toc432773296"/>
      <w:bookmarkStart w:id="4" w:name="_Toc436043009"/>
      <w:r w:rsidR="001D557C" w:rsidRPr="009A2045">
        <w:t>Description of the Federal Action</w:t>
      </w:r>
      <w:bookmarkEnd w:id="3"/>
      <w:bookmarkEnd w:id="4"/>
      <w:r w:rsidR="001D557C" w:rsidRPr="009A2045">
        <w:t xml:space="preserve"> </w:t>
      </w:r>
    </w:p>
    <w:p w14:paraId="4929A147" w14:textId="77777777" w:rsidR="007B3FD5" w:rsidRPr="009A2045" w:rsidRDefault="007B3FD5" w:rsidP="009A2045">
      <w:pPr>
        <w:keepNext/>
        <w:keepLines/>
        <w:spacing w:after="0" w:line="240" w:lineRule="auto"/>
      </w:pPr>
    </w:p>
    <w:p w14:paraId="5D1D092B" w14:textId="26164BF2" w:rsidR="007B3FD5" w:rsidRPr="009A2045" w:rsidRDefault="007B3FD5" w:rsidP="009A2045">
      <w:pPr>
        <w:keepNext/>
        <w:keepLines/>
        <w:spacing w:after="0" w:line="240" w:lineRule="auto"/>
      </w:pPr>
      <w:r w:rsidRPr="009A2045">
        <w:t>The proposed Federal action</w:t>
      </w:r>
      <w:r w:rsidRPr="009A2045">
        <w:rPr>
          <w:vertAlign w:val="superscript"/>
        </w:rPr>
        <w:footnoteReference w:id="3"/>
      </w:r>
      <w:r w:rsidRPr="009A2045">
        <w:t xml:space="preserve"> (the Action) encompasses the U.S. Environmental Protection Agency’s (EPA) registration of the uses, as described by product labels, of all pesticide products containing </w:t>
      </w:r>
      <w:proofErr w:type="gramStart"/>
      <w:r w:rsidR="009F0204" w:rsidRPr="009A2045">
        <w:t>malathion</w:t>
      </w:r>
      <w:proofErr w:type="gramEnd"/>
      <w:r w:rsidRPr="009A2045">
        <w:t xml:space="preserve">.  The purpose of the proposed action is to provide tools for pest control on food and feed crops as well as for other non-agricultural uses that do not cause unreasonable adverse effects to the environment throughout the U.S. and its affiliated territories. </w:t>
      </w:r>
    </w:p>
    <w:p w14:paraId="3DF5916F" w14:textId="77777777" w:rsidR="007B3FD5" w:rsidRPr="009A2045" w:rsidRDefault="007B3FD5" w:rsidP="009A2045">
      <w:pPr>
        <w:keepNext/>
        <w:keepLines/>
        <w:spacing w:after="0" w:line="240" w:lineRule="auto"/>
      </w:pPr>
    </w:p>
    <w:p w14:paraId="10D92EDC" w14:textId="35A61C2E" w:rsidR="007B3FD5" w:rsidRPr="009A2045" w:rsidRDefault="007B3FD5" w:rsidP="009A2045">
      <w:pPr>
        <w:keepNext/>
        <w:keepLines/>
        <w:spacing w:after="0" w:line="240" w:lineRule="auto"/>
      </w:pPr>
      <w:r w:rsidRPr="009A2045">
        <w:lastRenderedPageBreak/>
        <w:t xml:space="preserve">EPA’s proposed action encompasses all uses authorized by approved product labels containing </w:t>
      </w:r>
      <w:proofErr w:type="gramStart"/>
      <w:r w:rsidR="009F0204" w:rsidRPr="009A2045">
        <w:t>malathion</w:t>
      </w:r>
      <w:proofErr w:type="gramEnd"/>
      <w:r w:rsidRPr="009A2045">
        <w:t xml:space="preserve">, its metabolites and degradates, any other active ingredients, other ingredients within the formulations, such as adjuvants and inert ingredients, and any recommended tank mixtures.  These comprise the potential stressors of the action.  The proposed action also includes all authorizations for use of pesticide products, including the use of existing stocks, and active labels of products containing </w:t>
      </w:r>
      <w:proofErr w:type="gramStart"/>
      <w:r w:rsidR="009F0204" w:rsidRPr="009A2045">
        <w:t>malathion</w:t>
      </w:r>
      <w:proofErr w:type="gramEnd"/>
      <w:r w:rsidRPr="009A2045">
        <w:t xml:space="preserve"> for the 15-year duration of the proposed action.</w:t>
      </w:r>
    </w:p>
    <w:p w14:paraId="76E77819" w14:textId="77777777" w:rsidR="007B3FD5" w:rsidRPr="009A2045" w:rsidRDefault="007B3FD5" w:rsidP="009A2045">
      <w:pPr>
        <w:keepNext/>
        <w:keepLines/>
        <w:spacing w:after="0" w:line="240" w:lineRule="auto"/>
      </w:pPr>
    </w:p>
    <w:p w14:paraId="28F7508B" w14:textId="77777777" w:rsidR="007B3FD5" w:rsidRPr="009A2045" w:rsidRDefault="007B3FD5" w:rsidP="009A2045">
      <w:pPr>
        <w:keepNext/>
        <w:keepLines/>
        <w:spacing w:after="0" w:line="240" w:lineRule="auto"/>
      </w:pPr>
      <w:r w:rsidRPr="009A2045">
        <w:t>In addition, future uses will be considered as addressed by this risk assessment [</w:t>
      </w:r>
      <w:r w:rsidRPr="009A2045">
        <w:rPr>
          <w:i/>
        </w:rPr>
        <w:t>i.e</w:t>
      </w:r>
      <w:r w:rsidRPr="009A2045">
        <w:t xml:space="preserve">., biological evaluation (BE)] if the geographic distribution and magnitude of exposure (including application rates and methods of application) have been included in the scope of the assessment.  Therefore, if new uses, rate increases, or an application method that increases exposure are approved, then re-initiation of consultation is required. </w:t>
      </w:r>
    </w:p>
    <w:p w14:paraId="32D9A8E8" w14:textId="77777777" w:rsidR="007B3FD5" w:rsidRPr="009A2045" w:rsidRDefault="007B3FD5" w:rsidP="009A2045">
      <w:pPr>
        <w:keepNext/>
        <w:keepLines/>
        <w:spacing w:after="0" w:line="240" w:lineRule="auto"/>
      </w:pPr>
    </w:p>
    <w:p w14:paraId="63319FE6" w14:textId="067B423D" w:rsidR="007B3FD5" w:rsidRPr="009A2045" w:rsidRDefault="007B3FD5" w:rsidP="009A2045">
      <w:pPr>
        <w:keepNext/>
        <w:keepLines/>
        <w:spacing w:after="0" w:line="240" w:lineRule="auto"/>
      </w:pPr>
      <w:r w:rsidRPr="009A2045">
        <w:t>The 15</w:t>
      </w:r>
      <w:r w:rsidR="00EF769F" w:rsidRPr="009A2045">
        <w:t>-</w:t>
      </w:r>
      <w:r w:rsidRPr="009A2045">
        <w:t>year registration cycle for Section 3 and Section 24(c) consultation or the applicable duration for other consultations will be used as the duration of the action, unless otherwise specified on the label.</w:t>
      </w:r>
    </w:p>
    <w:p w14:paraId="01D02FAC" w14:textId="77777777" w:rsidR="007B3FD5" w:rsidRPr="009A2045" w:rsidRDefault="007B3FD5" w:rsidP="009A2045">
      <w:pPr>
        <w:keepNext/>
        <w:keepLines/>
        <w:spacing w:after="0" w:line="240" w:lineRule="auto"/>
      </w:pPr>
    </w:p>
    <w:p w14:paraId="646A2633" w14:textId="77777777" w:rsidR="001D557C" w:rsidRPr="009A2045" w:rsidRDefault="001D557C" w:rsidP="009A2045">
      <w:pPr>
        <w:pStyle w:val="Heading3"/>
      </w:pPr>
      <w:bookmarkStart w:id="5" w:name="_Toc432773297"/>
      <w:bookmarkStart w:id="6" w:name="_Toc436043010"/>
      <w:r w:rsidRPr="009A2045">
        <w:t>1.1.1.</w:t>
      </w:r>
      <w:r w:rsidRPr="009A2045">
        <w:tab/>
        <w:t>Nature of the Regulatory Action</w:t>
      </w:r>
      <w:bookmarkEnd w:id="5"/>
      <w:bookmarkEnd w:id="6"/>
    </w:p>
    <w:p w14:paraId="5DBCB160" w14:textId="77777777" w:rsidR="007B3FD5" w:rsidRPr="009A2045" w:rsidRDefault="007B3FD5" w:rsidP="009A2045">
      <w:pPr>
        <w:keepNext/>
        <w:keepLines/>
        <w:spacing w:after="0" w:line="240" w:lineRule="auto"/>
      </w:pPr>
    </w:p>
    <w:p w14:paraId="5506F8BB" w14:textId="77777777" w:rsidR="001D557C" w:rsidRPr="009A2045" w:rsidRDefault="001D557C" w:rsidP="009A2045">
      <w:pPr>
        <w:pStyle w:val="Heading4"/>
      </w:pPr>
      <w:bookmarkStart w:id="7" w:name="_Toc432773298"/>
      <w:bookmarkStart w:id="8" w:name="_Toc436043011"/>
      <w:r w:rsidRPr="009A2045">
        <w:t>1.1.1.1.</w:t>
      </w:r>
      <w:r w:rsidRPr="009A2045">
        <w:tab/>
        <w:t>Pesticide registration</w:t>
      </w:r>
      <w:bookmarkEnd w:id="7"/>
      <w:bookmarkEnd w:id="8"/>
    </w:p>
    <w:p w14:paraId="7AAE4AC3" w14:textId="77777777" w:rsidR="007B3FD5" w:rsidRPr="009A2045" w:rsidRDefault="007B3FD5" w:rsidP="009A2045">
      <w:pPr>
        <w:spacing w:after="0" w:line="240" w:lineRule="auto"/>
      </w:pPr>
    </w:p>
    <w:p w14:paraId="0B7720E4" w14:textId="41A8CA4B" w:rsidR="007B3FD5" w:rsidRPr="009A2045" w:rsidRDefault="007B3FD5" w:rsidP="009A2045">
      <w:pPr>
        <w:spacing w:after="0" w:line="240" w:lineRule="auto"/>
      </w:pPr>
      <w:r w:rsidRPr="009A2045">
        <w:t>Pursuant to FIFRA, before a pesticide product may be sold or distributed in the U.S.</w:t>
      </w:r>
      <w:r w:rsidR="00EF769F" w:rsidRPr="009A2045">
        <w:t>,</w:t>
      </w:r>
      <w:r w:rsidRPr="009A2045">
        <w:t xml:space="preserve"> it must be exempted or registered with a label identifying approved uses by EPA’s Office of Pesticide Programs (OPP). Pesticide registration is the process through which EPA examines the ingredients of a pesticide; the site or crop on which it is to be used; the amount, frequency and timing of its use; and storage and disposal practices. Pesticide products (also referred to as “formulated products”) may include active ingredients (a.i.s) and other ingredients, such as adjuvants and surfactants.  EPA authorization of pesticide uses are categorized as FIFRA Sections 3 (new product registrations), 4 (re-registrations and special review), 18 (emergency use), or 24(c) Special Local Needs (SLN).</w:t>
      </w:r>
    </w:p>
    <w:p w14:paraId="74357CA7" w14:textId="77777777" w:rsidR="007B3FD5" w:rsidRPr="009A2045" w:rsidRDefault="007B3FD5" w:rsidP="009A2045">
      <w:pPr>
        <w:spacing w:after="0" w:line="240" w:lineRule="auto"/>
      </w:pPr>
    </w:p>
    <w:p w14:paraId="42FC0ADA" w14:textId="6BCD979C" w:rsidR="007B3FD5" w:rsidRPr="009A2045" w:rsidRDefault="007B3FD5" w:rsidP="009A2045">
      <w:pPr>
        <w:spacing w:after="0" w:line="240" w:lineRule="auto"/>
      </w:pPr>
      <w:r w:rsidRPr="009A2045">
        <w:lastRenderedPageBreak/>
        <w:t xml:space="preserve">EPA evaluates </w:t>
      </w:r>
      <w:r w:rsidR="00EF769F" w:rsidRPr="009A2045">
        <w:t>a</w:t>
      </w:r>
      <w:r w:rsidRPr="009A2045">
        <w:t xml:space="preserve"> pesticide to ensure that it will not have unreasonable adverse effects</w:t>
      </w:r>
      <w:r w:rsidRPr="009A2045">
        <w:rPr>
          <w:vertAlign w:val="superscript"/>
        </w:rPr>
        <w:t xml:space="preserve"> </w:t>
      </w:r>
      <w:r w:rsidRPr="009A2045">
        <w:t>on humans, the environment and non-target species. EPA also evaluates the impact on threatened and endangered (listed) species and their designated critical habitats.  Pesticides must be registered or exempted by EPA before they may be sold or distributed in the U.S. Once registered, a pesticide may not legally be used unless the use is consistent with the approved directions for use on the pesticide’s label or labeling.</w:t>
      </w:r>
    </w:p>
    <w:p w14:paraId="5A393485" w14:textId="77777777" w:rsidR="007B3FD5" w:rsidRPr="009A2045" w:rsidRDefault="007B3FD5" w:rsidP="009A2045">
      <w:pPr>
        <w:spacing w:after="0" w:line="240" w:lineRule="auto"/>
      </w:pPr>
    </w:p>
    <w:p w14:paraId="5FA0BEA9" w14:textId="77777777" w:rsidR="007B3FD5" w:rsidRPr="009A2045" w:rsidRDefault="007B3FD5" w:rsidP="009A2045">
      <w:pPr>
        <w:spacing w:after="0" w:line="240" w:lineRule="auto"/>
      </w:pPr>
      <w:r w:rsidRPr="009A2045">
        <w:t>After registering a pesticide, EPA retains discretionary involvement and control over such registration.  EPA must periodically review the registration to ensure compliance with FIFRA and other federal laws (7 U.S.C. §136d).  A pesticide registration can be cancelled whenever “a pesticide or its labeling or other</w:t>
      </w:r>
      <w:r w:rsidRPr="009A2045">
        <w:rPr>
          <w:i/>
        </w:rPr>
        <w:t xml:space="preserve"> </w:t>
      </w:r>
      <w:r w:rsidRPr="009A2045">
        <w:t>material…does not comply with the provisions of FIFRA or, when used in accordance with widespread and commonly recognized practice, generally causes unreasonable adverse effects on the environment.”  For details on pesticide cancellation procedures under FIFRA 6(f), please see the following link:</w:t>
      </w:r>
    </w:p>
    <w:p w14:paraId="34BF4C43" w14:textId="77777777" w:rsidR="007B3FD5" w:rsidRPr="009A2045" w:rsidRDefault="007B3FD5" w:rsidP="009A2045">
      <w:pPr>
        <w:spacing w:after="0" w:line="240" w:lineRule="auto"/>
      </w:pPr>
    </w:p>
    <w:p w14:paraId="29DD6B47" w14:textId="77777777" w:rsidR="007B3FD5" w:rsidRPr="009A2045" w:rsidRDefault="009A1ABB" w:rsidP="009A2045">
      <w:hyperlink r:id="rId8">
        <w:r w:rsidR="007B3FD5" w:rsidRPr="009A2045">
          <w:rPr>
            <w:rFonts w:ascii="Times New Roman" w:eastAsia="Times New Roman" w:hAnsi="Times New Roman" w:cs="Times New Roman"/>
            <w:color w:val="0563C1"/>
            <w:sz w:val="24"/>
            <w:szCs w:val="24"/>
            <w:u w:val="single"/>
          </w:rPr>
          <w:t>http://www.epa.gov/pesticides/regulating/cancellations.htm</w:t>
        </w:r>
      </w:hyperlink>
      <w:hyperlink r:id="rId9"/>
    </w:p>
    <w:p w14:paraId="2E693A77" w14:textId="77777777" w:rsidR="007B3FD5" w:rsidRPr="009A2045" w:rsidRDefault="009A1ABB" w:rsidP="009A2045">
      <w:pPr>
        <w:spacing w:after="0" w:line="240" w:lineRule="auto"/>
      </w:pPr>
      <w:hyperlink r:id="rId10"/>
    </w:p>
    <w:p w14:paraId="15F4BF80" w14:textId="77777777" w:rsidR="007B3FD5" w:rsidRPr="009A2045" w:rsidRDefault="007B3FD5" w:rsidP="009A2045">
      <w:pPr>
        <w:spacing w:after="0" w:line="240" w:lineRule="auto"/>
      </w:pPr>
      <w:r w:rsidRPr="009A2045">
        <w:t xml:space="preserve">“Restricted” pesticides may be applied only by or under the direct supervision of specially trained and certified applicators (40 CFR 171). Certification and training programs are conducted by states, territories, and tribes in accordance with national standards.  </w:t>
      </w:r>
    </w:p>
    <w:p w14:paraId="696343ED" w14:textId="77777777" w:rsidR="007B3FD5" w:rsidRPr="009A2045" w:rsidRDefault="007B3FD5" w:rsidP="009A2045">
      <w:pPr>
        <w:keepNext/>
        <w:keepLines/>
        <w:spacing w:after="0" w:line="240" w:lineRule="auto"/>
      </w:pPr>
    </w:p>
    <w:p w14:paraId="2031BE4E" w14:textId="60B5C679" w:rsidR="007B3FD5" w:rsidRPr="009A2045" w:rsidRDefault="009F0204" w:rsidP="009A2045">
      <w:pPr>
        <w:keepNext/>
        <w:keepLines/>
        <w:spacing w:after="0" w:line="240" w:lineRule="auto"/>
      </w:pPr>
      <w:r w:rsidRPr="009A2045">
        <w:t>Malathion</w:t>
      </w:r>
      <w:r w:rsidR="007B3FD5" w:rsidRPr="009A2045">
        <w:t xml:space="preserve"> was first registered as an insecticide in 1965.  An overview of the regulatory history and past risk assessments for </w:t>
      </w:r>
      <w:proofErr w:type="gramStart"/>
      <w:r w:rsidRPr="009A2045">
        <w:t>malathion</w:t>
      </w:r>
      <w:proofErr w:type="gramEnd"/>
      <w:r w:rsidR="007B3FD5" w:rsidRPr="009A2045">
        <w:t xml:space="preserve"> can be found in </w:t>
      </w:r>
      <w:r w:rsidR="007B3FD5" w:rsidRPr="009A2045">
        <w:rPr>
          <w:b/>
        </w:rPr>
        <w:t>APPENDIX</w:t>
      </w:r>
      <w:r w:rsidR="007B3FD5" w:rsidRPr="009A2045">
        <w:t xml:space="preserve"> </w:t>
      </w:r>
      <w:r w:rsidR="00742D6D" w:rsidRPr="009A2045">
        <w:rPr>
          <w:b/>
        </w:rPr>
        <w:t>1-1</w:t>
      </w:r>
      <w:r w:rsidR="007B3FD5" w:rsidRPr="009A2045">
        <w:t>.</w:t>
      </w:r>
    </w:p>
    <w:p w14:paraId="2F5E7CB2" w14:textId="77777777" w:rsidR="007B3FD5" w:rsidRPr="009A2045" w:rsidRDefault="007B3FD5" w:rsidP="009A2045">
      <w:pPr>
        <w:keepNext/>
        <w:keepLines/>
        <w:spacing w:after="0" w:line="240" w:lineRule="auto"/>
      </w:pPr>
    </w:p>
    <w:p w14:paraId="56E281A5" w14:textId="77777777" w:rsidR="007B3FD5" w:rsidRPr="009A2045" w:rsidRDefault="007B3FD5" w:rsidP="009A2045">
      <w:pPr>
        <w:pStyle w:val="Heading4"/>
      </w:pPr>
      <w:bookmarkStart w:id="9" w:name="_Toc436043012"/>
      <w:r w:rsidRPr="009A2045">
        <w:t>1.1.1.2.</w:t>
      </w:r>
      <w:r w:rsidRPr="009A2045">
        <w:tab/>
        <w:t>Registration Review</w:t>
      </w:r>
      <w:bookmarkEnd w:id="9"/>
      <w:r w:rsidRPr="009A2045">
        <w:t xml:space="preserve"> </w:t>
      </w:r>
    </w:p>
    <w:p w14:paraId="4A946DA2" w14:textId="77777777" w:rsidR="007B3FD5" w:rsidRPr="009A2045" w:rsidRDefault="007B3FD5" w:rsidP="009A2045">
      <w:pPr>
        <w:keepNext/>
        <w:keepLines/>
        <w:spacing w:after="0" w:line="240" w:lineRule="auto"/>
      </w:pPr>
    </w:p>
    <w:p w14:paraId="3B3EBFC3" w14:textId="76B78ADF" w:rsidR="007B3FD5" w:rsidRPr="009A2045" w:rsidRDefault="007B3FD5" w:rsidP="009A2045">
      <w:pPr>
        <w:spacing w:after="0" w:line="240" w:lineRule="auto"/>
      </w:pPr>
      <w:r w:rsidRPr="009A2045">
        <w:t>In 2006, EPA initiated a new program called registration review to reevaluate all pesticides on a regular cycle. The program’s goal is to review each pesticide active ingredient every 15 years to make sure that as the ability to assess risks to human health and the environment evolves and as policies and practices change, all pesticide products in the marketplace can still be used safely. Registration review includes Section</w:t>
      </w:r>
      <w:r w:rsidR="009C657D" w:rsidRPr="009A2045">
        <w:t>s</w:t>
      </w:r>
      <w:r w:rsidRPr="009A2045">
        <w:t xml:space="preserve"> 3, 24(c), and 18 labels.  </w:t>
      </w:r>
    </w:p>
    <w:p w14:paraId="714F627F" w14:textId="77777777" w:rsidR="007B3FD5" w:rsidRPr="009A2045" w:rsidRDefault="007B3FD5" w:rsidP="009A2045">
      <w:pPr>
        <w:keepNext/>
        <w:keepLines/>
        <w:spacing w:after="0" w:line="240" w:lineRule="auto"/>
      </w:pPr>
    </w:p>
    <w:p w14:paraId="0D8286FE" w14:textId="0419960A" w:rsidR="007B3FD5" w:rsidRPr="009A2045" w:rsidRDefault="007B3FD5" w:rsidP="009A2045">
      <w:pPr>
        <w:pStyle w:val="Heading4"/>
      </w:pPr>
      <w:bookmarkStart w:id="10" w:name="_Toc436043013"/>
      <w:r w:rsidRPr="009A2045">
        <w:t>1.1.1.3.</w:t>
      </w:r>
      <w:r w:rsidRPr="009A2045">
        <w:tab/>
        <w:t xml:space="preserve">Pesticide </w:t>
      </w:r>
      <w:r w:rsidR="001718EE" w:rsidRPr="009A2045">
        <w:t>L</w:t>
      </w:r>
      <w:r w:rsidRPr="009A2045">
        <w:t>abels</w:t>
      </w:r>
      <w:bookmarkEnd w:id="10"/>
    </w:p>
    <w:p w14:paraId="638184A1" w14:textId="77777777" w:rsidR="007B3FD5" w:rsidRPr="009A2045" w:rsidRDefault="007B3FD5" w:rsidP="009A2045">
      <w:pPr>
        <w:spacing w:after="0" w:line="240" w:lineRule="auto"/>
      </w:pPr>
    </w:p>
    <w:p w14:paraId="7ACA03D4" w14:textId="77777777" w:rsidR="007B3FD5" w:rsidRPr="009A2045" w:rsidRDefault="007B3FD5" w:rsidP="009A2045">
      <w:pPr>
        <w:spacing w:after="0" w:line="240" w:lineRule="auto"/>
      </w:pPr>
      <w:r w:rsidRPr="009A2045">
        <w:t>The label on a pesticide package or container is legally enforceable. The label provides information about how to handle and safely use the pesticide product and avoid harm to human health and the environment.  Using a pesticide in a manner that is inconsistent with the use directions on the label is a violation of FIFRA and can result in enforcement actions to correct the violations.</w:t>
      </w:r>
    </w:p>
    <w:p w14:paraId="3301D912" w14:textId="77777777" w:rsidR="007B3FD5" w:rsidRPr="009A2045" w:rsidRDefault="007B3FD5" w:rsidP="009A2045">
      <w:pPr>
        <w:spacing w:after="0" w:line="240" w:lineRule="auto"/>
      </w:pPr>
    </w:p>
    <w:p w14:paraId="68F16785" w14:textId="77777777" w:rsidR="007B3FD5" w:rsidRPr="009A2045" w:rsidRDefault="007B3FD5" w:rsidP="009A2045">
      <w:pPr>
        <w:spacing w:after="0" w:line="240" w:lineRule="auto"/>
      </w:pPr>
      <w:r w:rsidRPr="009A2045">
        <w:t xml:space="preserve">EPA will evaluate listed species concerns within the context of registration review so that when a registration decision is made, it fully addresses issues related to listed species protection. If a risk assessment determines that use limitations are necessary to ensure that legal use of a pesticide will not adversely affect or result in jeopardy to listed species or adversely affect or modify their designated </w:t>
      </w:r>
      <w:r w:rsidRPr="009A2045">
        <w:lastRenderedPageBreak/>
        <w:t xml:space="preserve">critical habitat, EPA may change the terms of the pesticide registration by requiring modification of labels that extend new limitations on pesticide use.  When geographically specific use limitations are necessary, Endangered Species Protection Bulletins (Bulletins) will be referenced on the FIFRA label ensuring enforceability. Bulletins can be found at the following website: </w:t>
      </w:r>
      <w:hyperlink r:id="rId11" w:history="1">
        <w:r w:rsidRPr="009A2045">
          <w:rPr>
            <w:rStyle w:val="Hyperlink"/>
          </w:rPr>
          <w:t>http://www.epa.gov/oppfead1/endanger/bulletins.htm</w:t>
        </w:r>
      </w:hyperlink>
      <w:r w:rsidRPr="009A2045">
        <w:t>.</w:t>
      </w:r>
    </w:p>
    <w:p w14:paraId="101D4D4F" w14:textId="77777777" w:rsidR="007B3FD5" w:rsidRPr="009A2045" w:rsidRDefault="007B3FD5" w:rsidP="009A2045">
      <w:pPr>
        <w:keepNext/>
        <w:keepLines/>
        <w:spacing w:after="0" w:line="240" w:lineRule="auto"/>
      </w:pPr>
    </w:p>
    <w:p w14:paraId="4F2B8A11" w14:textId="117AC705" w:rsidR="007B3FD5" w:rsidRPr="009A2045" w:rsidRDefault="007B3FD5" w:rsidP="009A2045">
      <w:pPr>
        <w:pStyle w:val="Heading4"/>
      </w:pPr>
      <w:bookmarkStart w:id="11" w:name="_Toc436043014"/>
      <w:r w:rsidRPr="009A2045">
        <w:t>1.1.1.4.</w:t>
      </w:r>
      <w:r w:rsidRPr="009A2045">
        <w:tab/>
        <w:t xml:space="preserve">Monitoring and </w:t>
      </w:r>
      <w:r w:rsidR="001718EE" w:rsidRPr="009A2045">
        <w:t>R</w:t>
      </w:r>
      <w:r w:rsidRPr="009A2045">
        <w:t>eporting</w:t>
      </w:r>
      <w:bookmarkEnd w:id="11"/>
    </w:p>
    <w:p w14:paraId="545C9B1F" w14:textId="77777777" w:rsidR="007B3FD5" w:rsidRPr="009A2045" w:rsidRDefault="007B3FD5" w:rsidP="009A2045">
      <w:pPr>
        <w:spacing w:after="0" w:line="240" w:lineRule="auto"/>
      </w:pPr>
    </w:p>
    <w:p w14:paraId="7FB7D225" w14:textId="21B895F8" w:rsidR="007B3FD5" w:rsidRPr="009A2045" w:rsidRDefault="007B3FD5" w:rsidP="009A2045">
      <w:pPr>
        <w:spacing w:after="0" w:line="240" w:lineRule="auto"/>
      </w:pPr>
      <w:r w:rsidRPr="009A2045">
        <w:t>The current Federal Action does not include any specific provision for monitoring.</w:t>
      </w:r>
      <w:r w:rsidRPr="009A2045">
        <w:rPr>
          <w:color w:val="00FF00"/>
        </w:rPr>
        <w:t xml:space="preserve">  </w:t>
      </w:r>
      <w:r w:rsidRPr="009A2045">
        <w:t>However, Section 6(a)(2) of the Federal Insecticide, Fungicide and Rodenticide Act requires pesticide product registrants to report adverse effects information, such as incident data (</w:t>
      </w:r>
      <w:r w:rsidR="00742D6D" w:rsidRPr="009A2045">
        <w:rPr>
          <w:b/>
        </w:rPr>
        <w:t>ATTACHMENT 1-1</w:t>
      </w:r>
      <w:r w:rsidRPr="009A2045">
        <w:t>), about their products to the EPA. Several regulations and guidance documents have been published which provide registrants and the public with details on what, when and how to report this information.  For more information, see the following website:</w:t>
      </w:r>
    </w:p>
    <w:p w14:paraId="4A05C622" w14:textId="77777777" w:rsidR="007B3FD5" w:rsidRPr="009A2045" w:rsidRDefault="009A1ABB" w:rsidP="009A2045">
      <w:pPr>
        <w:spacing w:after="0" w:line="240" w:lineRule="auto"/>
        <w:ind w:left="1440" w:firstLine="720"/>
      </w:pPr>
      <w:hyperlink r:id="rId12">
        <w:r w:rsidR="007B3FD5" w:rsidRPr="009A2045">
          <w:rPr>
            <w:i/>
            <w:color w:val="0000FF"/>
            <w:u w:val="single"/>
          </w:rPr>
          <w:t>http://epa.gov/pesticides/fifra6a2/</w:t>
        </w:r>
      </w:hyperlink>
      <w:hyperlink r:id="rId13"/>
    </w:p>
    <w:p w14:paraId="523D347C" w14:textId="77777777" w:rsidR="000E5A0E" w:rsidRPr="009A2045" w:rsidRDefault="009A1ABB" w:rsidP="009A2045">
      <w:pPr>
        <w:keepNext/>
        <w:keepLines/>
        <w:spacing w:after="0" w:line="240" w:lineRule="auto"/>
      </w:pPr>
      <w:hyperlink r:id="rId14"/>
    </w:p>
    <w:p w14:paraId="111361A6" w14:textId="4CCD58D1" w:rsidR="000E5A0E" w:rsidRPr="009A2045" w:rsidRDefault="00D63E1A" w:rsidP="009A2045">
      <w:pPr>
        <w:pStyle w:val="Heading3"/>
      </w:pPr>
      <w:bookmarkStart w:id="12" w:name="_Toc436043015"/>
      <w:r w:rsidRPr="009A2045">
        <w:t>1.1.2.</w:t>
      </w:r>
      <w:r w:rsidRPr="009A2045">
        <w:tab/>
        <w:t xml:space="preserve">Use </w:t>
      </w:r>
      <w:r w:rsidR="001718EE" w:rsidRPr="009A2045">
        <w:t>D</w:t>
      </w:r>
      <w:r w:rsidRPr="009A2045">
        <w:t>ata (</w:t>
      </w:r>
      <w:r w:rsidR="001718EE" w:rsidRPr="009A2045">
        <w:t>L</w:t>
      </w:r>
      <w:r w:rsidRPr="009A2045">
        <w:t>abels)</w:t>
      </w:r>
      <w:bookmarkEnd w:id="12"/>
    </w:p>
    <w:p w14:paraId="2F95E6A9" w14:textId="77777777" w:rsidR="000E5A0E" w:rsidRPr="009A2045" w:rsidRDefault="00D63E1A" w:rsidP="009A2045">
      <w:pPr>
        <w:keepNext/>
        <w:keepLines/>
        <w:spacing w:after="0" w:line="240" w:lineRule="auto"/>
      </w:pPr>
      <w:r w:rsidRPr="009A2045">
        <w:rPr>
          <w:i/>
          <w:color w:val="2E75B5"/>
          <w:sz w:val="24"/>
          <w:szCs w:val="24"/>
        </w:rPr>
        <w:tab/>
      </w:r>
    </w:p>
    <w:p w14:paraId="24BEB491" w14:textId="172EBA53" w:rsidR="000E5A0E" w:rsidRPr="009A2045" w:rsidRDefault="00D63E1A" w:rsidP="009A2045">
      <w:pPr>
        <w:pStyle w:val="Heading4"/>
      </w:pPr>
      <w:bookmarkStart w:id="13" w:name="_Toc436043016"/>
      <w:r w:rsidRPr="009A2045">
        <w:t>1.1.2.1.</w:t>
      </w:r>
      <w:r w:rsidRPr="009A2045">
        <w:tab/>
        <w:t xml:space="preserve">Current </w:t>
      </w:r>
      <w:r w:rsidR="001718EE" w:rsidRPr="009A2045">
        <w:t>R</w:t>
      </w:r>
      <w:r w:rsidRPr="009A2045">
        <w:t>egistrations</w:t>
      </w:r>
      <w:bookmarkEnd w:id="13"/>
      <w:r w:rsidRPr="009A2045">
        <w:t xml:space="preserve"> </w:t>
      </w:r>
    </w:p>
    <w:p w14:paraId="4321E9FB" w14:textId="77777777" w:rsidR="000E5A0E" w:rsidRPr="009A2045" w:rsidRDefault="000E5A0E" w:rsidP="009A2045">
      <w:pPr>
        <w:spacing w:after="0" w:line="240" w:lineRule="auto"/>
      </w:pPr>
    </w:p>
    <w:p w14:paraId="071A0AB8" w14:textId="561DFBE1" w:rsidR="000E5A0E" w:rsidRPr="009A2045" w:rsidRDefault="00D63E1A" w:rsidP="009A2045">
      <w:pPr>
        <w:widowControl w:val="0"/>
        <w:spacing w:after="0" w:line="240" w:lineRule="auto"/>
      </w:pPr>
      <w:r w:rsidRPr="009A2045">
        <w:t xml:space="preserve">Malathion is an organophosphate used as an insecticide on a wide variety of terrestrial food and feed crops, terrestrial non-food crops, aquatic food, non-agricultural indoor, outdoor sites, and </w:t>
      </w:r>
      <w:r w:rsidR="00B23E7E" w:rsidRPr="009A2045">
        <w:t xml:space="preserve">for </w:t>
      </w:r>
      <w:r w:rsidRPr="009A2045">
        <w:t>wide area public health uses. Based on an Office of Pesticide Programs Information Network (OPPIN) query (conducted Feb. 2015)</w:t>
      </w:r>
      <w:r w:rsidR="00B23E7E" w:rsidRPr="009A2045">
        <w:t>,</w:t>
      </w:r>
      <w:r w:rsidRPr="009A2045">
        <w:t xml:space="preserve"> there is currently 1 active technical registrant </w:t>
      </w:r>
      <w:r w:rsidR="0012067D" w:rsidRPr="009A2045">
        <w:t>that sponsors guideline studies</w:t>
      </w:r>
      <w:r w:rsidRPr="009A2045">
        <w:t xml:space="preserve"> </w:t>
      </w:r>
      <w:r w:rsidR="0012067D" w:rsidRPr="009A2045">
        <w:t>on</w:t>
      </w:r>
      <w:r w:rsidRPr="009A2045">
        <w:t xml:space="preserve"> malathion, and there are 96 active registrations (43 Section 3</w:t>
      </w:r>
      <w:r w:rsidR="00B23E7E" w:rsidRPr="009A2045">
        <w:t>’</w:t>
      </w:r>
      <w:r w:rsidRPr="009A2045">
        <w:t>s, 53 Section 24c Special Local Needs, and 0 Section 18 Emergency Exemptions)</w:t>
      </w:r>
      <w:r w:rsidR="0012067D" w:rsidRPr="009A2045">
        <w:t xml:space="preserve"> from 21 registrants</w:t>
      </w:r>
      <w:r w:rsidRPr="009A2045">
        <w:t xml:space="preserve">, which include formulated end-use products and technical grade malathion (see </w:t>
      </w:r>
      <w:r w:rsidRPr="009A2045">
        <w:rPr>
          <w:b/>
        </w:rPr>
        <w:t xml:space="preserve">APPENDIX </w:t>
      </w:r>
      <w:r w:rsidR="00742D6D" w:rsidRPr="009A2045">
        <w:rPr>
          <w:b/>
        </w:rPr>
        <w:t>1-2</w:t>
      </w:r>
      <w:r w:rsidRPr="009A2045">
        <w:t xml:space="preserve">). Malathion can be applied in a dust, liquid or encapsulated form.  Aerial and ground application methods (including broadcast, fogger, and chemigation) are allowed (see </w:t>
      </w:r>
      <w:r w:rsidRPr="009A2045">
        <w:rPr>
          <w:b/>
        </w:rPr>
        <w:t xml:space="preserve">APPENDIX </w:t>
      </w:r>
      <w:r w:rsidR="00742D6D" w:rsidRPr="009A2045">
        <w:rPr>
          <w:b/>
        </w:rPr>
        <w:t>1-3</w:t>
      </w:r>
      <w:r w:rsidRPr="009A2045">
        <w:t xml:space="preserve"> for details). </w:t>
      </w:r>
    </w:p>
    <w:p w14:paraId="0D19E1BB" w14:textId="77777777" w:rsidR="000E5A0E" w:rsidRPr="009A2045" w:rsidRDefault="000E5A0E" w:rsidP="009A2045">
      <w:pPr>
        <w:widowControl w:val="0"/>
        <w:spacing w:after="0" w:line="240" w:lineRule="auto"/>
      </w:pPr>
    </w:p>
    <w:p w14:paraId="34F56ED8" w14:textId="6A1E09E6" w:rsidR="000E5A0E" w:rsidRPr="009A2045" w:rsidRDefault="00D63E1A" w:rsidP="009A2045">
      <w:pPr>
        <w:widowControl w:val="0"/>
        <w:spacing w:after="0" w:line="240" w:lineRule="auto"/>
      </w:pPr>
      <w:r w:rsidRPr="009A2045">
        <w:t xml:space="preserve">Registered labels for agricultural use products require 25-foot (ground and </w:t>
      </w:r>
      <w:r w:rsidR="00A57C46" w:rsidRPr="009A2045">
        <w:t>n</w:t>
      </w:r>
      <w:r w:rsidRPr="009A2045">
        <w:t>on-ULV aerial applications), or 50-foot (ULV aerial applications) no-spray buffer zones adjacent to</w:t>
      </w:r>
      <w:r w:rsidR="00CA1980" w:rsidRPr="009A2045">
        <w:t xml:space="preserve"> “any</w:t>
      </w:r>
      <w:r w:rsidRPr="009A2045">
        <w:t xml:space="preserve"> water</w:t>
      </w:r>
      <w:r w:rsidR="00CA1980" w:rsidRPr="009A2045">
        <w:t xml:space="preserve"> </w:t>
      </w:r>
      <w:r w:rsidRPr="009A2045">
        <w:t>bod</w:t>
      </w:r>
      <w:r w:rsidR="00CA1980" w:rsidRPr="009A2045">
        <w:t>y</w:t>
      </w:r>
      <w:r w:rsidR="00B23E7E" w:rsidRPr="009A2045">
        <w:t>.</w:t>
      </w:r>
      <w:r w:rsidR="00CA1980" w:rsidRPr="009A2045">
        <w:t>”</w:t>
      </w:r>
      <w:r w:rsidRPr="009A2045">
        <w:t xml:space="preserve"> </w:t>
      </w:r>
      <w:r w:rsidR="00CA1980" w:rsidRPr="009A2045">
        <w:t>The interpretation of what constitutes a water body is left to the applicator and the state lead agency for pesticide label enforcement.  All r</w:t>
      </w:r>
      <w:r w:rsidRPr="009A2045">
        <w:t xml:space="preserve">egistered labels </w:t>
      </w:r>
      <w:r w:rsidR="00A51253" w:rsidRPr="009A2045">
        <w:t xml:space="preserve">for agricultural use </w:t>
      </w:r>
      <w:r w:rsidRPr="009A2045">
        <w:t>also include the following spray drift requirements when spraying in the vicinity of aquatic areas:</w:t>
      </w:r>
    </w:p>
    <w:p w14:paraId="46AA18E1" w14:textId="77777777" w:rsidR="000E5A0E" w:rsidRPr="009A2045" w:rsidRDefault="00D63E1A" w:rsidP="009A2045">
      <w:pPr>
        <w:widowControl w:val="0"/>
        <w:numPr>
          <w:ilvl w:val="0"/>
          <w:numId w:val="3"/>
        </w:numPr>
        <w:spacing w:after="0" w:line="240" w:lineRule="auto"/>
        <w:ind w:hanging="360"/>
        <w:contextualSpacing/>
      </w:pPr>
      <w:r w:rsidRPr="009A2045">
        <w:t>Droplet Size</w:t>
      </w:r>
    </w:p>
    <w:p w14:paraId="0689435D" w14:textId="77777777" w:rsidR="000E5A0E" w:rsidRPr="009A2045" w:rsidRDefault="00D63E1A" w:rsidP="009A2045">
      <w:pPr>
        <w:widowControl w:val="0"/>
        <w:numPr>
          <w:ilvl w:val="1"/>
          <w:numId w:val="3"/>
        </w:numPr>
        <w:spacing w:after="0" w:line="240" w:lineRule="auto"/>
        <w:ind w:hanging="360"/>
        <w:contextualSpacing/>
      </w:pPr>
      <w:r w:rsidRPr="009A2045">
        <w:t>Use the largest droplet size consistent with acceptable efficacy. Formation of very small droplets may be minimized by appropriate nozzle selection, by orienting nozzles away from the air stream as much as possible, and by avoiding excessive spray boom pressure.</w:t>
      </w:r>
    </w:p>
    <w:p w14:paraId="5AE9EF2C" w14:textId="77777777" w:rsidR="000E5A0E" w:rsidRPr="009A2045" w:rsidRDefault="00D63E1A" w:rsidP="009A2045">
      <w:pPr>
        <w:widowControl w:val="0"/>
        <w:numPr>
          <w:ilvl w:val="1"/>
          <w:numId w:val="3"/>
        </w:numPr>
        <w:spacing w:after="0" w:line="240" w:lineRule="auto"/>
        <w:ind w:hanging="360"/>
        <w:contextualSpacing/>
      </w:pPr>
      <w:r w:rsidRPr="009A2045">
        <w:lastRenderedPageBreak/>
        <w:t xml:space="preserve">For ground boom and aerial applications, use only medium or coarser spray nozzles according to ASAE (S572) definition for standard nozzles, or a volume mean diameter (VMD) of 300 microns or greater for spinning atomizer nozzles. In conditions of low humidity and high temperatures, applicators should use a coarser droplet size. </w:t>
      </w:r>
    </w:p>
    <w:p w14:paraId="5B894127" w14:textId="77777777" w:rsidR="000E5A0E" w:rsidRPr="009A2045" w:rsidRDefault="00D63E1A" w:rsidP="009A2045">
      <w:pPr>
        <w:widowControl w:val="0"/>
        <w:numPr>
          <w:ilvl w:val="0"/>
          <w:numId w:val="3"/>
        </w:numPr>
        <w:spacing w:after="0" w:line="240" w:lineRule="auto"/>
        <w:ind w:hanging="360"/>
        <w:contextualSpacing/>
      </w:pPr>
      <w:r w:rsidRPr="009A2045">
        <w:t>Wind Direction and Speed</w:t>
      </w:r>
    </w:p>
    <w:p w14:paraId="3B954AA9" w14:textId="3A8324B6" w:rsidR="000E5A0E" w:rsidRPr="009A2045" w:rsidRDefault="00D63E1A" w:rsidP="009A2045">
      <w:pPr>
        <w:widowControl w:val="0"/>
        <w:numPr>
          <w:ilvl w:val="1"/>
          <w:numId w:val="3"/>
        </w:numPr>
        <w:spacing w:after="0" w:line="240" w:lineRule="auto"/>
        <w:ind w:hanging="360"/>
        <w:contextualSpacing/>
      </w:pPr>
      <w:r w:rsidRPr="009A2045">
        <w:t>Make aerial or ground applications when the wind velocity favors on</w:t>
      </w:r>
      <w:r w:rsidR="00B23E7E" w:rsidRPr="009A2045">
        <w:t>-</w:t>
      </w:r>
      <w:r w:rsidRPr="009A2045">
        <w:t>target product deposition (approximately 3 to 10 mph). Do not apply when wind velocity exceeds 15 mph. Avoid applications when wind gusts approach 15 mph. For all non-aerial applications, wind speed must be measured adjacent to the application site on the upwind side, immediately prior to application</w:t>
      </w:r>
    </w:p>
    <w:p w14:paraId="695E18E6" w14:textId="77777777" w:rsidR="000E5A0E" w:rsidRPr="009A2045" w:rsidRDefault="00D63E1A" w:rsidP="009A2045">
      <w:pPr>
        <w:widowControl w:val="0"/>
        <w:numPr>
          <w:ilvl w:val="0"/>
          <w:numId w:val="3"/>
        </w:numPr>
        <w:spacing w:after="0" w:line="240" w:lineRule="auto"/>
        <w:ind w:hanging="360"/>
        <w:contextualSpacing/>
      </w:pPr>
      <w:r w:rsidRPr="009A2045">
        <w:t>Temperature Inversion</w:t>
      </w:r>
    </w:p>
    <w:p w14:paraId="59EE11C9" w14:textId="77777777" w:rsidR="000E5A0E" w:rsidRPr="009A2045" w:rsidRDefault="00D63E1A" w:rsidP="009A2045">
      <w:pPr>
        <w:widowControl w:val="0"/>
        <w:numPr>
          <w:ilvl w:val="1"/>
          <w:numId w:val="3"/>
        </w:numPr>
        <w:spacing w:after="0" w:line="240" w:lineRule="auto"/>
        <w:ind w:hanging="360"/>
        <w:contextualSpacing/>
      </w:pPr>
      <w:r w:rsidRPr="009A2045">
        <w:t>Do not make aerial or ground applications into areas of temperature inversions. Inversions are characterized by stable air and increasing temperatures with increasing distance above the ground. Mist or fog may indicate the presence of an inversion in humid areas. Where permissible by local regulations, the applicator may detect the presence of an inversion by producing smoke and observing a smoke layer near the ground surface. In conditions of low humidity and high temperatures, applicators should use a coarser droplet size.</w:t>
      </w:r>
    </w:p>
    <w:p w14:paraId="1D2D2AE2" w14:textId="77777777" w:rsidR="000E5A0E" w:rsidRPr="009A2045" w:rsidRDefault="00D63E1A" w:rsidP="009A2045">
      <w:pPr>
        <w:widowControl w:val="0"/>
        <w:numPr>
          <w:ilvl w:val="0"/>
          <w:numId w:val="3"/>
        </w:numPr>
        <w:spacing w:after="0" w:line="240" w:lineRule="auto"/>
        <w:ind w:hanging="360"/>
        <w:contextualSpacing/>
      </w:pPr>
      <w:r w:rsidRPr="009A2045">
        <w:t>Additional Requirements for Ground Applications</w:t>
      </w:r>
    </w:p>
    <w:p w14:paraId="68D2D1ED" w14:textId="77777777" w:rsidR="000E5A0E" w:rsidRPr="009A2045" w:rsidRDefault="00D63E1A" w:rsidP="009A2045">
      <w:pPr>
        <w:widowControl w:val="0"/>
        <w:numPr>
          <w:ilvl w:val="1"/>
          <w:numId w:val="3"/>
        </w:numPr>
        <w:spacing w:after="0" w:line="240" w:lineRule="auto"/>
        <w:ind w:hanging="360"/>
        <w:contextualSpacing/>
      </w:pPr>
      <w:r w:rsidRPr="009A2045">
        <w:t>For ground boom applications, apply with nozzle height no more than 4 feet above the ground or crop canopy.</w:t>
      </w:r>
    </w:p>
    <w:p w14:paraId="7ACC6948" w14:textId="77777777" w:rsidR="000E5A0E" w:rsidRPr="009A2045" w:rsidRDefault="000E5A0E" w:rsidP="009A2045">
      <w:pPr>
        <w:keepNext/>
        <w:keepLines/>
        <w:spacing w:after="0" w:line="240" w:lineRule="auto"/>
      </w:pPr>
    </w:p>
    <w:p w14:paraId="0EEFD67C" w14:textId="5CA7D195" w:rsidR="000E5A0E" w:rsidRPr="009A2045" w:rsidRDefault="00D63E1A" w:rsidP="009A2045">
      <w:pPr>
        <w:keepNext/>
        <w:keepLines/>
        <w:spacing w:after="0" w:line="240" w:lineRule="auto"/>
      </w:pPr>
      <w:r w:rsidRPr="009A2045">
        <w:t xml:space="preserve">Currently, there are 4 </w:t>
      </w:r>
      <w:proofErr w:type="gramStart"/>
      <w:r w:rsidRPr="009A2045">
        <w:t>malathion</w:t>
      </w:r>
      <w:proofErr w:type="gramEnd"/>
      <w:r w:rsidRPr="009A2045">
        <w:t xml:space="preserve"> products that are co-formulated with other pesticidal active-ingredients. Other active ingredients co-formulated with </w:t>
      </w:r>
      <w:proofErr w:type="gramStart"/>
      <w:r w:rsidRPr="009A2045">
        <w:t>malathion</w:t>
      </w:r>
      <w:proofErr w:type="gramEnd"/>
      <w:r w:rsidRPr="009A2045">
        <w:t xml:space="preserve"> include: carbaryl (PC Code 056801), captan (PC Code 081301), and gamma-cyhalothrin (PC Code 128807) (see </w:t>
      </w:r>
      <w:r w:rsidRPr="009A2045">
        <w:rPr>
          <w:b/>
        </w:rPr>
        <w:t xml:space="preserve">Table </w:t>
      </w:r>
      <w:r w:rsidR="005B7DD5" w:rsidRPr="009A2045">
        <w:rPr>
          <w:b/>
        </w:rPr>
        <w:t>1-1</w:t>
      </w:r>
      <w:r w:rsidRPr="009A2045">
        <w:t xml:space="preserve"> and </w:t>
      </w:r>
      <w:r w:rsidRPr="009A2045">
        <w:rPr>
          <w:b/>
        </w:rPr>
        <w:t xml:space="preserve">Section </w:t>
      </w:r>
      <w:r w:rsidR="00742D6D" w:rsidRPr="009A2045">
        <w:rPr>
          <w:b/>
        </w:rPr>
        <w:t>1.1.2.3</w:t>
      </w:r>
      <w:r w:rsidRPr="009A2045">
        <w:t xml:space="preserve"> for details).  </w:t>
      </w:r>
    </w:p>
    <w:p w14:paraId="2204191B" w14:textId="77777777" w:rsidR="000E5A0E" w:rsidRPr="009A2045" w:rsidRDefault="000E5A0E" w:rsidP="009A2045">
      <w:pPr>
        <w:keepNext/>
        <w:keepLines/>
        <w:spacing w:after="0" w:line="240" w:lineRule="auto"/>
      </w:pPr>
    </w:p>
    <w:p w14:paraId="1243F448" w14:textId="59D548B0" w:rsidR="000E5A0E" w:rsidRPr="009A2045" w:rsidRDefault="003547D6" w:rsidP="009A2045">
      <w:pPr>
        <w:pStyle w:val="Caption"/>
        <w:rPr>
          <w:b/>
          <w:i w:val="0"/>
          <w:sz w:val="22"/>
          <w:szCs w:val="22"/>
        </w:rPr>
      </w:pPr>
      <w:bookmarkStart w:id="14" w:name="_Toc435773435"/>
      <w:r w:rsidRPr="009A2045">
        <w:rPr>
          <w:b/>
          <w:i w:val="0"/>
          <w:sz w:val="22"/>
          <w:szCs w:val="22"/>
        </w:rPr>
        <w:t xml:space="preserve">Table </w:t>
      </w:r>
      <w:r w:rsidRPr="009A2045">
        <w:rPr>
          <w:b/>
          <w:i w:val="0"/>
          <w:sz w:val="22"/>
          <w:szCs w:val="22"/>
        </w:rPr>
        <w:fldChar w:fldCharType="begin"/>
      </w:r>
      <w:r w:rsidRPr="009A2045">
        <w:rPr>
          <w:b/>
          <w:i w:val="0"/>
          <w:sz w:val="22"/>
          <w:szCs w:val="22"/>
        </w:rPr>
        <w:instrText xml:space="preserve"> SEQ Table \* ARABIC </w:instrText>
      </w:r>
      <w:r w:rsidRPr="009A2045">
        <w:rPr>
          <w:b/>
          <w:i w:val="0"/>
          <w:sz w:val="22"/>
          <w:szCs w:val="22"/>
        </w:rPr>
        <w:fldChar w:fldCharType="separate"/>
      </w:r>
      <w:r w:rsidR="000D01C3" w:rsidRPr="009A2045">
        <w:rPr>
          <w:b/>
          <w:i w:val="0"/>
          <w:noProof/>
          <w:sz w:val="22"/>
          <w:szCs w:val="22"/>
        </w:rPr>
        <w:t>1</w:t>
      </w:r>
      <w:r w:rsidRPr="009A2045">
        <w:rPr>
          <w:b/>
          <w:i w:val="0"/>
          <w:sz w:val="22"/>
          <w:szCs w:val="22"/>
        </w:rPr>
        <w:fldChar w:fldCharType="end"/>
      </w:r>
      <w:r w:rsidRPr="009A2045">
        <w:rPr>
          <w:b/>
          <w:i w:val="0"/>
          <w:sz w:val="22"/>
          <w:szCs w:val="22"/>
        </w:rPr>
        <w:t>-1. Multi-A.I. Products Containing Malathion</w:t>
      </w:r>
      <w:r w:rsidR="00D63E1A" w:rsidRPr="009A2045">
        <w:rPr>
          <w:b/>
          <w:i w:val="0"/>
          <w:sz w:val="22"/>
          <w:szCs w:val="22"/>
        </w:rPr>
        <w:t>.</w:t>
      </w:r>
      <w:bookmarkEnd w:id="14"/>
    </w:p>
    <w:tbl>
      <w:tblPr>
        <w:tblStyle w:val="a"/>
        <w:tblW w:w="9178" w:type="dxa"/>
        <w:tblInd w:w="-120" w:type="dxa"/>
        <w:tblLayout w:type="fixed"/>
        <w:tblLook w:val="0400" w:firstRow="0" w:lastRow="0" w:firstColumn="0" w:lastColumn="0" w:noHBand="0" w:noVBand="1"/>
      </w:tblPr>
      <w:tblGrid>
        <w:gridCol w:w="1722"/>
        <w:gridCol w:w="3766"/>
        <w:gridCol w:w="1710"/>
        <w:gridCol w:w="1980"/>
      </w:tblGrid>
      <w:tr w:rsidR="000E5A0E" w:rsidRPr="009A2045" w14:paraId="2B3F9182" w14:textId="77777777" w:rsidTr="007B3FD5">
        <w:trPr>
          <w:trHeight w:val="300"/>
        </w:trPr>
        <w:tc>
          <w:tcPr>
            <w:tcW w:w="17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FF2EF8" w14:textId="77777777" w:rsidR="000E5A0E" w:rsidRPr="009A2045" w:rsidRDefault="00D63E1A" w:rsidP="009A2045">
            <w:pPr>
              <w:spacing w:after="0" w:line="240" w:lineRule="auto"/>
              <w:jc w:val="center"/>
            </w:pPr>
            <w:r w:rsidRPr="009A2045">
              <w:rPr>
                <w:b/>
                <w:sz w:val="20"/>
                <w:szCs w:val="20"/>
              </w:rPr>
              <w:t>REGISTRATION #</w:t>
            </w:r>
          </w:p>
        </w:tc>
        <w:tc>
          <w:tcPr>
            <w:tcW w:w="3766" w:type="dxa"/>
            <w:tcBorders>
              <w:top w:val="single" w:sz="4" w:space="0" w:color="000000"/>
              <w:left w:val="nil"/>
              <w:bottom w:val="single" w:sz="4" w:space="0" w:color="000000"/>
              <w:right w:val="single" w:sz="4" w:space="0" w:color="000000"/>
            </w:tcBorders>
            <w:shd w:val="clear" w:color="auto" w:fill="E7E6E6"/>
            <w:vAlign w:val="center"/>
          </w:tcPr>
          <w:p w14:paraId="7FB9BE80" w14:textId="77777777" w:rsidR="000E5A0E" w:rsidRPr="009A2045" w:rsidRDefault="00D63E1A" w:rsidP="009A2045">
            <w:pPr>
              <w:spacing w:after="0" w:line="240" w:lineRule="auto"/>
              <w:jc w:val="center"/>
            </w:pPr>
            <w:r w:rsidRPr="009A2045">
              <w:rPr>
                <w:b/>
                <w:sz w:val="20"/>
                <w:szCs w:val="20"/>
              </w:rPr>
              <w:t>NAME</w:t>
            </w:r>
          </w:p>
        </w:tc>
        <w:tc>
          <w:tcPr>
            <w:tcW w:w="1710" w:type="dxa"/>
            <w:tcBorders>
              <w:top w:val="single" w:sz="4" w:space="0" w:color="000000"/>
              <w:left w:val="nil"/>
              <w:bottom w:val="single" w:sz="4" w:space="0" w:color="000000"/>
              <w:right w:val="single" w:sz="4" w:space="0" w:color="000000"/>
            </w:tcBorders>
            <w:shd w:val="clear" w:color="auto" w:fill="E7E6E6"/>
            <w:vAlign w:val="center"/>
          </w:tcPr>
          <w:p w14:paraId="13CE2F9C" w14:textId="77777777" w:rsidR="000E5A0E" w:rsidRPr="009A2045" w:rsidRDefault="00D63E1A" w:rsidP="009A2045">
            <w:pPr>
              <w:spacing w:after="0" w:line="240" w:lineRule="auto"/>
              <w:jc w:val="center"/>
            </w:pPr>
            <w:r w:rsidRPr="009A2045">
              <w:rPr>
                <w:b/>
                <w:sz w:val="20"/>
                <w:szCs w:val="20"/>
              </w:rPr>
              <w:t>PERCENT ACTIVE INGREDIENT</w:t>
            </w:r>
          </w:p>
        </w:tc>
        <w:tc>
          <w:tcPr>
            <w:tcW w:w="1980" w:type="dxa"/>
            <w:tcBorders>
              <w:top w:val="single" w:sz="4" w:space="0" w:color="000000"/>
              <w:left w:val="nil"/>
              <w:bottom w:val="single" w:sz="4" w:space="0" w:color="000000"/>
              <w:right w:val="single" w:sz="4" w:space="0" w:color="000000"/>
            </w:tcBorders>
            <w:shd w:val="clear" w:color="auto" w:fill="E7E6E6"/>
            <w:vAlign w:val="center"/>
          </w:tcPr>
          <w:p w14:paraId="680537EE" w14:textId="77777777" w:rsidR="000E5A0E" w:rsidRPr="009A2045" w:rsidRDefault="00D63E1A" w:rsidP="009A2045">
            <w:pPr>
              <w:spacing w:after="0" w:line="240" w:lineRule="auto"/>
              <w:jc w:val="center"/>
            </w:pPr>
            <w:r w:rsidRPr="009A2045">
              <w:rPr>
                <w:b/>
                <w:sz w:val="20"/>
                <w:szCs w:val="20"/>
              </w:rPr>
              <w:t>ACTIVE INGREDIENT</w:t>
            </w:r>
          </w:p>
        </w:tc>
      </w:tr>
      <w:tr w:rsidR="000E5A0E" w:rsidRPr="009A2045" w14:paraId="5508DDB4" w14:textId="77777777" w:rsidTr="007B3FD5">
        <w:trPr>
          <w:trHeight w:val="60"/>
        </w:trPr>
        <w:tc>
          <w:tcPr>
            <w:tcW w:w="1722" w:type="dxa"/>
            <w:vMerge w:val="restart"/>
            <w:tcBorders>
              <w:top w:val="single" w:sz="4" w:space="0" w:color="000000"/>
              <w:left w:val="single" w:sz="4" w:space="0" w:color="000000"/>
              <w:right w:val="single" w:sz="4" w:space="0" w:color="000000"/>
            </w:tcBorders>
            <w:shd w:val="clear" w:color="auto" w:fill="FFFFFF"/>
            <w:vAlign w:val="center"/>
          </w:tcPr>
          <w:p w14:paraId="40BDFF38" w14:textId="77777777" w:rsidR="000E5A0E" w:rsidRPr="009A2045" w:rsidRDefault="00D63E1A" w:rsidP="009A2045">
            <w:pPr>
              <w:spacing w:after="0" w:line="240" w:lineRule="auto"/>
              <w:jc w:val="center"/>
            </w:pPr>
            <w:r w:rsidRPr="009A2045">
              <w:rPr>
                <w:sz w:val="20"/>
                <w:szCs w:val="20"/>
              </w:rPr>
              <w:t>4-122</w:t>
            </w:r>
          </w:p>
        </w:tc>
        <w:tc>
          <w:tcPr>
            <w:tcW w:w="3766" w:type="dxa"/>
            <w:tcBorders>
              <w:top w:val="nil"/>
              <w:left w:val="nil"/>
              <w:right w:val="single" w:sz="4" w:space="0" w:color="000000"/>
            </w:tcBorders>
            <w:shd w:val="clear" w:color="auto" w:fill="FFFFFF"/>
            <w:vAlign w:val="center"/>
          </w:tcPr>
          <w:p w14:paraId="53F4DCC3" w14:textId="77777777" w:rsidR="000E5A0E" w:rsidRPr="009A2045" w:rsidRDefault="00D63E1A" w:rsidP="009A2045">
            <w:pPr>
              <w:spacing w:after="0" w:line="240" w:lineRule="auto"/>
            </w:pPr>
            <w:r w:rsidRPr="009A2045">
              <w:rPr>
                <w:sz w:val="20"/>
                <w:szCs w:val="20"/>
              </w:rPr>
              <w:t>Bonide A Complete Fruit Tree Spray</w:t>
            </w:r>
          </w:p>
        </w:tc>
        <w:tc>
          <w:tcPr>
            <w:tcW w:w="1710" w:type="dxa"/>
            <w:tcBorders>
              <w:top w:val="nil"/>
              <w:left w:val="nil"/>
              <w:bottom w:val="single" w:sz="4" w:space="0" w:color="000000"/>
              <w:right w:val="single" w:sz="4" w:space="0" w:color="000000"/>
            </w:tcBorders>
            <w:shd w:val="clear" w:color="auto" w:fill="FFFFFF"/>
            <w:vAlign w:val="center"/>
          </w:tcPr>
          <w:p w14:paraId="73C60160" w14:textId="77777777" w:rsidR="000E5A0E" w:rsidRPr="009A2045" w:rsidRDefault="00D63E1A" w:rsidP="009A2045">
            <w:pPr>
              <w:spacing w:after="0" w:line="240" w:lineRule="auto"/>
              <w:jc w:val="center"/>
            </w:pPr>
            <w:r w:rsidRPr="009A2045">
              <w:rPr>
                <w:sz w:val="20"/>
                <w:szCs w:val="20"/>
              </w:rPr>
              <w:t>0.30</w:t>
            </w:r>
          </w:p>
        </w:tc>
        <w:tc>
          <w:tcPr>
            <w:tcW w:w="1980" w:type="dxa"/>
            <w:tcBorders>
              <w:top w:val="nil"/>
              <w:left w:val="nil"/>
              <w:bottom w:val="single" w:sz="4" w:space="0" w:color="000000"/>
              <w:right w:val="single" w:sz="4" w:space="0" w:color="000000"/>
            </w:tcBorders>
            <w:shd w:val="clear" w:color="auto" w:fill="FFFFFF"/>
            <w:vAlign w:val="center"/>
          </w:tcPr>
          <w:p w14:paraId="0E2FA63B" w14:textId="77777777" w:rsidR="000E5A0E" w:rsidRPr="009A2045" w:rsidRDefault="00D63E1A" w:rsidP="009A2045">
            <w:pPr>
              <w:spacing w:after="0" w:line="240" w:lineRule="auto"/>
            </w:pPr>
            <w:r w:rsidRPr="009A2045">
              <w:rPr>
                <w:sz w:val="20"/>
                <w:szCs w:val="20"/>
              </w:rPr>
              <w:t>Carbaryl</w:t>
            </w:r>
          </w:p>
        </w:tc>
      </w:tr>
      <w:tr w:rsidR="000E5A0E" w:rsidRPr="009A2045" w14:paraId="4C2D70C1" w14:textId="77777777" w:rsidTr="007B3FD5">
        <w:trPr>
          <w:trHeight w:val="60"/>
        </w:trPr>
        <w:tc>
          <w:tcPr>
            <w:tcW w:w="1722" w:type="dxa"/>
            <w:vMerge/>
            <w:tcBorders>
              <w:top w:val="single" w:sz="4" w:space="0" w:color="000000"/>
              <w:left w:val="single" w:sz="4" w:space="0" w:color="000000"/>
              <w:right w:val="single" w:sz="4" w:space="0" w:color="000000"/>
            </w:tcBorders>
            <w:shd w:val="clear" w:color="auto" w:fill="FFFFFF"/>
            <w:vAlign w:val="center"/>
          </w:tcPr>
          <w:p w14:paraId="502E2C0A" w14:textId="77777777" w:rsidR="000E5A0E" w:rsidRPr="009A2045" w:rsidRDefault="000E5A0E" w:rsidP="009A2045">
            <w:pPr>
              <w:widowControl w:val="0"/>
              <w:spacing w:after="0" w:line="276" w:lineRule="auto"/>
            </w:pPr>
          </w:p>
        </w:tc>
        <w:tc>
          <w:tcPr>
            <w:tcW w:w="3766" w:type="dxa"/>
            <w:tcBorders>
              <w:top w:val="nil"/>
              <w:left w:val="nil"/>
              <w:right w:val="single" w:sz="4" w:space="0" w:color="000000"/>
            </w:tcBorders>
            <w:shd w:val="clear" w:color="auto" w:fill="FFFFFF"/>
            <w:vAlign w:val="center"/>
          </w:tcPr>
          <w:p w14:paraId="165C59D2" w14:textId="77777777" w:rsidR="000E5A0E" w:rsidRPr="009A2045" w:rsidRDefault="000E5A0E" w:rsidP="009A2045">
            <w:pPr>
              <w:spacing w:after="0" w:line="240" w:lineRule="auto"/>
              <w:jc w:val="center"/>
            </w:pPr>
          </w:p>
          <w:p w14:paraId="6FEE8D20" w14:textId="77777777" w:rsidR="000E5A0E" w:rsidRPr="009A2045" w:rsidRDefault="000E5A0E" w:rsidP="009A2045">
            <w:pPr>
              <w:spacing w:after="0" w:line="240" w:lineRule="auto"/>
            </w:pPr>
          </w:p>
        </w:tc>
        <w:tc>
          <w:tcPr>
            <w:tcW w:w="1710" w:type="dxa"/>
            <w:tcBorders>
              <w:top w:val="nil"/>
              <w:left w:val="nil"/>
              <w:bottom w:val="single" w:sz="4" w:space="0" w:color="000000"/>
              <w:right w:val="single" w:sz="4" w:space="0" w:color="000000"/>
            </w:tcBorders>
            <w:shd w:val="clear" w:color="auto" w:fill="FFFFFF"/>
            <w:vAlign w:val="center"/>
          </w:tcPr>
          <w:p w14:paraId="2DA8FB8A" w14:textId="77777777" w:rsidR="000E5A0E" w:rsidRPr="009A2045" w:rsidRDefault="00D63E1A" w:rsidP="009A2045">
            <w:pPr>
              <w:spacing w:after="0" w:line="240" w:lineRule="auto"/>
              <w:jc w:val="center"/>
            </w:pPr>
            <w:r w:rsidRPr="009A2045">
              <w:rPr>
                <w:sz w:val="20"/>
                <w:szCs w:val="20"/>
              </w:rPr>
              <w:t>11.76</w:t>
            </w:r>
          </w:p>
        </w:tc>
        <w:tc>
          <w:tcPr>
            <w:tcW w:w="1980" w:type="dxa"/>
            <w:tcBorders>
              <w:top w:val="nil"/>
              <w:left w:val="nil"/>
              <w:bottom w:val="single" w:sz="4" w:space="0" w:color="000000"/>
              <w:right w:val="single" w:sz="4" w:space="0" w:color="000000"/>
            </w:tcBorders>
            <w:shd w:val="clear" w:color="auto" w:fill="FFFFFF"/>
            <w:vAlign w:val="center"/>
          </w:tcPr>
          <w:p w14:paraId="46C69ACC" w14:textId="77777777" w:rsidR="000E5A0E" w:rsidRPr="009A2045" w:rsidRDefault="00D63E1A" w:rsidP="009A2045">
            <w:pPr>
              <w:spacing w:after="0" w:line="240" w:lineRule="auto"/>
            </w:pPr>
            <w:r w:rsidRPr="009A2045">
              <w:rPr>
                <w:sz w:val="20"/>
                <w:szCs w:val="20"/>
              </w:rPr>
              <w:t>Captan</w:t>
            </w:r>
          </w:p>
        </w:tc>
      </w:tr>
      <w:tr w:rsidR="000E5A0E" w:rsidRPr="009A2045" w14:paraId="192E0BBF" w14:textId="77777777" w:rsidTr="007B3FD5">
        <w:trPr>
          <w:trHeight w:val="60"/>
        </w:trPr>
        <w:tc>
          <w:tcPr>
            <w:tcW w:w="1722" w:type="dxa"/>
            <w:vMerge/>
            <w:tcBorders>
              <w:top w:val="single" w:sz="4" w:space="0" w:color="000000"/>
              <w:left w:val="single" w:sz="4" w:space="0" w:color="000000"/>
              <w:right w:val="single" w:sz="4" w:space="0" w:color="000000"/>
            </w:tcBorders>
            <w:shd w:val="clear" w:color="auto" w:fill="FFFFFF"/>
            <w:vAlign w:val="center"/>
          </w:tcPr>
          <w:p w14:paraId="064B847E" w14:textId="77777777" w:rsidR="000E5A0E" w:rsidRPr="009A2045" w:rsidRDefault="000E5A0E" w:rsidP="009A2045">
            <w:pPr>
              <w:widowControl w:val="0"/>
              <w:spacing w:after="0" w:line="276" w:lineRule="auto"/>
            </w:pPr>
          </w:p>
        </w:tc>
        <w:tc>
          <w:tcPr>
            <w:tcW w:w="3766" w:type="dxa"/>
            <w:tcBorders>
              <w:top w:val="nil"/>
              <w:left w:val="nil"/>
              <w:right w:val="single" w:sz="4" w:space="0" w:color="000000"/>
            </w:tcBorders>
            <w:shd w:val="clear" w:color="auto" w:fill="FFFFFF"/>
            <w:vAlign w:val="center"/>
          </w:tcPr>
          <w:p w14:paraId="1A268A3A" w14:textId="77777777" w:rsidR="000E5A0E" w:rsidRPr="009A2045" w:rsidRDefault="000E5A0E" w:rsidP="009A2045">
            <w:pPr>
              <w:spacing w:after="0" w:line="240" w:lineRule="auto"/>
              <w:jc w:val="center"/>
            </w:pPr>
          </w:p>
          <w:p w14:paraId="53918C3D" w14:textId="77777777" w:rsidR="000E5A0E" w:rsidRPr="009A2045" w:rsidRDefault="000E5A0E" w:rsidP="009A2045">
            <w:pPr>
              <w:spacing w:after="0" w:line="240" w:lineRule="auto"/>
            </w:pPr>
          </w:p>
        </w:tc>
        <w:tc>
          <w:tcPr>
            <w:tcW w:w="1710" w:type="dxa"/>
            <w:tcBorders>
              <w:top w:val="nil"/>
              <w:left w:val="nil"/>
              <w:bottom w:val="single" w:sz="4" w:space="0" w:color="000000"/>
              <w:right w:val="single" w:sz="4" w:space="0" w:color="000000"/>
            </w:tcBorders>
            <w:shd w:val="clear" w:color="auto" w:fill="FFFFFF"/>
            <w:vAlign w:val="center"/>
          </w:tcPr>
          <w:p w14:paraId="11BDF0B5" w14:textId="77777777" w:rsidR="000E5A0E" w:rsidRPr="009A2045" w:rsidRDefault="00D63E1A" w:rsidP="009A2045">
            <w:pPr>
              <w:spacing w:after="0" w:line="240" w:lineRule="auto"/>
              <w:jc w:val="center"/>
            </w:pPr>
            <w:r w:rsidRPr="009A2045">
              <w:rPr>
                <w:sz w:val="20"/>
                <w:szCs w:val="20"/>
              </w:rPr>
              <w:t>6.00</w:t>
            </w:r>
          </w:p>
        </w:tc>
        <w:tc>
          <w:tcPr>
            <w:tcW w:w="1980" w:type="dxa"/>
            <w:tcBorders>
              <w:top w:val="nil"/>
              <w:left w:val="nil"/>
              <w:bottom w:val="single" w:sz="4" w:space="0" w:color="000000"/>
              <w:right w:val="single" w:sz="4" w:space="0" w:color="000000"/>
            </w:tcBorders>
            <w:shd w:val="clear" w:color="auto" w:fill="FFFFFF"/>
            <w:vAlign w:val="center"/>
          </w:tcPr>
          <w:p w14:paraId="3EC7FC7D" w14:textId="77777777" w:rsidR="000E5A0E" w:rsidRPr="009A2045" w:rsidRDefault="00D63E1A" w:rsidP="009A2045">
            <w:pPr>
              <w:spacing w:after="0" w:line="240" w:lineRule="auto"/>
            </w:pPr>
            <w:r w:rsidRPr="009A2045">
              <w:rPr>
                <w:sz w:val="20"/>
                <w:szCs w:val="20"/>
              </w:rPr>
              <w:t>Malathion</w:t>
            </w:r>
          </w:p>
        </w:tc>
      </w:tr>
      <w:tr w:rsidR="000E5A0E" w:rsidRPr="009A2045" w14:paraId="3C56BB1B" w14:textId="77777777" w:rsidTr="007B3FD5">
        <w:trPr>
          <w:trHeight w:val="60"/>
        </w:trPr>
        <w:tc>
          <w:tcPr>
            <w:tcW w:w="1722" w:type="dxa"/>
            <w:vMerge w:val="restart"/>
            <w:tcBorders>
              <w:top w:val="single" w:sz="4" w:space="0" w:color="000000"/>
              <w:left w:val="single" w:sz="4" w:space="0" w:color="000000"/>
              <w:right w:val="single" w:sz="4" w:space="0" w:color="000000"/>
            </w:tcBorders>
            <w:shd w:val="clear" w:color="auto" w:fill="FFFFFF"/>
            <w:vAlign w:val="center"/>
          </w:tcPr>
          <w:p w14:paraId="16856B0B" w14:textId="77777777" w:rsidR="000E5A0E" w:rsidRPr="009A2045" w:rsidRDefault="00D63E1A" w:rsidP="009A2045">
            <w:pPr>
              <w:spacing w:after="0" w:line="240" w:lineRule="auto"/>
              <w:jc w:val="center"/>
            </w:pPr>
            <w:r w:rsidRPr="009A2045">
              <w:rPr>
                <w:sz w:val="20"/>
                <w:szCs w:val="20"/>
              </w:rPr>
              <w:t>829-175</w:t>
            </w:r>
          </w:p>
        </w:tc>
        <w:tc>
          <w:tcPr>
            <w:tcW w:w="3766" w:type="dxa"/>
            <w:tcBorders>
              <w:top w:val="nil"/>
              <w:left w:val="nil"/>
              <w:right w:val="single" w:sz="4" w:space="0" w:color="000000"/>
            </w:tcBorders>
            <w:shd w:val="clear" w:color="auto" w:fill="FFFFFF"/>
            <w:vAlign w:val="center"/>
          </w:tcPr>
          <w:p w14:paraId="17683182" w14:textId="77777777" w:rsidR="000E5A0E" w:rsidRPr="009A2045" w:rsidRDefault="00D63E1A" w:rsidP="009A2045">
            <w:pPr>
              <w:spacing w:after="0" w:line="240" w:lineRule="auto"/>
            </w:pPr>
            <w:r w:rsidRPr="009A2045">
              <w:rPr>
                <w:sz w:val="20"/>
                <w:szCs w:val="20"/>
              </w:rPr>
              <w:t>SA-50 Brand Malathion-oil Citrus &amp; Ornamental Spray</w:t>
            </w:r>
          </w:p>
        </w:tc>
        <w:tc>
          <w:tcPr>
            <w:tcW w:w="1710" w:type="dxa"/>
            <w:tcBorders>
              <w:top w:val="nil"/>
              <w:left w:val="nil"/>
              <w:bottom w:val="single" w:sz="4" w:space="0" w:color="000000"/>
              <w:right w:val="single" w:sz="4" w:space="0" w:color="000000"/>
            </w:tcBorders>
            <w:shd w:val="clear" w:color="auto" w:fill="FFFFFF"/>
            <w:vAlign w:val="center"/>
          </w:tcPr>
          <w:p w14:paraId="133FF7A9" w14:textId="77777777" w:rsidR="000E5A0E" w:rsidRPr="009A2045" w:rsidRDefault="00D63E1A" w:rsidP="009A2045">
            <w:pPr>
              <w:spacing w:after="0" w:line="240" w:lineRule="auto"/>
              <w:jc w:val="center"/>
            </w:pPr>
            <w:r w:rsidRPr="009A2045">
              <w:rPr>
                <w:sz w:val="20"/>
                <w:szCs w:val="20"/>
              </w:rPr>
              <w:t>75.00</w:t>
            </w:r>
          </w:p>
        </w:tc>
        <w:tc>
          <w:tcPr>
            <w:tcW w:w="1980" w:type="dxa"/>
            <w:tcBorders>
              <w:top w:val="nil"/>
              <w:left w:val="nil"/>
              <w:bottom w:val="single" w:sz="4" w:space="0" w:color="000000"/>
              <w:right w:val="single" w:sz="4" w:space="0" w:color="000000"/>
            </w:tcBorders>
            <w:shd w:val="clear" w:color="auto" w:fill="FFFFFF"/>
            <w:vAlign w:val="center"/>
          </w:tcPr>
          <w:p w14:paraId="180CC10C" w14:textId="77777777" w:rsidR="000E5A0E" w:rsidRPr="009A2045" w:rsidRDefault="00D63E1A" w:rsidP="009A2045">
            <w:pPr>
              <w:spacing w:after="0" w:line="240" w:lineRule="auto"/>
            </w:pPr>
            <w:r w:rsidRPr="009A2045">
              <w:rPr>
                <w:sz w:val="20"/>
                <w:szCs w:val="20"/>
              </w:rPr>
              <w:t>Mineral Oil</w:t>
            </w:r>
          </w:p>
        </w:tc>
      </w:tr>
      <w:tr w:rsidR="000E5A0E" w:rsidRPr="009A2045" w14:paraId="2FA3778C" w14:textId="77777777" w:rsidTr="007B3FD5">
        <w:trPr>
          <w:trHeight w:val="60"/>
        </w:trPr>
        <w:tc>
          <w:tcPr>
            <w:tcW w:w="1722" w:type="dxa"/>
            <w:vMerge/>
            <w:tcBorders>
              <w:top w:val="single" w:sz="4" w:space="0" w:color="000000"/>
              <w:left w:val="single" w:sz="4" w:space="0" w:color="000000"/>
              <w:right w:val="single" w:sz="4" w:space="0" w:color="000000"/>
            </w:tcBorders>
            <w:shd w:val="clear" w:color="auto" w:fill="FFFFFF"/>
            <w:vAlign w:val="center"/>
          </w:tcPr>
          <w:p w14:paraId="6654DB2A" w14:textId="77777777" w:rsidR="000E5A0E" w:rsidRPr="009A2045" w:rsidRDefault="000E5A0E" w:rsidP="009A2045">
            <w:pPr>
              <w:widowControl w:val="0"/>
              <w:spacing w:after="0" w:line="276" w:lineRule="auto"/>
            </w:pPr>
          </w:p>
        </w:tc>
        <w:tc>
          <w:tcPr>
            <w:tcW w:w="3766" w:type="dxa"/>
            <w:tcBorders>
              <w:top w:val="nil"/>
              <w:left w:val="nil"/>
              <w:right w:val="single" w:sz="4" w:space="0" w:color="000000"/>
            </w:tcBorders>
            <w:shd w:val="clear" w:color="auto" w:fill="FFFFFF"/>
            <w:vAlign w:val="center"/>
          </w:tcPr>
          <w:p w14:paraId="6068CAB9" w14:textId="77777777" w:rsidR="000E5A0E" w:rsidRPr="009A2045" w:rsidRDefault="000E5A0E" w:rsidP="009A2045">
            <w:pPr>
              <w:spacing w:after="0" w:line="240" w:lineRule="auto"/>
              <w:jc w:val="center"/>
            </w:pPr>
          </w:p>
          <w:p w14:paraId="2F360DB3" w14:textId="77777777" w:rsidR="000E5A0E" w:rsidRPr="009A2045" w:rsidRDefault="000E5A0E" w:rsidP="009A2045">
            <w:pPr>
              <w:spacing w:after="0" w:line="240" w:lineRule="auto"/>
            </w:pPr>
          </w:p>
        </w:tc>
        <w:tc>
          <w:tcPr>
            <w:tcW w:w="1710" w:type="dxa"/>
            <w:tcBorders>
              <w:top w:val="nil"/>
              <w:left w:val="nil"/>
              <w:bottom w:val="single" w:sz="4" w:space="0" w:color="000000"/>
              <w:right w:val="single" w:sz="4" w:space="0" w:color="000000"/>
            </w:tcBorders>
            <w:shd w:val="clear" w:color="auto" w:fill="FFFFFF"/>
            <w:vAlign w:val="center"/>
          </w:tcPr>
          <w:p w14:paraId="47B8547C" w14:textId="77777777" w:rsidR="000E5A0E" w:rsidRPr="009A2045" w:rsidRDefault="00D63E1A" w:rsidP="009A2045">
            <w:pPr>
              <w:spacing w:after="0" w:line="240" w:lineRule="auto"/>
              <w:jc w:val="center"/>
            </w:pPr>
            <w:r w:rsidRPr="009A2045">
              <w:rPr>
                <w:sz w:val="20"/>
                <w:szCs w:val="20"/>
              </w:rPr>
              <w:t>5.00</w:t>
            </w:r>
          </w:p>
        </w:tc>
        <w:tc>
          <w:tcPr>
            <w:tcW w:w="1980" w:type="dxa"/>
            <w:tcBorders>
              <w:top w:val="nil"/>
              <w:left w:val="nil"/>
              <w:bottom w:val="single" w:sz="4" w:space="0" w:color="000000"/>
              <w:right w:val="single" w:sz="4" w:space="0" w:color="000000"/>
            </w:tcBorders>
            <w:shd w:val="clear" w:color="auto" w:fill="FFFFFF"/>
            <w:vAlign w:val="center"/>
          </w:tcPr>
          <w:p w14:paraId="058DE554" w14:textId="77777777" w:rsidR="000E5A0E" w:rsidRPr="009A2045" w:rsidRDefault="00D63E1A" w:rsidP="009A2045">
            <w:pPr>
              <w:spacing w:after="0" w:line="240" w:lineRule="auto"/>
            </w:pPr>
            <w:r w:rsidRPr="009A2045">
              <w:rPr>
                <w:sz w:val="20"/>
                <w:szCs w:val="20"/>
              </w:rPr>
              <w:t>Malathion</w:t>
            </w:r>
          </w:p>
        </w:tc>
      </w:tr>
      <w:tr w:rsidR="000E5A0E" w:rsidRPr="009A2045" w14:paraId="1A4B5476" w14:textId="77777777" w:rsidTr="007B3FD5">
        <w:trPr>
          <w:trHeight w:val="80"/>
        </w:trPr>
        <w:tc>
          <w:tcPr>
            <w:tcW w:w="1722" w:type="dxa"/>
            <w:vMerge w:val="restart"/>
            <w:tcBorders>
              <w:top w:val="single" w:sz="4" w:space="0" w:color="000000"/>
              <w:left w:val="single" w:sz="4" w:space="0" w:color="000000"/>
              <w:right w:val="single" w:sz="4" w:space="0" w:color="000000"/>
            </w:tcBorders>
            <w:shd w:val="clear" w:color="auto" w:fill="FFFFFF"/>
            <w:vAlign w:val="center"/>
          </w:tcPr>
          <w:p w14:paraId="2D2DF9E5" w14:textId="77777777" w:rsidR="000E5A0E" w:rsidRPr="009A2045" w:rsidRDefault="00D63E1A" w:rsidP="009A2045">
            <w:pPr>
              <w:spacing w:after="0" w:line="240" w:lineRule="auto"/>
              <w:jc w:val="center"/>
            </w:pPr>
            <w:r w:rsidRPr="009A2045">
              <w:rPr>
                <w:sz w:val="20"/>
                <w:szCs w:val="20"/>
              </w:rPr>
              <w:t>67760-108</w:t>
            </w:r>
          </w:p>
        </w:tc>
        <w:tc>
          <w:tcPr>
            <w:tcW w:w="3766" w:type="dxa"/>
            <w:tcBorders>
              <w:top w:val="nil"/>
              <w:left w:val="nil"/>
              <w:right w:val="single" w:sz="4" w:space="0" w:color="000000"/>
            </w:tcBorders>
            <w:shd w:val="clear" w:color="auto" w:fill="FFFFFF"/>
            <w:vAlign w:val="center"/>
          </w:tcPr>
          <w:p w14:paraId="57D89D55" w14:textId="77777777" w:rsidR="000E5A0E" w:rsidRPr="009A2045" w:rsidRDefault="00D63E1A" w:rsidP="009A2045">
            <w:pPr>
              <w:spacing w:after="0" w:line="240" w:lineRule="auto"/>
            </w:pPr>
            <w:r w:rsidRPr="009A2045">
              <w:rPr>
                <w:sz w:val="20"/>
                <w:szCs w:val="20"/>
              </w:rPr>
              <w:t>Fyfanon Plus ULV</w:t>
            </w:r>
          </w:p>
        </w:tc>
        <w:tc>
          <w:tcPr>
            <w:tcW w:w="1710" w:type="dxa"/>
            <w:tcBorders>
              <w:top w:val="nil"/>
              <w:left w:val="nil"/>
              <w:bottom w:val="single" w:sz="4" w:space="0" w:color="000000"/>
              <w:right w:val="single" w:sz="4" w:space="0" w:color="000000"/>
            </w:tcBorders>
            <w:shd w:val="clear" w:color="auto" w:fill="FFFFFF"/>
            <w:vAlign w:val="center"/>
          </w:tcPr>
          <w:p w14:paraId="2C18A93C" w14:textId="77777777" w:rsidR="000E5A0E" w:rsidRPr="009A2045" w:rsidRDefault="00D63E1A" w:rsidP="009A2045">
            <w:pPr>
              <w:spacing w:after="0" w:line="240" w:lineRule="auto"/>
              <w:jc w:val="center"/>
            </w:pPr>
            <w:r w:rsidRPr="009A2045">
              <w:rPr>
                <w:sz w:val="20"/>
                <w:szCs w:val="20"/>
              </w:rPr>
              <w:t>1.47</w:t>
            </w:r>
          </w:p>
        </w:tc>
        <w:tc>
          <w:tcPr>
            <w:tcW w:w="1980" w:type="dxa"/>
            <w:tcBorders>
              <w:top w:val="nil"/>
              <w:left w:val="nil"/>
              <w:bottom w:val="single" w:sz="4" w:space="0" w:color="000000"/>
              <w:right w:val="single" w:sz="4" w:space="0" w:color="000000"/>
            </w:tcBorders>
            <w:shd w:val="clear" w:color="auto" w:fill="FFFFFF"/>
            <w:vAlign w:val="center"/>
          </w:tcPr>
          <w:p w14:paraId="49213717" w14:textId="77777777" w:rsidR="000E5A0E" w:rsidRPr="009A2045" w:rsidRDefault="00D63E1A" w:rsidP="009A2045">
            <w:pPr>
              <w:spacing w:after="0" w:line="240" w:lineRule="auto"/>
            </w:pPr>
            <w:r w:rsidRPr="009A2045">
              <w:rPr>
                <w:sz w:val="20"/>
                <w:szCs w:val="20"/>
              </w:rPr>
              <w:t>Gamma-cyhalothrin</w:t>
            </w:r>
          </w:p>
        </w:tc>
      </w:tr>
      <w:tr w:rsidR="000E5A0E" w:rsidRPr="009A2045" w14:paraId="55587777" w14:textId="77777777" w:rsidTr="007B3FD5">
        <w:trPr>
          <w:trHeight w:val="60"/>
        </w:trPr>
        <w:tc>
          <w:tcPr>
            <w:tcW w:w="1722" w:type="dxa"/>
            <w:vMerge/>
            <w:tcBorders>
              <w:top w:val="single" w:sz="4" w:space="0" w:color="000000"/>
              <w:left w:val="single" w:sz="4" w:space="0" w:color="000000"/>
              <w:right w:val="single" w:sz="4" w:space="0" w:color="000000"/>
            </w:tcBorders>
            <w:shd w:val="clear" w:color="auto" w:fill="FFFFFF"/>
            <w:vAlign w:val="center"/>
          </w:tcPr>
          <w:p w14:paraId="56F3E3F2" w14:textId="77777777" w:rsidR="000E5A0E" w:rsidRPr="009A2045" w:rsidRDefault="000E5A0E" w:rsidP="009A2045">
            <w:pPr>
              <w:widowControl w:val="0"/>
              <w:spacing w:after="0" w:line="276" w:lineRule="auto"/>
            </w:pPr>
          </w:p>
        </w:tc>
        <w:tc>
          <w:tcPr>
            <w:tcW w:w="3766" w:type="dxa"/>
            <w:tcBorders>
              <w:top w:val="nil"/>
              <w:left w:val="nil"/>
              <w:right w:val="single" w:sz="4" w:space="0" w:color="000000"/>
            </w:tcBorders>
            <w:shd w:val="clear" w:color="auto" w:fill="FFFFFF"/>
            <w:vAlign w:val="center"/>
          </w:tcPr>
          <w:p w14:paraId="657C93C7" w14:textId="77777777" w:rsidR="000E5A0E" w:rsidRPr="009A2045" w:rsidRDefault="000E5A0E" w:rsidP="009A2045">
            <w:pPr>
              <w:spacing w:after="0" w:line="240" w:lineRule="auto"/>
              <w:jc w:val="center"/>
            </w:pPr>
          </w:p>
          <w:p w14:paraId="773E2377" w14:textId="77777777" w:rsidR="000E5A0E" w:rsidRPr="009A2045" w:rsidRDefault="000E5A0E" w:rsidP="009A2045">
            <w:pPr>
              <w:spacing w:after="0" w:line="240" w:lineRule="auto"/>
            </w:pPr>
          </w:p>
        </w:tc>
        <w:tc>
          <w:tcPr>
            <w:tcW w:w="1710" w:type="dxa"/>
            <w:tcBorders>
              <w:top w:val="nil"/>
              <w:left w:val="nil"/>
              <w:bottom w:val="single" w:sz="4" w:space="0" w:color="000000"/>
              <w:right w:val="single" w:sz="4" w:space="0" w:color="000000"/>
            </w:tcBorders>
            <w:shd w:val="clear" w:color="auto" w:fill="FFFFFF"/>
            <w:vAlign w:val="center"/>
          </w:tcPr>
          <w:p w14:paraId="25E374D5" w14:textId="77777777" w:rsidR="000E5A0E" w:rsidRPr="009A2045" w:rsidRDefault="00D63E1A" w:rsidP="009A2045">
            <w:pPr>
              <w:spacing w:after="0" w:line="240" w:lineRule="auto"/>
              <w:jc w:val="center"/>
            </w:pPr>
            <w:r w:rsidRPr="009A2045">
              <w:rPr>
                <w:sz w:val="20"/>
                <w:szCs w:val="20"/>
              </w:rPr>
              <w:t>92.20</w:t>
            </w:r>
          </w:p>
        </w:tc>
        <w:tc>
          <w:tcPr>
            <w:tcW w:w="1980" w:type="dxa"/>
            <w:tcBorders>
              <w:top w:val="nil"/>
              <w:left w:val="nil"/>
              <w:bottom w:val="single" w:sz="4" w:space="0" w:color="000000"/>
              <w:right w:val="single" w:sz="4" w:space="0" w:color="000000"/>
            </w:tcBorders>
            <w:shd w:val="clear" w:color="auto" w:fill="FFFFFF"/>
            <w:vAlign w:val="center"/>
          </w:tcPr>
          <w:p w14:paraId="2205D8BC" w14:textId="77777777" w:rsidR="000E5A0E" w:rsidRPr="009A2045" w:rsidRDefault="00D63E1A" w:rsidP="009A2045">
            <w:pPr>
              <w:spacing w:after="0" w:line="240" w:lineRule="auto"/>
            </w:pPr>
            <w:r w:rsidRPr="009A2045">
              <w:rPr>
                <w:sz w:val="20"/>
                <w:szCs w:val="20"/>
              </w:rPr>
              <w:t>Malathion</w:t>
            </w:r>
          </w:p>
        </w:tc>
      </w:tr>
      <w:tr w:rsidR="000E5A0E" w:rsidRPr="009A2045" w14:paraId="50272CBC" w14:textId="77777777" w:rsidTr="007B3FD5">
        <w:trPr>
          <w:trHeight w:val="60"/>
        </w:trPr>
        <w:tc>
          <w:tcPr>
            <w:tcW w:w="1722" w:type="dxa"/>
            <w:vMerge w:val="restart"/>
            <w:tcBorders>
              <w:top w:val="single" w:sz="4" w:space="0" w:color="000000"/>
              <w:left w:val="single" w:sz="4" w:space="0" w:color="000000"/>
              <w:right w:val="single" w:sz="4" w:space="0" w:color="000000"/>
            </w:tcBorders>
            <w:shd w:val="clear" w:color="auto" w:fill="FFFFFF"/>
            <w:vAlign w:val="center"/>
          </w:tcPr>
          <w:p w14:paraId="3DEC01E6" w14:textId="77777777" w:rsidR="000E5A0E" w:rsidRPr="009A2045" w:rsidRDefault="00D63E1A" w:rsidP="009A2045">
            <w:pPr>
              <w:spacing w:after="0" w:line="240" w:lineRule="auto"/>
              <w:jc w:val="center"/>
            </w:pPr>
            <w:r w:rsidRPr="009A2045">
              <w:rPr>
                <w:sz w:val="20"/>
                <w:szCs w:val="20"/>
              </w:rPr>
              <w:lastRenderedPageBreak/>
              <w:t>67760-131</w:t>
            </w:r>
          </w:p>
        </w:tc>
        <w:tc>
          <w:tcPr>
            <w:tcW w:w="3766" w:type="dxa"/>
            <w:tcBorders>
              <w:top w:val="nil"/>
              <w:left w:val="nil"/>
              <w:right w:val="single" w:sz="4" w:space="0" w:color="000000"/>
            </w:tcBorders>
            <w:shd w:val="clear" w:color="auto" w:fill="FFFFFF"/>
            <w:vAlign w:val="center"/>
          </w:tcPr>
          <w:p w14:paraId="22119D16" w14:textId="77777777" w:rsidR="000E5A0E" w:rsidRPr="009A2045" w:rsidRDefault="00D63E1A" w:rsidP="009A2045">
            <w:pPr>
              <w:spacing w:after="0" w:line="240" w:lineRule="auto"/>
            </w:pPr>
            <w:r w:rsidRPr="009A2045">
              <w:rPr>
                <w:sz w:val="20"/>
                <w:szCs w:val="20"/>
              </w:rPr>
              <w:t>Malathion 851 g/L + Gamma-Cyhalothrin 12.8 g/L EC</w:t>
            </w:r>
          </w:p>
        </w:tc>
        <w:tc>
          <w:tcPr>
            <w:tcW w:w="1710" w:type="dxa"/>
            <w:tcBorders>
              <w:top w:val="nil"/>
              <w:left w:val="nil"/>
              <w:bottom w:val="single" w:sz="4" w:space="0" w:color="000000"/>
              <w:right w:val="single" w:sz="4" w:space="0" w:color="000000"/>
            </w:tcBorders>
            <w:shd w:val="clear" w:color="auto" w:fill="FFFFFF"/>
            <w:vAlign w:val="center"/>
          </w:tcPr>
          <w:p w14:paraId="18C4283E" w14:textId="77777777" w:rsidR="000E5A0E" w:rsidRPr="009A2045" w:rsidRDefault="00D63E1A" w:rsidP="009A2045">
            <w:pPr>
              <w:spacing w:after="0" w:line="240" w:lineRule="auto"/>
              <w:jc w:val="center"/>
            </w:pPr>
            <w:r w:rsidRPr="009A2045">
              <w:rPr>
                <w:sz w:val="20"/>
                <w:szCs w:val="20"/>
              </w:rPr>
              <w:t>1.11</w:t>
            </w:r>
          </w:p>
        </w:tc>
        <w:tc>
          <w:tcPr>
            <w:tcW w:w="1980" w:type="dxa"/>
            <w:tcBorders>
              <w:top w:val="nil"/>
              <w:left w:val="nil"/>
              <w:bottom w:val="single" w:sz="4" w:space="0" w:color="000000"/>
              <w:right w:val="single" w:sz="4" w:space="0" w:color="000000"/>
            </w:tcBorders>
            <w:shd w:val="clear" w:color="auto" w:fill="FFFFFF"/>
            <w:vAlign w:val="center"/>
          </w:tcPr>
          <w:p w14:paraId="38487E6F" w14:textId="77777777" w:rsidR="000E5A0E" w:rsidRPr="009A2045" w:rsidRDefault="00D63E1A" w:rsidP="009A2045">
            <w:pPr>
              <w:spacing w:after="0" w:line="240" w:lineRule="auto"/>
            </w:pPr>
            <w:r w:rsidRPr="009A2045">
              <w:rPr>
                <w:sz w:val="20"/>
                <w:szCs w:val="20"/>
              </w:rPr>
              <w:t>Gama-cyhalothrin</w:t>
            </w:r>
          </w:p>
        </w:tc>
      </w:tr>
      <w:tr w:rsidR="000E5A0E" w:rsidRPr="009A2045" w14:paraId="3C0DF22C" w14:textId="77777777" w:rsidTr="007B3FD5">
        <w:trPr>
          <w:trHeight w:val="60"/>
        </w:trPr>
        <w:tc>
          <w:tcPr>
            <w:tcW w:w="1722" w:type="dxa"/>
            <w:vMerge/>
            <w:tcBorders>
              <w:top w:val="single" w:sz="4" w:space="0" w:color="000000"/>
              <w:left w:val="single" w:sz="4" w:space="0" w:color="000000"/>
              <w:right w:val="single" w:sz="4" w:space="0" w:color="000000"/>
            </w:tcBorders>
            <w:shd w:val="clear" w:color="auto" w:fill="FFFFFF"/>
            <w:vAlign w:val="center"/>
          </w:tcPr>
          <w:p w14:paraId="09EBFBEC" w14:textId="77777777" w:rsidR="000E5A0E" w:rsidRPr="009A2045" w:rsidRDefault="000E5A0E" w:rsidP="009A2045">
            <w:pPr>
              <w:widowControl w:val="0"/>
              <w:spacing w:after="0" w:line="276" w:lineRule="auto"/>
            </w:pPr>
          </w:p>
        </w:tc>
        <w:tc>
          <w:tcPr>
            <w:tcW w:w="3766" w:type="dxa"/>
            <w:tcBorders>
              <w:top w:val="nil"/>
              <w:left w:val="nil"/>
              <w:right w:val="single" w:sz="4" w:space="0" w:color="000000"/>
            </w:tcBorders>
            <w:shd w:val="clear" w:color="auto" w:fill="FFFFFF"/>
            <w:vAlign w:val="center"/>
          </w:tcPr>
          <w:p w14:paraId="3D2C351F" w14:textId="77777777" w:rsidR="000E5A0E" w:rsidRPr="009A2045" w:rsidRDefault="000E5A0E" w:rsidP="009A2045">
            <w:pPr>
              <w:spacing w:after="0" w:line="240" w:lineRule="auto"/>
              <w:jc w:val="center"/>
            </w:pPr>
          </w:p>
          <w:p w14:paraId="63FEBC6D" w14:textId="77777777" w:rsidR="000E5A0E" w:rsidRPr="009A2045" w:rsidRDefault="000E5A0E" w:rsidP="009A2045">
            <w:pPr>
              <w:spacing w:after="0" w:line="240" w:lineRule="auto"/>
            </w:pPr>
          </w:p>
        </w:tc>
        <w:tc>
          <w:tcPr>
            <w:tcW w:w="1710" w:type="dxa"/>
            <w:tcBorders>
              <w:top w:val="nil"/>
              <w:left w:val="nil"/>
              <w:bottom w:val="single" w:sz="4" w:space="0" w:color="000000"/>
              <w:right w:val="single" w:sz="4" w:space="0" w:color="000000"/>
            </w:tcBorders>
            <w:shd w:val="clear" w:color="auto" w:fill="FFFFFF"/>
            <w:vAlign w:val="center"/>
          </w:tcPr>
          <w:p w14:paraId="3E8F9D74" w14:textId="77777777" w:rsidR="000E5A0E" w:rsidRPr="009A2045" w:rsidRDefault="00D63E1A" w:rsidP="009A2045">
            <w:pPr>
              <w:spacing w:after="0" w:line="240" w:lineRule="auto"/>
              <w:jc w:val="center"/>
            </w:pPr>
            <w:r w:rsidRPr="009A2045">
              <w:rPr>
                <w:sz w:val="20"/>
                <w:szCs w:val="20"/>
              </w:rPr>
              <w:t>73.70</w:t>
            </w:r>
          </w:p>
        </w:tc>
        <w:tc>
          <w:tcPr>
            <w:tcW w:w="1980" w:type="dxa"/>
            <w:tcBorders>
              <w:top w:val="nil"/>
              <w:left w:val="nil"/>
              <w:bottom w:val="single" w:sz="4" w:space="0" w:color="000000"/>
              <w:right w:val="single" w:sz="4" w:space="0" w:color="000000"/>
            </w:tcBorders>
            <w:shd w:val="clear" w:color="auto" w:fill="FFFFFF"/>
            <w:vAlign w:val="center"/>
          </w:tcPr>
          <w:p w14:paraId="26984EA6" w14:textId="77777777" w:rsidR="000E5A0E" w:rsidRPr="009A2045" w:rsidRDefault="00D63E1A" w:rsidP="009A2045">
            <w:pPr>
              <w:spacing w:after="0" w:line="240" w:lineRule="auto"/>
            </w:pPr>
            <w:r w:rsidRPr="009A2045">
              <w:rPr>
                <w:sz w:val="20"/>
                <w:szCs w:val="20"/>
              </w:rPr>
              <w:t>Malathion</w:t>
            </w:r>
          </w:p>
        </w:tc>
      </w:tr>
    </w:tbl>
    <w:p w14:paraId="7E1060D7" w14:textId="77777777" w:rsidR="000E5A0E" w:rsidRPr="009A2045" w:rsidRDefault="000E5A0E" w:rsidP="009A2045">
      <w:pPr>
        <w:keepNext/>
        <w:keepLines/>
        <w:spacing w:after="0" w:line="240" w:lineRule="auto"/>
      </w:pPr>
    </w:p>
    <w:p w14:paraId="556016A9" w14:textId="2AD34C9F" w:rsidR="000E5A0E" w:rsidRPr="009A2045" w:rsidRDefault="00D63E1A" w:rsidP="009A2045">
      <w:pPr>
        <w:pStyle w:val="Heading4"/>
      </w:pPr>
      <w:bookmarkStart w:id="15" w:name="_Toc436043017"/>
      <w:r w:rsidRPr="009A2045">
        <w:t>1.1.2.2.</w:t>
      </w:r>
      <w:r w:rsidRPr="009A2045">
        <w:tab/>
        <w:t xml:space="preserve">Inert </w:t>
      </w:r>
      <w:r w:rsidR="001718EE" w:rsidRPr="009A2045">
        <w:t>I</w:t>
      </w:r>
      <w:r w:rsidRPr="009A2045">
        <w:t>ngredients</w:t>
      </w:r>
      <w:bookmarkEnd w:id="15"/>
      <w:r w:rsidRPr="009A2045">
        <w:t xml:space="preserve"> </w:t>
      </w:r>
    </w:p>
    <w:p w14:paraId="6252234A" w14:textId="77777777" w:rsidR="000E5A0E" w:rsidRPr="009A2045" w:rsidRDefault="000E5A0E" w:rsidP="009A2045">
      <w:pPr>
        <w:keepNext/>
        <w:keepLines/>
        <w:spacing w:after="0" w:line="240" w:lineRule="auto"/>
      </w:pPr>
    </w:p>
    <w:p w14:paraId="6EA48303" w14:textId="77777777" w:rsidR="007B3FD5" w:rsidRPr="009A2045" w:rsidRDefault="007B3FD5" w:rsidP="009A2045">
      <w:pPr>
        <w:spacing w:after="0" w:line="240" w:lineRule="auto"/>
      </w:pPr>
      <w:r w:rsidRPr="009A2045">
        <w:t xml:space="preserve">An inert ingredient is any substance (or group of structurally similar substances if designated by the Agency), other than an “active” ingredient, which is intentionally included in a pesticide product. It is important to note, the term “inert” does not imply that the chemical is nontoxic. </w:t>
      </w:r>
    </w:p>
    <w:p w14:paraId="3842FC6E" w14:textId="77777777" w:rsidR="007B3FD5" w:rsidRPr="009A2045" w:rsidRDefault="007B3FD5" w:rsidP="009A2045">
      <w:pPr>
        <w:spacing w:after="0" w:line="240" w:lineRule="auto"/>
      </w:pPr>
    </w:p>
    <w:p w14:paraId="7CDAE8FD" w14:textId="7A691031" w:rsidR="007B3FD5" w:rsidRPr="009A2045" w:rsidRDefault="007B3FD5" w:rsidP="009A2045">
      <w:pPr>
        <w:spacing w:after="0" w:line="240" w:lineRule="auto"/>
      </w:pPr>
      <w:r w:rsidRPr="009A2045">
        <w:t>Inert ingredients play a key role in the effectiveness of a pesticidal product. Pesticide products may contain more than one inert ingredient; however, federal law does not require that these ingredients be identified by name or percentage on the label. All inert ingredients in pesticide products, including those in an inert mixture, must be approved for use by the EPA. For those inert ingredients applied to food crops, a tolerance or tolerance exemption is required. Impurities are not included in the definition of inert ingredient. As part of the review process for all new ingredients, a screening</w:t>
      </w:r>
      <w:r w:rsidR="00B23E7E" w:rsidRPr="009A2045">
        <w:t>-</w:t>
      </w:r>
      <w:r w:rsidRPr="009A2045">
        <w:t>level ecological effects hazard assessment is conducted, in which available data on the toxicity of the inert ingr</w:t>
      </w:r>
      <w:r w:rsidR="001D557C" w:rsidRPr="009A2045">
        <w:t>edient to non-target organisms </w:t>
      </w:r>
      <w:r w:rsidRPr="009A2045">
        <w:t>is considered.</w:t>
      </w:r>
    </w:p>
    <w:p w14:paraId="75293ABA" w14:textId="77777777" w:rsidR="007B3FD5" w:rsidRPr="009A2045" w:rsidRDefault="007B3FD5" w:rsidP="009A2045">
      <w:pPr>
        <w:keepNext/>
        <w:keepLines/>
        <w:spacing w:after="0" w:line="240" w:lineRule="auto"/>
      </w:pPr>
    </w:p>
    <w:p w14:paraId="49BEE57C" w14:textId="77777777" w:rsidR="007B3FD5" w:rsidRPr="009A2045" w:rsidRDefault="007B3FD5" w:rsidP="009A2045">
      <w:pPr>
        <w:spacing w:after="0" w:line="240" w:lineRule="auto"/>
      </w:pPr>
      <w:r w:rsidRPr="009A2045">
        <w:t>For the most current list of inert ingredients approved for food use</w:t>
      </w:r>
      <w:r w:rsidRPr="009A2045">
        <w:rPr>
          <w:b/>
        </w:rPr>
        <w:t xml:space="preserve"> </w:t>
      </w:r>
      <w:r w:rsidRPr="009A2045">
        <w:t xml:space="preserve">pesticide products, see the Electronic Code of Federal Regulations (e-CFR) at </w:t>
      </w:r>
      <w:hyperlink r:id="rId15">
        <w:r w:rsidRPr="009A2045">
          <w:rPr>
            <w:color w:val="0563C1"/>
            <w:u w:val="single"/>
          </w:rPr>
          <w:t>http://ecfr.gpoaccess.gov/cgi/t/text/text-idx?c=ecfr&amp;tpl=/ecfrbrowse/Title40/40cfr180_main_02.tpl</w:t>
        </w:r>
      </w:hyperlink>
      <w:r w:rsidRPr="009A2045">
        <w:rPr>
          <w:color w:val="0000FF"/>
        </w:rPr>
        <w:t xml:space="preserve">. </w:t>
      </w:r>
      <w:r w:rsidRPr="009A2045">
        <w:t>The majority of inert ingredients can be found in 40 CFR 180.910-180.960. 40 CFR part 180 also contains a number of sections that include tolerances/ tolerance exemptions</w:t>
      </w:r>
      <w:r w:rsidRPr="009A2045">
        <w:rPr>
          <w:rStyle w:val="FootnoteReference"/>
        </w:rPr>
        <w:footnoteReference w:id="4"/>
      </w:r>
      <w:r w:rsidRPr="009A2045">
        <w:t xml:space="preserve"> for specific inert ingredients where their use is usually significantly limited. The listing of nonfood use inert ingredients, including those that also have food uses, can be found in InertFinder</w:t>
      </w:r>
      <w:r w:rsidRPr="009A2045">
        <w:rPr>
          <w:rStyle w:val="FootnoteReference"/>
        </w:rPr>
        <w:footnoteReference w:id="5"/>
      </w:r>
      <w:r w:rsidRPr="009A2045">
        <w:t>.</w:t>
      </w:r>
    </w:p>
    <w:p w14:paraId="351B4484" w14:textId="77777777" w:rsidR="000E5A0E" w:rsidRPr="009A2045" w:rsidRDefault="000E5A0E" w:rsidP="009A2045">
      <w:pPr>
        <w:keepNext/>
        <w:keepLines/>
        <w:spacing w:after="0" w:line="240" w:lineRule="auto"/>
        <w:ind w:left="720" w:firstLine="720"/>
      </w:pPr>
    </w:p>
    <w:p w14:paraId="722043E2" w14:textId="25F4392D" w:rsidR="000E5A0E" w:rsidRPr="009A2045" w:rsidRDefault="00D63E1A" w:rsidP="009A2045">
      <w:pPr>
        <w:pStyle w:val="Heading4"/>
      </w:pPr>
      <w:bookmarkStart w:id="16" w:name="_Toc436043018"/>
      <w:r w:rsidRPr="009A2045">
        <w:t>1.1.2.3.</w:t>
      </w:r>
      <w:r w:rsidRPr="009A2045">
        <w:tab/>
        <w:t xml:space="preserve">Recommended </w:t>
      </w:r>
      <w:r w:rsidR="001718EE" w:rsidRPr="009A2045">
        <w:t>T</w:t>
      </w:r>
      <w:r w:rsidRPr="009A2045">
        <w:t xml:space="preserve">ank </w:t>
      </w:r>
      <w:r w:rsidR="001718EE" w:rsidRPr="009A2045">
        <w:t>M</w:t>
      </w:r>
      <w:r w:rsidRPr="009A2045">
        <w:t>ixes</w:t>
      </w:r>
      <w:bookmarkEnd w:id="16"/>
      <w:r w:rsidRPr="009A2045">
        <w:t xml:space="preserve"> </w:t>
      </w:r>
    </w:p>
    <w:p w14:paraId="5AD91D53" w14:textId="77777777" w:rsidR="000E5A0E" w:rsidRPr="009A2045" w:rsidRDefault="000E5A0E" w:rsidP="009A2045">
      <w:pPr>
        <w:keepNext/>
        <w:keepLines/>
        <w:spacing w:after="0" w:line="240" w:lineRule="auto"/>
      </w:pPr>
    </w:p>
    <w:p w14:paraId="5646EC77" w14:textId="2CDAABB4" w:rsidR="000E5A0E" w:rsidRPr="009A2045" w:rsidRDefault="00D63E1A" w:rsidP="009A2045">
      <w:pPr>
        <w:keepNext/>
        <w:keepLines/>
        <w:spacing w:after="0" w:line="240" w:lineRule="auto"/>
      </w:pPr>
      <w:r w:rsidRPr="009A2045">
        <w:t>Malathion may be applied as part of a tank mix with other pesticides (</w:t>
      </w:r>
      <w:r w:rsidRPr="009A2045">
        <w:rPr>
          <w:i/>
        </w:rPr>
        <w:t>i.e</w:t>
      </w:r>
      <w:r w:rsidRPr="009A2045">
        <w:t xml:space="preserve">., insecticides, miticides and fungicides).  In general, active ingredients can be mixed with other products unless specifically prohibited on the label(s).  Some of the current </w:t>
      </w:r>
      <w:proofErr w:type="gramStart"/>
      <w:r w:rsidRPr="009A2045">
        <w:t>malathion</w:t>
      </w:r>
      <w:proofErr w:type="gramEnd"/>
      <w:r w:rsidRPr="009A2045">
        <w:t xml:space="preserve"> labels specify that the malathion product can be tank mixed with other products/chemicals. </w:t>
      </w:r>
      <w:r w:rsidRPr="009A2045">
        <w:rPr>
          <w:b/>
        </w:rPr>
        <w:t xml:space="preserve">Table </w:t>
      </w:r>
      <w:r w:rsidR="005B7DD5" w:rsidRPr="009A2045">
        <w:rPr>
          <w:b/>
        </w:rPr>
        <w:t>1-2</w:t>
      </w:r>
      <w:r w:rsidRPr="009A2045">
        <w:t xml:space="preserve"> identifies the allowable, and in some cases, recommended, tank mixes specified on </w:t>
      </w:r>
      <w:proofErr w:type="gramStart"/>
      <w:r w:rsidRPr="009A2045">
        <w:t>malathion</w:t>
      </w:r>
      <w:proofErr w:type="gramEnd"/>
      <w:r w:rsidRPr="009A2045">
        <w:t xml:space="preserve"> labels.  More details on the specified tank mixes can be found in </w:t>
      </w:r>
      <w:r w:rsidRPr="009A2045">
        <w:rPr>
          <w:b/>
        </w:rPr>
        <w:t xml:space="preserve">APPENDIX </w:t>
      </w:r>
      <w:r w:rsidR="0021000E" w:rsidRPr="009A2045">
        <w:rPr>
          <w:b/>
        </w:rPr>
        <w:t>1-4</w:t>
      </w:r>
      <w:r w:rsidRPr="009A2045">
        <w:t>.</w:t>
      </w:r>
    </w:p>
    <w:p w14:paraId="79EA7FF9" w14:textId="77777777" w:rsidR="000E5A0E" w:rsidRPr="009A2045" w:rsidRDefault="000E5A0E" w:rsidP="009A2045">
      <w:pPr>
        <w:keepNext/>
        <w:keepLines/>
        <w:spacing w:after="0" w:line="240" w:lineRule="auto"/>
      </w:pPr>
    </w:p>
    <w:p w14:paraId="343C5F21" w14:textId="576465B6" w:rsidR="000E5A0E" w:rsidRPr="009A2045" w:rsidRDefault="003547D6" w:rsidP="009A2045">
      <w:pPr>
        <w:pStyle w:val="Caption"/>
        <w:rPr>
          <w:b/>
          <w:i w:val="0"/>
          <w:sz w:val="22"/>
          <w:szCs w:val="22"/>
        </w:rPr>
      </w:pPr>
      <w:bookmarkStart w:id="17" w:name="_Toc435773436"/>
      <w:r w:rsidRPr="009A2045">
        <w:rPr>
          <w:b/>
          <w:i w:val="0"/>
          <w:sz w:val="22"/>
          <w:szCs w:val="22"/>
        </w:rPr>
        <w:t xml:space="preserve">Table </w:t>
      </w:r>
      <w:r w:rsidR="003B0094" w:rsidRPr="009A2045">
        <w:rPr>
          <w:b/>
          <w:i w:val="0"/>
          <w:sz w:val="22"/>
          <w:szCs w:val="22"/>
        </w:rPr>
        <w:t>1-</w:t>
      </w:r>
      <w:r w:rsidRPr="009A2045">
        <w:rPr>
          <w:b/>
          <w:i w:val="0"/>
          <w:sz w:val="22"/>
          <w:szCs w:val="22"/>
        </w:rPr>
        <w:fldChar w:fldCharType="begin"/>
      </w:r>
      <w:r w:rsidRPr="009A2045">
        <w:rPr>
          <w:b/>
          <w:i w:val="0"/>
          <w:sz w:val="22"/>
          <w:szCs w:val="22"/>
        </w:rPr>
        <w:instrText xml:space="preserve"> SEQ Table \* ARABIC </w:instrText>
      </w:r>
      <w:r w:rsidRPr="009A2045">
        <w:rPr>
          <w:b/>
          <w:i w:val="0"/>
          <w:sz w:val="22"/>
          <w:szCs w:val="22"/>
        </w:rPr>
        <w:fldChar w:fldCharType="separate"/>
      </w:r>
      <w:r w:rsidR="000D01C3" w:rsidRPr="009A2045">
        <w:rPr>
          <w:b/>
          <w:i w:val="0"/>
          <w:noProof/>
          <w:sz w:val="22"/>
          <w:szCs w:val="22"/>
        </w:rPr>
        <w:t>2</w:t>
      </w:r>
      <w:r w:rsidRPr="009A2045">
        <w:rPr>
          <w:b/>
          <w:i w:val="0"/>
          <w:sz w:val="22"/>
          <w:szCs w:val="22"/>
        </w:rPr>
        <w:fldChar w:fldCharType="end"/>
      </w:r>
      <w:r w:rsidRPr="009A2045">
        <w:rPr>
          <w:b/>
          <w:i w:val="0"/>
          <w:sz w:val="22"/>
          <w:szCs w:val="22"/>
        </w:rPr>
        <w:t>. Summary of Tank Mixes Specified on Malathion Product Labels</w:t>
      </w:r>
      <w:r w:rsidR="007D2D89" w:rsidRPr="009A2045">
        <w:rPr>
          <w:b/>
          <w:i w:val="0"/>
          <w:sz w:val="22"/>
          <w:szCs w:val="22"/>
        </w:rPr>
        <w:t>.</w:t>
      </w:r>
      <w:bookmarkEnd w:id="17"/>
    </w:p>
    <w:tbl>
      <w:tblPr>
        <w:tblStyle w:val="a0"/>
        <w:tblW w:w="98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0"/>
      </w:tblGrid>
      <w:tr w:rsidR="000E5A0E" w:rsidRPr="009A2045" w14:paraId="0B6BAB66" w14:textId="77777777">
        <w:trPr>
          <w:trHeight w:val="480"/>
        </w:trPr>
        <w:tc>
          <w:tcPr>
            <w:tcW w:w="9810" w:type="dxa"/>
            <w:shd w:val="clear" w:color="auto" w:fill="E7E6E6"/>
            <w:vAlign w:val="center"/>
          </w:tcPr>
          <w:p w14:paraId="0B1A4F95" w14:textId="77777777" w:rsidR="000E5A0E" w:rsidRPr="009A2045" w:rsidRDefault="00D63E1A" w:rsidP="009A2045">
            <w:pPr>
              <w:spacing w:after="0" w:line="240" w:lineRule="auto"/>
              <w:contextualSpacing w:val="0"/>
              <w:jc w:val="center"/>
            </w:pPr>
            <w:r w:rsidRPr="009A2045">
              <w:rPr>
                <w:b/>
                <w:sz w:val="20"/>
                <w:szCs w:val="20"/>
              </w:rPr>
              <w:t>Label Language</w:t>
            </w:r>
          </w:p>
        </w:tc>
      </w:tr>
      <w:tr w:rsidR="000E5A0E" w:rsidRPr="009A2045" w14:paraId="24FD87C5" w14:textId="77777777">
        <w:trPr>
          <w:trHeight w:val="480"/>
        </w:trPr>
        <w:tc>
          <w:tcPr>
            <w:tcW w:w="9810" w:type="dxa"/>
            <w:shd w:val="clear" w:color="auto" w:fill="FFFFFF"/>
          </w:tcPr>
          <w:p w14:paraId="3C9B183C" w14:textId="77777777" w:rsidR="000E5A0E" w:rsidRPr="009A2045" w:rsidRDefault="00D63E1A" w:rsidP="009A2045">
            <w:pPr>
              <w:spacing w:after="0" w:line="240" w:lineRule="auto"/>
              <w:contextualSpacing w:val="0"/>
            </w:pPr>
            <w:r w:rsidRPr="009A2045">
              <w:t>For the mosquitocide application:  "Mix… in 1 gallon of water or oil-based carrier (such as kerosene, fuel oil, or diesel oil)."</w:t>
            </w:r>
          </w:p>
        </w:tc>
      </w:tr>
      <w:tr w:rsidR="000E5A0E" w:rsidRPr="009A2045" w14:paraId="32B13C56" w14:textId="77777777">
        <w:trPr>
          <w:trHeight w:val="60"/>
        </w:trPr>
        <w:tc>
          <w:tcPr>
            <w:tcW w:w="9810" w:type="dxa"/>
            <w:shd w:val="clear" w:color="auto" w:fill="FFFFFF"/>
          </w:tcPr>
          <w:p w14:paraId="2D4E5F78" w14:textId="77777777" w:rsidR="000E5A0E" w:rsidRPr="009A2045" w:rsidRDefault="00D63E1A" w:rsidP="009A2045">
            <w:pPr>
              <w:spacing w:after="0" w:line="240" w:lineRule="auto"/>
              <w:contextualSpacing w:val="0"/>
            </w:pPr>
            <w:r w:rsidRPr="009A2045">
              <w:t>Label instructions say to dilute with water.</w:t>
            </w:r>
            <w:r w:rsidRPr="009A2045">
              <w:br/>
              <w:t>"Ortho RosePride Rose and Shrub Disease Control (or other EPA-registered product labeled for control of diseases on roses) may be mixed with this product when listed insect(s) and diseases are found on roses.  Follow directions and precautions on both labels."</w:t>
            </w:r>
            <w:r w:rsidRPr="009A2045">
              <w:br/>
              <w:t>"FRUITS - USE IN COMBINATION WITH VOLCK OIL SPRAY."</w:t>
            </w:r>
          </w:p>
        </w:tc>
      </w:tr>
      <w:tr w:rsidR="000E5A0E" w:rsidRPr="009A2045" w14:paraId="2E08D207" w14:textId="77777777">
        <w:trPr>
          <w:trHeight w:val="60"/>
        </w:trPr>
        <w:tc>
          <w:tcPr>
            <w:tcW w:w="9810" w:type="dxa"/>
            <w:shd w:val="clear" w:color="auto" w:fill="FFFFFF"/>
          </w:tcPr>
          <w:p w14:paraId="54647C7E" w14:textId="77777777" w:rsidR="000E5A0E" w:rsidRPr="009A2045" w:rsidRDefault="00D63E1A" w:rsidP="009A2045">
            <w:pPr>
              <w:spacing w:after="0" w:line="240" w:lineRule="auto"/>
              <w:contextualSpacing w:val="0"/>
            </w:pPr>
            <w:r w:rsidRPr="009A2045">
              <w:t>APPLICATION THROUGH IRRIGATION SYSTEMS - CHEMIGATION section:  "Do not tank mix this product with other pesticides surfactants or fertilizers unless prior use has shown the combination non-injurious under your conditions of use."</w:t>
            </w:r>
          </w:p>
        </w:tc>
      </w:tr>
      <w:tr w:rsidR="000E5A0E" w:rsidRPr="009A2045" w14:paraId="5576AEF2" w14:textId="77777777">
        <w:trPr>
          <w:trHeight w:val="220"/>
        </w:trPr>
        <w:tc>
          <w:tcPr>
            <w:tcW w:w="9810" w:type="dxa"/>
            <w:shd w:val="clear" w:color="auto" w:fill="FFFFFF"/>
          </w:tcPr>
          <w:p w14:paraId="236E31BC" w14:textId="77777777" w:rsidR="000E5A0E" w:rsidRPr="009A2045" w:rsidRDefault="00D63E1A" w:rsidP="009A2045">
            <w:pPr>
              <w:spacing w:after="0" w:line="240" w:lineRule="auto"/>
              <w:contextualSpacing w:val="0"/>
            </w:pPr>
            <w:r w:rsidRPr="009A2045">
              <w:t>For the mosquitocide application "OIL SOLUTION":  "1 part concentrate to 28 parts of a mixture consisting of 4 parts kerosene to 1 part toluene..."</w:t>
            </w:r>
          </w:p>
        </w:tc>
      </w:tr>
      <w:tr w:rsidR="000E5A0E" w:rsidRPr="009A2045" w14:paraId="5144612A" w14:textId="77777777">
        <w:trPr>
          <w:trHeight w:val="220"/>
        </w:trPr>
        <w:tc>
          <w:tcPr>
            <w:tcW w:w="9810" w:type="dxa"/>
            <w:shd w:val="clear" w:color="auto" w:fill="FFFFFF"/>
          </w:tcPr>
          <w:p w14:paraId="452255DA" w14:textId="77777777" w:rsidR="000E5A0E" w:rsidRPr="009A2045" w:rsidRDefault="00D63E1A" w:rsidP="009A2045">
            <w:pPr>
              <w:spacing w:after="0" w:line="240" w:lineRule="auto"/>
              <w:contextualSpacing w:val="0"/>
            </w:pPr>
            <w:r w:rsidRPr="009A2045">
              <w:t>In Mixing Directions:  only specifies addition of water.  "Do not combine with wettable powders unless previous use of the mixture has proven physically compatible and safe to plants.  Always thoroughly emulsify this product with at least half of total water before adding wettable powders."</w:t>
            </w:r>
            <w:r w:rsidRPr="009A2045">
              <w:br/>
              <w:t>Applications through chemigation section:  "This product should not be tank-mixed with other pesticides, surfactants or fertilizers unless prior use has shown the combination non-injurious under your conditions of use. Follow precautionary statements and directions for all tank-mix products."</w:t>
            </w:r>
          </w:p>
        </w:tc>
      </w:tr>
      <w:tr w:rsidR="000E5A0E" w:rsidRPr="009A2045" w14:paraId="71B36C0B" w14:textId="77777777">
        <w:trPr>
          <w:trHeight w:val="440"/>
        </w:trPr>
        <w:tc>
          <w:tcPr>
            <w:tcW w:w="9810" w:type="dxa"/>
            <w:shd w:val="clear" w:color="auto" w:fill="FFFFFF"/>
          </w:tcPr>
          <w:p w14:paraId="47506159" w14:textId="77777777" w:rsidR="000E5A0E" w:rsidRPr="009A2045" w:rsidRDefault="00D63E1A" w:rsidP="009A2045">
            <w:pPr>
              <w:spacing w:after="0" w:line="240" w:lineRule="auto"/>
              <w:contextualSpacing w:val="0"/>
            </w:pPr>
            <w:r w:rsidRPr="009A2045">
              <w:t>Applications through chemigation section:  "This product should not be tank-mixed with other pesticides, surfactants or fertilizers unless prior use has shown the combination non-injurious under your conditions of use. Follow precautionary statements and directions for all tank-mix products."</w:t>
            </w:r>
          </w:p>
        </w:tc>
      </w:tr>
      <w:tr w:rsidR="000E5A0E" w:rsidRPr="009A2045" w14:paraId="6D028C22" w14:textId="77777777">
        <w:trPr>
          <w:trHeight w:val="220"/>
        </w:trPr>
        <w:tc>
          <w:tcPr>
            <w:tcW w:w="9810" w:type="dxa"/>
            <w:shd w:val="clear" w:color="auto" w:fill="FFFFFF"/>
          </w:tcPr>
          <w:p w14:paraId="0B44E49A" w14:textId="77777777" w:rsidR="000E5A0E" w:rsidRPr="009A2045" w:rsidRDefault="00D63E1A" w:rsidP="009A2045">
            <w:pPr>
              <w:spacing w:after="0" w:line="240" w:lineRule="auto"/>
              <w:contextualSpacing w:val="0"/>
            </w:pPr>
            <w:r w:rsidRPr="009A2045">
              <w:t>Mosquitoes:  "Mix 11 tablespoons of product per gallon of water, fuel oil, or diesel oil."</w:t>
            </w:r>
          </w:p>
        </w:tc>
      </w:tr>
      <w:tr w:rsidR="000E5A0E" w:rsidRPr="009A2045" w14:paraId="0B16EF21" w14:textId="77777777">
        <w:trPr>
          <w:trHeight w:val="220"/>
        </w:trPr>
        <w:tc>
          <w:tcPr>
            <w:tcW w:w="9810" w:type="dxa"/>
            <w:shd w:val="clear" w:color="auto" w:fill="FFFFFF"/>
          </w:tcPr>
          <w:p w14:paraId="15C6EA4B" w14:textId="77777777" w:rsidR="000E5A0E" w:rsidRPr="009A2045" w:rsidRDefault="00D63E1A" w:rsidP="009A2045">
            <w:pPr>
              <w:spacing w:after="0" w:line="240" w:lineRule="auto"/>
              <w:contextualSpacing w:val="0"/>
            </w:pPr>
            <w:r w:rsidRPr="009A2045">
              <w:t>"Do not combine emulsifiable liquids with wettable powders in the same spray tank unless previous use of the materials being combined has proven them to be physically compatible."</w:t>
            </w:r>
            <w:r w:rsidRPr="009A2045">
              <w:br/>
              <w:t>Chemigation:  "This product should not be tank-mixed with other pesticides, surfactants, or fertilizers unless prior use has shown the combination non-injurious under your conditions of use.  Follow precautionary statements and directions for all tank-mixed products."</w:t>
            </w:r>
          </w:p>
        </w:tc>
      </w:tr>
      <w:tr w:rsidR="000E5A0E" w:rsidRPr="009A2045" w14:paraId="03DEDA61" w14:textId="77777777">
        <w:trPr>
          <w:trHeight w:val="140"/>
        </w:trPr>
        <w:tc>
          <w:tcPr>
            <w:tcW w:w="9810" w:type="dxa"/>
            <w:shd w:val="clear" w:color="auto" w:fill="FFFFFF"/>
          </w:tcPr>
          <w:p w14:paraId="09E07B17" w14:textId="77777777" w:rsidR="000E5A0E" w:rsidRPr="009A2045" w:rsidRDefault="00D63E1A" w:rsidP="009A2045">
            <w:pPr>
              <w:spacing w:after="0" w:line="240" w:lineRule="auto"/>
              <w:contextualSpacing w:val="0"/>
            </w:pPr>
            <w:r w:rsidRPr="009A2045">
              <w:t xml:space="preserve">Chemigation:  "This product should not be tank-mixed with other pesticides, surfactants, or fertilizers unless prior use has shown the combination non-injurious under your conditions of use.  Follow </w:t>
            </w:r>
            <w:r w:rsidRPr="009A2045">
              <w:lastRenderedPageBreak/>
              <w:t>precautionary statements and directions for all tank-mixed products."</w:t>
            </w:r>
            <w:r w:rsidRPr="009A2045">
              <w:br/>
              <w:t>Mosquito control:  "This product can be mixed with a synergized pyrethrin emulsifiable concentration (such as 6% pyrethrin + 60% PBO) in accordance with the most restrictive of label limitations and precautions indicated on both this and the tank-mixed product."</w:t>
            </w:r>
          </w:p>
        </w:tc>
      </w:tr>
      <w:tr w:rsidR="000E5A0E" w:rsidRPr="009A2045" w14:paraId="37308506" w14:textId="77777777">
        <w:trPr>
          <w:trHeight w:val="220"/>
        </w:trPr>
        <w:tc>
          <w:tcPr>
            <w:tcW w:w="9810" w:type="dxa"/>
            <w:shd w:val="clear" w:color="auto" w:fill="FFFFFF"/>
          </w:tcPr>
          <w:p w14:paraId="176C777C" w14:textId="77777777" w:rsidR="000E5A0E" w:rsidRPr="009A2045" w:rsidRDefault="00D63E1A" w:rsidP="009A2045">
            <w:pPr>
              <w:spacing w:after="0" w:line="240" w:lineRule="auto"/>
              <w:contextualSpacing w:val="0"/>
            </w:pPr>
            <w:r w:rsidRPr="009A2045">
              <w:lastRenderedPageBreak/>
              <w:t>Chemigation: "Do not tank mix this product with other pesticides, surfactants or fertilizers unless prior use has shown the combination non-injurious under your conditions of use. Follow precautionary statements and direction for all tank-mixed products."</w:t>
            </w:r>
            <w:r w:rsidRPr="009A2045">
              <w:br/>
              <w:t xml:space="preserve">Applications: For the treatment of dried fruit beetle and vinegar flies in figs mix "2.0 pts [malathion] plus 2.0 </w:t>
            </w:r>
            <w:proofErr w:type="gramStart"/>
            <w:r w:rsidRPr="009A2045">
              <w:t>gals</w:t>
            </w:r>
            <w:proofErr w:type="gramEnd"/>
            <w:r w:rsidRPr="009A2045">
              <w:t xml:space="preserve"> unsulfurized molasses as a bait spray". For treatment of fruit flies in guava, mango, and passion fruit mix "0.75 pt [malathion] + 1.0 lb partially hydrolyzed yeast protein or enzymatic yeast hydrolyzate."</w:t>
            </w:r>
            <w:r w:rsidRPr="009A2045">
              <w:br/>
              <w:t xml:space="preserve">Mosquito control: "This product can be mixed with a synergized pyrethrin emulsifiable concentrate (such as 6% pyrethrin + 60% PBO) in accordance with the most restrictive of label limitations and precautions indicated on both this and the tank-mixed product. Label rates must not be exceeded. This product may not be mixed with any product bearing a label which specifically prohibits such mixing. Prior to tank mixing large quantities, mix a small amount in a glass jar to verify that the products are physically compatible. Depending on your operation needs, the amount of synergized pyrethrin can be reduced or adjusted. Application rates of this product and droplet distribution requirements remain the same as for this product used alone." </w:t>
            </w:r>
          </w:p>
        </w:tc>
      </w:tr>
      <w:tr w:rsidR="000E5A0E" w:rsidRPr="009A2045" w14:paraId="588004E6" w14:textId="77777777">
        <w:trPr>
          <w:trHeight w:val="340"/>
        </w:trPr>
        <w:tc>
          <w:tcPr>
            <w:tcW w:w="9810" w:type="dxa"/>
            <w:shd w:val="clear" w:color="auto" w:fill="FFFFFF"/>
            <w:vAlign w:val="bottom"/>
          </w:tcPr>
          <w:p w14:paraId="5B6BFAC3" w14:textId="77777777" w:rsidR="000E5A0E" w:rsidRPr="009A2045" w:rsidRDefault="00D63E1A" w:rsidP="009A2045">
            <w:pPr>
              <w:spacing w:after="0" w:line="240" w:lineRule="auto"/>
              <w:contextualSpacing w:val="0"/>
            </w:pPr>
            <w:r w:rsidRPr="009A2045">
              <w:t>"An oil soluble malathion concentrate containing 4.5 lbs of malathion active ingredient per gallon. For formulating thermal fogging and mist spraying oils for mosquito control work and outdoor application."</w:t>
            </w:r>
            <w:r w:rsidRPr="009A2045">
              <w:br/>
              <w:t>Fly Control: "Dilute this concentrate 1 part to 22 parts No. 2 fuel oil to make a 3% ready-to-use spray."</w:t>
            </w:r>
            <w:r w:rsidRPr="009A2045">
              <w:br/>
              <w:t>Mosquito Control: "Apply a 3% to 5% Malathion in fuel oil at a rate of 1/2 lb actual malathion a.i. per acre".</w:t>
            </w:r>
          </w:p>
        </w:tc>
      </w:tr>
      <w:tr w:rsidR="000E5A0E" w:rsidRPr="009A2045" w14:paraId="7C2B6C79" w14:textId="77777777">
        <w:trPr>
          <w:trHeight w:val="440"/>
        </w:trPr>
        <w:tc>
          <w:tcPr>
            <w:tcW w:w="9810" w:type="dxa"/>
            <w:shd w:val="clear" w:color="auto" w:fill="FFFFFF"/>
            <w:vAlign w:val="bottom"/>
          </w:tcPr>
          <w:p w14:paraId="4248C146" w14:textId="77777777" w:rsidR="000E5A0E" w:rsidRPr="009A2045" w:rsidRDefault="00D63E1A" w:rsidP="009A2045">
            <w:pPr>
              <w:spacing w:after="0" w:line="240" w:lineRule="auto"/>
              <w:contextualSpacing w:val="0"/>
            </w:pPr>
            <w:r w:rsidRPr="009A2045">
              <w:t>"Do not combine emulsifiable liquids with wettable powders in the same spray tank unless previous use of the materials being combined has proven them to be physically compatible."</w:t>
            </w:r>
            <w:r w:rsidRPr="009A2045">
              <w:br/>
              <w:t>Pasture and Rangeland: "Use 1 pint in 1 gallon fuel oil as a ULV spray per acre."</w:t>
            </w:r>
            <w:r w:rsidRPr="009A2045">
              <w:br/>
              <w:t>Mosquitos: "1 part to 28 parts water, fuel oil or diesel oil."</w:t>
            </w:r>
            <w:r w:rsidRPr="009A2045">
              <w:br/>
              <w:t>Restrictions: "Avoid applying oil based formulations to valuable ornamental plants as injury may occur."</w:t>
            </w:r>
            <w:r w:rsidRPr="009A2045">
              <w:br/>
              <w:t>Grasshoppers: "ULV Application: 1.2 - 1 pints in 1 gallon of diesel fuel oil per acre."</w:t>
            </w:r>
            <w:r w:rsidRPr="009A2045">
              <w:br/>
              <w:t>Chemigation: "This product should not be tank-mixed with other pesticides, surfactants or fertilizers unless prior use has shown the combination non-injurious under your conditions of use. Follow precautionary statements and directions for all tank-mixed products."</w:t>
            </w:r>
          </w:p>
        </w:tc>
      </w:tr>
      <w:tr w:rsidR="000E5A0E" w:rsidRPr="009A2045" w14:paraId="34A9C392" w14:textId="77777777">
        <w:trPr>
          <w:trHeight w:val="440"/>
        </w:trPr>
        <w:tc>
          <w:tcPr>
            <w:tcW w:w="9810" w:type="dxa"/>
            <w:shd w:val="clear" w:color="auto" w:fill="FFFFFF"/>
            <w:vAlign w:val="bottom"/>
          </w:tcPr>
          <w:p w14:paraId="28ED5A31" w14:textId="77777777" w:rsidR="000E5A0E" w:rsidRPr="009A2045" w:rsidRDefault="00D63E1A" w:rsidP="009A2045">
            <w:pPr>
              <w:spacing w:after="0" w:line="240" w:lineRule="auto"/>
              <w:contextualSpacing w:val="0"/>
            </w:pPr>
            <w:r w:rsidRPr="009A2045">
              <w:t>"Do not combine emulsifiable liquids with wettable powders in the same spray tank unless previous use of the materials being combined has proven them to be physically compatible."</w:t>
            </w:r>
          </w:p>
        </w:tc>
      </w:tr>
      <w:tr w:rsidR="000E5A0E" w:rsidRPr="009A2045" w14:paraId="49EB536F" w14:textId="77777777">
        <w:trPr>
          <w:trHeight w:val="440"/>
        </w:trPr>
        <w:tc>
          <w:tcPr>
            <w:tcW w:w="9810" w:type="dxa"/>
            <w:shd w:val="clear" w:color="auto" w:fill="FFFFFF"/>
            <w:vAlign w:val="bottom"/>
          </w:tcPr>
          <w:p w14:paraId="6FC09399" w14:textId="77777777" w:rsidR="000E5A0E" w:rsidRPr="009A2045" w:rsidRDefault="00D63E1A" w:rsidP="009A2045">
            <w:pPr>
              <w:spacing w:after="0" w:line="240" w:lineRule="auto"/>
              <w:contextualSpacing w:val="0"/>
            </w:pPr>
            <w:r w:rsidRPr="009A2045">
              <w:t>"*There is a great variation in the chemical composition of fuel oils which may be used as thermal fog solvents. These differences may cause sludge and/or affect the solubility of the Fyfanon ULV Mosquito."</w:t>
            </w:r>
          </w:p>
        </w:tc>
      </w:tr>
      <w:tr w:rsidR="000E5A0E" w:rsidRPr="009A2045" w14:paraId="0B38F188" w14:textId="77777777">
        <w:trPr>
          <w:trHeight w:val="440"/>
        </w:trPr>
        <w:tc>
          <w:tcPr>
            <w:tcW w:w="9810" w:type="dxa"/>
            <w:shd w:val="clear" w:color="auto" w:fill="FFFFFF"/>
            <w:vAlign w:val="bottom"/>
          </w:tcPr>
          <w:p w14:paraId="63ECB718" w14:textId="77777777" w:rsidR="000E5A0E" w:rsidRPr="009A2045" w:rsidRDefault="00D63E1A" w:rsidP="009A2045">
            <w:pPr>
              <w:spacing w:after="0" w:line="240" w:lineRule="auto"/>
              <w:contextualSpacing w:val="0"/>
            </w:pPr>
            <w:r w:rsidRPr="009A2045">
              <w:t>"Fyfanon ULV AG can by mixed with a synergized pyrethrin emulsifiable concentrate (6% pyrethrin + 60% PBO) in accordance with the most restrictive label limitations and precautions indicated on both this and the tank-mixed product. Label rates must not be exceeded. This product may not be mixed with any product bearing a label which specifically prohibits such mixing. Prior to tank mixing large quantities mix a small amount in a glass jar to verify that the products are physically compatible... Depending on your operational needs for knock-down, the amount of synergized pyrethrin can be reduced or adjusted. Application rates of Fyfanon ULV AG and droplet distribution requirements remain the same as for Fyfanon ULV AG used alone."</w:t>
            </w:r>
          </w:p>
        </w:tc>
      </w:tr>
      <w:tr w:rsidR="000E5A0E" w:rsidRPr="009A2045" w14:paraId="0A2E915C" w14:textId="77777777">
        <w:trPr>
          <w:trHeight w:val="440"/>
        </w:trPr>
        <w:tc>
          <w:tcPr>
            <w:tcW w:w="9810" w:type="dxa"/>
            <w:shd w:val="clear" w:color="auto" w:fill="FFFFFF"/>
            <w:vAlign w:val="bottom"/>
          </w:tcPr>
          <w:p w14:paraId="2296B1C5" w14:textId="77777777" w:rsidR="000E5A0E" w:rsidRPr="009A2045" w:rsidRDefault="00D63E1A" w:rsidP="009A2045">
            <w:pPr>
              <w:spacing w:after="0" w:line="240" w:lineRule="auto"/>
              <w:contextualSpacing w:val="0"/>
            </w:pPr>
            <w:r w:rsidRPr="009A2045">
              <w:lastRenderedPageBreak/>
              <w:t xml:space="preserve">For use on guava, mango, </w:t>
            </w:r>
            <w:proofErr w:type="gramStart"/>
            <w:r w:rsidRPr="009A2045">
              <w:t>passion</w:t>
            </w:r>
            <w:proofErr w:type="gramEnd"/>
            <w:r w:rsidRPr="009A2045">
              <w:t xml:space="preserve"> fruit: "Apply with 1 lb partially hydrolyzed yeast protein or enzymatic yeast hydrolyzate."</w:t>
            </w:r>
            <w:r w:rsidRPr="009A2045">
              <w:br/>
              <w:t>For use on nectarines: "May be mixed with spray oil for dormant and delayed dormant applications. Follow spray oil manufacturer's directions."</w:t>
            </w:r>
          </w:p>
        </w:tc>
      </w:tr>
      <w:tr w:rsidR="000E5A0E" w:rsidRPr="009A2045" w14:paraId="720F5FFF" w14:textId="77777777">
        <w:trPr>
          <w:trHeight w:val="440"/>
        </w:trPr>
        <w:tc>
          <w:tcPr>
            <w:tcW w:w="9810" w:type="dxa"/>
            <w:shd w:val="clear" w:color="auto" w:fill="FFFFFF"/>
            <w:vAlign w:val="bottom"/>
          </w:tcPr>
          <w:p w14:paraId="378B3224" w14:textId="77777777" w:rsidR="000E5A0E" w:rsidRPr="009A2045" w:rsidRDefault="00D63E1A" w:rsidP="009A2045">
            <w:pPr>
              <w:spacing w:after="0" w:line="240" w:lineRule="auto"/>
              <w:contextualSpacing w:val="0"/>
            </w:pPr>
            <w:r w:rsidRPr="009A2045">
              <w:t>Agricultural Crop Use: "Dilute Fyfanon PLUS ULV in once-refined cottonseed or vegetable oil sufficient to make at least one quart of finished spray per acre."</w:t>
            </w:r>
          </w:p>
        </w:tc>
      </w:tr>
      <w:tr w:rsidR="000E5A0E" w:rsidRPr="009A2045" w14:paraId="5FFD3378" w14:textId="77777777">
        <w:trPr>
          <w:trHeight w:val="440"/>
        </w:trPr>
        <w:tc>
          <w:tcPr>
            <w:tcW w:w="9810" w:type="dxa"/>
            <w:shd w:val="clear" w:color="auto" w:fill="FFFFFF"/>
            <w:vAlign w:val="bottom"/>
          </w:tcPr>
          <w:p w14:paraId="52E2C06F" w14:textId="77777777" w:rsidR="000E5A0E" w:rsidRPr="009A2045" w:rsidRDefault="00D63E1A" w:rsidP="009A2045">
            <w:pPr>
              <w:spacing w:after="0" w:line="240" w:lineRule="auto"/>
              <w:contextualSpacing w:val="0"/>
            </w:pPr>
            <w:r w:rsidRPr="009A2045">
              <w:t xml:space="preserve">For use on guava, mango, </w:t>
            </w:r>
            <w:proofErr w:type="gramStart"/>
            <w:r w:rsidRPr="009A2045">
              <w:t>passion</w:t>
            </w:r>
            <w:proofErr w:type="gramEnd"/>
            <w:r w:rsidRPr="009A2045">
              <w:t xml:space="preserve"> fruit: "Apply with 1 lb partially hydrolyzed yeast protein or enzymatic yeast hydrolyzate."</w:t>
            </w:r>
            <w:r w:rsidRPr="009A2045">
              <w:br/>
              <w:t>For use on nectarines: "May be mixed with spray oil for dormant and delayed dormant applications. Follow spray oil manufacturer's</w:t>
            </w:r>
          </w:p>
        </w:tc>
      </w:tr>
      <w:tr w:rsidR="000E5A0E" w:rsidRPr="009A2045" w14:paraId="6681D088" w14:textId="77777777">
        <w:trPr>
          <w:trHeight w:val="220"/>
        </w:trPr>
        <w:tc>
          <w:tcPr>
            <w:tcW w:w="9810" w:type="dxa"/>
            <w:shd w:val="clear" w:color="auto" w:fill="FFFFFF"/>
            <w:vAlign w:val="bottom"/>
          </w:tcPr>
          <w:p w14:paraId="0FAC77EF" w14:textId="77777777" w:rsidR="000E5A0E" w:rsidRPr="009A2045" w:rsidRDefault="00D63E1A" w:rsidP="009A2045">
            <w:pPr>
              <w:spacing w:after="0" w:line="240" w:lineRule="auto"/>
              <w:contextualSpacing w:val="0"/>
            </w:pPr>
            <w:r w:rsidRPr="009A2045">
              <w:t>Mixing directions: "Malathion 851 g/L + Gamma-cyhalothrin 12.8 g/L EC is compatible with insecticides, miticides, and fungicides and non-pressure fertilizer solutions commonly recommended, except for alkaline materials such as Bordeaux mixture lime. It is always recommended that a small jar compatibility test be run prior to tank mixing. Prepare tank mixtures in the same manner as recommended above for use of Malathion 851 g/L + Gamma-cyhalothrin 12.8 g/L EC alone. When tank mixing with herbicides, add wettable powders first, flowable second, and emulsifiable concentrates last. When a fertilizer solution is involved, it is strongly recommended that a fertilizer pesticide compatibility agent such as Unite or Compex be used."</w:t>
            </w:r>
            <w:r w:rsidRPr="009A2045">
              <w:br/>
              <w:t>Chemigation: "As local recommendations differ, consult your local State Extension Service or other local experts for recommendations on adjuvant or diluent types (See Tank Mix Application), rates, and mixing instructions. These recommendations should be proven, through university and extension field trials, to be effective with Declare applied by chemigation."</w:t>
            </w:r>
          </w:p>
        </w:tc>
      </w:tr>
      <w:tr w:rsidR="000E5A0E" w:rsidRPr="009A2045" w14:paraId="6AA5BC2E" w14:textId="77777777">
        <w:trPr>
          <w:trHeight w:val="60"/>
        </w:trPr>
        <w:tc>
          <w:tcPr>
            <w:tcW w:w="9810" w:type="dxa"/>
            <w:shd w:val="clear" w:color="auto" w:fill="FFFFFF"/>
            <w:vAlign w:val="bottom"/>
          </w:tcPr>
          <w:p w14:paraId="1D29E0E7" w14:textId="77777777" w:rsidR="000E5A0E" w:rsidRPr="009A2045" w:rsidRDefault="00D63E1A" w:rsidP="009A2045">
            <w:pPr>
              <w:spacing w:after="0" w:line="240" w:lineRule="auto"/>
              <w:contextualSpacing w:val="0"/>
            </w:pPr>
            <w:r w:rsidRPr="009A2045">
              <w:t>"Do not combine emulsifiable liquids with wettable powders in the same spray tank unless previous use of the materials being combined has proven them to be physically compatible."</w:t>
            </w:r>
            <w:r w:rsidRPr="009A2045">
              <w:br/>
              <w:t>Mosquito control: "For a 2% spray, dilute 1 part Malathion-5 EC with 28 parts of water, fuel oil, or diesel oil. For a 5% spray, dilute 1 part Malathion-5 EC with 11 parts of water, fuel oil, or diesel oil."</w:t>
            </w:r>
          </w:p>
        </w:tc>
      </w:tr>
      <w:tr w:rsidR="000E5A0E" w:rsidRPr="009A2045" w14:paraId="40DAF66E" w14:textId="77777777">
        <w:trPr>
          <w:trHeight w:val="440"/>
        </w:trPr>
        <w:tc>
          <w:tcPr>
            <w:tcW w:w="9810" w:type="dxa"/>
            <w:shd w:val="clear" w:color="auto" w:fill="FFFFFF"/>
            <w:vAlign w:val="bottom"/>
          </w:tcPr>
          <w:p w14:paraId="73312EBD" w14:textId="77777777" w:rsidR="000E5A0E" w:rsidRPr="009A2045" w:rsidRDefault="00D63E1A" w:rsidP="009A2045">
            <w:pPr>
              <w:spacing w:after="0" w:line="240" w:lineRule="auto"/>
              <w:contextualSpacing w:val="0"/>
            </w:pPr>
            <w:r w:rsidRPr="009A2045">
              <w:t>Chemigation: "Do not tank mix this product with other pesticides, surfactants or fertilizers unless prior use has shown the combination non-injurious under your conditions of use. Follow precautionary statements and direction for all tank-mixed products."</w:t>
            </w:r>
          </w:p>
        </w:tc>
      </w:tr>
    </w:tbl>
    <w:p w14:paraId="2B2CB7D9" w14:textId="77777777" w:rsidR="000E5A0E" w:rsidRPr="009A2045" w:rsidRDefault="000E5A0E" w:rsidP="009A2045">
      <w:pPr>
        <w:keepNext/>
        <w:keepLines/>
        <w:spacing w:after="0" w:line="240" w:lineRule="auto"/>
      </w:pPr>
    </w:p>
    <w:p w14:paraId="6D95CA29" w14:textId="4589EDEC" w:rsidR="000E5A0E" w:rsidRPr="009A2045" w:rsidRDefault="00D63E1A" w:rsidP="009A2045">
      <w:pPr>
        <w:pStyle w:val="Heading4"/>
      </w:pPr>
      <w:bookmarkStart w:id="18" w:name="_Toc436043019"/>
      <w:r w:rsidRPr="009A2045">
        <w:t>1.1.2.4.</w:t>
      </w:r>
      <w:r w:rsidRPr="009A2045">
        <w:tab/>
        <w:t xml:space="preserve">Use </w:t>
      </w:r>
      <w:r w:rsidR="001718EE" w:rsidRPr="009A2045">
        <w:t>S</w:t>
      </w:r>
      <w:r w:rsidRPr="009A2045">
        <w:t xml:space="preserve">ites, </w:t>
      </w:r>
      <w:r w:rsidR="001718EE" w:rsidRPr="009A2045">
        <w:t>A</w:t>
      </w:r>
      <w:r w:rsidRPr="009A2045">
        <w:t xml:space="preserve">pplication </w:t>
      </w:r>
      <w:r w:rsidR="001718EE" w:rsidRPr="009A2045">
        <w:t>m</w:t>
      </w:r>
      <w:r w:rsidRPr="009A2045">
        <w:t xml:space="preserve">ethods, and </w:t>
      </w:r>
      <w:r w:rsidR="001718EE" w:rsidRPr="009A2045">
        <w:t>A</w:t>
      </w:r>
      <w:r w:rsidRPr="009A2045">
        <w:t xml:space="preserve">pplication </w:t>
      </w:r>
      <w:r w:rsidR="001718EE" w:rsidRPr="009A2045">
        <w:t>R</w:t>
      </w:r>
      <w:r w:rsidRPr="009A2045">
        <w:t>ates</w:t>
      </w:r>
      <w:bookmarkEnd w:id="18"/>
      <w:r w:rsidRPr="009A2045">
        <w:t xml:space="preserve"> </w:t>
      </w:r>
    </w:p>
    <w:p w14:paraId="267967EE" w14:textId="77777777" w:rsidR="000E5A0E" w:rsidRPr="009A2045" w:rsidRDefault="000E5A0E" w:rsidP="009A2045">
      <w:pPr>
        <w:spacing w:after="0" w:line="240" w:lineRule="auto"/>
      </w:pPr>
    </w:p>
    <w:p w14:paraId="1A94D1A2" w14:textId="1C272717" w:rsidR="000E5A0E" w:rsidRPr="009A2045" w:rsidRDefault="00D63E1A" w:rsidP="008E52E4">
      <w:pPr>
        <w:keepNext/>
        <w:keepLines/>
        <w:spacing w:after="0" w:line="240" w:lineRule="auto"/>
      </w:pPr>
      <w:r w:rsidRPr="009A2045">
        <w:t xml:space="preserve">The Environmental Fate and Effects Division (EFED) in consultation with the Pesticide Re-evaluation Division (PRD), Cheminova and the U.S. Fish and Wildlife Service developed a list of all </w:t>
      </w:r>
      <w:proofErr w:type="gramStart"/>
      <w:r w:rsidRPr="009A2045">
        <w:t>malathion</w:t>
      </w:r>
      <w:proofErr w:type="gramEnd"/>
      <w:r w:rsidRPr="009A2045">
        <w:t xml:space="preserve"> registered uses. The following </w:t>
      </w:r>
      <w:proofErr w:type="gramStart"/>
      <w:r w:rsidRPr="009A2045">
        <w:t>tables</w:t>
      </w:r>
      <w:proofErr w:type="gramEnd"/>
      <w:r w:rsidRPr="009A2045">
        <w:t xml:space="preserve"> document all currently registered use sites compiled from all active malathion product labels. </w:t>
      </w:r>
      <w:r w:rsidR="007B3FD5" w:rsidRPr="009A2045">
        <w:t xml:space="preserve">This document reflects all currently registered labels and any agreed upon changes to these labels from the registrants. </w:t>
      </w:r>
      <w:r w:rsidR="008E52E4" w:rsidRPr="009A2045">
        <w:t xml:space="preserve">The registrant has sent letters clarifying ambiguous non-agricultural use patterns (February 26, 2015) and a letter outlining several uses it will and will not support through the registration review process (October 9, 2015).  These letters are found in </w:t>
      </w:r>
      <w:r w:rsidR="008E52E4" w:rsidRPr="009A2045">
        <w:rPr>
          <w:b/>
        </w:rPr>
        <w:t>APPENDIX 1-5</w:t>
      </w:r>
      <w:r w:rsidR="008E52E4" w:rsidRPr="009A2045">
        <w:t>.</w:t>
      </w:r>
      <w:r w:rsidR="008E52E4">
        <w:t xml:space="preserve"> </w:t>
      </w:r>
      <w:r w:rsidRPr="009A2045">
        <w:t>Further interpretation of label rates and label uses as they affect exposure will be discussed in the Exposure Characterization (Section 3).</w:t>
      </w:r>
    </w:p>
    <w:p w14:paraId="4E7FAF07" w14:textId="77777777" w:rsidR="00F81654" w:rsidRPr="009A2045" w:rsidRDefault="00F81654" w:rsidP="009A2045">
      <w:pPr>
        <w:spacing w:after="0" w:line="240" w:lineRule="auto"/>
      </w:pPr>
    </w:p>
    <w:p w14:paraId="136A7736" w14:textId="2C2F35FE" w:rsidR="00F81654" w:rsidRPr="009A2045" w:rsidRDefault="00F81654" w:rsidP="009A2045">
      <w:pPr>
        <w:spacing w:after="0" w:line="240" w:lineRule="auto"/>
      </w:pPr>
      <w:r w:rsidRPr="009A2045">
        <w:lastRenderedPageBreak/>
        <w:t xml:space="preserve">The Master Use Summary is used to form the basis of this assessment; for spatial context and to align with aquatic modeling.  </w:t>
      </w:r>
      <w:r w:rsidRPr="009A2045">
        <w:rPr>
          <w:b/>
        </w:rPr>
        <w:t>APPENDIX 1-6</w:t>
      </w:r>
      <w:r w:rsidRPr="009A2045">
        <w:t xml:space="preserve"> provides a chlorpyrifos use site summary by Hydrologic Unit Code (HUC) 2 Region.</w:t>
      </w:r>
    </w:p>
    <w:p w14:paraId="5A3AE1DB" w14:textId="77777777" w:rsidR="000E5A0E" w:rsidRPr="009A2045" w:rsidRDefault="000E5A0E" w:rsidP="009A2045">
      <w:pPr>
        <w:keepNext/>
        <w:keepLines/>
        <w:spacing w:after="0" w:line="240" w:lineRule="auto"/>
      </w:pPr>
    </w:p>
    <w:p w14:paraId="1FF77CA1" w14:textId="3EEBB013" w:rsidR="000E5A0E" w:rsidRPr="009A2045" w:rsidRDefault="00D63E1A" w:rsidP="009A2045">
      <w:pPr>
        <w:pStyle w:val="Heading5"/>
      </w:pPr>
      <w:r w:rsidRPr="009A2045">
        <w:tab/>
      </w:r>
      <w:r w:rsidRPr="009A2045">
        <w:tab/>
      </w:r>
      <w:bookmarkStart w:id="19" w:name="_Toc432773307"/>
      <w:bookmarkStart w:id="20" w:name="_Toc436043020"/>
      <w:r w:rsidR="001D557C" w:rsidRPr="009A2045">
        <w:t>1.1.2.4</w:t>
      </w:r>
      <w:proofErr w:type="gramStart"/>
      <w:r w:rsidR="001D557C" w:rsidRPr="009A2045">
        <w:t>.a</w:t>
      </w:r>
      <w:proofErr w:type="gramEnd"/>
      <w:r w:rsidR="001D557C" w:rsidRPr="009A2045">
        <w:t>.</w:t>
      </w:r>
      <w:r w:rsidR="001D557C" w:rsidRPr="009A2045">
        <w:tab/>
        <w:t>Summary of non-agricultural uses</w:t>
      </w:r>
      <w:bookmarkEnd w:id="19"/>
      <w:bookmarkEnd w:id="20"/>
    </w:p>
    <w:p w14:paraId="7474FFCE" w14:textId="77777777" w:rsidR="000E5A0E" w:rsidRPr="009A2045" w:rsidRDefault="000E5A0E" w:rsidP="009A2045">
      <w:pPr>
        <w:keepNext/>
        <w:keepLines/>
        <w:spacing w:after="0" w:line="240" w:lineRule="auto"/>
      </w:pPr>
    </w:p>
    <w:p w14:paraId="47868170" w14:textId="3718B872" w:rsidR="000E5A0E" w:rsidRPr="009A2045" w:rsidRDefault="00D63E1A" w:rsidP="009A2045">
      <w:pPr>
        <w:keepNext/>
        <w:keepLines/>
        <w:spacing w:after="0" w:line="240" w:lineRule="auto"/>
      </w:pPr>
      <w:r w:rsidRPr="009A2045">
        <w:t xml:space="preserve">Malathion is currently registered for use in a variety of non-agricultural settings, including for use on 47 homeowner garden fruit and vegetable varieties, and ornamental uses for commercial and homeowner applications.  </w:t>
      </w:r>
      <w:r w:rsidRPr="009A2045">
        <w:rPr>
          <w:b/>
        </w:rPr>
        <w:t xml:space="preserve">Table </w:t>
      </w:r>
      <w:r w:rsidR="005B7DD5" w:rsidRPr="009A2045">
        <w:rPr>
          <w:b/>
        </w:rPr>
        <w:t>1-3</w:t>
      </w:r>
      <w:r w:rsidRPr="009A2045">
        <w:t xml:space="preserve"> details these uses below.</w:t>
      </w:r>
      <w:r w:rsidR="00F81654" w:rsidRPr="009A2045">
        <w:t xml:space="preserve"> For information on what assumptions are made regarding how uses are modeled in the absence of label information, see </w:t>
      </w:r>
      <w:r w:rsidR="00F81654" w:rsidRPr="009A2045">
        <w:rPr>
          <w:b/>
        </w:rPr>
        <w:t>APPENDIX 1-7</w:t>
      </w:r>
      <w:r w:rsidR="00F81654" w:rsidRPr="009A2045">
        <w:t>.</w:t>
      </w:r>
    </w:p>
    <w:p w14:paraId="0E208C6B" w14:textId="77777777" w:rsidR="000E5A0E" w:rsidRPr="009A2045" w:rsidRDefault="000E5A0E" w:rsidP="009A2045">
      <w:pPr>
        <w:keepNext/>
        <w:keepLines/>
        <w:spacing w:after="0" w:line="240" w:lineRule="auto"/>
      </w:pPr>
    </w:p>
    <w:p w14:paraId="11B79979" w14:textId="10E3FADB" w:rsidR="000E5A0E" w:rsidRPr="009A2045" w:rsidRDefault="00D63E1A" w:rsidP="009A2045">
      <w:pPr>
        <w:pStyle w:val="Caption"/>
        <w:rPr>
          <w:b/>
          <w:i w:val="0"/>
          <w:sz w:val="22"/>
          <w:szCs w:val="22"/>
        </w:rPr>
      </w:pPr>
      <w:bookmarkStart w:id="21" w:name="h.gjdgxs" w:colFirst="0" w:colLast="0"/>
      <w:bookmarkStart w:id="22" w:name="_Toc435773437"/>
      <w:bookmarkEnd w:id="21"/>
      <w:r w:rsidRPr="009A2045">
        <w:rPr>
          <w:b/>
          <w:sz w:val="22"/>
          <w:szCs w:val="22"/>
        </w:rPr>
        <w:t xml:space="preserve"> </w:t>
      </w:r>
      <w:r w:rsidR="00EC1A85" w:rsidRPr="009A2045">
        <w:rPr>
          <w:b/>
          <w:i w:val="0"/>
          <w:sz w:val="22"/>
          <w:szCs w:val="22"/>
        </w:rPr>
        <w:t xml:space="preserve">Table </w:t>
      </w:r>
      <w:r w:rsidR="003B0094"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Table \* ARABIC </w:instrText>
      </w:r>
      <w:r w:rsidR="00C60928" w:rsidRPr="009A2045">
        <w:rPr>
          <w:b/>
          <w:i w:val="0"/>
          <w:sz w:val="22"/>
          <w:szCs w:val="22"/>
        </w:rPr>
        <w:fldChar w:fldCharType="separate"/>
      </w:r>
      <w:r w:rsidR="000D01C3" w:rsidRPr="009A2045">
        <w:rPr>
          <w:b/>
          <w:i w:val="0"/>
          <w:noProof/>
          <w:sz w:val="22"/>
          <w:szCs w:val="22"/>
        </w:rPr>
        <w:t>3</w:t>
      </w:r>
      <w:r w:rsidR="00C60928" w:rsidRPr="009A2045">
        <w:rPr>
          <w:b/>
          <w:i w:val="0"/>
          <w:noProof/>
          <w:sz w:val="22"/>
          <w:szCs w:val="22"/>
        </w:rPr>
        <w:fldChar w:fldCharType="end"/>
      </w:r>
      <w:r w:rsidR="00EC1A85" w:rsidRPr="009A2045">
        <w:rPr>
          <w:b/>
          <w:i w:val="0"/>
          <w:sz w:val="22"/>
          <w:szCs w:val="22"/>
        </w:rPr>
        <w:t>.  Malathion Use Summary of Non-Agricultural (Residential and Commercial) Uses</w:t>
      </w:r>
      <w:bookmarkEnd w:id="22"/>
      <w:r w:rsidR="003B0094" w:rsidRPr="009A2045">
        <w:rPr>
          <w:b/>
          <w:i w:val="0"/>
          <w:sz w:val="22"/>
          <w:szCs w:val="22"/>
        </w:rPr>
        <w:t>.</w:t>
      </w:r>
    </w:p>
    <w:tbl>
      <w:tblPr>
        <w:tblStyle w:val="a1"/>
        <w:tblW w:w="10440"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1800"/>
        <w:gridCol w:w="1440"/>
        <w:gridCol w:w="1620"/>
        <w:gridCol w:w="1440"/>
        <w:gridCol w:w="1350"/>
      </w:tblGrid>
      <w:tr w:rsidR="000E5A0E" w:rsidRPr="009A2045" w14:paraId="0AAA66FA" w14:textId="77777777" w:rsidTr="0021000E">
        <w:trPr>
          <w:trHeight w:val="1240"/>
          <w:tblHeader/>
        </w:trPr>
        <w:tc>
          <w:tcPr>
            <w:tcW w:w="2790" w:type="dxa"/>
            <w:tcBorders>
              <w:top w:val="single" w:sz="4" w:space="0" w:color="000000"/>
            </w:tcBorders>
            <w:shd w:val="clear" w:color="auto" w:fill="E7E6E6"/>
            <w:vAlign w:val="center"/>
          </w:tcPr>
          <w:p w14:paraId="4B877E10" w14:textId="77777777" w:rsidR="000E5A0E" w:rsidRPr="009A2045" w:rsidRDefault="000E5A0E" w:rsidP="009A2045">
            <w:pPr>
              <w:jc w:val="center"/>
              <w:rPr>
                <w:rFonts w:asciiTheme="minorHAnsi" w:hAnsiTheme="minorHAnsi"/>
                <w:sz w:val="20"/>
                <w:szCs w:val="20"/>
              </w:rPr>
            </w:pPr>
          </w:p>
          <w:p w14:paraId="27FC141D"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Use Site</w:t>
            </w:r>
          </w:p>
        </w:tc>
        <w:tc>
          <w:tcPr>
            <w:tcW w:w="1800" w:type="dxa"/>
            <w:tcBorders>
              <w:top w:val="single" w:sz="4" w:space="0" w:color="000000"/>
            </w:tcBorders>
            <w:shd w:val="clear" w:color="auto" w:fill="E7E6E6"/>
            <w:vAlign w:val="center"/>
          </w:tcPr>
          <w:p w14:paraId="0C9C7062"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Method</w:t>
            </w:r>
          </w:p>
        </w:tc>
        <w:tc>
          <w:tcPr>
            <w:tcW w:w="1440" w:type="dxa"/>
            <w:tcBorders>
              <w:top w:val="single" w:sz="4" w:space="0" w:color="000000"/>
            </w:tcBorders>
            <w:shd w:val="clear" w:color="auto" w:fill="E7E6E6"/>
            <w:vAlign w:val="center"/>
          </w:tcPr>
          <w:p w14:paraId="68901CE4" w14:textId="77777777" w:rsidR="000E5A0E" w:rsidRPr="009A2045" w:rsidRDefault="000E5A0E" w:rsidP="009A2045">
            <w:pPr>
              <w:jc w:val="center"/>
              <w:rPr>
                <w:rFonts w:asciiTheme="minorHAnsi" w:hAnsiTheme="minorHAnsi"/>
                <w:sz w:val="20"/>
                <w:szCs w:val="20"/>
              </w:rPr>
            </w:pPr>
          </w:p>
          <w:p w14:paraId="7BB146FE"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 xml:space="preserve">Maximum Single Application Rate </w:t>
            </w:r>
          </w:p>
          <w:p w14:paraId="5AFD7B41"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(lb a.i./A)</w:t>
            </w:r>
          </w:p>
        </w:tc>
        <w:tc>
          <w:tcPr>
            <w:tcW w:w="1620" w:type="dxa"/>
            <w:tcBorders>
              <w:top w:val="single" w:sz="4" w:space="0" w:color="000000"/>
            </w:tcBorders>
            <w:shd w:val="clear" w:color="auto" w:fill="E7E6E6"/>
            <w:vAlign w:val="center"/>
          </w:tcPr>
          <w:p w14:paraId="496E458E" w14:textId="77777777" w:rsidR="000E5A0E" w:rsidRPr="009A2045" w:rsidRDefault="000E5A0E" w:rsidP="009A2045">
            <w:pPr>
              <w:jc w:val="center"/>
              <w:rPr>
                <w:rFonts w:asciiTheme="minorHAnsi" w:hAnsiTheme="minorHAnsi"/>
                <w:sz w:val="20"/>
                <w:szCs w:val="20"/>
              </w:rPr>
            </w:pPr>
          </w:p>
          <w:p w14:paraId="266F235E" w14:textId="77777777" w:rsidR="000E5A0E" w:rsidRPr="009A2045" w:rsidRDefault="00D63E1A" w:rsidP="009A20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7200"/>
              </w:tabs>
              <w:jc w:val="center"/>
              <w:rPr>
                <w:rFonts w:asciiTheme="minorHAnsi" w:hAnsiTheme="minorHAnsi"/>
                <w:sz w:val="20"/>
                <w:szCs w:val="20"/>
              </w:rPr>
            </w:pPr>
            <w:r w:rsidRPr="009A2045">
              <w:rPr>
                <w:rFonts w:asciiTheme="minorHAnsi" w:hAnsiTheme="minorHAnsi"/>
                <w:b/>
                <w:sz w:val="20"/>
                <w:szCs w:val="20"/>
              </w:rPr>
              <w:t>Maximum Application Rate (per year in lb a.i./acre) (for all formulations combined, unless otherwise noted)</w:t>
            </w:r>
          </w:p>
        </w:tc>
        <w:tc>
          <w:tcPr>
            <w:tcW w:w="1440" w:type="dxa"/>
            <w:tcBorders>
              <w:top w:val="single" w:sz="4" w:space="0" w:color="000000"/>
            </w:tcBorders>
            <w:shd w:val="clear" w:color="auto" w:fill="E7E6E6"/>
            <w:vAlign w:val="center"/>
          </w:tcPr>
          <w:p w14:paraId="10AC8B44" w14:textId="77777777" w:rsidR="000E5A0E" w:rsidRPr="009A2045" w:rsidRDefault="00D63E1A" w:rsidP="009A2045">
            <w:pPr>
              <w:ind w:left="113" w:right="113"/>
              <w:jc w:val="center"/>
              <w:rPr>
                <w:rFonts w:asciiTheme="minorHAnsi" w:hAnsiTheme="minorHAnsi"/>
                <w:sz w:val="20"/>
                <w:szCs w:val="20"/>
              </w:rPr>
            </w:pPr>
            <w:r w:rsidRPr="009A2045">
              <w:rPr>
                <w:rFonts w:asciiTheme="minorHAnsi" w:hAnsiTheme="minorHAnsi"/>
                <w:b/>
                <w:sz w:val="20"/>
                <w:szCs w:val="20"/>
              </w:rPr>
              <w:t xml:space="preserve">Maximum Application Number (per year) </w:t>
            </w:r>
          </w:p>
        </w:tc>
        <w:tc>
          <w:tcPr>
            <w:tcW w:w="1350" w:type="dxa"/>
            <w:tcBorders>
              <w:top w:val="single" w:sz="4" w:space="0" w:color="000000"/>
            </w:tcBorders>
            <w:shd w:val="clear" w:color="auto" w:fill="E7E6E6"/>
            <w:vAlign w:val="center"/>
          </w:tcPr>
          <w:p w14:paraId="4667796F" w14:textId="77777777" w:rsidR="000E5A0E" w:rsidRPr="009A2045" w:rsidRDefault="00D63E1A" w:rsidP="009A2045">
            <w:pPr>
              <w:rPr>
                <w:rFonts w:asciiTheme="minorHAnsi" w:hAnsiTheme="minorHAnsi"/>
                <w:sz w:val="20"/>
                <w:szCs w:val="20"/>
              </w:rPr>
            </w:pPr>
            <w:r w:rsidRPr="009A2045">
              <w:rPr>
                <w:rFonts w:asciiTheme="minorHAnsi" w:hAnsiTheme="minorHAnsi"/>
                <w:b/>
                <w:sz w:val="20"/>
                <w:szCs w:val="20"/>
              </w:rPr>
              <w:t>Minimum Retreatment Interval</w:t>
            </w:r>
          </w:p>
        </w:tc>
      </w:tr>
      <w:tr w:rsidR="000E5A0E" w:rsidRPr="009A2045" w14:paraId="41838E4F" w14:textId="77777777" w:rsidTr="0021000E">
        <w:trPr>
          <w:trHeight w:val="280"/>
        </w:trPr>
        <w:tc>
          <w:tcPr>
            <w:tcW w:w="2790" w:type="dxa"/>
            <w:vAlign w:val="bottom"/>
          </w:tcPr>
          <w:p w14:paraId="463D3B8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Apples</w:t>
            </w:r>
          </w:p>
        </w:tc>
        <w:tc>
          <w:tcPr>
            <w:tcW w:w="1800" w:type="dxa"/>
            <w:vAlign w:val="bottom"/>
          </w:tcPr>
          <w:p w14:paraId="362127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30FDA5D8" w14:textId="4FBAD183"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r w:rsidR="00A51253" w:rsidRPr="009A2045">
              <w:rPr>
                <w:rFonts w:asciiTheme="minorHAnsi" w:hAnsiTheme="minorHAnsi"/>
                <w:sz w:val="20"/>
                <w:szCs w:val="20"/>
                <w:vertAlign w:val="superscript"/>
              </w:rPr>
              <w:t>1</w:t>
            </w:r>
          </w:p>
        </w:tc>
        <w:tc>
          <w:tcPr>
            <w:tcW w:w="1620" w:type="dxa"/>
            <w:vAlign w:val="bottom"/>
          </w:tcPr>
          <w:p w14:paraId="0DD02D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67A059E" w14:textId="1BFE68AE" w:rsidR="000E5A0E" w:rsidRPr="009A2045" w:rsidRDefault="00A51253"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12362058" w14:textId="0A028EFD" w:rsidR="000E5A0E" w:rsidRPr="009A2045" w:rsidRDefault="00A51253"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B6CC458" w14:textId="77777777" w:rsidTr="0021000E">
        <w:trPr>
          <w:trHeight w:val="280"/>
        </w:trPr>
        <w:tc>
          <w:tcPr>
            <w:tcW w:w="2790" w:type="dxa"/>
            <w:vAlign w:val="bottom"/>
          </w:tcPr>
          <w:p w14:paraId="6EF74B5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Apricots</w:t>
            </w:r>
          </w:p>
        </w:tc>
        <w:tc>
          <w:tcPr>
            <w:tcW w:w="1800" w:type="dxa"/>
            <w:vAlign w:val="bottom"/>
          </w:tcPr>
          <w:p w14:paraId="2011E58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99F4A6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1EF5390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09916C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C0AF52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F04796C" w14:textId="77777777" w:rsidTr="0021000E">
        <w:trPr>
          <w:trHeight w:val="280"/>
        </w:trPr>
        <w:tc>
          <w:tcPr>
            <w:tcW w:w="2790" w:type="dxa"/>
            <w:vAlign w:val="bottom"/>
          </w:tcPr>
          <w:p w14:paraId="76B54D9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Asparagus</w:t>
            </w:r>
          </w:p>
        </w:tc>
        <w:tc>
          <w:tcPr>
            <w:tcW w:w="1800" w:type="dxa"/>
            <w:vAlign w:val="bottom"/>
          </w:tcPr>
          <w:p w14:paraId="246F849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53E2E6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1D87234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461FA7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1DD1A71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1F7DEDD" w14:textId="77777777" w:rsidTr="0021000E">
        <w:trPr>
          <w:trHeight w:val="280"/>
        </w:trPr>
        <w:tc>
          <w:tcPr>
            <w:tcW w:w="2790" w:type="dxa"/>
            <w:vAlign w:val="bottom"/>
          </w:tcPr>
          <w:p w14:paraId="39B2EA1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Avocado</w:t>
            </w:r>
          </w:p>
        </w:tc>
        <w:tc>
          <w:tcPr>
            <w:tcW w:w="1800" w:type="dxa"/>
            <w:vAlign w:val="bottom"/>
          </w:tcPr>
          <w:p w14:paraId="1FCA731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34AE9FF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2A3C63D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9CEC1A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BE9589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30</w:t>
            </w:r>
          </w:p>
        </w:tc>
      </w:tr>
      <w:tr w:rsidR="000E5A0E" w:rsidRPr="009A2045" w14:paraId="71AAFB2C" w14:textId="77777777" w:rsidTr="0021000E">
        <w:trPr>
          <w:trHeight w:val="280"/>
        </w:trPr>
        <w:tc>
          <w:tcPr>
            <w:tcW w:w="2790" w:type="dxa"/>
            <w:vAlign w:val="bottom"/>
          </w:tcPr>
          <w:p w14:paraId="1D2D878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Beans</w:t>
            </w:r>
          </w:p>
        </w:tc>
        <w:tc>
          <w:tcPr>
            <w:tcW w:w="1800" w:type="dxa"/>
            <w:vAlign w:val="bottom"/>
          </w:tcPr>
          <w:p w14:paraId="76B3EA5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F328005" w14:textId="6885FF91" w:rsidR="000E5A0E" w:rsidRPr="009A2045" w:rsidRDefault="00D63E1A" w:rsidP="009A2045">
            <w:pPr>
              <w:jc w:val="center"/>
              <w:rPr>
                <w:rFonts w:asciiTheme="minorHAnsi" w:hAnsiTheme="minorHAnsi"/>
                <w:sz w:val="20"/>
                <w:szCs w:val="20"/>
                <w:vertAlign w:val="superscript"/>
              </w:rPr>
            </w:pPr>
            <w:r w:rsidRPr="009A2045">
              <w:rPr>
                <w:rFonts w:asciiTheme="minorHAnsi" w:hAnsiTheme="minorHAnsi"/>
                <w:sz w:val="20"/>
                <w:szCs w:val="20"/>
              </w:rPr>
              <w:t>NS</w:t>
            </w:r>
            <w:r w:rsidR="00A51253" w:rsidRPr="009A2045">
              <w:rPr>
                <w:rFonts w:asciiTheme="minorHAnsi" w:hAnsiTheme="minorHAnsi"/>
                <w:sz w:val="20"/>
                <w:szCs w:val="20"/>
                <w:vertAlign w:val="superscript"/>
              </w:rPr>
              <w:t>2</w:t>
            </w:r>
          </w:p>
        </w:tc>
        <w:tc>
          <w:tcPr>
            <w:tcW w:w="1620" w:type="dxa"/>
            <w:vAlign w:val="bottom"/>
          </w:tcPr>
          <w:p w14:paraId="7F662D6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DE9F1A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62E7CCDC" w14:textId="1F344718" w:rsidR="000E5A0E" w:rsidRPr="009A2045" w:rsidRDefault="00A51253"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0A37FD7" w14:textId="77777777" w:rsidTr="0021000E">
        <w:trPr>
          <w:trHeight w:val="280"/>
        </w:trPr>
        <w:tc>
          <w:tcPr>
            <w:tcW w:w="2790" w:type="dxa"/>
            <w:vAlign w:val="bottom"/>
          </w:tcPr>
          <w:p w14:paraId="4772AC5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Beets</w:t>
            </w:r>
          </w:p>
        </w:tc>
        <w:tc>
          <w:tcPr>
            <w:tcW w:w="1800" w:type="dxa"/>
            <w:vAlign w:val="bottom"/>
          </w:tcPr>
          <w:p w14:paraId="154B3C7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025C2C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2526E0D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F8C5EF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2724FA4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D6E277F" w14:textId="77777777" w:rsidTr="0021000E">
        <w:trPr>
          <w:trHeight w:val="280"/>
        </w:trPr>
        <w:tc>
          <w:tcPr>
            <w:tcW w:w="2790" w:type="dxa"/>
            <w:vAlign w:val="bottom"/>
          </w:tcPr>
          <w:p w14:paraId="2B6C3E7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Blueberry</w:t>
            </w:r>
          </w:p>
        </w:tc>
        <w:tc>
          <w:tcPr>
            <w:tcW w:w="1800" w:type="dxa"/>
            <w:vAlign w:val="bottom"/>
          </w:tcPr>
          <w:p w14:paraId="72A5092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05D50F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6F91E1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E03BE2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0A1E22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1AAA4AAF" w14:textId="77777777" w:rsidTr="0021000E">
        <w:trPr>
          <w:trHeight w:val="280"/>
        </w:trPr>
        <w:tc>
          <w:tcPr>
            <w:tcW w:w="2790" w:type="dxa"/>
            <w:vAlign w:val="bottom"/>
          </w:tcPr>
          <w:p w14:paraId="45EDFC7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Broccoli</w:t>
            </w:r>
          </w:p>
        </w:tc>
        <w:tc>
          <w:tcPr>
            <w:tcW w:w="1800" w:type="dxa"/>
            <w:vAlign w:val="bottom"/>
          </w:tcPr>
          <w:p w14:paraId="55FC40F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9544F3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26FDFE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8EC679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0050110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77B350E" w14:textId="77777777" w:rsidTr="0021000E">
        <w:trPr>
          <w:trHeight w:val="280"/>
        </w:trPr>
        <w:tc>
          <w:tcPr>
            <w:tcW w:w="2790" w:type="dxa"/>
            <w:vAlign w:val="bottom"/>
          </w:tcPr>
          <w:p w14:paraId="11FFC8D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Brussels sprouts</w:t>
            </w:r>
          </w:p>
        </w:tc>
        <w:tc>
          <w:tcPr>
            <w:tcW w:w="1800" w:type="dxa"/>
            <w:vAlign w:val="bottom"/>
          </w:tcPr>
          <w:p w14:paraId="1CC8708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090915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5253E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0DE8A8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4756A4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7614464" w14:textId="77777777" w:rsidTr="0021000E">
        <w:trPr>
          <w:trHeight w:val="280"/>
        </w:trPr>
        <w:tc>
          <w:tcPr>
            <w:tcW w:w="2790" w:type="dxa"/>
            <w:vAlign w:val="bottom"/>
          </w:tcPr>
          <w:p w14:paraId="7CAF3F5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Cabbage</w:t>
            </w:r>
          </w:p>
        </w:tc>
        <w:tc>
          <w:tcPr>
            <w:tcW w:w="1800" w:type="dxa"/>
            <w:vAlign w:val="bottom"/>
          </w:tcPr>
          <w:p w14:paraId="6A1CC91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D5C2A7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03D6C5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16EC23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6</w:t>
            </w:r>
          </w:p>
        </w:tc>
        <w:tc>
          <w:tcPr>
            <w:tcW w:w="1350" w:type="dxa"/>
            <w:vAlign w:val="bottom"/>
          </w:tcPr>
          <w:p w14:paraId="711D2D5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1268AA3" w14:textId="77777777" w:rsidTr="0021000E">
        <w:trPr>
          <w:trHeight w:val="280"/>
        </w:trPr>
        <w:tc>
          <w:tcPr>
            <w:tcW w:w="2790" w:type="dxa"/>
            <w:vAlign w:val="bottom"/>
          </w:tcPr>
          <w:p w14:paraId="39896574"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Caneberries</w:t>
            </w:r>
          </w:p>
        </w:tc>
        <w:tc>
          <w:tcPr>
            <w:tcW w:w="1800" w:type="dxa"/>
            <w:vAlign w:val="bottom"/>
          </w:tcPr>
          <w:p w14:paraId="6705E4A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822193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620" w:type="dxa"/>
            <w:vAlign w:val="bottom"/>
          </w:tcPr>
          <w:p w14:paraId="7F2E031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3392DF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3A662B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7DA61B1" w14:textId="77777777" w:rsidTr="0021000E">
        <w:trPr>
          <w:trHeight w:val="280"/>
        </w:trPr>
        <w:tc>
          <w:tcPr>
            <w:tcW w:w="2790" w:type="dxa"/>
            <w:vAlign w:val="bottom"/>
          </w:tcPr>
          <w:p w14:paraId="3EA1358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Cantaloupe</w:t>
            </w:r>
          </w:p>
        </w:tc>
        <w:tc>
          <w:tcPr>
            <w:tcW w:w="1800" w:type="dxa"/>
            <w:vAlign w:val="bottom"/>
          </w:tcPr>
          <w:p w14:paraId="498E68B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754D58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C91799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3F2309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3D3F7E3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108064C" w14:textId="77777777" w:rsidTr="0021000E">
        <w:trPr>
          <w:trHeight w:val="280"/>
        </w:trPr>
        <w:tc>
          <w:tcPr>
            <w:tcW w:w="2790" w:type="dxa"/>
            <w:vAlign w:val="bottom"/>
          </w:tcPr>
          <w:p w14:paraId="1FE2AF5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Carrots</w:t>
            </w:r>
          </w:p>
        </w:tc>
        <w:tc>
          <w:tcPr>
            <w:tcW w:w="1800" w:type="dxa"/>
            <w:vAlign w:val="bottom"/>
          </w:tcPr>
          <w:p w14:paraId="566DC05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B78059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67A8E9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6BC83C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917619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794C43DC" w14:textId="77777777" w:rsidTr="0021000E">
        <w:trPr>
          <w:trHeight w:val="280"/>
        </w:trPr>
        <w:tc>
          <w:tcPr>
            <w:tcW w:w="2790" w:type="dxa"/>
            <w:vAlign w:val="bottom"/>
          </w:tcPr>
          <w:p w14:paraId="7BE651A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Cauliflower</w:t>
            </w:r>
          </w:p>
        </w:tc>
        <w:tc>
          <w:tcPr>
            <w:tcW w:w="1800" w:type="dxa"/>
            <w:vAlign w:val="bottom"/>
          </w:tcPr>
          <w:p w14:paraId="4DD818F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64186E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AE226D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0F8B9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0F45AC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28941CD" w14:textId="77777777" w:rsidTr="0021000E">
        <w:trPr>
          <w:trHeight w:val="280"/>
        </w:trPr>
        <w:tc>
          <w:tcPr>
            <w:tcW w:w="2790" w:type="dxa"/>
            <w:vAlign w:val="bottom"/>
          </w:tcPr>
          <w:p w14:paraId="7DD4438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Celery</w:t>
            </w:r>
          </w:p>
        </w:tc>
        <w:tc>
          <w:tcPr>
            <w:tcW w:w="1800" w:type="dxa"/>
            <w:vAlign w:val="bottom"/>
          </w:tcPr>
          <w:p w14:paraId="532EC45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42F300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615217A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562CB8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A26835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CB5BCE5" w14:textId="77777777" w:rsidTr="0021000E">
        <w:trPr>
          <w:trHeight w:val="280"/>
        </w:trPr>
        <w:tc>
          <w:tcPr>
            <w:tcW w:w="2790" w:type="dxa"/>
            <w:vAlign w:val="bottom"/>
          </w:tcPr>
          <w:p w14:paraId="36AE1AD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Cherries (tart and sweet)</w:t>
            </w:r>
          </w:p>
        </w:tc>
        <w:tc>
          <w:tcPr>
            <w:tcW w:w="1800" w:type="dxa"/>
            <w:vAlign w:val="bottom"/>
          </w:tcPr>
          <w:p w14:paraId="5049250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11ED68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1.75</w:t>
            </w:r>
          </w:p>
        </w:tc>
        <w:tc>
          <w:tcPr>
            <w:tcW w:w="1620" w:type="dxa"/>
            <w:vAlign w:val="bottom"/>
          </w:tcPr>
          <w:p w14:paraId="371920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A0C734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2AAF289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r>
      <w:tr w:rsidR="000E5A0E" w:rsidRPr="009A2045" w14:paraId="7F4C142A" w14:textId="77777777" w:rsidTr="0021000E">
        <w:trPr>
          <w:trHeight w:val="280"/>
        </w:trPr>
        <w:tc>
          <w:tcPr>
            <w:tcW w:w="2790" w:type="dxa"/>
            <w:vAlign w:val="bottom"/>
          </w:tcPr>
          <w:p w14:paraId="031C56F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Citrus (CA only)</w:t>
            </w:r>
          </w:p>
        </w:tc>
        <w:tc>
          <w:tcPr>
            <w:tcW w:w="1800" w:type="dxa"/>
            <w:vAlign w:val="bottom"/>
          </w:tcPr>
          <w:p w14:paraId="7140F6E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44DE0F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7.5</w:t>
            </w:r>
          </w:p>
        </w:tc>
        <w:tc>
          <w:tcPr>
            <w:tcW w:w="1620" w:type="dxa"/>
            <w:vAlign w:val="bottom"/>
          </w:tcPr>
          <w:p w14:paraId="1ABBCEF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2001A9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350" w:type="dxa"/>
            <w:vAlign w:val="bottom"/>
          </w:tcPr>
          <w:p w14:paraId="490927E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r>
      <w:tr w:rsidR="000E5A0E" w:rsidRPr="009A2045" w14:paraId="219C8153" w14:textId="77777777" w:rsidTr="0021000E">
        <w:trPr>
          <w:trHeight w:val="280"/>
        </w:trPr>
        <w:tc>
          <w:tcPr>
            <w:tcW w:w="2790" w:type="dxa"/>
            <w:vAlign w:val="bottom"/>
          </w:tcPr>
          <w:p w14:paraId="24AE944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Citrus (excluding CA)</w:t>
            </w:r>
          </w:p>
        </w:tc>
        <w:tc>
          <w:tcPr>
            <w:tcW w:w="1800" w:type="dxa"/>
            <w:vAlign w:val="bottom"/>
          </w:tcPr>
          <w:p w14:paraId="587A6B5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B74A76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4.5</w:t>
            </w:r>
          </w:p>
        </w:tc>
        <w:tc>
          <w:tcPr>
            <w:tcW w:w="1620" w:type="dxa"/>
            <w:vAlign w:val="bottom"/>
          </w:tcPr>
          <w:p w14:paraId="7546AFC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3D20FE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350" w:type="dxa"/>
            <w:vAlign w:val="bottom"/>
          </w:tcPr>
          <w:p w14:paraId="1CB9DE9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r>
      <w:tr w:rsidR="000E5A0E" w:rsidRPr="009A2045" w14:paraId="4CAD0A91" w14:textId="77777777" w:rsidTr="0021000E">
        <w:trPr>
          <w:trHeight w:val="280"/>
        </w:trPr>
        <w:tc>
          <w:tcPr>
            <w:tcW w:w="2790" w:type="dxa"/>
            <w:vAlign w:val="bottom"/>
          </w:tcPr>
          <w:p w14:paraId="0C1A116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Collards</w:t>
            </w:r>
          </w:p>
        </w:tc>
        <w:tc>
          <w:tcPr>
            <w:tcW w:w="1800" w:type="dxa"/>
            <w:vAlign w:val="bottom"/>
          </w:tcPr>
          <w:p w14:paraId="5F1AD53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3718F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56A6342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12C0B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51CD511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7325B6F" w14:textId="77777777" w:rsidTr="0021000E">
        <w:trPr>
          <w:trHeight w:val="280"/>
        </w:trPr>
        <w:tc>
          <w:tcPr>
            <w:tcW w:w="2790" w:type="dxa"/>
            <w:vAlign w:val="bottom"/>
          </w:tcPr>
          <w:p w14:paraId="257B3864"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Corn, sweet/pop</w:t>
            </w:r>
          </w:p>
        </w:tc>
        <w:tc>
          <w:tcPr>
            <w:tcW w:w="1800" w:type="dxa"/>
            <w:vAlign w:val="bottom"/>
          </w:tcPr>
          <w:p w14:paraId="032F146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02E25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56C414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5100BB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339D5E2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5F164EC4" w14:textId="77777777" w:rsidTr="0021000E">
        <w:trPr>
          <w:trHeight w:val="280"/>
        </w:trPr>
        <w:tc>
          <w:tcPr>
            <w:tcW w:w="2790" w:type="dxa"/>
            <w:vAlign w:val="bottom"/>
          </w:tcPr>
          <w:p w14:paraId="21EA739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Cucumber</w:t>
            </w:r>
          </w:p>
        </w:tc>
        <w:tc>
          <w:tcPr>
            <w:tcW w:w="1800" w:type="dxa"/>
            <w:vAlign w:val="bottom"/>
          </w:tcPr>
          <w:p w14:paraId="3A6024A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56B874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1.75</w:t>
            </w:r>
          </w:p>
        </w:tc>
        <w:tc>
          <w:tcPr>
            <w:tcW w:w="1620" w:type="dxa"/>
            <w:vAlign w:val="bottom"/>
          </w:tcPr>
          <w:p w14:paraId="5932138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124D0C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2C694F5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C6538F7" w14:textId="77777777" w:rsidTr="0021000E">
        <w:trPr>
          <w:trHeight w:val="280"/>
        </w:trPr>
        <w:tc>
          <w:tcPr>
            <w:tcW w:w="2790" w:type="dxa"/>
            <w:vAlign w:val="bottom"/>
          </w:tcPr>
          <w:p w14:paraId="75D8A6F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Dandelion</w:t>
            </w:r>
          </w:p>
        </w:tc>
        <w:tc>
          <w:tcPr>
            <w:tcW w:w="1800" w:type="dxa"/>
            <w:vAlign w:val="bottom"/>
          </w:tcPr>
          <w:p w14:paraId="1389616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86AEEB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9546F5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7414C4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3F18258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17C0467" w14:textId="77777777" w:rsidTr="0021000E">
        <w:trPr>
          <w:trHeight w:val="280"/>
        </w:trPr>
        <w:tc>
          <w:tcPr>
            <w:tcW w:w="2790" w:type="dxa"/>
            <w:vAlign w:val="bottom"/>
          </w:tcPr>
          <w:p w14:paraId="72470BA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Eggplant</w:t>
            </w:r>
          </w:p>
        </w:tc>
        <w:tc>
          <w:tcPr>
            <w:tcW w:w="1800" w:type="dxa"/>
            <w:vAlign w:val="bottom"/>
          </w:tcPr>
          <w:p w14:paraId="2A981C0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8772DB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7F2115F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354EB8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5BDBFCB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0F596337" w14:textId="77777777" w:rsidTr="0021000E">
        <w:trPr>
          <w:trHeight w:val="280"/>
        </w:trPr>
        <w:tc>
          <w:tcPr>
            <w:tcW w:w="2790" w:type="dxa"/>
            <w:vAlign w:val="bottom"/>
          </w:tcPr>
          <w:p w14:paraId="2DC1B52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Endive (escarole)</w:t>
            </w:r>
          </w:p>
        </w:tc>
        <w:tc>
          <w:tcPr>
            <w:tcW w:w="1800" w:type="dxa"/>
            <w:vAlign w:val="bottom"/>
          </w:tcPr>
          <w:p w14:paraId="7B4FEC9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435338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805A81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C0D639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8B2D31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61FB6C1" w14:textId="77777777" w:rsidTr="0021000E">
        <w:trPr>
          <w:trHeight w:val="280"/>
        </w:trPr>
        <w:tc>
          <w:tcPr>
            <w:tcW w:w="2790" w:type="dxa"/>
            <w:vAlign w:val="bottom"/>
          </w:tcPr>
          <w:p w14:paraId="733FF57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Flies</w:t>
            </w:r>
          </w:p>
        </w:tc>
        <w:tc>
          <w:tcPr>
            <w:tcW w:w="1800" w:type="dxa"/>
            <w:vAlign w:val="bottom"/>
          </w:tcPr>
          <w:p w14:paraId="77B9CBA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DC76AB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0.18</w:t>
            </w:r>
          </w:p>
        </w:tc>
        <w:tc>
          <w:tcPr>
            <w:tcW w:w="1620" w:type="dxa"/>
            <w:vAlign w:val="bottom"/>
          </w:tcPr>
          <w:p w14:paraId="5655B13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07D6B4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689F8E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17E13495" w14:textId="77777777" w:rsidTr="0021000E">
        <w:trPr>
          <w:trHeight w:val="280"/>
        </w:trPr>
        <w:tc>
          <w:tcPr>
            <w:tcW w:w="2790" w:type="dxa"/>
            <w:vAlign w:val="bottom"/>
          </w:tcPr>
          <w:p w14:paraId="09B2B9F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Garlic</w:t>
            </w:r>
          </w:p>
        </w:tc>
        <w:tc>
          <w:tcPr>
            <w:tcW w:w="1800" w:type="dxa"/>
            <w:vAlign w:val="bottom"/>
          </w:tcPr>
          <w:p w14:paraId="289621B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29908A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63EEDDD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DC0764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B85D24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99C524B" w14:textId="77777777" w:rsidTr="0021000E">
        <w:trPr>
          <w:trHeight w:val="280"/>
        </w:trPr>
        <w:tc>
          <w:tcPr>
            <w:tcW w:w="2790" w:type="dxa"/>
            <w:vAlign w:val="bottom"/>
          </w:tcPr>
          <w:p w14:paraId="35AAE77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Grapes</w:t>
            </w:r>
          </w:p>
        </w:tc>
        <w:tc>
          <w:tcPr>
            <w:tcW w:w="1800" w:type="dxa"/>
            <w:vAlign w:val="bottom"/>
          </w:tcPr>
          <w:p w14:paraId="787F521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77D389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1.88</w:t>
            </w:r>
          </w:p>
        </w:tc>
        <w:tc>
          <w:tcPr>
            <w:tcW w:w="1620" w:type="dxa"/>
            <w:vAlign w:val="bottom"/>
          </w:tcPr>
          <w:p w14:paraId="29F0B2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2017F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E8C5B6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14</w:t>
            </w:r>
          </w:p>
        </w:tc>
      </w:tr>
      <w:tr w:rsidR="000E5A0E" w:rsidRPr="009A2045" w14:paraId="7642BD15" w14:textId="77777777" w:rsidTr="0021000E">
        <w:trPr>
          <w:trHeight w:val="280"/>
        </w:trPr>
        <w:tc>
          <w:tcPr>
            <w:tcW w:w="2790" w:type="dxa"/>
            <w:vAlign w:val="bottom"/>
          </w:tcPr>
          <w:p w14:paraId="0D0DDE1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Kale</w:t>
            </w:r>
          </w:p>
        </w:tc>
        <w:tc>
          <w:tcPr>
            <w:tcW w:w="1800" w:type="dxa"/>
            <w:vAlign w:val="bottom"/>
          </w:tcPr>
          <w:p w14:paraId="680DDFD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750F98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788148E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2D744E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77B0A3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53A03E7B" w14:textId="77777777" w:rsidTr="0021000E">
        <w:trPr>
          <w:trHeight w:val="280"/>
        </w:trPr>
        <w:tc>
          <w:tcPr>
            <w:tcW w:w="2790" w:type="dxa"/>
            <w:vAlign w:val="bottom"/>
          </w:tcPr>
          <w:p w14:paraId="795CD32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Kohlrabi</w:t>
            </w:r>
          </w:p>
        </w:tc>
        <w:tc>
          <w:tcPr>
            <w:tcW w:w="1800" w:type="dxa"/>
            <w:vAlign w:val="bottom"/>
          </w:tcPr>
          <w:p w14:paraId="791E4B9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A4810B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9B6235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B7742F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950963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FA59B51" w14:textId="77777777" w:rsidTr="0021000E">
        <w:trPr>
          <w:trHeight w:val="280"/>
        </w:trPr>
        <w:tc>
          <w:tcPr>
            <w:tcW w:w="2790" w:type="dxa"/>
            <w:vAlign w:val="bottom"/>
          </w:tcPr>
          <w:p w14:paraId="4589E7D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Kumquat</w:t>
            </w:r>
          </w:p>
        </w:tc>
        <w:tc>
          <w:tcPr>
            <w:tcW w:w="1800" w:type="dxa"/>
            <w:vAlign w:val="bottom"/>
          </w:tcPr>
          <w:p w14:paraId="569050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972712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4.5</w:t>
            </w:r>
          </w:p>
        </w:tc>
        <w:tc>
          <w:tcPr>
            <w:tcW w:w="1620" w:type="dxa"/>
            <w:vAlign w:val="bottom"/>
          </w:tcPr>
          <w:p w14:paraId="366AD8C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C0A2EF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350" w:type="dxa"/>
            <w:vAlign w:val="bottom"/>
          </w:tcPr>
          <w:p w14:paraId="6DB8A52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30</w:t>
            </w:r>
          </w:p>
        </w:tc>
      </w:tr>
      <w:tr w:rsidR="000E5A0E" w:rsidRPr="009A2045" w14:paraId="7FC075E3" w14:textId="77777777" w:rsidTr="0021000E">
        <w:trPr>
          <w:trHeight w:val="280"/>
        </w:trPr>
        <w:tc>
          <w:tcPr>
            <w:tcW w:w="2790" w:type="dxa"/>
            <w:vAlign w:val="bottom"/>
          </w:tcPr>
          <w:p w14:paraId="6F4468E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Leek</w:t>
            </w:r>
          </w:p>
        </w:tc>
        <w:tc>
          <w:tcPr>
            <w:tcW w:w="1800" w:type="dxa"/>
            <w:vAlign w:val="bottom"/>
          </w:tcPr>
          <w:p w14:paraId="2E78ACF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690A47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5603866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0474D2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2A68563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934A689" w14:textId="77777777" w:rsidTr="0021000E">
        <w:trPr>
          <w:trHeight w:val="280"/>
        </w:trPr>
        <w:tc>
          <w:tcPr>
            <w:tcW w:w="2790" w:type="dxa"/>
            <w:vAlign w:val="bottom"/>
          </w:tcPr>
          <w:p w14:paraId="1577739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Lemons (FL only)</w:t>
            </w:r>
          </w:p>
        </w:tc>
        <w:tc>
          <w:tcPr>
            <w:tcW w:w="1800" w:type="dxa"/>
            <w:vAlign w:val="bottom"/>
          </w:tcPr>
          <w:p w14:paraId="229B021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FACCF3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4.5</w:t>
            </w:r>
          </w:p>
        </w:tc>
        <w:tc>
          <w:tcPr>
            <w:tcW w:w="1620" w:type="dxa"/>
            <w:vAlign w:val="bottom"/>
          </w:tcPr>
          <w:p w14:paraId="1396C2D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9BE1CC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350" w:type="dxa"/>
            <w:vAlign w:val="bottom"/>
          </w:tcPr>
          <w:p w14:paraId="2D62FA9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68504CCE" w14:textId="77777777" w:rsidTr="0021000E">
        <w:trPr>
          <w:trHeight w:val="280"/>
        </w:trPr>
        <w:tc>
          <w:tcPr>
            <w:tcW w:w="2790" w:type="dxa"/>
            <w:vAlign w:val="bottom"/>
          </w:tcPr>
          <w:p w14:paraId="03E59F4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Lettuce (head)</w:t>
            </w:r>
          </w:p>
        </w:tc>
        <w:tc>
          <w:tcPr>
            <w:tcW w:w="1800" w:type="dxa"/>
            <w:vAlign w:val="bottom"/>
          </w:tcPr>
          <w:p w14:paraId="1B1C218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13F6E3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1.88</w:t>
            </w:r>
          </w:p>
        </w:tc>
        <w:tc>
          <w:tcPr>
            <w:tcW w:w="1620" w:type="dxa"/>
            <w:vAlign w:val="bottom"/>
          </w:tcPr>
          <w:p w14:paraId="19733D7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5090A9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6E91ED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6</w:t>
            </w:r>
          </w:p>
        </w:tc>
      </w:tr>
      <w:tr w:rsidR="000E5A0E" w:rsidRPr="009A2045" w14:paraId="7893D4C7" w14:textId="77777777" w:rsidTr="0021000E">
        <w:trPr>
          <w:trHeight w:val="280"/>
        </w:trPr>
        <w:tc>
          <w:tcPr>
            <w:tcW w:w="2790" w:type="dxa"/>
            <w:vAlign w:val="bottom"/>
          </w:tcPr>
          <w:p w14:paraId="6B9F780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Lettuce (leaf)</w:t>
            </w:r>
          </w:p>
        </w:tc>
        <w:tc>
          <w:tcPr>
            <w:tcW w:w="1800" w:type="dxa"/>
            <w:vAlign w:val="bottom"/>
          </w:tcPr>
          <w:p w14:paraId="5FCD057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757FE3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1.88</w:t>
            </w:r>
          </w:p>
        </w:tc>
        <w:tc>
          <w:tcPr>
            <w:tcW w:w="1620" w:type="dxa"/>
            <w:vAlign w:val="bottom"/>
          </w:tcPr>
          <w:p w14:paraId="65C1AA6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1B3F4E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FC6616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031F794C" w14:textId="77777777" w:rsidTr="0021000E">
        <w:trPr>
          <w:trHeight w:val="280"/>
        </w:trPr>
        <w:tc>
          <w:tcPr>
            <w:tcW w:w="2790" w:type="dxa"/>
            <w:vAlign w:val="bottom"/>
          </w:tcPr>
          <w:p w14:paraId="5A56DC3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Mango</w:t>
            </w:r>
          </w:p>
        </w:tc>
        <w:tc>
          <w:tcPr>
            <w:tcW w:w="1800" w:type="dxa"/>
            <w:vAlign w:val="bottom"/>
          </w:tcPr>
          <w:p w14:paraId="514A0E0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10A092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0.9375</w:t>
            </w:r>
          </w:p>
        </w:tc>
        <w:tc>
          <w:tcPr>
            <w:tcW w:w="1620" w:type="dxa"/>
            <w:vAlign w:val="bottom"/>
          </w:tcPr>
          <w:p w14:paraId="190DDD6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3F2C5A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10</w:t>
            </w:r>
          </w:p>
        </w:tc>
        <w:tc>
          <w:tcPr>
            <w:tcW w:w="1350" w:type="dxa"/>
            <w:vAlign w:val="bottom"/>
          </w:tcPr>
          <w:p w14:paraId="539480D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52CE923" w14:textId="77777777" w:rsidTr="0021000E">
        <w:trPr>
          <w:trHeight w:val="280"/>
        </w:trPr>
        <w:tc>
          <w:tcPr>
            <w:tcW w:w="2790" w:type="dxa"/>
            <w:vAlign w:val="bottom"/>
          </w:tcPr>
          <w:p w14:paraId="697D0D2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Melons (other than watermelon)</w:t>
            </w:r>
          </w:p>
        </w:tc>
        <w:tc>
          <w:tcPr>
            <w:tcW w:w="1800" w:type="dxa"/>
            <w:vAlign w:val="bottom"/>
          </w:tcPr>
          <w:p w14:paraId="7D6DB7D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533299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6D0835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84A8A1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E9FD7F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6CD3960" w14:textId="77777777" w:rsidTr="0021000E">
        <w:trPr>
          <w:trHeight w:val="280"/>
        </w:trPr>
        <w:tc>
          <w:tcPr>
            <w:tcW w:w="2790" w:type="dxa"/>
            <w:vAlign w:val="bottom"/>
          </w:tcPr>
          <w:p w14:paraId="26F8A56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Mustard</w:t>
            </w:r>
          </w:p>
        </w:tc>
        <w:tc>
          <w:tcPr>
            <w:tcW w:w="1800" w:type="dxa"/>
            <w:vAlign w:val="bottom"/>
          </w:tcPr>
          <w:p w14:paraId="2BEF2BE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174069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2B2CFE1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81C4C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0BB919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208C8704" w14:textId="77777777" w:rsidTr="0021000E">
        <w:trPr>
          <w:trHeight w:val="280"/>
        </w:trPr>
        <w:tc>
          <w:tcPr>
            <w:tcW w:w="2790" w:type="dxa"/>
            <w:vAlign w:val="bottom"/>
          </w:tcPr>
          <w:p w14:paraId="6A1F0AE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Mustard greens</w:t>
            </w:r>
          </w:p>
        </w:tc>
        <w:tc>
          <w:tcPr>
            <w:tcW w:w="1800" w:type="dxa"/>
            <w:vAlign w:val="bottom"/>
          </w:tcPr>
          <w:p w14:paraId="43F19FB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7886BD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379D304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452F21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1D1DEFF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7BBA91B5" w14:textId="77777777" w:rsidTr="0021000E">
        <w:trPr>
          <w:trHeight w:val="280"/>
        </w:trPr>
        <w:tc>
          <w:tcPr>
            <w:tcW w:w="2790" w:type="dxa"/>
            <w:vAlign w:val="bottom"/>
          </w:tcPr>
          <w:p w14:paraId="4A247094"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Okra</w:t>
            </w:r>
          </w:p>
        </w:tc>
        <w:tc>
          <w:tcPr>
            <w:tcW w:w="1800" w:type="dxa"/>
            <w:vAlign w:val="bottom"/>
          </w:tcPr>
          <w:p w14:paraId="72FFCC9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A5862C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w:t>
            </w:r>
          </w:p>
        </w:tc>
        <w:tc>
          <w:tcPr>
            <w:tcW w:w="1620" w:type="dxa"/>
            <w:vAlign w:val="bottom"/>
          </w:tcPr>
          <w:p w14:paraId="0BD1F61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0DB622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B50F45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56BFC8B" w14:textId="77777777" w:rsidTr="0021000E">
        <w:trPr>
          <w:trHeight w:val="280"/>
        </w:trPr>
        <w:tc>
          <w:tcPr>
            <w:tcW w:w="2790" w:type="dxa"/>
            <w:vAlign w:val="bottom"/>
          </w:tcPr>
          <w:p w14:paraId="3F74C05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Onion (bulb and green)</w:t>
            </w:r>
          </w:p>
        </w:tc>
        <w:tc>
          <w:tcPr>
            <w:tcW w:w="1800" w:type="dxa"/>
            <w:vAlign w:val="bottom"/>
          </w:tcPr>
          <w:p w14:paraId="7D04BA7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3972BC7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01B56C5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80AEFA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69962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5F26BE6" w14:textId="77777777" w:rsidTr="0021000E">
        <w:trPr>
          <w:trHeight w:val="280"/>
        </w:trPr>
        <w:tc>
          <w:tcPr>
            <w:tcW w:w="2790" w:type="dxa"/>
            <w:vAlign w:val="bottom"/>
          </w:tcPr>
          <w:p w14:paraId="1AC4049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Ornamental and/or shade trees</w:t>
            </w:r>
          </w:p>
        </w:tc>
        <w:tc>
          <w:tcPr>
            <w:tcW w:w="1800" w:type="dxa"/>
            <w:vAlign w:val="bottom"/>
          </w:tcPr>
          <w:p w14:paraId="6CF1C3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11EB44CC" w14:textId="33982CA0" w:rsidR="000E5A0E" w:rsidRPr="009A2045" w:rsidRDefault="009A1CE1" w:rsidP="009A2045">
            <w:pPr>
              <w:jc w:val="center"/>
              <w:rPr>
                <w:rFonts w:asciiTheme="minorHAnsi" w:hAnsiTheme="minorHAnsi"/>
                <w:sz w:val="20"/>
                <w:szCs w:val="20"/>
                <w:vertAlign w:val="superscript"/>
              </w:rPr>
            </w:pPr>
            <w:r w:rsidRPr="009A2045">
              <w:rPr>
                <w:rFonts w:asciiTheme="minorHAnsi" w:hAnsiTheme="minorHAnsi"/>
                <w:sz w:val="20"/>
                <w:szCs w:val="20"/>
              </w:rPr>
              <w:t>NS</w:t>
            </w:r>
          </w:p>
        </w:tc>
        <w:tc>
          <w:tcPr>
            <w:tcW w:w="1620" w:type="dxa"/>
            <w:vAlign w:val="bottom"/>
          </w:tcPr>
          <w:p w14:paraId="09BAEDE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345555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5E7BAB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10</w:t>
            </w:r>
          </w:p>
        </w:tc>
      </w:tr>
      <w:tr w:rsidR="000E5A0E" w:rsidRPr="009A2045" w14:paraId="5D05AE45" w14:textId="77777777" w:rsidTr="0021000E">
        <w:trPr>
          <w:trHeight w:val="280"/>
        </w:trPr>
        <w:tc>
          <w:tcPr>
            <w:tcW w:w="2790" w:type="dxa"/>
            <w:vAlign w:val="bottom"/>
          </w:tcPr>
          <w:p w14:paraId="50222E9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Ornamental flowering plants</w:t>
            </w:r>
          </w:p>
        </w:tc>
        <w:tc>
          <w:tcPr>
            <w:tcW w:w="1800" w:type="dxa"/>
            <w:vAlign w:val="bottom"/>
          </w:tcPr>
          <w:p w14:paraId="4A62677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3C282FCD" w14:textId="13355151"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6CBE90B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5C2434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689CA8D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44C0A1F6" w14:textId="77777777" w:rsidTr="0021000E">
        <w:trPr>
          <w:trHeight w:val="280"/>
        </w:trPr>
        <w:tc>
          <w:tcPr>
            <w:tcW w:w="2790" w:type="dxa"/>
            <w:vAlign w:val="bottom"/>
          </w:tcPr>
          <w:p w14:paraId="3DFB846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Ornamental flowers and bushes</w:t>
            </w:r>
          </w:p>
        </w:tc>
        <w:tc>
          <w:tcPr>
            <w:tcW w:w="1800" w:type="dxa"/>
            <w:vAlign w:val="bottom"/>
          </w:tcPr>
          <w:p w14:paraId="751430F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22A899F4" w14:textId="694EE85E"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3926EE1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589015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1405FCD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69A60BBB" w14:textId="77777777" w:rsidTr="0021000E">
        <w:trPr>
          <w:trHeight w:val="280"/>
        </w:trPr>
        <w:tc>
          <w:tcPr>
            <w:tcW w:w="2790" w:type="dxa"/>
            <w:vAlign w:val="bottom"/>
          </w:tcPr>
          <w:p w14:paraId="2D12318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Ornamental herbaceous plants</w:t>
            </w:r>
          </w:p>
        </w:tc>
        <w:tc>
          <w:tcPr>
            <w:tcW w:w="1800" w:type="dxa"/>
            <w:vAlign w:val="bottom"/>
          </w:tcPr>
          <w:p w14:paraId="2E022B9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244EC76D" w14:textId="1F254B4F" w:rsidR="000E5A0E" w:rsidRPr="009A2045" w:rsidRDefault="00D63E1A" w:rsidP="009A2045">
            <w:pPr>
              <w:jc w:val="center"/>
              <w:rPr>
                <w:rFonts w:asciiTheme="minorHAnsi" w:hAnsiTheme="minorHAnsi"/>
                <w:sz w:val="20"/>
                <w:szCs w:val="20"/>
                <w:vertAlign w:val="superscript"/>
              </w:rPr>
            </w:pPr>
            <w:r w:rsidRPr="009A2045">
              <w:rPr>
                <w:rFonts w:asciiTheme="minorHAnsi" w:hAnsiTheme="minorHAnsi"/>
                <w:sz w:val="20"/>
                <w:szCs w:val="20"/>
              </w:rPr>
              <w:t>NS</w:t>
            </w:r>
            <w:r w:rsidR="009A1CE1" w:rsidRPr="009A2045">
              <w:rPr>
                <w:rFonts w:asciiTheme="minorHAnsi" w:hAnsiTheme="minorHAnsi"/>
                <w:sz w:val="20"/>
                <w:szCs w:val="20"/>
                <w:vertAlign w:val="superscript"/>
              </w:rPr>
              <w:t>3</w:t>
            </w:r>
          </w:p>
        </w:tc>
        <w:tc>
          <w:tcPr>
            <w:tcW w:w="1620" w:type="dxa"/>
            <w:vAlign w:val="bottom"/>
          </w:tcPr>
          <w:p w14:paraId="7D456155" w14:textId="6FF4C5D9" w:rsidR="000E5A0E" w:rsidRPr="009A2045" w:rsidRDefault="009A1CE1" w:rsidP="009A2045">
            <w:pPr>
              <w:jc w:val="center"/>
              <w:rPr>
                <w:rFonts w:asciiTheme="minorHAnsi" w:hAnsiTheme="minorHAnsi"/>
                <w:sz w:val="20"/>
                <w:szCs w:val="20"/>
              </w:rPr>
            </w:pPr>
            <w:r w:rsidRPr="009A2045">
              <w:rPr>
                <w:rFonts w:asciiTheme="minorHAnsi" w:hAnsiTheme="minorHAnsi"/>
                <w:sz w:val="20"/>
                <w:szCs w:val="20"/>
              </w:rPr>
              <w:t>2</w:t>
            </w:r>
          </w:p>
        </w:tc>
        <w:tc>
          <w:tcPr>
            <w:tcW w:w="1440" w:type="dxa"/>
            <w:vAlign w:val="bottom"/>
          </w:tcPr>
          <w:p w14:paraId="69B3F7A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831CD8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40063F84" w14:textId="77777777" w:rsidTr="0021000E">
        <w:trPr>
          <w:trHeight w:val="280"/>
        </w:trPr>
        <w:tc>
          <w:tcPr>
            <w:tcW w:w="2790" w:type="dxa"/>
            <w:vAlign w:val="bottom"/>
          </w:tcPr>
          <w:p w14:paraId="221CE96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Ornamental non-flowering plants</w:t>
            </w:r>
          </w:p>
        </w:tc>
        <w:tc>
          <w:tcPr>
            <w:tcW w:w="1800" w:type="dxa"/>
            <w:vAlign w:val="bottom"/>
          </w:tcPr>
          <w:p w14:paraId="4A33513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2DC060CF" w14:textId="0A17C9E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r w:rsidR="009A1CE1" w:rsidRPr="009A2045">
              <w:rPr>
                <w:rFonts w:asciiTheme="minorHAnsi" w:hAnsiTheme="minorHAnsi"/>
                <w:sz w:val="20"/>
                <w:szCs w:val="20"/>
                <w:vertAlign w:val="superscript"/>
              </w:rPr>
              <w:t>3</w:t>
            </w:r>
          </w:p>
        </w:tc>
        <w:tc>
          <w:tcPr>
            <w:tcW w:w="1620" w:type="dxa"/>
            <w:vAlign w:val="bottom"/>
          </w:tcPr>
          <w:p w14:paraId="484EC243" w14:textId="1C56F9DD" w:rsidR="000E5A0E" w:rsidRPr="009A2045" w:rsidRDefault="009A1CE1" w:rsidP="009A2045">
            <w:pPr>
              <w:jc w:val="center"/>
              <w:rPr>
                <w:rFonts w:asciiTheme="minorHAnsi" w:hAnsiTheme="minorHAnsi"/>
                <w:sz w:val="20"/>
                <w:szCs w:val="20"/>
              </w:rPr>
            </w:pPr>
            <w:r w:rsidRPr="009A2045">
              <w:rPr>
                <w:rFonts w:asciiTheme="minorHAnsi" w:hAnsiTheme="minorHAnsi"/>
                <w:sz w:val="20"/>
                <w:szCs w:val="20"/>
              </w:rPr>
              <w:t>2</w:t>
            </w:r>
          </w:p>
        </w:tc>
        <w:tc>
          <w:tcPr>
            <w:tcW w:w="1440" w:type="dxa"/>
            <w:vAlign w:val="bottom"/>
          </w:tcPr>
          <w:p w14:paraId="107F4EB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EFCB70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68EAD75B" w14:textId="77777777" w:rsidTr="0021000E">
        <w:trPr>
          <w:trHeight w:val="280"/>
        </w:trPr>
        <w:tc>
          <w:tcPr>
            <w:tcW w:w="2790" w:type="dxa"/>
            <w:vAlign w:val="bottom"/>
          </w:tcPr>
          <w:p w14:paraId="4ABF78C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Ornamental woody shrubs and vines</w:t>
            </w:r>
          </w:p>
        </w:tc>
        <w:tc>
          <w:tcPr>
            <w:tcW w:w="1800" w:type="dxa"/>
            <w:vAlign w:val="bottom"/>
          </w:tcPr>
          <w:p w14:paraId="2E8A461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09B080C2" w14:textId="4DA94CCD"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r w:rsidR="009A1CE1" w:rsidRPr="009A2045">
              <w:rPr>
                <w:rFonts w:asciiTheme="minorHAnsi" w:hAnsiTheme="minorHAnsi"/>
                <w:sz w:val="20"/>
                <w:szCs w:val="20"/>
                <w:vertAlign w:val="superscript"/>
              </w:rPr>
              <w:t>3</w:t>
            </w:r>
          </w:p>
        </w:tc>
        <w:tc>
          <w:tcPr>
            <w:tcW w:w="1620" w:type="dxa"/>
            <w:vAlign w:val="bottom"/>
          </w:tcPr>
          <w:p w14:paraId="53484B1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776CA6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33F27E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13ABFF3B" w14:textId="77777777" w:rsidTr="0021000E">
        <w:trPr>
          <w:trHeight w:val="280"/>
        </w:trPr>
        <w:tc>
          <w:tcPr>
            <w:tcW w:w="2790" w:type="dxa"/>
            <w:vAlign w:val="bottom"/>
          </w:tcPr>
          <w:p w14:paraId="1454A35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Ornamentals (trees, shrubs, flowers)</w:t>
            </w:r>
          </w:p>
        </w:tc>
        <w:tc>
          <w:tcPr>
            <w:tcW w:w="1800" w:type="dxa"/>
            <w:vAlign w:val="bottom"/>
          </w:tcPr>
          <w:p w14:paraId="0E0BF07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7B13E7B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45ADD21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862930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8AE597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7D795E20" w14:textId="77777777" w:rsidTr="0021000E">
        <w:trPr>
          <w:trHeight w:val="280"/>
        </w:trPr>
        <w:tc>
          <w:tcPr>
            <w:tcW w:w="2790" w:type="dxa"/>
            <w:vAlign w:val="bottom"/>
          </w:tcPr>
          <w:p w14:paraId="486B46B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Ornamentals, all</w:t>
            </w:r>
          </w:p>
        </w:tc>
        <w:tc>
          <w:tcPr>
            <w:tcW w:w="1800" w:type="dxa"/>
            <w:vAlign w:val="bottom"/>
          </w:tcPr>
          <w:p w14:paraId="56848A8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35C287A0" w14:textId="04AE1A91"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02D9DC4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AE4000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17E313C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5BAC9421" w14:textId="77777777" w:rsidTr="0021000E">
        <w:trPr>
          <w:trHeight w:val="280"/>
        </w:trPr>
        <w:tc>
          <w:tcPr>
            <w:tcW w:w="2790" w:type="dxa"/>
            <w:vAlign w:val="bottom"/>
          </w:tcPr>
          <w:p w14:paraId="341CE65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Outdoor insects</w:t>
            </w:r>
          </w:p>
        </w:tc>
        <w:tc>
          <w:tcPr>
            <w:tcW w:w="1800" w:type="dxa"/>
            <w:vAlign w:val="bottom"/>
          </w:tcPr>
          <w:p w14:paraId="53BE57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483466C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1D58798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639F1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7FB385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13C2E278" w14:textId="77777777" w:rsidTr="0021000E">
        <w:trPr>
          <w:trHeight w:val="280"/>
        </w:trPr>
        <w:tc>
          <w:tcPr>
            <w:tcW w:w="2790" w:type="dxa"/>
            <w:vAlign w:val="bottom"/>
          </w:tcPr>
          <w:p w14:paraId="06BB96E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Outdoor ornamentals</w:t>
            </w:r>
          </w:p>
        </w:tc>
        <w:tc>
          <w:tcPr>
            <w:tcW w:w="1800" w:type="dxa"/>
            <w:vAlign w:val="bottom"/>
          </w:tcPr>
          <w:p w14:paraId="6597BD8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094EE00E" w14:textId="6AC9B218" w:rsidR="000E5A0E" w:rsidRPr="009A2045" w:rsidRDefault="00D63E1A" w:rsidP="009A2045">
            <w:pPr>
              <w:jc w:val="center"/>
              <w:rPr>
                <w:rFonts w:asciiTheme="minorHAnsi" w:hAnsiTheme="minorHAnsi"/>
                <w:sz w:val="20"/>
                <w:szCs w:val="20"/>
                <w:vertAlign w:val="superscript"/>
              </w:rPr>
            </w:pPr>
            <w:r w:rsidRPr="009A2045">
              <w:rPr>
                <w:rFonts w:asciiTheme="minorHAnsi" w:hAnsiTheme="minorHAnsi"/>
                <w:sz w:val="20"/>
                <w:szCs w:val="20"/>
              </w:rPr>
              <w:t>NS</w:t>
            </w:r>
            <w:r w:rsidR="00CC26F3" w:rsidRPr="009A2045">
              <w:rPr>
                <w:rFonts w:asciiTheme="minorHAnsi" w:hAnsiTheme="minorHAnsi"/>
                <w:sz w:val="20"/>
                <w:szCs w:val="20"/>
                <w:vertAlign w:val="superscript"/>
              </w:rPr>
              <w:t>4</w:t>
            </w:r>
          </w:p>
        </w:tc>
        <w:tc>
          <w:tcPr>
            <w:tcW w:w="1620" w:type="dxa"/>
            <w:vAlign w:val="bottom"/>
          </w:tcPr>
          <w:p w14:paraId="31F61DCD" w14:textId="4FBC59A4" w:rsidR="000E5A0E" w:rsidRPr="009A2045" w:rsidRDefault="00CC26F3" w:rsidP="009A2045">
            <w:pPr>
              <w:jc w:val="center"/>
              <w:rPr>
                <w:rFonts w:asciiTheme="minorHAnsi" w:hAnsiTheme="minorHAnsi"/>
                <w:sz w:val="20"/>
                <w:szCs w:val="20"/>
              </w:rPr>
            </w:pPr>
            <w:r w:rsidRPr="009A2045">
              <w:rPr>
                <w:rFonts w:asciiTheme="minorHAnsi" w:hAnsiTheme="minorHAnsi"/>
                <w:sz w:val="20"/>
                <w:szCs w:val="20"/>
              </w:rPr>
              <w:t>6</w:t>
            </w:r>
          </w:p>
        </w:tc>
        <w:tc>
          <w:tcPr>
            <w:tcW w:w="1440" w:type="dxa"/>
            <w:vAlign w:val="bottom"/>
          </w:tcPr>
          <w:p w14:paraId="49E21B76" w14:textId="07C7D7ED" w:rsidR="000E5A0E" w:rsidRPr="009A2045" w:rsidRDefault="00CC26F3" w:rsidP="009A2045">
            <w:pPr>
              <w:jc w:val="center"/>
              <w:rPr>
                <w:rFonts w:asciiTheme="minorHAnsi" w:hAnsiTheme="minorHAnsi"/>
                <w:sz w:val="20"/>
                <w:szCs w:val="20"/>
              </w:rPr>
            </w:pPr>
            <w:r w:rsidRPr="009A2045">
              <w:rPr>
                <w:rFonts w:asciiTheme="minorHAnsi" w:hAnsiTheme="minorHAnsi"/>
                <w:sz w:val="20"/>
                <w:szCs w:val="20"/>
              </w:rPr>
              <w:t>7</w:t>
            </w:r>
          </w:p>
        </w:tc>
        <w:tc>
          <w:tcPr>
            <w:tcW w:w="1350" w:type="dxa"/>
            <w:vAlign w:val="bottom"/>
          </w:tcPr>
          <w:p w14:paraId="02445D7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1486FFF8" w14:textId="77777777" w:rsidTr="0021000E">
        <w:trPr>
          <w:trHeight w:val="280"/>
        </w:trPr>
        <w:tc>
          <w:tcPr>
            <w:tcW w:w="2790" w:type="dxa"/>
            <w:vAlign w:val="bottom"/>
          </w:tcPr>
          <w:p w14:paraId="3676E49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Outdoor residential (mosquitoes, other nuisance insects)</w:t>
            </w:r>
          </w:p>
        </w:tc>
        <w:tc>
          <w:tcPr>
            <w:tcW w:w="1800" w:type="dxa"/>
            <w:vAlign w:val="bottom"/>
          </w:tcPr>
          <w:p w14:paraId="0A2B90C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445CFC2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3E432FC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28DA31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EB5839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287EA6D6" w14:textId="77777777" w:rsidTr="0021000E">
        <w:trPr>
          <w:trHeight w:val="280"/>
        </w:trPr>
        <w:tc>
          <w:tcPr>
            <w:tcW w:w="2790" w:type="dxa"/>
            <w:vAlign w:val="bottom"/>
          </w:tcPr>
          <w:p w14:paraId="1A16902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Outdoor residential areas</w:t>
            </w:r>
          </w:p>
        </w:tc>
        <w:tc>
          <w:tcPr>
            <w:tcW w:w="1800" w:type="dxa"/>
            <w:vAlign w:val="bottom"/>
          </w:tcPr>
          <w:p w14:paraId="6EA517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Ground/Spot Treatment</w:t>
            </w:r>
          </w:p>
        </w:tc>
        <w:tc>
          <w:tcPr>
            <w:tcW w:w="1440" w:type="dxa"/>
            <w:vAlign w:val="bottom"/>
          </w:tcPr>
          <w:p w14:paraId="4E8F52C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6B66F8B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85FE08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134FA9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3BA10080" w14:textId="77777777" w:rsidTr="0021000E">
        <w:trPr>
          <w:trHeight w:val="280"/>
        </w:trPr>
        <w:tc>
          <w:tcPr>
            <w:tcW w:w="2790" w:type="dxa"/>
            <w:vAlign w:val="bottom"/>
          </w:tcPr>
          <w:p w14:paraId="1DD31EC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Outdoor treatment, general (flies, mosquitoes, etc)</w:t>
            </w:r>
          </w:p>
        </w:tc>
        <w:tc>
          <w:tcPr>
            <w:tcW w:w="1800" w:type="dxa"/>
            <w:vAlign w:val="bottom"/>
          </w:tcPr>
          <w:p w14:paraId="474FC91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AE2AF0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0.125</w:t>
            </w:r>
          </w:p>
        </w:tc>
        <w:tc>
          <w:tcPr>
            <w:tcW w:w="1620" w:type="dxa"/>
            <w:vAlign w:val="bottom"/>
          </w:tcPr>
          <w:p w14:paraId="45609AE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624163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1761F7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5588968A" w14:textId="77777777" w:rsidTr="0021000E">
        <w:trPr>
          <w:trHeight w:val="280"/>
        </w:trPr>
        <w:tc>
          <w:tcPr>
            <w:tcW w:w="2790" w:type="dxa"/>
            <w:vAlign w:val="bottom"/>
          </w:tcPr>
          <w:p w14:paraId="2A9D0F2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Parsley</w:t>
            </w:r>
          </w:p>
        </w:tc>
        <w:tc>
          <w:tcPr>
            <w:tcW w:w="1800" w:type="dxa"/>
            <w:vAlign w:val="bottom"/>
          </w:tcPr>
          <w:p w14:paraId="665B578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938F83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7997DFB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26FAD4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21585A3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7FDA8058" w14:textId="77777777" w:rsidTr="0021000E">
        <w:trPr>
          <w:trHeight w:val="280"/>
        </w:trPr>
        <w:tc>
          <w:tcPr>
            <w:tcW w:w="2790" w:type="dxa"/>
            <w:vAlign w:val="bottom"/>
          </w:tcPr>
          <w:p w14:paraId="7404015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Peaches</w:t>
            </w:r>
          </w:p>
        </w:tc>
        <w:tc>
          <w:tcPr>
            <w:tcW w:w="1800" w:type="dxa"/>
            <w:vAlign w:val="bottom"/>
          </w:tcPr>
          <w:p w14:paraId="58B3BB2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021F6D2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620" w:type="dxa"/>
            <w:vAlign w:val="bottom"/>
          </w:tcPr>
          <w:p w14:paraId="0AAB74E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EB0351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8F23B5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11</w:t>
            </w:r>
          </w:p>
        </w:tc>
      </w:tr>
      <w:tr w:rsidR="000E5A0E" w:rsidRPr="009A2045" w14:paraId="22C8ECCF" w14:textId="77777777" w:rsidTr="0021000E">
        <w:trPr>
          <w:trHeight w:val="280"/>
        </w:trPr>
        <w:tc>
          <w:tcPr>
            <w:tcW w:w="2790" w:type="dxa"/>
            <w:vAlign w:val="bottom"/>
          </w:tcPr>
          <w:p w14:paraId="7C7A9BC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Pears</w:t>
            </w:r>
          </w:p>
        </w:tc>
        <w:tc>
          <w:tcPr>
            <w:tcW w:w="1800" w:type="dxa"/>
            <w:vAlign w:val="bottom"/>
          </w:tcPr>
          <w:p w14:paraId="06B77CE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483FB91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FAD1F1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F8DBC5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B7F6EC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0544E48" w14:textId="77777777" w:rsidTr="0021000E">
        <w:trPr>
          <w:trHeight w:val="280"/>
        </w:trPr>
        <w:tc>
          <w:tcPr>
            <w:tcW w:w="2790" w:type="dxa"/>
            <w:vAlign w:val="bottom"/>
          </w:tcPr>
          <w:p w14:paraId="11317CF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Peas</w:t>
            </w:r>
          </w:p>
        </w:tc>
        <w:tc>
          <w:tcPr>
            <w:tcW w:w="1800" w:type="dxa"/>
            <w:vAlign w:val="bottom"/>
          </w:tcPr>
          <w:p w14:paraId="3294F42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767CB9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3F9717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3838CE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8C107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AC7EA6F" w14:textId="77777777" w:rsidTr="0021000E">
        <w:trPr>
          <w:trHeight w:val="280"/>
        </w:trPr>
        <w:tc>
          <w:tcPr>
            <w:tcW w:w="2790" w:type="dxa"/>
            <w:vAlign w:val="bottom"/>
          </w:tcPr>
          <w:p w14:paraId="1D4C1D1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Pecans</w:t>
            </w:r>
          </w:p>
        </w:tc>
        <w:tc>
          <w:tcPr>
            <w:tcW w:w="1800" w:type="dxa"/>
            <w:vAlign w:val="bottom"/>
          </w:tcPr>
          <w:p w14:paraId="0C03C0C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0707ADE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2.5</w:t>
            </w:r>
          </w:p>
        </w:tc>
        <w:tc>
          <w:tcPr>
            <w:tcW w:w="1620" w:type="dxa"/>
            <w:vAlign w:val="bottom"/>
          </w:tcPr>
          <w:p w14:paraId="4CA7F47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25AB99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D8DFA4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55E3ED3" w14:textId="77777777" w:rsidTr="0021000E">
        <w:trPr>
          <w:trHeight w:val="280"/>
        </w:trPr>
        <w:tc>
          <w:tcPr>
            <w:tcW w:w="2790" w:type="dxa"/>
            <w:vAlign w:val="bottom"/>
          </w:tcPr>
          <w:p w14:paraId="4279805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Peppers</w:t>
            </w:r>
          </w:p>
        </w:tc>
        <w:tc>
          <w:tcPr>
            <w:tcW w:w="1800" w:type="dxa"/>
            <w:vAlign w:val="bottom"/>
          </w:tcPr>
          <w:p w14:paraId="4A3D3F2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AAD9CA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6160984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1BF9AB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E9E2E2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248C3E50" w14:textId="77777777" w:rsidTr="0021000E">
        <w:trPr>
          <w:trHeight w:val="280"/>
        </w:trPr>
        <w:tc>
          <w:tcPr>
            <w:tcW w:w="2790" w:type="dxa"/>
            <w:vAlign w:val="bottom"/>
          </w:tcPr>
          <w:p w14:paraId="1B9D13A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Potatoes</w:t>
            </w:r>
          </w:p>
        </w:tc>
        <w:tc>
          <w:tcPr>
            <w:tcW w:w="1800" w:type="dxa"/>
            <w:vAlign w:val="bottom"/>
          </w:tcPr>
          <w:p w14:paraId="740694F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3B8E08F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52FAFD5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1D4E37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F28352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11B6F9A" w14:textId="77777777" w:rsidTr="0021000E">
        <w:trPr>
          <w:trHeight w:val="280"/>
        </w:trPr>
        <w:tc>
          <w:tcPr>
            <w:tcW w:w="2790" w:type="dxa"/>
            <w:vAlign w:val="bottom"/>
          </w:tcPr>
          <w:p w14:paraId="333F5A6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Pumpkins</w:t>
            </w:r>
          </w:p>
        </w:tc>
        <w:tc>
          <w:tcPr>
            <w:tcW w:w="1800" w:type="dxa"/>
            <w:vAlign w:val="bottom"/>
          </w:tcPr>
          <w:p w14:paraId="207CFFD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67062D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508D2D6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314552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E14DAD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1B11E2F" w14:textId="77777777" w:rsidTr="0021000E">
        <w:trPr>
          <w:trHeight w:val="280"/>
        </w:trPr>
        <w:tc>
          <w:tcPr>
            <w:tcW w:w="2790" w:type="dxa"/>
            <w:vAlign w:val="bottom"/>
          </w:tcPr>
          <w:p w14:paraId="64951B1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Radish</w:t>
            </w:r>
          </w:p>
        </w:tc>
        <w:tc>
          <w:tcPr>
            <w:tcW w:w="1800" w:type="dxa"/>
            <w:vAlign w:val="bottom"/>
          </w:tcPr>
          <w:p w14:paraId="473D51B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675C0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3E6DF18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AD7E73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67CD152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2F143BB" w14:textId="77777777" w:rsidTr="0021000E">
        <w:trPr>
          <w:trHeight w:val="280"/>
        </w:trPr>
        <w:tc>
          <w:tcPr>
            <w:tcW w:w="2790" w:type="dxa"/>
            <w:vAlign w:val="bottom"/>
          </w:tcPr>
          <w:p w14:paraId="42DFC09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Rice</w:t>
            </w:r>
          </w:p>
        </w:tc>
        <w:tc>
          <w:tcPr>
            <w:tcW w:w="1800" w:type="dxa"/>
            <w:vAlign w:val="bottom"/>
          </w:tcPr>
          <w:p w14:paraId="1CEB968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4FA8B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6ACDC63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33904D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6D7A969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80ED1B5" w14:textId="77777777" w:rsidTr="0021000E">
        <w:trPr>
          <w:trHeight w:val="280"/>
        </w:trPr>
        <w:tc>
          <w:tcPr>
            <w:tcW w:w="2790" w:type="dxa"/>
            <w:vAlign w:val="bottom"/>
          </w:tcPr>
          <w:p w14:paraId="4CC01B0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Rutabagas</w:t>
            </w:r>
          </w:p>
        </w:tc>
        <w:tc>
          <w:tcPr>
            <w:tcW w:w="1800" w:type="dxa"/>
            <w:vAlign w:val="bottom"/>
          </w:tcPr>
          <w:p w14:paraId="00DA8B7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B24B0C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299F127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693754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2072B2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728CC5E" w14:textId="77777777" w:rsidTr="0021000E">
        <w:trPr>
          <w:trHeight w:val="280"/>
        </w:trPr>
        <w:tc>
          <w:tcPr>
            <w:tcW w:w="2790" w:type="dxa"/>
            <w:vAlign w:val="bottom"/>
          </w:tcPr>
          <w:p w14:paraId="0B8FC72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Shallot</w:t>
            </w:r>
          </w:p>
        </w:tc>
        <w:tc>
          <w:tcPr>
            <w:tcW w:w="1800" w:type="dxa"/>
            <w:vAlign w:val="bottom"/>
          </w:tcPr>
          <w:p w14:paraId="25D6DD3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3EF1182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4237E76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5B561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A764B0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11B1ACE" w14:textId="77777777" w:rsidTr="0021000E">
        <w:trPr>
          <w:trHeight w:val="280"/>
        </w:trPr>
        <w:tc>
          <w:tcPr>
            <w:tcW w:w="2790" w:type="dxa"/>
            <w:vAlign w:val="bottom"/>
          </w:tcPr>
          <w:p w14:paraId="33350BE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Spinach</w:t>
            </w:r>
          </w:p>
        </w:tc>
        <w:tc>
          <w:tcPr>
            <w:tcW w:w="1800" w:type="dxa"/>
            <w:vAlign w:val="bottom"/>
          </w:tcPr>
          <w:p w14:paraId="1516DAB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28D155A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1CECF5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5F50BE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4D5975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E467A71" w14:textId="77777777" w:rsidTr="0021000E">
        <w:trPr>
          <w:trHeight w:val="280"/>
        </w:trPr>
        <w:tc>
          <w:tcPr>
            <w:tcW w:w="2790" w:type="dxa"/>
            <w:vAlign w:val="bottom"/>
          </w:tcPr>
          <w:p w14:paraId="27E0078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Squash, summer</w:t>
            </w:r>
          </w:p>
        </w:tc>
        <w:tc>
          <w:tcPr>
            <w:tcW w:w="1800" w:type="dxa"/>
            <w:vAlign w:val="bottom"/>
          </w:tcPr>
          <w:p w14:paraId="588DDD2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56AC8F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1.75</w:t>
            </w:r>
          </w:p>
        </w:tc>
        <w:tc>
          <w:tcPr>
            <w:tcW w:w="1620" w:type="dxa"/>
            <w:vAlign w:val="bottom"/>
          </w:tcPr>
          <w:p w14:paraId="7CAD49E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EF830E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277F03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DA93530" w14:textId="77777777" w:rsidTr="0021000E">
        <w:trPr>
          <w:trHeight w:val="280"/>
        </w:trPr>
        <w:tc>
          <w:tcPr>
            <w:tcW w:w="2790" w:type="dxa"/>
            <w:vAlign w:val="bottom"/>
          </w:tcPr>
          <w:p w14:paraId="30D4177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Squash, winter</w:t>
            </w:r>
          </w:p>
        </w:tc>
        <w:tc>
          <w:tcPr>
            <w:tcW w:w="1800" w:type="dxa"/>
            <w:vAlign w:val="bottom"/>
          </w:tcPr>
          <w:p w14:paraId="5394347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7ACF6E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18978B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1E94C0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E16042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9E7AAE0" w14:textId="77777777" w:rsidTr="0021000E">
        <w:trPr>
          <w:trHeight w:val="280"/>
        </w:trPr>
        <w:tc>
          <w:tcPr>
            <w:tcW w:w="2790" w:type="dxa"/>
            <w:vAlign w:val="bottom"/>
          </w:tcPr>
          <w:p w14:paraId="4F6A4C2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Strawberry</w:t>
            </w:r>
          </w:p>
        </w:tc>
        <w:tc>
          <w:tcPr>
            <w:tcW w:w="1800" w:type="dxa"/>
            <w:vAlign w:val="bottom"/>
          </w:tcPr>
          <w:p w14:paraId="3BF751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A0707D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620" w:type="dxa"/>
            <w:vAlign w:val="bottom"/>
          </w:tcPr>
          <w:p w14:paraId="1AC4909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1EB76E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13E30E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3D0BAC5" w14:textId="77777777" w:rsidTr="0021000E">
        <w:trPr>
          <w:trHeight w:val="280"/>
        </w:trPr>
        <w:tc>
          <w:tcPr>
            <w:tcW w:w="2790" w:type="dxa"/>
            <w:vAlign w:val="bottom"/>
          </w:tcPr>
          <w:p w14:paraId="17931564"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Sweet potatoes</w:t>
            </w:r>
          </w:p>
        </w:tc>
        <w:tc>
          <w:tcPr>
            <w:tcW w:w="1800" w:type="dxa"/>
            <w:vAlign w:val="bottom"/>
          </w:tcPr>
          <w:p w14:paraId="00A851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4561ED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06E9753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541DD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0AE3E4E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8003444" w14:textId="77777777" w:rsidTr="0021000E">
        <w:trPr>
          <w:trHeight w:val="280"/>
        </w:trPr>
        <w:tc>
          <w:tcPr>
            <w:tcW w:w="2790" w:type="dxa"/>
            <w:vAlign w:val="bottom"/>
          </w:tcPr>
          <w:p w14:paraId="5999FD6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Swiss chard</w:t>
            </w:r>
          </w:p>
        </w:tc>
        <w:tc>
          <w:tcPr>
            <w:tcW w:w="1800" w:type="dxa"/>
            <w:vAlign w:val="bottom"/>
          </w:tcPr>
          <w:p w14:paraId="039ADFC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67870E0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332531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CA9D7A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1AC2A35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EB92A3A" w14:textId="77777777" w:rsidTr="0021000E">
        <w:trPr>
          <w:trHeight w:val="280"/>
        </w:trPr>
        <w:tc>
          <w:tcPr>
            <w:tcW w:w="2790" w:type="dxa"/>
            <w:vAlign w:val="bottom"/>
          </w:tcPr>
          <w:p w14:paraId="7AE1E65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Tomatoes</w:t>
            </w:r>
          </w:p>
        </w:tc>
        <w:tc>
          <w:tcPr>
            <w:tcW w:w="1800" w:type="dxa"/>
            <w:vAlign w:val="bottom"/>
          </w:tcPr>
          <w:p w14:paraId="474FCA4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B0F610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7809361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46CB1D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28EFB32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49417329" w14:textId="77777777" w:rsidTr="0021000E">
        <w:trPr>
          <w:trHeight w:val="280"/>
        </w:trPr>
        <w:tc>
          <w:tcPr>
            <w:tcW w:w="2790" w:type="dxa"/>
            <w:vAlign w:val="bottom"/>
          </w:tcPr>
          <w:p w14:paraId="7095AFF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Turnips (greens)</w:t>
            </w:r>
          </w:p>
        </w:tc>
        <w:tc>
          <w:tcPr>
            <w:tcW w:w="1800" w:type="dxa"/>
            <w:vAlign w:val="bottom"/>
          </w:tcPr>
          <w:p w14:paraId="398D4A3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C65CB0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682A55E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B2D9B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FB8A29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0462869F" w14:textId="77777777" w:rsidTr="0021000E">
        <w:trPr>
          <w:trHeight w:val="280"/>
        </w:trPr>
        <w:tc>
          <w:tcPr>
            <w:tcW w:w="2790" w:type="dxa"/>
            <w:vAlign w:val="bottom"/>
          </w:tcPr>
          <w:p w14:paraId="6EEBC79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Turnips (roots)</w:t>
            </w:r>
          </w:p>
        </w:tc>
        <w:tc>
          <w:tcPr>
            <w:tcW w:w="1800" w:type="dxa"/>
            <w:vAlign w:val="bottom"/>
          </w:tcPr>
          <w:p w14:paraId="66556BB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612F0D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FADAD3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4DAD37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69EEACA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BF780ED" w14:textId="77777777" w:rsidTr="0021000E">
        <w:trPr>
          <w:trHeight w:val="280"/>
        </w:trPr>
        <w:tc>
          <w:tcPr>
            <w:tcW w:w="2790" w:type="dxa"/>
            <w:vAlign w:val="bottom"/>
          </w:tcPr>
          <w:p w14:paraId="52D3303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Watercress</w:t>
            </w:r>
          </w:p>
        </w:tc>
        <w:tc>
          <w:tcPr>
            <w:tcW w:w="1800" w:type="dxa"/>
            <w:vAlign w:val="bottom"/>
          </w:tcPr>
          <w:p w14:paraId="0AED9F8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90CAC1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632F03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B35F2C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c>
          <w:tcPr>
            <w:tcW w:w="1350" w:type="dxa"/>
            <w:vAlign w:val="bottom"/>
          </w:tcPr>
          <w:p w14:paraId="5FAF87B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r>
      <w:tr w:rsidR="000E5A0E" w:rsidRPr="009A2045" w14:paraId="166D2341" w14:textId="77777777" w:rsidTr="0021000E">
        <w:trPr>
          <w:trHeight w:val="280"/>
        </w:trPr>
        <w:tc>
          <w:tcPr>
            <w:tcW w:w="2790" w:type="dxa"/>
            <w:vAlign w:val="bottom"/>
          </w:tcPr>
          <w:p w14:paraId="1119FC7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Watermelons</w:t>
            </w:r>
          </w:p>
        </w:tc>
        <w:tc>
          <w:tcPr>
            <w:tcW w:w="1800" w:type="dxa"/>
            <w:vAlign w:val="bottom"/>
          </w:tcPr>
          <w:p w14:paraId="2CF5FD6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7406178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28C2679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50D174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224399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bl>
    <w:p w14:paraId="305A0298" w14:textId="77777777" w:rsidR="00A51253" w:rsidRPr="009A2045" w:rsidRDefault="00A51253" w:rsidP="009A2045">
      <w:pPr>
        <w:keepNext/>
        <w:keepLines/>
        <w:spacing w:after="0" w:line="240" w:lineRule="auto"/>
      </w:pPr>
      <w:r w:rsidRPr="009A2045">
        <w:rPr>
          <w:vertAlign w:val="superscript"/>
        </w:rPr>
        <w:lastRenderedPageBreak/>
        <w:t>1</w:t>
      </w:r>
      <w:r w:rsidRPr="009A2045">
        <w:t xml:space="preserve"> Reg. No. 4-122 does not specify a maximum application rate.  Reg. No. 4-99 specifies a maximum rate of 2.2 lbs a.i</w:t>
      </w:r>
      <w:proofErr w:type="gramStart"/>
      <w:r w:rsidRPr="009A2045">
        <w:t>./</w:t>
      </w:r>
      <w:proofErr w:type="gramEnd"/>
      <w:r w:rsidRPr="009A2045">
        <w:t>A.</w:t>
      </w:r>
    </w:p>
    <w:p w14:paraId="73EE2E4E" w14:textId="54DA434D" w:rsidR="000E5A0E" w:rsidRPr="009A2045" w:rsidRDefault="00A51253" w:rsidP="009A2045">
      <w:pPr>
        <w:keepNext/>
        <w:keepLines/>
        <w:spacing w:after="0" w:line="240" w:lineRule="auto"/>
      </w:pPr>
      <w:r w:rsidRPr="009A2045">
        <w:rPr>
          <w:vertAlign w:val="superscript"/>
        </w:rPr>
        <w:t>2</w:t>
      </w:r>
      <w:r w:rsidRPr="009A2045">
        <w:t>Reg. Nos. 239-739 and 46515-19 do not specify maximum application rate</w:t>
      </w:r>
      <w:r w:rsidR="007D4A24" w:rsidRPr="009A2045">
        <w:t>s</w:t>
      </w:r>
      <w:r w:rsidRPr="009A2045">
        <w:t>.  Reg. Nos. 4-99, 28293-123, 33955-394, and 4-412 specify maximum application rates between 1.1 and 1.5 lbs a.i</w:t>
      </w:r>
      <w:proofErr w:type="gramStart"/>
      <w:r w:rsidRPr="009A2045">
        <w:t>./</w:t>
      </w:r>
      <w:proofErr w:type="gramEnd"/>
      <w:r w:rsidRPr="009A2045">
        <w:t>A</w:t>
      </w:r>
    </w:p>
    <w:p w14:paraId="72F442EA" w14:textId="3ACBE972" w:rsidR="009A1CE1" w:rsidRPr="009A2045" w:rsidRDefault="009A1CE1" w:rsidP="009A2045">
      <w:pPr>
        <w:keepNext/>
        <w:keepLines/>
        <w:spacing w:after="0" w:line="240" w:lineRule="auto"/>
      </w:pPr>
      <w:r w:rsidRPr="009A2045">
        <w:rPr>
          <w:vertAlign w:val="superscript"/>
        </w:rPr>
        <w:t>3</w:t>
      </w:r>
      <w:r w:rsidRPr="009A2045">
        <w:t>Reg. Nos. 33955-394, 45385-43, and 7401-10 do not specify maximum application rate</w:t>
      </w:r>
      <w:r w:rsidR="007D4A24" w:rsidRPr="009A2045">
        <w:t>s</w:t>
      </w:r>
      <w:r w:rsidRPr="009A2045">
        <w:t>.  Reg. Nos. 4-99 and 4-412 specify maximum rates of 4.5 lbs a.i</w:t>
      </w:r>
      <w:proofErr w:type="gramStart"/>
      <w:r w:rsidRPr="009A2045">
        <w:t>./</w:t>
      </w:r>
      <w:proofErr w:type="gramEnd"/>
      <w:r w:rsidRPr="009A2045">
        <w:t xml:space="preserve">A and 4.4 lbs a.i./A, respectively.  </w:t>
      </w:r>
    </w:p>
    <w:p w14:paraId="56C23F53" w14:textId="008579E9" w:rsidR="00CC26F3" w:rsidRPr="009A2045" w:rsidRDefault="00CC26F3" w:rsidP="009A2045">
      <w:pPr>
        <w:keepNext/>
        <w:keepLines/>
        <w:spacing w:after="0" w:line="240" w:lineRule="auto"/>
      </w:pPr>
      <w:r w:rsidRPr="009A2045">
        <w:rPr>
          <w:vertAlign w:val="superscript"/>
        </w:rPr>
        <w:t>4</w:t>
      </w:r>
      <w:r w:rsidRPr="009A2045">
        <w:t>Reg. No. does not specify a maximum application rate.  Reg. No. 28293-123 specifies a maximum rate of 5.1 lbs a.i</w:t>
      </w:r>
      <w:proofErr w:type="gramStart"/>
      <w:r w:rsidRPr="009A2045">
        <w:t>./</w:t>
      </w:r>
      <w:proofErr w:type="gramEnd"/>
      <w:r w:rsidRPr="009A2045">
        <w:t>A</w:t>
      </w:r>
    </w:p>
    <w:p w14:paraId="2748FA23" w14:textId="5BA5237A" w:rsidR="009A1CE1" w:rsidRPr="009A2045" w:rsidRDefault="009A1CE1" w:rsidP="009A2045">
      <w:pPr>
        <w:keepNext/>
        <w:keepLines/>
        <w:spacing w:after="0" w:line="240" w:lineRule="auto"/>
      </w:pPr>
    </w:p>
    <w:p w14:paraId="1373614C" w14:textId="77777777" w:rsidR="000E5A0E" w:rsidRPr="009A2045" w:rsidRDefault="000E5A0E" w:rsidP="009A2045">
      <w:pPr>
        <w:keepNext/>
        <w:keepLines/>
        <w:spacing w:after="0" w:line="240" w:lineRule="auto"/>
      </w:pPr>
    </w:p>
    <w:p w14:paraId="4C6856EF" w14:textId="77777777" w:rsidR="000E5A0E" w:rsidRPr="009A2045" w:rsidRDefault="000E5A0E" w:rsidP="009A2045">
      <w:pPr>
        <w:keepNext/>
        <w:keepLines/>
        <w:spacing w:after="0" w:line="240" w:lineRule="auto"/>
      </w:pPr>
    </w:p>
    <w:p w14:paraId="59DBDCC0" w14:textId="11027DAA" w:rsidR="000E5A0E" w:rsidRPr="009A2045" w:rsidRDefault="00D63E1A" w:rsidP="009A2045">
      <w:pPr>
        <w:pStyle w:val="Heading5"/>
      </w:pPr>
      <w:r w:rsidRPr="009A2045">
        <w:tab/>
      </w:r>
      <w:r w:rsidRPr="009A2045">
        <w:tab/>
      </w:r>
      <w:r w:rsidRPr="009A2045">
        <w:tab/>
      </w:r>
      <w:bookmarkStart w:id="23" w:name="_Toc436043021"/>
      <w:r w:rsidRPr="009A2045">
        <w:t>1.1.2.4</w:t>
      </w:r>
      <w:proofErr w:type="gramStart"/>
      <w:r w:rsidRPr="009A2045">
        <w:t>.b</w:t>
      </w:r>
      <w:proofErr w:type="gramEnd"/>
      <w:r w:rsidRPr="009A2045">
        <w:t>.</w:t>
      </w:r>
      <w:r w:rsidRPr="009A2045">
        <w:tab/>
        <w:t xml:space="preserve">Summary of </w:t>
      </w:r>
      <w:r w:rsidR="001718EE" w:rsidRPr="009A2045">
        <w:t>A</w:t>
      </w:r>
      <w:r w:rsidRPr="009A2045">
        <w:t xml:space="preserve">gricultural and </w:t>
      </w:r>
      <w:r w:rsidR="001718EE" w:rsidRPr="009A2045">
        <w:t>U</w:t>
      </w:r>
      <w:r w:rsidRPr="009A2045">
        <w:t xml:space="preserve">ltra-low </w:t>
      </w:r>
      <w:r w:rsidR="001718EE" w:rsidRPr="009A2045">
        <w:t>V</w:t>
      </w:r>
      <w:r w:rsidRPr="009A2045">
        <w:t xml:space="preserve">olume </w:t>
      </w:r>
      <w:r w:rsidR="001718EE" w:rsidRPr="009A2045">
        <w:t>U</w:t>
      </w:r>
      <w:r w:rsidRPr="009A2045">
        <w:t>ses</w:t>
      </w:r>
      <w:bookmarkEnd w:id="23"/>
    </w:p>
    <w:p w14:paraId="62B087FE" w14:textId="77777777" w:rsidR="000E5A0E" w:rsidRPr="009A2045" w:rsidRDefault="000E5A0E" w:rsidP="009A2045">
      <w:pPr>
        <w:keepNext/>
        <w:keepLines/>
        <w:spacing w:after="0" w:line="240" w:lineRule="auto"/>
      </w:pPr>
    </w:p>
    <w:p w14:paraId="295DF7BD" w14:textId="5B7552E8" w:rsidR="000E5A0E" w:rsidRPr="009A2045" w:rsidRDefault="00D63E1A" w:rsidP="009A2045">
      <w:pPr>
        <w:keepNext/>
        <w:keepLines/>
        <w:spacing w:after="0" w:line="240" w:lineRule="auto"/>
      </w:pPr>
      <w:r w:rsidRPr="009A2045">
        <w:t>Malathion is currently registered for use on 115 agricultural crops.  Maximum single application rates on crops are as high as 7.5 lbs a.i</w:t>
      </w:r>
      <w:proofErr w:type="gramStart"/>
      <w:r w:rsidRPr="009A2045">
        <w:t>./</w:t>
      </w:r>
      <w:proofErr w:type="gramEnd"/>
      <w:r w:rsidRPr="009A2045">
        <w:t>A for citrus in California.  Other high single application rates are for avocado (4.7 lbs a.i</w:t>
      </w:r>
      <w:proofErr w:type="gramStart"/>
      <w:r w:rsidRPr="009A2045">
        <w:t>./</w:t>
      </w:r>
      <w:proofErr w:type="gramEnd"/>
      <w:r w:rsidRPr="009A2045">
        <w:t>A),  citrus outside California (4.5 lbs a.i./A), kumquat (4.5 lbs a.i./A), and pine seed orchards (4.5 lbs a.i./A).  All other agricultural applications are for 3 lbs a.i</w:t>
      </w:r>
      <w:proofErr w:type="gramStart"/>
      <w:r w:rsidRPr="009A2045">
        <w:t>./</w:t>
      </w:r>
      <w:proofErr w:type="gramEnd"/>
      <w:r w:rsidRPr="009A2045">
        <w:t>A or less.  Though it is not a broadcast use, the highest use rate presented below is for grain storage facilities and transport of 26.14 lbs a.i</w:t>
      </w:r>
      <w:proofErr w:type="gramStart"/>
      <w:r w:rsidRPr="009A2045">
        <w:t>./</w:t>
      </w:r>
      <w:proofErr w:type="gramEnd"/>
      <w:r w:rsidRPr="009A2045">
        <w:t>A. No limits in application rate or number of applications are specified for several uses</w:t>
      </w:r>
      <w:r w:rsidR="007D4A24" w:rsidRPr="009A2045">
        <w:t>,</w:t>
      </w:r>
      <w:r w:rsidRPr="009A2045">
        <w:t xml:space="preserve"> including beans, grain storage facilities and transport, and lentils. Table </w:t>
      </w:r>
      <w:r w:rsidR="005B7DD5" w:rsidRPr="009A2045">
        <w:rPr>
          <w:b/>
        </w:rPr>
        <w:t>1-4</w:t>
      </w:r>
      <w:r w:rsidRPr="009A2045">
        <w:t xml:space="preserve"> below details these uses.</w:t>
      </w:r>
      <w:r w:rsidR="009E44D6">
        <w:t xml:space="preserve"> </w:t>
      </w:r>
      <w:r w:rsidR="009E44D6" w:rsidRPr="009A2045">
        <w:t xml:space="preserve">For information on what assumptions are made regarding how uses are modeled in the absence of label information, see </w:t>
      </w:r>
      <w:r w:rsidR="009E44D6" w:rsidRPr="009A2045">
        <w:rPr>
          <w:b/>
        </w:rPr>
        <w:t>APPENDIX 1-7</w:t>
      </w:r>
      <w:r w:rsidR="009E44D6" w:rsidRPr="009A2045">
        <w:t>.</w:t>
      </w:r>
    </w:p>
    <w:p w14:paraId="14F5C6AF" w14:textId="77777777" w:rsidR="000E5A0E" w:rsidRPr="009A2045" w:rsidRDefault="000E5A0E" w:rsidP="009A2045">
      <w:pPr>
        <w:spacing w:after="0" w:line="240" w:lineRule="auto"/>
      </w:pPr>
    </w:p>
    <w:p w14:paraId="00E1EF20" w14:textId="77777777" w:rsidR="00456B5B" w:rsidRPr="009A2045" w:rsidRDefault="00456B5B" w:rsidP="009A2045">
      <w:pPr>
        <w:pStyle w:val="Caption"/>
        <w:rPr>
          <w:b/>
          <w:i w:val="0"/>
          <w:sz w:val="22"/>
          <w:szCs w:val="22"/>
        </w:rPr>
      </w:pPr>
      <w:bookmarkStart w:id="24" w:name="_Toc435773438"/>
    </w:p>
    <w:p w14:paraId="33D3E3D1" w14:textId="56829F1F" w:rsidR="000E5A0E" w:rsidRPr="009A2045" w:rsidRDefault="00456B5B" w:rsidP="009A2045">
      <w:pPr>
        <w:pStyle w:val="Caption"/>
        <w:rPr>
          <w:b/>
          <w:i w:val="0"/>
          <w:sz w:val="22"/>
          <w:szCs w:val="22"/>
        </w:rPr>
      </w:pPr>
      <w:r w:rsidRPr="009A2045">
        <w:rPr>
          <w:b/>
          <w:i w:val="0"/>
          <w:sz w:val="22"/>
          <w:szCs w:val="22"/>
        </w:rPr>
        <w:t>Table 1-</w:t>
      </w:r>
      <w:r w:rsidR="00C60928" w:rsidRPr="009A2045">
        <w:rPr>
          <w:b/>
          <w:i w:val="0"/>
          <w:sz w:val="22"/>
          <w:szCs w:val="22"/>
        </w:rPr>
        <w:fldChar w:fldCharType="begin"/>
      </w:r>
      <w:r w:rsidR="00C60928" w:rsidRPr="009A2045">
        <w:rPr>
          <w:b/>
          <w:i w:val="0"/>
          <w:sz w:val="22"/>
          <w:szCs w:val="22"/>
        </w:rPr>
        <w:instrText xml:space="preserve"> SEQ Table \* ARABIC </w:instrText>
      </w:r>
      <w:r w:rsidR="00C60928" w:rsidRPr="009A2045">
        <w:rPr>
          <w:b/>
          <w:i w:val="0"/>
          <w:sz w:val="22"/>
          <w:szCs w:val="22"/>
        </w:rPr>
        <w:fldChar w:fldCharType="separate"/>
      </w:r>
      <w:r w:rsidR="000D01C3" w:rsidRPr="009A2045">
        <w:rPr>
          <w:b/>
          <w:i w:val="0"/>
          <w:noProof/>
          <w:sz w:val="22"/>
          <w:szCs w:val="22"/>
        </w:rPr>
        <w:t>4</w:t>
      </w:r>
      <w:r w:rsidR="00C60928" w:rsidRPr="009A2045">
        <w:rPr>
          <w:b/>
          <w:i w:val="0"/>
          <w:noProof/>
          <w:sz w:val="22"/>
          <w:szCs w:val="22"/>
        </w:rPr>
        <w:fldChar w:fldCharType="end"/>
      </w:r>
      <w:r w:rsidR="00EC1A85" w:rsidRPr="009A2045">
        <w:rPr>
          <w:b/>
          <w:i w:val="0"/>
          <w:sz w:val="22"/>
          <w:szCs w:val="22"/>
        </w:rPr>
        <w:t>. Malathion Use Summary of Agricultural Uses with Conventional Application Methods</w:t>
      </w:r>
      <w:bookmarkEnd w:id="24"/>
      <w:r w:rsidRPr="009A2045">
        <w:rPr>
          <w:b/>
          <w:i w:val="0"/>
          <w:sz w:val="22"/>
          <w:szCs w:val="22"/>
        </w:rPr>
        <w:t>.</w:t>
      </w:r>
    </w:p>
    <w:tbl>
      <w:tblPr>
        <w:tblStyle w:val="a2"/>
        <w:tblW w:w="10440"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1800"/>
        <w:gridCol w:w="1440"/>
        <w:gridCol w:w="1620"/>
        <w:gridCol w:w="1440"/>
        <w:gridCol w:w="1350"/>
      </w:tblGrid>
      <w:tr w:rsidR="000E5A0E" w:rsidRPr="009A2045" w14:paraId="66F80D59" w14:textId="77777777" w:rsidTr="0021000E">
        <w:trPr>
          <w:trHeight w:val="1240"/>
          <w:tblHeader/>
        </w:trPr>
        <w:tc>
          <w:tcPr>
            <w:tcW w:w="2790" w:type="dxa"/>
            <w:tcBorders>
              <w:top w:val="single" w:sz="4" w:space="0" w:color="000000"/>
            </w:tcBorders>
            <w:shd w:val="clear" w:color="auto" w:fill="E7E6E6"/>
            <w:vAlign w:val="center"/>
          </w:tcPr>
          <w:p w14:paraId="62D7A443" w14:textId="77777777" w:rsidR="000E5A0E" w:rsidRPr="009A2045" w:rsidRDefault="000E5A0E" w:rsidP="009A2045">
            <w:pPr>
              <w:jc w:val="center"/>
              <w:rPr>
                <w:rFonts w:asciiTheme="minorHAnsi" w:hAnsiTheme="minorHAnsi"/>
                <w:sz w:val="20"/>
                <w:szCs w:val="20"/>
              </w:rPr>
            </w:pPr>
          </w:p>
          <w:p w14:paraId="05C5884B"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Use Site</w:t>
            </w:r>
          </w:p>
        </w:tc>
        <w:tc>
          <w:tcPr>
            <w:tcW w:w="1800" w:type="dxa"/>
            <w:tcBorders>
              <w:top w:val="single" w:sz="4" w:space="0" w:color="000000"/>
            </w:tcBorders>
            <w:shd w:val="clear" w:color="auto" w:fill="E7E6E6"/>
            <w:vAlign w:val="center"/>
          </w:tcPr>
          <w:p w14:paraId="060A5295"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Method</w:t>
            </w:r>
          </w:p>
        </w:tc>
        <w:tc>
          <w:tcPr>
            <w:tcW w:w="1440" w:type="dxa"/>
            <w:tcBorders>
              <w:top w:val="single" w:sz="4" w:space="0" w:color="000000"/>
            </w:tcBorders>
            <w:shd w:val="clear" w:color="auto" w:fill="E7E6E6"/>
            <w:vAlign w:val="center"/>
          </w:tcPr>
          <w:p w14:paraId="550ECD7C" w14:textId="77777777" w:rsidR="000E5A0E" w:rsidRPr="009A2045" w:rsidRDefault="000E5A0E" w:rsidP="009A2045">
            <w:pPr>
              <w:jc w:val="center"/>
              <w:rPr>
                <w:rFonts w:asciiTheme="minorHAnsi" w:hAnsiTheme="minorHAnsi"/>
                <w:sz w:val="20"/>
                <w:szCs w:val="20"/>
              </w:rPr>
            </w:pPr>
          </w:p>
          <w:p w14:paraId="33EDE018"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 xml:space="preserve">Maximum Single Application Rate </w:t>
            </w:r>
          </w:p>
          <w:p w14:paraId="47BACE96" w14:textId="77777777" w:rsidR="000E5A0E" w:rsidRPr="009A2045" w:rsidRDefault="00D63E1A" w:rsidP="009A2045">
            <w:pPr>
              <w:jc w:val="center"/>
              <w:rPr>
                <w:rFonts w:asciiTheme="minorHAnsi" w:hAnsiTheme="minorHAnsi"/>
                <w:sz w:val="20"/>
                <w:szCs w:val="20"/>
              </w:rPr>
            </w:pPr>
            <w:r w:rsidRPr="009A2045">
              <w:rPr>
                <w:rFonts w:asciiTheme="minorHAnsi" w:hAnsiTheme="minorHAnsi"/>
                <w:b/>
                <w:sz w:val="20"/>
                <w:szCs w:val="20"/>
              </w:rPr>
              <w:t>(lb a.i./A)</w:t>
            </w:r>
          </w:p>
        </w:tc>
        <w:tc>
          <w:tcPr>
            <w:tcW w:w="1620" w:type="dxa"/>
            <w:tcBorders>
              <w:top w:val="single" w:sz="4" w:space="0" w:color="000000"/>
            </w:tcBorders>
            <w:shd w:val="clear" w:color="auto" w:fill="E7E6E6"/>
            <w:vAlign w:val="center"/>
          </w:tcPr>
          <w:p w14:paraId="64943079" w14:textId="77777777" w:rsidR="000E5A0E" w:rsidRPr="009A2045" w:rsidRDefault="000E5A0E" w:rsidP="009A2045">
            <w:pPr>
              <w:jc w:val="center"/>
              <w:rPr>
                <w:rFonts w:asciiTheme="minorHAnsi" w:hAnsiTheme="minorHAnsi"/>
                <w:sz w:val="20"/>
                <w:szCs w:val="20"/>
              </w:rPr>
            </w:pPr>
          </w:p>
          <w:p w14:paraId="241485F3" w14:textId="77777777" w:rsidR="000E5A0E" w:rsidRPr="009A2045" w:rsidRDefault="00D63E1A" w:rsidP="009A20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7200"/>
              </w:tabs>
              <w:jc w:val="center"/>
              <w:rPr>
                <w:rFonts w:asciiTheme="minorHAnsi" w:hAnsiTheme="minorHAnsi"/>
                <w:sz w:val="20"/>
                <w:szCs w:val="20"/>
              </w:rPr>
            </w:pPr>
            <w:r w:rsidRPr="009A2045">
              <w:rPr>
                <w:rFonts w:asciiTheme="minorHAnsi" w:hAnsiTheme="minorHAnsi"/>
                <w:b/>
                <w:sz w:val="20"/>
                <w:szCs w:val="20"/>
              </w:rPr>
              <w:t>Maximum Application Rate (per year in lb a.i./acre) (for all formulations combined, unless otherwise noted)</w:t>
            </w:r>
          </w:p>
        </w:tc>
        <w:tc>
          <w:tcPr>
            <w:tcW w:w="1440" w:type="dxa"/>
            <w:tcBorders>
              <w:top w:val="single" w:sz="4" w:space="0" w:color="000000"/>
            </w:tcBorders>
            <w:shd w:val="clear" w:color="auto" w:fill="E7E6E6"/>
            <w:vAlign w:val="center"/>
          </w:tcPr>
          <w:p w14:paraId="426375A6" w14:textId="77777777" w:rsidR="000E5A0E" w:rsidRPr="009A2045" w:rsidRDefault="00D63E1A" w:rsidP="009A2045">
            <w:pPr>
              <w:ind w:left="113" w:right="113"/>
              <w:jc w:val="center"/>
              <w:rPr>
                <w:rFonts w:asciiTheme="minorHAnsi" w:hAnsiTheme="minorHAnsi"/>
                <w:sz w:val="20"/>
                <w:szCs w:val="20"/>
              </w:rPr>
            </w:pPr>
            <w:r w:rsidRPr="009A2045">
              <w:rPr>
                <w:rFonts w:asciiTheme="minorHAnsi" w:hAnsiTheme="minorHAnsi"/>
                <w:b/>
                <w:sz w:val="20"/>
                <w:szCs w:val="20"/>
              </w:rPr>
              <w:t xml:space="preserve">Maximum Application Number (per year) </w:t>
            </w:r>
          </w:p>
        </w:tc>
        <w:tc>
          <w:tcPr>
            <w:tcW w:w="1350" w:type="dxa"/>
            <w:tcBorders>
              <w:top w:val="single" w:sz="4" w:space="0" w:color="000000"/>
            </w:tcBorders>
            <w:shd w:val="clear" w:color="auto" w:fill="E7E6E6"/>
            <w:vAlign w:val="center"/>
          </w:tcPr>
          <w:p w14:paraId="7CA527E2" w14:textId="77777777" w:rsidR="000E5A0E" w:rsidRPr="009A2045" w:rsidRDefault="00D63E1A" w:rsidP="009A2045">
            <w:pPr>
              <w:rPr>
                <w:rFonts w:asciiTheme="minorHAnsi" w:hAnsiTheme="minorHAnsi"/>
                <w:sz w:val="20"/>
                <w:szCs w:val="20"/>
              </w:rPr>
            </w:pPr>
            <w:r w:rsidRPr="009A2045">
              <w:rPr>
                <w:rFonts w:asciiTheme="minorHAnsi" w:hAnsiTheme="minorHAnsi"/>
                <w:b/>
                <w:sz w:val="20"/>
                <w:szCs w:val="20"/>
              </w:rPr>
              <w:t>Minimum Retreatment Interval</w:t>
            </w:r>
          </w:p>
        </w:tc>
      </w:tr>
      <w:tr w:rsidR="000E5A0E" w:rsidRPr="009A2045" w14:paraId="4C8B3CCE" w14:textId="77777777" w:rsidTr="0021000E">
        <w:trPr>
          <w:trHeight w:val="280"/>
        </w:trPr>
        <w:tc>
          <w:tcPr>
            <w:tcW w:w="2790" w:type="dxa"/>
            <w:vAlign w:val="bottom"/>
          </w:tcPr>
          <w:p w14:paraId="5525001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Alfalfa</w:t>
            </w:r>
          </w:p>
        </w:tc>
        <w:tc>
          <w:tcPr>
            <w:tcW w:w="1800" w:type="dxa"/>
            <w:vAlign w:val="bottom"/>
          </w:tcPr>
          <w:p w14:paraId="0781A71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3F3AEF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068C078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508CE8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7DE81C1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14</w:t>
            </w:r>
          </w:p>
        </w:tc>
      </w:tr>
      <w:tr w:rsidR="000E5A0E" w:rsidRPr="009A2045" w14:paraId="5324AE09" w14:textId="77777777" w:rsidTr="0021000E">
        <w:trPr>
          <w:trHeight w:val="280"/>
        </w:trPr>
        <w:tc>
          <w:tcPr>
            <w:tcW w:w="2790" w:type="dxa"/>
            <w:vAlign w:val="bottom"/>
          </w:tcPr>
          <w:p w14:paraId="14A8949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Apricots</w:t>
            </w:r>
          </w:p>
        </w:tc>
        <w:tc>
          <w:tcPr>
            <w:tcW w:w="1800" w:type="dxa"/>
            <w:vAlign w:val="bottom"/>
          </w:tcPr>
          <w:p w14:paraId="2258171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87B228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16E865F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C9C952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E133D5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4AA45A6" w14:textId="77777777" w:rsidTr="0021000E">
        <w:trPr>
          <w:trHeight w:val="280"/>
        </w:trPr>
        <w:tc>
          <w:tcPr>
            <w:tcW w:w="2790" w:type="dxa"/>
            <w:vAlign w:val="bottom"/>
          </w:tcPr>
          <w:p w14:paraId="4135660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Asparagus</w:t>
            </w:r>
          </w:p>
        </w:tc>
        <w:tc>
          <w:tcPr>
            <w:tcW w:w="1800" w:type="dxa"/>
            <w:vAlign w:val="bottom"/>
          </w:tcPr>
          <w:p w14:paraId="38984E2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5FACA5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13150D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BF6E46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9A61CC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EF3B566" w14:textId="77777777" w:rsidTr="0021000E">
        <w:trPr>
          <w:trHeight w:val="280"/>
        </w:trPr>
        <w:tc>
          <w:tcPr>
            <w:tcW w:w="2790" w:type="dxa"/>
            <w:vAlign w:val="bottom"/>
          </w:tcPr>
          <w:p w14:paraId="333EBED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Avocado</w:t>
            </w:r>
          </w:p>
        </w:tc>
        <w:tc>
          <w:tcPr>
            <w:tcW w:w="1800" w:type="dxa"/>
            <w:vAlign w:val="bottom"/>
          </w:tcPr>
          <w:p w14:paraId="092CB15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29B87D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4.7</w:t>
            </w:r>
          </w:p>
        </w:tc>
        <w:tc>
          <w:tcPr>
            <w:tcW w:w="1620" w:type="dxa"/>
            <w:vAlign w:val="bottom"/>
          </w:tcPr>
          <w:p w14:paraId="73B7BA1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A6A126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025055A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30</w:t>
            </w:r>
          </w:p>
        </w:tc>
      </w:tr>
      <w:tr w:rsidR="000E5A0E" w:rsidRPr="009A2045" w14:paraId="5783180C" w14:textId="77777777" w:rsidTr="0021000E">
        <w:trPr>
          <w:trHeight w:val="280"/>
        </w:trPr>
        <w:tc>
          <w:tcPr>
            <w:tcW w:w="2790" w:type="dxa"/>
            <w:vAlign w:val="bottom"/>
          </w:tcPr>
          <w:p w14:paraId="4682E4F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Barley</w:t>
            </w:r>
          </w:p>
        </w:tc>
        <w:tc>
          <w:tcPr>
            <w:tcW w:w="1800" w:type="dxa"/>
            <w:vAlign w:val="bottom"/>
          </w:tcPr>
          <w:p w14:paraId="2695EF0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100CF7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722F65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351751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37050AF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59E4CE7" w14:textId="77777777" w:rsidTr="0021000E">
        <w:trPr>
          <w:trHeight w:val="280"/>
        </w:trPr>
        <w:tc>
          <w:tcPr>
            <w:tcW w:w="2790" w:type="dxa"/>
            <w:vAlign w:val="bottom"/>
          </w:tcPr>
          <w:p w14:paraId="5B3E6E8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Beans</w:t>
            </w:r>
          </w:p>
        </w:tc>
        <w:tc>
          <w:tcPr>
            <w:tcW w:w="1800" w:type="dxa"/>
            <w:vAlign w:val="bottom"/>
          </w:tcPr>
          <w:p w14:paraId="0523400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45B561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2F0236C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2FD21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40597D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052FE6EE" w14:textId="77777777" w:rsidTr="0021000E">
        <w:trPr>
          <w:trHeight w:val="280"/>
        </w:trPr>
        <w:tc>
          <w:tcPr>
            <w:tcW w:w="2790" w:type="dxa"/>
            <w:vAlign w:val="bottom"/>
          </w:tcPr>
          <w:p w14:paraId="44F8FCD4"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Beets</w:t>
            </w:r>
          </w:p>
        </w:tc>
        <w:tc>
          <w:tcPr>
            <w:tcW w:w="1800" w:type="dxa"/>
            <w:vAlign w:val="bottom"/>
          </w:tcPr>
          <w:p w14:paraId="1F0832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88EB7A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3628505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39F0F2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4815BE3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45A6B3E" w14:textId="77777777" w:rsidTr="0021000E">
        <w:trPr>
          <w:trHeight w:val="280"/>
        </w:trPr>
        <w:tc>
          <w:tcPr>
            <w:tcW w:w="2790" w:type="dxa"/>
            <w:vAlign w:val="bottom"/>
          </w:tcPr>
          <w:p w14:paraId="19BAF7D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Blueberry</w:t>
            </w:r>
          </w:p>
        </w:tc>
        <w:tc>
          <w:tcPr>
            <w:tcW w:w="1800" w:type="dxa"/>
            <w:vAlign w:val="bottom"/>
          </w:tcPr>
          <w:p w14:paraId="34C3334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F93C0E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225D278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AC2414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950305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486BE30F" w14:textId="77777777" w:rsidTr="0021000E">
        <w:trPr>
          <w:trHeight w:val="280"/>
        </w:trPr>
        <w:tc>
          <w:tcPr>
            <w:tcW w:w="2790" w:type="dxa"/>
            <w:vAlign w:val="bottom"/>
          </w:tcPr>
          <w:p w14:paraId="2BD0FED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Broccoli; Chinese Broccoli; Broccoli Rabb</w:t>
            </w:r>
          </w:p>
        </w:tc>
        <w:tc>
          <w:tcPr>
            <w:tcW w:w="1800" w:type="dxa"/>
            <w:vAlign w:val="bottom"/>
          </w:tcPr>
          <w:p w14:paraId="0BCE603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74E087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7A7284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2BFFE7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A92AFB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26FF682" w14:textId="77777777" w:rsidTr="0021000E">
        <w:trPr>
          <w:trHeight w:val="280"/>
        </w:trPr>
        <w:tc>
          <w:tcPr>
            <w:tcW w:w="2790" w:type="dxa"/>
            <w:vAlign w:val="bottom"/>
          </w:tcPr>
          <w:p w14:paraId="6DF29FA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Brussels sprouts</w:t>
            </w:r>
          </w:p>
        </w:tc>
        <w:tc>
          <w:tcPr>
            <w:tcW w:w="1800" w:type="dxa"/>
            <w:vAlign w:val="bottom"/>
          </w:tcPr>
          <w:p w14:paraId="0FE37E0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56744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05C0F67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6BCC1A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225DC58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50E9E7D" w14:textId="77777777" w:rsidTr="0021000E">
        <w:trPr>
          <w:trHeight w:val="280"/>
        </w:trPr>
        <w:tc>
          <w:tcPr>
            <w:tcW w:w="2790" w:type="dxa"/>
            <w:vAlign w:val="bottom"/>
          </w:tcPr>
          <w:p w14:paraId="1C50959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Cabbage</w:t>
            </w:r>
          </w:p>
        </w:tc>
        <w:tc>
          <w:tcPr>
            <w:tcW w:w="1800" w:type="dxa"/>
            <w:vAlign w:val="bottom"/>
          </w:tcPr>
          <w:p w14:paraId="5A88B7A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9FB3A3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5F45B8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 NS</w:t>
            </w:r>
          </w:p>
        </w:tc>
        <w:tc>
          <w:tcPr>
            <w:tcW w:w="1440" w:type="dxa"/>
            <w:vAlign w:val="bottom"/>
          </w:tcPr>
          <w:p w14:paraId="4A68B2F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6</w:t>
            </w:r>
          </w:p>
        </w:tc>
        <w:tc>
          <w:tcPr>
            <w:tcW w:w="1350" w:type="dxa"/>
            <w:vAlign w:val="bottom"/>
          </w:tcPr>
          <w:p w14:paraId="2DA7AFC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F04756F" w14:textId="77777777" w:rsidTr="0021000E">
        <w:trPr>
          <w:trHeight w:val="280"/>
        </w:trPr>
        <w:tc>
          <w:tcPr>
            <w:tcW w:w="2790" w:type="dxa"/>
            <w:vAlign w:val="bottom"/>
          </w:tcPr>
          <w:p w14:paraId="6CE2E24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Caneberries</w:t>
            </w:r>
          </w:p>
        </w:tc>
        <w:tc>
          <w:tcPr>
            <w:tcW w:w="1800" w:type="dxa"/>
            <w:vAlign w:val="bottom"/>
          </w:tcPr>
          <w:p w14:paraId="571062F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AB2549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620" w:type="dxa"/>
            <w:vAlign w:val="bottom"/>
          </w:tcPr>
          <w:p w14:paraId="1664B03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FC871F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7C8D79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0447666" w14:textId="77777777" w:rsidTr="0021000E">
        <w:trPr>
          <w:trHeight w:val="280"/>
        </w:trPr>
        <w:tc>
          <w:tcPr>
            <w:tcW w:w="2790" w:type="dxa"/>
            <w:vAlign w:val="bottom"/>
          </w:tcPr>
          <w:p w14:paraId="5919DD2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Cantaloupe</w:t>
            </w:r>
          </w:p>
        </w:tc>
        <w:tc>
          <w:tcPr>
            <w:tcW w:w="1800" w:type="dxa"/>
            <w:vAlign w:val="bottom"/>
          </w:tcPr>
          <w:p w14:paraId="50469D2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007B58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2CC36D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F60A96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A5093D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3CBCFDF" w14:textId="77777777" w:rsidTr="0021000E">
        <w:trPr>
          <w:trHeight w:val="280"/>
        </w:trPr>
        <w:tc>
          <w:tcPr>
            <w:tcW w:w="2790" w:type="dxa"/>
            <w:vAlign w:val="bottom"/>
          </w:tcPr>
          <w:p w14:paraId="4D7EF1F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Carrots</w:t>
            </w:r>
          </w:p>
        </w:tc>
        <w:tc>
          <w:tcPr>
            <w:tcW w:w="1800" w:type="dxa"/>
            <w:vAlign w:val="bottom"/>
          </w:tcPr>
          <w:p w14:paraId="1A161C9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D54016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AC7CFB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E78C23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9BFF2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ABA7C3C" w14:textId="77777777" w:rsidTr="0021000E">
        <w:trPr>
          <w:trHeight w:val="280"/>
        </w:trPr>
        <w:tc>
          <w:tcPr>
            <w:tcW w:w="2790" w:type="dxa"/>
            <w:vAlign w:val="bottom"/>
          </w:tcPr>
          <w:p w14:paraId="2CF27F7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Cauliflower</w:t>
            </w:r>
          </w:p>
        </w:tc>
        <w:tc>
          <w:tcPr>
            <w:tcW w:w="1800" w:type="dxa"/>
            <w:vAlign w:val="bottom"/>
          </w:tcPr>
          <w:p w14:paraId="6E11EAA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064C9E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5A1D79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CD98D2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210A145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91BD21F" w14:textId="77777777" w:rsidTr="0021000E">
        <w:trPr>
          <w:trHeight w:val="280"/>
        </w:trPr>
        <w:tc>
          <w:tcPr>
            <w:tcW w:w="2790" w:type="dxa"/>
            <w:vAlign w:val="bottom"/>
          </w:tcPr>
          <w:p w14:paraId="7F3CD99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Celery</w:t>
            </w:r>
          </w:p>
        </w:tc>
        <w:tc>
          <w:tcPr>
            <w:tcW w:w="1800" w:type="dxa"/>
            <w:vAlign w:val="bottom"/>
          </w:tcPr>
          <w:p w14:paraId="5C74873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D74318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6D9C0A9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650007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162F214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96812A2" w14:textId="77777777" w:rsidTr="0021000E">
        <w:trPr>
          <w:trHeight w:val="280"/>
        </w:trPr>
        <w:tc>
          <w:tcPr>
            <w:tcW w:w="2790" w:type="dxa"/>
            <w:vAlign w:val="bottom"/>
          </w:tcPr>
          <w:p w14:paraId="2B58AD6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Chayote fruit</w:t>
            </w:r>
          </w:p>
        </w:tc>
        <w:tc>
          <w:tcPr>
            <w:tcW w:w="1800" w:type="dxa"/>
            <w:vAlign w:val="bottom"/>
          </w:tcPr>
          <w:p w14:paraId="04002BF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5A398B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1.75</w:t>
            </w:r>
          </w:p>
        </w:tc>
        <w:tc>
          <w:tcPr>
            <w:tcW w:w="1620" w:type="dxa"/>
            <w:vAlign w:val="bottom"/>
          </w:tcPr>
          <w:p w14:paraId="40278E1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882AC6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81C86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7C963A3" w14:textId="77777777" w:rsidTr="0021000E">
        <w:trPr>
          <w:trHeight w:val="280"/>
        </w:trPr>
        <w:tc>
          <w:tcPr>
            <w:tcW w:w="2790" w:type="dxa"/>
            <w:vAlign w:val="bottom"/>
          </w:tcPr>
          <w:p w14:paraId="089FC4F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Chayote root</w:t>
            </w:r>
          </w:p>
        </w:tc>
        <w:tc>
          <w:tcPr>
            <w:tcW w:w="1800" w:type="dxa"/>
            <w:vAlign w:val="bottom"/>
          </w:tcPr>
          <w:p w14:paraId="74550C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DD06E7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402AD03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5832A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40D92E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785FC99" w14:textId="77777777" w:rsidTr="0021000E">
        <w:trPr>
          <w:trHeight w:val="280"/>
        </w:trPr>
        <w:tc>
          <w:tcPr>
            <w:tcW w:w="2790" w:type="dxa"/>
            <w:vAlign w:val="bottom"/>
          </w:tcPr>
          <w:p w14:paraId="7400352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Cherries (tart and sweet)</w:t>
            </w:r>
          </w:p>
        </w:tc>
        <w:tc>
          <w:tcPr>
            <w:tcW w:w="1800" w:type="dxa"/>
            <w:vAlign w:val="bottom"/>
          </w:tcPr>
          <w:p w14:paraId="4703602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78C62F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1.75</w:t>
            </w:r>
          </w:p>
        </w:tc>
        <w:tc>
          <w:tcPr>
            <w:tcW w:w="1620" w:type="dxa"/>
            <w:vAlign w:val="bottom"/>
          </w:tcPr>
          <w:p w14:paraId="0FBCF99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FC0E71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066EE64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r>
      <w:tr w:rsidR="000E5A0E" w:rsidRPr="009A2045" w14:paraId="5CCE74D4" w14:textId="77777777" w:rsidTr="0021000E">
        <w:trPr>
          <w:trHeight w:val="280"/>
        </w:trPr>
        <w:tc>
          <w:tcPr>
            <w:tcW w:w="2790" w:type="dxa"/>
            <w:vAlign w:val="bottom"/>
          </w:tcPr>
          <w:p w14:paraId="1A38779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Chestnut</w:t>
            </w:r>
          </w:p>
        </w:tc>
        <w:tc>
          <w:tcPr>
            <w:tcW w:w="1800" w:type="dxa"/>
            <w:vAlign w:val="bottom"/>
          </w:tcPr>
          <w:p w14:paraId="0351897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A1291D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2.5</w:t>
            </w:r>
          </w:p>
        </w:tc>
        <w:tc>
          <w:tcPr>
            <w:tcW w:w="1620" w:type="dxa"/>
            <w:vAlign w:val="bottom"/>
          </w:tcPr>
          <w:p w14:paraId="65728EA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6D74C1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C8F341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0BD74A4" w14:textId="77777777" w:rsidTr="0021000E">
        <w:trPr>
          <w:trHeight w:val="280"/>
        </w:trPr>
        <w:tc>
          <w:tcPr>
            <w:tcW w:w="2790" w:type="dxa"/>
            <w:vAlign w:val="bottom"/>
          </w:tcPr>
          <w:p w14:paraId="7764C95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Chinese Cabbage</w:t>
            </w:r>
          </w:p>
        </w:tc>
        <w:tc>
          <w:tcPr>
            <w:tcW w:w="1800" w:type="dxa"/>
            <w:vAlign w:val="bottom"/>
          </w:tcPr>
          <w:p w14:paraId="708E31F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A20366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60D3437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3CFFB5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CEAA4B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EF723A9" w14:textId="77777777" w:rsidTr="0021000E">
        <w:trPr>
          <w:trHeight w:val="280"/>
        </w:trPr>
        <w:tc>
          <w:tcPr>
            <w:tcW w:w="2790" w:type="dxa"/>
            <w:vAlign w:val="bottom"/>
          </w:tcPr>
          <w:p w14:paraId="0F309D1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Chinese Cabbage; Mustard</w:t>
            </w:r>
          </w:p>
        </w:tc>
        <w:tc>
          <w:tcPr>
            <w:tcW w:w="1800" w:type="dxa"/>
            <w:vAlign w:val="bottom"/>
          </w:tcPr>
          <w:p w14:paraId="5707F35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7103FD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56D8A5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660519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3827EE8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C8C4AF3" w14:textId="77777777" w:rsidTr="0021000E">
        <w:trPr>
          <w:trHeight w:val="280"/>
        </w:trPr>
        <w:tc>
          <w:tcPr>
            <w:tcW w:w="2790" w:type="dxa"/>
            <w:vAlign w:val="bottom"/>
          </w:tcPr>
          <w:p w14:paraId="1A1FEA1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Chinese Mustard</w:t>
            </w:r>
          </w:p>
        </w:tc>
        <w:tc>
          <w:tcPr>
            <w:tcW w:w="1800" w:type="dxa"/>
            <w:vAlign w:val="bottom"/>
          </w:tcPr>
          <w:p w14:paraId="5563D97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29A2F5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20166A7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6FFB6B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B126A7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47C7E89" w14:textId="77777777" w:rsidTr="0021000E">
        <w:trPr>
          <w:trHeight w:val="280"/>
        </w:trPr>
        <w:tc>
          <w:tcPr>
            <w:tcW w:w="2790" w:type="dxa"/>
            <w:vAlign w:val="bottom"/>
          </w:tcPr>
          <w:p w14:paraId="6D242AC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Christmas tree plantations</w:t>
            </w:r>
          </w:p>
        </w:tc>
        <w:tc>
          <w:tcPr>
            <w:tcW w:w="1800" w:type="dxa"/>
            <w:vAlign w:val="bottom"/>
          </w:tcPr>
          <w:p w14:paraId="1F89568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2CA45A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3.2</w:t>
            </w:r>
          </w:p>
        </w:tc>
        <w:tc>
          <w:tcPr>
            <w:tcW w:w="1620" w:type="dxa"/>
            <w:vAlign w:val="bottom"/>
          </w:tcPr>
          <w:p w14:paraId="54DED6C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3E1A83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02FF3A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0E417532" w14:textId="77777777" w:rsidTr="0021000E">
        <w:trPr>
          <w:trHeight w:val="280"/>
        </w:trPr>
        <w:tc>
          <w:tcPr>
            <w:tcW w:w="2790" w:type="dxa"/>
            <w:vAlign w:val="bottom"/>
          </w:tcPr>
          <w:p w14:paraId="070F118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Citrus</w:t>
            </w:r>
          </w:p>
        </w:tc>
        <w:tc>
          <w:tcPr>
            <w:tcW w:w="1800" w:type="dxa"/>
            <w:vAlign w:val="bottom"/>
          </w:tcPr>
          <w:p w14:paraId="681F7A7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AAB44E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4.5</w:t>
            </w:r>
          </w:p>
        </w:tc>
        <w:tc>
          <w:tcPr>
            <w:tcW w:w="1620" w:type="dxa"/>
            <w:vAlign w:val="bottom"/>
          </w:tcPr>
          <w:p w14:paraId="377F724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F4F697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350" w:type="dxa"/>
            <w:vAlign w:val="bottom"/>
          </w:tcPr>
          <w:p w14:paraId="148D5D5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r>
      <w:tr w:rsidR="000E5A0E" w:rsidRPr="009A2045" w14:paraId="107FC096" w14:textId="77777777" w:rsidTr="0021000E">
        <w:trPr>
          <w:trHeight w:val="280"/>
        </w:trPr>
        <w:tc>
          <w:tcPr>
            <w:tcW w:w="2790" w:type="dxa"/>
            <w:vAlign w:val="bottom"/>
          </w:tcPr>
          <w:p w14:paraId="0039BC4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Citrus (CA only)</w:t>
            </w:r>
          </w:p>
        </w:tc>
        <w:tc>
          <w:tcPr>
            <w:tcW w:w="1800" w:type="dxa"/>
            <w:vAlign w:val="bottom"/>
          </w:tcPr>
          <w:p w14:paraId="41F9DE9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9DC3F8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7.5</w:t>
            </w:r>
          </w:p>
        </w:tc>
        <w:tc>
          <w:tcPr>
            <w:tcW w:w="1620" w:type="dxa"/>
            <w:vAlign w:val="bottom"/>
          </w:tcPr>
          <w:p w14:paraId="017E515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603905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350" w:type="dxa"/>
            <w:vAlign w:val="bottom"/>
          </w:tcPr>
          <w:p w14:paraId="31C5E8C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r>
      <w:tr w:rsidR="000E5A0E" w:rsidRPr="009A2045" w14:paraId="79A4F719" w14:textId="77777777" w:rsidTr="0021000E">
        <w:trPr>
          <w:trHeight w:val="280"/>
        </w:trPr>
        <w:tc>
          <w:tcPr>
            <w:tcW w:w="2790" w:type="dxa"/>
            <w:vAlign w:val="bottom"/>
          </w:tcPr>
          <w:p w14:paraId="100BE70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Clover</w:t>
            </w:r>
          </w:p>
        </w:tc>
        <w:tc>
          <w:tcPr>
            <w:tcW w:w="1800" w:type="dxa"/>
            <w:vAlign w:val="bottom"/>
          </w:tcPr>
          <w:p w14:paraId="33A9C0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25604C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09017E9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96220D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6493154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14</w:t>
            </w:r>
          </w:p>
        </w:tc>
      </w:tr>
      <w:tr w:rsidR="000E5A0E" w:rsidRPr="009A2045" w14:paraId="0E0672C0" w14:textId="77777777" w:rsidTr="0021000E">
        <w:trPr>
          <w:trHeight w:val="280"/>
        </w:trPr>
        <w:tc>
          <w:tcPr>
            <w:tcW w:w="2790" w:type="dxa"/>
            <w:vAlign w:val="bottom"/>
          </w:tcPr>
          <w:p w14:paraId="48A868E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Collards</w:t>
            </w:r>
          </w:p>
        </w:tc>
        <w:tc>
          <w:tcPr>
            <w:tcW w:w="1800" w:type="dxa"/>
            <w:vAlign w:val="bottom"/>
          </w:tcPr>
          <w:p w14:paraId="7FCD324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E0E5E6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849620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24265B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4844AF5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6197B56" w14:textId="77777777" w:rsidTr="0021000E">
        <w:trPr>
          <w:trHeight w:val="280"/>
        </w:trPr>
        <w:tc>
          <w:tcPr>
            <w:tcW w:w="2790" w:type="dxa"/>
            <w:vAlign w:val="bottom"/>
          </w:tcPr>
          <w:p w14:paraId="286CDC5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Corn (field)</w:t>
            </w:r>
          </w:p>
        </w:tc>
        <w:tc>
          <w:tcPr>
            <w:tcW w:w="1800" w:type="dxa"/>
            <w:vAlign w:val="bottom"/>
          </w:tcPr>
          <w:p w14:paraId="734D85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00CB97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334292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31BA0F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5FB55D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79475F60" w14:textId="77777777" w:rsidTr="0021000E">
        <w:trPr>
          <w:trHeight w:val="280"/>
        </w:trPr>
        <w:tc>
          <w:tcPr>
            <w:tcW w:w="2790" w:type="dxa"/>
            <w:vAlign w:val="bottom"/>
          </w:tcPr>
          <w:p w14:paraId="3A9D632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Corn (sweet and pop)</w:t>
            </w:r>
          </w:p>
        </w:tc>
        <w:tc>
          <w:tcPr>
            <w:tcW w:w="1800" w:type="dxa"/>
            <w:vAlign w:val="bottom"/>
          </w:tcPr>
          <w:p w14:paraId="42F222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E29B15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08677E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1B1E1E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03556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47E7055F" w14:textId="77777777" w:rsidTr="0021000E">
        <w:trPr>
          <w:trHeight w:val="280"/>
        </w:trPr>
        <w:tc>
          <w:tcPr>
            <w:tcW w:w="2790" w:type="dxa"/>
            <w:vAlign w:val="bottom"/>
          </w:tcPr>
          <w:p w14:paraId="4222F07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Cotton</w:t>
            </w:r>
          </w:p>
        </w:tc>
        <w:tc>
          <w:tcPr>
            <w:tcW w:w="1800" w:type="dxa"/>
            <w:vAlign w:val="bottom"/>
          </w:tcPr>
          <w:p w14:paraId="5170ED1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445351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2.5</w:t>
            </w:r>
          </w:p>
        </w:tc>
        <w:tc>
          <w:tcPr>
            <w:tcW w:w="1620" w:type="dxa"/>
            <w:vAlign w:val="bottom"/>
          </w:tcPr>
          <w:p w14:paraId="1E13B9F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5D1C1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0B04882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CEF0D8C" w14:textId="77777777" w:rsidTr="0021000E">
        <w:trPr>
          <w:trHeight w:val="280"/>
        </w:trPr>
        <w:tc>
          <w:tcPr>
            <w:tcW w:w="2790" w:type="dxa"/>
            <w:vAlign w:val="bottom"/>
          </w:tcPr>
          <w:p w14:paraId="04C5EDE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Cucumber</w:t>
            </w:r>
          </w:p>
        </w:tc>
        <w:tc>
          <w:tcPr>
            <w:tcW w:w="1800" w:type="dxa"/>
            <w:vAlign w:val="bottom"/>
          </w:tcPr>
          <w:p w14:paraId="38434E1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918A10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1.75</w:t>
            </w:r>
          </w:p>
        </w:tc>
        <w:tc>
          <w:tcPr>
            <w:tcW w:w="1620" w:type="dxa"/>
            <w:vAlign w:val="bottom"/>
          </w:tcPr>
          <w:p w14:paraId="10E6520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EE4964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265F82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6C7B7EF" w14:textId="77777777" w:rsidTr="0021000E">
        <w:trPr>
          <w:trHeight w:val="280"/>
        </w:trPr>
        <w:tc>
          <w:tcPr>
            <w:tcW w:w="2790" w:type="dxa"/>
            <w:vAlign w:val="bottom"/>
          </w:tcPr>
          <w:p w14:paraId="69E791F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Currant</w:t>
            </w:r>
          </w:p>
        </w:tc>
        <w:tc>
          <w:tcPr>
            <w:tcW w:w="1800" w:type="dxa"/>
            <w:vAlign w:val="bottom"/>
          </w:tcPr>
          <w:p w14:paraId="73D7B65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57A893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38EDB3C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217B69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2C5512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DD3DE7F" w14:textId="77777777" w:rsidTr="0021000E">
        <w:trPr>
          <w:trHeight w:val="280"/>
        </w:trPr>
        <w:tc>
          <w:tcPr>
            <w:tcW w:w="2790" w:type="dxa"/>
            <w:vAlign w:val="bottom"/>
          </w:tcPr>
          <w:p w14:paraId="46E8397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Dandelion</w:t>
            </w:r>
          </w:p>
        </w:tc>
        <w:tc>
          <w:tcPr>
            <w:tcW w:w="1800" w:type="dxa"/>
            <w:vAlign w:val="bottom"/>
          </w:tcPr>
          <w:p w14:paraId="55F09A4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A5BD47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FF37D7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B208DE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AF0AAC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F242ECA" w14:textId="77777777" w:rsidTr="0021000E">
        <w:trPr>
          <w:trHeight w:val="280"/>
        </w:trPr>
        <w:tc>
          <w:tcPr>
            <w:tcW w:w="2790" w:type="dxa"/>
            <w:vAlign w:val="bottom"/>
          </w:tcPr>
          <w:p w14:paraId="340B781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Eggplant</w:t>
            </w:r>
          </w:p>
        </w:tc>
        <w:tc>
          <w:tcPr>
            <w:tcW w:w="1800" w:type="dxa"/>
            <w:vAlign w:val="bottom"/>
          </w:tcPr>
          <w:p w14:paraId="370AEEE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97C315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6C7DC87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 NS</w:t>
            </w:r>
          </w:p>
        </w:tc>
        <w:tc>
          <w:tcPr>
            <w:tcW w:w="1440" w:type="dxa"/>
            <w:vAlign w:val="bottom"/>
          </w:tcPr>
          <w:p w14:paraId="30818D9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7521075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2F8A6F48" w14:textId="77777777" w:rsidTr="0021000E">
        <w:trPr>
          <w:trHeight w:val="280"/>
        </w:trPr>
        <w:tc>
          <w:tcPr>
            <w:tcW w:w="2790" w:type="dxa"/>
            <w:vAlign w:val="bottom"/>
          </w:tcPr>
          <w:p w14:paraId="7A23B14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Endive</w:t>
            </w:r>
          </w:p>
        </w:tc>
        <w:tc>
          <w:tcPr>
            <w:tcW w:w="1800" w:type="dxa"/>
            <w:vAlign w:val="bottom"/>
          </w:tcPr>
          <w:p w14:paraId="4653FB7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EE2804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25F4C2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CF853E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DB7642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D670545" w14:textId="77777777" w:rsidTr="0021000E">
        <w:trPr>
          <w:trHeight w:val="280"/>
        </w:trPr>
        <w:tc>
          <w:tcPr>
            <w:tcW w:w="2790" w:type="dxa"/>
            <w:vAlign w:val="bottom"/>
          </w:tcPr>
          <w:p w14:paraId="6CDBF6B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Fence rows/hedge rows</w:t>
            </w:r>
          </w:p>
        </w:tc>
        <w:tc>
          <w:tcPr>
            <w:tcW w:w="1800" w:type="dxa"/>
            <w:vAlign w:val="bottom"/>
          </w:tcPr>
          <w:p w14:paraId="4D93E6D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E0B16A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0.24</w:t>
            </w:r>
          </w:p>
        </w:tc>
        <w:tc>
          <w:tcPr>
            <w:tcW w:w="1620" w:type="dxa"/>
            <w:vAlign w:val="bottom"/>
          </w:tcPr>
          <w:p w14:paraId="4A71C58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9B3043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3B477D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2AB4DA2B" w14:textId="77777777" w:rsidTr="0021000E">
        <w:trPr>
          <w:trHeight w:val="280"/>
        </w:trPr>
        <w:tc>
          <w:tcPr>
            <w:tcW w:w="2790" w:type="dxa"/>
            <w:vAlign w:val="bottom"/>
          </w:tcPr>
          <w:p w14:paraId="6441F37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Figs</w:t>
            </w:r>
          </w:p>
        </w:tc>
        <w:tc>
          <w:tcPr>
            <w:tcW w:w="1800" w:type="dxa"/>
            <w:vAlign w:val="bottom"/>
          </w:tcPr>
          <w:p w14:paraId="51252BE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A127F2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620" w:type="dxa"/>
            <w:vAlign w:val="bottom"/>
          </w:tcPr>
          <w:p w14:paraId="52A40DF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AB9D6E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675A7D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2E275CBB" w14:textId="77777777" w:rsidTr="0021000E">
        <w:trPr>
          <w:trHeight w:val="280"/>
        </w:trPr>
        <w:tc>
          <w:tcPr>
            <w:tcW w:w="2790" w:type="dxa"/>
            <w:vAlign w:val="bottom"/>
          </w:tcPr>
          <w:p w14:paraId="77226F2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Flax</w:t>
            </w:r>
          </w:p>
        </w:tc>
        <w:tc>
          <w:tcPr>
            <w:tcW w:w="1800" w:type="dxa"/>
            <w:vAlign w:val="bottom"/>
          </w:tcPr>
          <w:p w14:paraId="7F0EE23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90A2B7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0.5</w:t>
            </w:r>
          </w:p>
        </w:tc>
        <w:tc>
          <w:tcPr>
            <w:tcW w:w="1620" w:type="dxa"/>
            <w:vAlign w:val="bottom"/>
          </w:tcPr>
          <w:p w14:paraId="1632E82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9FFD06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25EA721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EED6777" w14:textId="77777777" w:rsidTr="0021000E">
        <w:trPr>
          <w:trHeight w:val="280"/>
        </w:trPr>
        <w:tc>
          <w:tcPr>
            <w:tcW w:w="2790" w:type="dxa"/>
            <w:vAlign w:val="bottom"/>
          </w:tcPr>
          <w:p w14:paraId="371D484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Garlic</w:t>
            </w:r>
          </w:p>
        </w:tc>
        <w:tc>
          <w:tcPr>
            <w:tcW w:w="1800" w:type="dxa"/>
            <w:vAlign w:val="bottom"/>
          </w:tcPr>
          <w:p w14:paraId="7969A2A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492C87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6E21AD1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CFA0AB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F7B0E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20948DA" w14:textId="77777777" w:rsidTr="0021000E">
        <w:trPr>
          <w:trHeight w:val="280"/>
        </w:trPr>
        <w:tc>
          <w:tcPr>
            <w:tcW w:w="2790" w:type="dxa"/>
            <w:vAlign w:val="bottom"/>
          </w:tcPr>
          <w:p w14:paraId="24A741C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Grain storage facilities (empty)</w:t>
            </w:r>
          </w:p>
        </w:tc>
        <w:tc>
          <w:tcPr>
            <w:tcW w:w="1800" w:type="dxa"/>
            <w:vAlign w:val="bottom"/>
          </w:tcPr>
          <w:p w14:paraId="3F9371B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167F68E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26.14</w:t>
            </w:r>
          </w:p>
        </w:tc>
        <w:tc>
          <w:tcPr>
            <w:tcW w:w="1620" w:type="dxa"/>
            <w:vAlign w:val="bottom"/>
          </w:tcPr>
          <w:p w14:paraId="30E9434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FC8072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37C7AB7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r>
      <w:tr w:rsidR="000E5A0E" w:rsidRPr="009A2045" w14:paraId="1658E80A" w14:textId="77777777" w:rsidTr="0021000E">
        <w:trPr>
          <w:trHeight w:val="280"/>
        </w:trPr>
        <w:tc>
          <w:tcPr>
            <w:tcW w:w="2790" w:type="dxa"/>
            <w:vAlign w:val="bottom"/>
          </w:tcPr>
          <w:p w14:paraId="393C802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Grain Storage Facilities and Transport (wheat, corn, oats, barley and rye)</w:t>
            </w:r>
          </w:p>
        </w:tc>
        <w:tc>
          <w:tcPr>
            <w:tcW w:w="1800" w:type="dxa"/>
            <w:vAlign w:val="bottom"/>
          </w:tcPr>
          <w:p w14:paraId="610D316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522D606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26.14</w:t>
            </w:r>
          </w:p>
        </w:tc>
        <w:tc>
          <w:tcPr>
            <w:tcW w:w="1620" w:type="dxa"/>
            <w:vAlign w:val="bottom"/>
          </w:tcPr>
          <w:p w14:paraId="31D9739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c>
          <w:tcPr>
            <w:tcW w:w="1440" w:type="dxa"/>
            <w:vAlign w:val="bottom"/>
          </w:tcPr>
          <w:p w14:paraId="7E35407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5BF663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60</w:t>
            </w:r>
          </w:p>
        </w:tc>
      </w:tr>
      <w:tr w:rsidR="000E5A0E" w:rsidRPr="009A2045" w14:paraId="6E30727F" w14:textId="77777777" w:rsidTr="0021000E">
        <w:trPr>
          <w:trHeight w:val="280"/>
        </w:trPr>
        <w:tc>
          <w:tcPr>
            <w:tcW w:w="2790" w:type="dxa"/>
            <w:vAlign w:val="bottom"/>
          </w:tcPr>
          <w:p w14:paraId="6BCA853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Grain Storage Facilities and Transport (wheat, corn, oats, barley and rye)</w:t>
            </w:r>
          </w:p>
        </w:tc>
        <w:tc>
          <w:tcPr>
            <w:tcW w:w="1800" w:type="dxa"/>
            <w:vAlign w:val="bottom"/>
          </w:tcPr>
          <w:p w14:paraId="5365C16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w:t>
            </w:r>
          </w:p>
        </w:tc>
        <w:tc>
          <w:tcPr>
            <w:tcW w:w="1440" w:type="dxa"/>
            <w:vAlign w:val="bottom"/>
          </w:tcPr>
          <w:p w14:paraId="01B8B92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26A4AE6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c>
          <w:tcPr>
            <w:tcW w:w="1440" w:type="dxa"/>
            <w:vAlign w:val="bottom"/>
          </w:tcPr>
          <w:p w14:paraId="16C3114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47A2D8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59DDF4EA" w14:textId="77777777" w:rsidTr="0021000E">
        <w:trPr>
          <w:trHeight w:val="280"/>
        </w:trPr>
        <w:tc>
          <w:tcPr>
            <w:tcW w:w="2790" w:type="dxa"/>
            <w:vAlign w:val="bottom"/>
          </w:tcPr>
          <w:p w14:paraId="53A55AA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Grapes (raisin, table, wine)</w:t>
            </w:r>
          </w:p>
        </w:tc>
        <w:tc>
          <w:tcPr>
            <w:tcW w:w="1800" w:type="dxa"/>
            <w:vAlign w:val="bottom"/>
          </w:tcPr>
          <w:p w14:paraId="0993EE3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B26B89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1.88</w:t>
            </w:r>
          </w:p>
        </w:tc>
        <w:tc>
          <w:tcPr>
            <w:tcW w:w="1620" w:type="dxa"/>
            <w:vAlign w:val="bottom"/>
          </w:tcPr>
          <w:p w14:paraId="6784D91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E8A205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406F47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14</w:t>
            </w:r>
          </w:p>
        </w:tc>
      </w:tr>
      <w:tr w:rsidR="000E5A0E" w:rsidRPr="009A2045" w14:paraId="44FD95DC" w14:textId="77777777" w:rsidTr="0021000E">
        <w:trPr>
          <w:trHeight w:val="280"/>
        </w:trPr>
        <w:tc>
          <w:tcPr>
            <w:tcW w:w="2790" w:type="dxa"/>
            <w:vAlign w:val="bottom"/>
          </w:tcPr>
          <w:p w14:paraId="330993D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Grass (forage)</w:t>
            </w:r>
          </w:p>
        </w:tc>
        <w:tc>
          <w:tcPr>
            <w:tcW w:w="1800" w:type="dxa"/>
            <w:vAlign w:val="bottom"/>
          </w:tcPr>
          <w:p w14:paraId="117A83D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420A0E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12CA8B6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F539A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455E12A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r>
      <w:tr w:rsidR="000E5A0E" w:rsidRPr="009A2045" w14:paraId="78E6044D" w14:textId="77777777" w:rsidTr="0021000E">
        <w:trPr>
          <w:trHeight w:val="280"/>
        </w:trPr>
        <w:tc>
          <w:tcPr>
            <w:tcW w:w="2790" w:type="dxa"/>
            <w:vAlign w:val="bottom"/>
          </w:tcPr>
          <w:p w14:paraId="4F6AFDE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Grass, Bermuda</w:t>
            </w:r>
          </w:p>
        </w:tc>
        <w:tc>
          <w:tcPr>
            <w:tcW w:w="1800" w:type="dxa"/>
            <w:vAlign w:val="bottom"/>
          </w:tcPr>
          <w:p w14:paraId="569C413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37FC0B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170FFF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BCE4EE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14B4D89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NA</w:t>
            </w:r>
          </w:p>
        </w:tc>
      </w:tr>
      <w:tr w:rsidR="000E5A0E" w:rsidRPr="009A2045" w14:paraId="457C03D8" w14:textId="77777777" w:rsidTr="0021000E">
        <w:trPr>
          <w:trHeight w:val="280"/>
        </w:trPr>
        <w:tc>
          <w:tcPr>
            <w:tcW w:w="2790" w:type="dxa"/>
            <w:vAlign w:val="bottom"/>
          </w:tcPr>
          <w:p w14:paraId="2B3FE9F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Guava</w:t>
            </w:r>
          </w:p>
        </w:tc>
        <w:tc>
          <w:tcPr>
            <w:tcW w:w="1800" w:type="dxa"/>
            <w:vAlign w:val="bottom"/>
          </w:tcPr>
          <w:p w14:paraId="4DFEB90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00C889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3BE12D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8A0170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13</w:t>
            </w:r>
          </w:p>
        </w:tc>
        <w:tc>
          <w:tcPr>
            <w:tcW w:w="1350" w:type="dxa"/>
            <w:vAlign w:val="bottom"/>
          </w:tcPr>
          <w:p w14:paraId="409F974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r>
      <w:tr w:rsidR="000E5A0E" w:rsidRPr="009A2045" w14:paraId="5B52E9FC" w14:textId="77777777" w:rsidTr="0021000E">
        <w:trPr>
          <w:trHeight w:val="280"/>
        </w:trPr>
        <w:tc>
          <w:tcPr>
            <w:tcW w:w="2790" w:type="dxa"/>
            <w:vAlign w:val="bottom"/>
          </w:tcPr>
          <w:p w14:paraId="41AC4904"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Honeydew</w:t>
            </w:r>
          </w:p>
        </w:tc>
        <w:tc>
          <w:tcPr>
            <w:tcW w:w="1800" w:type="dxa"/>
            <w:vAlign w:val="bottom"/>
          </w:tcPr>
          <w:p w14:paraId="0979E63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482661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39932F1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E832C3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943710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80BD4D1" w14:textId="77777777" w:rsidTr="0021000E">
        <w:trPr>
          <w:trHeight w:val="280"/>
        </w:trPr>
        <w:tc>
          <w:tcPr>
            <w:tcW w:w="2790" w:type="dxa"/>
            <w:vAlign w:val="bottom"/>
          </w:tcPr>
          <w:p w14:paraId="16E7525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Hops</w:t>
            </w:r>
          </w:p>
        </w:tc>
        <w:tc>
          <w:tcPr>
            <w:tcW w:w="1800" w:type="dxa"/>
            <w:vAlign w:val="bottom"/>
          </w:tcPr>
          <w:p w14:paraId="434EE61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4DDDE5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0.63</w:t>
            </w:r>
          </w:p>
        </w:tc>
        <w:tc>
          <w:tcPr>
            <w:tcW w:w="1620" w:type="dxa"/>
            <w:vAlign w:val="bottom"/>
          </w:tcPr>
          <w:p w14:paraId="0EA69AB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88A881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594C9B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3782B07" w14:textId="77777777" w:rsidTr="0021000E">
        <w:trPr>
          <w:trHeight w:val="280"/>
        </w:trPr>
        <w:tc>
          <w:tcPr>
            <w:tcW w:w="2790" w:type="dxa"/>
            <w:vAlign w:val="bottom"/>
          </w:tcPr>
          <w:p w14:paraId="18F00D2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Horseradish</w:t>
            </w:r>
          </w:p>
        </w:tc>
        <w:tc>
          <w:tcPr>
            <w:tcW w:w="1800" w:type="dxa"/>
            <w:vAlign w:val="bottom"/>
          </w:tcPr>
          <w:p w14:paraId="4C353F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1D6A84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13028CC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3DE7D3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9775EA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FC2E7DE" w14:textId="77777777" w:rsidTr="0021000E">
        <w:trPr>
          <w:trHeight w:val="280"/>
        </w:trPr>
        <w:tc>
          <w:tcPr>
            <w:tcW w:w="2790" w:type="dxa"/>
            <w:vAlign w:val="bottom"/>
          </w:tcPr>
          <w:p w14:paraId="5417820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Kale</w:t>
            </w:r>
          </w:p>
        </w:tc>
        <w:tc>
          <w:tcPr>
            <w:tcW w:w="1800" w:type="dxa"/>
            <w:vAlign w:val="bottom"/>
          </w:tcPr>
          <w:p w14:paraId="24E3781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58303B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E334D6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12CC61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4DB8A5F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63365F25" w14:textId="77777777" w:rsidTr="0021000E">
        <w:trPr>
          <w:trHeight w:val="280"/>
        </w:trPr>
        <w:tc>
          <w:tcPr>
            <w:tcW w:w="2790" w:type="dxa"/>
            <w:vAlign w:val="bottom"/>
          </w:tcPr>
          <w:p w14:paraId="3345F6E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Kohlrabi</w:t>
            </w:r>
          </w:p>
        </w:tc>
        <w:tc>
          <w:tcPr>
            <w:tcW w:w="1800" w:type="dxa"/>
            <w:vAlign w:val="bottom"/>
          </w:tcPr>
          <w:p w14:paraId="1E1DF22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DDFB42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0A0E60C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4A2B53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10FB8E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1FB97B1" w14:textId="77777777" w:rsidTr="0021000E">
        <w:trPr>
          <w:trHeight w:val="280"/>
        </w:trPr>
        <w:tc>
          <w:tcPr>
            <w:tcW w:w="2790" w:type="dxa"/>
            <w:vAlign w:val="bottom"/>
          </w:tcPr>
          <w:p w14:paraId="37ED02B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Kumquat</w:t>
            </w:r>
          </w:p>
        </w:tc>
        <w:tc>
          <w:tcPr>
            <w:tcW w:w="1800" w:type="dxa"/>
            <w:vAlign w:val="bottom"/>
          </w:tcPr>
          <w:p w14:paraId="1A8E962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B2418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4.5</w:t>
            </w:r>
          </w:p>
        </w:tc>
        <w:tc>
          <w:tcPr>
            <w:tcW w:w="1620" w:type="dxa"/>
            <w:vAlign w:val="bottom"/>
          </w:tcPr>
          <w:p w14:paraId="62D89C9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AFBE2D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350" w:type="dxa"/>
            <w:vAlign w:val="bottom"/>
          </w:tcPr>
          <w:p w14:paraId="1C39018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30</w:t>
            </w:r>
          </w:p>
        </w:tc>
      </w:tr>
      <w:tr w:rsidR="000E5A0E" w:rsidRPr="009A2045" w14:paraId="4B7B42DE" w14:textId="77777777" w:rsidTr="0021000E">
        <w:trPr>
          <w:trHeight w:val="280"/>
        </w:trPr>
        <w:tc>
          <w:tcPr>
            <w:tcW w:w="2790" w:type="dxa"/>
            <w:vAlign w:val="bottom"/>
          </w:tcPr>
          <w:p w14:paraId="3BF7355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Leek</w:t>
            </w:r>
          </w:p>
        </w:tc>
        <w:tc>
          <w:tcPr>
            <w:tcW w:w="1800" w:type="dxa"/>
            <w:vAlign w:val="bottom"/>
          </w:tcPr>
          <w:p w14:paraId="15C74FB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A49B69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18ED63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6164BA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0062058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6A53A8D" w14:textId="77777777" w:rsidTr="0021000E">
        <w:trPr>
          <w:trHeight w:val="280"/>
        </w:trPr>
        <w:tc>
          <w:tcPr>
            <w:tcW w:w="2790" w:type="dxa"/>
            <w:vAlign w:val="bottom"/>
          </w:tcPr>
          <w:p w14:paraId="52C1204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Lentils</w:t>
            </w:r>
          </w:p>
        </w:tc>
        <w:tc>
          <w:tcPr>
            <w:tcW w:w="1800" w:type="dxa"/>
            <w:vAlign w:val="bottom"/>
          </w:tcPr>
          <w:p w14:paraId="5600460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38AFBD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620" w:type="dxa"/>
            <w:vAlign w:val="bottom"/>
          </w:tcPr>
          <w:p w14:paraId="65EB5E2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1873D0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0C3E21D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75BA3680" w14:textId="77777777" w:rsidTr="0021000E">
        <w:trPr>
          <w:trHeight w:val="280"/>
        </w:trPr>
        <w:tc>
          <w:tcPr>
            <w:tcW w:w="2790" w:type="dxa"/>
            <w:vAlign w:val="bottom"/>
          </w:tcPr>
          <w:p w14:paraId="4BC4205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Lespedeza</w:t>
            </w:r>
          </w:p>
        </w:tc>
        <w:tc>
          <w:tcPr>
            <w:tcW w:w="1800" w:type="dxa"/>
            <w:vAlign w:val="bottom"/>
          </w:tcPr>
          <w:p w14:paraId="3E18AF3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407EC5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F02810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E1C9E9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1AFCF7C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14</w:t>
            </w:r>
          </w:p>
        </w:tc>
      </w:tr>
      <w:tr w:rsidR="000E5A0E" w:rsidRPr="009A2045" w14:paraId="76FD81F9" w14:textId="77777777" w:rsidTr="0021000E">
        <w:trPr>
          <w:trHeight w:val="280"/>
        </w:trPr>
        <w:tc>
          <w:tcPr>
            <w:tcW w:w="2790" w:type="dxa"/>
            <w:vAlign w:val="bottom"/>
          </w:tcPr>
          <w:p w14:paraId="03C9C8F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Lettuce (head)</w:t>
            </w:r>
          </w:p>
        </w:tc>
        <w:tc>
          <w:tcPr>
            <w:tcW w:w="1800" w:type="dxa"/>
            <w:vAlign w:val="bottom"/>
          </w:tcPr>
          <w:p w14:paraId="6F2F2D9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FF55B8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1.88</w:t>
            </w:r>
          </w:p>
        </w:tc>
        <w:tc>
          <w:tcPr>
            <w:tcW w:w="1620" w:type="dxa"/>
            <w:vAlign w:val="bottom"/>
          </w:tcPr>
          <w:p w14:paraId="02C59AD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1D3197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A854D9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6</w:t>
            </w:r>
          </w:p>
        </w:tc>
      </w:tr>
      <w:tr w:rsidR="000E5A0E" w:rsidRPr="009A2045" w14:paraId="209B5673" w14:textId="77777777" w:rsidTr="0021000E">
        <w:trPr>
          <w:trHeight w:val="280"/>
        </w:trPr>
        <w:tc>
          <w:tcPr>
            <w:tcW w:w="2790" w:type="dxa"/>
            <w:vAlign w:val="bottom"/>
          </w:tcPr>
          <w:p w14:paraId="7670268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Lettuce (leaf)</w:t>
            </w:r>
          </w:p>
        </w:tc>
        <w:tc>
          <w:tcPr>
            <w:tcW w:w="1800" w:type="dxa"/>
            <w:vAlign w:val="bottom"/>
          </w:tcPr>
          <w:p w14:paraId="47836A5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793E00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1.88</w:t>
            </w:r>
          </w:p>
        </w:tc>
        <w:tc>
          <w:tcPr>
            <w:tcW w:w="1620" w:type="dxa"/>
            <w:vAlign w:val="bottom"/>
          </w:tcPr>
          <w:p w14:paraId="1F06448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E7F128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BF5D28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7ECA6C47" w14:textId="77777777" w:rsidTr="0021000E">
        <w:trPr>
          <w:trHeight w:val="280"/>
        </w:trPr>
        <w:tc>
          <w:tcPr>
            <w:tcW w:w="2790" w:type="dxa"/>
            <w:vAlign w:val="bottom"/>
          </w:tcPr>
          <w:p w14:paraId="02502A8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Macadamia nut</w:t>
            </w:r>
          </w:p>
        </w:tc>
        <w:tc>
          <w:tcPr>
            <w:tcW w:w="1800" w:type="dxa"/>
            <w:vAlign w:val="bottom"/>
          </w:tcPr>
          <w:p w14:paraId="587D6CF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EC92DD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0.94</w:t>
            </w:r>
          </w:p>
        </w:tc>
        <w:tc>
          <w:tcPr>
            <w:tcW w:w="1620" w:type="dxa"/>
            <w:vAlign w:val="bottom"/>
          </w:tcPr>
          <w:p w14:paraId="66F0B59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B7296C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6</w:t>
            </w:r>
          </w:p>
        </w:tc>
        <w:tc>
          <w:tcPr>
            <w:tcW w:w="1350" w:type="dxa"/>
            <w:vAlign w:val="bottom"/>
          </w:tcPr>
          <w:p w14:paraId="360F29F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49F6B1F" w14:textId="77777777" w:rsidTr="0021000E">
        <w:trPr>
          <w:trHeight w:val="280"/>
        </w:trPr>
        <w:tc>
          <w:tcPr>
            <w:tcW w:w="2790" w:type="dxa"/>
            <w:vAlign w:val="bottom"/>
          </w:tcPr>
          <w:p w14:paraId="36A8E7C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Mango</w:t>
            </w:r>
          </w:p>
        </w:tc>
        <w:tc>
          <w:tcPr>
            <w:tcW w:w="1800" w:type="dxa"/>
            <w:vAlign w:val="bottom"/>
          </w:tcPr>
          <w:p w14:paraId="08D0FDF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4AA939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0.9375</w:t>
            </w:r>
          </w:p>
        </w:tc>
        <w:tc>
          <w:tcPr>
            <w:tcW w:w="1620" w:type="dxa"/>
            <w:vAlign w:val="bottom"/>
          </w:tcPr>
          <w:p w14:paraId="2EECD28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E56957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10</w:t>
            </w:r>
          </w:p>
        </w:tc>
        <w:tc>
          <w:tcPr>
            <w:tcW w:w="1350" w:type="dxa"/>
            <w:vAlign w:val="bottom"/>
          </w:tcPr>
          <w:p w14:paraId="6AB09DB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7367779" w14:textId="77777777" w:rsidTr="0021000E">
        <w:trPr>
          <w:trHeight w:val="280"/>
        </w:trPr>
        <w:tc>
          <w:tcPr>
            <w:tcW w:w="2790" w:type="dxa"/>
            <w:vAlign w:val="bottom"/>
          </w:tcPr>
          <w:p w14:paraId="42DD3E7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Melons (other than watermelon)</w:t>
            </w:r>
          </w:p>
        </w:tc>
        <w:tc>
          <w:tcPr>
            <w:tcW w:w="1800" w:type="dxa"/>
            <w:vAlign w:val="bottom"/>
          </w:tcPr>
          <w:p w14:paraId="3CB2D3B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370136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6DA62C8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B07923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0C80E0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76395AA" w14:textId="77777777" w:rsidTr="0021000E">
        <w:trPr>
          <w:trHeight w:val="280"/>
        </w:trPr>
        <w:tc>
          <w:tcPr>
            <w:tcW w:w="2790" w:type="dxa"/>
            <w:vAlign w:val="bottom"/>
          </w:tcPr>
          <w:p w14:paraId="0F9247E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Mint</w:t>
            </w:r>
          </w:p>
        </w:tc>
        <w:tc>
          <w:tcPr>
            <w:tcW w:w="1800" w:type="dxa"/>
            <w:vAlign w:val="bottom"/>
          </w:tcPr>
          <w:p w14:paraId="79DC644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7007E1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0.94</w:t>
            </w:r>
          </w:p>
        </w:tc>
        <w:tc>
          <w:tcPr>
            <w:tcW w:w="1620" w:type="dxa"/>
            <w:vAlign w:val="bottom"/>
          </w:tcPr>
          <w:p w14:paraId="08F31BE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181CF3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1BF8806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330C41F" w14:textId="77777777" w:rsidTr="0021000E">
        <w:trPr>
          <w:trHeight w:val="280"/>
        </w:trPr>
        <w:tc>
          <w:tcPr>
            <w:tcW w:w="2790" w:type="dxa"/>
            <w:vAlign w:val="bottom"/>
          </w:tcPr>
          <w:p w14:paraId="327159D9"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Mushrooms</w:t>
            </w:r>
          </w:p>
        </w:tc>
        <w:tc>
          <w:tcPr>
            <w:tcW w:w="1800" w:type="dxa"/>
            <w:vAlign w:val="bottom"/>
          </w:tcPr>
          <w:p w14:paraId="4190B16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6F3630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w:t>
            </w:r>
          </w:p>
        </w:tc>
        <w:tc>
          <w:tcPr>
            <w:tcW w:w="1620" w:type="dxa"/>
            <w:vAlign w:val="bottom"/>
          </w:tcPr>
          <w:p w14:paraId="222B323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E31B7E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0467F50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r>
      <w:tr w:rsidR="000E5A0E" w:rsidRPr="009A2045" w14:paraId="32A95DFC" w14:textId="77777777" w:rsidTr="0021000E">
        <w:trPr>
          <w:trHeight w:val="280"/>
        </w:trPr>
        <w:tc>
          <w:tcPr>
            <w:tcW w:w="2790" w:type="dxa"/>
            <w:vAlign w:val="bottom"/>
          </w:tcPr>
          <w:p w14:paraId="20E0AF48"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Mustard Greens</w:t>
            </w:r>
          </w:p>
        </w:tc>
        <w:tc>
          <w:tcPr>
            <w:tcW w:w="1800" w:type="dxa"/>
            <w:vAlign w:val="bottom"/>
          </w:tcPr>
          <w:p w14:paraId="66B124B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4DA45D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34B710C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E0B151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A3587D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6DE48C82" w14:textId="77777777" w:rsidTr="0021000E">
        <w:trPr>
          <w:trHeight w:val="280"/>
        </w:trPr>
        <w:tc>
          <w:tcPr>
            <w:tcW w:w="2790" w:type="dxa"/>
            <w:vAlign w:val="bottom"/>
          </w:tcPr>
          <w:p w14:paraId="2687515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Nectarines</w:t>
            </w:r>
          </w:p>
        </w:tc>
        <w:tc>
          <w:tcPr>
            <w:tcW w:w="1800" w:type="dxa"/>
            <w:vAlign w:val="bottom"/>
          </w:tcPr>
          <w:p w14:paraId="3047F9F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44DCC5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620" w:type="dxa"/>
            <w:vAlign w:val="bottom"/>
          </w:tcPr>
          <w:p w14:paraId="47A48A8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E6453D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9F101F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7599FF49" w14:textId="77777777" w:rsidTr="0021000E">
        <w:trPr>
          <w:trHeight w:val="280"/>
        </w:trPr>
        <w:tc>
          <w:tcPr>
            <w:tcW w:w="2790" w:type="dxa"/>
            <w:vAlign w:val="bottom"/>
          </w:tcPr>
          <w:p w14:paraId="73EF512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Non-agricultural uncultivated areas/soil</w:t>
            </w:r>
          </w:p>
        </w:tc>
        <w:tc>
          <w:tcPr>
            <w:tcW w:w="1800" w:type="dxa"/>
            <w:vAlign w:val="bottom"/>
          </w:tcPr>
          <w:p w14:paraId="3F08739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246895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0.6</w:t>
            </w:r>
          </w:p>
        </w:tc>
        <w:tc>
          <w:tcPr>
            <w:tcW w:w="1620" w:type="dxa"/>
            <w:vAlign w:val="bottom"/>
          </w:tcPr>
          <w:p w14:paraId="2710D97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C74009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1947E14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r>
      <w:tr w:rsidR="000E5A0E" w:rsidRPr="009A2045" w14:paraId="32FC8569" w14:textId="77777777" w:rsidTr="0021000E">
        <w:trPr>
          <w:trHeight w:val="280"/>
        </w:trPr>
        <w:tc>
          <w:tcPr>
            <w:tcW w:w="2790" w:type="dxa"/>
            <w:vAlign w:val="bottom"/>
          </w:tcPr>
          <w:p w14:paraId="2FE390F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Oats</w:t>
            </w:r>
          </w:p>
        </w:tc>
        <w:tc>
          <w:tcPr>
            <w:tcW w:w="1800" w:type="dxa"/>
            <w:vAlign w:val="bottom"/>
          </w:tcPr>
          <w:p w14:paraId="483C96D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7728FE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6107E27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688D77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ABF967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76B9D238" w14:textId="77777777" w:rsidTr="0021000E">
        <w:trPr>
          <w:trHeight w:val="280"/>
        </w:trPr>
        <w:tc>
          <w:tcPr>
            <w:tcW w:w="2790" w:type="dxa"/>
            <w:vAlign w:val="bottom"/>
          </w:tcPr>
          <w:p w14:paraId="1C96E4B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Okra</w:t>
            </w:r>
          </w:p>
        </w:tc>
        <w:tc>
          <w:tcPr>
            <w:tcW w:w="1800" w:type="dxa"/>
            <w:vAlign w:val="bottom"/>
          </w:tcPr>
          <w:p w14:paraId="63D1E71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69B8C0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w:t>
            </w:r>
          </w:p>
        </w:tc>
        <w:tc>
          <w:tcPr>
            <w:tcW w:w="1620" w:type="dxa"/>
            <w:vAlign w:val="bottom"/>
          </w:tcPr>
          <w:p w14:paraId="1857387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51D095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c>
          <w:tcPr>
            <w:tcW w:w="1350" w:type="dxa"/>
            <w:vAlign w:val="bottom"/>
          </w:tcPr>
          <w:p w14:paraId="25FD051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6DE7C8A" w14:textId="77777777" w:rsidTr="0021000E">
        <w:trPr>
          <w:trHeight w:val="280"/>
        </w:trPr>
        <w:tc>
          <w:tcPr>
            <w:tcW w:w="2790" w:type="dxa"/>
            <w:vAlign w:val="bottom"/>
          </w:tcPr>
          <w:p w14:paraId="51C2A06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Onion (bulb and green)</w:t>
            </w:r>
          </w:p>
        </w:tc>
        <w:tc>
          <w:tcPr>
            <w:tcW w:w="1800" w:type="dxa"/>
            <w:vAlign w:val="bottom"/>
          </w:tcPr>
          <w:p w14:paraId="328FBB2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F0A873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61F1A1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DD8C2A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FB0A60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7D90853" w14:textId="77777777" w:rsidTr="0021000E">
        <w:trPr>
          <w:trHeight w:val="280"/>
        </w:trPr>
        <w:tc>
          <w:tcPr>
            <w:tcW w:w="2790" w:type="dxa"/>
            <w:vAlign w:val="bottom"/>
          </w:tcPr>
          <w:p w14:paraId="605C88B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Papaya</w:t>
            </w:r>
          </w:p>
        </w:tc>
        <w:tc>
          <w:tcPr>
            <w:tcW w:w="1800" w:type="dxa"/>
            <w:vAlign w:val="bottom"/>
          </w:tcPr>
          <w:p w14:paraId="58F65C8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E4884C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3F1AA90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CD41A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8</w:t>
            </w:r>
          </w:p>
        </w:tc>
        <w:tc>
          <w:tcPr>
            <w:tcW w:w="1350" w:type="dxa"/>
            <w:vAlign w:val="bottom"/>
          </w:tcPr>
          <w:p w14:paraId="70145A4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r>
      <w:tr w:rsidR="000E5A0E" w:rsidRPr="009A2045" w14:paraId="78895176" w14:textId="77777777" w:rsidTr="0021000E">
        <w:trPr>
          <w:trHeight w:val="280"/>
        </w:trPr>
        <w:tc>
          <w:tcPr>
            <w:tcW w:w="2790" w:type="dxa"/>
            <w:vAlign w:val="bottom"/>
          </w:tcPr>
          <w:p w14:paraId="3C213597"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Parsley</w:t>
            </w:r>
          </w:p>
        </w:tc>
        <w:tc>
          <w:tcPr>
            <w:tcW w:w="1800" w:type="dxa"/>
            <w:vAlign w:val="bottom"/>
          </w:tcPr>
          <w:p w14:paraId="6111A8B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D832E0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2C8AAF4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F73B2C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49E50A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F1B1BB4" w14:textId="77777777" w:rsidTr="0021000E">
        <w:trPr>
          <w:trHeight w:val="280"/>
        </w:trPr>
        <w:tc>
          <w:tcPr>
            <w:tcW w:w="2790" w:type="dxa"/>
            <w:vAlign w:val="bottom"/>
          </w:tcPr>
          <w:p w14:paraId="470715A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Parsnip</w:t>
            </w:r>
          </w:p>
        </w:tc>
        <w:tc>
          <w:tcPr>
            <w:tcW w:w="1800" w:type="dxa"/>
            <w:vAlign w:val="bottom"/>
          </w:tcPr>
          <w:p w14:paraId="75D57B6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9EC2E4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14B8506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DF16DD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210871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3786D90" w14:textId="77777777" w:rsidTr="0021000E">
        <w:trPr>
          <w:trHeight w:val="280"/>
        </w:trPr>
        <w:tc>
          <w:tcPr>
            <w:tcW w:w="2790" w:type="dxa"/>
            <w:vAlign w:val="bottom"/>
          </w:tcPr>
          <w:p w14:paraId="0E02918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Passion Fruit</w:t>
            </w:r>
          </w:p>
        </w:tc>
        <w:tc>
          <w:tcPr>
            <w:tcW w:w="1800" w:type="dxa"/>
            <w:vAlign w:val="bottom"/>
          </w:tcPr>
          <w:p w14:paraId="13957FF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95A3E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61FA18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684E29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8</w:t>
            </w:r>
          </w:p>
        </w:tc>
        <w:tc>
          <w:tcPr>
            <w:tcW w:w="1350" w:type="dxa"/>
            <w:vAlign w:val="bottom"/>
          </w:tcPr>
          <w:p w14:paraId="72F5317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F5BDEBF" w14:textId="77777777" w:rsidTr="0021000E">
        <w:trPr>
          <w:trHeight w:val="280"/>
        </w:trPr>
        <w:tc>
          <w:tcPr>
            <w:tcW w:w="2790" w:type="dxa"/>
            <w:vAlign w:val="bottom"/>
          </w:tcPr>
          <w:p w14:paraId="7E100F8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Peaches</w:t>
            </w:r>
          </w:p>
        </w:tc>
        <w:tc>
          <w:tcPr>
            <w:tcW w:w="1800" w:type="dxa"/>
            <w:vAlign w:val="bottom"/>
          </w:tcPr>
          <w:p w14:paraId="4931265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D99496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620" w:type="dxa"/>
            <w:vAlign w:val="bottom"/>
          </w:tcPr>
          <w:p w14:paraId="7CA1AD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195E3C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4E50DDD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11</w:t>
            </w:r>
          </w:p>
        </w:tc>
      </w:tr>
      <w:tr w:rsidR="000E5A0E" w:rsidRPr="009A2045" w14:paraId="25C430A6" w14:textId="77777777" w:rsidTr="0021000E">
        <w:trPr>
          <w:trHeight w:val="280"/>
        </w:trPr>
        <w:tc>
          <w:tcPr>
            <w:tcW w:w="2790" w:type="dxa"/>
            <w:vAlign w:val="bottom"/>
          </w:tcPr>
          <w:p w14:paraId="527D041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Pears</w:t>
            </w:r>
          </w:p>
        </w:tc>
        <w:tc>
          <w:tcPr>
            <w:tcW w:w="1800" w:type="dxa"/>
            <w:vAlign w:val="bottom"/>
          </w:tcPr>
          <w:p w14:paraId="2113348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8D426F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DE8BE5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4DA979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30F7996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9CCAFFE" w14:textId="77777777" w:rsidTr="0021000E">
        <w:trPr>
          <w:trHeight w:val="280"/>
        </w:trPr>
        <w:tc>
          <w:tcPr>
            <w:tcW w:w="2790" w:type="dxa"/>
            <w:vAlign w:val="bottom"/>
          </w:tcPr>
          <w:p w14:paraId="728B274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Peas (dry, succulent)</w:t>
            </w:r>
          </w:p>
        </w:tc>
        <w:tc>
          <w:tcPr>
            <w:tcW w:w="1800" w:type="dxa"/>
            <w:vAlign w:val="bottom"/>
          </w:tcPr>
          <w:p w14:paraId="5F6F640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F5D3D1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6FD0E9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526A1E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61D36D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2EFD903" w14:textId="77777777" w:rsidTr="0021000E">
        <w:trPr>
          <w:trHeight w:val="280"/>
        </w:trPr>
        <w:tc>
          <w:tcPr>
            <w:tcW w:w="2790" w:type="dxa"/>
            <w:vAlign w:val="bottom"/>
          </w:tcPr>
          <w:p w14:paraId="0C88625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Pecans</w:t>
            </w:r>
          </w:p>
        </w:tc>
        <w:tc>
          <w:tcPr>
            <w:tcW w:w="1800" w:type="dxa"/>
            <w:vAlign w:val="bottom"/>
          </w:tcPr>
          <w:p w14:paraId="6732616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2CE86A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2.5</w:t>
            </w:r>
          </w:p>
        </w:tc>
        <w:tc>
          <w:tcPr>
            <w:tcW w:w="1620" w:type="dxa"/>
            <w:vAlign w:val="bottom"/>
          </w:tcPr>
          <w:p w14:paraId="18117C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1ECC7A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23B3C74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166D0C2" w14:textId="77777777" w:rsidTr="0021000E">
        <w:trPr>
          <w:trHeight w:val="280"/>
        </w:trPr>
        <w:tc>
          <w:tcPr>
            <w:tcW w:w="2790" w:type="dxa"/>
            <w:vAlign w:val="bottom"/>
          </w:tcPr>
          <w:p w14:paraId="06651E1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Peppers</w:t>
            </w:r>
          </w:p>
        </w:tc>
        <w:tc>
          <w:tcPr>
            <w:tcW w:w="1800" w:type="dxa"/>
            <w:vAlign w:val="bottom"/>
          </w:tcPr>
          <w:p w14:paraId="7040DFB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3D3CE5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6F9EDB0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C469BE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BD8A60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0770F246" w14:textId="77777777" w:rsidTr="0021000E">
        <w:trPr>
          <w:trHeight w:val="280"/>
        </w:trPr>
        <w:tc>
          <w:tcPr>
            <w:tcW w:w="2790" w:type="dxa"/>
            <w:vAlign w:val="bottom"/>
          </w:tcPr>
          <w:p w14:paraId="2063778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Pine seed orchards</w:t>
            </w:r>
          </w:p>
        </w:tc>
        <w:tc>
          <w:tcPr>
            <w:tcW w:w="1800" w:type="dxa"/>
            <w:vAlign w:val="bottom"/>
          </w:tcPr>
          <w:p w14:paraId="22ED096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A8D7C7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3.2</w:t>
            </w:r>
          </w:p>
        </w:tc>
        <w:tc>
          <w:tcPr>
            <w:tcW w:w="1620" w:type="dxa"/>
            <w:vAlign w:val="bottom"/>
          </w:tcPr>
          <w:p w14:paraId="20ECE43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AFB8C3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5F3ECDF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51BFB98" w14:textId="77777777" w:rsidTr="0021000E">
        <w:trPr>
          <w:trHeight w:val="280"/>
        </w:trPr>
        <w:tc>
          <w:tcPr>
            <w:tcW w:w="2790" w:type="dxa"/>
            <w:vAlign w:val="bottom"/>
          </w:tcPr>
          <w:p w14:paraId="130B23FA"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Pineapple</w:t>
            </w:r>
          </w:p>
        </w:tc>
        <w:tc>
          <w:tcPr>
            <w:tcW w:w="1800" w:type="dxa"/>
            <w:vAlign w:val="bottom"/>
          </w:tcPr>
          <w:p w14:paraId="2D6FD84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6CA01C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620" w:type="dxa"/>
            <w:vAlign w:val="bottom"/>
          </w:tcPr>
          <w:p w14:paraId="7EB3EAA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73E69C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106BDD7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9A9D444" w14:textId="77777777" w:rsidTr="0021000E">
        <w:trPr>
          <w:trHeight w:val="280"/>
        </w:trPr>
        <w:tc>
          <w:tcPr>
            <w:tcW w:w="2790" w:type="dxa"/>
            <w:vAlign w:val="bottom"/>
          </w:tcPr>
          <w:p w14:paraId="6D8FB62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Potatoes</w:t>
            </w:r>
          </w:p>
        </w:tc>
        <w:tc>
          <w:tcPr>
            <w:tcW w:w="1800" w:type="dxa"/>
            <w:vAlign w:val="bottom"/>
          </w:tcPr>
          <w:p w14:paraId="3D4B0DD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35FDD7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0FC09DB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B701E4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746294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24942B1" w14:textId="77777777" w:rsidTr="0021000E">
        <w:trPr>
          <w:trHeight w:val="280"/>
        </w:trPr>
        <w:tc>
          <w:tcPr>
            <w:tcW w:w="2790" w:type="dxa"/>
            <w:vAlign w:val="bottom"/>
          </w:tcPr>
          <w:p w14:paraId="3341283E"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Pumpkins</w:t>
            </w:r>
          </w:p>
        </w:tc>
        <w:tc>
          <w:tcPr>
            <w:tcW w:w="1800" w:type="dxa"/>
            <w:vAlign w:val="bottom"/>
          </w:tcPr>
          <w:p w14:paraId="65B1AF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CB2778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159F91D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5ABAAD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5C5047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299A96F" w14:textId="77777777" w:rsidTr="0021000E">
        <w:trPr>
          <w:trHeight w:val="280"/>
        </w:trPr>
        <w:tc>
          <w:tcPr>
            <w:tcW w:w="2790" w:type="dxa"/>
            <w:vAlign w:val="bottom"/>
          </w:tcPr>
          <w:p w14:paraId="3F9044A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Radish</w:t>
            </w:r>
          </w:p>
        </w:tc>
        <w:tc>
          <w:tcPr>
            <w:tcW w:w="1800" w:type="dxa"/>
            <w:vAlign w:val="bottom"/>
          </w:tcPr>
          <w:p w14:paraId="1CA5EDD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4A3308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2389341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1A0EF2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7604D62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14E0538" w14:textId="77777777" w:rsidTr="0021000E">
        <w:trPr>
          <w:trHeight w:val="280"/>
        </w:trPr>
        <w:tc>
          <w:tcPr>
            <w:tcW w:w="2790" w:type="dxa"/>
            <w:vAlign w:val="bottom"/>
          </w:tcPr>
          <w:p w14:paraId="4C05D194"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Rice; Wild Rice</w:t>
            </w:r>
          </w:p>
        </w:tc>
        <w:tc>
          <w:tcPr>
            <w:tcW w:w="1800" w:type="dxa"/>
            <w:vAlign w:val="bottom"/>
          </w:tcPr>
          <w:p w14:paraId="1645F4D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4CE4F9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9D0473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64A0B3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19DE45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D1D3043" w14:textId="77777777" w:rsidTr="0021000E">
        <w:trPr>
          <w:trHeight w:val="280"/>
        </w:trPr>
        <w:tc>
          <w:tcPr>
            <w:tcW w:w="2790" w:type="dxa"/>
            <w:vAlign w:val="bottom"/>
          </w:tcPr>
          <w:p w14:paraId="392B1BE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Rutabagas</w:t>
            </w:r>
          </w:p>
        </w:tc>
        <w:tc>
          <w:tcPr>
            <w:tcW w:w="1800" w:type="dxa"/>
            <w:vAlign w:val="bottom"/>
          </w:tcPr>
          <w:p w14:paraId="45DAF9C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CAC7D2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004B81F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BC6A1F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3E3FB55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7F4B4B44" w14:textId="77777777" w:rsidTr="0021000E">
        <w:trPr>
          <w:trHeight w:val="280"/>
        </w:trPr>
        <w:tc>
          <w:tcPr>
            <w:tcW w:w="2790" w:type="dxa"/>
            <w:vAlign w:val="bottom"/>
          </w:tcPr>
          <w:p w14:paraId="53D149C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Rye</w:t>
            </w:r>
          </w:p>
        </w:tc>
        <w:tc>
          <w:tcPr>
            <w:tcW w:w="1800" w:type="dxa"/>
            <w:vAlign w:val="bottom"/>
          </w:tcPr>
          <w:p w14:paraId="1F07AC5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46C1C3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4282445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A8399F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45B6579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D4267B2" w14:textId="77777777" w:rsidTr="0021000E">
        <w:trPr>
          <w:trHeight w:val="280"/>
        </w:trPr>
        <w:tc>
          <w:tcPr>
            <w:tcW w:w="2790" w:type="dxa"/>
            <w:vAlign w:val="bottom"/>
          </w:tcPr>
          <w:p w14:paraId="069362DF"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Salsify</w:t>
            </w:r>
          </w:p>
        </w:tc>
        <w:tc>
          <w:tcPr>
            <w:tcW w:w="1800" w:type="dxa"/>
            <w:vAlign w:val="bottom"/>
          </w:tcPr>
          <w:p w14:paraId="5F44BF8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B7498E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731B91B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3B2F12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02DB2C6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466107B" w14:textId="77777777" w:rsidTr="0021000E">
        <w:trPr>
          <w:trHeight w:val="280"/>
        </w:trPr>
        <w:tc>
          <w:tcPr>
            <w:tcW w:w="2790" w:type="dxa"/>
            <w:vAlign w:val="bottom"/>
          </w:tcPr>
          <w:p w14:paraId="6790E511"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Shallot</w:t>
            </w:r>
          </w:p>
        </w:tc>
        <w:tc>
          <w:tcPr>
            <w:tcW w:w="1800" w:type="dxa"/>
            <w:vAlign w:val="bottom"/>
          </w:tcPr>
          <w:p w14:paraId="3CB0A00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EF7369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4CF6B5E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2FACE70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1727293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33D0CD7" w14:textId="77777777" w:rsidTr="0021000E">
        <w:trPr>
          <w:trHeight w:val="280"/>
        </w:trPr>
        <w:tc>
          <w:tcPr>
            <w:tcW w:w="2790" w:type="dxa"/>
            <w:vAlign w:val="bottom"/>
          </w:tcPr>
          <w:p w14:paraId="6A931A2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Sorghum</w:t>
            </w:r>
          </w:p>
        </w:tc>
        <w:tc>
          <w:tcPr>
            <w:tcW w:w="1800" w:type="dxa"/>
            <w:vAlign w:val="bottom"/>
          </w:tcPr>
          <w:p w14:paraId="285FDB8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074D5A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1D364AA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6DBC03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769DC8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40992DCD" w14:textId="77777777" w:rsidTr="0021000E">
        <w:trPr>
          <w:trHeight w:val="280"/>
        </w:trPr>
        <w:tc>
          <w:tcPr>
            <w:tcW w:w="2790" w:type="dxa"/>
            <w:vAlign w:val="bottom"/>
          </w:tcPr>
          <w:p w14:paraId="4822752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Spinach</w:t>
            </w:r>
          </w:p>
        </w:tc>
        <w:tc>
          <w:tcPr>
            <w:tcW w:w="1800" w:type="dxa"/>
            <w:vAlign w:val="bottom"/>
          </w:tcPr>
          <w:p w14:paraId="6CF4A22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FFE3F6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57D284D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24012A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2F17D6D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58382CA9" w14:textId="77777777" w:rsidTr="0021000E">
        <w:trPr>
          <w:trHeight w:val="280"/>
        </w:trPr>
        <w:tc>
          <w:tcPr>
            <w:tcW w:w="2790" w:type="dxa"/>
            <w:vAlign w:val="bottom"/>
          </w:tcPr>
          <w:p w14:paraId="4F7EE07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Squash, summer</w:t>
            </w:r>
          </w:p>
        </w:tc>
        <w:tc>
          <w:tcPr>
            <w:tcW w:w="1800" w:type="dxa"/>
            <w:vAlign w:val="bottom"/>
          </w:tcPr>
          <w:p w14:paraId="5175607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F03648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1.75</w:t>
            </w:r>
          </w:p>
        </w:tc>
        <w:tc>
          <w:tcPr>
            <w:tcW w:w="1620" w:type="dxa"/>
            <w:vAlign w:val="bottom"/>
          </w:tcPr>
          <w:p w14:paraId="6034E6C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8859E8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91EA8A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0A7725F" w14:textId="77777777" w:rsidTr="0021000E">
        <w:trPr>
          <w:trHeight w:val="280"/>
        </w:trPr>
        <w:tc>
          <w:tcPr>
            <w:tcW w:w="2790" w:type="dxa"/>
            <w:vAlign w:val="bottom"/>
          </w:tcPr>
          <w:p w14:paraId="7E16391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Squash, winter</w:t>
            </w:r>
          </w:p>
        </w:tc>
        <w:tc>
          <w:tcPr>
            <w:tcW w:w="1800" w:type="dxa"/>
            <w:vAlign w:val="bottom"/>
          </w:tcPr>
          <w:p w14:paraId="359A190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3BFE9F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247F148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A424AD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1C3DF9D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D2677E7" w14:textId="77777777" w:rsidTr="0021000E">
        <w:trPr>
          <w:trHeight w:val="280"/>
        </w:trPr>
        <w:tc>
          <w:tcPr>
            <w:tcW w:w="2790" w:type="dxa"/>
            <w:vAlign w:val="bottom"/>
          </w:tcPr>
          <w:p w14:paraId="02DB6D4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Strawberry</w:t>
            </w:r>
          </w:p>
        </w:tc>
        <w:tc>
          <w:tcPr>
            <w:tcW w:w="1800" w:type="dxa"/>
            <w:vAlign w:val="bottom"/>
          </w:tcPr>
          <w:p w14:paraId="36FACF5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EF14B6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620" w:type="dxa"/>
            <w:vAlign w:val="bottom"/>
          </w:tcPr>
          <w:p w14:paraId="19E740A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7A83F6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6C94379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6912536B" w14:textId="77777777" w:rsidTr="0021000E">
        <w:trPr>
          <w:trHeight w:val="280"/>
        </w:trPr>
        <w:tc>
          <w:tcPr>
            <w:tcW w:w="2790" w:type="dxa"/>
            <w:vAlign w:val="bottom"/>
          </w:tcPr>
          <w:p w14:paraId="17D281C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Sweet potatoes</w:t>
            </w:r>
          </w:p>
        </w:tc>
        <w:tc>
          <w:tcPr>
            <w:tcW w:w="1800" w:type="dxa"/>
            <w:vAlign w:val="bottom"/>
          </w:tcPr>
          <w:p w14:paraId="01C8A2B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09179CB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69E364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539E30C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76C11A1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D54D523" w14:textId="77777777" w:rsidTr="0021000E">
        <w:trPr>
          <w:trHeight w:val="280"/>
        </w:trPr>
        <w:tc>
          <w:tcPr>
            <w:tcW w:w="2790" w:type="dxa"/>
            <w:vAlign w:val="bottom"/>
          </w:tcPr>
          <w:p w14:paraId="7F172E46"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Swiss chard</w:t>
            </w:r>
          </w:p>
        </w:tc>
        <w:tc>
          <w:tcPr>
            <w:tcW w:w="1800" w:type="dxa"/>
            <w:vAlign w:val="bottom"/>
          </w:tcPr>
          <w:p w14:paraId="37571DA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241A659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23B73ED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7F2D62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4A0DC53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7B51286D" w14:textId="77777777" w:rsidTr="0021000E">
        <w:trPr>
          <w:trHeight w:val="280"/>
        </w:trPr>
        <w:tc>
          <w:tcPr>
            <w:tcW w:w="2790" w:type="dxa"/>
            <w:vAlign w:val="bottom"/>
          </w:tcPr>
          <w:p w14:paraId="0A814BA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Tomatoes; Tomatillos</w:t>
            </w:r>
          </w:p>
        </w:tc>
        <w:tc>
          <w:tcPr>
            <w:tcW w:w="1800" w:type="dxa"/>
            <w:vAlign w:val="bottom"/>
          </w:tcPr>
          <w:p w14:paraId="1D3EFD8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491446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23F97F1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58CF86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7C238FD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68036CD6" w14:textId="77777777" w:rsidTr="0021000E">
        <w:trPr>
          <w:trHeight w:val="280"/>
        </w:trPr>
        <w:tc>
          <w:tcPr>
            <w:tcW w:w="2790" w:type="dxa"/>
            <w:vAlign w:val="bottom"/>
          </w:tcPr>
          <w:p w14:paraId="7388E63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Trefoil (birdsfoot)</w:t>
            </w:r>
          </w:p>
        </w:tc>
        <w:tc>
          <w:tcPr>
            <w:tcW w:w="1800" w:type="dxa"/>
            <w:vAlign w:val="bottom"/>
          </w:tcPr>
          <w:p w14:paraId="65F3C4B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3CF3F8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0C5191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45FD17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5AF444E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14</w:t>
            </w:r>
          </w:p>
        </w:tc>
      </w:tr>
      <w:tr w:rsidR="000E5A0E" w:rsidRPr="009A2045" w14:paraId="7509EC24" w14:textId="77777777" w:rsidTr="0021000E">
        <w:trPr>
          <w:trHeight w:val="280"/>
        </w:trPr>
        <w:tc>
          <w:tcPr>
            <w:tcW w:w="2790" w:type="dxa"/>
            <w:vAlign w:val="bottom"/>
          </w:tcPr>
          <w:p w14:paraId="66734CAB"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Turnips (greens)</w:t>
            </w:r>
          </w:p>
        </w:tc>
        <w:tc>
          <w:tcPr>
            <w:tcW w:w="1800" w:type="dxa"/>
            <w:vAlign w:val="bottom"/>
          </w:tcPr>
          <w:p w14:paraId="705130C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5C961B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49B77DE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F65021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010D448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r>
      <w:tr w:rsidR="000E5A0E" w:rsidRPr="009A2045" w14:paraId="2DF0AE13" w14:textId="77777777" w:rsidTr="0021000E">
        <w:trPr>
          <w:trHeight w:val="280"/>
        </w:trPr>
        <w:tc>
          <w:tcPr>
            <w:tcW w:w="2790" w:type="dxa"/>
            <w:vAlign w:val="bottom"/>
          </w:tcPr>
          <w:p w14:paraId="18B514C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lastRenderedPageBreak/>
              <w:t>Turnips (roots)</w:t>
            </w:r>
          </w:p>
        </w:tc>
        <w:tc>
          <w:tcPr>
            <w:tcW w:w="1800" w:type="dxa"/>
            <w:vAlign w:val="bottom"/>
          </w:tcPr>
          <w:p w14:paraId="75EA99F6"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44216EC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51A2834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6294331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6A788E1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12082546" w14:textId="77777777" w:rsidTr="0021000E">
        <w:trPr>
          <w:trHeight w:val="280"/>
        </w:trPr>
        <w:tc>
          <w:tcPr>
            <w:tcW w:w="2790" w:type="dxa"/>
            <w:vAlign w:val="bottom"/>
          </w:tcPr>
          <w:p w14:paraId="0552E9F2"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Vetch</w:t>
            </w:r>
          </w:p>
        </w:tc>
        <w:tc>
          <w:tcPr>
            <w:tcW w:w="1800" w:type="dxa"/>
            <w:vAlign w:val="bottom"/>
          </w:tcPr>
          <w:p w14:paraId="58E590A0"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79EA2E4D"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27FF3A8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057639B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350" w:type="dxa"/>
            <w:vAlign w:val="bottom"/>
          </w:tcPr>
          <w:p w14:paraId="2391236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14</w:t>
            </w:r>
          </w:p>
        </w:tc>
      </w:tr>
      <w:tr w:rsidR="000E5A0E" w:rsidRPr="009A2045" w14:paraId="57EC40D5" w14:textId="77777777" w:rsidTr="0021000E">
        <w:trPr>
          <w:trHeight w:val="280"/>
        </w:trPr>
        <w:tc>
          <w:tcPr>
            <w:tcW w:w="2790" w:type="dxa"/>
            <w:vAlign w:val="bottom"/>
          </w:tcPr>
          <w:p w14:paraId="5D8AB5C3"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Walnuts</w:t>
            </w:r>
          </w:p>
        </w:tc>
        <w:tc>
          <w:tcPr>
            <w:tcW w:w="1800" w:type="dxa"/>
            <w:vAlign w:val="bottom"/>
          </w:tcPr>
          <w:p w14:paraId="2D6BD0A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C31910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2.5</w:t>
            </w:r>
          </w:p>
        </w:tc>
        <w:tc>
          <w:tcPr>
            <w:tcW w:w="1620" w:type="dxa"/>
            <w:vAlign w:val="bottom"/>
          </w:tcPr>
          <w:p w14:paraId="3496AAD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1325C5E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c>
          <w:tcPr>
            <w:tcW w:w="1350" w:type="dxa"/>
            <w:vAlign w:val="bottom"/>
          </w:tcPr>
          <w:p w14:paraId="2B257AF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23399CF1" w14:textId="77777777" w:rsidTr="0021000E">
        <w:trPr>
          <w:trHeight w:val="280"/>
        </w:trPr>
        <w:tc>
          <w:tcPr>
            <w:tcW w:w="2790" w:type="dxa"/>
            <w:vAlign w:val="bottom"/>
          </w:tcPr>
          <w:p w14:paraId="1D800E10"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Watercress</w:t>
            </w:r>
          </w:p>
        </w:tc>
        <w:tc>
          <w:tcPr>
            <w:tcW w:w="1800" w:type="dxa"/>
            <w:vAlign w:val="bottom"/>
          </w:tcPr>
          <w:p w14:paraId="54A837C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546FCCF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1.25</w:t>
            </w:r>
          </w:p>
        </w:tc>
        <w:tc>
          <w:tcPr>
            <w:tcW w:w="1620" w:type="dxa"/>
            <w:vAlign w:val="bottom"/>
          </w:tcPr>
          <w:p w14:paraId="60160D9E"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9155EF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5</w:t>
            </w:r>
          </w:p>
        </w:tc>
        <w:tc>
          <w:tcPr>
            <w:tcW w:w="1350" w:type="dxa"/>
            <w:vAlign w:val="bottom"/>
          </w:tcPr>
          <w:p w14:paraId="53E8C0CF"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3</w:t>
            </w:r>
          </w:p>
        </w:tc>
      </w:tr>
      <w:tr w:rsidR="000E5A0E" w:rsidRPr="009A2045" w14:paraId="75A83CE5" w14:textId="77777777" w:rsidTr="0021000E">
        <w:trPr>
          <w:trHeight w:val="280"/>
        </w:trPr>
        <w:tc>
          <w:tcPr>
            <w:tcW w:w="2790" w:type="dxa"/>
            <w:vAlign w:val="bottom"/>
          </w:tcPr>
          <w:p w14:paraId="744697EC"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Watermelons</w:t>
            </w:r>
          </w:p>
        </w:tc>
        <w:tc>
          <w:tcPr>
            <w:tcW w:w="1800" w:type="dxa"/>
            <w:vAlign w:val="bottom"/>
          </w:tcPr>
          <w:p w14:paraId="533F38C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3B726132"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w:t>
            </w:r>
          </w:p>
        </w:tc>
        <w:tc>
          <w:tcPr>
            <w:tcW w:w="1620" w:type="dxa"/>
            <w:vAlign w:val="bottom"/>
          </w:tcPr>
          <w:p w14:paraId="2E077D6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7062A1C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4</w:t>
            </w:r>
          </w:p>
        </w:tc>
        <w:tc>
          <w:tcPr>
            <w:tcW w:w="1350" w:type="dxa"/>
            <w:vAlign w:val="bottom"/>
          </w:tcPr>
          <w:p w14:paraId="12E4FC1A"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0A84B5FA" w14:textId="77777777" w:rsidTr="0021000E">
        <w:trPr>
          <w:trHeight w:val="280"/>
        </w:trPr>
        <w:tc>
          <w:tcPr>
            <w:tcW w:w="2790" w:type="dxa"/>
            <w:vAlign w:val="bottom"/>
          </w:tcPr>
          <w:p w14:paraId="52351A05"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Wheat (spring and winter)</w:t>
            </w:r>
          </w:p>
        </w:tc>
        <w:tc>
          <w:tcPr>
            <w:tcW w:w="1800" w:type="dxa"/>
            <w:vAlign w:val="bottom"/>
          </w:tcPr>
          <w:p w14:paraId="5A342355"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1D3C54D7"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w:t>
            </w:r>
          </w:p>
        </w:tc>
        <w:tc>
          <w:tcPr>
            <w:tcW w:w="1620" w:type="dxa"/>
            <w:vAlign w:val="bottom"/>
          </w:tcPr>
          <w:p w14:paraId="2E8F713B"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4FF7B5F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D0C4374"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r w:rsidR="000E5A0E" w:rsidRPr="009A2045" w14:paraId="346DA465" w14:textId="77777777" w:rsidTr="0021000E">
        <w:trPr>
          <w:trHeight w:val="280"/>
        </w:trPr>
        <w:tc>
          <w:tcPr>
            <w:tcW w:w="2790" w:type="dxa"/>
            <w:vAlign w:val="bottom"/>
          </w:tcPr>
          <w:p w14:paraId="2045DC9D" w14:textId="77777777" w:rsidR="000E5A0E" w:rsidRPr="009A2045" w:rsidRDefault="00D63E1A" w:rsidP="009A2045">
            <w:pPr>
              <w:rPr>
                <w:rFonts w:asciiTheme="minorHAnsi" w:hAnsiTheme="minorHAnsi"/>
                <w:sz w:val="20"/>
                <w:szCs w:val="20"/>
              </w:rPr>
            </w:pPr>
            <w:r w:rsidRPr="009A2045">
              <w:rPr>
                <w:rFonts w:asciiTheme="minorHAnsi" w:hAnsiTheme="minorHAnsi"/>
                <w:sz w:val="20"/>
                <w:szCs w:val="20"/>
              </w:rPr>
              <w:t>Yams</w:t>
            </w:r>
          </w:p>
        </w:tc>
        <w:tc>
          <w:tcPr>
            <w:tcW w:w="1800" w:type="dxa"/>
            <w:vAlign w:val="bottom"/>
          </w:tcPr>
          <w:p w14:paraId="332D2DA1"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Ground/Aerial</w:t>
            </w:r>
          </w:p>
        </w:tc>
        <w:tc>
          <w:tcPr>
            <w:tcW w:w="1440" w:type="dxa"/>
            <w:vAlign w:val="bottom"/>
          </w:tcPr>
          <w:p w14:paraId="673C54F9"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1.56</w:t>
            </w:r>
          </w:p>
        </w:tc>
        <w:tc>
          <w:tcPr>
            <w:tcW w:w="1620" w:type="dxa"/>
            <w:vAlign w:val="bottom"/>
          </w:tcPr>
          <w:p w14:paraId="1094CC58"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NS</w:t>
            </w:r>
          </w:p>
        </w:tc>
        <w:tc>
          <w:tcPr>
            <w:tcW w:w="1440" w:type="dxa"/>
            <w:vAlign w:val="bottom"/>
          </w:tcPr>
          <w:p w14:paraId="3770176C"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2</w:t>
            </w:r>
          </w:p>
        </w:tc>
        <w:tc>
          <w:tcPr>
            <w:tcW w:w="1350" w:type="dxa"/>
            <w:vAlign w:val="bottom"/>
          </w:tcPr>
          <w:p w14:paraId="623F60B3" w14:textId="77777777" w:rsidR="000E5A0E" w:rsidRPr="009A2045" w:rsidRDefault="00D63E1A" w:rsidP="009A2045">
            <w:pPr>
              <w:jc w:val="center"/>
              <w:rPr>
                <w:rFonts w:asciiTheme="minorHAnsi" w:hAnsiTheme="minorHAnsi"/>
                <w:sz w:val="20"/>
                <w:szCs w:val="20"/>
              </w:rPr>
            </w:pPr>
            <w:r w:rsidRPr="009A2045">
              <w:rPr>
                <w:rFonts w:asciiTheme="minorHAnsi" w:hAnsiTheme="minorHAnsi"/>
                <w:sz w:val="20"/>
                <w:szCs w:val="20"/>
              </w:rPr>
              <w:t>7</w:t>
            </w:r>
          </w:p>
        </w:tc>
      </w:tr>
    </w:tbl>
    <w:p w14:paraId="6D4889B6" w14:textId="77777777" w:rsidR="000E5A0E" w:rsidRPr="009A2045" w:rsidRDefault="000E5A0E" w:rsidP="009A2045">
      <w:pPr>
        <w:spacing w:after="0" w:line="240" w:lineRule="auto"/>
      </w:pPr>
    </w:p>
    <w:p w14:paraId="12D7EEDA" w14:textId="2881B30A" w:rsidR="000E5A0E" w:rsidRPr="009A2045" w:rsidRDefault="00D63E1A" w:rsidP="009A2045">
      <w:pPr>
        <w:keepNext/>
        <w:keepLines/>
        <w:spacing w:after="0" w:line="240" w:lineRule="auto"/>
      </w:pPr>
      <w:r w:rsidRPr="009A2045">
        <w:t>Malathion is currently registered for use on 27 agricultural crops for ultra low volume (ULV) applications.  It is also registered for use on pine seed orchards and wide area public use for ultra low volume applications in non-agricultural areas.  Maximum single application rates on crops are as high as 1.22 lbs a.i</w:t>
      </w:r>
      <w:proofErr w:type="gramStart"/>
      <w:r w:rsidRPr="009A2045">
        <w:t>./</w:t>
      </w:r>
      <w:proofErr w:type="gramEnd"/>
      <w:r w:rsidRPr="009A2045">
        <w:t xml:space="preserve">A for cotton.  </w:t>
      </w:r>
      <w:r w:rsidRPr="009A2045">
        <w:rPr>
          <w:b/>
        </w:rPr>
        <w:t xml:space="preserve">Table </w:t>
      </w:r>
      <w:r w:rsidR="005B7DD5" w:rsidRPr="009A2045">
        <w:rPr>
          <w:b/>
        </w:rPr>
        <w:t>1-5</w:t>
      </w:r>
      <w:r w:rsidRPr="009A2045">
        <w:t xml:space="preserve"> details these uses below.</w:t>
      </w:r>
      <w:r w:rsidR="009E44D6">
        <w:t xml:space="preserve"> </w:t>
      </w:r>
      <w:r w:rsidR="009E44D6" w:rsidRPr="009A2045">
        <w:t xml:space="preserve">For information on what assumptions are made regarding how uses are modeled in the absence of label information, see </w:t>
      </w:r>
      <w:r w:rsidR="009E44D6" w:rsidRPr="009A2045">
        <w:rPr>
          <w:b/>
        </w:rPr>
        <w:t>APPENDIX 1-7</w:t>
      </w:r>
      <w:r w:rsidR="009E44D6" w:rsidRPr="009A2045">
        <w:t>.</w:t>
      </w:r>
    </w:p>
    <w:p w14:paraId="00F2CBAF" w14:textId="77777777" w:rsidR="000E5A0E" w:rsidRPr="009A2045" w:rsidRDefault="000E5A0E" w:rsidP="009A2045">
      <w:pPr>
        <w:spacing w:after="0" w:line="240" w:lineRule="auto"/>
      </w:pPr>
    </w:p>
    <w:p w14:paraId="7D7CABAC" w14:textId="357EB2A5" w:rsidR="000E5A0E" w:rsidRPr="009A2045" w:rsidRDefault="00EC1A85" w:rsidP="009A2045">
      <w:pPr>
        <w:pStyle w:val="Caption"/>
        <w:rPr>
          <w:b/>
          <w:i w:val="0"/>
          <w:sz w:val="22"/>
          <w:szCs w:val="22"/>
        </w:rPr>
      </w:pPr>
      <w:bookmarkStart w:id="25" w:name="_Toc435773439"/>
      <w:r w:rsidRPr="009A2045">
        <w:rPr>
          <w:b/>
          <w:i w:val="0"/>
          <w:sz w:val="22"/>
          <w:szCs w:val="22"/>
        </w:rPr>
        <w:t xml:space="preserve">Table </w:t>
      </w:r>
      <w:r w:rsidR="00A82077"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Table \* ARABIC </w:instrText>
      </w:r>
      <w:r w:rsidR="00C60928" w:rsidRPr="009A2045">
        <w:rPr>
          <w:b/>
          <w:i w:val="0"/>
          <w:sz w:val="22"/>
          <w:szCs w:val="22"/>
        </w:rPr>
        <w:fldChar w:fldCharType="separate"/>
      </w:r>
      <w:r w:rsidR="000D01C3" w:rsidRPr="009A2045">
        <w:rPr>
          <w:b/>
          <w:i w:val="0"/>
          <w:noProof/>
          <w:sz w:val="22"/>
          <w:szCs w:val="22"/>
        </w:rPr>
        <w:t>5</w:t>
      </w:r>
      <w:r w:rsidR="00C60928" w:rsidRPr="009A2045">
        <w:rPr>
          <w:b/>
          <w:i w:val="0"/>
          <w:noProof/>
          <w:sz w:val="22"/>
          <w:szCs w:val="22"/>
        </w:rPr>
        <w:fldChar w:fldCharType="end"/>
      </w:r>
      <w:r w:rsidRPr="009A2045">
        <w:rPr>
          <w:b/>
          <w:i w:val="0"/>
          <w:sz w:val="22"/>
          <w:szCs w:val="22"/>
        </w:rPr>
        <w:t>. Malathion Use Summary of Agricultural and Non-Agricultural Uses with Ultra Low Volume Applications</w:t>
      </w:r>
      <w:bookmarkEnd w:id="25"/>
      <w:r w:rsidR="00456B5B" w:rsidRPr="009A2045">
        <w:rPr>
          <w:b/>
          <w:i w:val="0"/>
          <w:sz w:val="22"/>
          <w:szCs w:val="22"/>
        </w:rPr>
        <w:t>.</w:t>
      </w:r>
    </w:p>
    <w:tbl>
      <w:tblPr>
        <w:tblStyle w:val="a3"/>
        <w:tblW w:w="10440"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1800"/>
        <w:gridCol w:w="1440"/>
        <w:gridCol w:w="1620"/>
        <w:gridCol w:w="1440"/>
        <w:gridCol w:w="1350"/>
      </w:tblGrid>
      <w:tr w:rsidR="000E5A0E" w:rsidRPr="009A2045" w14:paraId="53F286A5" w14:textId="77777777" w:rsidTr="0021000E">
        <w:trPr>
          <w:trHeight w:val="1240"/>
          <w:tblHeader/>
        </w:trPr>
        <w:tc>
          <w:tcPr>
            <w:tcW w:w="2790" w:type="dxa"/>
            <w:tcBorders>
              <w:top w:val="single" w:sz="4" w:space="0" w:color="000000"/>
            </w:tcBorders>
            <w:shd w:val="clear" w:color="auto" w:fill="E7E6E6"/>
            <w:vAlign w:val="center"/>
          </w:tcPr>
          <w:p w14:paraId="32D2E10B" w14:textId="77777777" w:rsidR="000E5A0E" w:rsidRPr="009A2045" w:rsidRDefault="000E5A0E" w:rsidP="009A2045">
            <w:pPr>
              <w:jc w:val="center"/>
              <w:rPr>
                <w:sz w:val="20"/>
                <w:szCs w:val="20"/>
              </w:rPr>
            </w:pPr>
          </w:p>
          <w:p w14:paraId="5F10363D" w14:textId="77777777" w:rsidR="000E5A0E" w:rsidRPr="009A2045" w:rsidRDefault="00D63E1A" w:rsidP="009A2045">
            <w:pPr>
              <w:jc w:val="center"/>
              <w:rPr>
                <w:sz w:val="20"/>
                <w:szCs w:val="20"/>
              </w:rPr>
            </w:pPr>
            <w:r w:rsidRPr="009A2045">
              <w:rPr>
                <w:b/>
                <w:sz w:val="20"/>
                <w:szCs w:val="20"/>
              </w:rPr>
              <w:t>Use Site</w:t>
            </w:r>
          </w:p>
        </w:tc>
        <w:tc>
          <w:tcPr>
            <w:tcW w:w="1800" w:type="dxa"/>
            <w:tcBorders>
              <w:top w:val="single" w:sz="4" w:space="0" w:color="000000"/>
            </w:tcBorders>
            <w:shd w:val="clear" w:color="auto" w:fill="E7E6E6"/>
            <w:vAlign w:val="center"/>
          </w:tcPr>
          <w:p w14:paraId="0BFDBACC" w14:textId="77777777" w:rsidR="000E5A0E" w:rsidRPr="009A2045" w:rsidRDefault="00D63E1A" w:rsidP="009A2045">
            <w:pPr>
              <w:jc w:val="center"/>
              <w:rPr>
                <w:sz w:val="20"/>
                <w:szCs w:val="20"/>
              </w:rPr>
            </w:pPr>
            <w:r w:rsidRPr="009A2045">
              <w:rPr>
                <w:b/>
                <w:sz w:val="20"/>
                <w:szCs w:val="20"/>
              </w:rPr>
              <w:t>Method</w:t>
            </w:r>
            <w:r w:rsidRPr="009A2045">
              <w:rPr>
                <w:b/>
                <w:sz w:val="20"/>
                <w:szCs w:val="20"/>
                <w:vertAlign w:val="superscript"/>
              </w:rPr>
              <w:t>1</w:t>
            </w:r>
            <w:r w:rsidRPr="009A2045">
              <w:rPr>
                <w:b/>
                <w:sz w:val="20"/>
                <w:szCs w:val="20"/>
              </w:rPr>
              <w:t xml:space="preserve"> (Formulation/ product)</w:t>
            </w:r>
            <w:r w:rsidRPr="009A2045">
              <w:rPr>
                <w:b/>
                <w:sz w:val="20"/>
                <w:szCs w:val="20"/>
                <w:vertAlign w:val="superscript"/>
              </w:rPr>
              <w:t>2</w:t>
            </w:r>
          </w:p>
        </w:tc>
        <w:tc>
          <w:tcPr>
            <w:tcW w:w="1440" w:type="dxa"/>
            <w:tcBorders>
              <w:top w:val="single" w:sz="4" w:space="0" w:color="000000"/>
            </w:tcBorders>
            <w:shd w:val="clear" w:color="auto" w:fill="E7E6E6"/>
            <w:vAlign w:val="center"/>
          </w:tcPr>
          <w:p w14:paraId="1FF3E885" w14:textId="77777777" w:rsidR="000E5A0E" w:rsidRPr="009A2045" w:rsidRDefault="000E5A0E" w:rsidP="009A2045">
            <w:pPr>
              <w:jc w:val="center"/>
              <w:rPr>
                <w:sz w:val="20"/>
                <w:szCs w:val="20"/>
              </w:rPr>
            </w:pPr>
          </w:p>
          <w:p w14:paraId="6B2C09EF" w14:textId="77777777" w:rsidR="000E5A0E" w:rsidRPr="009A2045" w:rsidRDefault="00D63E1A" w:rsidP="009A2045">
            <w:pPr>
              <w:jc w:val="center"/>
              <w:rPr>
                <w:sz w:val="20"/>
                <w:szCs w:val="20"/>
              </w:rPr>
            </w:pPr>
            <w:r w:rsidRPr="009A2045">
              <w:rPr>
                <w:b/>
                <w:sz w:val="20"/>
                <w:szCs w:val="20"/>
              </w:rPr>
              <w:t xml:space="preserve">Maximum Single Application Rate </w:t>
            </w:r>
          </w:p>
          <w:p w14:paraId="13860AF1" w14:textId="77777777" w:rsidR="000E5A0E" w:rsidRPr="009A2045" w:rsidRDefault="00D63E1A" w:rsidP="009A2045">
            <w:pPr>
              <w:jc w:val="center"/>
              <w:rPr>
                <w:sz w:val="20"/>
                <w:szCs w:val="20"/>
              </w:rPr>
            </w:pPr>
            <w:r w:rsidRPr="009A2045">
              <w:rPr>
                <w:b/>
                <w:sz w:val="20"/>
                <w:szCs w:val="20"/>
              </w:rPr>
              <w:t>(lb a.i./A)</w:t>
            </w:r>
          </w:p>
        </w:tc>
        <w:tc>
          <w:tcPr>
            <w:tcW w:w="1620" w:type="dxa"/>
            <w:tcBorders>
              <w:top w:val="single" w:sz="4" w:space="0" w:color="000000"/>
            </w:tcBorders>
            <w:shd w:val="clear" w:color="auto" w:fill="E7E6E6"/>
            <w:vAlign w:val="center"/>
          </w:tcPr>
          <w:p w14:paraId="185E6F6F" w14:textId="77777777" w:rsidR="000E5A0E" w:rsidRPr="009A2045" w:rsidRDefault="000E5A0E" w:rsidP="009A2045">
            <w:pPr>
              <w:jc w:val="center"/>
              <w:rPr>
                <w:sz w:val="20"/>
                <w:szCs w:val="20"/>
              </w:rPr>
            </w:pPr>
          </w:p>
          <w:p w14:paraId="79E5AB6B" w14:textId="77777777" w:rsidR="000E5A0E" w:rsidRPr="009A2045" w:rsidRDefault="00D63E1A" w:rsidP="009A20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7200"/>
              </w:tabs>
              <w:jc w:val="center"/>
              <w:rPr>
                <w:sz w:val="20"/>
                <w:szCs w:val="20"/>
              </w:rPr>
            </w:pPr>
            <w:r w:rsidRPr="009A2045">
              <w:rPr>
                <w:b/>
                <w:sz w:val="20"/>
                <w:szCs w:val="20"/>
              </w:rPr>
              <w:t>Maximum Application Rate (per year in lb a.i./acre) (for all formulations combined, unless otherwise noted)</w:t>
            </w:r>
          </w:p>
        </w:tc>
        <w:tc>
          <w:tcPr>
            <w:tcW w:w="1440" w:type="dxa"/>
            <w:tcBorders>
              <w:top w:val="single" w:sz="4" w:space="0" w:color="000000"/>
            </w:tcBorders>
            <w:shd w:val="clear" w:color="auto" w:fill="E7E6E6"/>
            <w:vAlign w:val="center"/>
          </w:tcPr>
          <w:p w14:paraId="7AEE2D9D" w14:textId="77777777" w:rsidR="000E5A0E" w:rsidRPr="009A2045" w:rsidRDefault="00D63E1A" w:rsidP="009A2045">
            <w:pPr>
              <w:ind w:left="113" w:right="113"/>
              <w:jc w:val="center"/>
              <w:rPr>
                <w:sz w:val="20"/>
                <w:szCs w:val="20"/>
              </w:rPr>
            </w:pPr>
            <w:r w:rsidRPr="009A2045">
              <w:rPr>
                <w:b/>
                <w:sz w:val="20"/>
                <w:szCs w:val="20"/>
              </w:rPr>
              <w:t xml:space="preserve">Maximum Application Number (per year) </w:t>
            </w:r>
          </w:p>
        </w:tc>
        <w:tc>
          <w:tcPr>
            <w:tcW w:w="1350" w:type="dxa"/>
            <w:tcBorders>
              <w:top w:val="single" w:sz="4" w:space="0" w:color="000000"/>
            </w:tcBorders>
            <w:shd w:val="clear" w:color="auto" w:fill="E7E6E6"/>
            <w:vAlign w:val="center"/>
          </w:tcPr>
          <w:p w14:paraId="1E58E915" w14:textId="77777777" w:rsidR="000E5A0E" w:rsidRPr="009A2045" w:rsidRDefault="00D63E1A" w:rsidP="009A2045">
            <w:pPr>
              <w:rPr>
                <w:sz w:val="20"/>
                <w:szCs w:val="20"/>
              </w:rPr>
            </w:pPr>
            <w:r w:rsidRPr="009A2045">
              <w:rPr>
                <w:b/>
                <w:sz w:val="20"/>
                <w:szCs w:val="20"/>
              </w:rPr>
              <w:t>Minimum Retreatment Interval</w:t>
            </w:r>
          </w:p>
        </w:tc>
      </w:tr>
      <w:tr w:rsidR="000E5A0E" w:rsidRPr="009A2045" w14:paraId="65D27C55" w14:textId="77777777" w:rsidTr="0021000E">
        <w:trPr>
          <w:trHeight w:val="280"/>
        </w:trPr>
        <w:tc>
          <w:tcPr>
            <w:tcW w:w="2790" w:type="dxa"/>
            <w:vAlign w:val="bottom"/>
          </w:tcPr>
          <w:p w14:paraId="1A2454BD" w14:textId="77777777" w:rsidR="000E5A0E" w:rsidRPr="009A2045" w:rsidRDefault="00D63E1A" w:rsidP="009A2045">
            <w:pPr>
              <w:rPr>
                <w:sz w:val="20"/>
                <w:szCs w:val="20"/>
              </w:rPr>
            </w:pPr>
            <w:r w:rsidRPr="009A2045">
              <w:rPr>
                <w:sz w:val="20"/>
                <w:szCs w:val="20"/>
              </w:rPr>
              <w:t>Alfalfa</w:t>
            </w:r>
          </w:p>
        </w:tc>
        <w:tc>
          <w:tcPr>
            <w:tcW w:w="1800" w:type="dxa"/>
            <w:vAlign w:val="bottom"/>
          </w:tcPr>
          <w:p w14:paraId="7ED3A69B"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8AB813F"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068A07F6"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78601313"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18C8AE46" w14:textId="77777777" w:rsidR="000E5A0E" w:rsidRPr="009A2045" w:rsidRDefault="00D63E1A" w:rsidP="009A2045">
            <w:pPr>
              <w:jc w:val="center"/>
              <w:rPr>
                <w:sz w:val="20"/>
                <w:szCs w:val="20"/>
              </w:rPr>
            </w:pPr>
            <w:r w:rsidRPr="009A2045">
              <w:rPr>
                <w:sz w:val="20"/>
                <w:szCs w:val="20"/>
              </w:rPr>
              <w:t>14</w:t>
            </w:r>
          </w:p>
        </w:tc>
      </w:tr>
      <w:tr w:rsidR="000E5A0E" w:rsidRPr="009A2045" w14:paraId="19776673" w14:textId="77777777" w:rsidTr="0021000E">
        <w:trPr>
          <w:trHeight w:val="280"/>
        </w:trPr>
        <w:tc>
          <w:tcPr>
            <w:tcW w:w="2790" w:type="dxa"/>
            <w:vAlign w:val="bottom"/>
          </w:tcPr>
          <w:p w14:paraId="56F8BEF7" w14:textId="77777777" w:rsidR="000E5A0E" w:rsidRPr="009A2045" w:rsidRDefault="00D63E1A" w:rsidP="009A2045">
            <w:pPr>
              <w:rPr>
                <w:sz w:val="20"/>
                <w:szCs w:val="20"/>
              </w:rPr>
            </w:pPr>
            <w:r w:rsidRPr="009A2045">
              <w:rPr>
                <w:sz w:val="20"/>
                <w:szCs w:val="20"/>
              </w:rPr>
              <w:t>Barley</w:t>
            </w:r>
          </w:p>
        </w:tc>
        <w:tc>
          <w:tcPr>
            <w:tcW w:w="1800" w:type="dxa"/>
            <w:vAlign w:val="bottom"/>
          </w:tcPr>
          <w:p w14:paraId="1FC2EDC3"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4281820"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613245A3"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60A65907"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68B24113" w14:textId="77777777" w:rsidR="000E5A0E" w:rsidRPr="009A2045" w:rsidRDefault="00D63E1A" w:rsidP="009A2045">
            <w:pPr>
              <w:jc w:val="center"/>
              <w:rPr>
                <w:sz w:val="20"/>
                <w:szCs w:val="20"/>
              </w:rPr>
            </w:pPr>
            <w:r w:rsidRPr="009A2045">
              <w:rPr>
                <w:sz w:val="20"/>
                <w:szCs w:val="20"/>
              </w:rPr>
              <w:t>7</w:t>
            </w:r>
          </w:p>
        </w:tc>
      </w:tr>
      <w:tr w:rsidR="000E5A0E" w:rsidRPr="009A2045" w14:paraId="66E5E590" w14:textId="77777777" w:rsidTr="0021000E">
        <w:trPr>
          <w:trHeight w:val="280"/>
        </w:trPr>
        <w:tc>
          <w:tcPr>
            <w:tcW w:w="2790" w:type="dxa"/>
            <w:vAlign w:val="bottom"/>
          </w:tcPr>
          <w:p w14:paraId="14A1F683" w14:textId="77777777" w:rsidR="000E5A0E" w:rsidRPr="009A2045" w:rsidRDefault="00D63E1A" w:rsidP="009A2045">
            <w:pPr>
              <w:rPr>
                <w:sz w:val="20"/>
                <w:szCs w:val="20"/>
              </w:rPr>
            </w:pPr>
            <w:r w:rsidRPr="009A2045">
              <w:rPr>
                <w:sz w:val="20"/>
                <w:szCs w:val="20"/>
              </w:rPr>
              <w:t xml:space="preserve">Beans (dry, snap, Lima) </w:t>
            </w:r>
          </w:p>
        </w:tc>
        <w:tc>
          <w:tcPr>
            <w:tcW w:w="1800" w:type="dxa"/>
            <w:vAlign w:val="bottom"/>
          </w:tcPr>
          <w:p w14:paraId="247AC3ED"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4BB27C1"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6AF0C39E"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318D808E"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1C89A0AE" w14:textId="77777777" w:rsidR="000E5A0E" w:rsidRPr="009A2045" w:rsidRDefault="00D63E1A" w:rsidP="009A2045">
            <w:pPr>
              <w:jc w:val="center"/>
              <w:rPr>
                <w:sz w:val="20"/>
                <w:szCs w:val="20"/>
              </w:rPr>
            </w:pPr>
            <w:r w:rsidRPr="009A2045">
              <w:rPr>
                <w:sz w:val="20"/>
                <w:szCs w:val="20"/>
              </w:rPr>
              <w:t>7</w:t>
            </w:r>
          </w:p>
        </w:tc>
      </w:tr>
      <w:tr w:rsidR="000E5A0E" w:rsidRPr="009A2045" w14:paraId="625D9833" w14:textId="77777777" w:rsidTr="0021000E">
        <w:trPr>
          <w:trHeight w:val="280"/>
        </w:trPr>
        <w:tc>
          <w:tcPr>
            <w:tcW w:w="2790" w:type="dxa"/>
            <w:vAlign w:val="bottom"/>
          </w:tcPr>
          <w:p w14:paraId="1CA4A18D" w14:textId="77777777" w:rsidR="000E5A0E" w:rsidRPr="009A2045" w:rsidRDefault="00D63E1A" w:rsidP="009A2045">
            <w:pPr>
              <w:rPr>
                <w:sz w:val="20"/>
                <w:szCs w:val="20"/>
              </w:rPr>
            </w:pPr>
            <w:r w:rsidRPr="009A2045">
              <w:rPr>
                <w:sz w:val="20"/>
                <w:szCs w:val="20"/>
              </w:rPr>
              <w:t>Beans (dry, succulent)</w:t>
            </w:r>
          </w:p>
        </w:tc>
        <w:tc>
          <w:tcPr>
            <w:tcW w:w="1800" w:type="dxa"/>
            <w:vAlign w:val="bottom"/>
          </w:tcPr>
          <w:p w14:paraId="72D668B3"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267B89FF"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6C69D5EC"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3340BA38"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5534B702" w14:textId="77777777" w:rsidR="000E5A0E" w:rsidRPr="009A2045" w:rsidRDefault="00D63E1A" w:rsidP="009A2045">
            <w:pPr>
              <w:jc w:val="center"/>
              <w:rPr>
                <w:sz w:val="20"/>
                <w:szCs w:val="20"/>
              </w:rPr>
            </w:pPr>
            <w:r w:rsidRPr="009A2045">
              <w:rPr>
                <w:sz w:val="20"/>
                <w:szCs w:val="20"/>
              </w:rPr>
              <w:t>7</w:t>
            </w:r>
          </w:p>
        </w:tc>
      </w:tr>
      <w:tr w:rsidR="000E5A0E" w:rsidRPr="009A2045" w14:paraId="2B559DDC" w14:textId="77777777" w:rsidTr="0021000E">
        <w:trPr>
          <w:trHeight w:val="280"/>
        </w:trPr>
        <w:tc>
          <w:tcPr>
            <w:tcW w:w="2790" w:type="dxa"/>
            <w:vAlign w:val="bottom"/>
          </w:tcPr>
          <w:p w14:paraId="3BA4B984" w14:textId="77777777" w:rsidR="000E5A0E" w:rsidRPr="009A2045" w:rsidRDefault="00D63E1A" w:rsidP="009A2045">
            <w:pPr>
              <w:rPr>
                <w:sz w:val="20"/>
                <w:szCs w:val="20"/>
              </w:rPr>
            </w:pPr>
            <w:r w:rsidRPr="009A2045">
              <w:rPr>
                <w:sz w:val="20"/>
                <w:szCs w:val="20"/>
              </w:rPr>
              <w:t>Blueberry</w:t>
            </w:r>
          </w:p>
        </w:tc>
        <w:tc>
          <w:tcPr>
            <w:tcW w:w="1800" w:type="dxa"/>
            <w:vAlign w:val="bottom"/>
          </w:tcPr>
          <w:p w14:paraId="396DC064"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427A8216" w14:textId="77777777" w:rsidR="000E5A0E" w:rsidRPr="009A2045" w:rsidRDefault="00D63E1A" w:rsidP="009A2045">
            <w:pPr>
              <w:jc w:val="center"/>
              <w:rPr>
                <w:sz w:val="20"/>
                <w:szCs w:val="20"/>
              </w:rPr>
            </w:pPr>
            <w:r w:rsidRPr="009A2045">
              <w:rPr>
                <w:sz w:val="20"/>
                <w:szCs w:val="20"/>
              </w:rPr>
              <w:t>0.77</w:t>
            </w:r>
          </w:p>
        </w:tc>
        <w:tc>
          <w:tcPr>
            <w:tcW w:w="1620" w:type="dxa"/>
            <w:vAlign w:val="bottom"/>
          </w:tcPr>
          <w:p w14:paraId="70DD63F3"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785058EF" w14:textId="77777777" w:rsidR="000E5A0E" w:rsidRPr="009A2045" w:rsidRDefault="00D63E1A" w:rsidP="009A2045">
            <w:pPr>
              <w:jc w:val="center"/>
              <w:rPr>
                <w:sz w:val="20"/>
                <w:szCs w:val="20"/>
              </w:rPr>
            </w:pPr>
            <w:r w:rsidRPr="009A2045">
              <w:rPr>
                <w:sz w:val="20"/>
                <w:szCs w:val="20"/>
              </w:rPr>
              <w:t>3</w:t>
            </w:r>
          </w:p>
        </w:tc>
        <w:tc>
          <w:tcPr>
            <w:tcW w:w="1350" w:type="dxa"/>
            <w:vAlign w:val="bottom"/>
          </w:tcPr>
          <w:p w14:paraId="3D70CC2D" w14:textId="77777777" w:rsidR="000E5A0E" w:rsidRPr="009A2045" w:rsidRDefault="00D63E1A" w:rsidP="009A2045">
            <w:pPr>
              <w:jc w:val="center"/>
              <w:rPr>
                <w:sz w:val="20"/>
                <w:szCs w:val="20"/>
              </w:rPr>
            </w:pPr>
            <w:r w:rsidRPr="009A2045">
              <w:rPr>
                <w:sz w:val="20"/>
                <w:szCs w:val="20"/>
              </w:rPr>
              <w:t>10</w:t>
            </w:r>
          </w:p>
        </w:tc>
      </w:tr>
      <w:tr w:rsidR="000E5A0E" w:rsidRPr="009A2045" w14:paraId="42537A42" w14:textId="77777777" w:rsidTr="0021000E">
        <w:trPr>
          <w:trHeight w:val="280"/>
        </w:trPr>
        <w:tc>
          <w:tcPr>
            <w:tcW w:w="2790" w:type="dxa"/>
            <w:vAlign w:val="bottom"/>
          </w:tcPr>
          <w:p w14:paraId="0E95CDA7" w14:textId="77777777" w:rsidR="000E5A0E" w:rsidRPr="009A2045" w:rsidRDefault="00D63E1A" w:rsidP="009A2045">
            <w:pPr>
              <w:rPr>
                <w:sz w:val="20"/>
                <w:szCs w:val="20"/>
              </w:rPr>
            </w:pPr>
            <w:r w:rsidRPr="009A2045">
              <w:rPr>
                <w:sz w:val="20"/>
                <w:szCs w:val="20"/>
              </w:rPr>
              <w:t>Cherries (sweet)</w:t>
            </w:r>
          </w:p>
        </w:tc>
        <w:tc>
          <w:tcPr>
            <w:tcW w:w="1800" w:type="dxa"/>
            <w:vAlign w:val="bottom"/>
          </w:tcPr>
          <w:p w14:paraId="23FF3325"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059E41E" w14:textId="77777777" w:rsidR="000E5A0E" w:rsidRPr="009A2045" w:rsidRDefault="00D63E1A" w:rsidP="009A2045">
            <w:pPr>
              <w:jc w:val="center"/>
              <w:rPr>
                <w:sz w:val="20"/>
                <w:szCs w:val="20"/>
              </w:rPr>
            </w:pPr>
            <w:r w:rsidRPr="009A2045">
              <w:rPr>
                <w:sz w:val="20"/>
                <w:szCs w:val="20"/>
              </w:rPr>
              <w:t>1.22</w:t>
            </w:r>
          </w:p>
        </w:tc>
        <w:tc>
          <w:tcPr>
            <w:tcW w:w="1620" w:type="dxa"/>
            <w:vAlign w:val="bottom"/>
          </w:tcPr>
          <w:p w14:paraId="639105EC"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4D9D2353" w14:textId="77777777" w:rsidR="000E5A0E" w:rsidRPr="009A2045" w:rsidRDefault="00D63E1A" w:rsidP="009A2045">
            <w:pPr>
              <w:jc w:val="center"/>
              <w:rPr>
                <w:sz w:val="20"/>
                <w:szCs w:val="20"/>
              </w:rPr>
            </w:pPr>
            <w:r w:rsidRPr="009A2045">
              <w:rPr>
                <w:sz w:val="20"/>
                <w:szCs w:val="20"/>
              </w:rPr>
              <w:t>4</w:t>
            </w:r>
          </w:p>
        </w:tc>
        <w:tc>
          <w:tcPr>
            <w:tcW w:w="1350" w:type="dxa"/>
            <w:vAlign w:val="bottom"/>
          </w:tcPr>
          <w:p w14:paraId="2060F2E8" w14:textId="77777777" w:rsidR="000E5A0E" w:rsidRPr="009A2045" w:rsidRDefault="00D63E1A" w:rsidP="009A2045">
            <w:pPr>
              <w:jc w:val="center"/>
              <w:rPr>
                <w:sz w:val="20"/>
                <w:szCs w:val="20"/>
              </w:rPr>
            </w:pPr>
            <w:r w:rsidRPr="009A2045">
              <w:rPr>
                <w:sz w:val="20"/>
                <w:szCs w:val="20"/>
              </w:rPr>
              <w:t>7</w:t>
            </w:r>
          </w:p>
        </w:tc>
      </w:tr>
      <w:tr w:rsidR="000E5A0E" w:rsidRPr="009A2045" w14:paraId="59F7F22C" w14:textId="77777777" w:rsidTr="0021000E">
        <w:trPr>
          <w:trHeight w:val="280"/>
        </w:trPr>
        <w:tc>
          <w:tcPr>
            <w:tcW w:w="2790" w:type="dxa"/>
            <w:vAlign w:val="bottom"/>
          </w:tcPr>
          <w:p w14:paraId="178616DD" w14:textId="77777777" w:rsidR="000E5A0E" w:rsidRPr="009A2045" w:rsidRDefault="00D63E1A" w:rsidP="009A2045">
            <w:pPr>
              <w:rPr>
                <w:sz w:val="20"/>
                <w:szCs w:val="20"/>
              </w:rPr>
            </w:pPr>
            <w:r w:rsidRPr="009A2045">
              <w:rPr>
                <w:sz w:val="20"/>
                <w:szCs w:val="20"/>
              </w:rPr>
              <w:t>Cherries (tart)</w:t>
            </w:r>
          </w:p>
        </w:tc>
        <w:tc>
          <w:tcPr>
            <w:tcW w:w="1800" w:type="dxa"/>
            <w:vAlign w:val="bottom"/>
          </w:tcPr>
          <w:p w14:paraId="0E27CA72"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278E26B2" w14:textId="77777777" w:rsidR="000E5A0E" w:rsidRPr="009A2045" w:rsidRDefault="00D63E1A" w:rsidP="009A2045">
            <w:pPr>
              <w:jc w:val="center"/>
              <w:rPr>
                <w:sz w:val="20"/>
                <w:szCs w:val="20"/>
              </w:rPr>
            </w:pPr>
            <w:r w:rsidRPr="009A2045">
              <w:rPr>
                <w:sz w:val="20"/>
                <w:szCs w:val="20"/>
              </w:rPr>
              <w:t>1.22</w:t>
            </w:r>
          </w:p>
        </w:tc>
        <w:tc>
          <w:tcPr>
            <w:tcW w:w="1620" w:type="dxa"/>
            <w:vAlign w:val="bottom"/>
          </w:tcPr>
          <w:p w14:paraId="136F45BF"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2ED36404" w14:textId="77777777" w:rsidR="000E5A0E" w:rsidRPr="009A2045" w:rsidRDefault="00D63E1A" w:rsidP="009A2045">
            <w:pPr>
              <w:jc w:val="center"/>
              <w:rPr>
                <w:sz w:val="20"/>
                <w:szCs w:val="20"/>
              </w:rPr>
            </w:pPr>
            <w:r w:rsidRPr="009A2045">
              <w:rPr>
                <w:sz w:val="20"/>
                <w:szCs w:val="20"/>
              </w:rPr>
              <w:t>6</w:t>
            </w:r>
          </w:p>
        </w:tc>
        <w:tc>
          <w:tcPr>
            <w:tcW w:w="1350" w:type="dxa"/>
            <w:vAlign w:val="bottom"/>
          </w:tcPr>
          <w:p w14:paraId="7EB0A6B2" w14:textId="77777777" w:rsidR="000E5A0E" w:rsidRPr="009A2045" w:rsidRDefault="00D63E1A" w:rsidP="009A2045">
            <w:pPr>
              <w:jc w:val="center"/>
              <w:rPr>
                <w:sz w:val="20"/>
                <w:szCs w:val="20"/>
              </w:rPr>
            </w:pPr>
            <w:r w:rsidRPr="009A2045">
              <w:rPr>
                <w:sz w:val="20"/>
                <w:szCs w:val="20"/>
              </w:rPr>
              <w:t>7</w:t>
            </w:r>
          </w:p>
        </w:tc>
      </w:tr>
      <w:tr w:rsidR="000E5A0E" w:rsidRPr="009A2045" w14:paraId="36AF8890" w14:textId="77777777" w:rsidTr="0021000E">
        <w:trPr>
          <w:trHeight w:val="280"/>
        </w:trPr>
        <w:tc>
          <w:tcPr>
            <w:tcW w:w="2790" w:type="dxa"/>
            <w:vAlign w:val="bottom"/>
          </w:tcPr>
          <w:p w14:paraId="18127766" w14:textId="77777777" w:rsidR="000E5A0E" w:rsidRPr="009A2045" w:rsidRDefault="00D63E1A" w:rsidP="009A2045">
            <w:pPr>
              <w:rPr>
                <w:sz w:val="20"/>
                <w:szCs w:val="20"/>
              </w:rPr>
            </w:pPr>
            <w:r w:rsidRPr="009A2045">
              <w:rPr>
                <w:sz w:val="20"/>
                <w:szCs w:val="20"/>
              </w:rPr>
              <w:t>Christmas tree plantations</w:t>
            </w:r>
          </w:p>
        </w:tc>
        <w:tc>
          <w:tcPr>
            <w:tcW w:w="1800" w:type="dxa"/>
            <w:vAlign w:val="bottom"/>
          </w:tcPr>
          <w:p w14:paraId="177B4FBC"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70AEA44E" w14:textId="77777777" w:rsidR="000E5A0E" w:rsidRPr="009A2045" w:rsidRDefault="00D63E1A" w:rsidP="009A2045">
            <w:pPr>
              <w:jc w:val="center"/>
              <w:rPr>
                <w:sz w:val="20"/>
                <w:szCs w:val="20"/>
              </w:rPr>
            </w:pPr>
            <w:r w:rsidRPr="009A2045">
              <w:rPr>
                <w:sz w:val="20"/>
                <w:szCs w:val="20"/>
              </w:rPr>
              <w:t>0.9375</w:t>
            </w:r>
          </w:p>
        </w:tc>
        <w:tc>
          <w:tcPr>
            <w:tcW w:w="1620" w:type="dxa"/>
            <w:vAlign w:val="bottom"/>
          </w:tcPr>
          <w:p w14:paraId="76E22956"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5D58C2C0"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313418FE" w14:textId="77777777" w:rsidR="000E5A0E" w:rsidRPr="009A2045" w:rsidRDefault="00D63E1A" w:rsidP="009A2045">
            <w:pPr>
              <w:jc w:val="center"/>
              <w:rPr>
                <w:sz w:val="20"/>
                <w:szCs w:val="20"/>
              </w:rPr>
            </w:pPr>
            <w:r w:rsidRPr="009A2045">
              <w:rPr>
                <w:sz w:val="20"/>
                <w:szCs w:val="20"/>
              </w:rPr>
              <w:t>NS</w:t>
            </w:r>
          </w:p>
        </w:tc>
      </w:tr>
      <w:tr w:rsidR="000E5A0E" w:rsidRPr="009A2045" w14:paraId="40FE1602" w14:textId="77777777" w:rsidTr="0021000E">
        <w:trPr>
          <w:trHeight w:val="280"/>
        </w:trPr>
        <w:tc>
          <w:tcPr>
            <w:tcW w:w="2790" w:type="dxa"/>
            <w:vAlign w:val="bottom"/>
          </w:tcPr>
          <w:p w14:paraId="0716D050" w14:textId="77777777" w:rsidR="000E5A0E" w:rsidRPr="009A2045" w:rsidRDefault="00D63E1A" w:rsidP="009A2045">
            <w:pPr>
              <w:rPr>
                <w:sz w:val="20"/>
                <w:szCs w:val="20"/>
              </w:rPr>
            </w:pPr>
            <w:r w:rsidRPr="009A2045">
              <w:rPr>
                <w:sz w:val="20"/>
                <w:szCs w:val="20"/>
              </w:rPr>
              <w:t xml:space="preserve">Citrus  </w:t>
            </w:r>
          </w:p>
        </w:tc>
        <w:tc>
          <w:tcPr>
            <w:tcW w:w="1800" w:type="dxa"/>
            <w:vAlign w:val="bottom"/>
          </w:tcPr>
          <w:p w14:paraId="114231EE"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33823906" w14:textId="77777777" w:rsidR="000E5A0E" w:rsidRPr="009A2045" w:rsidRDefault="00D63E1A" w:rsidP="009A2045">
            <w:pPr>
              <w:jc w:val="center"/>
              <w:rPr>
                <w:sz w:val="20"/>
                <w:szCs w:val="20"/>
              </w:rPr>
            </w:pPr>
            <w:r w:rsidRPr="009A2045">
              <w:rPr>
                <w:sz w:val="20"/>
                <w:szCs w:val="20"/>
              </w:rPr>
              <w:t>0.175</w:t>
            </w:r>
          </w:p>
        </w:tc>
        <w:tc>
          <w:tcPr>
            <w:tcW w:w="1620" w:type="dxa"/>
            <w:vAlign w:val="bottom"/>
          </w:tcPr>
          <w:p w14:paraId="25D2728C"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158136C2" w14:textId="77777777" w:rsidR="000E5A0E" w:rsidRPr="009A2045" w:rsidRDefault="00D63E1A" w:rsidP="009A2045">
            <w:pPr>
              <w:jc w:val="center"/>
              <w:rPr>
                <w:sz w:val="20"/>
                <w:szCs w:val="20"/>
              </w:rPr>
            </w:pPr>
            <w:r w:rsidRPr="009A2045">
              <w:rPr>
                <w:sz w:val="20"/>
                <w:szCs w:val="20"/>
              </w:rPr>
              <w:t>3</w:t>
            </w:r>
          </w:p>
        </w:tc>
        <w:tc>
          <w:tcPr>
            <w:tcW w:w="1350" w:type="dxa"/>
            <w:vAlign w:val="bottom"/>
          </w:tcPr>
          <w:p w14:paraId="191E7869" w14:textId="77777777" w:rsidR="000E5A0E" w:rsidRPr="009A2045" w:rsidRDefault="00D63E1A" w:rsidP="009A2045">
            <w:pPr>
              <w:jc w:val="center"/>
              <w:rPr>
                <w:sz w:val="20"/>
                <w:szCs w:val="20"/>
              </w:rPr>
            </w:pPr>
            <w:r w:rsidRPr="009A2045">
              <w:rPr>
                <w:sz w:val="20"/>
                <w:szCs w:val="20"/>
              </w:rPr>
              <w:t>7</w:t>
            </w:r>
          </w:p>
        </w:tc>
      </w:tr>
      <w:tr w:rsidR="000E5A0E" w:rsidRPr="009A2045" w14:paraId="2C03670E" w14:textId="77777777" w:rsidTr="0021000E">
        <w:trPr>
          <w:trHeight w:val="280"/>
        </w:trPr>
        <w:tc>
          <w:tcPr>
            <w:tcW w:w="2790" w:type="dxa"/>
            <w:vAlign w:val="bottom"/>
          </w:tcPr>
          <w:p w14:paraId="6E9F179A" w14:textId="77777777" w:rsidR="000E5A0E" w:rsidRPr="009A2045" w:rsidRDefault="00D63E1A" w:rsidP="009A2045">
            <w:pPr>
              <w:rPr>
                <w:sz w:val="20"/>
                <w:szCs w:val="20"/>
              </w:rPr>
            </w:pPr>
            <w:r w:rsidRPr="009A2045">
              <w:rPr>
                <w:sz w:val="20"/>
                <w:szCs w:val="20"/>
              </w:rPr>
              <w:t>Clover</w:t>
            </w:r>
          </w:p>
        </w:tc>
        <w:tc>
          <w:tcPr>
            <w:tcW w:w="1800" w:type="dxa"/>
            <w:vAlign w:val="bottom"/>
          </w:tcPr>
          <w:p w14:paraId="685956B8"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4660C0B6"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08CDE73A"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5E2C5F21"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674A64A1" w14:textId="77777777" w:rsidR="000E5A0E" w:rsidRPr="009A2045" w:rsidRDefault="00D63E1A" w:rsidP="009A2045">
            <w:pPr>
              <w:jc w:val="center"/>
              <w:rPr>
                <w:sz w:val="20"/>
                <w:szCs w:val="20"/>
              </w:rPr>
            </w:pPr>
            <w:r w:rsidRPr="009A2045">
              <w:rPr>
                <w:sz w:val="20"/>
                <w:szCs w:val="20"/>
              </w:rPr>
              <w:t>14</w:t>
            </w:r>
          </w:p>
        </w:tc>
      </w:tr>
      <w:tr w:rsidR="000E5A0E" w:rsidRPr="009A2045" w14:paraId="5B966EFE" w14:textId="77777777" w:rsidTr="0021000E">
        <w:trPr>
          <w:trHeight w:val="280"/>
        </w:trPr>
        <w:tc>
          <w:tcPr>
            <w:tcW w:w="2790" w:type="dxa"/>
            <w:vAlign w:val="bottom"/>
          </w:tcPr>
          <w:p w14:paraId="19955383" w14:textId="77777777" w:rsidR="000E5A0E" w:rsidRPr="009A2045" w:rsidRDefault="00D63E1A" w:rsidP="009A2045">
            <w:pPr>
              <w:rPr>
                <w:sz w:val="20"/>
                <w:szCs w:val="20"/>
              </w:rPr>
            </w:pPr>
            <w:r w:rsidRPr="009A2045">
              <w:rPr>
                <w:sz w:val="20"/>
                <w:szCs w:val="20"/>
              </w:rPr>
              <w:t>Corn (field)</w:t>
            </w:r>
          </w:p>
        </w:tc>
        <w:tc>
          <w:tcPr>
            <w:tcW w:w="1800" w:type="dxa"/>
            <w:vAlign w:val="bottom"/>
          </w:tcPr>
          <w:p w14:paraId="10B190C0"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070AC628"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4360AD0B"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6EDB67E5"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722DA16B" w14:textId="77777777" w:rsidR="000E5A0E" w:rsidRPr="009A2045" w:rsidRDefault="00D63E1A" w:rsidP="009A2045">
            <w:pPr>
              <w:jc w:val="center"/>
              <w:rPr>
                <w:sz w:val="20"/>
                <w:szCs w:val="20"/>
              </w:rPr>
            </w:pPr>
            <w:r w:rsidRPr="009A2045">
              <w:rPr>
                <w:sz w:val="20"/>
                <w:szCs w:val="20"/>
              </w:rPr>
              <w:t>7</w:t>
            </w:r>
          </w:p>
        </w:tc>
      </w:tr>
      <w:tr w:rsidR="000E5A0E" w:rsidRPr="009A2045" w14:paraId="1161BDCE" w14:textId="77777777" w:rsidTr="0021000E">
        <w:trPr>
          <w:trHeight w:val="280"/>
        </w:trPr>
        <w:tc>
          <w:tcPr>
            <w:tcW w:w="2790" w:type="dxa"/>
            <w:vAlign w:val="bottom"/>
          </w:tcPr>
          <w:p w14:paraId="352D007C" w14:textId="77777777" w:rsidR="000E5A0E" w:rsidRPr="009A2045" w:rsidRDefault="00D63E1A" w:rsidP="009A2045">
            <w:pPr>
              <w:rPr>
                <w:sz w:val="20"/>
                <w:szCs w:val="20"/>
              </w:rPr>
            </w:pPr>
            <w:r w:rsidRPr="009A2045">
              <w:rPr>
                <w:sz w:val="20"/>
                <w:szCs w:val="20"/>
              </w:rPr>
              <w:t>Corn (sweet and pop)</w:t>
            </w:r>
          </w:p>
        </w:tc>
        <w:tc>
          <w:tcPr>
            <w:tcW w:w="1800" w:type="dxa"/>
            <w:vAlign w:val="bottom"/>
          </w:tcPr>
          <w:p w14:paraId="1A785257"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4FB9D6A"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13D29BC4"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11AE60C8"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69C3A36F" w14:textId="77777777" w:rsidR="000E5A0E" w:rsidRPr="009A2045" w:rsidRDefault="00D63E1A" w:rsidP="009A2045">
            <w:pPr>
              <w:jc w:val="center"/>
              <w:rPr>
                <w:sz w:val="20"/>
                <w:szCs w:val="20"/>
              </w:rPr>
            </w:pPr>
            <w:r w:rsidRPr="009A2045">
              <w:rPr>
                <w:sz w:val="20"/>
                <w:szCs w:val="20"/>
              </w:rPr>
              <w:t>5</w:t>
            </w:r>
          </w:p>
        </w:tc>
      </w:tr>
      <w:tr w:rsidR="000E5A0E" w:rsidRPr="009A2045" w14:paraId="421D6C15" w14:textId="77777777" w:rsidTr="0021000E">
        <w:trPr>
          <w:trHeight w:val="280"/>
        </w:trPr>
        <w:tc>
          <w:tcPr>
            <w:tcW w:w="2790" w:type="dxa"/>
            <w:vAlign w:val="bottom"/>
          </w:tcPr>
          <w:p w14:paraId="6DBB5190" w14:textId="77777777" w:rsidR="000E5A0E" w:rsidRPr="009A2045" w:rsidRDefault="00D63E1A" w:rsidP="009A2045">
            <w:pPr>
              <w:rPr>
                <w:sz w:val="20"/>
                <w:szCs w:val="20"/>
              </w:rPr>
            </w:pPr>
            <w:r w:rsidRPr="009A2045">
              <w:rPr>
                <w:sz w:val="20"/>
                <w:szCs w:val="20"/>
              </w:rPr>
              <w:t>Cotton</w:t>
            </w:r>
          </w:p>
        </w:tc>
        <w:tc>
          <w:tcPr>
            <w:tcW w:w="1800" w:type="dxa"/>
            <w:vAlign w:val="bottom"/>
          </w:tcPr>
          <w:p w14:paraId="4634F753"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79010849" w14:textId="77777777" w:rsidR="000E5A0E" w:rsidRPr="009A2045" w:rsidRDefault="00D63E1A" w:rsidP="009A2045">
            <w:pPr>
              <w:jc w:val="center"/>
              <w:rPr>
                <w:sz w:val="20"/>
                <w:szCs w:val="20"/>
              </w:rPr>
            </w:pPr>
            <w:r w:rsidRPr="009A2045">
              <w:rPr>
                <w:sz w:val="20"/>
                <w:szCs w:val="20"/>
              </w:rPr>
              <w:t>1.22</w:t>
            </w:r>
          </w:p>
        </w:tc>
        <w:tc>
          <w:tcPr>
            <w:tcW w:w="1620" w:type="dxa"/>
            <w:vAlign w:val="bottom"/>
          </w:tcPr>
          <w:p w14:paraId="37A7D041"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3BED31A5" w14:textId="77777777" w:rsidR="000E5A0E" w:rsidRPr="009A2045" w:rsidRDefault="00D63E1A" w:rsidP="009A2045">
            <w:pPr>
              <w:jc w:val="center"/>
              <w:rPr>
                <w:sz w:val="20"/>
                <w:szCs w:val="20"/>
              </w:rPr>
            </w:pPr>
            <w:r w:rsidRPr="009A2045">
              <w:rPr>
                <w:sz w:val="20"/>
                <w:szCs w:val="20"/>
              </w:rPr>
              <w:t>3</w:t>
            </w:r>
          </w:p>
        </w:tc>
        <w:tc>
          <w:tcPr>
            <w:tcW w:w="1350" w:type="dxa"/>
            <w:vAlign w:val="bottom"/>
          </w:tcPr>
          <w:p w14:paraId="15964D3A" w14:textId="77777777" w:rsidR="000E5A0E" w:rsidRPr="009A2045" w:rsidRDefault="00D63E1A" w:rsidP="009A2045">
            <w:pPr>
              <w:jc w:val="center"/>
              <w:rPr>
                <w:sz w:val="20"/>
                <w:szCs w:val="20"/>
              </w:rPr>
            </w:pPr>
            <w:r w:rsidRPr="009A2045">
              <w:rPr>
                <w:sz w:val="20"/>
                <w:szCs w:val="20"/>
              </w:rPr>
              <w:t>7</w:t>
            </w:r>
          </w:p>
        </w:tc>
      </w:tr>
      <w:tr w:rsidR="000E5A0E" w:rsidRPr="009A2045" w14:paraId="70B8F057" w14:textId="77777777" w:rsidTr="0021000E">
        <w:trPr>
          <w:trHeight w:val="280"/>
        </w:trPr>
        <w:tc>
          <w:tcPr>
            <w:tcW w:w="2790" w:type="dxa"/>
            <w:vAlign w:val="bottom"/>
          </w:tcPr>
          <w:p w14:paraId="7DC83C70" w14:textId="77777777" w:rsidR="000E5A0E" w:rsidRPr="009A2045" w:rsidRDefault="00D63E1A" w:rsidP="009A2045">
            <w:pPr>
              <w:rPr>
                <w:sz w:val="20"/>
                <w:szCs w:val="20"/>
              </w:rPr>
            </w:pPr>
            <w:r w:rsidRPr="009A2045">
              <w:rPr>
                <w:sz w:val="20"/>
                <w:szCs w:val="20"/>
              </w:rPr>
              <w:t>Fence rows/hedge rows</w:t>
            </w:r>
          </w:p>
        </w:tc>
        <w:tc>
          <w:tcPr>
            <w:tcW w:w="1800" w:type="dxa"/>
            <w:vAlign w:val="bottom"/>
          </w:tcPr>
          <w:p w14:paraId="05C39A97"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3C0E36BF" w14:textId="77777777" w:rsidR="000E5A0E" w:rsidRPr="009A2045" w:rsidRDefault="00D63E1A" w:rsidP="009A2045">
            <w:pPr>
              <w:jc w:val="center"/>
              <w:rPr>
                <w:sz w:val="20"/>
                <w:szCs w:val="20"/>
              </w:rPr>
            </w:pPr>
            <w:r w:rsidRPr="009A2045">
              <w:rPr>
                <w:sz w:val="20"/>
                <w:szCs w:val="20"/>
              </w:rPr>
              <w:t>0.24</w:t>
            </w:r>
          </w:p>
        </w:tc>
        <w:tc>
          <w:tcPr>
            <w:tcW w:w="1620" w:type="dxa"/>
            <w:vAlign w:val="bottom"/>
          </w:tcPr>
          <w:p w14:paraId="08571774"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102B7D5B"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6F74D915" w14:textId="77777777" w:rsidR="000E5A0E" w:rsidRPr="009A2045" w:rsidRDefault="00D63E1A" w:rsidP="009A2045">
            <w:pPr>
              <w:jc w:val="center"/>
              <w:rPr>
                <w:sz w:val="20"/>
                <w:szCs w:val="20"/>
              </w:rPr>
            </w:pPr>
            <w:r w:rsidRPr="009A2045">
              <w:rPr>
                <w:sz w:val="20"/>
                <w:szCs w:val="20"/>
              </w:rPr>
              <w:t>NS</w:t>
            </w:r>
          </w:p>
        </w:tc>
      </w:tr>
      <w:tr w:rsidR="000E5A0E" w:rsidRPr="009A2045" w14:paraId="61711BF4" w14:textId="77777777" w:rsidTr="0021000E">
        <w:trPr>
          <w:trHeight w:val="280"/>
        </w:trPr>
        <w:tc>
          <w:tcPr>
            <w:tcW w:w="2790" w:type="dxa"/>
            <w:vAlign w:val="bottom"/>
          </w:tcPr>
          <w:p w14:paraId="01E9213C" w14:textId="77777777" w:rsidR="000E5A0E" w:rsidRPr="009A2045" w:rsidRDefault="00D63E1A" w:rsidP="009A2045">
            <w:pPr>
              <w:rPr>
                <w:sz w:val="20"/>
                <w:szCs w:val="20"/>
              </w:rPr>
            </w:pPr>
            <w:r w:rsidRPr="009A2045">
              <w:rPr>
                <w:sz w:val="20"/>
                <w:szCs w:val="20"/>
              </w:rPr>
              <w:t>Grass, Bermuda</w:t>
            </w:r>
          </w:p>
        </w:tc>
        <w:tc>
          <w:tcPr>
            <w:tcW w:w="1800" w:type="dxa"/>
            <w:vAlign w:val="bottom"/>
          </w:tcPr>
          <w:p w14:paraId="67ACB65D"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67DCF722" w14:textId="77777777" w:rsidR="000E5A0E" w:rsidRPr="009A2045" w:rsidRDefault="00D63E1A" w:rsidP="009A2045">
            <w:pPr>
              <w:jc w:val="center"/>
              <w:rPr>
                <w:sz w:val="20"/>
                <w:szCs w:val="20"/>
              </w:rPr>
            </w:pPr>
            <w:r w:rsidRPr="009A2045">
              <w:rPr>
                <w:sz w:val="20"/>
                <w:szCs w:val="20"/>
              </w:rPr>
              <w:t>0.92</w:t>
            </w:r>
          </w:p>
        </w:tc>
        <w:tc>
          <w:tcPr>
            <w:tcW w:w="1620" w:type="dxa"/>
            <w:vAlign w:val="bottom"/>
          </w:tcPr>
          <w:p w14:paraId="2301D308"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1809A12A"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44789822" w14:textId="77777777" w:rsidR="000E5A0E" w:rsidRPr="009A2045" w:rsidRDefault="00D63E1A" w:rsidP="009A2045">
            <w:pPr>
              <w:jc w:val="center"/>
              <w:rPr>
                <w:sz w:val="20"/>
                <w:szCs w:val="20"/>
              </w:rPr>
            </w:pPr>
            <w:r w:rsidRPr="009A2045">
              <w:rPr>
                <w:sz w:val="20"/>
                <w:szCs w:val="20"/>
              </w:rPr>
              <w:t>NA</w:t>
            </w:r>
          </w:p>
        </w:tc>
      </w:tr>
      <w:tr w:rsidR="000E5A0E" w:rsidRPr="009A2045" w14:paraId="06B40B72" w14:textId="77777777" w:rsidTr="0021000E">
        <w:trPr>
          <w:trHeight w:val="280"/>
        </w:trPr>
        <w:tc>
          <w:tcPr>
            <w:tcW w:w="2790" w:type="dxa"/>
            <w:vAlign w:val="bottom"/>
          </w:tcPr>
          <w:p w14:paraId="4B4A440B" w14:textId="77777777" w:rsidR="000E5A0E" w:rsidRPr="009A2045" w:rsidRDefault="00D63E1A" w:rsidP="009A2045">
            <w:pPr>
              <w:rPr>
                <w:sz w:val="20"/>
                <w:szCs w:val="20"/>
              </w:rPr>
            </w:pPr>
            <w:r w:rsidRPr="009A2045">
              <w:rPr>
                <w:sz w:val="20"/>
                <w:szCs w:val="20"/>
              </w:rPr>
              <w:t>Kumquat</w:t>
            </w:r>
          </w:p>
        </w:tc>
        <w:tc>
          <w:tcPr>
            <w:tcW w:w="1800" w:type="dxa"/>
            <w:vAlign w:val="bottom"/>
          </w:tcPr>
          <w:p w14:paraId="7B21431E"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4618D008" w14:textId="77777777" w:rsidR="000E5A0E" w:rsidRPr="009A2045" w:rsidRDefault="00D63E1A" w:rsidP="009A2045">
            <w:pPr>
              <w:jc w:val="center"/>
              <w:rPr>
                <w:sz w:val="20"/>
                <w:szCs w:val="20"/>
              </w:rPr>
            </w:pPr>
            <w:r w:rsidRPr="009A2045">
              <w:rPr>
                <w:sz w:val="20"/>
                <w:szCs w:val="20"/>
              </w:rPr>
              <w:t>0.175</w:t>
            </w:r>
          </w:p>
        </w:tc>
        <w:tc>
          <w:tcPr>
            <w:tcW w:w="1620" w:type="dxa"/>
            <w:vAlign w:val="bottom"/>
          </w:tcPr>
          <w:p w14:paraId="40F19FBE"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108A17E4"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1CC32D78" w14:textId="77777777" w:rsidR="000E5A0E" w:rsidRPr="009A2045" w:rsidRDefault="00D63E1A" w:rsidP="009A2045">
            <w:pPr>
              <w:jc w:val="center"/>
              <w:rPr>
                <w:sz w:val="20"/>
                <w:szCs w:val="20"/>
              </w:rPr>
            </w:pPr>
            <w:r w:rsidRPr="009A2045">
              <w:rPr>
                <w:sz w:val="20"/>
                <w:szCs w:val="20"/>
              </w:rPr>
              <w:t>7</w:t>
            </w:r>
          </w:p>
        </w:tc>
      </w:tr>
      <w:tr w:rsidR="000E5A0E" w:rsidRPr="009A2045" w14:paraId="11F6AA4C" w14:textId="77777777" w:rsidTr="0021000E">
        <w:trPr>
          <w:trHeight w:val="280"/>
        </w:trPr>
        <w:tc>
          <w:tcPr>
            <w:tcW w:w="2790" w:type="dxa"/>
            <w:vAlign w:val="bottom"/>
          </w:tcPr>
          <w:p w14:paraId="4427C664" w14:textId="77777777" w:rsidR="000E5A0E" w:rsidRPr="009A2045" w:rsidRDefault="00D63E1A" w:rsidP="009A2045">
            <w:pPr>
              <w:rPr>
                <w:sz w:val="20"/>
                <w:szCs w:val="20"/>
              </w:rPr>
            </w:pPr>
            <w:r w:rsidRPr="009A2045">
              <w:rPr>
                <w:sz w:val="20"/>
                <w:szCs w:val="20"/>
              </w:rPr>
              <w:t>Lespedeza</w:t>
            </w:r>
          </w:p>
        </w:tc>
        <w:tc>
          <w:tcPr>
            <w:tcW w:w="1800" w:type="dxa"/>
            <w:vAlign w:val="bottom"/>
          </w:tcPr>
          <w:p w14:paraId="44F2CA16"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313F8D14"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6E13FEFF"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102A6876"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45F63907" w14:textId="77777777" w:rsidR="000E5A0E" w:rsidRPr="009A2045" w:rsidRDefault="00D63E1A" w:rsidP="009A2045">
            <w:pPr>
              <w:jc w:val="center"/>
              <w:rPr>
                <w:sz w:val="20"/>
                <w:szCs w:val="20"/>
              </w:rPr>
            </w:pPr>
            <w:r w:rsidRPr="009A2045">
              <w:rPr>
                <w:sz w:val="20"/>
                <w:szCs w:val="20"/>
              </w:rPr>
              <w:t>14</w:t>
            </w:r>
          </w:p>
        </w:tc>
      </w:tr>
      <w:tr w:rsidR="000E5A0E" w:rsidRPr="009A2045" w14:paraId="29507604" w14:textId="77777777" w:rsidTr="0021000E">
        <w:trPr>
          <w:trHeight w:val="280"/>
        </w:trPr>
        <w:tc>
          <w:tcPr>
            <w:tcW w:w="2790" w:type="dxa"/>
            <w:vAlign w:val="bottom"/>
          </w:tcPr>
          <w:p w14:paraId="3EEFD68A" w14:textId="77777777" w:rsidR="000E5A0E" w:rsidRPr="009A2045" w:rsidRDefault="00D63E1A" w:rsidP="009A2045">
            <w:pPr>
              <w:rPr>
                <w:sz w:val="20"/>
                <w:szCs w:val="20"/>
              </w:rPr>
            </w:pPr>
            <w:r w:rsidRPr="009A2045">
              <w:rPr>
                <w:sz w:val="20"/>
                <w:szCs w:val="20"/>
              </w:rPr>
              <w:t>Lupine</w:t>
            </w:r>
          </w:p>
        </w:tc>
        <w:tc>
          <w:tcPr>
            <w:tcW w:w="1800" w:type="dxa"/>
            <w:vAlign w:val="bottom"/>
          </w:tcPr>
          <w:p w14:paraId="12063710"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37B2CDE"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77750222"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5EDFC91D" w14:textId="77777777" w:rsidR="000E5A0E" w:rsidRPr="009A2045" w:rsidRDefault="00D63E1A" w:rsidP="009A2045">
            <w:pPr>
              <w:jc w:val="center"/>
              <w:rPr>
                <w:sz w:val="20"/>
                <w:szCs w:val="20"/>
              </w:rPr>
            </w:pPr>
            <w:r w:rsidRPr="009A2045">
              <w:rPr>
                <w:sz w:val="20"/>
                <w:szCs w:val="20"/>
              </w:rPr>
              <w:t>1</w:t>
            </w:r>
          </w:p>
        </w:tc>
        <w:tc>
          <w:tcPr>
            <w:tcW w:w="1350" w:type="dxa"/>
            <w:vAlign w:val="bottom"/>
          </w:tcPr>
          <w:p w14:paraId="4A3333A1" w14:textId="77777777" w:rsidR="000E5A0E" w:rsidRPr="009A2045" w:rsidRDefault="00D63E1A" w:rsidP="009A2045">
            <w:pPr>
              <w:jc w:val="center"/>
              <w:rPr>
                <w:sz w:val="20"/>
                <w:szCs w:val="20"/>
              </w:rPr>
            </w:pPr>
            <w:r w:rsidRPr="009A2045">
              <w:rPr>
                <w:sz w:val="20"/>
                <w:szCs w:val="20"/>
              </w:rPr>
              <w:t>NA</w:t>
            </w:r>
          </w:p>
        </w:tc>
      </w:tr>
      <w:tr w:rsidR="000E5A0E" w:rsidRPr="009A2045" w14:paraId="6D34B5E8" w14:textId="77777777" w:rsidTr="0021000E">
        <w:trPr>
          <w:trHeight w:val="280"/>
        </w:trPr>
        <w:tc>
          <w:tcPr>
            <w:tcW w:w="2790" w:type="dxa"/>
            <w:vAlign w:val="bottom"/>
          </w:tcPr>
          <w:p w14:paraId="0ECC38B8" w14:textId="77777777" w:rsidR="000E5A0E" w:rsidRPr="009A2045" w:rsidRDefault="00D63E1A" w:rsidP="009A2045">
            <w:pPr>
              <w:rPr>
                <w:sz w:val="20"/>
                <w:szCs w:val="20"/>
              </w:rPr>
            </w:pPr>
            <w:r w:rsidRPr="009A2045">
              <w:rPr>
                <w:sz w:val="20"/>
                <w:szCs w:val="20"/>
              </w:rPr>
              <w:t>Mosquitoes/Wide Area Public Health</w:t>
            </w:r>
          </w:p>
        </w:tc>
        <w:tc>
          <w:tcPr>
            <w:tcW w:w="1800" w:type="dxa"/>
            <w:vAlign w:val="bottom"/>
          </w:tcPr>
          <w:p w14:paraId="4BA8A656"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200213A0" w14:textId="77777777" w:rsidR="000E5A0E" w:rsidRPr="009A2045" w:rsidRDefault="00D63E1A" w:rsidP="009A2045">
            <w:pPr>
              <w:jc w:val="center"/>
              <w:rPr>
                <w:sz w:val="20"/>
                <w:szCs w:val="20"/>
              </w:rPr>
            </w:pPr>
            <w:r w:rsidRPr="009A2045">
              <w:rPr>
                <w:sz w:val="20"/>
                <w:szCs w:val="20"/>
              </w:rPr>
              <w:t>0.23</w:t>
            </w:r>
          </w:p>
        </w:tc>
        <w:tc>
          <w:tcPr>
            <w:tcW w:w="1620" w:type="dxa"/>
            <w:vAlign w:val="bottom"/>
          </w:tcPr>
          <w:p w14:paraId="0AB7A790"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42A3E8E6"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252A9221" w14:textId="77777777" w:rsidR="000E5A0E" w:rsidRPr="009A2045" w:rsidRDefault="00D63E1A" w:rsidP="009A2045">
            <w:pPr>
              <w:jc w:val="center"/>
              <w:rPr>
                <w:sz w:val="20"/>
                <w:szCs w:val="20"/>
              </w:rPr>
            </w:pPr>
            <w:r w:rsidRPr="009A2045">
              <w:rPr>
                <w:sz w:val="20"/>
                <w:szCs w:val="20"/>
              </w:rPr>
              <w:t>NS</w:t>
            </w:r>
          </w:p>
        </w:tc>
      </w:tr>
      <w:tr w:rsidR="000E5A0E" w:rsidRPr="009A2045" w14:paraId="0172CC73" w14:textId="77777777" w:rsidTr="0021000E">
        <w:trPr>
          <w:trHeight w:val="280"/>
        </w:trPr>
        <w:tc>
          <w:tcPr>
            <w:tcW w:w="2790" w:type="dxa"/>
            <w:vAlign w:val="bottom"/>
          </w:tcPr>
          <w:p w14:paraId="1A336EC8" w14:textId="77777777" w:rsidR="000E5A0E" w:rsidRPr="009A2045" w:rsidRDefault="00D63E1A" w:rsidP="009A2045">
            <w:pPr>
              <w:rPr>
                <w:sz w:val="20"/>
                <w:szCs w:val="20"/>
              </w:rPr>
            </w:pPr>
            <w:r w:rsidRPr="009A2045">
              <w:rPr>
                <w:sz w:val="20"/>
                <w:szCs w:val="20"/>
              </w:rPr>
              <w:lastRenderedPageBreak/>
              <w:t>Non-agricultural uncultivated areas/soil</w:t>
            </w:r>
          </w:p>
        </w:tc>
        <w:tc>
          <w:tcPr>
            <w:tcW w:w="1800" w:type="dxa"/>
            <w:vAlign w:val="bottom"/>
          </w:tcPr>
          <w:p w14:paraId="422DBEE8"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7001925C" w14:textId="77777777" w:rsidR="000E5A0E" w:rsidRPr="009A2045" w:rsidRDefault="00D63E1A" w:rsidP="009A2045">
            <w:pPr>
              <w:jc w:val="center"/>
              <w:rPr>
                <w:sz w:val="20"/>
                <w:szCs w:val="20"/>
              </w:rPr>
            </w:pPr>
            <w:r w:rsidRPr="009A2045">
              <w:rPr>
                <w:sz w:val="20"/>
                <w:szCs w:val="20"/>
              </w:rPr>
              <w:t>0.9281</w:t>
            </w:r>
          </w:p>
        </w:tc>
        <w:tc>
          <w:tcPr>
            <w:tcW w:w="1620" w:type="dxa"/>
            <w:vAlign w:val="bottom"/>
          </w:tcPr>
          <w:p w14:paraId="0758C996"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743A4433"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7A574804" w14:textId="77777777" w:rsidR="000E5A0E" w:rsidRPr="009A2045" w:rsidRDefault="00D63E1A" w:rsidP="009A2045">
            <w:pPr>
              <w:jc w:val="center"/>
              <w:rPr>
                <w:sz w:val="20"/>
                <w:szCs w:val="20"/>
              </w:rPr>
            </w:pPr>
            <w:r w:rsidRPr="009A2045">
              <w:rPr>
                <w:sz w:val="20"/>
                <w:szCs w:val="20"/>
              </w:rPr>
              <w:t>NS</w:t>
            </w:r>
          </w:p>
        </w:tc>
      </w:tr>
      <w:tr w:rsidR="000E5A0E" w:rsidRPr="009A2045" w14:paraId="106688B7" w14:textId="77777777" w:rsidTr="0021000E">
        <w:trPr>
          <w:trHeight w:val="280"/>
        </w:trPr>
        <w:tc>
          <w:tcPr>
            <w:tcW w:w="2790" w:type="dxa"/>
            <w:vAlign w:val="bottom"/>
          </w:tcPr>
          <w:p w14:paraId="2C1A0928" w14:textId="77777777" w:rsidR="000E5A0E" w:rsidRPr="009A2045" w:rsidRDefault="00D63E1A" w:rsidP="009A2045">
            <w:pPr>
              <w:rPr>
                <w:sz w:val="20"/>
                <w:szCs w:val="20"/>
              </w:rPr>
            </w:pPr>
            <w:r w:rsidRPr="009A2045">
              <w:rPr>
                <w:sz w:val="20"/>
                <w:szCs w:val="20"/>
              </w:rPr>
              <w:t>Oats</w:t>
            </w:r>
          </w:p>
        </w:tc>
        <w:tc>
          <w:tcPr>
            <w:tcW w:w="1800" w:type="dxa"/>
            <w:vAlign w:val="bottom"/>
          </w:tcPr>
          <w:p w14:paraId="7DDE11E7"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4B61D679"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036DB275"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2263E575"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6D6680C2" w14:textId="77777777" w:rsidR="000E5A0E" w:rsidRPr="009A2045" w:rsidRDefault="00D63E1A" w:rsidP="009A2045">
            <w:pPr>
              <w:jc w:val="center"/>
              <w:rPr>
                <w:sz w:val="20"/>
                <w:szCs w:val="20"/>
              </w:rPr>
            </w:pPr>
            <w:r w:rsidRPr="009A2045">
              <w:rPr>
                <w:sz w:val="20"/>
                <w:szCs w:val="20"/>
              </w:rPr>
              <w:t>7</w:t>
            </w:r>
          </w:p>
        </w:tc>
      </w:tr>
      <w:tr w:rsidR="000E5A0E" w:rsidRPr="009A2045" w14:paraId="77354B4E" w14:textId="77777777" w:rsidTr="0021000E">
        <w:trPr>
          <w:trHeight w:val="280"/>
        </w:trPr>
        <w:tc>
          <w:tcPr>
            <w:tcW w:w="2790" w:type="dxa"/>
            <w:vAlign w:val="bottom"/>
          </w:tcPr>
          <w:p w14:paraId="4897A03C" w14:textId="77777777" w:rsidR="000E5A0E" w:rsidRPr="009A2045" w:rsidRDefault="00D63E1A" w:rsidP="009A2045">
            <w:pPr>
              <w:rPr>
                <w:sz w:val="20"/>
                <w:szCs w:val="20"/>
              </w:rPr>
            </w:pPr>
            <w:r w:rsidRPr="009A2045">
              <w:rPr>
                <w:sz w:val="20"/>
                <w:szCs w:val="20"/>
              </w:rPr>
              <w:t>Pasture and Rangeland</w:t>
            </w:r>
          </w:p>
        </w:tc>
        <w:tc>
          <w:tcPr>
            <w:tcW w:w="1800" w:type="dxa"/>
            <w:vAlign w:val="bottom"/>
          </w:tcPr>
          <w:p w14:paraId="7BEAE9C5"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7E1731CF" w14:textId="77777777" w:rsidR="000E5A0E" w:rsidRPr="009A2045" w:rsidRDefault="00D63E1A" w:rsidP="009A2045">
            <w:pPr>
              <w:jc w:val="center"/>
              <w:rPr>
                <w:sz w:val="20"/>
                <w:szCs w:val="20"/>
              </w:rPr>
            </w:pPr>
            <w:r w:rsidRPr="009A2045">
              <w:rPr>
                <w:sz w:val="20"/>
                <w:szCs w:val="20"/>
              </w:rPr>
              <w:t>0.92</w:t>
            </w:r>
          </w:p>
        </w:tc>
        <w:tc>
          <w:tcPr>
            <w:tcW w:w="1620" w:type="dxa"/>
            <w:vAlign w:val="bottom"/>
          </w:tcPr>
          <w:p w14:paraId="5ADECD28"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30715438"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06B8B646" w14:textId="77777777" w:rsidR="000E5A0E" w:rsidRPr="009A2045" w:rsidRDefault="00D63E1A" w:rsidP="009A2045">
            <w:pPr>
              <w:jc w:val="center"/>
              <w:rPr>
                <w:sz w:val="20"/>
                <w:szCs w:val="20"/>
              </w:rPr>
            </w:pPr>
            <w:r w:rsidRPr="009A2045">
              <w:rPr>
                <w:sz w:val="20"/>
                <w:szCs w:val="20"/>
              </w:rPr>
              <w:t>7</w:t>
            </w:r>
          </w:p>
        </w:tc>
      </w:tr>
      <w:tr w:rsidR="000E5A0E" w:rsidRPr="009A2045" w14:paraId="2E8557F1" w14:textId="77777777" w:rsidTr="0021000E">
        <w:trPr>
          <w:trHeight w:val="280"/>
        </w:trPr>
        <w:tc>
          <w:tcPr>
            <w:tcW w:w="2790" w:type="dxa"/>
            <w:vAlign w:val="bottom"/>
          </w:tcPr>
          <w:p w14:paraId="5296F229" w14:textId="77777777" w:rsidR="000E5A0E" w:rsidRPr="009A2045" w:rsidRDefault="00D63E1A" w:rsidP="009A2045">
            <w:pPr>
              <w:rPr>
                <w:sz w:val="20"/>
                <w:szCs w:val="20"/>
              </w:rPr>
            </w:pPr>
            <w:r w:rsidRPr="009A2045">
              <w:rPr>
                <w:sz w:val="20"/>
                <w:szCs w:val="20"/>
              </w:rPr>
              <w:t>Pine seed orchards</w:t>
            </w:r>
          </w:p>
        </w:tc>
        <w:tc>
          <w:tcPr>
            <w:tcW w:w="1800" w:type="dxa"/>
            <w:vAlign w:val="bottom"/>
          </w:tcPr>
          <w:p w14:paraId="03D4EE6F"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ACBBC24" w14:textId="77777777" w:rsidR="000E5A0E" w:rsidRPr="009A2045" w:rsidRDefault="00D63E1A" w:rsidP="009A2045">
            <w:pPr>
              <w:jc w:val="center"/>
              <w:rPr>
                <w:sz w:val="20"/>
                <w:szCs w:val="20"/>
              </w:rPr>
            </w:pPr>
            <w:r w:rsidRPr="009A2045">
              <w:rPr>
                <w:sz w:val="20"/>
                <w:szCs w:val="20"/>
              </w:rPr>
              <w:t>0.9375</w:t>
            </w:r>
          </w:p>
        </w:tc>
        <w:tc>
          <w:tcPr>
            <w:tcW w:w="1620" w:type="dxa"/>
            <w:vAlign w:val="bottom"/>
          </w:tcPr>
          <w:p w14:paraId="14FD842D"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5CC476AE"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7809E439" w14:textId="77777777" w:rsidR="000E5A0E" w:rsidRPr="009A2045" w:rsidRDefault="00D63E1A" w:rsidP="009A2045">
            <w:pPr>
              <w:jc w:val="center"/>
              <w:rPr>
                <w:sz w:val="20"/>
                <w:szCs w:val="20"/>
              </w:rPr>
            </w:pPr>
            <w:r w:rsidRPr="009A2045">
              <w:rPr>
                <w:sz w:val="20"/>
                <w:szCs w:val="20"/>
              </w:rPr>
              <w:t>7</w:t>
            </w:r>
          </w:p>
        </w:tc>
      </w:tr>
      <w:tr w:rsidR="000E5A0E" w:rsidRPr="009A2045" w14:paraId="4A228BFB" w14:textId="77777777" w:rsidTr="0021000E">
        <w:trPr>
          <w:trHeight w:val="280"/>
        </w:trPr>
        <w:tc>
          <w:tcPr>
            <w:tcW w:w="2790" w:type="dxa"/>
            <w:vAlign w:val="bottom"/>
          </w:tcPr>
          <w:p w14:paraId="4C8B8E7E" w14:textId="77777777" w:rsidR="000E5A0E" w:rsidRPr="009A2045" w:rsidRDefault="00D63E1A" w:rsidP="009A2045">
            <w:pPr>
              <w:rPr>
                <w:sz w:val="20"/>
                <w:szCs w:val="20"/>
              </w:rPr>
            </w:pPr>
            <w:r w:rsidRPr="009A2045">
              <w:rPr>
                <w:sz w:val="20"/>
                <w:szCs w:val="20"/>
              </w:rPr>
              <w:t>Rice; Wild Rice</w:t>
            </w:r>
          </w:p>
        </w:tc>
        <w:tc>
          <w:tcPr>
            <w:tcW w:w="1800" w:type="dxa"/>
            <w:vAlign w:val="bottom"/>
          </w:tcPr>
          <w:p w14:paraId="20E65EBA"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40CCCF13"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0C30ED03"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4C014F26"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69465472" w14:textId="77777777" w:rsidR="000E5A0E" w:rsidRPr="009A2045" w:rsidRDefault="00D63E1A" w:rsidP="009A2045">
            <w:pPr>
              <w:jc w:val="center"/>
              <w:rPr>
                <w:sz w:val="20"/>
                <w:szCs w:val="20"/>
              </w:rPr>
            </w:pPr>
            <w:r w:rsidRPr="009A2045">
              <w:rPr>
                <w:sz w:val="20"/>
                <w:szCs w:val="20"/>
              </w:rPr>
              <w:t>7</w:t>
            </w:r>
          </w:p>
        </w:tc>
      </w:tr>
      <w:tr w:rsidR="000E5A0E" w:rsidRPr="009A2045" w14:paraId="4A500341" w14:textId="77777777" w:rsidTr="0021000E">
        <w:trPr>
          <w:trHeight w:val="280"/>
        </w:trPr>
        <w:tc>
          <w:tcPr>
            <w:tcW w:w="2790" w:type="dxa"/>
            <w:vAlign w:val="bottom"/>
          </w:tcPr>
          <w:p w14:paraId="2A60EB9C" w14:textId="77777777" w:rsidR="000E5A0E" w:rsidRPr="009A2045" w:rsidRDefault="00D63E1A" w:rsidP="009A2045">
            <w:pPr>
              <w:rPr>
                <w:sz w:val="20"/>
                <w:szCs w:val="20"/>
              </w:rPr>
            </w:pPr>
            <w:r w:rsidRPr="009A2045">
              <w:rPr>
                <w:sz w:val="20"/>
                <w:szCs w:val="20"/>
              </w:rPr>
              <w:t xml:space="preserve">Rye </w:t>
            </w:r>
          </w:p>
        </w:tc>
        <w:tc>
          <w:tcPr>
            <w:tcW w:w="1800" w:type="dxa"/>
            <w:vAlign w:val="bottom"/>
          </w:tcPr>
          <w:p w14:paraId="633B87D3"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7DD6A6C7"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2EC92D89"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76E4A361" w14:textId="77777777" w:rsidR="000E5A0E" w:rsidRPr="009A2045" w:rsidRDefault="00D63E1A" w:rsidP="009A2045">
            <w:pPr>
              <w:jc w:val="center"/>
              <w:rPr>
                <w:sz w:val="20"/>
                <w:szCs w:val="20"/>
              </w:rPr>
            </w:pPr>
            <w:r w:rsidRPr="009A2045">
              <w:rPr>
                <w:sz w:val="20"/>
                <w:szCs w:val="20"/>
              </w:rPr>
              <w:t>1</w:t>
            </w:r>
          </w:p>
        </w:tc>
        <w:tc>
          <w:tcPr>
            <w:tcW w:w="1350" w:type="dxa"/>
            <w:vAlign w:val="bottom"/>
          </w:tcPr>
          <w:p w14:paraId="3C5CAC6F" w14:textId="77777777" w:rsidR="000E5A0E" w:rsidRPr="009A2045" w:rsidRDefault="00D63E1A" w:rsidP="009A2045">
            <w:pPr>
              <w:jc w:val="center"/>
              <w:rPr>
                <w:sz w:val="20"/>
                <w:szCs w:val="20"/>
              </w:rPr>
            </w:pPr>
            <w:r w:rsidRPr="009A2045">
              <w:rPr>
                <w:sz w:val="20"/>
                <w:szCs w:val="20"/>
              </w:rPr>
              <w:t>NA</w:t>
            </w:r>
          </w:p>
        </w:tc>
      </w:tr>
      <w:tr w:rsidR="000E5A0E" w:rsidRPr="009A2045" w14:paraId="5E119F0A" w14:textId="77777777" w:rsidTr="0021000E">
        <w:trPr>
          <w:trHeight w:val="280"/>
        </w:trPr>
        <w:tc>
          <w:tcPr>
            <w:tcW w:w="2790" w:type="dxa"/>
            <w:vAlign w:val="bottom"/>
          </w:tcPr>
          <w:p w14:paraId="7A99A1C9" w14:textId="77777777" w:rsidR="000E5A0E" w:rsidRPr="009A2045" w:rsidRDefault="00D63E1A" w:rsidP="009A2045">
            <w:pPr>
              <w:rPr>
                <w:sz w:val="20"/>
                <w:szCs w:val="20"/>
              </w:rPr>
            </w:pPr>
            <w:r w:rsidRPr="009A2045">
              <w:rPr>
                <w:sz w:val="20"/>
                <w:szCs w:val="20"/>
              </w:rPr>
              <w:t>Sorghum</w:t>
            </w:r>
          </w:p>
        </w:tc>
        <w:tc>
          <w:tcPr>
            <w:tcW w:w="1800" w:type="dxa"/>
            <w:vAlign w:val="bottom"/>
          </w:tcPr>
          <w:p w14:paraId="72E09FAA"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2E5A4282"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57B6318B"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039783CE"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66A8354C" w14:textId="77777777" w:rsidR="000E5A0E" w:rsidRPr="009A2045" w:rsidRDefault="00D63E1A" w:rsidP="009A2045">
            <w:pPr>
              <w:jc w:val="center"/>
              <w:rPr>
                <w:sz w:val="20"/>
                <w:szCs w:val="20"/>
              </w:rPr>
            </w:pPr>
            <w:r w:rsidRPr="009A2045">
              <w:rPr>
                <w:sz w:val="20"/>
                <w:szCs w:val="20"/>
              </w:rPr>
              <w:t>7</w:t>
            </w:r>
          </w:p>
        </w:tc>
      </w:tr>
      <w:tr w:rsidR="000E5A0E" w:rsidRPr="009A2045" w14:paraId="2787DF64" w14:textId="77777777" w:rsidTr="0021000E">
        <w:trPr>
          <w:trHeight w:val="280"/>
        </w:trPr>
        <w:tc>
          <w:tcPr>
            <w:tcW w:w="2790" w:type="dxa"/>
            <w:vAlign w:val="bottom"/>
          </w:tcPr>
          <w:p w14:paraId="650F3B31" w14:textId="77777777" w:rsidR="000E5A0E" w:rsidRPr="009A2045" w:rsidRDefault="00D63E1A" w:rsidP="009A2045">
            <w:pPr>
              <w:rPr>
                <w:sz w:val="20"/>
                <w:szCs w:val="20"/>
              </w:rPr>
            </w:pPr>
            <w:r w:rsidRPr="009A2045">
              <w:rPr>
                <w:sz w:val="20"/>
                <w:szCs w:val="20"/>
              </w:rPr>
              <w:t>Trefoil (birdsfoot)</w:t>
            </w:r>
          </w:p>
        </w:tc>
        <w:tc>
          <w:tcPr>
            <w:tcW w:w="1800" w:type="dxa"/>
            <w:vAlign w:val="bottom"/>
          </w:tcPr>
          <w:p w14:paraId="145EAA9C"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0EC3D40E"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09AAC51A"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775829C5"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0C4754AB" w14:textId="77777777" w:rsidR="000E5A0E" w:rsidRPr="009A2045" w:rsidRDefault="00D63E1A" w:rsidP="009A2045">
            <w:pPr>
              <w:jc w:val="center"/>
              <w:rPr>
                <w:sz w:val="20"/>
                <w:szCs w:val="20"/>
              </w:rPr>
            </w:pPr>
            <w:r w:rsidRPr="009A2045">
              <w:rPr>
                <w:sz w:val="20"/>
                <w:szCs w:val="20"/>
              </w:rPr>
              <w:t>14</w:t>
            </w:r>
          </w:p>
        </w:tc>
      </w:tr>
      <w:tr w:rsidR="000E5A0E" w:rsidRPr="009A2045" w14:paraId="3DC1BDDA" w14:textId="77777777" w:rsidTr="0021000E">
        <w:trPr>
          <w:trHeight w:val="280"/>
        </w:trPr>
        <w:tc>
          <w:tcPr>
            <w:tcW w:w="2790" w:type="dxa"/>
            <w:vAlign w:val="bottom"/>
          </w:tcPr>
          <w:p w14:paraId="2291CCCE" w14:textId="77777777" w:rsidR="000E5A0E" w:rsidRPr="009A2045" w:rsidRDefault="00D63E1A" w:rsidP="009A2045">
            <w:pPr>
              <w:rPr>
                <w:sz w:val="20"/>
                <w:szCs w:val="20"/>
              </w:rPr>
            </w:pPr>
            <w:r w:rsidRPr="009A2045">
              <w:rPr>
                <w:sz w:val="20"/>
                <w:szCs w:val="20"/>
              </w:rPr>
              <w:t>Vetch</w:t>
            </w:r>
          </w:p>
        </w:tc>
        <w:tc>
          <w:tcPr>
            <w:tcW w:w="1800" w:type="dxa"/>
            <w:vAlign w:val="bottom"/>
          </w:tcPr>
          <w:p w14:paraId="4E6ACDA2"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725F8EAC"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56F15FFC"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04FC17FF" w14:textId="77777777" w:rsidR="000E5A0E" w:rsidRPr="009A2045" w:rsidRDefault="00D63E1A" w:rsidP="009A2045">
            <w:pPr>
              <w:jc w:val="center"/>
              <w:rPr>
                <w:sz w:val="20"/>
                <w:szCs w:val="20"/>
              </w:rPr>
            </w:pPr>
            <w:r w:rsidRPr="009A2045">
              <w:rPr>
                <w:sz w:val="20"/>
                <w:szCs w:val="20"/>
              </w:rPr>
              <w:t>NS</w:t>
            </w:r>
          </w:p>
        </w:tc>
        <w:tc>
          <w:tcPr>
            <w:tcW w:w="1350" w:type="dxa"/>
            <w:vAlign w:val="bottom"/>
          </w:tcPr>
          <w:p w14:paraId="5631561F" w14:textId="77777777" w:rsidR="000E5A0E" w:rsidRPr="009A2045" w:rsidRDefault="00D63E1A" w:rsidP="009A2045">
            <w:pPr>
              <w:jc w:val="center"/>
              <w:rPr>
                <w:sz w:val="20"/>
                <w:szCs w:val="20"/>
              </w:rPr>
            </w:pPr>
            <w:r w:rsidRPr="009A2045">
              <w:rPr>
                <w:sz w:val="20"/>
                <w:szCs w:val="20"/>
              </w:rPr>
              <w:t>14</w:t>
            </w:r>
          </w:p>
        </w:tc>
      </w:tr>
      <w:tr w:rsidR="000E5A0E" w:rsidRPr="009A2045" w14:paraId="59CC77C5" w14:textId="77777777" w:rsidTr="0021000E">
        <w:trPr>
          <w:trHeight w:val="280"/>
        </w:trPr>
        <w:tc>
          <w:tcPr>
            <w:tcW w:w="2790" w:type="dxa"/>
            <w:vAlign w:val="bottom"/>
          </w:tcPr>
          <w:p w14:paraId="4C9D1ED3" w14:textId="77777777" w:rsidR="000E5A0E" w:rsidRPr="009A2045" w:rsidRDefault="00D63E1A" w:rsidP="009A2045">
            <w:pPr>
              <w:rPr>
                <w:sz w:val="20"/>
                <w:szCs w:val="20"/>
              </w:rPr>
            </w:pPr>
            <w:r w:rsidRPr="009A2045">
              <w:rPr>
                <w:sz w:val="20"/>
                <w:szCs w:val="20"/>
              </w:rPr>
              <w:t>Wheat (spring and winter)</w:t>
            </w:r>
          </w:p>
        </w:tc>
        <w:tc>
          <w:tcPr>
            <w:tcW w:w="1800" w:type="dxa"/>
            <w:vAlign w:val="bottom"/>
          </w:tcPr>
          <w:p w14:paraId="42B45B32" w14:textId="77777777" w:rsidR="000E5A0E" w:rsidRPr="009A2045" w:rsidRDefault="00D63E1A" w:rsidP="009A2045">
            <w:pPr>
              <w:jc w:val="center"/>
              <w:rPr>
                <w:sz w:val="20"/>
                <w:szCs w:val="20"/>
              </w:rPr>
            </w:pPr>
            <w:r w:rsidRPr="009A2045">
              <w:rPr>
                <w:sz w:val="20"/>
                <w:szCs w:val="20"/>
              </w:rPr>
              <w:t>Ground/Aerial</w:t>
            </w:r>
          </w:p>
        </w:tc>
        <w:tc>
          <w:tcPr>
            <w:tcW w:w="1440" w:type="dxa"/>
            <w:vAlign w:val="bottom"/>
          </w:tcPr>
          <w:p w14:paraId="1C1B5F23" w14:textId="77777777" w:rsidR="000E5A0E" w:rsidRPr="009A2045" w:rsidRDefault="00D63E1A" w:rsidP="009A2045">
            <w:pPr>
              <w:jc w:val="center"/>
              <w:rPr>
                <w:sz w:val="20"/>
                <w:szCs w:val="20"/>
              </w:rPr>
            </w:pPr>
            <w:r w:rsidRPr="009A2045">
              <w:rPr>
                <w:sz w:val="20"/>
                <w:szCs w:val="20"/>
              </w:rPr>
              <w:t>0.61</w:t>
            </w:r>
          </w:p>
        </w:tc>
        <w:tc>
          <w:tcPr>
            <w:tcW w:w="1620" w:type="dxa"/>
            <w:vAlign w:val="bottom"/>
          </w:tcPr>
          <w:p w14:paraId="611D909D" w14:textId="77777777" w:rsidR="000E5A0E" w:rsidRPr="009A2045" w:rsidRDefault="00D63E1A" w:rsidP="009A2045">
            <w:pPr>
              <w:jc w:val="center"/>
              <w:rPr>
                <w:sz w:val="20"/>
                <w:szCs w:val="20"/>
              </w:rPr>
            </w:pPr>
            <w:r w:rsidRPr="009A2045">
              <w:rPr>
                <w:sz w:val="20"/>
                <w:szCs w:val="20"/>
              </w:rPr>
              <w:t>NS</w:t>
            </w:r>
          </w:p>
        </w:tc>
        <w:tc>
          <w:tcPr>
            <w:tcW w:w="1440" w:type="dxa"/>
            <w:vAlign w:val="bottom"/>
          </w:tcPr>
          <w:p w14:paraId="4641BB24" w14:textId="77777777" w:rsidR="000E5A0E" w:rsidRPr="009A2045" w:rsidRDefault="00D63E1A" w:rsidP="009A2045">
            <w:pPr>
              <w:jc w:val="center"/>
              <w:rPr>
                <w:sz w:val="20"/>
                <w:szCs w:val="20"/>
              </w:rPr>
            </w:pPr>
            <w:r w:rsidRPr="009A2045">
              <w:rPr>
                <w:sz w:val="20"/>
                <w:szCs w:val="20"/>
              </w:rPr>
              <w:t>2</w:t>
            </w:r>
          </w:p>
        </w:tc>
        <w:tc>
          <w:tcPr>
            <w:tcW w:w="1350" w:type="dxa"/>
            <w:vAlign w:val="bottom"/>
          </w:tcPr>
          <w:p w14:paraId="62B52154" w14:textId="77777777" w:rsidR="000E5A0E" w:rsidRPr="009A2045" w:rsidRDefault="00D63E1A" w:rsidP="009A2045">
            <w:pPr>
              <w:jc w:val="center"/>
              <w:rPr>
                <w:sz w:val="20"/>
                <w:szCs w:val="20"/>
              </w:rPr>
            </w:pPr>
            <w:r w:rsidRPr="009A2045">
              <w:rPr>
                <w:sz w:val="20"/>
                <w:szCs w:val="20"/>
              </w:rPr>
              <w:t>7</w:t>
            </w:r>
          </w:p>
        </w:tc>
      </w:tr>
    </w:tbl>
    <w:p w14:paraId="02331721" w14:textId="19912E6F" w:rsidR="000E5A0E" w:rsidRPr="009A2045" w:rsidRDefault="00D63E1A" w:rsidP="009A2045">
      <w:pPr>
        <w:pStyle w:val="Heading4"/>
      </w:pPr>
      <w:bookmarkStart w:id="26" w:name="_Toc436043022"/>
      <w:r w:rsidRPr="009A2045">
        <w:t>1.1.2.5.</w:t>
      </w:r>
      <w:r w:rsidRPr="009A2045">
        <w:tab/>
        <w:t xml:space="preserve">Outstanding </w:t>
      </w:r>
      <w:r w:rsidR="001718EE" w:rsidRPr="009A2045">
        <w:t>M</w:t>
      </w:r>
      <w:r w:rsidRPr="009A2045">
        <w:t>itigations</w:t>
      </w:r>
      <w:bookmarkEnd w:id="26"/>
      <w:r w:rsidRPr="009A2045">
        <w:t xml:space="preserve"> </w:t>
      </w:r>
    </w:p>
    <w:p w14:paraId="7D0B028F" w14:textId="77777777" w:rsidR="000E5A0E" w:rsidRPr="009A2045" w:rsidRDefault="000E5A0E" w:rsidP="009A2045">
      <w:pPr>
        <w:keepNext/>
        <w:keepLines/>
        <w:spacing w:after="0" w:line="240" w:lineRule="auto"/>
      </w:pPr>
    </w:p>
    <w:p w14:paraId="2A6E2349" w14:textId="03F99E6C" w:rsidR="000E5A0E" w:rsidRPr="009A2045" w:rsidRDefault="00D63E1A" w:rsidP="009A2045">
      <w:pPr>
        <w:keepNext/>
        <w:keepLines/>
        <w:spacing w:after="0" w:line="240" w:lineRule="auto"/>
      </w:pPr>
      <w:r w:rsidRPr="009A2045">
        <w:t xml:space="preserve">All of the mitigations proposed in the Malathion Reregistration Eligibility Decision (RED, May 2009) have been addressed; therefore, there are no outstanding mitigations from the RED process for </w:t>
      </w:r>
      <w:proofErr w:type="gramStart"/>
      <w:r w:rsidRPr="009A2045">
        <w:t>malathion</w:t>
      </w:r>
      <w:proofErr w:type="gramEnd"/>
      <w:r w:rsidRPr="009A2045">
        <w:t xml:space="preserve">. </w:t>
      </w:r>
      <w:r w:rsidR="00E110BC" w:rsidRPr="009A2045">
        <w:t xml:space="preserve">The registrant has sent letters clarifying ambiguous non-agricultural use patterns (February 26, 2015) and a letter outlining several uses it will and will not support through the registration review process (October 9, 2015).  These letters are </w:t>
      </w:r>
      <w:r w:rsidR="007D4A24" w:rsidRPr="009A2045">
        <w:t>found</w:t>
      </w:r>
      <w:r w:rsidR="00E110BC" w:rsidRPr="009A2045">
        <w:t xml:space="preserve"> in </w:t>
      </w:r>
      <w:r w:rsidR="0021000E" w:rsidRPr="009A2045">
        <w:rPr>
          <w:b/>
        </w:rPr>
        <w:t>APPENDIX 1-5</w:t>
      </w:r>
      <w:r w:rsidR="003263FF" w:rsidRPr="009A2045">
        <w:t>.</w:t>
      </w:r>
    </w:p>
    <w:p w14:paraId="5E4C7153" w14:textId="77777777" w:rsidR="000E5A0E" w:rsidRPr="009A2045" w:rsidRDefault="000E5A0E" w:rsidP="009A2045">
      <w:pPr>
        <w:keepNext/>
        <w:keepLines/>
        <w:spacing w:after="0" w:line="240" w:lineRule="auto"/>
      </w:pPr>
    </w:p>
    <w:p w14:paraId="35A453C5" w14:textId="64953B6F" w:rsidR="000E5A0E" w:rsidRPr="009A2045" w:rsidRDefault="00D63E1A" w:rsidP="009A2045">
      <w:pPr>
        <w:pStyle w:val="Heading3"/>
      </w:pPr>
      <w:bookmarkStart w:id="27" w:name="_Toc436043023"/>
      <w:r w:rsidRPr="009A2045">
        <w:t>1.1.3.</w:t>
      </w:r>
      <w:r w:rsidRPr="009A2045">
        <w:tab/>
        <w:t xml:space="preserve">Usage </w:t>
      </w:r>
      <w:r w:rsidR="001718EE" w:rsidRPr="009A2045">
        <w:t>D</w:t>
      </w:r>
      <w:r w:rsidRPr="009A2045">
        <w:t>ata</w:t>
      </w:r>
      <w:bookmarkEnd w:id="27"/>
      <w:r w:rsidRPr="009A2045">
        <w:t xml:space="preserve"> </w:t>
      </w:r>
    </w:p>
    <w:p w14:paraId="7C2E8581" w14:textId="77777777" w:rsidR="000E5A0E" w:rsidRPr="009A2045" w:rsidRDefault="000E5A0E" w:rsidP="009A2045">
      <w:pPr>
        <w:spacing w:after="0" w:line="240" w:lineRule="auto"/>
      </w:pPr>
    </w:p>
    <w:p w14:paraId="1FC49702" w14:textId="48F7C2EB" w:rsidR="000E5A0E" w:rsidRPr="009A2045" w:rsidRDefault="00D63E1A" w:rsidP="009A2045">
      <w:pPr>
        <w:spacing w:after="0" w:line="240" w:lineRule="auto"/>
      </w:pPr>
      <w:r w:rsidRPr="009A2045">
        <w:t>The risk assessments are based on labeled uses</w:t>
      </w:r>
      <w:r w:rsidR="00745C02" w:rsidRPr="009A2045">
        <w:t>;</w:t>
      </w:r>
      <w:r w:rsidRPr="009A2045">
        <w:t xml:space="preserve"> however, usage data can be informative for characterization and exploration of mitigation options. Considering agricultural uses, there has been a general trend of decreased </w:t>
      </w:r>
      <w:proofErr w:type="gramStart"/>
      <w:r w:rsidRPr="009A2045">
        <w:t>malathion</w:t>
      </w:r>
      <w:proofErr w:type="gramEnd"/>
      <w:r w:rsidRPr="009A2045">
        <w:t xml:space="preserve"> usage since the 1990’s as use on cotton for USDA’s Boll Weevil </w:t>
      </w:r>
      <w:r w:rsidRPr="009A2045">
        <w:lastRenderedPageBreak/>
        <w:t>Eradication Program has declined (</w:t>
      </w:r>
      <w:r w:rsidRPr="009A2045">
        <w:rPr>
          <w:b/>
        </w:rPr>
        <w:t xml:space="preserve">Figure </w:t>
      </w:r>
      <w:r w:rsidR="005B7DD5" w:rsidRPr="009A2045">
        <w:rPr>
          <w:b/>
        </w:rPr>
        <w:t>1-1</w:t>
      </w:r>
      <w:r w:rsidRPr="009A2045">
        <w:t xml:space="preserve">). Based on 2012 data, usage on alfalfa, orchards and grapes, vegetables and fruit are the crop groups with highest usage of </w:t>
      </w:r>
      <w:proofErr w:type="gramStart"/>
      <w:r w:rsidRPr="009A2045">
        <w:t>malathion</w:t>
      </w:r>
      <w:proofErr w:type="gramEnd"/>
      <w:r w:rsidRPr="009A2045">
        <w:t xml:space="preserve">. </w:t>
      </w:r>
      <w:r w:rsidR="00F81654" w:rsidRPr="009A2045">
        <w:t xml:space="preserve">(See </w:t>
      </w:r>
      <w:r w:rsidR="00F81654" w:rsidRPr="009A2045">
        <w:rPr>
          <w:b/>
        </w:rPr>
        <w:t>APPENDIX 1-8</w:t>
      </w:r>
      <w:r w:rsidR="00F81654" w:rsidRPr="009A2045">
        <w:t>, for details).</w:t>
      </w:r>
      <w:r w:rsidRPr="009A2045">
        <w:t xml:space="preserve"> Since crops with high </w:t>
      </w:r>
      <w:proofErr w:type="gramStart"/>
      <w:r w:rsidRPr="009A2045">
        <w:t>malathion</w:t>
      </w:r>
      <w:proofErr w:type="gramEnd"/>
      <w:r w:rsidRPr="009A2045">
        <w:t xml:space="preserve"> usage are varied, the geographic extent of malathion use across the United States is also widespread. The spatial distribution of the 2012 agricultural usage data is presented in </w:t>
      </w:r>
      <w:r w:rsidRPr="009A2045">
        <w:rPr>
          <w:b/>
        </w:rPr>
        <w:t xml:space="preserve">Figure </w:t>
      </w:r>
      <w:r w:rsidR="005B7DD5" w:rsidRPr="009A2045">
        <w:rPr>
          <w:b/>
        </w:rPr>
        <w:t>1-1</w:t>
      </w:r>
      <w:r w:rsidRPr="009A2045">
        <w:t xml:space="preserve">. This map illustrates agricultural use of </w:t>
      </w:r>
      <w:proofErr w:type="gramStart"/>
      <w:r w:rsidRPr="009A2045">
        <w:t>malathion</w:t>
      </w:r>
      <w:proofErr w:type="gramEnd"/>
      <w:r w:rsidRPr="009A2045">
        <w:t xml:space="preserve"> throughout the United States. </w:t>
      </w:r>
    </w:p>
    <w:p w14:paraId="53E1E5FE" w14:textId="77777777" w:rsidR="000E5A0E" w:rsidRPr="009A2045" w:rsidRDefault="000E5A0E" w:rsidP="009A2045">
      <w:pPr>
        <w:spacing w:after="0" w:line="240" w:lineRule="auto"/>
        <w:jc w:val="center"/>
      </w:pPr>
    </w:p>
    <w:p w14:paraId="1C4118F1" w14:textId="77777777" w:rsidR="000E5A0E" w:rsidRPr="009A2045" w:rsidRDefault="000E5A0E" w:rsidP="009A2045">
      <w:pPr>
        <w:spacing w:after="0" w:line="240" w:lineRule="auto"/>
      </w:pPr>
    </w:p>
    <w:p w14:paraId="08669CF6" w14:textId="77777777" w:rsidR="000E5A0E" w:rsidRPr="009A2045" w:rsidRDefault="000E5A0E" w:rsidP="009A2045">
      <w:pPr>
        <w:spacing w:after="0" w:line="240" w:lineRule="auto"/>
      </w:pPr>
    </w:p>
    <w:p w14:paraId="63A040D0" w14:textId="77777777" w:rsidR="000E5A0E" w:rsidRPr="009A2045" w:rsidRDefault="00D63E1A" w:rsidP="009A2045">
      <w:pPr>
        <w:spacing w:after="0" w:line="240" w:lineRule="auto"/>
      </w:pPr>
      <w:r w:rsidRPr="009A2045">
        <w:rPr>
          <w:noProof/>
        </w:rPr>
        <w:lastRenderedPageBreak/>
        <w:drawing>
          <wp:inline distT="0" distB="0" distL="0" distR="0" wp14:anchorId="68646CC3" wp14:editId="6FAD5306">
            <wp:extent cx="4986284" cy="6465549"/>
            <wp:effectExtent l="0" t="0" r="0" b="0"/>
            <wp:docPr id="4" name="image17.png" descr="pesticide use map"/>
            <wp:cNvGraphicFramePr/>
            <a:graphic xmlns:a="http://schemas.openxmlformats.org/drawingml/2006/main">
              <a:graphicData uri="http://schemas.openxmlformats.org/drawingml/2006/picture">
                <pic:pic xmlns:pic="http://schemas.openxmlformats.org/drawingml/2006/picture">
                  <pic:nvPicPr>
                    <pic:cNvPr id="0" name="image17.png" descr="pesticide use map"/>
                    <pic:cNvPicPr preferRelativeResize="0"/>
                  </pic:nvPicPr>
                  <pic:blipFill>
                    <a:blip r:embed="rId16"/>
                    <a:srcRect/>
                    <a:stretch>
                      <a:fillRect/>
                    </a:stretch>
                  </pic:blipFill>
                  <pic:spPr>
                    <a:xfrm>
                      <a:off x="0" y="0"/>
                      <a:ext cx="4986284" cy="6465549"/>
                    </a:xfrm>
                    <a:prstGeom prst="rect">
                      <a:avLst/>
                    </a:prstGeom>
                    <a:ln/>
                  </pic:spPr>
                </pic:pic>
              </a:graphicData>
            </a:graphic>
          </wp:inline>
        </w:drawing>
      </w:r>
    </w:p>
    <w:p w14:paraId="6E4B02F1" w14:textId="77777777" w:rsidR="00456B5B" w:rsidRPr="009A2045" w:rsidRDefault="00456B5B" w:rsidP="009A2045">
      <w:pPr>
        <w:pStyle w:val="Caption"/>
        <w:rPr>
          <w:b/>
          <w:i w:val="0"/>
          <w:sz w:val="22"/>
          <w:szCs w:val="22"/>
        </w:rPr>
      </w:pPr>
      <w:bookmarkStart w:id="28" w:name="_Toc435773400"/>
    </w:p>
    <w:p w14:paraId="15E3554A" w14:textId="62D79B37" w:rsidR="000E5A0E" w:rsidRPr="009A2045" w:rsidRDefault="007D2D89" w:rsidP="009A2045">
      <w:pPr>
        <w:pStyle w:val="Caption"/>
      </w:pPr>
      <w:r w:rsidRPr="009A2045">
        <w:rPr>
          <w:b/>
          <w:i w:val="0"/>
          <w:sz w:val="22"/>
          <w:szCs w:val="22"/>
        </w:rPr>
        <w:t xml:space="preserve">Figure </w:t>
      </w:r>
      <w:r w:rsidR="00C60928" w:rsidRPr="009A2045">
        <w:rPr>
          <w:b/>
          <w:i w:val="0"/>
          <w:sz w:val="22"/>
          <w:szCs w:val="22"/>
        </w:rPr>
        <w:fldChar w:fldCharType="begin"/>
      </w:r>
      <w:r w:rsidR="00C60928" w:rsidRPr="009A2045">
        <w:rPr>
          <w:b/>
          <w:i w:val="0"/>
          <w:sz w:val="22"/>
          <w:szCs w:val="22"/>
        </w:rPr>
        <w:instrText xml:space="preserve"> SEQ Figure \* ARABIC </w:instrText>
      </w:r>
      <w:r w:rsidR="00C60928" w:rsidRPr="009A2045">
        <w:rPr>
          <w:b/>
          <w:i w:val="0"/>
          <w:sz w:val="22"/>
          <w:szCs w:val="22"/>
        </w:rPr>
        <w:fldChar w:fldCharType="separate"/>
      </w:r>
      <w:r w:rsidR="008041CB" w:rsidRPr="009A2045">
        <w:rPr>
          <w:b/>
          <w:i w:val="0"/>
          <w:noProof/>
          <w:sz w:val="22"/>
          <w:szCs w:val="22"/>
        </w:rPr>
        <w:t>1</w:t>
      </w:r>
      <w:r w:rsidR="00C60928" w:rsidRPr="009A2045">
        <w:rPr>
          <w:b/>
          <w:i w:val="0"/>
          <w:noProof/>
          <w:sz w:val="22"/>
          <w:szCs w:val="22"/>
        </w:rPr>
        <w:fldChar w:fldCharType="end"/>
      </w:r>
      <w:r w:rsidRPr="009A2045">
        <w:rPr>
          <w:b/>
          <w:i w:val="0"/>
          <w:sz w:val="22"/>
          <w:szCs w:val="22"/>
        </w:rPr>
        <w:t>-1. Malathion Use Spatial Distribution (2012)</w:t>
      </w:r>
      <w:r w:rsidR="00456B5B" w:rsidRPr="009A2045">
        <w:rPr>
          <w:b/>
          <w:i w:val="0"/>
          <w:sz w:val="22"/>
          <w:szCs w:val="22"/>
        </w:rPr>
        <w:t>:</w:t>
      </w:r>
      <w:r w:rsidRPr="009A2045">
        <w:rPr>
          <w:b/>
          <w:i w:val="0"/>
          <w:sz w:val="22"/>
          <w:szCs w:val="22"/>
        </w:rPr>
        <w:t xml:space="preserve"> Use by Year a</w:t>
      </w:r>
      <w:r w:rsidR="00456B5B" w:rsidRPr="009A2045">
        <w:rPr>
          <w:b/>
          <w:i w:val="0"/>
          <w:sz w:val="22"/>
          <w:szCs w:val="22"/>
        </w:rPr>
        <w:t>nd</w:t>
      </w:r>
      <w:r w:rsidRPr="009A2045">
        <w:rPr>
          <w:b/>
          <w:i w:val="0"/>
          <w:sz w:val="22"/>
          <w:szCs w:val="22"/>
        </w:rPr>
        <w:t xml:space="preserve"> Crop (1992-2012</w:t>
      </w:r>
      <w:bookmarkEnd w:id="28"/>
      <w:r w:rsidR="00456B5B" w:rsidRPr="009A2045">
        <w:rPr>
          <w:b/>
          <w:i w:val="0"/>
          <w:sz w:val="22"/>
          <w:szCs w:val="22"/>
        </w:rPr>
        <w:t>).</w:t>
      </w:r>
      <w:r w:rsidR="00A82077" w:rsidRPr="009A2045">
        <w:rPr>
          <w:b/>
          <w:i w:val="0"/>
          <w:sz w:val="22"/>
          <w:szCs w:val="22"/>
        </w:rPr>
        <w:t xml:space="preserve"> </w:t>
      </w:r>
      <w:r w:rsidR="00A82077" w:rsidRPr="009A2045">
        <w:rPr>
          <w:i w:val="0"/>
          <w:sz w:val="22"/>
          <w:szCs w:val="22"/>
        </w:rPr>
        <w:t>(</w:t>
      </w:r>
      <w:proofErr w:type="gramStart"/>
      <w:r w:rsidR="00A82077" w:rsidRPr="009A2045">
        <w:rPr>
          <w:i w:val="0"/>
          <w:sz w:val="22"/>
          <w:szCs w:val="22"/>
        </w:rPr>
        <w:t>from</w:t>
      </w:r>
      <w:proofErr w:type="gramEnd"/>
      <w:r w:rsidR="00A82077" w:rsidRPr="009A2045">
        <w:rPr>
          <w:i w:val="0"/>
          <w:sz w:val="22"/>
          <w:szCs w:val="22"/>
        </w:rPr>
        <w:t xml:space="preserve"> http://water.usgs.gov/nawqa/pnsp/usage/maps/show_map.php?year=2012&amp;map=MALATHION&amp;hilo=L&amp;disp=Malathion).</w:t>
      </w:r>
    </w:p>
    <w:p w14:paraId="6CABC690" w14:textId="57DBF340" w:rsidR="000E5A0E" w:rsidRPr="009A2045" w:rsidRDefault="00D63E1A" w:rsidP="009A2045">
      <w:pPr>
        <w:spacing w:after="0" w:line="240" w:lineRule="auto"/>
      </w:pPr>
      <w:r w:rsidRPr="009A2045">
        <w:lastRenderedPageBreak/>
        <w:t xml:space="preserve">No national-level </w:t>
      </w:r>
      <w:proofErr w:type="gramStart"/>
      <w:r w:rsidRPr="009A2045">
        <w:t>malathion</w:t>
      </w:r>
      <w:proofErr w:type="gramEnd"/>
      <w:r w:rsidRPr="009A2045">
        <w:t xml:space="preserve"> usage data are available for registered non-crop uses sites</w:t>
      </w:r>
      <w:r w:rsidR="007D4A24" w:rsidRPr="009A2045">
        <w:t>,</w:t>
      </w:r>
      <w:r w:rsidRPr="009A2045">
        <w:t xml:space="preserve"> including homeowner uses, ornamental uses, and wide area public health uses.</w:t>
      </w:r>
    </w:p>
    <w:p w14:paraId="14ED799A" w14:textId="77777777" w:rsidR="000E5A0E" w:rsidRPr="009A2045" w:rsidRDefault="000E5A0E" w:rsidP="009A2045">
      <w:pPr>
        <w:keepNext/>
        <w:keepLines/>
        <w:spacing w:after="0" w:line="240" w:lineRule="auto"/>
        <w:ind w:left="720"/>
      </w:pPr>
    </w:p>
    <w:p w14:paraId="4BEEA267" w14:textId="51DB16B8" w:rsidR="007C0F2A" w:rsidRPr="009A2045" w:rsidRDefault="00EC7ECD" w:rsidP="009A2045">
      <w:pPr>
        <w:pStyle w:val="Heading2"/>
      </w:pPr>
      <w:bookmarkStart w:id="29" w:name="_Toc436043024"/>
      <w:r w:rsidRPr="009A2045">
        <w:t>1.2.</w:t>
      </w:r>
      <w:r w:rsidRPr="009A2045">
        <w:tab/>
      </w:r>
      <w:r w:rsidR="007C0F2A" w:rsidRPr="009A2045">
        <w:t>Pesticide Active Ingredient Information</w:t>
      </w:r>
      <w:bookmarkEnd w:id="29"/>
    </w:p>
    <w:p w14:paraId="1CD92AD4" w14:textId="77777777" w:rsidR="007C0F2A" w:rsidRPr="009A2045" w:rsidRDefault="007C0F2A" w:rsidP="009A2045">
      <w:pPr>
        <w:keepNext/>
        <w:keepLines/>
        <w:spacing w:after="0" w:line="240" w:lineRule="auto"/>
      </w:pPr>
    </w:p>
    <w:p w14:paraId="524CCB0D" w14:textId="35C221E0" w:rsidR="007C0F2A" w:rsidRPr="009A2045" w:rsidRDefault="007C0F2A" w:rsidP="009A2045">
      <w:pPr>
        <w:pStyle w:val="Heading3"/>
      </w:pPr>
      <w:bookmarkStart w:id="30" w:name="_Toc436043025"/>
      <w:r w:rsidRPr="009A2045">
        <w:t>1.2.1</w:t>
      </w:r>
      <w:r w:rsidRPr="009A2045">
        <w:tab/>
        <w:t xml:space="preserve">Mode and </w:t>
      </w:r>
      <w:r w:rsidR="001718EE" w:rsidRPr="009A2045">
        <w:t>M</w:t>
      </w:r>
      <w:r w:rsidRPr="009A2045">
        <w:t xml:space="preserve">echanism of </w:t>
      </w:r>
      <w:r w:rsidR="001718EE" w:rsidRPr="009A2045">
        <w:t>A</w:t>
      </w:r>
      <w:r w:rsidRPr="009A2045">
        <w:t>ction</w:t>
      </w:r>
      <w:bookmarkEnd w:id="30"/>
      <w:r w:rsidRPr="009A2045">
        <w:t xml:space="preserve"> </w:t>
      </w:r>
    </w:p>
    <w:p w14:paraId="671688DD" w14:textId="77777777" w:rsidR="007C0F2A" w:rsidRPr="009A2045" w:rsidRDefault="007C0F2A" w:rsidP="009A2045">
      <w:pPr>
        <w:keepNext/>
        <w:keepLines/>
        <w:spacing w:after="0" w:line="240" w:lineRule="auto"/>
      </w:pPr>
    </w:p>
    <w:p w14:paraId="668D69A3" w14:textId="623F6F8C" w:rsidR="007C0F2A" w:rsidRPr="009A2045" w:rsidRDefault="009F0204" w:rsidP="009A2045">
      <w:r w:rsidRPr="009A2045">
        <w:t>Malathion</w:t>
      </w:r>
      <w:r w:rsidR="007C0F2A" w:rsidRPr="009A2045">
        <w:t xml:space="preserve"> is an organophosphate insecticide used to kill insects systemically and on contact. As a phosphorothioate organophosphate, </w:t>
      </w:r>
      <w:proofErr w:type="gramStart"/>
      <w:r w:rsidRPr="009A2045">
        <w:t>malathion</w:t>
      </w:r>
      <w:proofErr w:type="gramEnd"/>
      <w:r w:rsidR="007C0F2A" w:rsidRPr="009A2045">
        <w:t xml:space="preserve"> is subject to metabolic activation within an organism into its oxon form. The rate at which a phosphorothioate pesticide is transformed to its oxon and the rate at which the oxon is subsequently detoxified can influence toxicity. Organophosphate toxicity is based on the inhibition of the enzyme acetylcholinesterase</w:t>
      </w:r>
      <w:r w:rsidR="000E0D06" w:rsidRPr="009A2045">
        <w:t>,</w:t>
      </w:r>
      <w:r w:rsidR="007C0F2A" w:rsidRPr="009A2045">
        <w:t xml:space="preserve"> which cleaves the neurotransmitter acetylcholine (AChE). Inhibition of AChE interferes with proper neurotransmission in cholinergic synapses and neuromuscular junctions. This can lead to sublethal effects (</w:t>
      </w:r>
      <w:r w:rsidR="007C0F2A" w:rsidRPr="009A2045">
        <w:rPr>
          <w:i/>
        </w:rPr>
        <w:t>e.g.,</w:t>
      </w:r>
      <w:r w:rsidR="007C0F2A" w:rsidRPr="009A2045">
        <w:t xml:space="preserve"> increased respiration, lethargy) and mortality. </w:t>
      </w:r>
      <w:r w:rsidR="007C0F2A" w:rsidRPr="009A2045">
        <w:rPr>
          <w:b/>
        </w:rPr>
        <w:t xml:space="preserve">Figure </w:t>
      </w:r>
      <w:r w:rsidR="005B7DD5" w:rsidRPr="009A2045">
        <w:rPr>
          <w:b/>
        </w:rPr>
        <w:t>1-2</w:t>
      </w:r>
      <w:r w:rsidR="007C0F2A" w:rsidRPr="009A2045">
        <w:t xml:space="preserve"> depicts the Adverse Outcome Pathway for animals exposed to organophosphates. Based on the AOP for animals exposed to </w:t>
      </w:r>
      <w:proofErr w:type="gramStart"/>
      <w:r w:rsidRPr="009A2045">
        <w:t>malathion</w:t>
      </w:r>
      <w:proofErr w:type="gramEnd"/>
      <w:r w:rsidR="007C0F2A" w:rsidRPr="009A2045">
        <w:t xml:space="preserve">, endpoints representative of AChE inhibition are included in the mortality and behavioral lines of evidence. Since plants do not have AChE, this AOP does not apply to plants. </w:t>
      </w:r>
    </w:p>
    <w:p w14:paraId="5A1A8CDF" w14:textId="286AF237" w:rsidR="007C0F2A" w:rsidRPr="009A2045" w:rsidRDefault="007C0F2A" w:rsidP="009A2045">
      <w:pPr>
        <w:keepNext/>
        <w:keepLines/>
        <w:spacing w:after="0" w:line="240" w:lineRule="auto"/>
      </w:pPr>
      <w:r w:rsidRPr="009A2045">
        <w:rPr>
          <w:noProof/>
        </w:rPr>
        <w:lastRenderedPageBreak/>
        <mc:AlternateContent>
          <mc:Choice Requires="wpg">
            <w:drawing>
              <wp:anchor distT="0" distB="0" distL="114300" distR="114300" simplePos="0" relativeHeight="251662336" behindDoc="0" locked="0" layoutInCell="0" hidden="0" allowOverlap="1" wp14:anchorId="0DA6BEFD" wp14:editId="71F72F07">
                <wp:simplePos x="0" y="0"/>
                <wp:positionH relativeFrom="margin">
                  <wp:align>left</wp:align>
                </wp:positionH>
                <wp:positionV relativeFrom="paragraph">
                  <wp:posOffset>2066290</wp:posOffset>
                </wp:positionV>
                <wp:extent cx="1790700" cy="2108200"/>
                <wp:effectExtent l="0" t="0" r="19050" b="25400"/>
                <wp:wrapNone/>
                <wp:docPr id="11" name="Group 11"/>
                <wp:cNvGraphicFramePr/>
                <a:graphic xmlns:a="http://schemas.openxmlformats.org/drawingml/2006/main">
                  <a:graphicData uri="http://schemas.microsoft.com/office/word/2010/wordprocessingGroup">
                    <wpg:wgp>
                      <wpg:cNvGrpSpPr/>
                      <wpg:grpSpPr>
                        <a:xfrm>
                          <a:off x="0" y="0"/>
                          <a:ext cx="1790700" cy="2108200"/>
                          <a:chOff x="4450650" y="2722725"/>
                          <a:chExt cx="1790700" cy="2114550"/>
                        </a:xfrm>
                      </wpg:grpSpPr>
                      <wpg:grpSp>
                        <wpg:cNvPr id="12" name="Group 12"/>
                        <wpg:cNvGrpSpPr/>
                        <wpg:grpSpPr>
                          <a:xfrm>
                            <a:off x="4450650" y="2722725"/>
                            <a:ext cx="1790700" cy="2114550"/>
                            <a:chOff x="0" y="0"/>
                            <a:chExt cx="1790700" cy="2114550"/>
                          </a:xfrm>
                        </wpg:grpSpPr>
                        <wps:wsp>
                          <wps:cNvPr id="13" name="Rectangle 13"/>
                          <wps:cNvSpPr/>
                          <wps:spPr>
                            <a:xfrm>
                              <a:off x="0" y="0"/>
                              <a:ext cx="1790700" cy="2114550"/>
                            </a:xfrm>
                            <a:prstGeom prst="rect">
                              <a:avLst/>
                            </a:prstGeom>
                            <a:noFill/>
                            <a:ln>
                              <a:noFill/>
                            </a:ln>
                          </wps:spPr>
                          <wps:txbx>
                            <w:txbxContent>
                              <w:p w14:paraId="650CBE59" w14:textId="77777777" w:rsidR="003263FF" w:rsidRDefault="003263FF" w:rsidP="007C0F2A">
                                <w:pPr>
                                  <w:spacing w:after="0" w:line="240" w:lineRule="auto"/>
                                  <w:textDirection w:val="btLr"/>
                                </w:pPr>
                              </w:p>
                            </w:txbxContent>
                          </wps:txbx>
                          <wps:bodyPr lIns="91425" tIns="91425" rIns="91425" bIns="91425" anchor="ctr" anchorCtr="0"/>
                        </wps:wsp>
                        <wps:wsp>
                          <wps:cNvPr id="14" name="Rectangle 14"/>
                          <wps:cNvSpPr/>
                          <wps:spPr>
                            <a:xfrm>
                              <a:off x="0" y="352425"/>
                              <a:ext cx="1790699" cy="1762124"/>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5965577D" w14:textId="77777777" w:rsidR="003263FF" w:rsidRDefault="003263FF" w:rsidP="007C0F2A">
                                <w:pPr>
                                  <w:spacing w:after="0" w:line="240" w:lineRule="auto"/>
                                  <w:textDirection w:val="btLr"/>
                                </w:pPr>
                              </w:p>
                            </w:txbxContent>
                          </wps:txbx>
                          <wps:bodyPr lIns="91425" tIns="91425" rIns="91425" bIns="91425" anchor="ctr" anchorCtr="0"/>
                        </wps:wsp>
                        <wps:wsp>
                          <wps:cNvPr id="15" name="Rectangle 15"/>
                          <wps:cNvSpPr/>
                          <wps:spPr>
                            <a:xfrm>
                              <a:off x="1057275" y="0"/>
                              <a:ext cx="561975" cy="361950"/>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13B2D3CF" w14:textId="77777777" w:rsidR="003263FF" w:rsidRDefault="003263FF" w:rsidP="007C0F2A">
                                <w:pPr>
                                  <w:spacing w:after="0" w:line="240" w:lineRule="auto"/>
                                  <w:textDirection w:val="btLr"/>
                                </w:pPr>
                              </w:p>
                            </w:txbxContent>
                          </wps:txbx>
                          <wps:bodyPr lIns="91425" tIns="91425" rIns="91425" bIns="91425" anchor="ctr" anchorCtr="0"/>
                        </wps:wsp>
                        <wps:wsp>
                          <wps:cNvPr id="16" name="Rectangle 16"/>
                          <wps:cNvSpPr/>
                          <wps:spPr>
                            <a:xfrm>
                              <a:off x="742950" y="123825"/>
                              <a:ext cx="304799" cy="25717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6270170B" w14:textId="77777777" w:rsidR="003263FF" w:rsidRDefault="003263FF" w:rsidP="007C0F2A">
                                <w:pPr>
                                  <w:spacing w:after="0" w:line="240" w:lineRule="auto"/>
                                  <w:textDirection w:val="btLr"/>
                                </w:pPr>
                              </w:p>
                            </w:txbxContent>
                          </wps:txbx>
                          <wps:bodyPr lIns="91425" tIns="91425" rIns="91425" bIns="91425" anchor="ctr" anchorCtr="0"/>
                        </wps:wsp>
                      </wpg:grpSp>
                    </wpg:wgp>
                  </a:graphicData>
                </a:graphic>
              </wp:anchor>
            </w:drawing>
          </mc:Choice>
          <mc:Fallback>
            <w:pict>
              <v:group w14:anchorId="0DA6BEFD" id="Group 11" o:spid="_x0000_s1026" style="position:absolute;margin-left:0;margin-top:162.7pt;width:141pt;height:166pt;z-index:251662336;mso-position-horizontal:left;mso-position-horizontal-relative:margin" coordorigin="44506,27227" coordsize="17907,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" o:allowincell="f">
                <v:group id="Group 12" o:spid="_x0000_s1027" style="position:absolute;left:44506;top:27227;width:17907;height:21145" coordsize="17907,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28" style="position:absolute;width:17907;height:21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T1MAA&#10;AADbAAAADwAAAGRycy9kb3ducmV2LnhtbERPzWrCQBC+C77DMoI33RiLaOoqWiy0njT2AabZaTaY&#10;nU2zq6Zv3xUEb/Px/c5y3dlaXKn1lWMFk3ECgrhwuuJSwdfpfTQH4QOyxtoxKfgjD+tVv7fETLsb&#10;H+mah1LEEPYZKjAhNJmUvjBk0Y9dQxy5H9daDBG2pdQt3mK4rWWaJDNpseLYYLChN0PFOb9YBYcX&#10;R+ku9du8tAvTfZ/2n784U2o46DavIAJ14Sl+uD90nD+F+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QT1MAAAADbAAAADwAAAAAAAAAAAAAAAACYAgAAZHJzL2Rvd25y&#10;ZXYueG1sUEsFBgAAAAAEAAQA9QAAAIUDAAAAAA==&#10;" filled="f" stroked="f">
                    <v:textbox inset="2.53958mm,2.53958mm,2.53958mm,2.53958mm">
                      <w:txbxContent>
                        <w:p w14:paraId="650CBE59" w14:textId="77777777" w:rsidR="003263FF" w:rsidRDefault="003263FF" w:rsidP="007C0F2A">
                          <w:pPr>
                            <w:spacing w:after="0" w:line="240" w:lineRule="auto"/>
                            <w:textDirection w:val="btLr"/>
                          </w:pPr>
                        </w:p>
                      </w:txbxContent>
                    </v:textbox>
                  </v:rect>
                  <v:rect id="Rectangle 14" o:spid="_x0000_s1029" style="position:absolute;top:3524;width:17906;height:17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rCRcMA&#10;AADbAAAADwAAAGRycy9kb3ducmV2LnhtbERPTWvCQBC9C/6HZYTedGMp0kZXkbZCoaUa68XbkB2T&#10;kOxsurvV2F/vCoK3ebzPmS0604gjOV9ZVjAeJSCIc6srLhTsflbDZxA+IGtsLJOCM3lYzPu9Gaba&#10;njij4zYUIoawT1FBGUKbSunzkgz6kW2JI3ewzmCI0BVSOzzFcNPIxySZSIMVx4YSW3otKa+3f0bB&#10;6vu9qjOXbF72Nf3Kzdv68/9LKvUw6JZTEIG6cBff3B86zn+C6y/x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rCRcMAAADbAAAADwAAAAAAAAAAAAAAAACYAgAAZHJzL2Rv&#10;d25yZXYueG1sUEsFBgAAAAAEAAQA9QAAAIgDAAAAAA==&#10;" strokecolor="white" strokeweight="1pt">
                    <v:textbox inset="2.53958mm,2.53958mm,2.53958mm,2.53958mm">
                      <w:txbxContent>
                        <w:p w14:paraId="5965577D" w14:textId="77777777" w:rsidR="003263FF" w:rsidRDefault="003263FF" w:rsidP="007C0F2A">
                          <w:pPr>
                            <w:spacing w:after="0" w:line="240" w:lineRule="auto"/>
                            <w:textDirection w:val="btLr"/>
                          </w:pPr>
                        </w:p>
                      </w:txbxContent>
                    </v:textbox>
                  </v:rect>
                  <v:rect id="Rectangle 15" o:spid="_x0000_s1030" style="position:absolute;left:10572;width:5620;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n3sMA&#10;AADbAAAADwAAAGRycy9kb3ducmV2LnhtbERPTWvCQBC9C/6HZYTedGOh0kZXkbZCoaUa68XbkB2T&#10;kOxsurvV2F/vCoK3ebzPmS0604gjOV9ZVjAeJSCIc6srLhTsflbDZxA+IGtsLJOCM3lYzPu9Gaba&#10;njij4zYUIoawT1FBGUKbSunzkgz6kW2JI3ewzmCI0BVSOzzFcNPIxySZSIMVx4YSW3otKa+3f0bB&#10;6vu9qjOXbF72Nf3Kzdv68/9LKvUw6JZTEIG6cBff3B86zn+C6y/x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Zn3sMAAADbAAAADwAAAAAAAAAAAAAAAACYAgAAZHJzL2Rv&#10;d25yZXYueG1sUEsFBgAAAAAEAAQA9QAAAIgDAAAAAA==&#10;" strokecolor="white" strokeweight="1pt">
                    <v:textbox inset="2.53958mm,2.53958mm,2.53958mm,2.53958mm">
                      <w:txbxContent>
                        <w:p w14:paraId="13B2D3CF" w14:textId="77777777" w:rsidR="003263FF" w:rsidRDefault="003263FF" w:rsidP="007C0F2A">
                          <w:pPr>
                            <w:spacing w:after="0" w:line="240" w:lineRule="auto"/>
                            <w:textDirection w:val="btLr"/>
                          </w:pPr>
                        </w:p>
                      </w:txbxContent>
                    </v:textbox>
                  </v:rect>
                  <v:rect id="Rectangle 16" o:spid="_x0000_s1031" style="position:absolute;left:7429;top:1238;width:3048;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5qcMA&#10;AADbAAAADwAAAGRycy9kb3ducmV2LnhtbERPS2vCQBC+C/0PyxR60009iKZuQmkVCkp9tBdvQ3ZM&#10;QrKz6e5WY3+9Kwi9zcf3nHnem1acyPnasoLnUQKCuLC65lLB99dyOAXhA7LG1jIpuJCHPHsYzDHV&#10;9sw7Ou1DKWII+xQVVCF0qZS+qMigH9mOOHJH6wyGCF0ptcNzDDetHCfJRBqsOTZU2NFbRUWz/zUK&#10;lp+Lutm5ZDs7NPQjt++b1d9aKvX02L++gAjUh3/x3f2h4/wJ3H6JB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T5qcMAAADbAAAADwAAAAAAAAAAAAAAAACYAgAAZHJzL2Rv&#10;d25yZXYueG1sUEsFBgAAAAAEAAQA9QAAAIgDAAAAAA==&#10;" strokecolor="white" strokeweight="1pt">
                    <v:textbox inset="2.53958mm,2.53958mm,2.53958mm,2.53958mm">
                      <w:txbxContent>
                        <w:p w14:paraId="6270170B" w14:textId="77777777" w:rsidR="003263FF" w:rsidRDefault="003263FF" w:rsidP="007C0F2A">
                          <w:pPr>
                            <w:spacing w:after="0" w:line="240" w:lineRule="auto"/>
                            <w:textDirection w:val="btLr"/>
                          </w:pPr>
                        </w:p>
                      </w:txbxContent>
                    </v:textbox>
                  </v:rect>
                </v:group>
                <w10:wrap anchorx="margin"/>
              </v:group>
            </w:pict>
          </mc:Fallback>
        </mc:AlternateContent>
      </w:r>
      <w:r w:rsidRPr="009A2045">
        <w:rPr>
          <w:noProof/>
        </w:rPr>
        <w:drawing>
          <wp:inline distT="0" distB="0" distL="0" distR="0" wp14:anchorId="193780B0" wp14:editId="29DADF34">
            <wp:extent cx="6073667" cy="4410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9523" cy="4414327"/>
                    </a:xfrm>
                    <a:prstGeom prst="rect">
                      <a:avLst/>
                    </a:prstGeom>
                    <a:noFill/>
                  </pic:spPr>
                </pic:pic>
              </a:graphicData>
            </a:graphic>
          </wp:inline>
        </w:drawing>
      </w:r>
    </w:p>
    <w:p w14:paraId="479B2E1D" w14:textId="77777777" w:rsidR="007C0F2A" w:rsidRPr="009A2045" w:rsidRDefault="007C0F2A" w:rsidP="009A2045">
      <w:pPr>
        <w:keepNext/>
        <w:keepLines/>
        <w:spacing w:after="0" w:line="240" w:lineRule="auto"/>
      </w:pPr>
    </w:p>
    <w:p w14:paraId="2744E5FA" w14:textId="2F721BEE" w:rsidR="007C0F2A" w:rsidRPr="009A2045" w:rsidRDefault="008041CB" w:rsidP="009A2045">
      <w:pPr>
        <w:pStyle w:val="Caption"/>
        <w:rPr>
          <w:sz w:val="24"/>
          <w:szCs w:val="24"/>
        </w:rPr>
      </w:pPr>
      <w:bookmarkStart w:id="31" w:name="_Toc435773401"/>
      <w:r w:rsidRPr="009A2045">
        <w:rPr>
          <w:b/>
          <w:i w:val="0"/>
          <w:sz w:val="22"/>
          <w:szCs w:val="22"/>
        </w:rPr>
        <w:t xml:space="preserve">Figure </w:t>
      </w:r>
      <w:r w:rsidR="00456B5B"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Figure \* ARABIC </w:instrText>
      </w:r>
      <w:r w:rsidR="00C60928" w:rsidRPr="009A2045">
        <w:rPr>
          <w:b/>
          <w:i w:val="0"/>
          <w:sz w:val="22"/>
          <w:szCs w:val="22"/>
        </w:rPr>
        <w:fldChar w:fldCharType="separate"/>
      </w:r>
      <w:r w:rsidRPr="009A2045">
        <w:rPr>
          <w:b/>
          <w:i w:val="0"/>
          <w:noProof/>
          <w:sz w:val="22"/>
          <w:szCs w:val="22"/>
        </w:rPr>
        <w:t>2</w:t>
      </w:r>
      <w:r w:rsidR="00C60928" w:rsidRPr="009A2045">
        <w:rPr>
          <w:b/>
          <w:i w:val="0"/>
          <w:noProof/>
          <w:sz w:val="22"/>
          <w:szCs w:val="22"/>
        </w:rPr>
        <w:fldChar w:fldCharType="end"/>
      </w:r>
      <w:r w:rsidRPr="009A2045">
        <w:rPr>
          <w:b/>
          <w:i w:val="0"/>
          <w:sz w:val="22"/>
          <w:szCs w:val="22"/>
        </w:rPr>
        <w:t xml:space="preserve">.  Adverse Outcome Pathway for Organophosphates and Acetylcholinesterase </w:t>
      </w:r>
      <w:r w:rsidR="00456B5B" w:rsidRPr="009A2045">
        <w:rPr>
          <w:b/>
          <w:i w:val="0"/>
          <w:sz w:val="22"/>
          <w:szCs w:val="22"/>
        </w:rPr>
        <w:t>I</w:t>
      </w:r>
      <w:r w:rsidRPr="009A2045">
        <w:rPr>
          <w:b/>
          <w:i w:val="0"/>
          <w:sz w:val="22"/>
          <w:szCs w:val="22"/>
        </w:rPr>
        <w:t>nhibition</w:t>
      </w:r>
      <w:r w:rsidR="00456B5B" w:rsidRPr="009A2045">
        <w:t xml:space="preserve"> </w:t>
      </w:r>
      <w:r w:rsidR="007C0F2A" w:rsidRPr="009A2045">
        <w:rPr>
          <w:sz w:val="24"/>
          <w:szCs w:val="24"/>
        </w:rPr>
        <w:t xml:space="preserve">(the figure is from Russom, </w:t>
      </w:r>
      <w:r w:rsidR="007C0F2A" w:rsidRPr="009A2045">
        <w:rPr>
          <w:i w:val="0"/>
          <w:sz w:val="24"/>
          <w:szCs w:val="24"/>
        </w:rPr>
        <w:t>et al.</w:t>
      </w:r>
      <w:r w:rsidR="007C0F2A" w:rsidRPr="009A2045">
        <w:rPr>
          <w:sz w:val="24"/>
          <w:szCs w:val="24"/>
        </w:rPr>
        <w:t xml:space="preserve"> 2014).</w:t>
      </w:r>
      <w:bookmarkEnd w:id="31"/>
    </w:p>
    <w:p w14:paraId="7D4BECDD" w14:textId="77777777" w:rsidR="001D557C" w:rsidRPr="009A2045" w:rsidRDefault="001D557C" w:rsidP="009A2045"/>
    <w:p w14:paraId="0ADB62DB" w14:textId="77777777" w:rsidR="000E5A0E" w:rsidRPr="009A2045" w:rsidRDefault="00D63E1A" w:rsidP="009A2045">
      <w:pPr>
        <w:pStyle w:val="Heading3"/>
      </w:pPr>
      <w:bookmarkStart w:id="32" w:name="_Toc436043026"/>
      <w:r w:rsidRPr="009A2045">
        <w:t>1.2.2.</w:t>
      </w:r>
      <w:r w:rsidRPr="009A2045">
        <w:tab/>
        <w:t>Fate Overview</w:t>
      </w:r>
      <w:bookmarkEnd w:id="32"/>
      <w:r w:rsidRPr="009A2045">
        <w:t xml:space="preserve"> </w:t>
      </w:r>
    </w:p>
    <w:p w14:paraId="7E26E578" w14:textId="77777777" w:rsidR="00A82077" w:rsidRPr="009A2045" w:rsidRDefault="00A82077" w:rsidP="009A2045"/>
    <w:p w14:paraId="5B480767" w14:textId="37BB9EA0" w:rsidR="000E5A0E" w:rsidRPr="009A2045" w:rsidRDefault="00D63E1A" w:rsidP="009A2045">
      <w:r w:rsidRPr="009A2045">
        <w:t xml:space="preserve">The major routes of degradation of </w:t>
      </w:r>
      <w:proofErr w:type="gramStart"/>
      <w:r w:rsidRPr="009A2045">
        <w:t>malathion</w:t>
      </w:r>
      <w:proofErr w:type="gramEnd"/>
      <w:r w:rsidRPr="009A2045">
        <w:t xml:space="preserve"> are aerobic and anaerobic biodegradation and hydrolysis.  Under alkaline conditions (pH 9), hydrolysis of </w:t>
      </w:r>
      <w:proofErr w:type="gramStart"/>
      <w:r w:rsidRPr="009A2045">
        <w:t>malathion</w:t>
      </w:r>
      <w:proofErr w:type="gramEnd"/>
      <w:r w:rsidRPr="009A2045">
        <w:t xml:space="preserve"> occurs more rapidly, with a half-life of approximately 12 hours, than in acidic conditions (pH 5; 107 days).  Malathion appears to degrade rapidly in soil under both aerobic and anaerobic conditions.  The reported metabolic half-lives vary from 0.3 to 11 days in registrant submitted studies depending on soil type and soil moisture.  Information on leaching and adsorption/desorption indicate that parent </w:t>
      </w:r>
      <w:proofErr w:type="gramStart"/>
      <w:r w:rsidRPr="009A2045">
        <w:t>malathion</w:t>
      </w:r>
      <w:proofErr w:type="gramEnd"/>
      <w:r w:rsidRPr="009A2045">
        <w:t xml:space="preserve"> is considered moderately mobile according to Food and Agricultural Organization (FAO) mobility classification system.  The environmental fate of the minor</w:t>
      </w:r>
      <w:r w:rsidR="00CC26F3" w:rsidRPr="009A2045">
        <w:t xml:space="preserve"> (</w:t>
      </w:r>
      <w:r w:rsidR="00CC26F3" w:rsidRPr="009A2045">
        <w:rPr>
          <w:i/>
        </w:rPr>
        <w:t>i.e.</w:t>
      </w:r>
      <w:r w:rsidR="00CC26F3" w:rsidRPr="009A2045">
        <w:t xml:space="preserve">, occurs at less than 10% of </w:t>
      </w:r>
      <w:proofErr w:type="gramStart"/>
      <w:r w:rsidR="00A60C36" w:rsidRPr="009A2045">
        <w:t>malathion</w:t>
      </w:r>
      <w:proofErr w:type="gramEnd"/>
      <w:r w:rsidR="00A60C36" w:rsidRPr="009A2045">
        <w:t xml:space="preserve"> </w:t>
      </w:r>
      <w:r w:rsidR="00CC26F3" w:rsidRPr="009A2045">
        <w:t>applied in environmental fate studies)</w:t>
      </w:r>
      <w:r w:rsidR="00B2365C" w:rsidRPr="009A2045">
        <w:t>,</w:t>
      </w:r>
      <w:r w:rsidRPr="009A2045">
        <w:t xml:space="preserve"> yet toxic malathion transformation product, malaoxon, indicates that it has nearly identical persistence and </w:t>
      </w:r>
      <w:r w:rsidRPr="009A2045">
        <w:lastRenderedPageBreak/>
        <w:t xml:space="preserve">mobility characteristics as parent malathion.  Available </w:t>
      </w:r>
      <w:r w:rsidR="00A60C36" w:rsidRPr="009A2045">
        <w:t xml:space="preserve">terrestrial </w:t>
      </w:r>
      <w:r w:rsidRPr="009A2045">
        <w:t>field</w:t>
      </w:r>
      <w:r w:rsidR="00A60C36" w:rsidRPr="009A2045">
        <w:t xml:space="preserve"> dissipation</w:t>
      </w:r>
      <w:r w:rsidRPr="009A2045">
        <w:t xml:space="preserve"> data indicate that </w:t>
      </w:r>
      <w:proofErr w:type="gramStart"/>
      <w:r w:rsidRPr="009A2045">
        <w:t>malathion</w:t>
      </w:r>
      <w:proofErr w:type="gramEnd"/>
      <w:r w:rsidRPr="009A2045">
        <w:t xml:space="preserve"> has a dissipation half-life of less than one day</w:t>
      </w:r>
      <w:r w:rsidR="00A60C36" w:rsidRPr="009A2045">
        <w:t xml:space="preserve"> on soils with pH 6.1 to 6.6</w:t>
      </w:r>
      <w:r w:rsidRPr="009A2045">
        <w:t xml:space="preserve">, with little leaching observed.  </w:t>
      </w:r>
      <w:r w:rsidR="00A60C36" w:rsidRPr="009A2045">
        <w:t xml:space="preserve">Given little </w:t>
      </w:r>
      <w:r w:rsidR="009C657D" w:rsidRPr="009A2045">
        <w:t xml:space="preserve">observed </w:t>
      </w:r>
      <w:r w:rsidR="00A60C36" w:rsidRPr="009A2045">
        <w:t>leaching, degradation drives dissipation with aerobic soil metabolism being the most significant path of degradation.</w:t>
      </w:r>
    </w:p>
    <w:p w14:paraId="7550D35B" w14:textId="3730AF2B" w:rsidR="000E5A0E" w:rsidRPr="009A2045" w:rsidRDefault="00D63E1A" w:rsidP="009A2045">
      <w:pPr>
        <w:pStyle w:val="Heading3"/>
      </w:pPr>
      <w:bookmarkStart w:id="33" w:name="_Toc436043027"/>
      <w:r w:rsidRPr="009A2045">
        <w:t>1.2.3.</w:t>
      </w:r>
      <w:r w:rsidRPr="009A2045">
        <w:tab/>
        <w:t xml:space="preserve">Degradates of </w:t>
      </w:r>
      <w:r w:rsidR="001718EE" w:rsidRPr="009A2045">
        <w:t>C</w:t>
      </w:r>
      <w:r w:rsidRPr="009A2045">
        <w:t>oncern</w:t>
      </w:r>
      <w:bookmarkEnd w:id="33"/>
      <w:r w:rsidRPr="009A2045">
        <w:t xml:space="preserve"> </w:t>
      </w:r>
    </w:p>
    <w:p w14:paraId="38C93B33" w14:textId="77777777" w:rsidR="000E5A0E" w:rsidRPr="009A2045" w:rsidRDefault="000E5A0E" w:rsidP="009A2045">
      <w:pPr>
        <w:keepNext/>
        <w:keepLines/>
        <w:spacing w:after="0" w:line="240" w:lineRule="auto"/>
      </w:pPr>
    </w:p>
    <w:p w14:paraId="1AF0F829" w14:textId="359A7469" w:rsidR="000E5A0E" w:rsidRPr="004573BB" w:rsidRDefault="00D63E1A" w:rsidP="009A2045">
      <w:pPr>
        <w:keepNext/>
        <w:keepLines/>
        <w:spacing w:after="0" w:line="240" w:lineRule="auto"/>
      </w:pPr>
      <w:r w:rsidRPr="009A2045">
        <w:t xml:space="preserve">The primary route for dissipation of </w:t>
      </w:r>
      <w:proofErr w:type="gramStart"/>
      <w:r w:rsidRPr="009A2045">
        <w:t>malathion</w:t>
      </w:r>
      <w:proofErr w:type="gramEnd"/>
      <w:r w:rsidRPr="009A2045">
        <w:t xml:space="preserve"> is metabolism to the less toxic malathion dicarboxylic and monocarboxylic acids.  Malathion metabolizes readily in moist, microbially active soils.  However, if </w:t>
      </w:r>
      <w:proofErr w:type="gramStart"/>
      <w:r w:rsidRPr="009A2045">
        <w:t>malathion</w:t>
      </w:r>
      <w:proofErr w:type="gramEnd"/>
      <w:r w:rsidRPr="009A2045">
        <w:t xml:space="preserve"> is in contact with metabolically inactive surfaces such as dry soils or impervious surfaces common in non-agricultural settings, photo-oxidation to the toxic degradate malaoxon can occur.  Field data indicate that up to 10% of </w:t>
      </w:r>
      <w:proofErr w:type="gramStart"/>
      <w:r w:rsidRPr="009A2045">
        <w:t>malathion</w:t>
      </w:r>
      <w:proofErr w:type="gramEnd"/>
      <w:r w:rsidRPr="009A2045">
        <w:t xml:space="preserve"> can be transformed to malaoxon in these conditions.  Oxidation to malaoxon can also be catalyzed in the presence of chlorine.  To a much more limited degree than in chlorine catalyzed or photo-oxidation conditions, malathion can metabolize to malaoxon under other circumstances, but malaoxon is not a major degradate</w:t>
      </w:r>
      <w:r w:rsidR="00A60C36" w:rsidRPr="009A2045">
        <w:t xml:space="preserve"> (</w:t>
      </w:r>
      <w:r w:rsidR="00A60C36" w:rsidRPr="009A2045">
        <w:rPr>
          <w:i/>
        </w:rPr>
        <w:t>i.e.</w:t>
      </w:r>
      <w:r w:rsidR="00A60C36" w:rsidRPr="009A2045">
        <w:t>, occurs at more than 10% of malathion applied in environmental fate studies)</w:t>
      </w:r>
      <w:r w:rsidRPr="009A2045">
        <w:t xml:space="preserve"> in that pathway.  Malaoxon dissipates and degrades similarly to </w:t>
      </w:r>
      <w:proofErr w:type="gramStart"/>
      <w:r w:rsidRPr="009A2045">
        <w:t>malathion</w:t>
      </w:r>
      <w:proofErr w:type="gramEnd"/>
      <w:r w:rsidRPr="009A2045">
        <w:t xml:space="preserve"> with rapid metabolism in aerobic conditions and rapid hydrolysis in alkaline conditions.  Therefore, short duration malaoxon concentration peaks</w:t>
      </w:r>
      <w:r w:rsidR="00A60C36" w:rsidRPr="009A2045">
        <w:t xml:space="preserve"> (less than one day)</w:t>
      </w:r>
      <w:r w:rsidRPr="009A2045">
        <w:t xml:space="preserve"> may be expected in non-agricultural streams during run-off events.  Stream monitoring efforts associated with the discontinued Mediterranean Fruit Fly Eradication Program found malaoxon concentrations as high as 328 ppb.  NAWQA surface water monitoring detected malaoxon in 0.1% of samples for which it was tested with a peak detection of 0.2 ppb.  </w:t>
      </w:r>
      <w:r w:rsidR="004573BB">
        <w:t xml:space="preserve">See </w:t>
      </w:r>
      <w:r w:rsidR="004573BB">
        <w:rPr>
          <w:b/>
        </w:rPr>
        <w:t>APPENDIX 1-9</w:t>
      </w:r>
      <w:r w:rsidR="004573BB">
        <w:t xml:space="preserve"> for more information. </w:t>
      </w:r>
    </w:p>
    <w:p w14:paraId="296CEE33" w14:textId="77777777" w:rsidR="000E5A0E" w:rsidRPr="009A2045" w:rsidRDefault="000E5A0E" w:rsidP="009A2045">
      <w:pPr>
        <w:spacing w:after="0" w:line="240" w:lineRule="auto"/>
      </w:pPr>
    </w:p>
    <w:p w14:paraId="52FAE1EF" w14:textId="1768F0C0" w:rsidR="000E5A0E" w:rsidRPr="009A2045" w:rsidRDefault="00D63E1A" w:rsidP="009A2045">
      <w:pPr>
        <w:spacing w:after="0" w:line="240" w:lineRule="auto"/>
      </w:pPr>
      <w:r w:rsidRPr="009A2045">
        <w:t>For the reasons described above</w:t>
      </w:r>
      <w:r w:rsidR="00B32584">
        <w:t xml:space="preserve"> and detailed in </w:t>
      </w:r>
      <w:r w:rsidR="00B32584">
        <w:rPr>
          <w:b/>
        </w:rPr>
        <w:t>APPENDIX 1-9</w:t>
      </w:r>
      <w:r w:rsidRPr="009A2045">
        <w:t xml:space="preserve">, this assessment will include a qualitative discussion of the potential risks associated with malaoxon and their potential to impact the effects determinations associated with </w:t>
      </w:r>
      <w:proofErr w:type="gramStart"/>
      <w:r w:rsidRPr="009A2045">
        <w:t>malathion</w:t>
      </w:r>
      <w:proofErr w:type="gramEnd"/>
      <w:r w:rsidRPr="009A2045">
        <w:t xml:space="preserve">. </w:t>
      </w:r>
    </w:p>
    <w:p w14:paraId="7DBA6BA2" w14:textId="77777777" w:rsidR="000E5A0E" w:rsidRPr="009A2045" w:rsidRDefault="000E5A0E" w:rsidP="009A2045">
      <w:pPr>
        <w:spacing w:after="0" w:line="240" w:lineRule="auto"/>
      </w:pPr>
    </w:p>
    <w:p w14:paraId="14ADE27C" w14:textId="69BC2759" w:rsidR="007C0F2A" w:rsidRPr="009A2045" w:rsidRDefault="00EC7ECD" w:rsidP="009A2045">
      <w:pPr>
        <w:pStyle w:val="Heading2"/>
        <w:rPr>
          <w:i/>
        </w:rPr>
      </w:pPr>
      <w:bookmarkStart w:id="34" w:name="_Toc436043028"/>
      <w:r w:rsidRPr="009A2045">
        <w:t>1.3.</w:t>
      </w:r>
      <w:r w:rsidRPr="009A2045">
        <w:tab/>
      </w:r>
      <w:r w:rsidR="007C0F2A" w:rsidRPr="009A2045">
        <w:t>Conceptual Model</w:t>
      </w:r>
      <w:bookmarkEnd w:id="34"/>
      <w:r w:rsidR="007C0F2A" w:rsidRPr="009A2045">
        <w:t xml:space="preserve"> </w:t>
      </w:r>
    </w:p>
    <w:p w14:paraId="6DD659D4" w14:textId="77777777" w:rsidR="007C0F2A" w:rsidRPr="009A2045" w:rsidRDefault="007C0F2A" w:rsidP="009A2045">
      <w:pPr>
        <w:keepNext/>
        <w:keepLines/>
        <w:spacing w:after="0" w:line="240" w:lineRule="auto"/>
      </w:pPr>
    </w:p>
    <w:p w14:paraId="53410F5A" w14:textId="37E88585" w:rsidR="007C0F2A" w:rsidRPr="009A2045" w:rsidRDefault="007C0F2A" w:rsidP="009A2045">
      <w:pPr>
        <w:pStyle w:val="Heading3"/>
      </w:pPr>
      <w:bookmarkStart w:id="35" w:name="_Toc436043029"/>
      <w:r w:rsidRPr="009A2045">
        <w:t>1.3.1.</w:t>
      </w:r>
      <w:r w:rsidRPr="009A2045">
        <w:tab/>
        <w:t xml:space="preserve">Conceptual </w:t>
      </w:r>
      <w:r w:rsidR="001718EE" w:rsidRPr="009A2045">
        <w:t>M</w:t>
      </w:r>
      <w:r w:rsidRPr="009A2045">
        <w:t xml:space="preserve">odel for </w:t>
      </w:r>
      <w:r w:rsidR="001718EE" w:rsidRPr="009A2045">
        <w:t>P</w:t>
      </w:r>
      <w:r w:rsidRPr="009A2045">
        <w:t xml:space="preserve">otential </w:t>
      </w:r>
      <w:r w:rsidR="001718EE" w:rsidRPr="009A2045">
        <w:t>E</w:t>
      </w:r>
      <w:r w:rsidRPr="009A2045">
        <w:t xml:space="preserve">xposure </w:t>
      </w:r>
      <w:r w:rsidR="001718EE" w:rsidRPr="009A2045">
        <w:t>R</w:t>
      </w:r>
      <w:r w:rsidRPr="009A2045">
        <w:t>outes</w:t>
      </w:r>
      <w:bookmarkEnd w:id="35"/>
    </w:p>
    <w:p w14:paraId="01F6DAEC" w14:textId="77777777" w:rsidR="007C0F2A" w:rsidRPr="009A2045" w:rsidRDefault="007C0F2A" w:rsidP="009A2045">
      <w:pPr>
        <w:spacing w:after="0" w:line="240" w:lineRule="auto"/>
      </w:pPr>
    </w:p>
    <w:p w14:paraId="7639406F" w14:textId="2397C5D1" w:rsidR="007C0F2A" w:rsidRPr="009A2045" w:rsidRDefault="007C0F2A" w:rsidP="009A2045">
      <w:pPr>
        <w:spacing w:after="0" w:line="240" w:lineRule="auto"/>
      </w:pPr>
      <w:r w:rsidRPr="009A2045">
        <w:t xml:space="preserve">Direct deposition of </w:t>
      </w:r>
      <w:r w:rsidR="009F0204" w:rsidRPr="009A2045">
        <w:t>malathion</w:t>
      </w:r>
      <w:r w:rsidRPr="009A2045">
        <w:t xml:space="preserve"> onto treated sites as well as transport via spray drift, runoff and volatilization resulting in atmospheric (including long range) transport are depicted in the conceptual models (</w:t>
      </w:r>
      <w:r w:rsidRPr="009A2045">
        <w:rPr>
          <w:b/>
        </w:rPr>
        <w:t>Figures 1</w:t>
      </w:r>
      <w:r w:rsidR="005B7DD5" w:rsidRPr="009A2045">
        <w:rPr>
          <w:b/>
        </w:rPr>
        <w:t>-3</w:t>
      </w:r>
      <w:r w:rsidRPr="009A2045">
        <w:rPr>
          <w:b/>
        </w:rPr>
        <w:t xml:space="preserve"> </w:t>
      </w:r>
      <w:r w:rsidRPr="009A2045">
        <w:t>and</w:t>
      </w:r>
      <w:r w:rsidRPr="009A2045">
        <w:rPr>
          <w:b/>
        </w:rPr>
        <w:t xml:space="preserve"> </w:t>
      </w:r>
      <w:r w:rsidR="005B7DD5" w:rsidRPr="009A2045">
        <w:rPr>
          <w:b/>
        </w:rPr>
        <w:t>1-4</w:t>
      </w:r>
      <w:r w:rsidRPr="009A2045">
        <w:t xml:space="preserve">) as sources that result in the movement of </w:t>
      </w:r>
      <w:r w:rsidR="009F0204" w:rsidRPr="009A2045">
        <w:t>malathion</w:t>
      </w:r>
      <w:r w:rsidRPr="009A2045">
        <w:t xml:space="preserve"> into aquatic and terrestrial habitats.  The movement away from the site of application in turn represents exposure pathways for a broad range of biological receptors of concern (non-target organisms) and the potential attribute changes, </w:t>
      </w:r>
      <w:r w:rsidRPr="009A2045">
        <w:rPr>
          <w:i/>
        </w:rPr>
        <w:t>i.e.</w:t>
      </w:r>
      <w:r w:rsidRPr="009A2045">
        <w:t xml:space="preserve">, effects such as reduced survival, growth and reproduction, in the receptors due to </w:t>
      </w:r>
      <w:r w:rsidR="009F0204" w:rsidRPr="009A2045">
        <w:t>malathion</w:t>
      </w:r>
      <w:r w:rsidRPr="009A2045">
        <w:t xml:space="preserve"> (and its degradates of concern) exposure.  </w:t>
      </w:r>
    </w:p>
    <w:p w14:paraId="0D69E514" w14:textId="57A453F3" w:rsidR="007C0F2A" w:rsidRPr="009A2045" w:rsidRDefault="007C0F2A" w:rsidP="009A2045">
      <w:pPr>
        <w:tabs>
          <w:tab w:val="left" w:pos="1680"/>
        </w:tabs>
        <w:spacing w:after="0" w:line="240" w:lineRule="auto"/>
      </w:pPr>
      <w:r w:rsidRPr="009A2045">
        <w:rPr>
          <w:rFonts w:ascii="Times New Roman" w:eastAsia="Times New Roman" w:hAnsi="Times New Roman" w:cs="Times New Roman"/>
          <w:i/>
          <w:sz w:val="24"/>
          <w:szCs w:val="24"/>
        </w:rPr>
        <w:tab/>
      </w:r>
    </w:p>
    <w:p w14:paraId="187E0B8E" w14:textId="563567E5" w:rsidR="000E5A0E" w:rsidRPr="009A2045" w:rsidRDefault="0008356F" w:rsidP="009A2045">
      <w:pPr>
        <w:keepNext/>
        <w:spacing w:after="0" w:line="240" w:lineRule="auto"/>
      </w:pPr>
      <w:r w:rsidRPr="009A2045">
        <w:rPr>
          <w:noProof/>
        </w:rPr>
        <w:lastRenderedPageBreak/>
        <mc:AlternateContent>
          <mc:Choice Requires="wps">
            <w:drawing>
              <wp:anchor distT="0" distB="0" distL="114300" distR="114300" simplePos="0" relativeHeight="251663360" behindDoc="0" locked="0" layoutInCell="1" allowOverlap="1" wp14:anchorId="2C4A1BDB" wp14:editId="69A7BA73">
                <wp:simplePos x="0" y="0"/>
                <wp:positionH relativeFrom="column">
                  <wp:posOffset>1082040</wp:posOffset>
                </wp:positionH>
                <wp:positionV relativeFrom="paragraph">
                  <wp:posOffset>5715</wp:posOffset>
                </wp:positionV>
                <wp:extent cx="4678680" cy="556260"/>
                <wp:effectExtent l="0" t="0" r="26670" b="15240"/>
                <wp:wrapNone/>
                <wp:docPr id="17" name="Text Box 17"/>
                <wp:cNvGraphicFramePr/>
                <a:graphic xmlns:a="http://schemas.openxmlformats.org/drawingml/2006/main">
                  <a:graphicData uri="http://schemas.microsoft.com/office/word/2010/wordprocessingShape">
                    <wps:wsp>
                      <wps:cNvSpPr txBox="1"/>
                      <wps:spPr>
                        <a:xfrm>
                          <a:off x="0" y="0"/>
                          <a:ext cx="467868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85FD36" w14:textId="730FF74C" w:rsidR="003263FF" w:rsidRDefault="003263FF" w:rsidP="0008356F">
                            <w:pPr>
                              <w:spacing w:after="0"/>
                              <w:jc w:val="center"/>
                            </w:pPr>
                            <w:r>
                              <w:t>Malathion Applied to Use Site</w:t>
                            </w:r>
                          </w:p>
                          <w:p w14:paraId="468F1A17" w14:textId="1A057977" w:rsidR="003263FF" w:rsidRDefault="003263FF" w:rsidP="0008356F">
                            <w:pPr>
                              <w:spacing w:after="0"/>
                              <w:jc w:val="center"/>
                            </w:pPr>
                            <w:r>
                              <w:t>(Including Degradates of Concern)</w:t>
                            </w:r>
                          </w:p>
                          <w:p w14:paraId="63A95ADF" w14:textId="77777777" w:rsidR="003263FF" w:rsidRDefault="003263FF" w:rsidP="007C0F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A1BDB" id="_x0000_t202" coordsize="21600,21600" o:spt="202" path="m,l,21600r21600,l21600,xe">
                <v:stroke joinstyle="miter"/>
                <v:path gradientshapeok="t" o:connecttype="rect"/>
              </v:shapetype>
              <v:shape id="Text Box 17" o:spid="_x0000_s1032" type="#_x0000_t202" style="position:absolute;margin-left:85.2pt;margin-top:.45pt;width:368.4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" fillcolor="white [3201]" strokeweight=".5pt">
                <v:textbox>
                  <w:txbxContent>
                    <w:p w14:paraId="1085FD36" w14:textId="730FF74C" w:rsidR="003263FF" w:rsidRDefault="003263FF" w:rsidP="0008356F">
                      <w:pPr>
                        <w:spacing w:after="0"/>
                        <w:jc w:val="center"/>
                      </w:pPr>
                      <w:r>
                        <w:t>Malathion Applied to Use Site</w:t>
                      </w:r>
                    </w:p>
                    <w:p w14:paraId="468F1A17" w14:textId="1A057977" w:rsidR="003263FF" w:rsidRDefault="003263FF" w:rsidP="0008356F">
                      <w:pPr>
                        <w:spacing w:after="0"/>
                        <w:jc w:val="center"/>
                      </w:pPr>
                      <w:r>
                        <w:t>(Including Degradates of Concern)</w:t>
                      </w:r>
                    </w:p>
                    <w:p w14:paraId="63A95ADF" w14:textId="77777777" w:rsidR="003263FF" w:rsidRDefault="003263FF" w:rsidP="007C0F2A">
                      <w:pPr>
                        <w:jc w:val="center"/>
                      </w:pPr>
                    </w:p>
                  </w:txbxContent>
                </v:textbox>
              </v:shape>
            </w:pict>
          </mc:Fallback>
        </mc:AlternateContent>
      </w:r>
    </w:p>
    <w:p w14:paraId="368DFCAF" w14:textId="46C4191C" w:rsidR="000E5A0E" w:rsidRPr="009A2045" w:rsidRDefault="0008356F" w:rsidP="009A2045">
      <w:pPr>
        <w:spacing w:after="0" w:line="240" w:lineRule="auto"/>
      </w:pPr>
      <w:r w:rsidRPr="00C54C2F">
        <w:rPr>
          <w:noProof/>
        </w:rPr>
        <w:drawing>
          <wp:inline distT="0" distB="0" distL="0" distR="0" wp14:anchorId="6C1AE7E7" wp14:editId="1F4CB8F3">
            <wp:extent cx="5943600" cy="426033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8525"/>
                    <a:stretch/>
                  </pic:blipFill>
                  <pic:spPr bwMode="auto">
                    <a:xfrm>
                      <a:off x="0" y="0"/>
                      <a:ext cx="5943600" cy="4260334"/>
                    </a:xfrm>
                    <a:prstGeom prst="rect">
                      <a:avLst/>
                    </a:prstGeom>
                    <a:ln>
                      <a:noFill/>
                    </a:ln>
                    <a:extLst>
                      <a:ext uri="{53640926-AAD7-44D8-BBD7-CCE9431645EC}">
                        <a14:shadowObscured xmlns:a14="http://schemas.microsoft.com/office/drawing/2010/main"/>
                      </a:ext>
                    </a:extLst>
                  </pic:spPr>
                </pic:pic>
              </a:graphicData>
            </a:graphic>
          </wp:inline>
        </w:drawing>
      </w:r>
    </w:p>
    <w:p w14:paraId="0023A4F6" w14:textId="49441C30" w:rsidR="000E5A0E" w:rsidRPr="009A2045" w:rsidRDefault="008041CB" w:rsidP="009A2045">
      <w:pPr>
        <w:pStyle w:val="Caption"/>
        <w:rPr>
          <w:i w:val="0"/>
        </w:rPr>
      </w:pPr>
      <w:bookmarkStart w:id="36" w:name="h.30j0zll" w:colFirst="0" w:colLast="0"/>
      <w:bookmarkStart w:id="37" w:name="_Toc435773402"/>
      <w:bookmarkEnd w:id="36"/>
      <w:r w:rsidRPr="009A2045">
        <w:rPr>
          <w:b/>
          <w:i w:val="0"/>
          <w:sz w:val="22"/>
          <w:szCs w:val="22"/>
        </w:rPr>
        <w:t xml:space="preserve">Figure </w:t>
      </w:r>
      <w:r w:rsidR="00A82077"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Figure \* ARABIC </w:instrText>
      </w:r>
      <w:r w:rsidR="00C60928" w:rsidRPr="009A2045">
        <w:rPr>
          <w:b/>
          <w:i w:val="0"/>
          <w:sz w:val="22"/>
          <w:szCs w:val="22"/>
        </w:rPr>
        <w:fldChar w:fldCharType="separate"/>
      </w:r>
      <w:r w:rsidRPr="009A2045">
        <w:rPr>
          <w:b/>
          <w:i w:val="0"/>
          <w:noProof/>
          <w:sz w:val="22"/>
          <w:szCs w:val="22"/>
        </w:rPr>
        <w:t>3</w:t>
      </w:r>
      <w:r w:rsidR="00C60928" w:rsidRPr="009A2045">
        <w:rPr>
          <w:b/>
          <w:i w:val="0"/>
          <w:noProof/>
          <w:sz w:val="22"/>
          <w:szCs w:val="22"/>
        </w:rPr>
        <w:fldChar w:fldCharType="end"/>
      </w:r>
      <w:r w:rsidRPr="009A2045">
        <w:rPr>
          <w:b/>
          <w:i w:val="0"/>
          <w:sz w:val="22"/>
          <w:szCs w:val="22"/>
        </w:rPr>
        <w:t>.  Conceptual Model for Malathion Effects on Aquatic Organisms</w:t>
      </w:r>
      <w:r w:rsidR="00A82077" w:rsidRPr="009A2045">
        <w:rPr>
          <w:b/>
          <w:i w:val="0"/>
          <w:sz w:val="22"/>
          <w:szCs w:val="22"/>
        </w:rPr>
        <w:t xml:space="preserve"> </w:t>
      </w:r>
      <w:r w:rsidR="00D63E1A" w:rsidRPr="009A2045">
        <w:rPr>
          <w:rFonts w:ascii="Times New Roman" w:eastAsia="Times New Roman" w:hAnsi="Times New Roman" w:cs="Times New Roman"/>
          <w:i w:val="0"/>
          <w:sz w:val="20"/>
          <w:szCs w:val="20"/>
        </w:rPr>
        <w:t xml:space="preserve">(including consideration of degradates, other ingredients in the </w:t>
      </w:r>
      <w:proofErr w:type="gramStart"/>
      <w:r w:rsidR="00D63E1A" w:rsidRPr="009A2045">
        <w:rPr>
          <w:rFonts w:ascii="Times New Roman" w:eastAsia="Times New Roman" w:hAnsi="Times New Roman" w:cs="Times New Roman"/>
          <w:i w:val="0"/>
          <w:sz w:val="20"/>
          <w:szCs w:val="20"/>
        </w:rPr>
        <w:t>malathion</w:t>
      </w:r>
      <w:proofErr w:type="gramEnd"/>
      <w:r w:rsidR="00D63E1A" w:rsidRPr="009A2045">
        <w:rPr>
          <w:rFonts w:ascii="Times New Roman" w:eastAsia="Times New Roman" w:hAnsi="Times New Roman" w:cs="Times New Roman"/>
          <w:i w:val="0"/>
          <w:sz w:val="20"/>
          <w:szCs w:val="20"/>
        </w:rPr>
        <w:t xml:space="preserve"> formulations applied, and recommended tank mixtures).  Dotted lines indicate exposure pathways that have a low likelihood of contributing to ecological risk.  For ‘Attribute Change’, the terms ‘Individual Organisms’, ‘Food Chain’, and ‘Habitat Integrity’ are equivalent to ‘Individual Fitness’, ‘Indirect Effects Related to Prey’, and ‘Indirect Effects Related to Physical and Biological Features of Habitat’, respectively.</w:t>
      </w:r>
      <w:bookmarkEnd w:id="37"/>
    </w:p>
    <w:p w14:paraId="727C2D9B" w14:textId="7798AFDE" w:rsidR="000E5A0E" w:rsidRPr="009A2045" w:rsidRDefault="007C0F2A" w:rsidP="009A2045">
      <w:r w:rsidRPr="009A2045">
        <w:rPr>
          <w:noProof/>
        </w:rPr>
        <w:lastRenderedPageBreak/>
        <mc:AlternateContent>
          <mc:Choice Requires="wps">
            <w:drawing>
              <wp:anchor distT="0" distB="0" distL="114300" distR="114300" simplePos="0" relativeHeight="251665408" behindDoc="0" locked="0" layoutInCell="1" allowOverlap="1" wp14:anchorId="0B258A59" wp14:editId="7C4708FF">
                <wp:simplePos x="0" y="0"/>
                <wp:positionH relativeFrom="column">
                  <wp:posOffset>967740</wp:posOffset>
                </wp:positionH>
                <wp:positionV relativeFrom="paragraph">
                  <wp:posOffset>-36195</wp:posOffset>
                </wp:positionV>
                <wp:extent cx="4930140" cy="586740"/>
                <wp:effectExtent l="0" t="0" r="22860" b="22860"/>
                <wp:wrapNone/>
                <wp:docPr id="18" name="Text Box 18"/>
                <wp:cNvGraphicFramePr/>
                <a:graphic xmlns:a="http://schemas.openxmlformats.org/drawingml/2006/main">
                  <a:graphicData uri="http://schemas.microsoft.com/office/word/2010/wordprocessingShape">
                    <wps:wsp>
                      <wps:cNvSpPr txBox="1"/>
                      <wps:spPr>
                        <a:xfrm>
                          <a:off x="0" y="0"/>
                          <a:ext cx="4930140" cy="586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5A0036" w14:textId="77777777" w:rsidR="003263FF" w:rsidRDefault="003263FF" w:rsidP="0008356F">
                            <w:pPr>
                              <w:spacing w:after="0"/>
                              <w:jc w:val="center"/>
                            </w:pPr>
                            <w:r>
                              <w:t>Malathion Applied to Use Site</w:t>
                            </w:r>
                          </w:p>
                          <w:p w14:paraId="58C6EE9C" w14:textId="77777777" w:rsidR="003263FF" w:rsidRDefault="003263FF" w:rsidP="0008356F">
                            <w:pPr>
                              <w:spacing w:after="0"/>
                              <w:jc w:val="center"/>
                            </w:pPr>
                            <w:r>
                              <w:t>(Including Degradates of Concern)</w:t>
                            </w:r>
                          </w:p>
                          <w:p w14:paraId="62BCAC17" w14:textId="77777777" w:rsidR="003263FF" w:rsidRDefault="003263FF" w:rsidP="007C0F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58A59" id="Text Box 18" o:spid="_x0000_s1033" type="#_x0000_t202" style="position:absolute;margin-left:76.2pt;margin-top:-2.85pt;width:388.2pt;height:4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" fillcolor="white [3201]" strokeweight=".5pt">
                <v:textbox>
                  <w:txbxContent>
                    <w:p w14:paraId="355A0036" w14:textId="77777777" w:rsidR="003263FF" w:rsidRDefault="003263FF" w:rsidP="0008356F">
                      <w:pPr>
                        <w:spacing w:after="0"/>
                        <w:jc w:val="center"/>
                      </w:pPr>
                      <w:r>
                        <w:t>Malathion Applied to Use Site</w:t>
                      </w:r>
                    </w:p>
                    <w:p w14:paraId="58C6EE9C" w14:textId="77777777" w:rsidR="003263FF" w:rsidRDefault="003263FF" w:rsidP="0008356F">
                      <w:pPr>
                        <w:spacing w:after="0"/>
                        <w:jc w:val="center"/>
                      </w:pPr>
                      <w:r>
                        <w:t>(Including Degradates of Concern)</w:t>
                      </w:r>
                    </w:p>
                    <w:p w14:paraId="62BCAC17" w14:textId="77777777" w:rsidR="003263FF" w:rsidRDefault="003263FF" w:rsidP="007C0F2A">
                      <w:pPr>
                        <w:jc w:val="center"/>
                      </w:pPr>
                    </w:p>
                  </w:txbxContent>
                </v:textbox>
              </v:shape>
            </w:pict>
          </mc:Fallback>
        </mc:AlternateContent>
      </w:r>
      <w:r w:rsidR="00D63E1A" w:rsidRPr="009A2045">
        <w:rPr>
          <w:rFonts w:ascii="Times New Roman" w:eastAsia="Times New Roman" w:hAnsi="Times New Roman" w:cs="Times New Roman"/>
          <w:sz w:val="24"/>
          <w:szCs w:val="24"/>
        </w:rPr>
        <w:t xml:space="preserve">            </w:t>
      </w:r>
      <w:r w:rsidR="0008356F" w:rsidRPr="00CE77CB">
        <w:rPr>
          <w:noProof/>
        </w:rPr>
        <w:drawing>
          <wp:inline distT="0" distB="0" distL="0" distR="0" wp14:anchorId="379FCF76" wp14:editId="4EDA548D">
            <wp:extent cx="5943600" cy="4470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470400"/>
                    </a:xfrm>
                    <a:prstGeom prst="rect">
                      <a:avLst/>
                    </a:prstGeom>
                  </pic:spPr>
                </pic:pic>
              </a:graphicData>
            </a:graphic>
          </wp:inline>
        </w:drawing>
      </w:r>
    </w:p>
    <w:p w14:paraId="20EE9503" w14:textId="77777777" w:rsidR="000E5A0E" w:rsidRPr="009A2045" w:rsidRDefault="000E5A0E" w:rsidP="009A2045">
      <w:pPr>
        <w:keepNext/>
        <w:spacing w:after="0" w:line="240" w:lineRule="auto"/>
      </w:pPr>
    </w:p>
    <w:p w14:paraId="7BD76622" w14:textId="147C8E03" w:rsidR="000E5A0E" w:rsidRPr="009A2045" w:rsidRDefault="008041CB" w:rsidP="009A2045">
      <w:pPr>
        <w:pStyle w:val="Caption"/>
        <w:rPr>
          <w:i w:val="0"/>
        </w:rPr>
      </w:pPr>
      <w:bookmarkStart w:id="38" w:name="h.1fob9te" w:colFirst="0" w:colLast="0"/>
      <w:bookmarkStart w:id="39" w:name="_Toc435773403"/>
      <w:bookmarkEnd w:id="38"/>
      <w:r w:rsidRPr="009A2045">
        <w:rPr>
          <w:b/>
          <w:i w:val="0"/>
          <w:sz w:val="22"/>
          <w:szCs w:val="22"/>
        </w:rPr>
        <w:t xml:space="preserve">Figure </w:t>
      </w:r>
      <w:r w:rsidR="00A82077"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Figure \* ARABIC </w:instrText>
      </w:r>
      <w:r w:rsidR="00C60928" w:rsidRPr="009A2045">
        <w:rPr>
          <w:b/>
          <w:i w:val="0"/>
          <w:sz w:val="22"/>
          <w:szCs w:val="22"/>
        </w:rPr>
        <w:fldChar w:fldCharType="separate"/>
      </w:r>
      <w:r w:rsidRPr="009A2045">
        <w:rPr>
          <w:b/>
          <w:i w:val="0"/>
          <w:noProof/>
          <w:sz w:val="22"/>
          <w:szCs w:val="22"/>
        </w:rPr>
        <w:t>4</w:t>
      </w:r>
      <w:r w:rsidR="00C60928" w:rsidRPr="009A2045">
        <w:rPr>
          <w:b/>
          <w:i w:val="0"/>
          <w:noProof/>
          <w:sz w:val="22"/>
          <w:szCs w:val="22"/>
        </w:rPr>
        <w:fldChar w:fldCharType="end"/>
      </w:r>
      <w:r w:rsidRPr="009A2045">
        <w:rPr>
          <w:b/>
          <w:i w:val="0"/>
          <w:sz w:val="22"/>
          <w:szCs w:val="22"/>
        </w:rPr>
        <w:t>.  Conceptual Model for Malathion Effects on Terrestrial Organisms</w:t>
      </w:r>
      <w:r w:rsidR="00A82077" w:rsidRPr="009A2045">
        <w:t xml:space="preserve"> </w:t>
      </w:r>
      <w:r w:rsidR="00D63E1A" w:rsidRPr="009A2045">
        <w:rPr>
          <w:rFonts w:ascii="Times New Roman" w:eastAsia="Times New Roman" w:hAnsi="Times New Roman" w:cs="Times New Roman"/>
          <w:i w:val="0"/>
          <w:sz w:val="20"/>
          <w:szCs w:val="20"/>
        </w:rPr>
        <w:t xml:space="preserve">(including consideration of degradates, other ingredients in the </w:t>
      </w:r>
      <w:proofErr w:type="gramStart"/>
      <w:r w:rsidR="00D63E1A" w:rsidRPr="009A2045">
        <w:rPr>
          <w:rFonts w:ascii="Times New Roman" w:eastAsia="Times New Roman" w:hAnsi="Times New Roman" w:cs="Times New Roman"/>
          <w:i w:val="0"/>
          <w:sz w:val="20"/>
          <w:szCs w:val="20"/>
        </w:rPr>
        <w:t>malathion</w:t>
      </w:r>
      <w:proofErr w:type="gramEnd"/>
      <w:r w:rsidR="00D63E1A" w:rsidRPr="009A2045">
        <w:rPr>
          <w:rFonts w:ascii="Times New Roman" w:eastAsia="Times New Roman" w:hAnsi="Times New Roman" w:cs="Times New Roman"/>
          <w:i w:val="0"/>
          <w:sz w:val="20"/>
          <w:szCs w:val="20"/>
        </w:rPr>
        <w:t xml:space="preserve"> formulations applied, and recommended tank mixtures).  For ‘Attribute Change’, the terms ‘Individual Organisms’, ‘Food Chain’, and ‘Habitat Integrity’ are equivalent to ‘Individual Fitness’, ‘Indirect Effects Related to Prey’, and ‘Indirect Effects Related to Physical and Biological Features of Habitat’, respectively.</w:t>
      </w:r>
      <w:bookmarkEnd w:id="39"/>
    </w:p>
    <w:p w14:paraId="11762296" w14:textId="77777777" w:rsidR="000E5A0E" w:rsidRPr="009A2045" w:rsidRDefault="000E5A0E" w:rsidP="009A2045">
      <w:pPr>
        <w:spacing w:after="0" w:line="240" w:lineRule="auto"/>
      </w:pPr>
    </w:p>
    <w:p w14:paraId="1BF9E119" w14:textId="3787B3EB" w:rsidR="007C0F2A" w:rsidRPr="009A2045" w:rsidRDefault="00D63E1A" w:rsidP="009A2045">
      <w:pPr>
        <w:pStyle w:val="Heading3"/>
      </w:pPr>
      <w:bookmarkStart w:id="40" w:name="_Toc436043030"/>
      <w:r w:rsidRPr="009A2045">
        <w:lastRenderedPageBreak/>
        <w:t>1.3.2.</w:t>
      </w:r>
      <w:r w:rsidRPr="009A2045">
        <w:tab/>
      </w:r>
      <w:r w:rsidR="007C0F2A" w:rsidRPr="009A2045">
        <w:t xml:space="preserve">Risk </w:t>
      </w:r>
      <w:r w:rsidR="0054061D" w:rsidRPr="009A2045">
        <w:t>H</w:t>
      </w:r>
      <w:r w:rsidR="007C0F2A" w:rsidRPr="009A2045">
        <w:t>ypotheses</w:t>
      </w:r>
      <w:bookmarkEnd w:id="40"/>
    </w:p>
    <w:p w14:paraId="5C3D327B" w14:textId="77777777" w:rsidR="007C0F2A" w:rsidRPr="009A2045" w:rsidRDefault="007C0F2A" w:rsidP="009A2045">
      <w:pPr>
        <w:keepNext/>
        <w:keepLines/>
        <w:spacing w:after="0" w:line="240" w:lineRule="auto"/>
      </w:pPr>
    </w:p>
    <w:p w14:paraId="32C66D94" w14:textId="7003AF76" w:rsidR="007C0F2A" w:rsidRPr="009A2045" w:rsidRDefault="007C0F2A" w:rsidP="009A2045">
      <w:pPr>
        <w:keepNext/>
        <w:keepLines/>
        <w:spacing w:after="0" w:line="240" w:lineRule="auto"/>
      </w:pPr>
      <w:r w:rsidRPr="009A2045">
        <w:t xml:space="preserve">Risk hypotheses define predicted effects of </w:t>
      </w:r>
      <w:proofErr w:type="gramStart"/>
      <w:r w:rsidR="009F0204" w:rsidRPr="009A2045">
        <w:t>malathion</w:t>
      </w:r>
      <w:proofErr w:type="gramEnd"/>
      <w:r w:rsidRPr="009A2045">
        <w:t xml:space="preserve"> exposure on species and assessment endpoints.  They provide the framework of the analysis in terms of linking the stressor, exposure, and effects and link directly to the protection goals of Step 2.  The risk hypotheses that are used to make the effects determinations for each species and designated critical habitat are provided below.  The specific lines of evidence that will be used to test these hypotheses are described in </w:t>
      </w:r>
      <w:r w:rsidRPr="009A2045">
        <w:rPr>
          <w:b/>
        </w:rPr>
        <w:t xml:space="preserve">Section </w:t>
      </w:r>
      <w:r w:rsidR="00BB2967" w:rsidRPr="009A2045">
        <w:rPr>
          <w:b/>
        </w:rPr>
        <w:t>1.4.2.1</w:t>
      </w:r>
      <w:r w:rsidRPr="009A2045">
        <w:t>, below.</w:t>
      </w:r>
    </w:p>
    <w:p w14:paraId="016698E4" w14:textId="77777777" w:rsidR="007C0F2A" w:rsidRPr="009A2045" w:rsidRDefault="007C0F2A" w:rsidP="009A2045">
      <w:pPr>
        <w:keepNext/>
        <w:keepLines/>
        <w:spacing w:after="0" w:line="240" w:lineRule="auto"/>
        <w:rPr>
          <w:sz w:val="24"/>
          <w:szCs w:val="24"/>
        </w:rPr>
      </w:pPr>
    </w:p>
    <w:p w14:paraId="5804194D" w14:textId="5E85013A" w:rsidR="007C0F2A" w:rsidRPr="009A2045" w:rsidRDefault="007C0F2A" w:rsidP="009A2045">
      <w:pPr>
        <w:pStyle w:val="ListParagraph"/>
        <w:numPr>
          <w:ilvl w:val="0"/>
          <w:numId w:val="12"/>
        </w:numPr>
        <w:ind w:left="1080" w:hanging="360"/>
      </w:pPr>
      <w:r w:rsidRPr="009A2045">
        <w:t xml:space="preserve">Use of </w:t>
      </w:r>
      <w:proofErr w:type="gramStart"/>
      <w:r w:rsidR="009F0204" w:rsidRPr="009A2045">
        <w:t>malathion</w:t>
      </w:r>
      <w:proofErr w:type="gramEnd"/>
      <w:r w:rsidRPr="009A2045">
        <w:t>, according to registered labels</w:t>
      </w:r>
      <w:r w:rsidRPr="009A2045">
        <w:rPr>
          <w:vertAlign w:val="superscript"/>
        </w:rPr>
        <w:footnoteReference w:id="6"/>
      </w:r>
      <w:r w:rsidRPr="009A2045">
        <w:t>, results in exposure that reduces the fitness of an individual of a listed species based on direct effects.</w:t>
      </w:r>
    </w:p>
    <w:p w14:paraId="304B7AD6" w14:textId="77777777" w:rsidR="007C0F2A" w:rsidRPr="009A2045" w:rsidRDefault="007C0F2A" w:rsidP="009A2045">
      <w:pPr>
        <w:pStyle w:val="ListParagraph"/>
        <w:ind w:left="1080"/>
        <w:rPr>
          <w:sz w:val="24"/>
          <w:szCs w:val="24"/>
        </w:rPr>
      </w:pPr>
    </w:p>
    <w:p w14:paraId="5AB43D35" w14:textId="42891F29" w:rsidR="007C0F2A" w:rsidRPr="009A2045" w:rsidRDefault="007C0F2A" w:rsidP="009A2045">
      <w:pPr>
        <w:pStyle w:val="ListParagraph"/>
        <w:numPr>
          <w:ilvl w:val="0"/>
          <w:numId w:val="12"/>
        </w:numPr>
        <w:ind w:left="1080" w:hanging="360"/>
        <w:rPr>
          <w:sz w:val="24"/>
          <w:szCs w:val="24"/>
        </w:rPr>
      </w:pPr>
      <w:r w:rsidRPr="009A2045">
        <w:t xml:space="preserve">Use of </w:t>
      </w:r>
      <w:proofErr w:type="gramStart"/>
      <w:r w:rsidR="009F0204" w:rsidRPr="009A2045">
        <w:t>malathion</w:t>
      </w:r>
      <w:proofErr w:type="gramEnd"/>
      <w:r w:rsidRPr="009A2045">
        <w:t>, according to registered labels</w:t>
      </w:r>
      <w:r w:rsidRPr="009A2045">
        <w:rPr>
          <w:vertAlign w:val="superscript"/>
        </w:rPr>
        <w:t>6</w:t>
      </w:r>
      <w:r w:rsidR="00B2365C" w:rsidRPr="009A2045">
        <w:t>,</w:t>
      </w:r>
      <w:r w:rsidRPr="009A2045">
        <w:t xml:space="preserve"> results in exposure that reduces the fitness of an individual of a listed species based on indirect effects.</w:t>
      </w:r>
    </w:p>
    <w:p w14:paraId="4F9CEF72" w14:textId="77777777" w:rsidR="007C0F2A" w:rsidRPr="009A2045" w:rsidRDefault="007C0F2A" w:rsidP="009A2045">
      <w:pPr>
        <w:pStyle w:val="ListParagraph"/>
      </w:pPr>
    </w:p>
    <w:p w14:paraId="529AD668" w14:textId="2945BE40" w:rsidR="007C0F2A" w:rsidRPr="009A2045" w:rsidRDefault="007C0F2A" w:rsidP="009A2045">
      <w:pPr>
        <w:pStyle w:val="ListParagraph"/>
        <w:numPr>
          <w:ilvl w:val="0"/>
          <w:numId w:val="12"/>
        </w:numPr>
        <w:ind w:left="1080" w:hanging="360"/>
        <w:rPr>
          <w:sz w:val="24"/>
          <w:szCs w:val="24"/>
        </w:rPr>
      </w:pPr>
      <w:r w:rsidRPr="009A2045">
        <w:t xml:space="preserve">Use of </w:t>
      </w:r>
      <w:proofErr w:type="gramStart"/>
      <w:r w:rsidR="009F0204" w:rsidRPr="009A2045">
        <w:t>malathion</w:t>
      </w:r>
      <w:proofErr w:type="gramEnd"/>
      <w:r w:rsidRPr="009A2045">
        <w:t>, according to registered labels</w:t>
      </w:r>
      <w:r w:rsidRPr="009A2045">
        <w:rPr>
          <w:vertAlign w:val="superscript"/>
        </w:rPr>
        <w:t>6</w:t>
      </w:r>
      <w:r w:rsidRPr="009A2045">
        <w:t>, results in effects to designated critical habitat by adversely impacting primary constituent elements (PCEs) or other important physical and biological features (PBFs).</w:t>
      </w:r>
      <w:r w:rsidRPr="009A2045">
        <w:rPr>
          <w:vertAlign w:val="superscript"/>
        </w:rPr>
        <w:footnoteReference w:id="7"/>
      </w:r>
      <w:r w:rsidRPr="009A2045">
        <w:t xml:space="preserve"> </w:t>
      </w:r>
    </w:p>
    <w:p w14:paraId="19204680" w14:textId="1D0FB3F9" w:rsidR="007C0F2A" w:rsidRPr="009A2045" w:rsidRDefault="00EC7ECD" w:rsidP="009A2045">
      <w:pPr>
        <w:pStyle w:val="Heading2"/>
      </w:pPr>
      <w:bookmarkStart w:id="41" w:name="_Toc436043031"/>
      <w:r w:rsidRPr="009A2045">
        <w:lastRenderedPageBreak/>
        <w:t>1.4.</w:t>
      </w:r>
      <w:r w:rsidRPr="009A2045">
        <w:tab/>
      </w:r>
      <w:r w:rsidR="007C0F2A" w:rsidRPr="009A2045">
        <w:t>Analysis Plan</w:t>
      </w:r>
      <w:bookmarkEnd w:id="41"/>
    </w:p>
    <w:p w14:paraId="063D5380" w14:textId="77777777" w:rsidR="007C0F2A" w:rsidRPr="009A2045" w:rsidRDefault="007C0F2A" w:rsidP="009A2045">
      <w:pPr>
        <w:keepNext/>
        <w:keepLines/>
        <w:spacing w:after="0" w:line="240" w:lineRule="auto"/>
      </w:pPr>
    </w:p>
    <w:p w14:paraId="79B91569" w14:textId="11DD0D28" w:rsidR="007C0F2A" w:rsidRPr="009A2045" w:rsidRDefault="007C0F2A" w:rsidP="009A2045">
      <w:pPr>
        <w:keepNext/>
        <w:keepLines/>
        <w:spacing w:after="0" w:line="240" w:lineRule="auto"/>
        <w:rPr>
          <w:rFonts w:asciiTheme="minorHAnsi" w:eastAsiaTheme="minorHAnsi" w:hAnsiTheme="minorHAnsi" w:cstheme="minorHAnsi"/>
          <w:color w:val="auto"/>
        </w:rPr>
      </w:pPr>
      <w:r w:rsidRPr="009A2045">
        <w:rPr>
          <w:rFonts w:asciiTheme="minorHAnsi" w:eastAsiaTheme="minorEastAsia" w:hAnsiTheme="minorHAnsi" w:cstheme="minorHAnsi"/>
          <w:color w:val="auto"/>
        </w:rPr>
        <w:t xml:space="preserve">As mentioned previously, </w:t>
      </w:r>
      <w:r w:rsidRPr="009A2045">
        <w:rPr>
          <w:rFonts w:asciiTheme="minorHAnsi" w:hAnsiTheme="minorHAnsi" w:cstheme="minorHAnsi"/>
          <w:color w:val="auto"/>
        </w:rPr>
        <w:t>and as</w:t>
      </w:r>
      <w:r w:rsidRPr="009A2045">
        <w:rPr>
          <w:rFonts w:asciiTheme="minorHAnsi" w:eastAsiaTheme="minorEastAsia" w:hAnsiTheme="minorHAnsi" w:cstheme="minorHAnsi"/>
          <w:color w:val="auto"/>
        </w:rPr>
        <w:t xml:space="preserve"> recommended by the NRC, the agencies use a three-step consultation process to evaluate the potential risk to listed species, with the understanding that the data and analyses for each step will be used, when possible, for the subsequent steps (see </w:t>
      </w:r>
      <w:r w:rsidRPr="009A2045">
        <w:rPr>
          <w:rFonts w:asciiTheme="minorHAnsi" w:eastAsiaTheme="minorEastAsia" w:hAnsiTheme="minorHAnsi" w:cstheme="minorHAnsi"/>
          <w:b/>
          <w:color w:val="auto"/>
        </w:rPr>
        <w:t xml:space="preserve">Figure </w:t>
      </w:r>
      <w:r w:rsidR="005B7DD5" w:rsidRPr="009A2045">
        <w:rPr>
          <w:rFonts w:asciiTheme="minorHAnsi" w:eastAsiaTheme="minorEastAsia" w:hAnsiTheme="minorHAnsi" w:cstheme="minorHAnsi"/>
          <w:b/>
          <w:color w:val="auto"/>
        </w:rPr>
        <w:t>1-5</w:t>
      </w:r>
      <w:r w:rsidRPr="009A2045">
        <w:rPr>
          <w:rFonts w:asciiTheme="minorHAnsi" w:eastAsiaTheme="minorEastAsia" w:hAnsiTheme="minorHAnsi" w:cstheme="minorHAnsi"/>
          <w:color w:val="auto"/>
        </w:rPr>
        <w:t xml:space="preserve">). The analysis plan presented here describes the process for Steps 1 and 2. </w:t>
      </w:r>
    </w:p>
    <w:p w14:paraId="4C775B06" w14:textId="77777777" w:rsidR="007C0F2A" w:rsidRPr="009A2045" w:rsidRDefault="007C0F2A" w:rsidP="009A2045">
      <w:pPr>
        <w:keepNext/>
        <w:keepLines/>
        <w:spacing w:after="0" w:line="240" w:lineRule="auto"/>
        <w:rPr>
          <w:color w:val="2E75B5"/>
        </w:rPr>
      </w:pPr>
    </w:p>
    <w:p w14:paraId="19EBD504" w14:textId="77777777" w:rsidR="007C0F2A" w:rsidRPr="009A2045" w:rsidRDefault="007C0F2A" w:rsidP="009A2045">
      <w:pPr>
        <w:keepNext/>
        <w:keepLines/>
        <w:spacing w:after="0" w:line="240" w:lineRule="auto"/>
        <w:rPr>
          <w:color w:val="2E75B5"/>
        </w:rPr>
      </w:pPr>
      <w:r w:rsidRPr="009A2045">
        <w:rPr>
          <w:noProof/>
          <w:color w:val="2E75B5"/>
        </w:rPr>
        <w:drawing>
          <wp:inline distT="0" distB="0" distL="0" distR="0" wp14:anchorId="6A53E047" wp14:editId="2ED0033F">
            <wp:extent cx="5734050" cy="4125943"/>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616" cy="4127789"/>
                    </a:xfrm>
                    <a:prstGeom prst="rect">
                      <a:avLst/>
                    </a:prstGeom>
                    <a:noFill/>
                    <a:ln>
                      <a:noFill/>
                    </a:ln>
                  </pic:spPr>
                </pic:pic>
              </a:graphicData>
            </a:graphic>
          </wp:inline>
        </w:drawing>
      </w:r>
    </w:p>
    <w:p w14:paraId="0757BA25" w14:textId="77777777" w:rsidR="007C0F2A" w:rsidRPr="009A2045" w:rsidRDefault="007C0F2A" w:rsidP="009A2045">
      <w:pPr>
        <w:keepNext/>
        <w:keepLines/>
        <w:spacing w:after="0" w:line="240" w:lineRule="auto"/>
        <w:rPr>
          <w:rFonts w:asciiTheme="minorHAnsi" w:eastAsiaTheme="majorEastAsia" w:hAnsiTheme="minorHAnsi" w:cstheme="minorHAnsi"/>
          <w:b/>
          <w:iCs/>
          <w:color w:val="auto"/>
          <w:sz w:val="24"/>
        </w:rPr>
      </w:pPr>
    </w:p>
    <w:p w14:paraId="767C3EEB" w14:textId="71D07D56" w:rsidR="007C0F2A" w:rsidRPr="009A2045" w:rsidRDefault="008041CB" w:rsidP="009A2045">
      <w:pPr>
        <w:pStyle w:val="Caption"/>
        <w:rPr>
          <w:i w:val="0"/>
          <w:color w:val="auto"/>
          <w:sz w:val="20"/>
          <w:szCs w:val="20"/>
        </w:rPr>
      </w:pPr>
      <w:bookmarkStart w:id="42" w:name="_Toc435773404"/>
      <w:r w:rsidRPr="009A2045">
        <w:rPr>
          <w:b/>
          <w:i w:val="0"/>
          <w:sz w:val="22"/>
          <w:szCs w:val="22"/>
        </w:rPr>
        <w:t xml:space="preserve">Figure </w:t>
      </w:r>
      <w:r w:rsidR="00A82077"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Figure \* ARABIC </w:instrText>
      </w:r>
      <w:r w:rsidR="00C60928" w:rsidRPr="009A2045">
        <w:rPr>
          <w:b/>
          <w:i w:val="0"/>
          <w:sz w:val="22"/>
          <w:szCs w:val="22"/>
        </w:rPr>
        <w:fldChar w:fldCharType="separate"/>
      </w:r>
      <w:r w:rsidRPr="009A2045">
        <w:rPr>
          <w:b/>
          <w:i w:val="0"/>
          <w:noProof/>
          <w:sz w:val="22"/>
          <w:szCs w:val="22"/>
        </w:rPr>
        <w:t>5</w:t>
      </w:r>
      <w:r w:rsidR="00C60928" w:rsidRPr="009A2045">
        <w:rPr>
          <w:b/>
          <w:i w:val="0"/>
          <w:noProof/>
          <w:sz w:val="22"/>
          <w:szCs w:val="22"/>
        </w:rPr>
        <w:fldChar w:fldCharType="end"/>
      </w:r>
      <w:r w:rsidRPr="009A2045">
        <w:rPr>
          <w:b/>
          <w:i w:val="0"/>
          <w:sz w:val="22"/>
          <w:szCs w:val="22"/>
        </w:rPr>
        <w:t>.  Three Step ESA Consultation Approach Modified from a Figure in the NRC (2013) Report</w:t>
      </w:r>
      <w:r w:rsidR="00A82077" w:rsidRPr="009A2045">
        <w:rPr>
          <w:b/>
          <w:i w:val="0"/>
          <w:sz w:val="22"/>
          <w:szCs w:val="22"/>
        </w:rPr>
        <w:t>.</w:t>
      </w:r>
      <w:r w:rsidR="00A82077" w:rsidRPr="009A2045">
        <w:t xml:space="preserve">  </w:t>
      </w:r>
      <w:r w:rsidR="007C0F2A" w:rsidRPr="009A2045">
        <w:rPr>
          <w:i w:val="0"/>
          <w:color w:val="auto"/>
          <w:sz w:val="20"/>
          <w:szCs w:val="20"/>
        </w:rPr>
        <w:t xml:space="preserve">Step 1 consists of two parts:  1) establishing the action area for the proposed action, and 2) overlaying the species ranges and critical habitat designations onto the action area to determine which species and critical habitats overlap with the uses as allowed by the labels.  This step identifies which species and critical habitats have the potential to be affected by the proposed action (warranting a “may affect” determination), and which species would not be affected by the stressors of the proposed action (e.g., no overlap, and thus warranting a “no effect” determination). Step 1 does not identify the degree of effect that would be anticipated (e.g., an insignificant effect), or whether the risk of exposure of adverse effects is unlikely to occur (e.g., a discountable effect) where </w:t>
      </w:r>
      <w:r w:rsidR="007C0F2A" w:rsidRPr="009A2045">
        <w:rPr>
          <w:i w:val="0"/>
          <w:color w:val="auto"/>
          <w:sz w:val="20"/>
          <w:szCs w:val="20"/>
        </w:rPr>
        <w:lastRenderedPageBreak/>
        <w:t>the action area overlaps with listed resources.  In the parlance of the ESA, these categories of effect</w:t>
      </w:r>
      <w:r w:rsidR="007C0F2A" w:rsidRPr="009A2045">
        <w:rPr>
          <w:rStyle w:val="FootnoteReference"/>
          <w:i w:val="0"/>
          <w:color w:val="auto"/>
          <w:sz w:val="20"/>
          <w:szCs w:val="20"/>
        </w:rPr>
        <w:footnoteReference w:id="8"/>
      </w:r>
      <w:r w:rsidR="007C0F2A" w:rsidRPr="009A2045">
        <w:rPr>
          <w:i w:val="0"/>
          <w:color w:val="auto"/>
          <w:sz w:val="20"/>
          <w:szCs w:val="20"/>
        </w:rPr>
        <w:t xml:space="preserve"> are related to Step 2.</w:t>
      </w:r>
      <w:bookmarkEnd w:id="42"/>
      <w:r w:rsidR="007C0F2A" w:rsidRPr="009A2045">
        <w:rPr>
          <w:i w:val="0"/>
          <w:color w:val="auto"/>
          <w:sz w:val="20"/>
          <w:szCs w:val="20"/>
        </w:rPr>
        <w:t xml:space="preserve"> </w:t>
      </w:r>
    </w:p>
    <w:p w14:paraId="1786A24D" w14:textId="77777777" w:rsidR="007C0F2A" w:rsidRPr="009A2045" w:rsidRDefault="007C0F2A" w:rsidP="009A2045">
      <w:pPr>
        <w:keepNext/>
        <w:keepLines/>
        <w:spacing w:after="0" w:line="240" w:lineRule="auto"/>
        <w:rPr>
          <w:color w:val="auto"/>
        </w:rPr>
      </w:pPr>
      <w:r w:rsidRPr="009A2045">
        <w:rPr>
          <w:color w:val="auto"/>
        </w:rPr>
        <w:t xml:space="preserve"> </w:t>
      </w:r>
    </w:p>
    <w:p w14:paraId="230D313A" w14:textId="217D4781" w:rsidR="007C0F2A" w:rsidRPr="009A2045" w:rsidRDefault="007C0F2A" w:rsidP="009A2045">
      <w:pPr>
        <w:keepNext/>
        <w:keepLines/>
        <w:spacing w:after="0" w:line="240" w:lineRule="auto"/>
        <w:rPr>
          <w:color w:val="auto"/>
        </w:rPr>
      </w:pPr>
      <w:r w:rsidRPr="009A2045">
        <w:rPr>
          <w:color w:val="auto"/>
        </w:rPr>
        <w:t>Any species and/or critical habitat that warrants a “may affect” determination in Step 1 continues for further analysis in Step 2</w:t>
      </w:r>
      <w:r w:rsidRPr="009A2045">
        <w:rPr>
          <w:rStyle w:val="FootnoteReference"/>
          <w:color w:val="auto"/>
        </w:rPr>
        <w:footnoteReference w:id="9"/>
      </w:r>
      <w:r w:rsidRPr="009A2045">
        <w:rPr>
          <w:color w:val="auto"/>
        </w:rPr>
        <w:t>.  Potential direct and indirect effects to listed resources will be considered to determine whether effects to individuals of listed species and/or PCEs/PBFs would be either: a) “insignificant,” “discountable, ” or “completely beneficial,”</w:t>
      </w:r>
      <w:r w:rsidRPr="009A2045">
        <w:rPr>
          <w:rStyle w:val="FootnoteReference"/>
          <w:color w:val="auto"/>
        </w:rPr>
        <w:footnoteReference w:id="10"/>
      </w:r>
      <w:r w:rsidRPr="009A2045">
        <w:rPr>
          <w:color w:val="auto"/>
        </w:rPr>
        <w:t xml:space="preserve"> resulting in a “may affect, not likely to adversely affect [NLAA] determination; or b) adverse, resulting in a “may affect, likely to adversely affect” (LAA) determination.  The NLAA determinations would be submitted to the Services with a request for concurrence with the determinations, while the listed resources with a LAA determination would be considered by the Services in their Biological Opinions (Step 3).  The Step 3 analyses are beyond the purview of this analysis plan, but would determine whether the proposed action was likely to jeopardize listed species and/or adversely modify or destroy designated critical habitat.  Steps 1 and 2 are described in greater detail in the following paragraphs.  Step 3 is not discussed further in this document.</w:t>
      </w:r>
    </w:p>
    <w:p w14:paraId="4C263BF6" w14:textId="77777777" w:rsidR="007C0F2A" w:rsidRPr="009A2045" w:rsidRDefault="007C0F2A" w:rsidP="009A2045">
      <w:pPr>
        <w:keepNext/>
        <w:keepLines/>
        <w:spacing w:after="0" w:line="240" w:lineRule="auto"/>
      </w:pPr>
    </w:p>
    <w:p w14:paraId="71D7278D" w14:textId="77777777" w:rsidR="007C0F2A" w:rsidRPr="009A2045" w:rsidRDefault="007C0F2A" w:rsidP="009A2045">
      <w:pPr>
        <w:pStyle w:val="Heading3"/>
      </w:pPr>
      <w:bookmarkStart w:id="43" w:name="_Toc436043032"/>
      <w:r w:rsidRPr="009A2045">
        <w:t>1.4.1.</w:t>
      </w:r>
      <w:r w:rsidRPr="009A2045">
        <w:tab/>
        <w:t>Step 1 - May Affect/No Effect Determinations</w:t>
      </w:r>
      <w:bookmarkEnd w:id="43"/>
      <w:r w:rsidRPr="009A2045">
        <w:t xml:space="preserve"> </w:t>
      </w:r>
    </w:p>
    <w:p w14:paraId="66154E99" w14:textId="77777777" w:rsidR="007C0F2A" w:rsidRPr="009A2045" w:rsidRDefault="007C0F2A" w:rsidP="009A2045">
      <w:pPr>
        <w:spacing w:after="0" w:line="240" w:lineRule="auto"/>
      </w:pPr>
    </w:p>
    <w:p w14:paraId="5A751F85" w14:textId="6853039B" w:rsidR="007C0F2A" w:rsidRPr="009A2045" w:rsidRDefault="007C0F2A" w:rsidP="009A2045">
      <w:pPr>
        <w:spacing w:after="0" w:line="240" w:lineRule="auto"/>
      </w:pPr>
      <w:r w:rsidRPr="009A2045">
        <w:t xml:space="preserve">For any listed species whose range and/or designated critical habitat overlaps spatially with the action area (see below, </w:t>
      </w:r>
      <w:r w:rsidRPr="009A2045">
        <w:rPr>
          <w:b/>
        </w:rPr>
        <w:t xml:space="preserve">Figure </w:t>
      </w:r>
      <w:r w:rsidR="005B7DD5" w:rsidRPr="009A2045">
        <w:rPr>
          <w:b/>
        </w:rPr>
        <w:t>1-6</w:t>
      </w:r>
      <w:r w:rsidRPr="009A2045">
        <w:t xml:space="preserve">), a ‘May Affect’ determination will be made and additional analyses will be conducted to make the final NLAA/LAA effects determination.  Conversely, for any listed species whose range and/or designated critical habitat does not overlap spatially with the action area, a ‘No Effect’ determination will be made and no further analyses for that species or its critical habitat(s) will be conducted (see Steps 1 and 2 in </w:t>
      </w:r>
      <w:r w:rsidRPr="009A2045">
        <w:rPr>
          <w:b/>
        </w:rPr>
        <w:t xml:space="preserve">Figure </w:t>
      </w:r>
      <w:r w:rsidR="00CF543D" w:rsidRPr="009A2045">
        <w:rPr>
          <w:b/>
        </w:rPr>
        <w:t>1-6</w:t>
      </w:r>
      <w:r w:rsidRPr="009A2045">
        <w:t>).  However, species ranges that do not overlap with the action area will be included in the analysis if those species are dependent on a species that is in the action area (</w:t>
      </w:r>
      <w:r w:rsidRPr="009A2045">
        <w:rPr>
          <w:i/>
        </w:rPr>
        <w:t>e.g</w:t>
      </w:r>
      <w:r w:rsidRPr="009A2045">
        <w:t xml:space="preserve">., ESA-listed orca whales are dependent upon Chinook salmon as major food resources) (see </w:t>
      </w:r>
      <w:r w:rsidRPr="009A2045">
        <w:rPr>
          <w:b/>
        </w:rPr>
        <w:t xml:space="preserve">Figure </w:t>
      </w:r>
      <w:r w:rsidR="00CF543D" w:rsidRPr="009A2045">
        <w:rPr>
          <w:b/>
        </w:rPr>
        <w:t>1-6</w:t>
      </w:r>
      <w:r w:rsidRPr="009A2045">
        <w:t xml:space="preserve">).  The following sections will describe the process of Step 1 for </w:t>
      </w:r>
      <w:proofErr w:type="gramStart"/>
      <w:r w:rsidR="009F0204" w:rsidRPr="009A2045">
        <w:t>malathion</w:t>
      </w:r>
      <w:proofErr w:type="gramEnd"/>
      <w:r w:rsidRPr="009A2045">
        <w:t>.</w:t>
      </w:r>
    </w:p>
    <w:p w14:paraId="5A470649" w14:textId="77777777" w:rsidR="007C0F2A" w:rsidRPr="009A2045" w:rsidRDefault="007C0F2A" w:rsidP="009A2045">
      <w:pPr>
        <w:spacing w:after="0" w:line="240" w:lineRule="auto"/>
      </w:pPr>
    </w:p>
    <w:p w14:paraId="71C8F79B" w14:textId="77777777" w:rsidR="007C0F2A" w:rsidRPr="009A2045" w:rsidRDefault="007C0F2A" w:rsidP="009A2045">
      <w:pPr>
        <w:spacing w:after="0" w:line="240" w:lineRule="auto"/>
      </w:pPr>
    </w:p>
    <w:p w14:paraId="45CFF463" w14:textId="77777777" w:rsidR="007C0F2A" w:rsidRPr="009A2045" w:rsidRDefault="007C0F2A" w:rsidP="009A2045">
      <w:pPr>
        <w:spacing w:after="0" w:line="240" w:lineRule="auto"/>
      </w:pPr>
    </w:p>
    <w:p w14:paraId="55DF5633" w14:textId="77777777" w:rsidR="007C0F2A" w:rsidRPr="009A2045" w:rsidRDefault="007C0F2A" w:rsidP="009A2045">
      <w:pPr>
        <w:keepNext/>
        <w:keepLines/>
        <w:spacing w:after="0" w:line="240" w:lineRule="auto"/>
      </w:pPr>
      <w:r w:rsidRPr="009A2045">
        <w:rPr>
          <w:noProof/>
        </w:rPr>
        <w:lastRenderedPageBreak/>
        <w:drawing>
          <wp:inline distT="0" distB="0" distL="0" distR="0" wp14:anchorId="7D196099" wp14:editId="519BD02E">
            <wp:extent cx="5934075" cy="3238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3238500"/>
                    </a:xfrm>
                    <a:prstGeom prst="rect">
                      <a:avLst/>
                    </a:prstGeom>
                    <a:noFill/>
                    <a:ln>
                      <a:noFill/>
                    </a:ln>
                  </pic:spPr>
                </pic:pic>
              </a:graphicData>
            </a:graphic>
          </wp:inline>
        </w:drawing>
      </w:r>
    </w:p>
    <w:p w14:paraId="73FAD35E" w14:textId="77777777" w:rsidR="007C0F2A" w:rsidRPr="009A2045" w:rsidRDefault="007C0F2A" w:rsidP="009A2045">
      <w:pPr>
        <w:keepNext/>
        <w:keepLines/>
        <w:spacing w:after="0" w:line="240" w:lineRule="auto"/>
      </w:pPr>
    </w:p>
    <w:p w14:paraId="788BAC1D" w14:textId="14609076" w:rsidR="007C0F2A" w:rsidRPr="009A2045" w:rsidRDefault="008041CB" w:rsidP="009A2045">
      <w:pPr>
        <w:pStyle w:val="Caption"/>
        <w:rPr>
          <w:b/>
          <w:i w:val="0"/>
          <w:sz w:val="22"/>
          <w:szCs w:val="22"/>
        </w:rPr>
      </w:pPr>
      <w:bookmarkStart w:id="44" w:name="_Toc435773405"/>
      <w:r w:rsidRPr="009A2045">
        <w:rPr>
          <w:b/>
          <w:i w:val="0"/>
          <w:sz w:val="22"/>
          <w:szCs w:val="22"/>
        </w:rPr>
        <w:t xml:space="preserve">Figure </w:t>
      </w:r>
      <w:r w:rsidR="00A82077"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Figure \* ARABIC </w:instrText>
      </w:r>
      <w:r w:rsidR="00C60928" w:rsidRPr="009A2045">
        <w:rPr>
          <w:b/>
          <w:i w:val="0"/>
          <w:sz w:val="22"/>
          <w:szCs w:val="22"/>
        </w:rPr>
        <w:fldChar w:fldCharType="separate"/>
      </w:r>
      <w:r w:rsidRPr="009A2045">
        <w:rPr>
          <w:b/>
          <w:i w:val="0"/>
          <w:noProof/>
          <w:sz w:val="22"/>
          <w:szCs w:val="22"/>
        </w:rPr>
        <w:t>6</w:t>
      </w:r>
      <w:r w:rsidR="00C60928" w:rsidRPr="009A2045">
        <w:rPr>
          <w:b/>
          <w:i w:val="0"/>
          <w:noProof/>
          <w:sz w:val="22"/>
          <w:szCs w:val="22"/>
        </w:rPr>
        <w:fldChar w:fldCharType="end"/>
      </w:r>
      <w:r w:rsidRPr="009A2045">
        <w:rPr>
          <w:b/>
          <w:i w:val="0"/>
          <w:sz w:val="22"/>
          <w:szCs w:val="22"/>
        </w:rPr>
        <w:t>.  Step 1 - Action Area and Species' Ranges</w:t>
      </w:r>
      <w:r w:rsidR="007C0F2A" w:rsidRPr="009A2045">
        <w:rPr>
          <w:b/>
          <w:i w:val="0"/>
          <w:sz w:val="22"/>
          <w:szCs w:val="22"/>
        </w:rPr>
        <w:t>.</w:t>
      </w:r>
      <w:bookmarkEnd w:id="44"/>
    </w:p>
    <w:p w14:paraId="2156D530" w14:textId="77777777" w:rsidR="007C0F2A" w:rsidRPr="009A2045" w:rsidRDefault="007C0F2A" w:rsidP="009A2045">
      <w:pPr>
        <w:keepNext/>
        <w:keepLines/>
        <w:spacing w:after="0" w:line="240" w:lineRule="auto"/>
      </w:pPr>
    </w:p>
    <w:p w14:paraId="1B3D67A2" w14:textId="0489B210" w:rsidR="007C0F2A" w:rsidRPr="009A2045" w:rsidRDefault="007C0F2A" w:rsidP="009A2045">
      <w:pPr>
        <w:pStyle w:val="Heading4"/>
      </w:pPr>
      <w:bookmarkStart w:id="45" w:name="_Toc436043033"/>
      <w:r w:rsidRPr="009A2045">
        <w:t>1.4.1.1</w:t>
      </w:r>
      <w:r w:rsidR="00657216" w:rsidRPr="009A2045">
        <w:t xml:space="preserve">      </w:t>
      </w:r>
      <w:r w:rsidRPr="009A2045">
        <w:t>Action Area</w:t>
      </w:r>
      <w:bookmarkEnd w:id="45"/>
    </w:p>
    <w:p w14:paraId="1DBD797C" w14:textId="77777777" w:rsidR="007C0F2A" w:rsidRPr="009A2045" w:rsidRDefault="007C0F2A" w:rsidP="009A2045">
      <w:pPr>
        <w:spacing w:after="0" w:line="240" w:lineRule="auto"/>
      </w:pPr>
    </w:p>
    <w:p w14:paraId="08EA5667" w14:textId="610AE57E" w:rsidR="007C0F2A" w:rsidRPr="009A2045" w:rsidRDefault="007C0F2A" w:rsidP="009A2045">
      <w:pPr>
        <w:spacing w:after="0" w:line="240" w:lineRule="auto"/>
      </w:pPr>
      <w:r w:rsidRPr="009A2045">
        <w:t xml:space="preserve">The action area is defined by the Endangered Species Act as, “all areas to be affected directly or indirectly by the Federal action and not merely the immediate area involved in the action” (50 CFR §402.2). Based on an analysis of the Federal action, the action area is defined by the actual and potential use of the pesticide and areas where that use could result in effects. For this analysis, ArcGIS v. </w:t>
      </w:r>
      <w:r w:rsidR="00892EAC">
        <w:t>10.3</w:t>
      </w:r>
      <w:r w:rsidRPr="009A2045">
        <w:t xml:space="preserve"> and information on effects thresholds and results from offsite transport models (see below) will be used to establish the spatial extent of the action area and to serve as the basis for determining which species ranges and critical habitats overlap with the action area.  Specific descriptions of the spatial datasets used for determining the action area are described below.</w:t>
      </w:r>
    </w:p>
    <w:p w14:paraId="2101646B" w14:textId="77777777" w:rsidR="007C0F2A" w:rsidRPr="009A2045" w:rsidRDefault="007C0F2A" w:rsidP="009A2045">
      <w:pPr>
        <w:keepNext/>
        <w:keepLines/>
        <w:spacing w:after="0" w:line="240" w:lineRule="auto"/>
      </w:pPr>
    </w:p>
    <w:p w14:paraId="4D761CC9" w14:textId="494F9735" w:rsidR="007C0F2A" w:rsidRPr="009A2045" w:rsidRDefault="007C0F2A" w:rsidP="009A2045">
      <w:pPr>
        <w:pStyle w:val="Heading5"/>
      </w:pPr>
      <w:bookmarkStart w:id="46" w:name="_Toc436043034"/>
      <w:r w:rsidRPr="009A2045">
        <w:t>1.4.1.1</w:t>
      </w:r>
      <w:proofErr w:type="gramStart"/>
      <w:r w:rsidRPr="009A2045">
        <w:t>.a</w:t>
      </w:r>
      <w:proofErr w:type="gramEnd"/>
      <w:r w:rsidRPr="009A2045">
        <w:t>.</w:t>
      </w:r>
      <w:r w:rsidRPr="009A2045">
        <w:tab/>
        <w:t xml:space="preserve">Use </w:t>
      </w:r>
      <w:r w:rsidR="0054061D" w:rsidRPr="009A2045">
        <w:t>S</w:t>
      </w:r>
      <w:r w:rsidRPr="009A2045">
        <w:t xml:space="preserve">ite </w:t>
      </w:r>
      <w:r w:rsidR="0054061D" w:rsidRPr="009A2045">
        <w:t>F</w:t>
      </w:r>
      <w:r w:rsidRPr="009A2045">
        <w:t>ootprint</w:t>
      </w:r>
      <w:bookmarkEnd w:id="46"/>
      <w:r w:rsidRPr="009A2045">
        <w:t xml:space="preserve"> </w:t>
      </w:r>
    </w:p>
    <w:p w14:paraId="473B2289" w14:textId="77777777" w:rsidR="007C0F2A" w:rsidRPr="009A2045" w:rsidRDefault="007C0F2A" w:rsidP="009A2045">
      <w:pPr>
        <w:spacing w:after="0" w:line="240" w:lineRule="auto"/>
      </w:pPr>
    </w:p>
    <w:p w14:paraId="03356FDA" w14:textId="77777777" w:rsidR="00BB2967" w:rsidRPr="009A2045" w:rsidRDefault="00BB2967" w:rsidP="009A2045">
      <w:pPr>
        <w:spacing w:after="0" w:line="240" w:lineRule="auto"/>
      </w:pPr>
      <w:r w:rsidRPr="009A2045">
        <w:t xml:space="preserve">The footprint layer represents the application site for agricultural and non-agricultural label uses. The Cropland Data Layer (CDL), produced by the United States Department of Agriculture (USDA), is used to spatially represent potential agricultural use sites. The CDL is a land cover dataset that has over 100 cultivated classes that the Agency groups into 11 general classes (see </w:t>
      </w:r>
      <w:r w:rsidRPr="009A2045">
        <w:rPr>
          <w:b/>
        </w:rPr>
        <w:t>ATTACHMENT 1-2</w:t>
      </w:r>
      <w:r w:rsidRPr="009A2045">
        <w:t>). In addition, 5 years of the most recent CDLs, from 2010-2014, are aggregated to account for crop rotations. (In the future, as data become available, 10 years of the most current data available will be used).</w:t>
      </w:r>
    </w:p>
    <w:p w14:paraId="3410A024" w14:textId="77777777" w:rsidR="00BB2967" w:rsidRPr="009A2045" w:rsidRDefault="00BB2967" w:rsidP="009A2045">
      <w:pPr>
        <w:spacing w:after="0" w:line="240" w:lineRule="auto"/>
      </w:pPr>
    </w:p>
    <w:p w14:paraId="7CDC436B" w14:textId="77777777" w:rsidR="00BB2967" w:rsidRPr="009A2045" w:rsidRDefault="00BB2967" w:rsidP="009A2045">
      <w:pPr>
        <w:spacing w:after="0" w:line="240" w:lineRule="auto"/>
      </w:pPr>
      <w:r w:rsidRPr="009A2045">
        <w:t xml:space="preserve">The agricultural classes are further refined by comparing county level National Agricultural Statistics Service (NASS) Census of Agriculture (CoA) acreage reports to county level CDL acreages. If a county’s CDL acreage for a given class is lower than the NASS acreage, the CDL class’s extent is expanded within cultivated areas until the CDL acreage matches the NASS Census acreage (see </w:t>
      </w:r>
      <w:r w:rsidRPr="009A2045">
        <w:rPr>
          <w:b/>
        </w:rPr>
        <w:t>ATTACHMENT 1-3</w:t>
      </w:r>
      <w:r w:rsidRPr="009A2045">
        <w:t>). This reduces land cover mapping errors by adjusting the extent of each category to the best available census values.</w:t>
      </w:r>
    </w:p>
    <w:p w14:paraId="29135583" w14:textId="77777777" w:rsidR="00BB2967" w:rsidRPr="009A2045" w:rsidRDefault="00BB2967" w:rsidP="009A2045">
      <w:pPr>
        <w:spacing w:after="0" w:line="240" w:lineRule="auto"/>
      </w:pPr>
    </w:p>
    <w:p w14:paraId="65C43CF5" w14:textId="77777777" w:rsidR="00BB2967" w:rsidRPr="009A2045" w:rsidRDefault="00BB2967" w:rsidP="009A2045">
      <w:pPr>
        <w:spacing w:after="0" w:line="240" w:lineRule="auto"/>
      </w:pPr>
      <w:r w:rsidRPr="009A2045">
        <w:t xml:space="preserve">Non-agricultural label uses include a wide range of land cover and land use categories. Each label use is considered and represented by the best available land cover data. Generally, the National Land Cover Dataset (NLCD) is used to represent non-agricultural label uses. When the NLCD is inadequate, other data sources are used as appropriate (see </w:t>
      </w:r>
      <w:r w:rsidRPr="009A2045">
        <w:rPr>
          <w:b/>
        </w:rPr>
        <w:t>ATTACHMENT 1-3</w:t>
      </w:r>
      <w:r w:rsidRPr="009A2045">
        <w:t>, for details).</w:t>
      </w:r>
    </w:p>
    <w:p w14:paraId="3D551D04" w14:textId="77777777" w:rsidR="007C0F2A" w:rsidRPr="009A2045" w:rsidRDefault="007C0F2A" w:rsidP="009A2045">
      <w:pPr>
        <w:spacing w:after="0" w:line="240" w:lineRule="auto"/>
      </w:pPr>
    </w:p>
    <w:p w14:paraId="10D928F2" w14:textId="4821515D" w:rsidR="007C0F2A" w:rsidRPr="009A2045" w:rsidRDefault="001D557C" w:rsidP="009A2045">
      <w:pPr>
        <w:pStyle w:val="Heading5"/>
      </w:pPr>
      <w:bookmarkStart w:id="47" w:name="_Toc432773322"/>
      <w:bookmarkStart w:id="48" w:name="_Toc436043035"/>
      <w:r w:rsidRPr="009A2045">
        <w:t>1.4.1.1</w:t>
      </w:r>
      <w:proofErr w:type="gramStart"/>
      <w:r w:rsidRPr="009A2045">
        <w:t>.b</w:t>
      </w:r>
      <w:proofErr w:type="gramEnd"/>
      <w:r w:rsidRPr="009A2045">
        <w:t>.</w:t>
      </w:r>
      <w:r w:rsidRPr="009A2045">
        <w:tab/>
        <w:t>Thresholds of effects</w:t>
      </w:r>
      <w:bookmarkEnd w:id="47"/>
      <w:bookmarkEnd w:id="48"/>
    </w:p>
    <w:p w14:paraId="21500BCA" w14:textId="77777777" w:rsidR="001D557C" w:rsidRPr="009A2045" w:rsidRDefault="001D557C" w:rsidP="009A2045"/>
    <w:p w14:paraId="2BA09101" w14:textId="77777777" w:rsidR="001D557C" w:rsidRPr="009A2045" w:rsidRDefault="001D557C" w:rsidP="009A2045">
      <w:pPr>
        <w:pStyle w:val="Heading6"/>
      </w:pPr>
      <w:bookmarkStart w:id="49" w:name="_Toc432773323"/>
      <w:bookmarkStart w:id="50" w:name="_Toc436043036"/>
      <w:r w:rsidRPr="009A2045">
        <w:t>1.4.1.1</w:t>
      </w:r>
      <w:proofErr w:type="gramStart"/>
      <w:r w:rsidRPr="009A2045">
        <w:t>.b.1</w:t>
      </w:r>
      <w:proofErr w:type="gramEnd"/>
      <w:r w:rsidRPr="009A2045">
        <w:tab/>
        <w:t>Mortality (acute) and sublethal thresholds</w:t>
      </w:r>
      <w:bookmarkEnd w:id="49"/>
      <w:bookmarkEnd w:id="50"/>
      <w:r w:rsidRPr="009A2045">
        <w:t xml:space="preserve"> </w:t>
      </w:r>
    </w:p>
    <w:p w14:paraId="25EB4D40" w14:textId="77777777" w:rsidR="007C0F2A" w:rsidRPr="009A2045" w:rsidRDefault="007C0F2A" w:rsidP="009A2045">
      <w:pPr>
        <w:spacing w:after="0" w:line="240" w:lineRule="auto"/>
      </w:pPr>
    </w:p>
    <w:p w14:paraId="4EFF654B" w14:textId="28AF6497" w:rsidR="007C0F2A" w:rsidRPr="009A2045" w:rsidRDefault="007C0F2A" w:rsidP="009A2045">
      <w:pPr>
        <w:spacing w:after="0" w:line="240" w:lineRule="auto"/>
      </w:pPr>
      <w:r w:rsidRPr="009A2045">
        <w:t>The boundary of the action area is based on a threshold defined by the lowest exposure concentration found to be toxic</w:t>
      </w:r>
      <w:r w:rsidR="000D1558" w:rsidRPr="009A2045">
        <w:t>.</w:t>
      </w:r>
      <w:r w:rsidRPr="009A2045">
        <w:t xml:space="preserve"> [</w:t>
      </w:r>
      <w:r w:rsidR="000D1558" w:rsidRPr="009A2045">
        <w:t>T</w:t>
      </w:r>
      <w:r w:rsidRPr="009A2045">
        <w:t xml:space="preserve">he endpoints considered to determine the boundary are described in </w:t>
      </w:r>
      <w:r w:rsidRPr="009A2045">
        <w:rPr>
          <w:b/>
        </w:rPr>
        <w:t xml:space="preserve">Table </w:t>
      </w:r>
      <w:r w:rsidR="00CF543D" w:rsidRPr="009A2045">
        <w:rPr>
          <w:b/>
        </w:rPr>
        <w:t>1-6</w:t>
      </w:r>
      <w:r w:rsidRPr="009A2045">
        <w:t xml:space="preserve"> (for details see </w:t>
      </w:r>
      <w:r w:rsidR="00BB2967" w:rsidRPr="009A2045">
        <w:rPr>
          <w:b/>
        </w:rPr>
        <w:t>ATTACHMENT 1-4</w:t>
      </w:r>
      <w:r w:rsidRPr="009A2045">
        <w:t xml:space="preserve">)].  The most sensitive species in the environment that results in the farthest distance from the use site(s), based on the effects thresholds described in </w:t>
      </w:r>
      <w:r w:rsidRPr="009A2045">
        <w:rPr>
          <w:b/>
        </w:rPr>
        <w:t xml:space="preserve">Table </w:t>
      </w:r>
      <w:r w:rsidR="00CF543D" w:rsidRPr="009A2045">
        <w:rPr>
          <w:b/>
        </w:rPr>
        <w:t>1-6</w:t>
      </w:r>
      <w:r w:rsidRPr="009A2045">
        <w:t xml:space="preserve">, is used to set the action area boundary. The aquatic component of the action area incorporates downstream transport of </w:t>
      </w:r>
      <w:proofErr w:type="gramStart"/>
      <w:r w:rsidR="009F0204" w:rsidRPr="009A2045">
        <w:t>malathion</w:t>
      </w:r>
      <w:proofErr w:type="gramEnd"/>
      <w:r w:rsidRPr="009A2045">
        <w:t xml:space="preserve"> from the use site.  Additional considerations describing delineation of aquatic and terrestrial components of the action area are described in the sections below.  </w:t>
      </w:r>
    </w:p>
    <w:p w14:paraId="6E6E70E7" w14:textId="77777777" w:rsidR="00CF543D" w:rsidRPr="009A2045" w:rsidRDefault="00CF543D" w:rsidP="009A2045">
      <w:pPr>
        <w:spacing w:after="0" w:line="240" w:lineRule="auto"/>
        <w:rPr>
          <w:b/>
        </w:rPr>
      </w:pPr>
    </w:p>
    <w:p w14:paraId="1DEE4069" w14:textId="77777777" w:rsidR="00CF543D" w:rsidRPr="009A2045" w:rsidRDefault="00CF543D" w:rsidP="009A2045">
      <w:pPr>
        <w:spacing w:after="0" w:line="240" w:lineRule="auto"/>
        <w:rPr>
          <w:b/>
        </w:rPr>
      </w:pPr>
    </w:p>
    <w:p w14:paraId="76405AED" w14:textId="1625B81C" w:rsidR="007C0F2A" w:rsidRPr="009A2045" w:rsidRDefault="000D01C3" w:rsidP="009A2045">
      <w:pPr>
        <w:pStyle w:val="Caption"/>
        <w:rPr>
          <w:b/>
          <w:i w:val="0"/>
          <w:sz w:val="22"/>
          <w:szCs w:val="22"/>
        </w:rPr>
      </w:pPr>
      <w:bookmarkStart w:id="51" w:name="_Toc435773440"/>
      <w:r w:rsidRPr="009A2045">
        <w:rPr>
          <w:b/>
          <w:i w:val="0"/>
          <w:sz w:val="22"/>
          <w:szCs w:val="22"/>
        </w:rPr>
        <w:t xml:space="preserve">Table </w:t>
      </w:r>
      <w:r w:rsidR="00A82077"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Table \* ARABIC </w:instrText>
      </w:r>
      <w:r w:rsidR="00C60928" w:rsidRPr="009A2045">
        <w:rPr>
          <w:b/>
          <w:i w:val="0"/>
          <w:sz w:val="22"/>
          <w:szCs w:val="22"/>
        </w:rPr>
        <w:fldChar w:fldCharType="separate"/>
      </w:r>
      <w:r w:rsidRPr="009A2045">
        <w:rPr>
          <w:b/>
          <w:i w:val="0"/>
          <w:noProof/>
          <w:sz w:val="22"/>
          <w:szCs w:val="22"/>
        </w:rPr>
        <w:t>6</w:t>
      </w:r>
      <w:r w:rsidR="00C60928" w:rsidRPr="009A2045">
        <w:rPr>
          <w:b/>
          <w:i w:val="0"/>
          <w:noProof/>
          <w:sz w:val="22"/>
          <w:szCs w:val="22"/>
        </w:rPr>
        <w:fldChar w:fldCharType="end"/>
      </w:r>
      <w:r w:rsidRPr="009A2045">
        <w:rPr>
          <w:b/>
          <w:i w:val="0"/>
          <w:sz w:val="22"/>
          <w:szCs w:val="22"/>
        </w:rPr>
        <w:t>. Endpoints and Associated Threshold Selection Strategies That Will Be Used to Delineate the Boundary of the Action Area in Step 1</w:t>
      </w:r>
      <w:bookmarkEnd w:id="51"/>
      <w:r w:rsidR="00A82077" w:rsidRPr="009A2045">
        <w:rPr>
          <w:b/>
          <w:i w:val="0"/>
          <w:sz w:val="22"/>
          <w:szCs w:val="22"/>
        </w:rPr>
        <w:t>.</w:t>
      </w:r>
    </w:p>
    <w:tbl>
      <w:tblPr>
        <w:tblW w:w="96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9"/>
        <w:gridCol w:w="3589"/>
        <w:gridCol w:w="4050"/>
      </w:tblGrid>
      <w:tr w:rsidR="007C0F2A" w:rsidRPr="009A2045" w14:paraId="15BA0A9C" w14:textId="77777777" w:rsidTr="007C0F2A">
        <w:trPr>
          <w:tblHeader/>
        </w:trPr>
        <w:tc>
          <w:tcPr>
            <w:tcW w:w="2009" w:type="dxa"/>
            <w:shd w:val="clear" w:color="auto" w:fill="E7E6E6"/>
            <w:vAlign w:val="center"/>
          </w:tcPr>
          <w:p w14:paraId="1DED3913" w14:textId="77777777" w:rsidR="007C0F2A" w:rsidRPr="009A2045" w:rsidRDefault="007C0F2A" w:rsidP="009A2045">
            <w:pPr>
              <w:spacing w:after="0" w:line="240" w:lineRule="auto"/>
              <w:jc w:val="center"/>
            </w:pPr>
            <w:r w:rsidRPr="009A2045">
              <w:rPr>
                <w:b/>
                <w:sz w:val="20"/>
                <w:szCs w:val="20"/>
              </w:rPr>
              <w:t>Taxon</w:t>
            </w:r>
          </w:p>
        </w:tc>
        <w:tc>
          <w:tcPr>
            <w:tcW w:w="3589" w:type="dxa"/>
            <w:shd w:val="clear" w:color="auto" w:fill="E7E6E6"/>
            <w:vAlign w:val="center"/>
          </w:tcPr>
          <w:p w14:paraId="30B354DC" w14:textId="77777777" w:rsidR="007C0F2A" w:rsidRPr="009A2045" w:rsidRDefault="007C0F2A" w:rsidP="009A2045">
            <w:pPr>
              <w:spacing w:after="0" w:line="240" w:lineRule="auto"/>
              <w:jc w:val="center"/>
            </w:pPr>
            <w:r w:rsidRPr="009A2045">
              <w:rPr>
                <w:b/>
                <w:sz w:val="20"/>
                <w:szCs w:val="20"/>
              </w:rPr>
              <w:t>Mortality</w:t>
            </w:r>
          </w:p>
        </w:tc>
        <w:tc>
          <w:tcPr>
            <w:tcW w:w="4050" w:type="dxa"/>
            <w:shd w:val="clear" w:color="auto" w:fill="E7E6E6"/>
            <w:vAlign w:val="center"/>
          </w:tcPr>
          <w:p w14:paraId="6ACB5648" w14:textId="77777777" w:rsidR="007C0F2A" w:rsidRPr="009A2045" w:rsidRDefault="007C0F2A" w:rsidP="009A2045">
            <w:pPr>
              <w:spacing w:after="0" w:line="240" w:lineRule="auto"/>
              <w:jc w:val="center"/>
            </w:pPr>
            <w:r w:rsidRPr="009A2045">
              <w:rPr>
                <w:b/>
                <w:sz w:val="20"/>
                <w:szCs w:val="20"/>
              </w:rPr>
              <w:t>Sublethal Effects</w:t>
            </w:r>
          </w:p>
        </w:tc>
      </w:tr>
      <w:tr w:rsidR="007C0F2A" w:rsidRPr="009A2045" w14:paraId="4E6960C5" w14:textId="77777777" w:rsidTr="007C0F2A">
        <w:tc>
          <w:tcPr>
            <w:tcW w:w="2009" w:type="dxa"/>
            <w:vAlign w:val="center"/>
          </w:tcPr>
          <w:p w14:paraId="1D35BF4B" w14:textId="77777777" w:rsidR="007C0F2A" w:rsidRPr="009A2045" w:rsidRDefault="007C0F2A" w:rsidP="009A2045">
            <w:pPr>
              <w:spacing w:after="0" w:line="240" w:lineRule="auto"/>
            </w:pPr>
            <w:r w:rsidRPr="009A2045">
              <w:rPr>
                <w:sz w:val="20"/>
                <w:szCs w:val="20"/>
              </w:rPr>
              <w:t>Birds</w:t>
            </w:r>
            <w:r w:rsidRPr="009A2045">
              <w:rPr>
                <w:sz w:val="20"/>
                <w:szCs w:val="20"/>
                <w:vertAlign w:val="superscript"/>
              </w:rPr>
              <w:t>1</w:t>
            </w:r>
          </w:p>
        </w:tc>
        <w:tc>
          <w:tcPr>
            <w:tcW w:w="3589" w:type="dxa"/>
            <w:vMerge w:val="restart"/>
            <w:vAlign w:val="center"/>
          </w:tcPr>
          <w:p w14:paraId="31F851B3" w14:textId="7ADFC077" w:rsidR="007C0F2A" w:rsidRPr="009A2045" w:rsidRDefault="007C0F2A" w:rsidP="009A2045">
            <w:pPr>
              <w:spacing w:after="0" w:line="240" w:lineRule="auto"/>
            </w:pPr>
            <w:r w:rsidRPr="009A2045">
              <w:rPr>
                <w:sz w:val="20"/>
                <w:szCs w:val="20"/>
              </w:rPr>
              <w:t>Concentration (or dose) that would result in a chance of 1 in a million of causing mortality to an individual. This is calculated by using HC</w:t>
            </w:r>
            <w:r w:rsidRPr="009A2045">
              <w:rPr>
                <w:sz w:val="20"/>
                <w:szCs w:val="20"/>
                <w:vertAlign w:val="subscript"/>
              </w:rPr>
              <w:t>05</w:t>
            </w:r>
            <w:r w:rsidRPr="009A2045">
              <w:rPr>
                <w:sz w:val="20"/>
                <w:szCs w:val="20"/>
              </w:rPr>
              <w:t xml:space="preserve"> of SSD</w:t>
            </w:r>
            <w:r w:rsidR="00BB2967" w:rsidRPr="009A2045">
              <w:rPr>
                <w:sz w:val="20"/>
                <w:szCs w:val="20"/>
                <w:vertAlign w:val="superscript"/>
              </w:rPr>
              <w:t>2</w:t>
            </w:r>
            <w:r w:rsidRPr="009A2045">
              <w:rPr>
                <w:sz w:val="20"/>
                <w:szCs w:val="20"/>
              </w:rPr>
              <w:t xml:space="preserve"> of LC</w:t>
            </w:r>
            <w:r w:rsidRPr="009A2045">
              <w:rPr>
                <w:sz w:val="20"/>
                <w:szCs w:val="20"/>
                <w:vertAlign w:val="subscript"/>
              </w:rPr>
              <w:t xml:space="preserve">50, </w:t>
            </w:r>
            <w:r w:rsidRPr="009A2045">
              <w:rPr>
                <w:sz w:val="20"/>
                <w:szCs w:val="20"/>
              </w:rPr>
              <w:t>LD</w:t>
            </w:r>
            <w:r w:rsidRPr="009A2045">
              <w:rPr>
                <w:sz w:val="20"/>
                <w:szCs w:val="20"/>
                <w:vertAlign w:val="subscript"/>
              </w:rPr>
              <w:t>50,</w:t>
            </w:r>
            <w:r w:rsidRPr="009A2045">
              <w:rPr>
                <w:sz w:val="20"/>
                <w:szCs w:val="20"/>
              </w:rPr>
              <w:t xml:space="preserve"> or EC</w:t>
            </w:r>
            <w:r w:rsidRPr="009A2045">
              <w:rPr>
                <w:sz w:val="20"/>
                <w:szCs w:val="20"/>
                <w:vertAlign w:val="subscript"/>
              </w:rPr>
              <w:t>50</w:t>
            </w:r>
            <w:r w:rsidRPr="009A2045">
              <w:rPr>
                <w:sz w:val="20"/>
                <w:szCs w:val="20"/>
              </w:rPr>
              <w:t xml:space="preserve"> values for taxa and representative slope. If SSD cannot be derived, most sensitive LC</w:t>
            </w:r>
            <w:r w:rsidRPr="009A2045">
              <w:rPr>
                <w:sz w:val="20"/>
                <w:szCs w:val="20"/>
                <w:vertAlign w:val="subscript"/>
              </w:rPr>
              <w:t xml:space="preserve">50, </w:t>
            </w:r>
            <w:r w:rsidRPr="009A2045">
              <w:rPr>
                <w:sz w:val="20"/>
                <w:szCs w:val="20"/>
              </w:rPr>
              <w:t>LD</w:t>
            </w:r>
            <w:r w:rsidRPr="009A2045">
              <w:rPr>
                <w:sz w:val="20"/>
                <w:szCs w:val="20"/>
                <w:vertAlign w:val="subscript"/>
              </w:rPr>
              <w:t>50,</w:t>
            </w:r>
            <w:r w:rsidRPr="009A2045">
              <w:rPr>
                <w:sz w:val="20"/>
                <w:szCs w:val="20"/>
              </w:rPr>
              <w:t xml:space="preserve"> or EC</w:t>
            </w:r>
            <w:r w:rsidRPr="009A2045">
              <w:rPr>
                <w:sz w:val="20"/>
                <w:szCs w:val="20"/>
                <w:vertAlign w:val="subscript"/>
              </w:rPr>
              <w:t>50</w:t>
            </w:r>
            <w:r w:rsidRPr="009A2045">
              <w:rPr>
                <w:sz w:val="20"/>
                <w:szCs w:val="20"/>
              </w:rPr>
              <w:t xml:space="preserve"> for taxa will be used and most representative slope. </w:t>
            </w:r>
          </w:p>
        </w:tc>
        <w:tc>
          <w:tcPr>
            <w:tcW w:w="4050" w:type="dxa"/>
            <w:vMerge w:val="restart"/>
            <w:vAlign w:val="center"/>
          </w:tcPr>
          <w:p w14:paraId="1E63155F" w14:textId="4DA8BC55" w:rsidR="007C0F2A" w:rsidRPr="009A2045" w:rsidRDefault="007C0F2A" w:rsidP="009A2045">
            <w:pPr>
              <w:spacing w:after="0" w:line="240" w:lineRule="auto"/>
            </w:pPr>
            <w:r w:rsidRPr="009A2045">
              <w:rPr>
                <w:sz w:val="20"/>
                <w:szCs w:val="20"/>
              </w:rPr>
              <w:t>The lowest available NOAEC, NOAEL or other scientifically defensible effect threshold (EC</w:t>
            </w:r>
            <w:r w:rsidRPr="009A2045">
              <w:rPr>
                <w:sz w:val="20"/>
                <w:szCs w:val="20"/>
                <w:vertAlign w:val="subscript"/>
              </w:rPr>
              <w:t>x</w:t>
            </w:r>
            <w:r w:rsidRPr="009A2045">
              <w:rPr>
                <w:sz w:val="20"/>
                <w:szCs w:val="20"/>
              </w:rPr>
              <w:t xml:space="preserve">).  Endpoints are generally from </w:t>
            </w:r>
            <w:r w:rsidRPr="009A2045">
              <w:rPr>
                <w:i/>
                <w:sz w:val="20"/>
                <w:szCs w:val="20"/>
              </w:rPr>
              <w:t>in vivo</w:t>
            </w:r>
            <w:r w:rsidRPr="009A2045">
              <w:rPr>
                <w:sz w:val="20"/>
                <w:szCs w:val="20"/>
              </w:rPr>
              <w:t xml:space="preserve"> studies that are conducted with whole organisms</w:t>
            </w:r>
            <w:r w:rsidR="000D1558" w:rsidRPr="009A2045">
              <w:rPr>
                <w:sz w:val="20"/>
                <w:szCs w:val="20"/>
              </w:rPr>
              <w:t>,</w:t>
            </w:r>
            <w:r w:rsidRPr="009A2045">
              <w:rPr>
                <w:sz w:val="20"/>
                <w:szCs w:val="20"/>
              </w:rPr>
              <w:t xml:space="preserve"> are representative of environmentally relevant exposure</w:t>
            </w:r>
            <w:r w:rsidRPr="009A2045">
              <w:rPr>
                <w:strike/>
                <w:sz w:val="20"/>
                <w:szCs w:val="20"/>
              </w:rPr>
              <w:t>s</w:t>
            </w:r>
            <w:r w:rsidRPr="009A2045">
              <w:rPr>
                <w:sz w:val="20"/>
                <w:szCs w:val="20"/>
              </w:rPr>
              <w:t xml:space="preserve"> routes</w:t>
            </w:r>
            <w:r w:rsidR="000D1558" w:rsidRPr="009A2045">
              <w:rPr>
                <w:sz w:val="20"/>
                <w:szCs w:val="20"/>
              </w:rPr>
              <w:t>,</w:t>
            </w:r>
            <w:r w:rsidRPr="009A2045">
              <w:rPr>
                <w:sz w:val="20"/>
                <w:szCs w:val="20"/>
              </w:rPr>
              <w:t xml:space="preserve"> and are able to be quantitatively or qualitatively linked to effects on survival, growth or reproduction.</w:t>
            </w:r>
          </w:p>
          <w:p w14:paraId="5A37B314" w14:textId="77777777" w:rsidR="007C0F2A" w:rsidRPr="009A2045" w:rsidRDefault="007C0F2A" w:rsidP="009A2045">
            <w:pPr>
              <w:spacing w:after="0" w:line="240" w:lineRule="auto"/>
            </w:pPr>
          </w:p>
          <w:p w14:paraId="25DDF0BE" w14:textId="77777777" w:rsidR="007C0F2A" w:rsidRPr="009A2045" w:rsidRDefault="007C0F2A" w:rsidP="009A2045">
            <w:pPr>
              <w:spacing w:after="0" w:line="240" w:lineRule="auto"/>
            </w:pPr>
          </w:p>
        </w:tc>
      </w:tr>
      <w:tr w:rsidR="007C0F2A" w:rsidRPr="009A2045" w14:paraId="52997D2C" w14:textId="77777777" w:rsidTr="007C0F2A">
        <w:tc>
          <w:tcPr>
            <w:tcW w:w="2009" w:type="dxa"/>
            <w:vAlign w:val="center"/>
          </w:tcPr>
          <w:p w14:paraId="3BB244CD" w14:textId="77777777" w:rsidR="007C0F2A" w:rsidRPr="009A2045" w:rsidRDefault="007C0F2A" w:rsidP="009A2045">
            <w:pPr>
              <w:spacing w:after="0" w:line="240" w:lineRule="auto"/>
            </w:pPr>
            <w:r w:rsidRPr="009A2045">
              <w:rPr>
                <w:sz w:val="20"/>
                <w:szCs w:val="20"/>
              </w:rPr>
              <w:t>Mammals</w:t>
            </w:r>
            <w:r w:rsidRPr="009A2045">
              <w:rPr>
                <w:sz w:val="20"/>
                <w:szCs w:val="20"/>
                <w:vertAlign w:val="superscript"/>
              </w:rPr>
              <w:t>1</w:t>
            </w:r>
          </w:p>
        </w:tc>
        <w:tc>
          <w:tcPr>
            <w:tcW w:w="3589" w:type="dxa"/>
            <w:vMerge/>
            <w:vAlign w:val="center"/>
          </w:tcPr>
          <w:p w14:paraId="41064124" w14:textId="77777777" w:rsidR="007C0F2A" w:rsidRPr="009A2045" w:rsidRDefault="007C0F2A" w:rsidP="009A2045">
            <w:pPr>
              <w:widowControl w:val="0"/>
              <w:spacing w:after="0" w:line="276" w:lineRule="auto"/>
            </w:pPr>
          </w:p>
        </w:tc>
        <w:tc>
          <w:tcPr>
            <w:tcW w:w="4050" w:type="dxa"/>
            <w:vMerge w:val="restart"/>
            <w:vAlign w:val="center"/>
          </w:tcPr>
          <w:p w14:paraId="27FDE5A9" w14:textId="77777777" w:rsidR="007C0F2A" w:rsidRPr="009A2045" w:rsidRDefault="007C0F2A" w:rsidP="009A2045">
            <w:pPr>
              <w:spacing w:after="0" w:line="240" w:lineRule="auto"/>
            </w:pPr>
          </w:p>
          <w:p w14:paraId="5260473B" w14:textId="77777777" w:rsidR="007C0F2A" w:rsidRPr="009A2045" w:rsidRDefault="007C0F2A" w:rsidP="009A2045">
            <w:pPr>
              <w:spacing w:after="0" w:line="240" w:lineRule="auto"/>
            </w:pPr>
          </w:p>
        </w:tc>
      </w:tr>
      <w:tr w:rsidR="007C0F2A" w:rsidRPr="009A2045" w14:paraId="2F168CB0" w14:textId="77777777" w:rsidTr="007C0F2A">
        <w:tc>
          <w:tcPr>
            <w:tcW w:w="2009" w:type="dxa"/>
            <w:vAlign w:val="center"/>
          </w:tcPr>
          <w:p w14:paraId="6563D98C" w14:textId="77777777" w:rsidR="007C0F2A" w:rsidRPr="009A2045" w:rsidRDefault="007C0F2A" w:rsidP="009A2045">
            <w:pPr>
              <w:spacing w:after="0" w:line="240" w:lineRule="auto"/>
            </w:pPr>
            <w:r w:rsidRPr="009A2045">
              <w:rPr>
                <w:sz w:val="20"/>
                <w:szCs w:val="20"/>
              </w:rPr>
              <w:lastRenderedPageBreak/>
              <w:t>Reptiles</w:t>
            </w:r>
          </w:p>
        </w:tc>
        <w:tc>
          <w:tcPr>
            <w:tcW w:w="3589" w:type="dxa"/>
            <w:vMerge/>
            <w:vAlign w:val="center"/>
          </w:tcPr>
          <w:p w14:paraId="429DC486" w14:textId="77777777" w:rsidR="007C0F2A" w:rsidRPr="009A2045" w:rsidRDefault="007C0F2A" w:rsidP="009A2045">
            <w:pPr>
              <w:widowControl w:val="0"/>
              <w:spacing w:after="0" w:line="276" w:lineRule="auto"/>
            </w:pPr>
          </w:p>
        </w:tc>
        <w:tc>
          <w:tcPr>
            <w:tcW w:w="4050" w:type="dxa"/>
            <w:vMerge w:val="restart"/>
            <w:vAlign w:val="center"/>
          </w:tcPr>
          <w:p w14:paraId="39891B67" w14:textId="77777777" w:rsidR="007C0F2A" w:rsidRPr="009A2045" w:rsidRDefault="007C0F2A" w:rsidP="009A2045">
            <w:pPr>
              <w:spacing w:after="0" w:line="240" w:lineRule="auto"/>
            </w:pPr>
          </w:p>
          <w:p w14:paraId="5BED0646" w14:textId="77777777" w:rsidR="007C0F2A" w:rsidRPr="009A2045" w:rsidRDefault="007C0F2A" w:rsidP="009A2045">
            <w:pPr>
              <w:spacing w:after="0" w:line="240" w:lineRule="auto"/>
            </w:pPr>
          </w:p>
        </w:tc>
      </w:tr>
      <w:tr w:rsidR="007C0F2A" w:rsidRPr="009A2045" w14:paraId="1885E1A0" w14:textId="77777777" w:rsidTr="007C0F2A">
        <w:tc>
          <w:tcPr>
            <w:tcW w:w="2009" w:type="dxa"/>
            <w:vAlign w:val="center"/>
          </w:tcPr>
          <w:p w14:paraId="0F200CF0" w14:textId="77777777" w:rsidR="007C0F2A" w:rsidRPr="009A2045" w:rsidRDefault="007C0F2A" w:rsidP="009A2045">
            <w:pPr>
              <w:spacing w:after="0" w:line="240" w:lineRule="auto"/>
            </w:pPr>
            <w:r w:rsidRPr="009A2045">
              <w:rPr>
                <w:sz w:val="20"/>
                <w:szCs w:val="20"/>
              </w:rPr>
              <w:t>Terrestrial-phase amphibians</w:t>
            </w:r>
          </w:p>
        </w:tc>
        <w:tc>
          <w:tcPr>
            <w:tcW w:w="3589" w:type="dxa"/>
            <w:vMerge/>
            <w:vAlign w:val="center"/>
          </w:tcPr>
          <w:p w14:paraId="5B9D1439" w14:textId="77777777" w:rsidR="007C0F2A" w:rsidRPr="009A2045" w:rsidRDefault="007C0F2A" w:rsidP="009A2045">
            <w:pPr>
              <w:widowControl w:val="0"/>
              <w:spacing w:after="0" w:line="276" w:lineRule="auto"/>
            </w:pPr>
          </w:p>
        </w:tc>
        <w:tc>
          <w:tcPr>
            <w:tcW w:w="4050" w:type="dxa"/>
            <w:vMerge w:val="restart"/>
            <w:vAlign w:val="center"/>
          </w:tcPr>
          <w:p w14:paraId="341DC206" w14:textId="77777777" w:rsidR="007C0F2A" w:rsidRPr="009A2045" w:rsidRDefault="007C0F2A" w:rsidP="009A2045">
            <w:pPr>
              <w:spacing w:after="0" w:line="240" w:lineRule="auto"/>
            </w:pPr>
          </w:p>
          <w:p w14:paraId="74A9288F" w14:textId="77777777" w:rsidR="007C0F2A" w:rsidRPr="009A2045" w:rsidRDefault="007C0F2A" w:rsidP="009A2045">
            <w:pPr>
              <w:spacing w:after="0" w:line="240" w:lineRule="auto"/>
            </w:pPr>
          </w:p>
        </w:tc>
      </w:tr>
      <w:tr w:rsidR="007C0F2A" w:rsidRPr="009A2045" w14:paraId="30D4B61E" w14:textId="77777777" w:rsidTr="007C0F2A">
        <w:tc>
          <w:tcPr>
            <w:tcW w:w="2009" w:type="dxa"/>
            <w:vAlign w:val="center"/>
          </w:tcPr>
          <w:p w14:paraId="632D6B59" w14:textId="77777777" w:rsidR="007C0F2A" w:rsidRPr="009A2045" w:rsidRDefault="007C0F2A" w:rsidP="009A2045">
            <w:pPr>
              <w:spacing w:after="0" w:line="240" w:lineRule="auto"/>
            </w:pPr>
            <w:r w:rsidRPr="009A2045">
              <w:rPr>
                <w:sz w:val="20"/>
                <w:szCs w:val="20"/>
              </w:rPr>
              <w:t>Aquatic-phase amphibians</w:t>
            </w:r>
          </w:p>
        </w:tc>
        <w:tc>
          <w:tcPr>
            <w:tcW w:w="3589" w:type="dxa"/>
            <w:vMerge/>
            <w:vAlign w:val="center"/>
          </w:tcPr>
          <w:p w14:paraId="607C2652" w14:textId="77777777" w:rsidR="007C0F2A" w:rsidRPr="009A2045" w:rsidRDefault="007C0F2A" w:rsidP="009A2045">
            <w:pPr>
              <w:widowControl w:val="0"/>
              <w:spacing w:after="0" w:line="276" w:lineRule="auto"/>
            </w:pPr>
          </w:p>
        </w:tc>
        <w:tc>
          <w:tcPr>
            <w:tcW w:w="4050" w:type="dxa"/>
            <w:vMerge w:val="restart"/>
            <w:vAlign w:val="center"/>
          </w:tcPr>
          <w:p w14:paraId="15D714B3" w14:textId="77777777" w:rsidR="007C0F2A" w:rsidRPr="009A2045" w:rsidRDefault="007C0F2A" w:rsidP="009A2045">
            <w:pPr>
              <w:spacing w:after="0" w:line="240" w:lineRule="auto"/>
            </w:pPr>
          </w:p>
          <w:p w14:paraId="7741C2A2" w14:textId="77777777" w:rsidR="007C0F2A" w:rsidRPr="009A2045" w:rsidRDefault="007C0F2A" w:rsidP="009A2045">
            <w:pPr>
              <w:spacing w:after="0" w:line="240" w:lineRule="auto"/>
            </w:pPr>
          </w:p>
        </w:tc>
      </w:tr>
      <w:tr w:rsidR="007C0F2A" w:rsidRPr="009A2045" w14:paraId="51EBA5FE" w14:textId="77777777" w:rsidTr="007C0F2A">
        <w:tc>
          <w:tcPr>
            <w:tcW w:w="2009" w:type="dxa"/>
            <w:vAlign w:val="center"/>
          </w:tcPr>
          <w:p w14:paraId="6B5B5AB6" w14:textId="77777777" w:rsidR="007C0F2A" w:rsidRPr="009A2045" w:rsidRDefault="007C0F2A" w:rsidP="009A2045">
            <w:pPr>
              <w:spacing w:after="0" w:line="240" w:lineRule="auto"/>
            </w:pPr>
            <w:r w:rsidRPr="009A2045">
              <w:rPr>
                <w:sz w:val="20"/>
                <w:szCs w:val="20"/>
              </w:rPr>
              <w:t>Fish</w:t>
            </w:r>
          </w:p>
        </w:tc>
        <w:tc>
          <w:tcPr>
            <w:tcW w:w="3589" w:type="dxa"/>
            <w:vMerge/>
            <w:vAlign w:val="center"/>
          </w:tcPr>
          <w:p w14:paraId="2AB3F2B4" w14:textId="77777777" w:rsidR="007C0F2A" w:rsidRPr="009A2045" w:rsidRDefault="007C0F2A" w:rsidP="009A2045">
            <w:pPr>
              <w:widowControl w:val="0"/>
              <w:spacing w:after="0" w:line="276" w:lineRule="auto"/>
            </w:pPr>
          </w:p>
        </w:tc>
        <w:tc>
          <w:tcPr>
            <w:tcW w:w="4050" w:type="dxa"/>
            <w:vMerge w:val="restart"/>
            <w:vAlign w:val="center"/>
          </w:tcPr>
          <w:p w14:paraId="54729D29" w14:textId="77777777" w:rsidR="007C0F2A" w:rsidRPr="009A2045" w:rsidRDefault="007C0F2A" w:rsidP="009A2045">
            <w:pPr>
              <w:spacing w:after="0" w:line="240" w:lineRule="auto"/>
            </w:pPr>
          </w:p>
          <w:p w14:paraId="4C040975" w14:textId="77777777" w:rsidR="007C0F2A" w:rsidRPr="009A2045" w:rsidRDefault="007C0F2A" w:rsidP="009A2045">
            <w:pPr>
              <w:spacing w:after="0" w:line="240" w:lineRule="auto"/>
            </w:pPr>
          </w:p>
        </w:tc>
      </w:tr>
      <w:tr w:rsidR="007C0F2A" w:rsidRPr="009A2045" w14:paraId="420F8CE6" w14:textId="77777777" w:rsidTr="007C0F2A">
        <w:tc>
          <w:tcPr>
            <w:tcW w:w="2009" w:type="dxa"/>
            <w:vAlign w:val="center"/>
          </w:tcPr>
          <w:p w14:paraId="584BEEF8" w14:textId="77777777" w:rsidR="007C0F2A" w:rsidRPr="009A2045" w:rsidRDefault="007C0F2A" w:rsidP="009A2045">
            <w:pPr>
              <w:spacing w:after="0" w:line="240" w:lineRule="auto"/>
            </w:pPr>
            <w:r w:rsidRPr="009A2045">
              <w:rPr>
                <w:sz w:val="20"/>
                <w:szCs w:val="20"/>
              </w:rPr>
              <w:t>Aquatic invertebrates</w:t>
            </w:r>
          </w:p>
        </w:tc>
        <w:tc>
          <w:tcPr>
            <w:tcW w:w="3589" w:type="dxa"/>
            <w:vMerge/>
            <w:vAlign w:val="center"/>
          </w:tcPr>
          <w:p w14:paraId="741B76EF" w14:textId="77777777" w:rsidR="007C0F2A" w:rsidRPr="009A2045" w:rsidRDefault="007C0F2A" w:rsidP="009A2045">
            <w:pPr>
              <w:widowControl w:val="0"/>
              <w:spacing w:after="0" w:line="276" w:lineRule="auto"/>
            </w:pPr>
          </w:p>
        </w:tc>
        <w:tc>
          <w:tcPr>
            <w:tcW w:w="4050" w:type="dxa"/>
            <w:vMerge w:val="restart"/>
            <w:vAlign w:val="center"/>
          </w:tcPr>
          <w:p w14:paraId="5CAE9CAB" w14:textId="77777777" w:rsidR="007C0F2A" w:rsidRPr="009A2045" w:rsidRDefault="007C0F2A" w:rsidP="009A2045">
            <w:pPr>
              <w:spacing w:after="0" w:line="240" w:lineRule="auto"/>
            </w:pPr>
          </w:p>
          <w:p w14:paraId="31BD310D" w14:textId="77777777" w:rsidR="007C0F2A" w:rsidRPr="009A2045" w:rsidRDefault="007C0F2A" w:rsidP="009A2045">
            <w:pPr>
              <w:spacing w:after="0" w:line="240" w:lineRule="auto"/>
            </w:pPr>
          </w:p>
        </w:tc>
      </w:tr>
      <w:tr w:rsidR="007C0F2A" w:rsidRPr="009A2045" w14:paraId="1EF0B448" w14:textId="77777777" w:rsidTr="007C0F2A">
        <w:tc>
          <w:tcPr>
            <w:tcW w:w="2009" w:type="dxa"/>
            <w:vAlign w:val="center"/>
          </w:tcPr>
          <w:p w14:paraId="699D30D7" w14:textId="66342E43" w:rsidR="007C0F2A" w:rsidRPr="009A2045" w:rsidRDefault="007C0F2A" w:rsidP="009A2045">
            <w:pPr>
              <w:spacing w:after="0" w:line="240" w:lineRule="auto"/>
            </w:pPr>
            <w:r w:rsidRPr="009A2045">
              <w:rPr>
                <w:sz w:val="20"/>
                <w:szCs w:val="20"/>
              </w:rPr>
              <w:t>Terrestrial invertebrates</w:t>
            </w:r>
          </w:p>
        </w:tc>
        <w:tc>
          <w:tcPr>
            <w:tcW w:w="3589" w:type="dxa"/>
            <w:vMerge/>
            <w:vAlign w:val="center"/>
          </w:tcPr>
          <w:p w14:paraId="4E67876A" w14:textId="77777777" w:rsidR="007C0F2A" w:rsidRPr="009A2045" w:rsidRDefault="007C0F2A" w:rsidP="009A2045">
            <w:pPr>
              <w:widowControl w:val="0"/>
              <w:spacing w:after="0" w:line="276" w:lineRule="auto"/>
            </w:pPr>
          </w:p>
        </w:tc>
        <w:tc>
          <w:tcPr>
            <w:tcW w:w="4050" w:type="dxa"/>
            <w:vAlign w:val="center"/>
          </w:tcPr>
          <w:p w14:paraId="74C2C924" w14:textId="77777777" w:rsidR="007C0F2A" w:rsidRPr="009A2045" w:rsidRDefault="007C0F2A" w:rsidP="009A2045">
            <w:pPr>
              <w:spacing w:after="0" w:line="240" w:lineRule="auto"/>
            </w:pPr>
          </w:p>
          <w:p w14:paraId="6FAB6FE6" w14:textId="77777777" w:rsidR="007C0F2A" w:rsidRPr="009A2045" w:rsidRDefault="007C0F2A" w:rsidP="009A2045">
            <w:pPr>
              <w:spacing w:after="0" w:line="240" w:lineRule="auto"/>
            </w:pPr>
          </w:p>
        </w:tc>
      </w:tr>
      <w:tr w:rsidR="007C0F2A" w:rsidRPr="009A2045" w14:paraId="695CF068" w14:textId="77777777" w:rsidTr="007C0F2A">
        <w:tc>
          <w:tcPr>
            <w:tcW w:w="2009" w:type="dxa"/>
            <w:vAlign w:val="center"/>
          </w:tcPr>
          <w:p w14:paraId="1340ED06" w14:textId="77777777" w:rsidR="007C0F2A" w:rsidRPr="009A2045" w:rsidRDefault="007C0F2A" w:rsidP="009A2045">
            <w:pPr>
              <w:spacing w:after="0" w:line="240" w:lineRule="auto"/>
            </w:pPr>
            <w:r w:rsidRPr="009A2045">
              <w:rPr>
                <w:sz w:val="20"/>
                <w:szCs w:val="20"/>
              </w:rPr>
              <w:t>Aquatic plants</w:t>
            </w:r>
          </w:p>
        </w:tc>
        <w:tc>
          <w:tcPr>
            <w:tcW w:w="3589" w:type="dxa"/>
            <w:vMerge w:val="restart"/>
            <w:vAlign w:val="center"/>
          </w:tcPr>
          <w:p w14:paraId="3CD1C1DE" w14:textId="77777777" w:rsidR="007C0F2A" w:rsidRPr="009A2045" w:rsidRDefault="007C0F2A" w:rsidP="009A2045">
            <w:pPr>
              <w:spacing w:after="0" w:line="240" w:lineRule="auto"/>
            </w:pPr>
            <w:r w:rsidRPr="009A2045">
              <w:rPr>
                <w:sz w:val="20"/>
                <w:szCs w:val="20"/>
              </w:rPr>
              <w:t>Not Applicable</w:t>
            </w:r>
          </w:p>
        </w:tc>
        <w:tc>
          <w:tcPr>
            <w:tcW w:w="4050" w:type="dxa"/>
            <w:vMerge w:val="restart"/>
            <w:vAlign w:val="center"/>
          </w:tcPr>
          <w:p w14:paraId="56072E73" w14:textId="77777777" w:rsidR="007C0F2A" w:rsidRPr="009A2045" w:rsidRDefault="007C0F2A" w:rsidP="009A2045">
            <w:pPr>
              <w:spacing w:after="0" w:line="240" w:lineRule="auto"/>
            </w:pPr>
            <w:r w:rsidRPr="009A2045">
              <w:rPr>
                <w:sz w:val="20"/>
                <w:szCs w:val="20"/>
                <w:u w:val="single"/>
              </w:rPr>
              <w:t>Aquatic plants</w:t>
            </w:r>
            <w:r w:rsidRPr="009A2045">
              <w:rPr>
                <w:sz w:val="20"/>
                <w:szCs w:val="20"/>
              </w:rPr>
              <w:t xml:space="preserve">: </w:t>
            </w:r>
          </w:p>
          <w:p w14:paraId="6C8DD295" w14:textId="5D4DD7A1" w:rsidR="007C0F2A" w:rsidRPr="009A2045" w:rsidRDefault="007C0F2A" w:rsidP="009A2045">
            <w:pPr>
              <w:spacing w:after="0" w:line="240" w:lineRule="auto"/>
            </w:pPr>
            <w:r w:rsidRPr="009A2045">
              <w:rPr>
                <w:i/>
                <w:sz w:val="20"/>
                <w:szCs w:val="20"/>
              </w:rPr>
              <w:t>Non-vascular</w:t>
            </w:r>
            <w:r w:rsidRPr="009A2045">
              <w:rPr>
                <w:sz w:val="20"/>
                <w:szCs w:val="20"/>
              </w:rPr>
              <w:t xml:space="preserve"> - Concentration equal to the lowest value among the available NOAEC and EC</w:t>
            </w:r>
            <w:r w:rsidRPr="009A2045">
              <w:rPr>
                <w:sz w:val="20"/>
                <w:szCs w:val="20"/>
                <w:vertAlign w:val="subscript"/>
              </w:rPr>
              <w:t xml:space="preserve">05 </w:t>
            </w:r>
            <w:r w:rsidRPr="009A2045">
              <w:rPr>
                <w:sz w:val="20"/>
                <w:szCs w:val="20"/>
              </w:rPr>
              <w:t>values for non-vascular aquatic plants</w:t>
            </w:r>
            <w:r w:rsidR="000D1558" w:rsidRPr="009A2045">
              <w:rPr>
                <w:sz w:val="20"/>
                <w:szCs w:val="20"/>
              </w:rPr>
              <w:t>.</w:t>
            </w:r>
          </w:p>
          <w:p w14:paraId="17D4920C" w14:textId="0E5611A9" w:rsidR="007C0F2A" w:rsidRPr="009A2045" w:rsidRDefault="007C0F2A" w:rsidP="009A2045">
            <w:pPr>
              <w:spacing w:after="0" w:line="240" w:lineRule="auto"/>
            </w:pPr>
            <w:r w:rsidRPr="009A2045">
              <w:rPr>
                <w:i/>
                <w:sz w:val="20"/>
                <w:szCs w:val="20"/>
              </w:rPr>
              <w:t>Vascular</w:t>
            </w:r>
            <w:r w:rsidRPr="009A2045">
              <w:rPr>
                <w:sz w:val="20"/>
                <w:szCs w:val="20"/>
              </w:rPr>
              <w:t xml:space="preserve"> - Concentration equal to the lowest value among the available NOAEC and EC</w:t>
            </w:r>
            <w:r w:rsidRPr="009A2045">
              <w:rPr>
                <w:sz w:val="20"/>
                <w:szCs w:val="20"/>
                <w:vertAlign w:val="subscript"/>
              </w:rPr>
              <w:t>05</w:t>
            </w:r>
            <w:r w:rsidRPr="009A2045">
              <w:rPr>
                <w:sz w:val="20"/>
                <w:szCs w:val="20"/>
              </w:rPr>
              <w:t xml:space="preserve"> values for vascular aquatic plants</w:t>
            </w:r>
            <w:r w:rsidR="000D1558" w:rsidRPr="009A2045">
              <w:rPr>
                <w:sz w:val="20"/>
                <w:szCs w:val="20"/>
              </w:rPr>
              <w:t>.</w:t>
            </w:r>
          </w:p>
          <w:p w14:paraId="50F389D6" w14:textId="77777777" w:rsidR="007C0F2A" w:rsidRPr="009A2045" w:rsidRDefault="007C0F2A" w:rsidP="009A2045">
            <w:pPr>
              <w:spacing w:after="0" w:line="240" w:lineRule="auto"/>
            </w:pPr>
          </w:p>
          <w:p w14:paraId="29FBA86A" w14:textId="16F02F87" w:rsidR="007C0F2A" w:rsidRPr="009A2045" w:rsidRDefault="007C0F2A" w:rsidP="009A2045">
            <w:pPr>
              <w:spacing w:after="0" w:line="240" w:lineRule="auto"/>
            </w:pPr>
            <w:r w:rsidRPr="009A2045">
              <w:rPr>
                <w:sz w:val="20"/>
                <w:szCs w:val="20"/>
                <w:u w:val="single"/>
              </w:rPr>
              <w:t>Terrestrial and wetland plants</w:t>
            </w:r>
            <w:r w:rsidRPr="009A2045">
              <w:rPr>
                <w:sz w:val="20"/>
                <w:szCs w:val="20"/>
              </w:rPr>
              <w:t xml:space="preserve">:  </w:t>
            </w:r>
            <w:r w:rsidRPr="009A2045">
              <w:rPr>
                <w:i/>
                <w:sz w:val="20"/>
                <w:szCs w:val="20"/>
              </w:rPr>
              <w:t>Monocots</w:t>
            </w:r>
            <w:r w:rsidRPr="009A2045">
              <w:rPr>
                <w:sz w:val="20"/>
                <w:szCs w:val="20"/>
              </w:rPr>
              <w:t xml:space="preserve"> - Concentration equal to the lowest value among the </w:t>
            </w:r>
            <w:proofErr w:type="gramStart"/>
            <w:r w:rsidRPr="009A2045">
              <w:rPr>
                <w:sz w:val="20"/>
                <w:szCs w:val="20"/>
              </w:rPr>
              <w:t>monocot  NOAEC</w:t>
            </w:r>
            <w:proofErr w:type="gramEnd"/>
            <w:r w:rsidRPr="009A2045">
              <w:rPr>
                <w:sz w:val="20"/>
                <w:szCs w:val="20"/>
              </w:rPr>
              <w:t xml:space="preserve"> and EC</w:t>
            </w:r>
            <w:r w:rsidRPr="009A2045">
              <w:rPr>
                <w:sz w:val="20"/>
                <w:szCs w:val="20"/>
                <w:vertAlign w:val="subscript"/>
              </w:rPr>
              <w:t>05</w:t>
            </w:r>
            <w:r w:rsidRPr="009A2045">
              <w:rPr>
                <w:sz w:val="20"/>
                <w:szCs w:val="20"/>
              </w:rPr>
              <w:t xml:space="preserve"> values from the available seedling emergence and vegetative vigor studies</w:t>
            </w:r>
            <w:r w:rsidR="000D1558" w:rsidRPr="009A2045">
              <w:rPr>
                <w:sz w:val="20"/>
                <w:szCs w:val="20"/>
              </w:rPr>
              <w:t>.</w:t>
            </w:r>
          </w:p>
          <w:p w14:paraId="3678C3E6" w14:textId="175C0B30" w:rsidR="007C0F2A" w:rsidRPr="009A2045" w:rsidRDefault="007C0F2A" w:rsidP="009A2045">
            <w:pPr>
              <w:spacing w:after="0" w:line="240" w:lineRule="auto"/>
            </w:pPr>
            <w:r w:rsidRPr="009A2045">
              <w:rPr>
                <w:i/>
                <w:sz w:val="20"/>
                <w:szCs w:val="20"/>
              </w:rPr>
              <w:t>Dicots</w:t>
            </w:r>
            <w:r w:rsidRPr="009A2045">
              <w:rPr>
                <w:sz w:val="20"/>
                <w:szCs w:val="20"/>
              </w:rPr>
              <w:t xml:space="preserve"> - Concentration equal to the lowest of the </w:t>
            </w:r>
            <w:proofErr w:type="gramStart"/>
            <w:r w:rsidRPr="009A2045">
              <w:rPr>
                <w:sz w:val="20"/>
                <w:szCs w:val="20"/>
              </w:rPr>
              <w:t>dicot  NOAEC</w:t>
            </w:r>
            <w:proofErr w:type="gramEnd"/>
            <w:r w:rsidRPr="009A2045">
              <w:rPr>
                <w:sz w:val="20"/>
                <w:szCs w:val="20"/>
              </w:rPr>
              <w:t xml:space="preserve"> and EC</w:t>
            </w:r>
            <w:r w:rsidRPr="009A2045">
              <w:rPr>
                <w:sz w:val="20"/>
                <w:szCs w:val="20"/>
                <w:vertAlign w:val="subscript"/>
              </w:rPr>
              <w:t>05</w:t>
            </w:r>
            <w:r w:rsidRPr="009A2045">
              <w:rPr>
                <w:sz w:val="20"/>
                <w:szCs w:val="20"/>
              </w:rPr>
              <w:t xml:space="preserve"> values from the available seedling emergence and vegetative vigor studies</w:t>
            </w:r>
            <w:r w:rsidR="000D1558" w:rsidRPr="009A2045">
              <w:rPr>
                <w:sz w:val="20"/>
                <w:szCs w:val="20"/>
              </w:rPr>
              <w:t>.</w:t>
            </w:r>
          </w:p>
          <w:p w14:paraId="52001CC7" w14:textId="4125EC4E" w:rsidR="007C0F2A" w:rsidRPr="009A2045" w:rsidRDefault="007C0F2A" w:rsidP="009A2045">
            <w:pPr>
              <w:spacing w:after="0" w:line="240" w:lineRule="auto"/>
            </w:pPr>
            <w:r w:rsidRPr="009A2045">
              <w:rPr>
                <w:i/>
                <w:sz w:val="20"/>
                <w:szCs w:val="20"/>
              </w:rPr>
              <w:t>Non-angiosperm</w:t>
            </w:r>
            <w:r w:rsidRPr="009A2045">
              <w:rPr>
                <w:sz w:val="20"/>
                <w:szCs w:val="20"/>
              </w:rPr>
              <w:t xml:space="preserve"> - Concentration equal to the lowest of the NOAEC and EC</w:t>
            </w:r>
            <w:r w:rsidRPr="009A2045">
              <w:rPr>
                <w:sz w:val="20"/>
                <w:szCs w:val="20"/>
                <w:vertAlign w:val="subscript"/>
              </w:rPr>
              <w:t>05</w:t>
            </w:r>
            <w:r w:rsidRPr="009A2045">
              <w:rPr>
                <w:sz w:val="20"/>
                <w:szCs w:val="20"/>
              </w:rPr>
              <w:t xml:space="preserve"> values from the available seedling emergence and vegetative vigor studies</w:t>
            </w:r>
            <w:r w:rsidR="000D1558" w:rsidRPr="009A2045">
              <w:rPr>
                <w:sz w:val="20"/>
                <w:szCs w:val="20"/>
              </w:rPr>
              <w:t>.</w:t>
            </w:r>
          </w:p>
        </w:tc>
      </w:tr>
      <w:tr w:rsidR="007C0F2A" w:rsidRPr="009A2045" w14:paraId="4191B22B" w14:textId="77777777" w:rsidTr="007C0F2A">
        <w:tc>
          <w:tcPr>
            <w:tcW w:w="2009" w:type="dxa"/>
            <w:vAlign w:val="center"/>
          </w:tcPr>
          <w:p w14:paraId="2D7FB820" w14:textId="77777777" w:rsidR="007C0F2A" w:rsidRPr="009A2045" w:rsidRDefault="007C0F2A" w:rsidP="009A2045">
            <w:pPr>
              <w:spacing w:after="0" w:line="240" w:lineRule="auto"/>
            </w:pPr>
            <w:r w:rsidRPr="009A2045">
              <w:rPr>
                <w:sz w:val="20"/>
                <w:szCs w:val="20"/>
              </w:rPr>
              <w:t>Terrestrial plants</w:t>
            </w:r>
          </w:p>
        </w:tc>
        <w:tc>
          <w:tcPr>
            <w:tcW w:w="3589" w:type="dxa"/>
            <w:vMerge/>
            <w:vAlign w:val="center"/>
          </w:tcPr>
          <w:p w14:paraId="17C75E26" w14:textId="77777777" w:rsidR="007C0F2A" w:rsidRPr="009A2045" w:rsidRDefault="007C0F2A" w:rsidP="009A2045">
            <w:pPr>
              <w:widowControl w:val="0"/>
              <w:spacing w:after="0" w:line="276" w:lineRule="auto"/>
            </w:pPr>
          </w:p>
        </w:tc>
        <w:tc>
          <w:tcPr>
            <w:tcW w:w="4050" w:type="dxa"/>
            <w:vMerge w:val="restart"/>
            <w:vAlign w:val="center"/>
          </w:tcPr>
          <w:p w14:paraId="567385F6" w14:textId="77777777" w:rsidR="007C0F2A" w:rsidRPr="009A2045" w:rsidRDefault="007C0F2A" w:rsidP="009A2045">
            <w:pPr>
              <w:spacing w:after="0" w:line="240" w:lineRule="auto"/>
            </w:pPr>
          </w:p>
          <w:p w14:paraId="28E70403" w14:textId="77777777" w:rsidR="007C0F2A" w:rsidRPr="009A2045" w:rsidRDefault="007C0F2A" w:rsidP="009A2045">
            <w:pPr>
              <w:spacing w:after="0" w:line="240" w:lineRule="auto"/>
            </w:pPr>
          </w:p>
        </w:tc>
      </w:tr>
      <w:tr w:rsidR="007C0F2A" w:rsidRPr="009A2045" w14:paraId="740CDCC5" w14:textId="77777777" w:rsidTr="007C0F2A">
        <w:tc>
          <w:tcPr>
            <w:tcW w:w="2009" w:type="dxa"/>
            <w:vAlign w:val="center"/>
          </w:tcPr>
          <w:p w14:paraId="0D6CF59D" w14:textId="77777777" w:rsidR="007C0F2A" w:rsidRPr="009A2045" w:rsidRDefault="007C0F2A" w:rsidP="009A2045">
            <w:pPr>
              <w:spacing w:after="0" w:line="240" w:lineRule="auto"/>
            </w:pPr>
            <w:r w:rsidRPr="009A2045">
              <w:rPr>
                <w:sz w:val="20"/>
                <w:szCs w:val="20"/>
              </w:rPr>
              <w:t>Wetland plants</w:t>
            </w:r>
          </w:p>
        </w:tc>
        <w:tc>
          <w:tcPr>
            <w:tcW w:w="3589" w:type="dxa"/>
            <w:vMerge/>
            <w:vAlign w:val="center"/>
          </w:tcPr>
          <w:p w14:paraId="28174148" w14:textId="77777777" w:rsidR="007C0F2A" w:rsidRPr="009A2045" w:rsidRDefault="007C0F2A" w:rsidP="009A2045">
            <w:pPr>
              <w:widowControl w:val="0"/>
              <w:spacing w:after="0" w:line="276" w:lineRule="auto"/>
            </w:pPr>
          </w:p>
        </w:tc>
        <w:tc>
          <w:tcPr>
            <w:tcW w:w="4050" w:type="dxa"/>
            <w:vAlign w:val="center"/>
          </w:tcPr>
          <w:p w14:paraId="1F30384E" w14:textId="77777777" w:rsidR="007C0F2A" w:rsidRPr="009A2045" w:rsidRDefault="007C0F2A" w:rsidP="009A2045">
            <w:pPr>
              <w:spacing w:after="0" w:line="240" w:lineRule="auto"/>
            </w:pPr>
          </w:p>
          <w:p w14:paraId="17ECD750" w14:textId="77777777" w:rsidR="007C0F2A" w:rsidRPr="009A2045" w:rsidRDefault="007C0F2A" w:rsidP="009A2045">
            <w:pPr>
              <w:spacing w:after="0" w:line="240" w:lineRule="auto"/>
            </w:pPr>
          </w:p>
        </w:tc>
      </w:tr>
    </w:tbl>
    <w:p w14:paraId="2C7E6110" w14:textId="77777777" w:rsidR="007C0F2A" w:rsidRPr="009A2045" w:rsidRDefault="007C0F2A" w:rsidP="009A2045">
      <w:pPr>
        <w:spacing w:after="0" w:line="240" w:lineRule="auto"/>
      </w:pPr>
      <w:r w:rsidRPr="009A2045">
        <w:rPr>
          <w:sz w:val="20"/>
          <w:szCs w:val="20"/>
          <w:vertAlign w:val="superscript"/>
        </w:rPr>
        <w:t>1</w:t>
      </w:r>
      <w:r w:rsidRPr="009A2045">
        <w:rPr>
          <w:sz w:val="20"/>
          <w:szCs w:val="20"/>
        </w:rPr>
        <w:t>Lowest LD</w:t>
      </w:r>
      <w:r w:rsidRPr="009A2045">
        <w:rPr>
          <w:sz w:val="20"/>
          <w:szCs w:val="20"/>
          <w:vertAlign w:val="subscript"/>
        </w:rPr>
        <w:t>50</w:t>
      </w:r>
      <w:r w:rsidRPr="009A2045">
        <w:rPr>
          <w:sz w:val="20"/>
          <w:szCs w:val="20"/>
        </w:rPr>
        <w:t xml:space="preserve"> or NOAEL/LOAEL for birds and mammals determined by normalizing results to 100 g body weight for birds and 15 g body weight for mammals prior to establishing threshold values.</w:t>
      </w:r>
    </w:p>
    <w:p w14:paraId="41048A23" w14:textId="77777777" w:rsidR="00BB2967" w:rsidRPr="009A2045" w:rsidRDefault="00BB2967" w:rsidP="009A2045">
      <w:pPr>
        <w:spacing w:after="0" w:line="240" w:lineRule="auto"/>
      </w:pPr>
      <w:r w:rsidRPr="009A2045">
        <w:rPr>
          <w:sz w:val="20"/>
          <w:szCs w:val="20"/>
          <w:vertAlign w:val="superscript"/>
        </w:rPr>
        <w:t>2</w:t>
      </w:r>
      <w:r w:rsidRPr="009A2045">
        <w:rPr>
          <w:sz w:val="20"/>
          <w:szCs w:val="20"/>
        </w:rPr>
        <w:t xml:space="preserve"> SSD = Species Sensitivity Distribution; the method used to derive the SSDs is described in </w:t>
      </w:r>
      <w:r w:rsidRPr="009A2045">
        <w:rPr>
          <w:b/>
          <w:sz w:val="20"/>
          <w:szCs w:val="20"/>
        </w:rPr>
        <w:t>ATTACHMENT 1-5</w:t>
      </w:r>
      <w:r w:rsidRPr="009A2045">
        <w:rPr>
          <w:sz w:val="20"/>
          <w:szCs w:val="20"/>
        </w:rPr>
        <w:t>.</w:t>
      </w:r>
    </w:p>
    <w:p w14:paraId="4ABF13EE" w14:textId="77777777" w:rsidR="007C0F2A" w:rsidRPr="009A2045" w:rsidRDefault="007C0F2A" w:rsidP="009A2045">
      <w:pPr>
        <w:spacing w:after="0" w:line="240" w:lineRule="auto"/>
      </w:pPr>
    </w:p>
    <w:p w14:paraId="2059D83F" w14:textId="71C89D11" w:rsidR="007C0F2A" w:rsidRPr="009A2045" w:rsidRDefault="007C0F2A" w:rsidP="009A2045">
      <w:pPr>
        <w:pStyle w:val="Heading5"/>
      </w:pPr>
      <w:bookmarkStart w:id="52" w:name="_Toc436043037"/>
      <w:r w:rsidRPr="009A2045">
        <w:t>1.4.1.1</w:t>
      </w:r>
      <w:proofErr w:type="gramStart"/>
      <w:r w:rsidRPr="009A2045">
        <w:t>.c</w:t>
      </w:r>
      <w:proofErr w:type="gramEnd"/>
      <w:r w:rsidRPr="009A2045">
        <w:t>.</w:t>
      </w:r>
      <w:r w:rsidRPr="009A2045">
        <w:tab/>
        <w:t xml:space="preserve">Off-site </w:t>
      </w:r>
      <w:r w:rsidR="0054061D" w:rsidRPr="009A2045">
        <w:t>T</w:t>
      </w:r>
      <w:r w:rsidRPr="009A2045">
        <w:t xml:space="preserve">ransport </w:t>
      </w:r>
      <w:r w:rsidR="0054061D" w:rsidRPr="009A2045">
        <w:t>A</w:t>
      </w:r>
      <w:r w:rsidRPr="009A2045">
        <w:t>rea</w:t>
      </w:r>
      <w:bookmarkEnd w:id="52"/>
    </w:p>
    <w:p w14:paraId="1F931148" w14:textId="77777777" w:rsidR="001D557C" w:rsidRPr="009A2045" w:rsidRDefault="001D557C" w:rsidP="009A2045"/>
    <w:p w14:paraId="31C9AC40" w14:textId="4E55DB77" w:rsidR="007C0F2A" w:rsidRPr="009A2045" w:rsidRDefault="007C0F2A" w:rsidP="009A2045">
      <w:pPr>
        <w:pStyle w:val="Heading6"/>
      </w:pPr>
      <w:bookmarkStart w:id="53" w:name="_Toc436043038"/>
      <w:r w:rsidRPr="009A2045">
        <w:lastRenderedPageBreak/>
        <w:t>1.4.1.1</w:t>
      </w:r>
      <w:proofErr w:type="gramStart"/>
      <w:r w:rsidRPr="009A2045">
        <w:t>.c.1</w:t>
      </w:r>
      <w:proofErr w:type="gramEnd"/>
      <w:r w:rsidRPr="009A2045">
        <w:t xml:space="preserve">   </w:t>
      </w:r>
      <w:r w:rsidR="003B0094" w:rsidRPr="009A2045">
        <w:t xml:space="preserve"> </w:t>
      </w:r>
      <w:r w:rsidRPr="009A2045">
        <w:t xml:space="preserve">Aquatic </w:t>
      </w:r>
      <w:r w:rsidR="0054061D" w:rsidRPr="009A2045">
        <w:t>M</w:t>
      </w:r>
      <w:r w:rsidRPr="009A2045">
        <w:t>odeling</w:t>
      </w:r>
      <w:bookmarkEnd w:id="53"/>
      <w:r w:rsidRPr="009A2045">
        <w:t xml:space="preserve"> </w:t>
      </w:r>
    </w:p>
    <w:p w14:paraId="20E1D20B" w14:textId="77777777" w:rsidR="007C0F2A" w:rsidRPr="009A2045" w:rsidRDefault="007C0F2A" w:rsidP="009A2045">
      <w:pPr>
        <w:spacing w:after="0" w:line="240" w:lineRule="auto"/>
      </w:pPr>
    </w:p>
    <w:p w14:paraId="1243ABB8" w14:textId="38D0E6FA" w:rsidR="007C0F2A" w:rsidRPr="009A2045" w:rsidRDefault="007C0F2A" w:rsidP="009A2045">
      <w:r w:rsidRPr="009A2045">
        <w:t xml:space="preserve">The extent to which exposure concentrations in surface water and benthic sediment pore water may affect listed aquatic animals and plants downstream from the chemical’s use footprint are simulated using </w:t>
      </w:r>
      <w:r w:rsidRPr="004A2227">
        <w:t xml:space="preserve">a </w:t>
      </w:r>
      <w:r w:rsidR="004A2227" w:rsidRPr="004A2227">
        <w:t>Pesticide Root Zone Model (PRZM)</w:t>
      </w:r>
      <w:r w:rsidR="00877923">
        <w:rPr>
          <w:rStyle w:val="FootnoteReference"/>
        </w:rPr>
        <w:footnoteReference w:id="11"/>
      </w:r>
      <w:r w:rsidR="004A2227" w:rsidRPr="004A2227">
        <w:t xml:space="preserve"> and Variable Volume Water Model (VVWM)</w:t>
      </w:r>
      <w:r w:rsidR="00877923">
        <w:rPr>
          <w:rStyle w:val="FootnoteReference"/>
        </w:rPr>
        <w:footnoteReference w:id="12"/>
      </w:r>
      <w:r w:rsidR="004A2227" w:rsidRPr="004A2227">
        <w:t>, using the Pesticide Water Calculator shell (PWC, December 2015)</w:t>
      </w:r>
      <w:r w:rsidRPr="004A2227">
        <w:rPr>
          <w:rStyle w:val="FootnoteReference"/>
        </w:rPr>
        <w:footnoteReference w:id="13"/>
      </w:r>
      <w:r w:rsidRPr="004A2227">
        <w:t>, which</w:t>
      </w:r>
      <w:r w:rsidRPr="009A2045">
        <w:t xml:space="preserve"> is used to generate estimated environmental concentrations (EECs) that may occur in flowing water bodies, and EPA’s Downstream Dilution tool.   The SWCC is used to simulate pesticide runoff and spray drift from an agricultural field to an adjacent water body following applications to crops.  The </w:t>
      </w:r>
      <w:r w:rsidRPr="009A2045">
        <w:rPr>
          <w:color w:val="212121"/>
        </w:rPr>
        <w:t xml:space="preserve">Tier II Pesticides in Flooded Applications Model (PFAM v1.104) is used to estimate aquatic exposure for flooded pesticide applications.  PFAM simulates pesticide transformation on and dissipation from flooded agricultural sites, such as cranberry bogs or rice, following pesticide use. </w:t>
      </w:r>
      <w:r w:rsidRPr="009A2045">
        <w:t>To further aid in this effort, the Services assigned aquatic and aquatic-associated listed species into 10 generic habitat bins, nine of which are aquatic</w:t>
      </w:r>
      <w:r w:rsidRPr="009A2045">
        <w:rPr>
          <w:vertAlign w:val="superscript"/>
        </w:rPr>
        <w:footnoteReference w:id="14"/>
      </w:r>
      <w:r w:rsidRPr="009A2045">
        <w:t xml:space="preserve"> (for details on the aquatic bins modeled, see </w:t>
      </w:r>
      <w:r w:rsidR="00CD352F" w:rsidRPr="009A2045">
        <w:rPr>
          <w:b/>
        </w:rPr>
        <w:t>Section 1.4.2.2.1.1</w:t>
      </w:r>
      <w:r w:rsidRPr="009A2045">
        <w:t xml:space="preserve">, below).  </w:t>
      </w:r>
    </w:p>
    <w:p w14:paraId="491F5C67" w14:textId="77777777" w:rsidR="007C0F2A" w:rsidRPr="009A2045" w:rsidRDefault="007C0F2A" w:rsidP="009A2045">
      <w:pPr>
        <w:spacing w:after="0" w:line="240" w:lineRule="auto"/>
      </w:pPr>
      <w:r w:rsidRPr="009A2045">
        <w:t>Using the SWCC, EECs for the different HUC 2 regions (there are 20 HUC 2 regions in the United States) are estimated using the maximum permitted label application rates, the ESA scenario for developed areas (</w:t>
      </w:r>
      <w:r w:rsidRPr="009A2045">
        <w:rPr>
          <w:i/>
        </w:rPr>
        <w:t>i.e</w:t>
      </w:r>
      <w:r w:rsidRPr="009A2045">
        <w:t>, the scenario for rights-of-way), the HUC 2 regionally-specific watershed dimensions, and the low flow aquatic bin (Bin 2, flow rate = 0.001 m</w:t>
      </w:r>
      <w:r w:rsidRPr="009A2045">
        <w:rPr>
          <w:vertAlign w:val="superscript"/>
        </w:rPr>
        <w:t>3</w:t>
      </w:r>
      <w:r w:rsidRPr="009A2045">
        <w:t xml:space="preserve">/s, width = 2 m, and depth = 0.1 m).  The highest  1-in-15 year daily maximum EEC from the modeling runs, along with the lowest aquatic effects endpoint, </w:t>
      </w:r>
      <w:r w:rsidRPr="009A2045">
        <w:rPr>
          <w:i/>
        </w:rPr>
        <w:t>i.e</w:t>
      </w:r>
      <w:r w:rsidRPr="009A2045">
        <w:t>. threshold, is then used with the downstream dilution tool to estimate the distance downstream where concentrations are high enough to cause potential effects.  The 1-in-15 year EEC is the maximum annual, daily aquatic concentration, developed from the 30-year distribution of maximum annual daily environmental concentrations, which, on average, will be exceeded only once every 15 years.  It is important to note that for any single 15-year period, the 1-in-15 year value may be exceeded more than once, or not at all.  The downstream dilution tool is used to evaluate a raster file (</w:t>
      </w:r>
      <w:r w:rsidRPr="009A2045">
        <w:rPr>
          <w:i/>
        </w:rPr>
        <w:t>e.g.</w:t>
      </w:r>
      <w:r w:rsidRPr="009A2045">
        <w:t>, the binary land cover rasters) to determine the percent use area, based on a chemical’s use footprint, for each HUC 12 watershed in the United States, then agglomerates all upstream watersheds.  For the binary land cover raster, the program counts all of the 'yes' and 'no' pixels that fall within a given HUC-12 watershed based on the presence/absence of uses corresponding to the land cover, and sums all of the 'yes' and 'no' pixels in any upstream HUC-12s, to give a percent land cover for any given HUC-12 pour point (</w:t>
      </w:r>
      <w:r w:rsidRPr="009A2045">
        <w:rPr>
          <w:i/>
        </w:rPr>
        <w:t>e.g.</w:t>
      </w:r>
      <w:r w:rsidRPr="009A2045">
        <w:t xml:space="preserve">, end of stream reach which “pours” into the next HUC 12).  The pour point is identified using the NHDPlus data in conjunction with the land cover datasets and the boundaries of the HUC 12 watershed. </w:t>
      </w:r>
    </w:p>
    <w:p w14:paraId="5328BBDA" w14:textId="77777777" w:rsidR="007C0F2A" w:rsidRPr="009A2045" w:rsidRDefault="007C0F2A" w:rsidP="009A2045">
      <w:pPr>
        <w:spacing w:after="0" w:line="240" w:lineRule="auto"/>
      </w:pPr>
    </w:p>
    <w:p w14:paraId="5CBB6B44" w14:textId="542EE5D8" w:rsidR="007C0F2A" w:rsidRPr="009A2045" w:rsidRDefault="007C0F2A" w:rsidP="009A2045">
      <w:pPr>
        <w:spacing w:after="0" w:line="240" w:lineRule="auto"/>
      </w:pPr>
      <w:r w:rsidRPr="009A2045">
        <w:lastRenderedPageBreak/>
        <w:t>The extent to which spray drift exposure concentrations in surface water and benthic sediment pore water downwind from the chemical’s use footprint may affect listed aquatic animals and plants is simulated using the AgDRIFT model (version 2.1.1, December, 2011). For aerial applications, the AgDRIFT model encompasses three tiers, starting with Tier 1, which uses basic information on drop size distribution, and progresses to Tier 3, which uses more detailed application information (</w:t>
      </w:r>
      <w:r w:rsidRPr="009A2045">
        <w:rPr>
          <w:i/>
        </w:rPr>
        <w:t>e.g.</w:t>
      </w:r>
      <w:r w:rsidRPr="009A2045">
        <w:t>, atmospheric and meteorological conditions, release height, aircraft parameters) and the AGDISP algorithms, to estimate offsite deposition.  For ground applications, AgDRIFT only allows for the use of simple deposition curves, so there is only one tier of modeling.  The distance to the threshold concentration is estimated using AgDRIFT and is based on the smallest static aquatic bin (Bin 5, width = 1 m, length = 1 m, depth = 0.1 m) and the maximum, single application rate. For aerial applications (except for mosquito adulticide applications), initial analysis will be conducted using the Tier 1 module of AgDRIFT.  If the module generates an “out of range” value, then the Tier 3 module is explored.  If the 2,500 foot limit is exceeded in the Tier 3 module, then a distance of 2,500 feet is reported.  For ground or airblast applications, the Tier 1 module of AgDRIFT is used.  If the 997 foot limit of the Tier 1 module is exceeded, then the distance of 1,000 feet is reported.  The 2,500 ft and 1,000 ft distance for air and ground applications, respectively, are based on the limits of the spray drift model.  In cases where the limit of the model is exceeded, the ratio of the concentration at the limiting distance to the threshold is estimated and reported.  Additionally, extrapolation beyond the limits of the spray drift model</w:t>
      </w:r>
      <w:r w:rsidR="006678DD" w:rsidRPr="009A2045">
        <w:t>,</w:t>
      </w:r>
      <w:r w:rsidRPr="009A2045">
        <w:t xml:space="preserve"> which are scientifically defensible</w:t>
      </w:r>
      <w:proofErr w:type="gramStart"/>
      <w:r w:rsidR="006678DD" w:rsidRPr="009A2045">
        <w:t>,,</w:t>
      </w:r>
      <w:proofErr w:type="gramEnd"/>
      <w:r w:rsidRPr="009A2045">
        <w:t xml:space="preserve"> may be explored.</w:t>
      </w:r>
    </w:p>
    <w:p w14:paraId="1D0EFE13" w14:textId="77777777" w:rsidR="007C0F2A" w:rsidRPr="009A2045" w:rsidRDefault="007C0F2A" w:rsidP="009A2045">
      <w:pPr>
        <w:spacing w:after="0" w:line="240" w:lineRule="auto"/>
      </w:pPr>
    </w:p>
    <w:p w14:paraId="6335E7BB" w14:textId="77777777" w:rsidR="007C0F2A" w:rsidRPr="009A2045" w:rsidRDefault="007C0F2A" w:rsidP="009A2045">
      <w:pPr>
        <w:spacing w:after="0" w:line="240" w:lineRule="auto"/>
      </w:pPr>
      <w:r w:rsidRPr="009A2045">
        <w:t>For mosquito adulticide applications, the AGDISP model (version 8.26, December, 2011) is used. AGDISP is based on a Lagrangian trajectory approach</w:t>
      </w:r>
      <w:r w:rsidRPr="009A2045">
        <w:rPr>
          <w:vertAlign w:val="superscript"/>
        </w:rPr>
        <w:footnoteReference w:id="15"/>
      </w:r>
      <w:r w:rsidRPr="009A2045">
        <w:t xml:space="preserve"> to the solution of the spray material equations of motion, and includes simplified models for the effects of the aircraft wake and aircraft-generated and ambient turbulence.  The AGDISP model includes an additional predictive method, a Gaussian extension to the AGDISP model, which enables the aerial application model to extend its prediction distance to 20 km downwind, a distance well beyond its validation distance of 800 m, with an approach for which restrictions and approximations are well understood and documented. The transition from the Lagrangian model to the Gaussian model occurs beyond the distance where the aircraft vortices are no longer influencing particle motion. The Gaussian extension of the AGDISP model can be used for specific circumstances such as aerial applications of mosquito adulticides and other pesticides with very fine to fine droplet size spectra</w:t>
      </w:r>
      <w:r w:rsidRPr="009A2045">
        <w:rPr>
          <w:vertAlign w:val="superscript"/>
        </w:rPr>
        <w:footnoteReference w:id="16"/>
      </w:r>
      <w:r w:rsidRPr="009A2045">
        <w:t xml:space="preserve"> at release heights of 50 ft above ground.</w:t>
      </w:r>
    </w:p>
    <w:p w14:paraId="2607E00E" w14:textId="77777777" w:rsidR="007C0F2A" w:rsidRPr="009A2045" w:rsidRDefault="007C0F2A" w:rsidP="009A2045">
      <w:pPr>
        <w:spacing w:after="0" w:line="240" w:lineRule="auto"/>
      </w:pPr>
    </w:p>
    <w:p w14:paraId="172B3AE0" w14:textId="2DD2C334" w:rsidR="007C0F2A" w:rsidRPr="009A2045" w:rsidRDefault="007C0F2A" w:rsidP="009A2045">
      <w:pPr>
        <w:spacing w:after="0" w:line="240" w:lineRule="auto"/>
      </w:pPr>
      <w:r w:rsidRPr="009A2045">
        <w:t xml:space="preserve">For </w:t>
      </w:r>
      <w:proofErr w:type="gramStart"/>
      <w:r w:rsidR="009F0204" w:rsidRPr="009A2045">
        <w:t>malathion</w:t>
      </w:r>
      <w:proofErr w:type="gramEnd"/>
      <w:r w:rsidRPr="009A2045">
        <w:t>, given its potential widespread use throughout the United States, the use footprint resulted in inclusion of all waterways in the United States.</w:t>
      </w:r>
    </w:p>
    <w:p w14:paraId="707E6948" w14:textId="77777777" w:rsidR="007C0F2A" w:rsidRPr="009A2045" w:rsidRDefault="007C0F2A" w:rsidP="009A2045">
      <w:pPr>
        <w:keepNext/>
        <w:keepLines/>
        <w:spacing w:after="0" w:line="240" w:lineRule="auto"/>
      </w:pPr>
    </w:p>
    <w:p w14:paraId="3C99DB0E" w14:textId="1B1AA8F2" w:rsidR="007C0F2A" w:rsidRPr="009A2045" w:rsidRDefault="007C0F2A" w:rsidP="009A2045">
      <w:pPr>
        <w:pStyle w:val="Heading6"/>
      </w:pPr>
      <w:bookmarkStart w:id="54" w:name="_Toc436043039"/>
      <w:r w:rsidRPr="009A2045">
        <w:t>1.4.1.1</w:t>
      </w:r>
      <w:proofErr w:type="gramStart"/>
      <w:r w:rsidRPr="009A2045">
        <w:t>.c.2</w:t>
      </w:r>
      <w:proofErr w:type="gramEnd"/>
      <w:r w:rsidRPr="009A2045">
        <w:tab/>
        <w:t xml:space="preserve">Terrestrial </w:t>
      </w:r>
      <w:r w:rsidR="0054061D" w:rsidRPr="009A2045">
        <w:t>M</w:t>
      </w:r>
      <w:r w:rsidRPr="009A2045">
        <w:t>odeling</w:t>
      </w:r>
      <w:bookmarkEnd w:id="54"/>
      <w:r w:rsidRPr="009A2045">
        <w:t xml:space="preserve"> </w:t>
      </w:r>
    </w:p>
    <w:p w14:paraId="75757123" w14:textId="77777777" w:rsidR="007C0F2A" w:rsidRPr="009A2045" w:rsidRDefault="007C0F2A" w:rsidP="009A2045">
      <w:pPr>
        <w:spacing w:after="0" w:line="240" w:lineRule="auto"/>
      </w:pPr>
    </w:p>
    <w:p w14:paraId="35824FBD" w14:textId="77256C63" w:rsidR="007C0F2A" w:rsidRPr="009A2045" w:rsidRDefault="007C0F2A" w:rsidP="009A2045">
      <w:pPr>
        <w:spacing w:after="0" w:line="240" w:lineRule="auto"/>
      </w:pPr>
      <w:r w:rsidRPr="009A2045">
        <w:t>The terrestrial portion of the action area is set by defining the spatial extent of potential use sites based on label information and appropriate spatial layers (</w:t>
      </w:r>
      <w:r w:rsidRPr="009A2045">
        <w:rPr>
          <w:i/>
        </w:rPr>
        <w:t>e.g.</w:t>
      </w:r>
      <w:r w:rsidRPr="009A2045">
        <w:t>, CDL). This area is buffered by the distance from the edge of the field where spray drift is deposited at levels of concern to any taxa (</w:t>
      </w:r>
      <w:r w:rsidRPr="009A2045">
        <w:rPr>
          <w:i/>
        </w:rPr>
        <w:t>i.e.</w:t>
      </w:r>
      <w:r w:rsidRPr="009A2045">
        <w:t xml:space="preserve">, the most sensitive taxon). Of the available toxicity data, the most sensitive endpoints for </w:t>
      </w:r>
      <w:proofErr w:type="gramStart"/>
      <w:r w:rsidR="009F0204" w:rsidRPr="009A2045">
        <w:t>malathion</w:t>
      </w:r>
      <w:proofErr w:type="gramEnd"/>
      <w:r w:rsidRPr="009A2045">
        <w:t xml:space="preserve"> are for terrestrial invertebrates. The AgDRIFT model is used to assess offsite exposure from drift, using application information, spray quality parameters, and other associated drift information provided on the labels.  Where labels are silent on such information, default parameters specified in EPA’s Guidance on Modeling Offsite Deposition</w:t>
      </w:r>
      <w:r w:rsidRPr="009A2045">
        <w:rPr>
          <w:vertAlign w:val="superscript"/>
        </w:rPr>
        <w:footnoteReference w:id="17"/>
      </w:r>
      <w:r w:rsidRPr="009A2045">
        <w:t xml:space="preserve"> are used.  The analysis with AgDRIFT indicates that for aerial and ground spray applications, drift deposited at the bounds of the model (</w:t>
      </w:r>
      <w:r w:rsidRPr="009A2045">
        <w:rPr>
          <w:i/>
        </w:rPr>
        <w:t>i.e.</w:t>
      </w:r>
      <w:r w:rsidRPr="009A2045">
        <w:t>, 1,000 feet for ground and 2,500 feet for aerial) exceeds the endpoints for terrestrial invertebrates [</w:t>
      </w:r>
      <w:r w:rsidRPr="009A2045">
        <w:rPr>
          <w:i/>
        </w:rPr>
        <w:t>i.e</w:t>
      </w:r>
      <w:r w:rsidRPr="009A2045">
        <w:t xml:space="preserve">., NOAEL = 0.0009 lb a.i./acre (E86585)]. Again, for </w:t>
      </w:r>
      <w:proofErr w:type="gramStart"/>
      <w:r w:rsidR="009F0204" w:rsidRPr="009A2045">
        <w:t>malathion</w:t>
      </w:r>
      <w:proofErr w:type="gramEnd"/>
      <w:r w:rsidRPr="009A2045">
        <w:t>, given its potential widespread use throughout the United States, the use footprint resulted in inclusion of the entire United States.</w:t>
      </w:r>
    </w:p>
    <w:p w14:paraId="6339E198" w14:textId="77777777" w:rsidR="007C0F2A" w:rsidRPr="009A2045" w:rsidRDefault="007C0F2A" w:rsidP="009A2045">
      <w:pPr>
        <w:spacing w:after="0" w:line="240" w:lineRule="auto"/>
      </w:pPr>
    </w:p>
    <w:p w14:paraId="3E907F8D" w14:textId="103D3D37" w:rsidR="007C0F2A" w:rsidRPr="009A2045" w:rsidRDefault="007C0F2A" w:rsidP="009A2045">
      <w:pPr>
        <w:pStyle w:val="Heading4"/>
      </w:pPr>
      <w:bookmarkStart w:id="55" w:name="_Toc436043040"/>
      <w:r w:rsidRPr="009A2045">
        <w:t>1.4.1.2.</w:t>
      </w:r>
      <w:r w:rsidRPr="009A2045">
        <w:tab/>
        <w:t xml:space="preserve">Species/Critical Habitat </w:t>
      </w:r>
      <w:r w:rsidR="0054061D" w:rsidRPr="009A2045">
        <w:t>L</w:t>
      </w:r>
      <w:r w:rsidRPr="009A2045">
        <w:t>ocations</w:t>
      </w:r>
      <w:bookmarkEnd w:id="55"/>
      <w:r w:rsidRPr="009A2045">
        <w:t xml:space="preserve"> </w:t>
      </w:r>
    </w:p>
    <w:p w14:paraId="487A1D50" w14:textId="77777777" w:rsidR="007C0F2A" w:rsidRPr="009A2045" w:rsidRDefault="007C0F2A" w:rsidP="009A2045">
      <w:pPr>
        <w:spacing w:after="0" w:line="240" w:lineRule="auto"/>
      </w:pPr>
    </w:p>
    <w:p w14:paraId="0FC35EC8" w14:textId="77777777" w:rsidR="007C0F2A" w:rsidRPr="009A2045" w:rsidRDefault="007C0F2A" w:rsidP="009A2045">
      <w:pPr>
        <w:spacing w:after="0" w:line="240" w:lineRule="auto"/>
      </w:pPr>
      <w:r w:rsidRPr="009A2045">
        <w:t>All available species and designated critical habitat location files were provided by the FWS and NMFS for species listed as Endangered, Threatened, Experimental Population, Proposed Endangered, Proposed Threatened, Proposed Experimental Population, or Candidate</w:t>
      </w:r>
      <w:r w:rsidRPr="009A2045">
        <w:rPr>
          <w:rStyle w:val="FootnoteReference"/>
        </w:rPr>
        <w:footnoteReference w:id="18"/>
      </w:r>
      <w:r w:rsidRPr="009A2045">
        <w:t xml:space="preserve"> under Endangered Species Act. </w:t>
      </w:r>
    </w:p>
    <w:p w14:paraId="5517D487" w14:textId="77777777" w:rsidR="007C0F2A" w:rsidRPr="009A2045" w:rsidRDefault="007C0F2A" w:rsidP="009A2045">
      <w:pPr>
        <w:keepNext/>
        <w:keepLines/>
        <w:spacing w:after="0" w:line="240" w:lineRule="auto"/>
      </w:pPr>
    </w:p>
    <w:p w14:paraId="0E412FE3" w14:textId="77777777" w:rsidR="007C0F2A" w:rsidRPr="009A2045" w:rsidRDefault="007C0F2A" w:rsidP="009A2045">
      <w:pPr>
        <w:keepNext/>
        <w:keepLines/>
        <w:spacing w:after="0" w:line="240" w:lineRule="auto"/>
        <w:rPr>
          <w:color w:val="auto"/>
        </w:rPr>
      </w:pPr>
      <w:r w:rsidRPr="009A2045">
        <w:rPr>
          <w:i/>
          <w:color w:val="auto"/>
        </w:rPr>
        <w:t>Species Locations:</w:t>
      </w:r>
    </w:p>
    <w:p w14:paraId="75D6E011" w14:textId="77777777" w:rsidR="007C0F2A" w:rsidRPr="009A2045" w:rsidRDefault="007C0F2A" w:rsidP="009A2045">
      <w:pPr>
        <w:keepNext/>
        <w:keepLines/>
        <w:spacing w:after="0" w:line="240" w:lineRule="auto"/>
      </w:pPr>
    </w:p>
    <w:p w14:paraId="4F5EECC1" w14:textId="11CEC97F" w:rsidR="007C0F2A" w:rsidRPr="009A2045" w:rsidRDefault="007C0F2A" w:rsidP="009A2045">
      <w:pPr>
        <w:spacing w:after="0" w:line="240" w:lineRule="auto"/>
      </w:pPr>
      <w:r w:rsidRPr="009A2045">
        <w:t>The FWS requested from the species experts in their Regional and Field Offices the most refined range data (</w:t>
      </w:r>
      <w:r w:rsidRPr="009A2045">
        <w:rPr>
          <w:i/>
        </w:rPr>
        <w:t>e.g</w:t>
      </w:r>
      <w:r w:rsidRPr="009A2045">
        <w:t xml:space="preserve">., sub-county level data where possible) for all listed species under their jurisdiction. NMFS provided Geographic Information System (GIS) maps for its species. The species ranges were provided in the form of a GIS spatial file to run the co-occurrence analysis (see </w:t>
      </w:r>
      <w:r w:rsidR="00CD352F" w:rsidRPr="009A2045">
        <w:rPr>
          <w:b/>
        </w:rPr>
        <w:t>ATTACHMENT 1-6</w:t>
      </w:r>
      <w:r w:rsidRPr="009A2045">
        <w:rPr>
          <w:b/>
        </w:rPr>
        <w:t xml:space="preserve"> </w:t>
      </w:r>
      <w:r w:rsidRPr="009A2045">
        <w:t xml:space="preserve">for details). </w:t>
      </w:r>
    </w:p>
    <w:p w14:paraId="07AD7644" w14:textId="77777777" w:rsidR="007C0F2A" w:rsidRPr="009A2045" w:rsidRDefault="007C0F2A" w:rsidP="009A2045">
      <w:pPr>
        <w:keepNext/>
        <w:keepLines/>
        <w:spacing w:after="0" w:line="240" w:lineRule="auto"/>
      </w:pPr>
    </w:p>
    <w:p w14:paraId="249ED37D" w14:textId="77777777" w:rsidR="007C0F2A" w:rsidRPr="009A2045" w:rsidRDefault="007C0F2A" w:rsidP="009A2045">
      <w:pPr>
        <w:keepNext/>
        <w:keepLines/>
        <w:spacing w:after="0" w:line="240" w:lineRule="auto"/>
        <w:rPr>
          <w:color w:val="auto"/>
        </w:rPr>
      </w:pPr>
      <w:r w:rsidRPr="009A2045">
        <w:rPr>
          <w:i/>
          <w:color w:val="auto"/>
        </w:rPr>
        <w:t>Critical Habitat Locations:</w:t>
      </w:r>
    </w:p>
    <w:p w14:paraId="7C243281" w14:textId="77777777" w:rsidR="007C0F2A" w:rsidRPr="009A2045" w:rsidRDefault="007C0F2A" w:rsidP="009A2045">
      <w:pPr>
        <w:keepNext/>
        <w:keepLines/>
        <w:spacing w:after="0" w:line="240" w:lineRule="auto"/>
      </w:pPr>
    </w:p>
    <w:p w14:paraId="13B285BD" w14:textId="54604F57" w:rsidR="007C0F2A" w:rsidRPr="009A2045" w:rsidRDefault="007C0F2A" w:rsidP="009A2045">
      <w:pPr>
        <w:spacing w:after="0" w:line="240" w:lineRule="auto"/>
      </w:pPr>
      <w:r w:rsidRPr="009A2045">
        <w:t>The FWS and NMFS provided tables of species with designated critical habitat and the corresponding location files on their respective websites. All available critical habitat location files were downloaded from the NMFS Regional websites and the ECOS Portal (</w:t>
      </w:r>
      <w:hyperlink r:id="rId22">
        <w:r w:rsidRPr="009A2045">
          <w:rPr>
            <w:color w:val="0563C1"/>
            <w:u w:val="single"/>
          </w:rPr>
          <w:t>http://ecos.fws.gov/crithab</w:t>
        </w:r>
      </w:hyperlink>
      <w:r w:rsidRPr="009A2045">
        <w:t xml:space="preserve">).  For those not </w:t>
      </w:r>
      <w:r w:rsidRPr="009A2045">
        <w:lastRenderedPageBreak/>
        <w:t>available on the ECOS Portal, critical habitat location files</w:t>
      </w:r>
      <w:r w:rsidRPr="009A2045">
        <w:rPr>
          <w:b/>
        </w:rPr>
        <w:t xml:space="preserve"> </w:t>
      </w:r>
      <w:r w:rsidRPr="009A2045">
        <w:t xml:space="preserve">were received directly from the Services. A list of species with designated critical habitat can be found in </w:t>
      </w:r>
      <w:r w:rsidR="00CD352F" w:rsidRPr="009A2045">
        <w:rPr>
          <w:b/>
        </w:rPr>
        <w:t>ATTACHMENT 1-6</w:t>
      </w:r>
      <w:r w:rsidRPr="009A2045">
        <w:t xml:space="preserve">. </w:t>
      </w:r>
    </w:p>
    <w:p w14:paraId="42C15556" w14:textId="77777777" w:rsidR="007C0F2A" w:rsidRPr="009A2045" w:rsidRDefault="007C0F2A" w:rsidP="009A2045">
      <w:pPr>
        <w:keepNext/>
        <w:keepLines/>
        <w:spacing w:after="0" w:line="240" w:lineRule="auto"/>
      </w:pPr>
    </w:p>
    <w:p w14:paraId="0DF3AE7E" w14:textId="09CB4795" w:rsidR="007C0F2A" w:rsidRPr="009A2045" w:rsidRDefault="007C0F2A" w:rsidP="009A2045">
      <w:pPr>
        <w:pStyle w:val="Heading4"/>
      </w:pPr>
      <w:bookmarkStart w:id="56" w:name="_Toc436043041"/>
      <w:r w:rsidRPr="009A2045">
        <w:t>1.4.1.3.</w:t>
      </w:r>
      <w:r w:rsidRPr="009A2045">
        <w:tab/>
        <w:t xml:space="preserve">Overlap </w:t>
      </w:r>
      <w:r w:rsidR="0054061D" w:rsidRPr="009A2045">
        <w:t>A</w:t>
      </w:r>
      <w:r w:rsidRPr="009A2045">
        <w:t>nalysis</w:t>
      </w:r>
      <w:bookmarkEnd w:id="56"/>
      <w:r w:rsidRPr="009A2045">
        <w:t xml:space="preserve"> </w:t>
      </w:r>
    </w:p>
    <w:p w14:paraId="5879E0FA" w14:textId="77777777" w:rsidR="007C0F2A" w:rsidRPr="009A2045" w:rsidRDefault="007C0F2A" w:rsidP="009A2045">
      <w:pPr>
        <w:spacing w:after="0" w:line="240" w:lineRule="auto"/>
      </w:pPr>
    </w:p>
    <w:p w14:paraId="56B8C26B" w14:textId="77777777" w:rsidR="007C0F2A" w:rsidRPr="009A2045" w:rsidRDefault="007C0F2A" w:rsidP="009A2045">
      <w:pPr>
        <w:spacing w:after="0" w:line="240" w:lineRule="auto"/>
      </w:pPr>
      <w:r w:rsidRPr="009A2045">
        <w:t>If a species or its designated critical habitat co-occurs with the action area, this species receives a “May Affect” determination. To make this determination, a co-occurrence analysis is run by overlaying the species location files received from the Services with the action area file(s) and using the ArcGIS Zonal Statistics tool to count the number of action area pixels found within overlapping species location features.</w:t>
      </w:r>
    </w:p>
    <w:p w14:paraId="0907566B" w14:textId="77777777" w:rsidR="007C0F2A" w:rsidRPr="009A2045" w:rsidRDefault="007C0F2A" w:rsidP="009A2045">
      <w:pPr>
        <w:spacing w:after="0" w:line="240" w:lineRule="auto"/>
      </w:pPr>
    </w:p>
    <w:p w14:paraId="798B0EA6" w14:textId="77777777" w:rsidR="007C0F2A" w:rsidRPr="009A2045" w:rsidRDefault="007C0F2A" w:rsidP="009A2045">
      <w:pPr>
        <w:spacing w:after="0" w:line="240" w:lineRule="auto"/>
      </w:pPr>
      <w:r w:rsidRPr="009A2045">
        <w:t>Prior to running the co-occurrence analysis, the native projections</w:t>
      </w:r>
      <w:r w:rsidRPr="009A2045">
        <w:rPr>
          <w:rStyle w:val="FootnoteReference"/>
        </w:rPr>
        <w:footnoteReference w:id="19"/>
      </w:r>
      <w:r w:rsidRPr="009A2045">
        <w:t xml:space="preserve"> for all species location files are documented and verified as being complete. Standard species identification information</w:t>
      </w:r>
      <w:r w:rsidRPr="009A2045">
        <w:rPr>
          <w:rStyle w:val="FootnoteReference"/>
        </w:rPr>
        <w:footnoteReference w:id="20"/>
      </w:r>
      <w:r w:rsidRPr="009A2045">
        <w:t xml:space="preserve"> is added to the attribute tables to help with species tracking during the co-occurrence analysis.  When necessary, species location files are re-projected to match the spatial projection(s) of the action area. Finally, files are merged into three composite files, a species range composite, a critical habitat polygon feature composite, and a critical habitat line feature composite.  Each composite file contains the respective spatial location information for all listed species as provided by the Services or downloaded from their website(s)</w:t>
      </w:r>
      <w:r w:rsidRPr="009A2045">
        <w:rPr>
          <w:b/>
        </w:rPr>
        <w:t>.</w:t>
      </w:r>
    </w:p>
    <w:p w14:paraId="66BDF6F4" w14:textId="77777777" w:rsidR="007C0F2A" w:rsidRPr="009A2045" w:rsidRDefault="007C0F2A" w:rsidP="009A2045">
      <w:pPr>
        <w:spacing w:after="0" w:line="240" w:lineRule="auto"/>
      </w:pPr>
    </w:p>
    <w:p w14:paraId="20B7EA33" w14:textId="15014046" w:rsidR="007C0F2A" w:rsidRPr="009A2045" w:rsidRDefault="007C0F2A" w:rsidP="009A2045">
      <w:pPr>
        <w:spacing w:after="0" w:line="240" w:lineRule="auto"/>
      </w:pPr>
      <w:r w:rsidRPr="009A2045">
        <w:t>The Zonal Statistics tool from the ArcGIS Spatial Analyst toolbox is used to run the co-occurrence analysis.  This tool overlays and compares the action area raster(s) to each of the species location composite files. The tool parameters are set to count the number of action area pixels found within each overlapping feature of the species location composite files (</w:t>
      </w:r>
      <w:r w:rsidR="00CD352F" w:rsidRPr="009A2045">
        <w:rPr>
          <w:b/>
        </w:rPr>
        <w:t>ATTACHMENT 1-6</w:t>
      </w:r>
      <w:r w:rsidRPr="009A2045">
        <w:t xml:space="preserve">).  </w:t>
      </w:r>
    </w:p>
    <w:p w14:paraId="4AA06E29" w14:textId="77777777" w:rsidR="007C0F2A" w:rsidRPr="009A2045" w:rsidRDefault="007C0F2A" w:rsidP="009A2045">
      <w:pPr>
        <w:spacing w:after="0" w:line="240" w:lineRule="auto"/>
      </w:pPr>
    </w:p>
    <w:p w14:paraId="07AEE740" w14:textId="1207D724" w:rsidR="007C0F2A" w:rsidRPr="009A2045" w:rsidRDefault="007C0F2A" w:rsidP="009A2045">
      <w:pPr>
        <w:spacing w:after="0" w:line="240" w:lineRule="auto"/>
      </w:pPr>
      <w:r w:rsidRPr="009A2045">
        <w:t xml:space="preserve">For species/critical habitats that do not overlap with the action area, the call will be ‘No Effect’ and no further analyses will be required (i.e., there is no need for Steps 2 and 3).  For species and/or critical habitats that do overlap with the action area, the call for that species and/or its critical habitat will be “May Affect,” and the analysis will proceed with Step 2.  This process is iterative [i.e., if additional information becomes available during the course of conducting Step 2 that indicates that the action area is not adequate for the action(s) being assessed, the action area can be revisited].  See </w:t>
      </w:r>
      <w:r w:rsidR="00CD352F" w:rsidRPr="009A2045">
        <w:rPr>
          <w:b/>
        </w:rPr>
        <w:t>Section 1.4.2.2.e</w:t>
      </w:r>
      <w:r w:rsidRPr="009A2045">
        <w:t xml:space="preserve"> for the results of the co-occurrence analysis.</w:t>
      </w:r>
    </w:p>
    <w:p w14:paraId="5BEA393F" w14:textId="77777777" w:rsidR="007C0F2A" w:rsidRPr="009A2045" w:rsidRDefault="007C0F2A" w:rsidP="009A2045">
      <w:pPr>
        <w:keepNext/>
        <w:keepLines/>
        <w:spacing w:after="0" w:line="240" w:lineRule="auto"/>
      </w:pPr>
    </w:p>
    <w:p w14:paraId="43A30C2A" w14:textId="77777777" w:rsidR="007C0F2A" w:rsidRPr="009A2045" w:rsidRDefault="007C0F2A" w:rsidP="009A2045">
      <w:pPr>
        <w:pStyle w:val="Heading3"/>
      </w:pPr>
      <w:bookmarkStart w:id="57" w:name="_Toc436043042"/>
      <w:r w:rsidRPr="009A2045">
        <w:t>1.4.2.</w:t>
      </w:r>
      <w:r w:rsidRPr="009A2045">
        <w:tab/>
        <w:t>Step 2 – LAA/NLAA Determinations</w:t>
      </w:r>
      <w:bookmarkEnd w:id="57"/>
    </w:p>
    <w:p w14:paraId="61167EC6" w14:textId="77777777" w:rsidR="007C0F2A" w:rsidRPr="009A2045" w:rsidRDefault="007C0F2A" w:rsidP="009A2045">
      <w:pPr>
        <w:spacing w:after="0" w:line="240" w:lineRule="auto"/>
      </w:pPr>
    </w:p>
    <w:p w14:paraId="370A51C4" w14:textId="4DFFD41D" w:rsidR="007C0F2A" w:rsidRPr="009A2045" w:rsidRDefault="007C0F2A" w:rsidP="009A2045">
      <w:pPr>
        <w:spacing w:after="0" w:line="240" w:lineRule="auto"/>
      </w:pPr>
      <w:r w:rsidRPr="009A2045">
        <w:t>The purpose of Step 2 is to conclude a determination of either “Not Likely to Adversely Affect” (NLAA)</w:t>
      </w:r>
      <w:r w:rsidRPr="009A2045">
        <w:rPr>
          <w:rStyle w:val="FootnoteReference"/>
        </w:rPr>
        <w:footnoteReference w:id="21"/>
      </w:r>
      <w:r w:rsidRPr="009A2045">
        <w:t xml:space="preserve"> or “Likely to Adversely Affect” (LAA)</w:t>
      </w:r>
      <w:r w:rsidRPr="009A2045">
        <w:rPr>
          <w:rStyle w:val="FootnoteReference"/>
        </w:rPr>
        <w:footnoteReference w:id="22"/>
      </w:r>
      <w:r w:rsidRPr="009A2045">
        <w:t xml:space="preserve"> for listed species and/or designated critical habitats within the action area.  To determine whether the call for a species and/or designated critical habitats is an NLAA or LAA, a similar process as described above for Step 1 is used with the exception that only endpoints relevant to the specific listed species being assessed and their habitats are considered (</w:t>
      </w:r>
      <w:r w:rsidRPr="009A2045">
        <w:rPr>
          <w:i/>
        </w:rPr>
        <w:t>e.g</w:t>
      </w:r>
      <w:r w:rsidRPr="009A2045">
        <w:t xml:space="preserve">., those endpoints related to the specific taxon, prey items and habitat of the species being assessed).  Exposure values are based primarily on fate and transport model results that assess the range of labeled uses of the pesticide (rates, methods).  For aquatic exposures, the SWCC (an upgrade to PRZM/EXAMS), AgDRIFT and AGDISP models are used to predict aquatic exposure in generic habitats, referred to as bins, relevant to groups of listed species with similar habitat preferences (for details on the aquatic bins modeled, see </w:t>
      </w:r>
      <w:r w:rsidR="00CD352F" w:rsidRPr="009A2045">
        <w:rPr>
          <w:b/>
        </w:rPr>
        <w:t>Section 1.4.2.2.a.1</w:t>
      </w:r>
      <w:r w:rsidRPr="009A2045">
        <w:t>, below).  Exposure results for the bin most appropriate for the species and/or critical habitat being assessed are used.  For terrestrial exposures, TerrPlant, AgDRIFT, AGDISP and T-REX are used.  In this step (</w:t>
      </w:r>
      <w:r w:rsidRPr="009A2045">
        <w:rPr>
          <w:rFonts w:ascii="Times New Roman" w:eastAsia="Times New Roman" w:hAnsi="Times New Roman" w:cs="Times New Roman"/>
          <w:i/>
        </w:rPr>
        <w:t>i.e.,</w:t>
      </w:r>
      <w:r w:rsidRPr="009A2045">
        <w:t xml:space="preserve"> Step 2), a refined version of T-REX</w:t>
      </w:r>
      <w:r w:rsidR="006678DD" w:rsidRPr="009A2045">
        <w:t>,</w:t>
      </w:r>
      <w:r w:rsidRPr="009A2045">
        <w:t xml:space="preserve"> </w:t>
      </w:r>
      <w:r w:rsidR="006678DD" w:rsidRPr="009A2045">
        <w:t>which</w:t>
      </w:r>
      <w:r w:rsidRPr="009A2045">
        <w:t xml:space="preserve"> accounts for species-specific characteristics (</w:t>
      </w:r>
      <w:r w:rsidRPr="009A2045">
        <w:rPr>
          <w:rFonts w:ascii="Times New Roman" w:eastAsia="Times New Roman" w:hAnsi="Times New Roman" w:cs="Times New Roman"/>
          <w:i/>
        </w:rPr>
        <w:t>e.g</w:t>
      </w:r>
      <w:r w:rsidRPr="009A2045">
        <w:t xml:space="preserve">., body size, diet, </w:t>
      </w:r>
      <w:r w:rsidRPr="009A2045">
        <w:rPr>
          <w:rFonts w:ascii="Times New Roman" w:eastAsia="Times New Roman" w:hAnsi="Times New Roman" w:cs="Times New Roman"/>
          <w:i/>
        </w:rPr>
        <w:t>etc</w:t>
      </w:r>
      <w:r w:rsidRPr="009A2045">
        <w:t xml:space="preserve">.), is used.  In order to efficiently assess the risks of </w:t>
      </w:r>
      <w:proofErr w:type="gramStart"/>
      <w:r w:rsidR="009F0204" w:rsidRPr="009A2045">
        <w:t>malathion</w:t>
      </w:r>
      <w:proofErr w:type="gramEnd"/>
      <w:r w:rsidRPr="009A2045">
        <w:t xml:space="preserve"> to the hundreds of listed terrestrial species, EFED’s current terrestrial exposure models were combined into a single tool that is referred to as the TED (Terrestrial Effects Determination) tool. For details on the terrestrial exposure modeling</w:t>
      </w:r>
      <w:r w:rsidR="006678DD" w:rsidRPr="009A2045">
        <w:t>,</w:t>
      </w:r>
      <w:r w:rsidRPr="009A2045">
        <w:t xml:space="preserve"> see </w:t>
      </w:r>
      <w:r w:rsidRPr="009A2045">
        <w:rPr>
          <w:b/>
        </w:rPr>
        <w:t xml:space="preserve">Section </w:t>
      </w:r>
      <w:r w:rsidR="00CD352F" w:rsidRPr="009A2045">
        <w:rPr>
          <w:b/>
        </w:rPr>
        <w:t>1.4.2.2.a.2</w:t>
      </w:r>
      <w:r w:rsidRPr="009A2045">
        <w:t xml:space="preserve"> below and </w:t>
      </w:r>
      <w:r w:rsidR="00CD352F" w:rsidRPr="009A2045">
        <w:rPr>
          <w:b/>
          <w:color w:val="auto"/>
        </w:rPr>
        <w:t>A</w:t>
      </w:r>
      <w:r w:rsidR="00F81654" w:rsidRPr="009A2045">
        <w:rPr>
          <w:b/>
          <w:color w:val="auto"/>
        </w:rPr>
        <w:t>TTACHMENT</w:t>
      </w:r>
      <w:r w:rsidR="00CD352F" w:rsidRPr="009A2045">
        <w:rPr>
          <w:b/>
          <w:color w:val="auto"/>
        </w:rPr>
        <w:t xml:space="preserve"> 1-7</w:t>
      </w:r>
      <w:r w:rsidRPr="009A2045">
        <w:t xml:space="preserve">. </w:t>
      </w:r>
    </w:p>
    <w:p w14:paraId="21EF8BE5" w14:textId="77777777" w:rsidR="007C0F2A" w:rsidRPr="009A2045" w:rsidRDefault="007C0F2A" w:rsidP="009A2045">
      <w:pPr>
        <w:spacing w:after="0" w:line="240" w:lineRule="auto"/>
      </w:pPr>
    </w:p>
    <w:p w14:paraId="7DD692CD" w14:textId="77777777" w:rsidR="007C0F2A" w:rsidRPr="009A2045" w:rsidRDefault="007C0F2A" w:rsidP="009A2045">
      <w:pPr>
        <w:spacing w:after="0" w:line="240" w:lineRule="auto"/>
      </w:pPr>
      <w:r w:rsidRPr="009A2045">
        <w:t>The following sections will summarize how effects to listed species and critical habitats will be analyzed using lines of evidence, how the evidence is weighed, and how exposure will be estimated in both aquatic and terrestrial habitats.  Other relevant topics such as use of probabilistic approaches, consideration of incident data, analysis of mixtures, and the influence of environmental factors on toxicity are also briefly discussed.</w:t>
      </w:r>
    </w:p>
    <w:p w14:paraId="2BCAAEAC" w14:textId="648ED144" w:rsidR="007C0F2A" w:rsidRPr="009A2045" w:rsidRDefault="007C0F2A" w:rsidP="009A2045">
      <w:pPr>
        <w:pStyle w:val="Heading4"/>
      </w:pPr>
      <w:bookmarkStart w:id="58" w:name="_Toc436043043"/>
      <w:r w:rsidRPr="009A2045">
        <w:lastRenderedPageBreak/>
        <w:t>1.4.2.1.</w:t>
      </w:r>
      <w:r w:rsidRPr="009A2045">
        <w:tab/>
        <w:t xml:space="preserve">Lines of </w:t>
      </w:r>
      <w:r w:rsidR="0054061D" w:rsidRPr="009A2045">
        <w:t>E</w:t>
      </w:r>
      <w:r w:rsidRPr="009A2045">
        <w:t>vidence</w:t>
      </w:r>
      <w:bookmarkEnd w:id="58"/>
      <w:r w:rsidRPr="009A2045">
        <w:t xml:space="preserve"> </w:t>
      </w:r>
    </w:p>
    <w:p w14:paraId="199BBB0D" w14:textId="77777777" w:rsidR="007C0F2A" w:rsidRPr="009A2045" w:rsidRDefault="007C0F2A" w:rsidP="009A2045">
      <w:pPr>
        <w:keepNext/>
        <w:keepLines/>
        <w:spacing w:after="0" w:line="240" w:lineRule="auto"/>
      </w:pPr>
    </w:p>
    <w:p w14:paraId="0663AEE7" w14:textId="424209E8" w:rsidR="007C0F2A" w:rsidRPr="009A2045" w:rsidRDefault="007C0F2A" w:rsidP="009A2045">
      <w:pPr>
        <w:keepNext/>
        <w:keepLines/>
        <w:spacing w:after="0" w:line="240" w:lineRule="auto"/>
      </w:pPr>
      <w:r w:rsidRPr="009A2045">
        <w:t xml:space="preserve">The lines of evidence (LOE) used to test the risks hypotheses (see </w:t>
      </w:r>
      <w:r w:rsidR="00CD352F" w:rsidRPr="009A2045">
        <w:rPr>
          <w:b/>
        </w:rPr>
        <w:t>Section 1.4.2.1</w:t>
      </w:r>
      <w:r w:rsidRPr="009A2045">
        <w:t xml:space="preserve">, above) are outlined in </w:t>
      </w:r>
      <w:r w:rsidRPr="009A2045">
        <w:rPr>
          <w:b/>
        </w:rPr>
        <w:t xml:space="preserve">Table </w:t>
      </w:r>
      <w:r w:rsidR="00CF543D" w:rsidRPr="009A2045">
        <w:rPr>
          <w:b/>
        </w:rPr>
        <w:t>1-7</w:t>
      </w:r>
      <w:r w:rsidRPr="009A2045">
        <w:t xml:space="preserve">.  These represent general lines of evidence relevant to all listed taxa and their designated critical habitats.  These lines of evidence evaluate the risk hypotheses by describing the potential for direct effects and/or indirect effects to listed species and designated critical habitats.  For designated critical habitats, any potential for direct or indirect effects to a listed species, as related to the relevant PCEs and/or PBFs, based on the lines of evidence, are considered for the effect determination regardless if the listed species is present within and/or currently inhabits the designated critical habitat (as not all designated critical habitats are currently occupied by individuals of a listed species). </w:t>
      </w:r>
    </w:p>
    <w:p w14:paraId="39398AD7" w14:textId="77777777" w:rsidR="007C0F2A" w:rsidRPr="009A2045" w:rsidRDefault="007C0F2A" w:rsidP="009A2045">
      <w:pPr>
        <w:keepNext/>
        <w:keepLines/>
        <w:spacing w:after="0" w:line="240" w:lineRule="auto"/>
      </w:pPr>
    </w:p>
    <w:p w14:paraId="6F903969" w14:textId="77777777" w:rsidR="007C0F2A" w:rsidRPr="009A2045" w:rsidRDefault="007C0F2A" w:rsidP="009A2045">
      <w:pPr>
        <w:keepNext/>
        <w:keepLines/>
        <w:spacing w:after="0" w:line="240" w:lineRule="auto"/>
      </w:pPr>
      <w:r w:rsidRPr="009A2045">
        <w:t>More specific lines of evidence, relevant to particular listed species or designated critical habitats, may be applied to specific effects determinations depending on the available information.  Any additional specific lines of evidence used to make an effects determination will be discussed in the sections relevant to the particular listed species and/or designated critical habitat.</w:t>
      </w:r>
    </w:p>
    <w:p w14:paraId="0AF77326" w14:textId="77777777" w:rsidR="007C0F2A" w:rsidRPr="009A2045" w:rsidRDefault="007C0F2A" w:rsidP="009A2045">
      <w:pPr>
        <w:spacing w:after="0" w:line="240" w:lineRule="auto"/>
      </w:pPr>
    </w:p>
    <w:p w14:paraId="520931F9" w14:textId="77777777" w:rsidR="007C0F2A" w:rsidRPr="009A2045" w:rsidRDefault="007C0F2A" w:rsidP="009A2045">
      <w:pPr>
        <w:sectPr w:rsidR="007C0F2A" w:rsidRPr="009A2045">
          <w:headerReference w:type="default" r:id="rId23"/>
          <w:footerReference w:type="default" r:id="rId24"/>
          <w:pgSz w:w="12240" w:h="15840"/>
          <w:pgMar w:top="1440" w:right="1440" w:bottom="1440" w:left="1440" w:header="720" w:footer="720" w:gutter="0"/>
          <w:pgNumType w:start="1"/>
          <w:cols w:space="720"/>
        </w:sectPr>
      </w:pPr>
      <w:r w:rsidRPr="009A2045">
        <w:br w:type="page"/>
      </w:r>
    </w:p>
    <w:p w14:paraId="45CF0E00" w14:textId="75D5584D" w:rsidR="007C0F2A" w:rsidRPr="009A2045" w:rsidRDefault="000D01C3" w:rsidP="009A2045">
      <w:pPr>
        <w:pStyle w:val="Caption"/>
        <w:rPr>
          <w:b/>
          <w:i w:val="0"/>
          <w:sz w:val="22"/>
          <w:szCs w:val="22"/>
        </w:rPr>
      </w:pPr>
      <w:bookmarkStart w:id="59" w:name="_Toc435773441"/>
      <w:r w:rsidRPr="009A2045">
        <w:rPr>
          <w:b/>
          <w:i w:val="0"/>
          <w:sz w:val="22"/>
          <w:szCs w:val="22"/>
        </w:rPr>
        <w:lastRenderedPageBreak/>
        <w:t xml:space="preserve">Table </w:t>
      </w:r>
      <w:r w:rsidR="00C60928" w:rsidRPr="009A2045">
        <w:rPr>
          <w:b/>
          <w:i w:val="0"/>
          <w:sz w:val="22"/>
          <w:szCs w:val="22"/>
        </w:rPr>
        <w:fldChar w:fldCharType="begin"/>
      </w:r>
      <w:r w:rsidR="00C60928" w:rsidRPr="009A2045">
        <w:rPr>
          <w:b/>
          <w:i w:val="0"/>
          <w:sz w:val="22"/>
          <w:szCs w:val="22"/>
        </w:rPr>
        <w:instrText xml:space="preserve"> SEQ Table \* ARABIC </w:instrText>
      </w:r>
      <w:r w:rsidR="00C60928" w:rsidRPr="009A2045">
        <w:rPr>
          <w:b/>
          <w:i w:val="0"/>
          <w:sz w:val="22"/>
          <w:szCs w:val="22"/>
        </w:rPr>
        <w:fldChar w:fldCharType="separate"/>
      </w:r>
      <w:r w:rsidRPr="009A2045">
        <w:rPr>
          <w:b/>
          <w:i w:val="0"/>
          <w:noProof/>
          <w:sz w:val="22"/>
          <w:szCs w:val="22"/>
        </w:rPr>
        <w:t>7</w:t>
      </w:r>
      <w:r w:rsidR="00C60928" w:rsidRPr="009A2045">
        <w:rPr>
          <w:b/>
          <w:i w:val="0"/>
          <w:noProof/>
          <w:sz w:val="22"/>
          <w:szCs w:val="22"/>
        </w:rPr>
        <w:fldChar w:fldCharType="end"/>
      </w:r>
      <w:r w:rsidRPr="009A2045">
        <w:rPr>
          <w:b/>
          <w:i w:val="0"/>
          <w:sz w:val="22"/>
          <w:szCs w:val="22"/>
        </w:rPr>
        <w:t>-7. Lines of Evidence for Risk Hypotheses</w:t>
      </w:r>
      <w:r w:rsidR="007C0F2A" w:rsidRPr="009A2045">
        <w:rPr>
          <w:b/>
          <w:i w:val="0"/>
          <w:sz w:val="22"/>
          <w:szCs w:val="22"/>
        </w:rPr>
        <w:t>.</w:t>
      </w:r>
      <w:bookmarkEnd w:id="59"/>
    </w:p>
    <w:tbl>
      <w:tblPr>
        <w:tblW w:w="134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94"/>
        <w:gridCol w:w="2194"/>
        <w:gridCol w:w="2987"/>
        <w:gridCol w:w="2790"/>
        <w:gridCol w:w="3330"/>
      </w:tblGrid>
      <w:tr w:rsidR="007C0F2A" w:rsidRPr="009A2045" w14:paraId="4C48C782" w14:textId="77777777" w:rsidTr="007C0F2A">
        <w:trPr>
          <w:trHeight w:val="300"/>
          <w:tblHeader/>
        </w:trPr>
        <w:tc>
          <w:tcPr>
            <w:tcW w:w="2194" w:type="dxa"/>
            <w:shd w:val="clear" w:color="auto" w:fill="E7E6E6"/>
            <w:vAlign w:val="center"/>
          </w:tcPr>
          <w:p w14:paraId="3358E919" w14:textId="77777777" w:rsidR="007C0F2A" w:rsidRPr="009A2045" w:rsidRDefault="007C0F2A" w:rsidP="009A2045">
            <w:pPr>
              <w:jc w:val="center"/>
            </w:pPr>
            <w:r w:rsidRPr="009A2045">
              <w:rPr>
                <w:b/>
                <w:sz w:val="20"/>
                <w:szCs w:val="20"/>
              </w:rPr>
              <w:t>Line-of-evidence</w:t>
            </w:r>
          </w:p>
        </w:tc>
        <w:tc>
          <w:tcPr>
            <w:tcW w:w="2194" w:type="dxa"/>
            <w:shd w:val="clear" w:color="auto" w:fill="E7E6E6"/>
            <w:vAlign w:val="center"/>
          </w:tcPr>
          <w:p w14:paraId="74F3286A" w14:textId="77777777" w:rsidR="007C0F2A" w:rsidRPr="009A2045" w:rsidRDefault="007C0F2A" w:rsidP="009A2045">
            <w:pPr>
              <w:jc w:val="center"/>
            </w:pPr>
            <w:r w:rsidRPr="009A2045">
              <w:rPr>
                <w:b/>
                <w:sz w:val="20"/>
                <w:szCs w:val="20"/>
              </w:rPr>
              <w:t>Exposure Value(s) Used to Assess the Line-of-evidence</w:t>
            </w:r>
          </w:p>
        </w:tc>
        <w:tc>
          <w:tcPr>
            <w:tcW w:w="2987" w:type="dxa"/>
            <w:shd w:val="clear" w:color="auto" w:fill="E7E6E6"/>
            <w:vAlign w:val="center"/>
          </w:tcPr>
          <w:p w14:paraId="2F625D86" w14:textId="77777777" w:rsidR="007C0F2A" w:rsidRPr="009A2045" w:rsidRDefault="007C0F2A" w:rsidP="009A2045">
            <w:pPr>
              <w:jc w:val="center"/>
            </w:pPr>
            <w:r w:rsidRPr="009A2045">
              <w:rPr>
                <w:b/>
                <w:sz w:val="20"/>
                <w:szCs w:val="20"/>
              </w:rPr>
              <w:t xml:space="preserve">Measure of Effect </w:t>
            </w:r>
          </w:p>
        </w:tc>
        <w:tc>
          <w:tcPr>
            <w:tcW w:w="2790" w:type="dxa"/>
            <w:shd w:val="clear" w:color="auto" w:fill="E7E6E6"/>
            <w:vAlign w:val="center"/>
          </w:tcPr>
          <w:p w14:paraId="6BAAB09F" w14:textId="77777777" w:rsidR="007C0F2A" w:rsidRPr="009A2045" w:rsidRDefault="007C0F2A" w:rsidP="009A2045">
            <w:r w:rsidRPr="009A2045">
              <w:rPr>
                <w:b/>
                <w:sz w:val="20"/>
                <w:szCs w:val="20"/>
              </w:rPr>
              <w:t>Types of studies/ information</w:t>
            </w:r>
          </w:p>
        </w:tc>
        <w:tc>
          <w:tcPr>
            <w:tcW w:w="3330" w:type="dxa"/>
            <w:shd w:val="clear" w:color="auto" w:fill="E7E6E6"/>
            <w:vAlign w:val="center"/>
          </w:tcPr>
          <w:p w14:paraId="0E46C6E4" w14:textId="77777777" w:rsidR="007C0F2A" w:rsidRPr="009A2045" w:rsidRDefault="007C0F2A" w:rsidP="009A2045">
            <w:pPr>
              <w:jc w:val="center"/>
            </w:pPr>
            <w:r w:rsidRPr="009A2045">
              <w:rPr>
                <w:b/>
                <w:sz w:val="20"/>
                <w:szCs w:val="20"/>
              </w:rPr>
              <w:t>Interpretation</w:t>
            </w:r>
          </w:p>
        </w:tc>
      </w:tr>
      <w:tr w:rsidR="007C0F2A" w:rsidRPr="009A2045" w14:paraId="16801FB5" w14:textId="77777777" w:rsidTr="007C0F2A">
        <w:trPr>
          <w:trHeight w:val="1140"/>
        </w:trPr>
        <w:tc>
          <w:tcPr>
            <w:tcW w:w="2194" w:type="dxa"/>
            <w:vMerge w:val="restart"/>
            <w:vAlign w:val="center"/>
          </w:tcPr>
          <w:p w14:paraId="1F1AA649" w14:textId="3BD51A75" w:rsidR="007C0F2A" w:rsidRPr="009A2045" w:rsidRDefault="007C0F2A" w:rsidP="009A2045">
            <w:r w:rsidRPr="009A2045">
              <w:rPr>
                <w:sz w:val="20"/>
                <w:szCs w:val="20"/>
              </w:rPr>
              <w:t xml:space="preserve">1. Mortality from direct, acute exposure from the use of </w:t>
            </w:r>
            <w:r w:rsidR="009F0204" w:rsidRPr="009A2045">
              <w:rPr>
                <w:sz w:val="20"/>
                <w:szCs w:val="20"/>
              </w:rPr>
              <w:t>malathion</w:t>
            </w:r>
            <w:r w:rsidRPr="009A2045">
              <w:rPr>
                <w:sz w:val="20"/>
                <w:szCs w:val="20"/>
              </w:rPr>
              <w:t xml:space="preserve"> according to registered labels</w:t>
            </w:r>
            <w:r w:rsidRPr="009A2045">
              <w:rPr>
                <w:sz w:val="20"/>
                <w:szCs w:val="20"/>
                <w:vertAlign w:val="superscript"/>
              </w:rPr>
              <w:t xml:space="preserve">2 </w:t>
            </w:r>
            <w:r w:rsidRPr="009A2045">
              <w:rPr>
                <w:sz w:val="20"/>
                <w:szCs w:val="20"/>
              </w:rPr>
              <w:t>(direct effect)</w:t>
            </w:r>
          </w:p>
        </w:tc>
        <w:tc>
          <w:tcPr>
            <w:tcW w:w="2194" w:type="dxa"/>
            <w:vAlign w:val="center"/>
          </w:tcPr>
          <w:p w14:paraId="5C6A131D" w14:textId="77777777" w:rsidR="007C0F2A" w:rsidRPr="009A2045" w:rsidRDefault="007C0F2A" w:rsidP="009A2045">
            <w:r w:rsidRPr="009A2045">
              <w:rPr>
                <w:sz w:val="20"/>
                <w:szCs w:val="20"/>
              </w:rPr>
              <w:t>Peak estimated exposure values and field-scale monitoring</w:t>
            </w:r>
            <w:r w:rsidRPr="009A2045">
              <w:rPr>
                <w:sz w:val="20"/>
                <w:szCs w:val="20"/>
                <w:vertAlign w:val="superscript"/>
              </w:rPr>
              <w:t>1</w:t>
            </w:r>
            <w:r w:rsidRPr="009A2045">
              <w:rPr>
                <w:sz w:val="20"/>
                <w:szCs w:val="20"/>
              </w:rPr>
              <w:t xml:space="preserve"> data</w:t>
            </w:r>
          </w:p>
        </w:tc>
        <w:tc>
          <w:tcPr>
            <w:tcW w:w="2987" w:type="dxa"/>
            <w:vAlign w:val="center"/>
          </w:tcPr>
          <w:p w14:paraId="6C6C1C25" w14:textId="77777777" w:rsidR="007C0F2A" w:rsidRPr="009A2045" w:rsidRDefault="007C0F2A" w:rsidP="009A2045">
            <w:r w:rsidRPr="009A2045">
              <w:rPr>
                <w:sz w:val="20"/>
                <w:szCs w:val="20"/>
              </w:rPr>
              <w:t xml:space="preserve">Mortality to an individual:          </w:t>
            </w:r>
          </w:p>
          <w:p w14:paraId="0A80A4C4" w14:textId="77777777" w:rsidR="007C0F2A" w:rsidRPr="009A2045" w:rsidRDefault="007C0F2A" w:rsidP="009A2045">
            <w:r w:rsidRPr="009A2045">
              <w:rPr>
                <w:sz w:val="20"/>
                <w:szCs w:val="20"/>
              </w:rPr>
              <w:t>One-in-a-million probability of killing an individual [for the HC</w:t>
            </w:r>
            <w:r w:rsidRPr="009A2045">
              <w:rPr>
                <w:sz w:val="20"/>
                <w:szCs w:val="20"/>
                <w:vertAlign w:val="subscript"/>
              </w:rPr>
              <w:t xml:space="preserve">05 </w:t>
            </w:r>
            <w:r w:rsidRPr="009A2045">
              <w:rPr>
                <w:sz w:val="20"/>
                <w:szCs w:val="20"/>
              </w:rPr>
              <w:t xml:space="preserve">(if an SSD can be calculated) or the most sensitive mortality endpoint for the representative taxon (if an SSD cannot be calculated)]. </w:t>
            </w:r>
          </w:p>
        </w:tc>
        <w:tc>
          <w:tcPr>
            <w:tcW w:w="2790" w:type="dxa"/>
            <w:vAlign w:val="center"/>
          </w:tcPr>
          <w:p w14:paraId="043DA748" w14:textId="77777777" w:rsidR="007C0F2A" w:rsidRPr="009A2045" w:rsidRDefault="007C0F2A" w:rsidP="009A2045">
            <w:r w:rsidRPr="009A2045">
              <w:rPr>
                <w:sz w:val="20"/>
                <w:szCs w:val="20"/>
              </w:rPr>
              <w:t>LC</w:t>
            </w:r>
            <w:r w:rsidRPr="009A2045">
              <w:rPr>
                <w:sz w:val="20"/>
                <w:szCs w:val="20"/>
                <w:vertAlign w:val="subscript"/>
              </w:rPr>
              <w:t>50</w:t>
            </w:r>
            <w:r w:rsidRPr="009A2045">
              <w:rPr>
                <w:sz w:val="20"/>
                <w:szCs w:val="20"/>
              </w:rPr>
              <w:t>/LD</w:t>
            </w:r>
            <w:r w:rsidRPr="009A2045">
              <w:rPr>
                <w:sz w:val="20"/>
                <w:szCs w:val="20"/>
                <w:vertAlign w:val="subscript"/>
              </w:rPr>
              <w:t>50</w:t>
            </w:r>
            <w:r w:rsidRPr="009A2045">
              <w:rPr>
                <w:sz w:val="20"/>
                <w:szCs w:val="20"/>
              </w:rPr>
              <w:t xml:space="preserve"> and slope </w:t>
            </w:r>
          </w:p>
          <w:p w14:paraId="4C4731D9" w14:textId="77777777" w:rsidR="007C0F2A" w:rsidRPr="009A2045" w:rsidRDefault="007C0F2A" w:rsidP="009A2045"/>
          <w:p w14:paraId="6250309D" w14:textId="77777777" w:rsidR="007C0F2A" w:rsidRPr="009A2045" w:rsidRDefault="007C0F2A" w:rsidP="009A2045">
            <w:r w:rsidRPr="009A2045">
              <w:rPr>
                <w:sz w:val="20"/>
                <w:szCs w:val="20"/>
              </w:rPr>
              <w:t>(Laboratory toxicity studies)</w:t>
            </w:r>
          </w:p>
        </w:tc>
        <w:tc>
          <w:tcPr>
            <w:tcW w:w="3330" w:type="dxa"/>
            <w:vAlign w:val="center"/>
          </w:tcPr>
          <w:p w14:paraId="3965EE9F" w14:textId="77777777" w:rsidR="007C0F2A" w:rsidRPr="009A2045" w:rsidRDefault="007C0F2A" w:rsidP="009A2045">
            <w:r w:rsidRPr="009A2045">
              <w:rPr>
                <w:sz w:val="20"/>
                <w:szCs w:val="20"/>
              </w:rPr>
              <w:t>If one-in-a-million threshold is exceeded by registered uses, the line of evidence is sufficient for an LAA determination (Step 2)</w:t>
            </w:r>
          </w:p>
        </w:tc>
      </w:tr>
      <w:tr w:rsidR="007C0F2A" w:rsidRPr="009A2045" w14:paraId="46566ACA" w14:textId="77777777" w:rsidTr="007C0F2A">
        <w:trPr>
          <w:trHeight w:val="1140"/>
        </w:trPr>
        <w:tc>
          <w:tcPr>
            <w:tcW w:w="2194" w:type="dxa"/>
            <w:vMerge/>
            <w:vAlign w:val="center"/>
          </w:tcPr>
          <w:p w14:paraId="4C4D2357" w14:textId="77777777" w:rsidR="007C0F2A" w:rsidRPr="009A2045" w:rsidRDefault="007C0F2A" w:rsidP="009A2045"/>
        </w:tc>
        <w:tc>
          <w:tcPr>
            <w:tcW w:w="2194" w:type="dxa"/>
            <w:vAlign w:val="center"/>
          </w:tcPr>
          <w:p w14:paraId="4651B079" w14:textId="77777777" w:rsidR="007C0F2A" w:rsidRPr="009A2045" w:rsidRDefault="007C0F2A" w:rsidP="009A2045">
            <w:r w:rsidRPr="009A2045">
              <w:rPr>
                <w:sz w:val="20"/>
                <w:szCs w:val="20"/>
              </w:rPr>
              <w:t>Distribution of estimated exposure values</w:t>
            </w:r>
            <w:r w:rsidRPr="009A2045">
              <w:rPr>
                <w:sz w:val="20"/>
                <w:szCs w:val="20"/>
                <w:vertAlign w:val="superscript"/>
              </w:rPr>
              <w:t>3</w:t>
            </w:r>
          </w:p>
        </w:tc>
        <w:tc>
          <w:tcPr>
            <w:tcW w:w="2987" w:type="dxa"/>
            <w:vAlign w:val="center"/>
          </w:tcPr>
          <w:p w14:paraId="46EBF310" w14:textId="77777777" w:rsidR="007C0F2A" w:rsidRPr="009A2045" w:rsidRDefault="007C0F2A" w:rsidP="009A2045">
            <w:r w:rsidRPr="009A2045">
              <w:rPr>
                <w:sz w:val="20"/>
                <w:szCs w:val="20"/>
              </w:rPr>
              <w:t>Mortality (no defined threshold)</w:t>
            </w:r>
            <w:r w:rsidRPr="009A2045">
              <w:rPr>
                <w:sz w:val="20"/>
                <w:szCs w:val="20"/>
                <w:vertAlign w:val="superscript"/>
              </w:rPr>
              <w:t>4</w:t>
            </w:r>
          </w:p>
        </w:tc>
        <w:tc>
          <w:tcPr>
            <w:tcW w:w="2790" w:type="dxa"/>
            <w:vAlign w:val="center"/>
          </w:tcPr>
          <w:p w14:paraId="64D8963C" w14:textId="77777777" w:rsidR="007C0F2A" w:rsidRPr="009A2045" w:rsidRDefault="007C0F2A" w:rsidP="009A2045">
            <w:r w:rsidRPr="009A2045">
              <w:rPr>
                <w:sz w:val="20"/>
                <w:szCs w:val="20"/>
              </w:rPr>
              <w:t>LC</w:t>
            </w:r>
            <w:r w:rsidRPr="009A2045">
              <w:rPr>
                <w:sz w:val="20"/>
                <w:szCs w:val="20"/>
                <w:vertAlign w:val="subscript"/>
              </w:rPr>
              <w:t>50</w:t>
            </w:r>
            <w:r w:rsidRPr="009A2045">
              <w:rPr>
                <w:sz w:val="20"/>
                <w:szCs w:val="20"/>
              </w:rPr>
              <w:t>/LD</w:t>
            </w:r>
            <w:r w:rsidRPr="009A2045">
              <w:rPr>
                <w:sz w:val="20"/>
                <w:szCs w:val="20"/>
                <w:vertAlign w:val="subscript"/>
              </w:rPr>
              <w:t>50</w:t>
            </w:r>
            <w:r w:rsidRPr="009A2045">
              <w:rPr>
                <w:sz w:val="20"/>
                <w:szCs w:val="20"/>
              </w:rPr>
              <w:t xml:space="preserve"> and slope </w:t>
            </w:r>
          </w:p>
          <w:p w14:paraId="64086B70" w14:textId="77777777" w:rsidR="007C0F2A" w:rsidRPr="009A2045" w:rsidRDefault="007C0F2A" w:rsidP="009A2045"/>
          <w:p w14:paraId="320E9A41" w14:textId="77777777" w:rsidR="007C0F2A" w:rsidRPr="009A2045" w:rsidRDefault="007C0F2A" w:rsidP="009A2045">
            <w:r w:rsidRPr="009A2045">
              <w:rPr>
                <w:sz w:val="20"/>
                <w:szCs w:val="20"/>
              </w:rPr>
              <w:t>(Laboratory toxicity studies)</w:t>
            </w:r>
          </w:p>
        </w:tc>
        <w:tc>
          <w:tcPr>
            <w:tcW w:w="3330" w:type="dxa"/>
            <w:vAlign w:val="center"/>
          </w:tcPr>
          <w:p w14:paraId="75407F09" w14:textId="77777777" w:rsidR="007C0F2A" w:rsidRPr="009A2045" w:rsidRDefault="007C0F2A" w:rsidP="009A2045">
            <w:r w:rsidRPr="009A2045">
              <w:rPr>
                <w:sz w:val="20"/>
                <w:szCs w:val="20"/>
              </w:rPr>
              <w:t>Describe the likelihood of an individual mortality at expected concentrations</w:t>
            </w:r>
          </w:p>
        </w:tc>
      </w:tr>
      <w:tr w:rsidR="007C0F2A" w:rsidRPr="009A2045" w14:paraId="30ADC7BA" w14:textId="77777777" w:rsidTr="007C0F2A">
        <w:trPr>
          <w:trHeight w:val="560"/>
        </w:trPr>
        <w:tc>
          <w:tcPr>
            <w:tcW w:w="2194" w:type="dxa"/>
            <w:vMerge/>
            <w:vAlign w:val="center"/>
          </w:tcPr>
          <w:p w14:paraId="7C4B9E39" w14:textId="77777777" w:rsidR="007C0F2A" w:rsidRPr="009A2045" w:rsidRDefault="007C0F2A" w:rsidP="009A2045"/>
        </w:tc>
        <w:tc>
          <w:tcPr>
            <w:tcW w:w="2194" w:type="dxa"/>
            <w:vAlign w:val="center"/>
          </w:tcPr>
          <w:p w14:paraId="7C01DE8C" w14:textId="77777777" w:rsidR="007C0F2A" w:rsidRPr="009A2045" w:rsidRDefault="007C0F2A" w:rsidP="009A2045">
            <w:r w:rsidRPr="009A2045">
              <w:rPr>
                <w:sz w:val="20"/>
                <w:szCs w:val="20"/>
              </w:rPr>
              <w:t>Environmental exposures</w:t>
            </w:r>
            <w:r w:rsidRPr="009A2045">
              <w:rPr>
                <w:sz w:val="20"/>
                <w:szCs w:val="20"/>
                <w:vertAlign w:val="superscript"/>
              </w:rPr>
              <w:t>5</w:t>
            </w:r>
          </w:p>
        </w:tc>
        <w:tc>
          <w:tcPr>
            <w:tcW w:w="2987" w:type="dxa"/>
            <w:vAlign w:val="center"/>
          </w:tcPr>
          <w:p w14:paraId="6EC3AC26" w14:textId="77777777" w:rsidR="007C0F2A" w:rsidRPr="009A2045" w:rsidRDefault="007C0F2A" w:rsidP="009A2045">
            <w:r w:rsidRPr="009A2045">
              <w:rPr>
                <w:sz w:val="20"/>
                <w:szCs w:val="20"/>
              </w:rPr>
              <w:t>Mortality (no defined threshold)</w:t>
            </w:r>
          </w:p>
        </w:tc>
        <w:tc>
          <w:tcPr>
            <w:tcW w:w="2790" w:type="dxa"/>
            <w:vAlign w:val="center"/>
          </w:tcPr>
          <w:p w14:paraId="63B0216B" w14:textId="77777777" w:rsidR="007C0F2A" w:rsidRPr="009A2045" w:rsidRDefault="007C0F2A" w:rsidP="009A2045">
            <w:r w:rsidRPr="009A2045">
              <w:rPr>
                <w:sz w:val="20"/>
                <w:szCs w:val="20"/>
              </w:rPr>
              <w:t xml:space="preserve">Mortalities reported in </w:t>
            </w:r>
          </w:p>
          <w:p w14:paraId="76FEEA32" w14:textId="77777777" w:rsidR="007C0F2A" w:rsidRPr="009A2045" w:rsidRDefault="007C0F2A" w:rsidP="009A2045">
            <w:r w:rsidRPr="009A2045">
              <w:rPr>
                <w:sz w:val="20"/>
                <w:szCs w:val="20"/>
              </w:rPr>
              <w:t>incident reports and field studies</w:t>
            </w:r>
          </w:p>
          <w:p w14:paraId="2C6B88AF" w14:textId="77777777" w:rsidR="007C0F2A" w:rsidRPr="009A2045" w:rsidRDefault="007C0F2A" w:rsidP="009A2045"/>
          <w:p w14:paraId="3467799E" w14:textId="77777777" w:rsidR="007C0F2A" w:rsidRPr="009A2045" w:rsidRDefault="007C0F2A" w:rsidP="009A2045">
            <w:r w:rsidRPr="009A2045">
              <w:rPr>
                <w:sz w:val="20"/>
                <w:szCs w:val="20"/>
              </w:rPr>
              <w:t>(Incident reports and field studies)</w:t>
            </w:r>
          </w:p>
        </w:tc>
        <w:tc>
          <w:tcPr>
            <w:tcW w:w="3330" w:type="dxa"/>
            <w:vAlign w:val="center"/>
          </w:tcPr>
          <w:p w14:paraId="00B1664A" w14:textId="77777777" w:rsidR="007C0F2A" w:rsidRPr="009A2045" w:rsidRDefault="007C0F2A" w:rsidP="009A2045">
            <w:r w:rsidRPr="009A2045">
              <w:rPr>
                <w:sz w:val="20"/>
                <w:szCs w:val="20"/>
              </w:rPr>
              <w:t>Review data and summarize highly probable and probable  incidents- qualitative discussion</w:t>
            </w:r>
          </w:p>
        </w:tc>
      </w:tr>
      <w:tr w:rsidR="007C0F2A" w:rsidRPr="009A2045" w14:paraId="459EB26E" w14:textId="77777777" w:rsidTr="007C0F2A">
        <w:trPr>
          <w:trHeight w:val="840"/>
        </w:trPr>
        <w:tc>
          <w:tcPr>
            <w:tcW w:w="2194" w:type="dxa"/>
            <w:vMerge w:val="restart"/>
            <w:vAlign w:val="center"/>
          </w:tcPr>
          <w:p w14:paraId="15D3EFCF" w14:textId="2DBFB3CC" w:rsidR="007C0F2A" w:rsidRPr="009A2045" w:rsidRDefault="007C0F2A" w:rsidP="009A2045">
            <w:r w:rsidRPr="009A2045">
              <w:rPr>
                <w:sz w:val="20"/>
                <w:szCs w:val="20"/>
              </w:rPr>
              <w:lastRenderedPageBreak/>
              <w:t xml:space="preserve">2. Reduced growth of an individual (potential to decrease survival and/or reproduction)  from the use of </w:t>
            </w:r>
            <w:r w:rsidR="009F0204" w:rsidRPr="009A2045">
              <w:rPr>
                <w:sz w:val="20"/>
                <w:szCs w:val="20"/>
              </w:rPr>
              <w:t>malathion</w:t>
            </w:r>
            <w:r w:rsidRPr="009A2045">
              <w:rPr>
                <w:sz w:val="20"/>
                <w:szCs w:val="20"/>
              </w:rPr>
              <w:t xml:space="preserve"> according to registered labels (direct effect)</w:t>
            </w:r>
          </w:p>
        </w:tc>
        <w:tc>
          <w:tcPr>
            <w:tcW w:w="2194" w:type="dxa"/>
            <w:vAlign w:val="center"/>
          </w:tcPr>
          <w:p w14:paraId="7EA390E1" w14:textId="77777777" w:rsidR="007C0F2A" w:rsidRPr="009A2045" w:rsidRDefault="007C0F2A" w:rsidP="009A2045">
            <w:r w:rsidRPr="009A2045">
              <w:rPr>
                <w:sz w:val="20"/>
                <w:szCs w:val="20"/>
              </w:rPr>
              <w:t>Estimated exposure values or field-scale monitoring studies relevant to the duration of exposure that elicited the effect(s)</w:t>
            </w:r>
          </w:p>
        </w:tc>
        <w:tc>
          <w:tcPr>
            <w:tcW w:w="2987" w:type="dxa"/>
            <w:vAlign w:val="center"/>
          </w:tcPr>
          <w:p w14:paraId="63FA0488" w14:textId="77777777" w:rsidR="007C0F2A" w:rsidRPr="009A2045" w:rsidRDefault="007C0F2A" w:rsidP="009A2045">
            <w:r w:rsidRPr="009A2045">
              <w:rPr>
                <w:sz w:val="20"/>
                <w:szCs w:val="20"/>
              </w:rPr>
              <w:t xml:space="preserve">Growth: Most sensitive NOAEC for growth for the representative taxon </w:t>
            </w:r>
          </w:p>
        </w:tc>
        <w:tc>
          <w:tcPr>
            <w:tcW w:w="2790" w:type="dxa"/>
            <w:vAlign w:val="center"/>
          </w:tcPr>
          <w:p w14:paraId="098CB026" w14:textId="77777777" w:rsidR="007C0F2A" w:rsidRPr="009A2045" w:rsidRDefault="007C0F2A" w:rsidP="009A2045">
            <w:r w:rsidRPr="009A2045">
              <w:rPr>
                <w:sz w:val="20"/>
                <w:szCs w:val="20"/>
              </w:rPr>
              <w:t>Size: e.g., weight, length, biomass</w:t>
            </w:r>
          </w:p>
          <w:p w14:paraId="754E5401" w14:textId="77777777" w:rsidR="007C0F2A" w:rsidRPr="009A2045" w:rsidRDefault="007C0F2A" w:rsidP="009A2045"/>
          <w:p w14:paraId="58F99F07" w14:textId="77777777" w:rsidR="007C0F2A" w:rsidRPr="009A2045" w:rsidRDefault="007C0F2A" w:rsidP="009A2045">
            <w:r w:rsidRPr="009A2045">
              <w:rPr>
                <w:sz w:val="20"/>
                <w:szCs w:val="20"/>
              </w:rPr>
              <w:t xml:space="preserve">(Laboratory studies) </w:t>
            </w:r>
          </w:p>
        </w:tc>
        <w:tc>
          <w:tcPr>
            <w:tcW w:w="3330" w:type="dxa"/>
            <w:vAlign w:val="center"/>
          </w:tcPr>
          <w:p w14:paraId="7B56A256" w14:textId="77777777" w:rsidR="007C0F2A" w:rsidRPr="009A2045" w:rsidRDefault="007C0F2A" w:rsidP="009A2045">
            <w:r w:rsidRPr="009A2045">
              <w:rPr>
                <w:sz w:val="20"/>
                <w:szCs w:val="20"/>
              </w:rPr>
              <w:t>Describe the magnitude of effect on growth at the expected concentrations</w:t>
            </w:r>
            <w:r w:rsidRPr="009A2045">
              <w:rPr>
                <w:sz w:val="20"/>
                <w:szCs w:val="20"/>
                <w:vertAlign w:val="superscript"/>
              </w:rPr>
              <w:t>6</w:t>
            </w:r>
          </w:p>
        </w:tc>
      </w:tr>
      <w:tr w:rsidR="007C0F2A" w:rsidRPr="009A2045" w14:paraId="6B6F8205" w14:textId="77777777" w:rsidTr="007C0F2A">
        <w:trPr>
          <w:trHeight w:val="840"/>
        </w:trPr>
        <w:tc>
          <w:tcPr>
            <w:tcW w:w="2194" w:type="dxa"/>
            <w:vMerge/>
            <w:vAlign w:val="center"/>
          </w:tcPr>
          <w:p w14:paraId="74300318" w14:textId="77777777" w:rsidR="007C0F2A" w:rsidRPr="009A2045" w:rsidRDefault="007C0F2A" w:rsidP="009A2045"/>
        </w:tc>
        <w:tc>
          <w:tcPr>
            <w:tcW w:w="2194" w:type="dxa"/>
            <w:vAlign w:val="center"/>
          </w:tcPr>
          <w:p w14:paraId="70F3A774" w14:textId="77777777" w:rsidR="007C0F2A" w:rsidRPr="009A2045" w:rsidRDefault="007C0F2A" w:rsidP="009A2045">
            <w:r w:rsidRPr="009A2045">
              <w:rPr>
                <w:sz w:val="20"/>
                <w:szCs w:val="20"/>
              </w:rPr>
              <w:t>Distribution of estimated exposure values</w:t>
            </w:r>
          </w:p>
        </w:tc>
        <w:tc>
          <w:tcPr>
            <w:tcW w:w="2987" w:type="dxa"/>
            <w:vAlign w:val="center"/>
          </w:tcPr>
          <w:p w14:paraId="4E6BF12B" w14:textId="77777777" w:rsidR="007C0F2A" w:rsidRPr="009A2045" w:rsidRDefault="007C0F2A" w:rsidP="009A2045">
            <w:r w:rsidRPr="009A2045">
              <w:rPr>
                <w:sz w:val="20"/>
                <w:szCs w:val="20"/>
              </w:rPr>
              <w:t>Growth (no defined threshold)</w:t>
            </w:r>
          </w:p>
        </w:tc>
        <w:tc>
          <w:tcPr>
            <w:tcW w:w="2790" w:type="dxa"/>
            <w:vAlign w:val="center"/>
          </w:tcPr>
          <w:p w14:paraId="1E0FEB58" w14:textId="77777777" w:rsidR="007C0F2A" w:rsidRPr="009A2045" w:rsidRDefault="007C0F2A" w:rsidP="009A2045">
            <w:r w:rsidRPr="009A2045">
              <w:rPr>
                <w:sz w:val="20"/>
                <w:szCs w:val="20"/>
              </w:rPr>
              <w:t>Size: e.g., weight, length, biomass</w:t>
            </w:r>
          </w:p>
          <w:p w14:paraId="63C457F2" w14:textId="77777777" w:rsidR="007C0F2A" w:rsidRPr="009A2045" w:rsidRDefault="007C0F2A" w:rsidP="009A2045"/>
          <w:p w14:paraId="7E6EDBF7" w14:textId="77777777" w:rsidR="007C0F2A" w:rsidRPr="009A2045" w:rsidRDefault="007C0F2A" w:rsidP="009A2045">
            <w:r w:rsidRPr="009A2045">
              <w:rPr>
                <w:sz w:val="20"/>
                <w:szCs w:val="20"/>
              </w:rPr>
              <w:t>(Laboratory studies)</w:t>
            </w:r>
          </w:p>
        </w:tc>
        <w:tc>
          <w:tcPr>
            <w:tcW w:w="3330" w:type="dxa"/>
            <w:vAlign w:val="center"/>
          </w:tcPr>
          <w:p w14:paraId="7DF99900" w14:textId="77777777" w:rsidR="007C0F2A" w:rsidRPr="009A2045" w:rsidRDefault="007C0F2A" w:rsidP="009A2045">
            <w:r w:rsidRPr="009A2045">
              <w:rPr>
                <w:sz w:val="20"/>
                <w:szCs w:val="20"/>
              </w:rPr>
              <w:t>Describe the likelihood of an effect on growth at expected concentrations</w:t>
            </w:r>
          </w:p>
        </w:tc>
      </w:tr>
      <w:tr w:rsidR="007C0F2A" w:rsidRPr="009A2045" w14:paraId="396E1AF6" w14:textId="77777777" w:rsidTr="007C0F2A">
        <w:trPr>
          <w:trHeight w:val="960"/>
        </w:trPr>
        <w:tc>
          <w:tcPr>
            <w:tcW w:w="2194" w:type="dxa"/>
            <w:vMerge w:val="restart"/>
            <w:vAlign w:val="center"/>
          </w:tcPr>
          <w:p w14:paraId="2FDBDEBF" w14:textId="66B55D4C" w:rsidR="007C0F2A" w:rsidRPr="009A2045" w:rsidRDefault="007C0F2A" w:rsidP="009A2045">
            <w:r w:rsidRPr="009A2045">
              <w:rPr>
                <w:sz w:val="20"/>
                <w:szCs w:val="20"/>
              </w:rPr>
              <w:t xml:space="preserve">3. Reduced or impaired reproduction of an individual from the use of </w:t>
            </w:r>
            <w:r w:rsidR="009F0204" w:rsidRPr="009A2045">
              <w:rPr>
                <w:sz w:val="20"/>
                <w:szCs w:val="20"/>
              </w:rPr>
              <w:t>malathion</w:t>
            </w:r>
            <w:r w:rsidRPr="009A2045">
              <w:rPr>
                <w:sz w:val="20"/>
                <w:szCs w:val="20"/>
              </w:rPr>
              <w:t xml:space="preserve"> according to registered labels (direct effect)</w:t>
            </w:r>
          </w:p>
        </w:tc>
        <w:tc>
          <w:tcPr>
            <w:tcW w:w="2194" w:type="dxa"/>
            <w:vAlign w:val="center"/>
          </w:tcPr>
          <w:p w14:paraId="20FD12A4" w14:textId="77777777" w:rsidR="007C0F2A" w:rsidRPr="009A2045" w:rsidRDefault="007C0F2A" w:rsidP="009A2045">
            <w:r w:rsidRPr="009A2045">
              <w:rPr>
                <w:sz w:val="20"/>
                <w:szCs w:val="20"/>
              </w:rPr>
              <w:t>Estimated exposure values or field-scale monitoring studies relevant to the duration of exposure that elicited the effect(s)</w:t>
            </w:r>
          </w:p>
        </w:tc>
        <w:tc>
          <w:tcPr>
            <w:tcW w:w="2987" w:type="dxa"/>
            <w:vAlign w:val="center"/>
          </w:tcPr>
          <w:p w14:paraId="27C0DB78" w14:textId="77777777" w:rsidR="007C0F2A" w:rsidRPr="009A2045" w:rsidRDefault="007C0F2A" w:rsidP="009A2045">
            <w:r w:rsidRPr="009A2045">
              <w:rPr>
                <w:sz w:val="20"/>
                <w:szCs w:val="20"/>
              </w:rPr>
              <w:t>Reproductive endpoint (e.g., number of offspring, delayed maturation):  Most sensitive NOAEC for reproductive endpoints for the representative taxon</w:t>
            </w:r>
          </w:p>
        </w:tc>
        <w:tc>
          <w:tcPr>
            <w:tcW w:w="2790" w:type="dxa"/>
            <w:vAlign w:val="center"/>
          </w:tcPr>
          <w:p w14:paraId="2CB065C8" w14:textId="77777777" w:rsidR="007C0F2A" w:rsidRPr="009A2045" w:rsidRDefault="007C0F2A" w:rsidP="009A2045">
            <w:r w:rsidRPr="009A2045">
              <w:rPr>
                <w:sz w:val="20"/>
                <w:szCs w:val="20"/>
              </w:rPr>
              <w:t>Reproductive endpoint</w:t>
            </w:r>
          </w:p>
          <w:p w14:paraId="063D85AC" w14:textId="77777777" w:rsidR="007C0F2A" w:rsidRPr="009A2045" w:rsidRDefault="007C0F2A" w:rsidP="009A2045"/>
          <w:p w14:paraId="013DCD10" w14:textId="77777777" w:rsidR="007C0F2A" w:rsidRPr="009A2045" w:rsidRDefault="007C0F2A" w:rsidP="009A2045">
            <w:r w:rsidRPr="009A2045">
              <w:rPr>
                <w:sz w:val="20"/>
                <w:szCs w:val="20"/>
              </w:rPr>
              <w:t xml:space="preserve">(Laboratory studies) </w:t>
            </w:r>
          </w:p>
        </w:tc>
        <w:tc>
          <w:tcPr>
            <w:tcW w:w="3330" w:type="dxa"/>
            <w:vAlign w:val="center"/>
          </w:tcPr>
          <w:p w14:paraId="3AF08D6B" w14:textId="77777777" w:rsidR="007C0F2A" w:rsidRPr="009A2045" w:rsidRDefault="007C0F2A" w:rsidP="009A2045">
            <w:r w:rsidRPr="009A2045">
              <w:rPr>
                <w:sz w:val="20"/>
                <w:szCs w:val="20"/>
              </w:rPr>
              <w:t>Describe the magnitude of effect on reproductive endpoints at the expected concentrations</w:t>
            </w:r>
          </w:p>
        </w:tc>
      </w:tr>
      <w:tr w:rsidR="007C0F2A" w:rsidRPr="009A2045" w14:paraId="08AF2125" w14:textId="77777777" w:rsidTr="007C0F2A">
        <w:trPr>
          <w:trHeight w:val="960"/>
        </w:trPr>
        <w:tc>
          <w:tcPr>
            <w:tcW w:w="2194" w:type="dxa"/>
            <w:vMerge/>
            <w:vAlign w:val="center"/>
          </w:tcPr>
          <w:p w14:paraId="500D338C" w14:textId="77777777" w:rsidR="007C0F2A" w:rsidRPr="009A2045" w:rsidRDefault="007C0F2A" w:rsidP="009A2045"/>
        </w:tc>
        <w:tc>
          <w:tcPr>
            <w:tcW w:w="2194" w:type="dxa"/>
            <w:vAlign w:val="center"/>
          </w:tcPr>
          <w:p w14:paraId="257F5615" w14:textId="77777777" w:rsidR="007C0F2A" w:rsidRPr="009A2045" w:rsidRDefault="007C0F2A" w:rsidP="009A2045">
            <w:r w:rsidRPr="009A2045">
              <w:rPr>
                <w:sz w:val="20"/>
                <w:szCs w:val="20"/>
              </w:rPr>
              <w:t>Distribution of estimated exposure values</w:t>
            </w:r>
          </w:p>
        </w:tc>
        <w:tc>
          <w:tcPr>
            <w:tcW w:w="2987" w:type="dxa"/>
            <w:vAlign w:val="center"/>
          </w:tcPr>
          <w:p w14:paraId="21161D67" w14:textId="77777777" w:rsidR="007C0F2A" w:rsidRPr="009A2045" w:rsidRDefault="007C0F2A" w:rsidP="009A2045">
            <w:r w:rsidRPr="009A2045">
              <w:rPr>
                <w:sz w:val="20"/>
                <w:szCs w:val="20"/>
              </w:rPr>
              <w:t>Reproductive endpoint (no defined threshold)</w:t>
            </w:r>
          </w:p>
        </w:tc>
        <w:tc>
          <w:tcPr>
            <w:tcW w:w="2790" w:type="dxa"/>
            <w:vAlign w:val="center"/>
          </w:tcPr>
          <w:p w14:paraId="6872AD9D" w14:textId="77777777" w:rsidR="007C0F2A" w:rsidRPr="009A2045" w:rsidRDefault="007C0F2A" w:rsidP="009A2045">
            <w:r w:rsidRPr="009A2045">
              <w:rPr>
                <w:sz w:val="20"/>
                <w:szCs w:val="20"/>
              </w:rPr>
              <w:t>Reproductive endpoint (including abundance and population effects)</w:t>
            </w:r>
          </w:p>
          <w:p w14:paraId="127B5EE4" w14:textId="77777777" w:rsidR="007C0F2A" w:rsidRPr="009A2045" w:rsidRDefault="007C0F2A" w:rsidP="009A2045"/>
          <w:p w14:paraId="21F41829" w14:textId="77777777" w:rsidR="007C0F2A" w:rsidRPr="009A2045" w:rsidRDefault="007C0F2A" w:rsidP="009A2045">
            <w:r w:rsidRPr="009A2045">
              <w:rPr>
                <w:sz w:val="20"/>
                <w:szCs w:val="20"/>
              </w:rPr>
              <w:t>(Laboratory and field studies)</w:t>
            </w:r>
          </w:p>
        </w:tc>
        <w:tc>
          <w:tcPr>
            <w:tcW w:w="3330" w:type="dxa"/>
            <w:vAlign w:val="center"/>
          </w:tcPr>
          <w:p w14:paraId="2C4FB3BD" w14:textId="77777777" w:rsidR="007C0F2A" w:rsidRPr="009A2045" w:rsidRDefault="007C0F2A" w:rsidP="009A2045">
            <w:r w:rsidRPr="009A2045">
              <w:rPr>
                <w:sz w:val="20"/>
                <w:szCs w:val="20"/>
              </w:rPr>
              <w:t>Describe the likelihood of an effect on reproductive endpoints at expected concentrations</w:t>
            </w:r>
          </w:p>
        </w:tc>
      </w:tr>
      <w:tr w:rsidR="007C0F2A" w:rsidRPr="009A2045" w14:paraId="4E463B75" w14:textId="77777777" w:rsidTr="007C0F2A">
        <w:trPr>
          <w:trHeight w:val="1230"/>
        </w:trPr>
        <w:tc>
          <w:tcPr>
            <w:tcW w:w="2194" w:type="dxa"/>
            <w:vMerge w:val="restart"/>
            <w:vAlign w:val="center"/>
          </w:tcPr>
          <w:p w14:paraId="419746DB" w14:textId="7E953B8F" w:rsidR="007C0F2A" w:rsidRPr="009A2045" w:rsidRDefault="007C0F2A" w:rsidP="009A2045">
            <w:r w:rsidRPr="009A2045">
              <w:rPr>
                <w:sz w:val="20"/>
                <w:szCs w:val="20"/>
              </w:rPr>
              <w:lastRenderedPageBreak/>
              <w:t xml:space="preserve">4. Impaired behavior that could result in increased mortality or decreased growth or reproduction from the use of </w:t>
            </w:r>
            <w:r w:rsidR="009F0204" w:rsidRPr="009A2045">
              <w:rPr>
                <w:sz w:val="20"/>
                <w:szCs w:val="20"/>
              </w:rPr>
              <w:t>malathion</w:t>
            </w:r>
            <w:r w:rsidRPr="009A2045">
              <w:rPr>
                <w:sz w:val="20"/>
                <w:szCs w:val="20"/>
              </w:rPr>
              <w:t xml:space="preserve"> according to registered labels (direct effect)</w:t>
            </w:r>
          </w:p>
        </w:tc>
        <w:tc>
          <w:tcPr>
            <w:tcW w:w="2194" w:type="dxa"/>
            <w:vAlign w:val="center"/>
          </w:tcPr>
          <w:p w14:paraId="63862529" w14:textId="77777777" w:rsidR="007C0F2A" w:rsidRPr="009A2045" w:rsidRDefault="007C0F2A" w:rsidP="009A2045">
            <w:r w:rsidRPr="009A2045">
              <w:rPr>
                <w:sz w:val="20"/>
                <w:szCs w:val="20"/>
              </w:rPr>
              <w:t>Estimated exposure values or field-scale monitoring studies relevant to the duration of exposure that elicited the effect(s)</w:t>
            </w:r>
          </w:p>
        </w:tc>
        <w:tc>
          <w:tcPr>
            <w:tcW w:w="2987" w:type="dxa"/>
            <w:vAlign w:val="center"/>
          </w:tcPr>
          <w:p w14:paraId="2C4C7B6D" w14:textId="77777777" w:rsidR="007C0F2A" w:rsidRPr="009A2045" w:rsidRDefault="007C0F2A" w:rsidP="009A2045">
            <w:r w:rsidRPr="009A2045">
              <w:rPr>
                <w:sz w:val="20"/>
                <w:szCs w:val="20"/>
              </w:rPr>
              <w:t>Behavioral endpoint relevant to growth, survival, and/or reproduction (e.g., locomotion, eating behavior, reproductive behavior, predator avoidance,  ability to migrate): Most sensitive NOAEC for endpoints for the representative taxon</w:t>
            </w:r>
          </w:p>
        </w:tc>
        <w:tc>
          <w:tcPr>
            <w:tcW w:w="2790" w:type="dxa"/>
            <w:vAlign w:val="center"/>
          </w:tcPr>
          <w:p w14:paraId="0D27BCCC" w14:textId="77777777" w:rsidR="007C0F2A" w:rsidRPr="009A2045" w:rsidRDefault="007C0F2A" w:rsidP="009A2045">
            <w:r w:rsidRPr="009A2045">
              <w:rPr>
                <w:sz w:val="20"/>
                <w:szCs w:val="20"/>
              </w:rPr>
              <w:t xml:space="preserve">Behavioral endpoint relevant to growth, survival, and/or reproduction </w:t>
            </w:r>
          </w:p>
          <w:p w14:paraId="48829A6D" w14:textId="77777777" w:rsidR="007C0F2A" w:rsidRPr="009A2045" w:rsidRDefault="007C0F2A" w:rsidP="009A2045"/>
          <w:p w14:paraId="556B29E7" w14:textId="77777777" w:rsidR="007C0F2A" w:rsidRPr="009A2045" w:rsidRDefault="007C0F2A" w:rsidP="009A2045">
            <w:r w:rsidRPr="009A2045">
              <w:rPr>
                <w:sz w:val="20"/>
                <w:szCs w:val="20"/>
              </w:rPr>
              <w:t>(Laboratory studies)</w:t>
            </w:r>
          </w:p>
        </w:tc>
        <w:tc>
          <w:tcPr>
            <w:tcW w:w="3330" w:type="dxa"/>
            <w:vAlign w:val="center"/>
          </w:tcPr>
          <w:p w14:paraId="0B3368C0" w14:textId="77777777" w:rsidR="007C0F2A" w:rsidRPr="009A2045" w:rsidRDefault="007C0F2A" w:rsidP="009A2045">
            <w:r w:rsidRPr="009A2045">
              <w:rPr>
                <w:sz w:val="20"/>
                <w:szCs w:val="20"/>
              </w:rPr>
              <w:t>Describe the magnitude of an effect on reproductive, growth, and/or mortality endpoints at the expected concentrations</w:t>
            </w:r>
          </w:p>
        </w:tc>
      </w:tr>
      <w:tr w:rsidR="007C0F2A" w:rsidRPr="009A2045" w14:paraId="51EE13EA" w14:textId="77777777" w:rsidTr="007C0F2A">
        <w:trPr>
          <w:trHeight w:val="1230"/>
        </w:trPr>
        <w:tc>
          <w:tcPr>
            <w:tcW w:w="2194" w:type="dxa"/>
            <w:vMerge/>
            <w:vAlign w:val="center"/>
          </w:tcPr>
          <w:p w14:paraId="7763C9B2" w14:textId="77777777" w:rsidR="007C0F2A" w:rsidRPr="009A2045" w:rsidRDefault="007C0F2A" w:rsidP="009A2045">
            <w:pPr>
              <w:rPr>
                <w:sz w:val="20"/>
                <w:szCs w:val="20"/>
              </w:rPr>
            </w:pPr>
          </w:p>
        </w:tc>
        <w:tc>
          <w:tcPr>
            <w:tcW w:w="2194" w:type="dxa"/>
            <w:vAlign w:val="center"/>
          </w:tcPr>
          <w:p w14:paraId="4A3DBBD5" w14:textId="77777777" w:rsidR="007C0F2A" w:rsidRPr="009A2045" w:rsidRDefault="007C0F2A" w:rsidP="009A2045">
            <w:pPr>
              <w:rPr>
                <w:sz w:val="20"/>
                <w:szCs w:val="20"/>
              </w:rPr>
            </w:pPr>
            <w:r w:rsidRPr="009A2045">
              <w:rPr>
                <w:sz w:val="20"/>
                <w:szCs w:val="20"/>
              </w:rPr>
              <w:t>Distribution of estimated exposure values</w:t>
            </w:r>
          </w:p>
        </w:tc>
        <w:tc>
          <w:tcPr>
            <w:tcW w:w="2987" w:type="dxa"/>
            <w:vAlign w:val="center"/>
          </w:tcPr>
          <w:p w14:paraId="3D5BB21F" w14:textId="77777777" w:rsidR="007C0F2A" w:rsidRPr="009A2045" w:rsidRDefault="007C0F2A" w:rsidP="009A2045">
            <w:pPr>
              <w:rPr>
                <w:sz w:val="20"/>
                <w:szCs w:val="20"/>
              </w:rPr>
            </w:pPr>
            <w:r w:rsidRPr="009A2045">
              <w:rPr>
                <w:sz w:val="20"/>
                <w:szCs w:val="20"/>
              </w:rPr>
              <w:t>Behavioral endpoint (no defined threshold)</w:t>
            </w:r>
          </w:p>
        </w:tc>
        <w:tc>
          <w:tcPr>
            <w:tcW w:w="2790" w:type="dxa"/>
            <w:vAlign w:val="center"/>
          </w:tcPr>
          <w:p w14:paraId="01CD1DA4" w14:textId="77777777" w:rsidR="007C0F2A" w:rsidRPr="009A2045" w:rsidRDefault="007C0F2A" w:rsidP="009A2045">
            <w:r w:rsidRPr="009A2045">
              <w:rPr>
                <w:sz w:val="20"/>
                <w:szCs w:val="20"/>
              </w:rPr>
              <w:t xml:space="preserve">Behavioral endpoint relevant to growth, survival, and/or reproduction </w:t>
            </w:r>
          </w:p>
          <w:p w14:paraId="34F6CFE8" w14:textId="77777777" w:rsidR="007C0F2A" w:rsidRPr="009A2045" w:rsidRDefault="007C0F2A" w:rsidP="009A2045"/>
          <w:p w14:paraId="7B92BB04" w14:textId="77777777" w:rsidR="007C0F2A" w:rsidRPr="009A2045" w:rsidRDefault="007C0F2A" w:rsidP="009A2045">
            <w:pPr>
              <w:rPr>
                <w:sz w:val="20"/>
                <w:szCs w:val="20"/>
              </w:rPr>
            </w:pPr>
            <w:r w:rsidRPr="009A2045">
              <w:rPr>
                <w:sz w:val="20"/>
                <w:szCs w:val="20"/>
              </w:rPr>
              <w:t>(Laboratory and field studies)</w:t>
            </w:r>
          </w:p>
        </w:tc>
        <w:tc>
          <w:tcPr>
            <w:tcW w:w="3330" w:type="dxa"/>
            <w:vAlign w:val="center"/>
          </w:tcPr>
          <w:p w14:paraId="471D8116" w14:textId="77777777" w:rsidR="007C0F2A" w:rsidRPr="009A2045" w:rsidRDefault="007C0F2A" w:rsidP="009A2045">
            <w:pPr>
              <w:rPr>
                <w:sz w:val="20"/>
                <w:szCs w:val="20"/>
              </w:rPr>
            </w:pPr>
            <w:r w:rsidRPr="009A2045">
              <w:rPr>
                <w:sz w:val="20"/>
                <w:szCs w:val="20"/>
              </w:rPr>
              <w:t>Describe the likelihood of an effect on reproductive, growth, and/or mortality endpoints at the expected concentrations</w:t>
            </w:r>
          </w:p>
        </w:tc>
      </w:tr>
      <w:tr w:rsidR="007C0F2A" w:rsidRPr="009A2045" w14:paraId="1D77A1F1" w14:textId="77777777" w:rsidTr="007C0F2A">
        <w:trPr>
          <w:trHeight w:val="855"/>
        </w:trPr>
        <w:tc>
          <w:tcPr>
            <w:tcW w:w="2194" w:type="dxa"/>
            <w:vMerge w:val="restart"/>
            <w:vAlign w:val="center"/>
          </w:tcPr>
          <w:p w14:paraId="357ED991" w14:textId="272FF817" w:rsidR="007C0F2A" w:rsidRPr="009A2045" w:rsidRDefault="007C0F2A" w:rsidP="009A2045">
            <w:r w:rsidRPr="009A2045">
              <w:rPr>
                <w:sz w:val="20"/>
                <w:szCs w:val="20"/>
              </w:rPr>
              <w:t xml:space="preserve">5. Impaired sensory function from the use of </w:t>
            </w:r>
            <w:r w:rsidR="009F0204" w:rsidRPr="009A2045">
              <w:rPr>
                <w:sz w:val="20"/>
                <w:szCs w:val="20"/>
              </w:rPr>
              <w:t>malathion</w:t>
            </w:r>
            <w:r w:rsidRPr="009A2045">
              <w:rPr>
                <w:sz w:val="20"/>
                <w:szCs w:val="20"/>
              </w:rPr>
              <w:t xml:space="preserve"> according to registered labels (direct effect)</w:t>
            </w:r>
          </w:p>
        </w:tc>
        <w:tc>
          <w:tcPr>
            <w:tcW w:w="2194" w:type="dxa"/>
            <w:vAlign w:val="center"/>
          </w:tcPr>
          <w:p w14:paraId="5E6D562F" w14:textId="77777777" w:rsidR="007C0F2A" w:rsidRPr="009A2045" w:rsidRDefault="007C0F2A" w:rsidP="009A2045">
            <w:r w:rsidRPr="009A2045">
              <w:rPr>
                <w:sz w:val="20"/>
                <w:szCs w:val="20"/>
              </w:rPr>
              <w:t>Estimated exposure values or field-scale monitoring studies relevant to the duration of exposure that elicited the effect(s)</w:t>
            </w:r>
          </w:p>
        </w:tc>
        <w:tc>
          <w:tcPr>
            <w:tcW w:w="2987" w:type="dxa"/>
            <w:vAlign w:val="center"/>
          </w:tcPr>
          <w:p w14:paraId="23901FFE" w14:textId="77777777" w:rsidR="007C0F2A" w:rsidRPr="009A2045" w:rsidRDefault="007C0F2A" w:rsidP="009A2045">
            <w:r w:rsidRPr="009A2045">
              <w:rPr>
                <w:sz w:val="20"/>
                <w:szCs w:val="20"/>
              </w:rPr>
              <w:t>Sensory function endpoint (that could impact predator avoidance, prey detection, homing abilities, reproduction, etc.):  Most sensitive NOAEC for endpoints for the representative taxon</w:t>
            </w:r>
          </w:p>
        </w:tc>
        <w:tc>
          <w:tcPr>
            <w:tcW w:w="2790" w:type="dxa"/>
            <w:vAlign w:val="center"/>
          </w:tcPr>
          <w:p w14:paraId="6B2821B9" w14:textId="77777777" w:rsidR="007C0F2A" w:rsidRPr="009A2045" w:rsidRDefault="007C0F2A" w:rsidP="009A2045">
            <w:r w:rsidRPr="009A2045">
              <w:rPr>
                <w:sz w:val="20"/>
                <w:szCs w:val="20"/>
              </w:rPr>
              <w:t>Endpoints relevant to sensory abilities</w:t>
            </w:r>
          </w:p>
          <w:p w14:paraId="7DA296DC" w14:textId="77777777" w:rsidR="007C0F2A" w:rsidRPr="009A2045" w:rsidRDefault="007C0F2A" w:rsidP="009A2045"/>
          <w:p w14:paraId="61828269" w14:textId="77777777" w:rsidR="007C0F2A" w:rsidRPr="009A2045" w:rsidRDefault="007C0F2A" w:rsidP="009A2045">
            <w:r w:rsidRPr="009A2045">
              <w:rPr>
                <w:sz w:val="20"/>
                <w:szCs w:val="20"/>
              </w:rPr>
              <w:t>(Laboratory studies)</w:t>
            </w:r>
          </w:p>
        </w:tc>
        <w:tc>
          <w:tcPr>
            <w:tcW w:w="3330" w:type="dxa"/>
            <w:vAlign w:val="center"/>
          </w:tcPr>
          <w:p w14:paraId="66D1E629" w14:textId="77777777" w:rsidR="007C0F2A" w:rsidRPr="009A2045" w:rsidRDefault="007C0F2A" w:rsidP="009A2045">
            <w:r w:rsidRPr="009A2045">
              <w:rPr>
                <w:sz w:val="20"/>
                <w:szCs w:val="20"/>
              </w:rPr>
              <w:t>Describe the magnitude of an effect on reproductive, growth, and/or mortality endpoints at the expected concentrations</w:t>
            </w:r>
          </w:p>
        </w:tc>
      </w:tr>
      <w:tr w:rsidR="007C0F2A" w:rsidRPr="009A2045" w14:paraId="7506EF71" w14:textId="77777777" w:rsidTr="007C0F2A">
        <w:trPr>
          <w:trHeight w:val="855"/>
        </w:trPr>
        <w:tc>
          <w:tcPr>
            <w:tcW w:w="2194" w:type="dxa"/>
            <w:vMerge/>
            <w:vAlign w:val="center"/>
          </w:tcPr>
          <w:p w14:paraId="118C555F" w14:textId="77777777" w:rsidR="007C0F2A" w:rsidRPr="009A2045" w:rsidRDefault="007C0F2A" w:rsidP="009A2045">
            <w:pPr>
              <w:rPr>
                <w:sz w:val="20"/>
                <w:szCs w:val="20"/>
              </w:rPr>
            </w:pPr>
          </w:p>
        </w:tc>
        <w:tc>
          <w:tcPr>
            <w:tcW w:w="2194" w:type="dxa"/>
            <w:vAlign w:val="center"/>
          </w:tcPr>
          <w:p w14:paraId="4FB3E78A" w14:textId="77777777" w:rsidR="007C0F2A" w:rsidRPr="009A2045" w:rsidRDefault="007C0F2A" w:rsidP="009A2045">
            <w:pPr>
              <w:rPr>
                <w:sz w:val="20"/>
                <w:szCs w:val="20"/>
              </w:rPr>
            </w:pPr>
            <w:r w:rsidRPr="009A2045">
              <w:rPr>
                <w:sz w:val="20"/>
                <w:szCs w:val="20"/>
              </w:rPr>
              <w:t>Distribution of estimated exposure values</w:t>
            </w:r>
          </w:p>
        </w:tc>
        <w:tc>
          <w:tcPr>
            <w:tcW w:w="2987" w:type="dxa"/>
            <w:vAlign w:val="center"/>
          </w:tcPr>
          <w:p w14:paraId="43C684A8" w14:textId="77777777" w:rsidR="007C0F2A" w:rsidRPr="009A2045" w:rsidRDefault="007C0F2A" w:rsidP="009A2045">
            <w:pPr>
              <w:rPr>
                <w:sz w:val="20"/>
                <w:szCs w:val="20"/>
              </w:rPr>
            </w:pPr>
            <w:r w:rsidRPr="009A2045">
              <w:rPr>
                <w:sz w:val="20"/>
                <w:szCs w:val="20"/>
              </w:rPr>
              <w:t>Sensory function endpoint (no defined threshold)</w:t>
            </w:r>
          </w:p>
        </w:tc>
        <w:tc>
          <w:tcPr>
            <w:tcW w:w="2790" w:type="dxa"/>
            <w:vAlign w:val="center"/>
          </w:tcPr>
          <w:p w14:paraId="31DBED9C" w14:textId="77777777" w:rsidR="007C0F2A" w:rsidRPr="009A2045" w:rsidRDefault="007C0F2A" w:rsidP="009A2045">
            <w:r w:rsidRPr="009A2045">
              <w:rPr>
                <w:sz w:val="20"/>
                <w:szCs w:val="20"/>
              </w:rPr>
              <w:t>Endpoints relevant to sensory abilities</w:t>
            </w:r>
          </w:p>
          <w:p w14:paraId="5D374593" w14:textId="77777777" w:rsidR="007C0F2A" w:rsidRPr="009A2045" w:rsidRDefault="007C0F2A" w:rsidP="009A2045"/>
          <w:p w14:paraId="2C74F251" w14:textId="77777777" w:rsidR="007C0F2A" w:rsidRPr="009A2045" w:rsidRDefault="007C0F2A" w:rsidP="009A2045">
            <w:pPr>
              <w:rPr>
                <w:sz w:val="20"/>
                <w:szCs w:val="20"/>
              </w:rPr>
            </w:pPr>
            <w:r w:rsidRPr="009A2045">
              <w:rPr>
                <w:sz w:val="20"/>
                <w:szCs w:val="20"/>
              </w:rPr>
              <w:lastRenderedPageBreak/>
              <w:t>(Laboratory and field studies)</w:t>
            </w:r>
          </w:p>
        </w:tc>
        <w:tc>
          <w:tcPr>
            <w:tcW w:w="3330" w:type="dxa"/>
            <w:vAlign w:val="center"/>
          </w:tcPr>
          <w:p w14:paraId="1D80E612" w14:textId="77777777" w:rsidR="007C0F2A" w:rsidRPr="009A2045" w:rsidRDefault="007C0F2A" w:rsidP="009A2045">
            <w:pPr>
              <w:rPr>
                <w:sz w:val="20"/>
                <w:szCs w:val="20"/>
              </w:rPr>
            </w:pPr>
            <w:r w:rsidRPr="009A2045">
              <w:rPr>
                <w:sz w:val="20"/>
                <w:szCs w:val="20"/>
              </w:rPr>
              <w:lastRenderedPageBreak/>
              <w:t>Describe the likelihood of an effect on reproductive, growth, and/or mortality endpoints at the expected concentrations</w:t>
            </w:r>
          </w:p>
        </w:tc>
      </w:tr>
      <w:tr w:rsidR="007C0F2A" w:rsidRPr="009A2045" w14:paraId="04883872" w14:textId="77777777" w:rsidTr="007C0F2A">
        <w:trPr>
          <w:trHeight w:val="1440"/>
        </w:trPr>
        <w:tc>
          <w:tcPr>
            <w:tcW w:w="2194" w:type="dxa"/>
            <w:vMerge w:val="restart"/>
            <w:vAlign w:val="center"/>
          </w:tcPr>
          <w:p w14:paraId="261CB704" w14:textId="0EF8E725" w:rsidR="007C0F2A" w:rsidRPr="009A2045" w:rsidRDefault="007C0F2A" w:rsidP="009A2045">
            <w:r w:rsidRPr="009A2045">
              <w:rPr>
                <w:sz w:val="20"/>
                <w:szCs w:val="20"/>
              </w:rPr>
              <w:lastRenderedPageBreak/>
              <w:t xml:space="preserve">6. Indirect effects to listed individuals from the use of </w:t>
            </w:r>
            <w:r w:rsidR="009F0204" w:rsidRPr="009A2045">
              <w:rPr>
                <w:sz w:val="20"/>
                <w:szCs w:val="20"/>
              </w:rPr>
              <w:t>malathion</w:t>
            </w:r>
            <w:r w:rsidRPr="009A2045">
              <w:rPr>
                <w:sz w:val="20"/>
                <w:szCs w:val="20"/>
              </w:rPr>
              <w:t xml:space="preserve"> according to registered labels</w:t>
            </w:r>
          </w:p>
          <w:p w14:paraId="36A5DCC3" w14:textId="77777777" w:rsidR="007C0F2A" w:rsidRPr="009A2045" w:rsidRDefault="007C0F2A" w:rsidP="009A2045"/>
        </w:tc>
        <w:tc>
          <w:tcPr>
            <w:tcW w:w="2194" w:type="dxa"/>
            <w:vAlign w:val="center"/>
          </w:tcPr>
          <w:p w14:paraId="1412E32F" w14:textId="77777777" w:rsidR="007C0F2A" w:rsidRPr="009A2045" w:rsidRDefault="007C0F2A" w:rsidP="009A2045">
            <w:r w:rsidRPr="009A2045">
              <w:rPr>
                <w:sz w:val="20"/>
                <w:szCs w:val="20"/>
              </w:rPr>
              <w:t>Peak estimated exposure values or field-scale monitoring data</w:t>
            </w:r>
          </w:p>
        </w:tc>
        <w:tc>
          <w:tcPr>
            <w:tcW w:w="2987" w:type="dxa"/>
            <w:vAlign w:val="center"/>
          </w:tcPr>
          <w:p w14:paraId="33A23A59" w14:textId="77777777" w:rsidR="007C0F2A" w:rsidRPr="009A2045" w:rsidRDefault="007C0F2A" w:rsidP="009A2045">
            <w:r w:rsidRPr="009A2045">
              <w:rPr>
                <w:sz w:val="20"/>
                <w:szCs w:val="20"/>
              </w:rPr>
              <w:t>Mortality (for loss of prey, pollinator, seed disperser, host species; or alteration of habitat): 10% effect level [for the HC</w:t>
            </w:r>
            <w:r w:rsidRPr="009A2045">
              <w:rPr>
                <w:sz w:val="20"/>
                <w:szCs w:val="20"/>
                <w:vertAlign w:val="subscript"/>
              </w:rPr>
              <w:t xml:space="preserve">05 </w:t>
            </w:r>
            <w:r w:rsidRPr="009A2045">
              <w:rPr>
                <w:sz w:val="20"/>
                <w:szCs w:val="20"/>
              </w:rPr>
              <w:t>(if an SSD can be calculated) or the most sensitive mortality endpoint for the representative taxon (if an SSD cannot be calculated)].</w:t>
            </w:r>
          </w:p>
        </w:tc>
        <w:tc>
          <w:tcPr>
            <w:tcW w:w="2790" w:type="dxa"/>
            <w:vAlign w:val="center"/>
          </w:tcPr>
          <w:p w14:paraId="71A52B9D" w14:textId="77777777" w:rsidR="007C0F2A" w:rsidRPr="009A2045" w:rsidRDefault="007C0F2A" w:rsidP="009A2045">
            <w:r w:rsidRPr="009A2045">
              <w:rPr>
                <w:sz w:val="20"/>
                <w:szCs w:val="20"/>
              </w:rPr>
              <w:t>LC</w:t>
            </w:r>
            <w:r w:rsidRPr="009A2045">
              <w:rPr>
                <w:sz w:val="20"/>
                <w:szCs w:val="20"/>
                <w:vertAlign w:val="subscript"/>
              </w:rPr>
              <w:t>50</w:t>
            </w:r>
            <w:r w:rsidRPr="009A2045">
              <w:rPr>
                <w:sz w:val="20"/>
                <w:szCs w:val="20"/>
              </w:rPr>
              <w:t>/LD</w:t>
            </w:r>
            <w:r w:rsidRPr="009A2045">
              <w:rPr>
                <w:sz w:val="20"/>
                <w:szCs w:val="20"/>
                <w:vertAlign w:val="subscript"/>
              </w:rPr>
              <w:t>50</w:t>
            </w:r>
            <w:r w:rsidRPr="009A2045">
              <w:rPr>
                <w:sz w:val="20"/>
                <w:szCs w:val="20"/>
              </w:rPr>
              <w:t xml:space="preserve"> and slope </w:t>
            </w:r>
          </w:p>
          <w:p w14:paraId="68872A95" w14:textId="77777777" w:rsidR="007C0F2A" w:rsidRPr="009A2045" w:rsidRDefault="007C0F2A" w:rsidP="009A2045"/>
          <w:p w14:paraId="24797C68" w14:textId="77777777" w:rsidR="007C0F2A" w:rsidRPr="009A2045" w:rsidRDefault="007C0F2A" w:rsidP="009A2045">
            <w:r w:rsidRPr="009A2045">
              <w:rPr>
                <w:sz w:val="20"/>
                <w:szCs w:val="20"/>
              </w:rPr>
              <w:t>(Laboratory toxicity studies)</w:t>
            </w:r>
          </w:p>
        </w:tc>
        <w:tc>
          <w:tcPr>
            <w:tcW w:w="3330" w:type="dxa"/>
            <w:vAlign w:val="center"/>
          </w:tcPr>
          <w:p w14:paraId="63A6794C" w14:textId="77777777" w:rsidR="007C0F2A" w:rsidRPr="009A2045" w:rsidRDefault="007C0F2A" w:rsidP="009A2045">
            <w:r w:rsidRPr="009A2045">
              <w:rPr>
                <w:sz w:val="20"/>
                <w:szCs w:val="20"/>
              </w:rPr>
              <w:t>Describe if the threshold is exceeded or not at expected concentrations</w:t>
            </w:r>
          </w:p>
        </w:tc>
      </w:tr>
      <w:tr w:rsidR="007C0F2A" w:rsidRPr="009A2045" w14:paraId="121F11C8" w14:textId="77777777" w:rsidTr="007C0F2A">
        <w:trPr>
          <w:trHeight w:val="1440"/>
        </w:trPr>
        <w:tc>
          <w:tcPr>
            <w:tcW w:w="2194" w:type="dxa"/>
            <w:vMerge/>
            <w:vAlign w:val="center"/>
          </w:tcPr>
          <w:p w14:paraId="78EA2D1A" w14:textId="77777777" w:rsidR="007C0F2A" w:rsidRPr="009A2045" w:rsidRDefault="007C0F2A" w:rsidP="009A2045"/>
        </w:tc>
        <w:tc>
          <w:tcPr>
            <w:tcW w:w="2194" w:type="dxa"/>
            <w:vAlign w:val="center"/>
          </w:tcPr>
          <w:p w14:paraId="4AD1276B" w14:textId="77777777" w:rsidR="007C0F2A" w:rsidRPr="009A2045" w:rsidRDefault="007C0F2A" w:rsidP="009A2045">
            <w:r w:rsidRPr="009A2045">
              <w:rPr>
                <w:sz w:val="20"/>
                <w:szCs w:val="20"/>
              </w:rPr>
              <w:t>Distribution of estimated exposure values</w:t>
            </w:r>
          </w:p>
        </w:tc>
        <w:tc>
          <w:tcPr>
            <w:tcW w:w="2987" w:type="dxa"/>
            <w:vAlign w:val="center"/>
          </w:tcPr>
          <w:p w14:paraId="54E22024" w14:textId="77777777" w:rsidR="007C0F2A" w:rsidRPr="009A2045" w:rsidRDefault="007C0F2A" w:rsidP="009A2045">
            <w:r w:rsidRPr="009A2045">
              <w:rPr>
                <w:sz w:val="20"/>
                <w:szCs w:val="20"/>
              </w:rPr>
              <w:t>Mortality (no defined threshold)</w:t>
            </w:r>
          </w:p>
        </w:tc>
        <w:tc>
          <w:tcPr>
            <w:tcW w:w="2790" w:type="dxa"/>
            <w:vAlign w:val="center"/>
          </w:tcPr>
          <w:p w14:paraId="01F7F0FB" w14:textId="77777777" w:rsidR="007C0F2A" w:rsidRPr="009A2045" w:rsidRDefault="007C0F2A" w:rsidP="009A2045">
            <w:r w:rsidRPr="009A2045">
              <w:rPr>
                <w:sz w:val="20"/>
                <w:szCs w:val="20"/>
              </w:rPr>
              <w:t>LC</w:t>
            </w:r>
            <w:r w:rsidRPr="009A2045">
              <w:rPr>
                <w:sz w:val="20"/>
                <w:szCs w:val="20"/>
                <w:vertAlign w:val="subscript"/>
              </w:rPr>
              <w:t>50</w:t>
            </w:r>
            <w:r w:rsidRPr="009A2045">
              <w:rPr>
                <w:sz w:val="20"/>
                <w:szCs w:val="20"/>
              </w:rPr>
              <w:t>/LD</w:t>
            </w:r>
            <w:r w:rsidRPr="009A2045">
              <w:rPr>
                <w:sz w:val="20"/>
                <w:szCs w:val="20"/>
                <w:vertAlign w:val="subscript"/>
              </w:rPr>
              <w:t>50</w:t>
            </w:r>
            <w:r w:rsidRPr="009A2045">
              <w:rPr>
                <w:sz w:val="20"/>
                <w:szCs w:val="20"/>
              </w:rPr>
              <w:t xml:space="preserve"> and slope </w:t>
            </w:r>
          </w:p>
          <w:p w14:paraId="1FE46FE1" w14:textId="77777777" w:rsidR="007C0F2A" w:rsidRPr="009A2045" w:rsidRDefault="007C0F2A" w:rsidP="009A2045"/>
          <w:p w14:paraId="19A4C20A" w14:textId="77777777" w:rsidR="007C0F2A" w:rsidRPr="009A2045" w:rsidRDefault="007C0F2A" w:rsidP="009A2045">
            <w:r w:rsidRPr="009A2045">
              <w:rPr>
                <w:sz w:val="20"/>
                <w:szCs w:val="20"/>
              </w:rPr>
              <w:t>(Laboratory toxicity studies)</w:t>
            </w:r>
          </w:p>
        </w:tc>
        <w:tc>
          <w:tcPr>
            <w:tcW w:w="3330" w:type="dxa"/>
            <w:vAlign w:val="center"/>
          </w:tcPr>
          <w:p w14:paraId="60B4C60F" w14:textId="77777777" w:rsidR="007C0F2A" w:rsidRPr="009A2045" w:rsidRDefault="007C0F2A" w:rsidP="009A2045">
            <w:r w:rsidRPr="009A2045">
              <w:rPr>
                <w:sz w:val="20"/>
                <w:szCs w:val="20"/>
              </w:rPr>
              <w:t>Describe the likelihood of effects on prey base, habitat, pollinators, etc. at expected concentrations</w:t>
            </w:r>
          </w:p>
        </w:tc>
      </w:tr>
      <w:tr w:rsidR="007C0F2A" w:rsidRPr="009A2045" w14:paraId="517AA671" w14:textId="77777777" w:rsidTr="007C0F2A">
        <w:trPr>
          <w:trHeight w:val="2040"/>
        </w:trPr>
        <w:tc>
          <w:tcPr>
            <w:tcW w:w="2194" w:type="dxa"/>
            <w:vMerge/>
            <w:vAlign w:val="center"/>
          </w:tcPr>
          <w:p w14:paraId="4CF9E173" w14:textId="77777777" w:rsidR="007C0F2A" w:rsidRPr="009A2045" w:rsidRDefault="007C0F2A" w:rsidP="009A2045"/>
        </w:tc>
        <w:tc>
          <w:tcPr>
            <w:tcW w:w="2194" w:type="dxa"/>
            <w:vAlign w:val="center"/>
          </w:tcPr>
          <w:p w14:paraId="294AD0AC" w14:textId="77777777" w:rsidR="007C0F2A" w:rsidRPr="009A2045" w:rsidRDefault="007C0F2A" w:rsidP="009A2045">
            <w:r w:rsidRPr="009A2045">
              <w:rPr>
                <w:sz w:val="20"/>
                <w:szCs w:val="20"/>
              </w:rPr>
              <w:t>Environmental exposures</w:t>
            </w:r>
          </w:p>
        </w:tc>
        <w:tc>
          <w:tcPr>
            <w:tcW w:w="2987" w:type="dxa"/>
            <w:vAlign w:val="center"/>
          </w:tcPr>
          <w:p w14:paraId="36340C6F" w14:textId="77777777" w:rsidR="007C0F2A" w:rsidRPr="009A2045" w:rsidRDefault="007C0F2A" w:rsidP="009A2045">
            <w:r w:rsidRPr="009A2045">
              <w:rPr>
                <w:sz w:val="20"/>
                <w:szCs w:val="20"/>
              </w:rPr>
              <w:t>Mortality (for loss of prey, pollinator, seed disperser, host species; or alteration of habitat) (no defined threshold)</w:t>
            </w:r>
          </w:p>
        </w:tc>
        <w:tc>
          <w:tcPr>
            <w:tcW w:w="2790" w:type="dxa"/>
            <w:vAlign w:val="center"/>
          </w:tcPr>
          <w:p w14:paraId="05CDCFC6" w14:textId="77777777" w:rsidR="007C0F2A" w:rsidRPr="009A2045" w:rsidRDefault="007C0F2A" w:rsidP="009A2045">
            <w:r w:rsidRPr="009A2045">
              <w:rPr>
                <w:sz w:val="20"/>
                <w:szCs w:val="20"/>
              </w:rPr>
              <w:t xml:space="preserve">Mortalities reported in </w:t>
            </w:r>
          </w:p>
          <w:p w14:paraId="43A8A36A" w14:textId="77777777" w:rsidR="007C0F2A" w:rsidRPr="009A2045" w:rsidRDefault="007C0F2A" w:rsidP="009A2045">
            <w:r w:rsidRPr="009A2045">
              <w:rPr>
                <w:sz w:val="20"/>
                <w:szCs w:val="20"/>
              </w:rPr>
              <w:t>incident reports and field studies</w:t>
            </w:r>
          </w:p>
          <w:p w14:paraId="3791F419" w14:textId="77777777" w:rsidR="007C0F2A" w:rsidRPr="009A2045" w:rsidRDefault="007C0F2A" w:rsidP="009A2045"/>
          <w:p w14:paraId="754E2DB5" w14:textId="77777777" w:rsidR="007C0F2A" w:rsidRPr="009A2045" w:rsidRDefault="007C0F2A" w:rsidP="009A2045">
            <w:r w:rsidRPr="009A2045">
              <w:rPr>
                <w:sz w:val="20"/>
                <w:szCs w:val="20"/>
              </w:rPr>
              <w:t>(Incident reports and field studies)</w:t>
            </w:r>
          </w:p>
        </w:tc>
        <w:tc>
          <w:tcPr>
            <w:tcW w:w="3330" w:type="dxa"/>
            <w:vAlign w:val="center"/>
          </w:tcPr>
          <w:p w14:paraId="533C75A9" w14:textId="77777777" w:rsidR="007C0F2A" w:rsidRPr="009A2045" w:rsidRDefault="007C0F2A" w:rsidP="009A2045">
            <w:r w:rsidRPr="009A2045">
              <w:rPr>
                <w:sz w:val="20"/>
                <w:szCs w:val="20"/>
              </w:rPr>
              <w:t>Review data and summarize highly probable and probable  incidents- qualitative discussion</w:t>
            </w:r>
          </w:p>
        </w:tc>
      </w:tr>
      <w:tr w:rsidR="007C0F2A" w:rsidRPr="009A2045" w14:paraId="20539D30" w14:textId="77777777" w:rsidTr="007C0F2A">
        <w:trPr>
          <w:trHeight w:val="1720"/>
        </w:trPr>
        <w:tc>
          <w:tcPr>
            <w:tcW w:w="2194" w:type="dxa"/>
            <w:vMerge/>
            <w:vAlign w:val="center"/>
          </w:tcPr>
          <w:p w14:paraId="695012EB" w14:textId="77777777" w:rsidR="007C0F2A" w:rsidRPr="009A2045" w:rsidRDefault="007C0F2A" w:rsidP="009A2045"/>
        </w:tc>
        <w:tc>
          <w:tcPr>
            <w:tcW w:w="2194" w:type="dxa"/>
            <w:vAlign w:val="center"/>
          </w:tcPr>
          <w:p w14:paraId="3FF2A15B" w14:textId="77777777" w:rsidR="007C0F2A" w:rsidRPr="009A2045" w:rsidRDefault="007C0F2A" w:rsidP="009A2045">
            <w:r w:rsidRPr="009A2045">
              <w:rPr>
                <w:sz w:val="20"/>
                <w:szCs w:val="20"/>
              </w:rPr>
              <w:t>Estimated exposure values or field-scale monitoring studies relevant to the duration of exposure that elicited the effect(s)</w:t>
            </w:r>
          </w:p>
        </w:tc>
        <w:tc>
          <w:tcPr>
            <w:tcW w:w="2987" w:type="dxa"/>
            <w:vAlign w:val="center"/>
          </w:tcPr>
          <w:p w14:paraId="5A24EDAF" w14:textId="77777777" w:rsidR="007C0F2A" w:rsidRPr="009A2045" w:rsidRDefault="007C0F2A" w:rsidP="009A2045">
            <w:r w:rsidRPr="009A2045">
              <w:rPr>
                <w:sz w:val="20"/>
                <w:szCs w:val="20"/>
              </w:rPr>
              <w:t>Reduced growth and/or reproduction (for loss of prey, pollinator, seed disperser, host species; or alteration of habitat): Most sensitive LOAEC for growth or reproduction for the representative taxon</w:t>
            </w:r>
          </w:p>
        </w:tc>
        <w:tc>
          <w:tcPr>
            <w:tcW w:w="2790" w:type="dxa"/>
            <w:vAlign w:val="center"/>
          </w:tcPr>
          <w:p w14:paraId="55BF334E" w14:textId="77777777" w:rsidR="007C0F2A" w:rsidRPr="009A2045" w:rsidRDefault="007C0F2A" w:rsidP="009A2045">
            <w:r w:rsidRPr="009A2045">
              <w:rPr>
                <w:sz w:val="20"/>
                <w:szCs w:val="20"/>
              </w:rPr>
              <w:t>Growth and reproduction endpoints</w:t>
            </w:r>
          </w:p>
          <w:p w14:paraId="23202449" w14:textId="77777777" w:rsidR="007C0F2A" w:rsidRPr="009A2045" w:rsidRDefault="007C0F2A" w:rsidP="009A2045"/>
          <w:p w14:paraId="231CBC0B" w14:textId="77777777" w:rsidR="007C0F2A" w:rsidRPr="009A2045" w:rsidRDefault="007C0F2A" w:rsidP="009A2045">
            <w:r w:rsidRPr="009A2045">
              <w:rPr>
                <w:sz w:val="20"/>
                <w:szCs w:val="20"/>
              </w:rPr>
              <w:t>(Laboratory and field studies)</w:t>
            </w:r>
          </w:p>
        </w:tc>
        <w:tc>
          <w:tcPr>
            <w:tcW w:w="3330" w:type="dxa"/>
            <w:vAlign w:val="center"/>
          </w:tcPr>
          <w:p w14:paraId="2066BC54" w14:textId="77777777" w:rsidR="007C0F2A" w:rsidRPr="009A2045" w:rsidRDefault="007C0F2A" w:rsidP="009A2045">
            <w:r w:rsidRPr="009A2045">
              <w:rPr>
                <w:sz w:val="20"/>
                <w:szCs w:val="20"/>
              </w:rPr>
              <w:t>Describe if the threshold is exceeded or not at expected concentrations</w:t>
            </w:r>
          </w:p>
        </w:tc>
      </w:tr>
      <w:tr w:rsidR="007C0F2A" w:rsidRPr="009A2045" w14:paraId="534E95C2" w14:textId="77777777" w:rsidTr="007C0F2A">
        <w:trPr>
          <w:trHeight w:val="1720"/>
        </w:trPr>
        <w:tc>
          <w:tcPr>
            <w:tcW w:w="2194" w:type="dxa"/>
            <w:vMerge/>
            <w:vAlign w:val="center"/>
          </w:tcPr>
          <w:p w14:paraId="42C1F688" w14:textId="77777777" w:rsidR="007C0F2A" w:rsidRPr="009A2045" w:rsidRDefault="007C0F2A" w:rsidP="009A2045"/>
        </w:tc>
        <w:tc>
          <w:tcPr>
            <w:tcW w:w="2194" w:type="dxa"/>
            <w:vAlign w:val="center"/>
          </w:tcPr>
          <w:p w14:paraId="261B8CCF" w14:textId="77777777" w:rsidR="007C0F2A" w:rsidRPr="009A2045" w:rsidRDefault="007C0F2A" w:rsidP="009A2045">
            <w:r w:rsidRPr="009A2045">
              <w:rPr>
                <w:sz w:val="20"/>
                <w:szCs w:val="20"/>
              </w:rPr>
              <w:t>Distribution of estimated exposure values or field-scale monitoring studies relevant to the duration of exposure that elicited the effect(s)</w:t>
            </w:r>
          </w:p>
        </w:tc>
        <w:tc>
          <w:tcPr>
            <w:tcW w:w="2987" w:type="dxa"/>
            <w:vAlign w:val="center"/>
          </w:tcPr>
          <w:p w14:paraId="09F5AD08" w14:textId="77777777" w:rsidR="007C0F2A" w:rsidRPr="009A2045" w:rsidRDefault="007C0F2A" w:rsidP="009A2045">
            <w:r w:rsidRPr="009A2045">
              <w:rPr>
                <w:sz w:val="20"/>
                <w:szCs w:val="20"/>
              </w:rPr>
              <w:t>Reduced growth and/or reproduction (for loss of prey, pollinator, seed disperser, host species; or alteration of habitat) (no defined threshold)</w:t>
            </w:r>
          </w:p>
        </w:tc>
        <w:tc>
          <w:tcPr>
            <w:tcW w:w="2790" w:type="dxa"/>
            <w:vAlign w:val="center"/>
          </w:tcPr>
          <w:p w14:paraId="30FBB87D" w14:textId="77777777" w:rsidR="007C0F2A" w:rsidRPr="009A2045" w:rsidRDefault="007C0F2A" w:rsidP="009A2045">
            <w:r w:rsidRPr="009A2045">
              <w:rPr>
                <w:sz w:val="20"/>
                <w:szCs w:val="20"/>
              </w:rPr>
              <w:t>Growth and reproduction endpoints</w:t>
            </w:r>
          </w:p>
          <w:p w14:paraId="43E1702C" w14:textId="77777777" w:rsidR="007C0F2A" w:rsidRPr="009A2045" w:rsidRDefault="007C0F2A" w:rsidP="009A2045"/>
          <w:p w14:paraId="3A991CE1" w14:textId="77777777" w:rsidR="007C0F2A" w:rsidRPr="009A2045" w:rsidRDefault="007C0F2A" w:rsidP="009A2045">
            <w:r w:rsidRPr="009A2045">
              <w:rPr>
                <w:sz w:val="20"/>
                <w:szCs w:val="20"/>
              </w:rPr>
              <w:t>(Laboratory and field studies)</w:t>
            </w:r>
          </w:p>
        </w:tc>
        <w:tc>
          <w:tcPr>
            <w:tcW w:w="3330" w:type="dxa"/>
            <w:vAlign w:val="center"/>
          </w:tcPr>
          <w:p w14:paraId="1EF5B5DD" w14:textId="77777777" w:rsidR="007C0F2A" w:rsidRPr="009A2045" w:rsidRDefault="007C0F2A" w:rsidP="009A2045">
            <w:r w:rsidRPr="009A2045">
              <w:rPr>
                <w:sz w:val="20"/>
                <w:szCs w:val="20"/>
              </w:rPr>
              <w:t>Describe the likelihood of effects on prey base, habitat, pollinators, etc. at expected concentrations</w:t>
            </w:r>
          </w:p>
        </w:tc>
      </w:tr>
      <w:tr w:rsidR="007C0F2A" w:rsidRPr="009A2045" w14:paraId="12E4D12E" w14:textId="77777777" w:rsidTr="007C0F2A">
        <w:trPr>
          <w:trHeight w:val="1720"/>
        </w:trPr>
        <w:tc>
          <w:tcPr>
            <w:tcW w:w="2194" w:type="dxa"/>
            <w:vAlign w:val="center"/>
          </w:tcPr>
          <w:p w14:paraId="08D40F58" w14:textId="77777777" w:rsidR="007C0F2A" w:rsidRPr="009A2045" w:rsidRDefault="007C0F2A" w:rsidP="009A2045">
            <w:r w:rsidRPr="009A2045">
              <w:rPr>
                <w:sz w:val="20"/>
                <w:szCs w:val="20"/>
              </w:rPr>
              <w:t>7. Differences in toxicity observed when exposed to mixtures</w:t>
            </w:r>
          </w:p>
        </w:tc>
        <w:tc>
          <w:tcPr>
            <w:tcW w:w="2194" w:type="dxa"/>
            <w:vAlign w:val="center"/>
          </w:tcPr>
          <w:p w14:paraId="4A5D4A9B" w14:textId="77777777" w:rsidR="007C0F2A" w:rsidRPr="009A2045" w:rsidRDefault="007C0F2A" w:rsidP="009A2045">
            <w:r w:rsidRPr="009A2045">
              <w:rPr>
                <w:sz w:val="20"/>
                <w:szCs w:val="20"/>
              </w:rPr>
              <w:t>Available monitoring studies, usage data, and label information (</w:t>
            </w:r>
            <w:r w:rsidRPr="009A2045">
              <w:rPr>
                <w:i/>
                <w:sz w:val="20"/>
                <w:szCs w:val="20"/>
              </w:rPr>
              <w:t>e.g</w:t>
            </w:r>
            <w:r w:rsidRPr="009A2045">
              <w:rPr>
                <w:sz w:val="20"/>
                <w:szCs w:val="20"/>
              </w:rPr>
              <w:t>., recommended tank mixtures, multi-a.i. products)</w:t>
            </w:r>
          </w:p>
        </w:tc>
        <w:tc>
          <w:tcPr>
            <w:tcW w:w="2987" w:type="dxa"/>
            <w:vAlign w:val="center"/>
          </w:tcPr>
          <w:p w14:paraId="7803F984" w14:textId="77777777" w:rsidR="007C0F2A" w:rsidRPr="009A2045" w:rsidRDefault="007C0F2A" w:rsidP="009A2045">
            <w:r w:rsidRPr="009A2045">
              <w:rPr>
                <w:sz w:val="20"/>
                <w:szCs w:val="20"/>
              </w:rPr>
              <w:t>Mortality, growth, reproduction, behavior, etc. (direct effects)</w:t>
            </w:r>
          </w:p>
        </w:tc>
        <w:tc>
          <w:tcPr>
            <w:tcW w:w="2790" w:type="dxa"/>
            <w:vAlign w:val="center"/>
          </w:tcPr>
          <w:p w14:paraId="4B883BA8" w14:textId="77777777" w:rsidR="007C0F2A" w:rsidRPr="009A2045" w:rsidRDefault="007C0F2A" w:rsidP="009A2045">
            <w:r w:rsidRPr="009A2045">
              <w:rPr>
                <w:sz w:val="20"/>
                <w:szCs w:val="20"/>
              </w:rPr>
              <w:t>Mortality, growth, reproduction, behavioral, etc. as related to mixtures</w:t>
            </w:r>
          </w:p>
          <w:p w14:paraId="44657BDD" w14:textId="77777777" w:rsidR="007C0F2A" w:rsidRPr="009A2045" w:rsidRDefault="007C0F2A" w:rsidP="009A2045"/>
          <w:p w14:paraId="044DB357" w14:textId="77777777" w:rsidR="007C0F2A" w:rsidRPr="009A2045" w:rsidRDefault="007C0F2A" w:rsidP="009A2045">
            <w:r w:rsidRPr="009A2045">
              <w:rPr>
                <w:sz w:val="20"/>
                <w:szCs w:val="20"/>
              </w:rPr>
              <w:t>(laboratory and field studies)</w:t>
            </w:r>
          </w:p>
        </w:tc>
        <w:tc>
          <w:tcPr>
            <w:tcW w:w="3330" w:type="dxa"/>
            <w:vAlign w:val="center"/>
          </w:tcPr>
          <w:p w14:paraId="33E5D338" w14:textId="77777777" w:rsidR="007C0F2A" w:rsidRPr="009A2045" w:rsidRDefault="007C0F2A" w:rsidP="009A2045">
            <w:r w:rsidRPr="009A2045">
              <w:rPr>
                <w:sz w:val="20"/>
                <w:szCs w:val="20"/>
              </w:rPr>
              <w:t xml:space="preserve">The effects of mixtures will be qualitatively evaluated. The description of combined toxicity will assume additive toxicity (response or concentration addition) unless adequate data are available to determine if antagonism or synergism is more likely with specific mixture/species combinations.  </w:t>
            </w:r>
          </w:p>
        </w:tc>
      </w:tr>
      <w:tr w:rsidR="007C0F2A" w:rsidRPr="009A2045" w14:paraId="779E7FC7" w14:textId="77777777" w:rsidTr="007C0F2A">
        <w:trPr>
          <w:trHeight w:val="2660"/>
        </w:trPr>
        <w:tc>
          <w:tcPr>
            <w:tcW w:w="2194" w:type="dxa"/>
            <w:vAlign w:val="center"/>
          </w:tcPr>
          <w:p w14:paraId="6F399046" w14:textId="04CE9919" w:rsidR="007C0F2A" w:rsidRPr="009A2045" w:rsidRDefault="007C0F2A" w:rsidP="009A2045">
            <w:r w:rsidRPr="009A2045">
              <w:rPr>
                <w:sz w:val="20"/>
                <w:szCs w:val="20"/>
              </w:rPr>
              <w:lastRenderedPageBreak/>
              <w:t xml:space="preserve">8. Factors such as bacteria/viral prevalence, temperature, or pH in the environmental baseline enhances the susceptibility of listed species to </w:t>
            </w:r>
            <w:r w:rsidR="009F0204" w:rsidRPr="009A2045">
              <w:rPr>
                <w:sz w:val="20"/>
                <w:szCs w:val="20"/>
              </w:rPr>
              <w:t>malathion</w:t>
            </w:r>
          </w:p>
        </w:tc>
        <w:tc>
          <w:tcPr>
            <w:tcW w:w="2194" w:type="dxa"/>
            <w:vAlign w:val="center"/>
          </w:tcPr>
          <w:p w14:paraId="0E60C0F9" w14:textId="77777777" w:rsidR="007C0F2A" w:rsidRPr="009A2045" w:rsidRDefault="007C0F2A" w:rsidP="009A2045">
            <w:r w:rsidRPr="009A2045">
              <w:rPr>
                <w:sz w:val="20"/>
                <w:szCs w:val="20"/>
              </w:rPr>
              <w:t>Estimated exposure values or field-scale monitoring studies relevant to the duration of exposure that elicited the effect</w:t>
            </w:r>
          </w:p>
        </w:tc>
        <w:tc>
          <w:tcPr>
            <w:tcW w:w="2987" w:type="dxa"/>
            <w:vAlign w:val="center"/>
          </w:tcPr>
          <w:p w14:paraId="30D7C788" w14:textId="77777777" w:rsidR="007C0F2A" w:rsidRPr="009A2045" w:rsidRDefault="007C0F2A" w:rsidP="009A2045">
            <w:r w:rsidRPr="009A2045">
              <w:rPr>
                <w:sz w:val="20"/>
                <w:szCs w:val="20"/>
              </w:rPr>
              <w:t>Mortality, growth, reproduction, behavior, etc. (direct effects)</w:t>
            </w:r>
          </w:p>
        </w:tc>
        <w:tc>
          <w:tcPr>
            <w:tcW w:w="2790" w:type="dxa"/>
            <w:vAlign w:val="center"/>
          </w:tcPr>
          <w:p w14:paraId="610E7349" w14:textId="77777777" w:rsidR="007C0F2A" w:rsidRPr="009A2045" w:rsidRDefault="007C0F2A" w:rsidP="009A2045">
            <w:r w:rsidRPr="009A2045">
              <w:rPr>
                <w:sz w:val="20"/>
                <w:szCs w:val="20"/>
              </w:rPr>
              <w:t>Mortality, growth, reproduction, behavioral, etc. as related to environmental factors such as,  pH, temperature, or bacteria/viral</w:t>
            </w:r>
          </w:p>
          <w:p w14:paraId="0269B148" w14:textId="77777777" w:rsidR="007C0F2A" w:rsidRPr="009A2045" w:rsidRDefault="007C0F2A" w:rsidP="009A2045"/>
          <w:p w14:paraId="2BC2D101" w14:textId="77777777" w:rsidR="007C0F2A" w:rsidRPr="009A2045" w:rsidRDefault="007C0F2A" w:rsidP="009A2045">
            <w:r w:rsidRPr="009A2045">
              <w:rPr>
                <w:sz w:val="20"/>
                <w:szCs w:val="20"/>
              </w:rPr>
              <w:t xml:space="preserve">(laboratory and field studies) </w:t>
            </w:r>
          </w:p>
        </w:tc>
        <w:tc>
          <w:tcPr>
            <w:tcW w:w="3330" w:type="dxa"/>
            <w:vAlign w:val="center"/>
          </w:tcPr>
          <w:p w14:paraId="6BD8CF88" w14:textId="77777777" w:rsidR="007C0F2A" w:rsidRPr="009A2045" w:rsidRDefault="007C0F2A" w:rsidP="009A2045">
            <w:r w:rsidRPr="009A2045">
              <w:rPr>
                <w:sz w:val="20"/>
                <w:szCs w:val="20"/>
              </w:rPr>
              <w:t>Report assessment endpoint and measurement endpoints.  Compare exposure estimates and measures of environmental levels of the stressor. Discuss qualitatively.</w:t>
            </w:r>
          </w:p>
        </w:tc>
      </w:tr>
    </w:tbl>
    <w:p w14:paraId="1698DA60" w14:textId="77777777" w:rsidR="007C0F2A" w:rsidRPr="009A2045" w:rsidRDefault="007C0F2A" w:rsidP="009A2045">
      <w:pPr>
        <w:keepNext/>
        <w:keepLines/>
        <w:spacing w:after="0" w:line="240" w:lineRule="auto"/>
        <w:rPr>
          <w:sz w:val="20"/>
          <w:szCs w:val="20"/>
        </w:rPr>
      </w:pPr>
      <w:r w:rsidRPr="009A2045">
        <w:rPr>
          <w:sz w:val="20"/>
          <w:szCs w:val="20"/>
          <w:vertAlign w:val="superscript"/>
        </w:rPr>
        <w:t xml:space="preserve">1 </w:t>
      </w:r>
      <w:r w:rsidRPr="009A2045">
        <w:rPr>
          <w:sz w:val="20"/>
          <w:szCs w:val="20"/>
        </w:rPr>
        <w:t>Field-scale monitoring data are based on results from monitoring at specific locations and times that are associated with information on specific applications (with knowledge of application rate, field characteristics, water characteristics, and meteorological conditions) (based on information in NRC, 2013).</w:t>
      </w:r>
    </w:p>
    <w:p w14:paraId="00FE49B4" w14:textId="77777777" w:rsidR="007C0F2A" w:rsidRPr="009A2045" w:rsidRDefault="007C0F2A" w:rsidP="009A2045">
      <w:pPr>
        <w:widowControl w:val="0"/>
        <w:spacing w:after="0" w:line="240" w:lineRule="auto"/>
        <w:rPr>
          <w:sz w:val="20"/>
          <w:szCs w:val="20"/>
        </w:rPr>
      </w:pPr>
      <w:r w:rsidRPr="009A2045">
        <w:rPr>
          <w:sz w:val="20"/>
          <w:szCs w:val="20"/>
          <w:vertAlign w:val="superscript"/>
        </w:rPr>
        <w:t>2</w:t>
      </w:r>
      <w:r w:rsidRPr="009A2045">
        <w:rPr>
          <w:sz w:val="20"/>
          <w:szCs w:val="20"/>
        </w:rPr>
        <w:t xml:space="preserve"> Includes parent active ingredient, formulations, and degradates of concern </w:t>
      </w:r>
    </w:p>
    <w:p w14:paraId="365E340A" w14:textId="548AB1C8" w:rsidR="007C0F2A" w:rsidRPr="009A2045" w:rsidRDefault="007C0F2A" w:rsidP="009A2045">
      <w:pPr>
        <w:widowControl w:val="0"/>
        <w:spacing w:after="0" w:line="240" w:lineRule="auto"/>
      </w:pPr>
      <w:r w:rsidRPr="009A2045">
        <w:rPr>
          <w:sz w:val="20"/>
          <w:szCs w:val="20"/>
          <w:vertAlign w:val="superscript"/>
        </w:rPr>
        <w:t>3</w:t>
      </w:r>
      <w:r w:rsidRPr="009A2045">
        <w:rPr>
          <w:sz w:val="20"/>
          <w:szCs w:val="20"/>
        </w:rPr>
        <w:t xml:space="preserve"> The distribution of values, when possible, are based on temporal, geospatial, and use variability (see the exposure sections of this document for details; </w:t>
      </w:r>
      <w:r w:rsidR="00CD352F" w:rsidRPr="009A2045">
        <w:rPr>
          <w:b/>
          <w:sz w:val="20"/>
          <w:szCs w:val="20"/>
        </w:rPr>
        <w:t>Sections 1.4.2.2.a</w:t>
      </w:r>
      <w:r w:rsidRPr="009A2045">
        <w:rPr>
          <w:sz w:val="20"/>
          <w:szCs w:val="20"/>
        </w:rPr>
        <w:t xml:space="preserve">).  </w:t>
      </w:r>
    </w:p>
    <w:p w14:paraId="56FF3F92" w14:textId="77777777" w:rsidR="007C0F2A" w:rsidRPr="009A2045" w:rsidRDefault="007C0F2A" w:rsidP="009A2045">
      <w:pPr>
        <w:keepNext/>
        <w:keepLines/>
        <w:spacing w:after="0" w:line="240" w:lineRule="auto"/>
        <w:rPr>
          <w:sz w:val="20"/>
          <w:szCs w:val="20"/>
        </w:rPr>
      </w:pPr>
      <w:r w:rsidRPr="009A2045">
        <w:rPr>
          <w:sz w:val="20"/>
          <w:szCs w:val="20"/>
          <w:vertAlign w:val="superscript"/>
        </w:rPr>
        <w:t>4</w:t>
      </w:r>
      <w:r w:rsidRPr="009A2045">
        <w:rPr>
          <w:sz w:val="20"/>
          <w:szCs w:val="20"/>
        </w:rPr>
        <w:t xml:space="preserve"> ‘No defined threshold’ means that a predetermined threshold of effect/exposure has not been determined; the contribution  of the effects/exposure data to the line of evidence will be based on the relevance of the measurement endpoints and exposure conditions along with the robustness of the study. This allows flexibility in applying the many types of studies potentially informing a line of evidence. </w:t>
      </w:r>
    </w:p>
    <w:p w14:paraId="1936A479" w14:textId="294C7E3C" w:rsidR="007C0F2A" w:rsidRPr="009A2045" w:rsidRDefault="007C0F2A" w:rsidP="009A2045">
      <w:pPr>
        <w:keepNext/>
        <w:keepLines/>
        <w:spacing w:after="0" w:line="240" w:lineRule="auto"/>
        <w:rPr>
          <w:sz w:val="20"/>
          <w:szCs w:val="20"/>
        </w:rPr>
      </w:pPr>
      <w:r w:rsidRPr="009A2045">
        <w:rPr>
          <w:sz w:val="20"/>
          <w:szCs w:val="20"/>
          <w:vertAlign w:val="superscript"/>
        </w:rPr>
        <w:t>5</w:t>
      </w:r>
      <w:r w:rsidRPr="009A2045">
        <w:rPr>
          <w:sz w:val="20"/>
          <w:szCs w:val="20"/>
        </w:rPr>
        <w:t xml:space="preserve"> Monitoring data can be divided into 2 categories: (1) field studies (see footnote 1), and (2) general monitoring studies (NRC 2013). General monitoring studies are not coordinated with specific applications of pesticides, therefore, it is unlikely that they capture the maximum concentrations that exist in the environment.  In this approach, general monitoring data are compared to available thresholds. If measured concentrations of </w:t>
      </w:r>
      <w:r w:rsidR="009F0204" w:rsidRPr="009A2045">
        <w:rPr>
          <w:sz w:val="20"/>
          <w:szCs w:val="20"/>
        </w:rPr>
        <w:t>malathion</w:t>
      </w:r>
      <w:r w:rsidRPr="009A2045">
        <w:rPr>
          <w:sz w:val="20"/>
          <w:szCs w:val="20"/>
        </w:rPr>
        <w:t xml:space="preserve"> exceed established thresholds, this may serve to increase the confidence that this chemical poses a risk to a particular species (through direct or indirect effects) (see </w:t>
      </w:r>
      <w:r w:rsidR="00CD352F" w:rsidRPr="009A2045">
        <w:rPr>
          <w:b/>
          <w:sz w:val="20"/>
          <w:szCs w:val="20"/>
        </w:rPr>
        <w:t>Section 1.4.2.2.b.1</w:t>
      </w:r>
      <w:r w:rsidRPr="009A2045">
        <w:rPr>
          <w:sz w:val="20"/>
          <w:szCs w:val="20"/>
        </w:rPr>
        <w:t xml:space="preserve">, for details). </w:t>
      </w:r>
    </w:p>
    <w:p w14:paraId="60508707" w14:textId="23D3DD66" w:rsidR="007C0F2A" w:rsidRPr="009A2045" w:rsidRDefault="007C0F2A" w:rsidP="009A2045">
      <w:pPr>
        <w:keepNext/>
        <w:keepLines/>
        <w:spacing w:after="0" w:line="240" w:lineRule="auto"/>
        <w:rPr>
          <w:sz w:val="20"/>
          <w:szCs w:val="20"/>
        </w:rPr>
        <w:sectPr w:rsidR="007C0F2A" w:rsidRPr="009A2045" w:rsidSect="007C0F2A">
          <w:pgSz w:w="15840" w:h="12240" w:orient="landscape"/>
          <w:pgMar w:top="1440" w:right="1440" w:bottom="1440" w:left="1440" w:header="720" w:footer="720" w:gutter="0"/>
          <w:cols w:space="720"/>
        </w:sectPr>
      </w:pPr>
      <w:r w:rsidRPr="009A2045">
        <w:rPr>
          <w:sz w:val="20"/>
          <w:szCs w:val="20"/>
          <w:vertAlign w:val="superscript"/>
        </w:rPr>
        <w:t>6</w:t>
      </w:r>
      <w:r w:rsidRPr="009A2045">
        <w:rPr>
          <w:rFonts w:eastAsiaTheme="minorHAnsi" w:cs="Arial"/>
          <w:bCs/>
          <w:color w:val="auto"/>
          <w:shd w:val="clear" w:color="auto" w:fill="FFFFFF"/>
        </w:rPr>
        <w:t xml:space="preserve"> </w:t>
      </w:r>
      <w:r w:rsidRPr="009A2045">
        <w:rPr>
          <w:bCs/>
          <w:sz w:val="20"/>
          <w:szCs w:val="20"/>
        </w:rPr>
        <w:t>Knowing t</w:t>
      </w:r>
      <w:r w:rsidRPr="009A2045">
        <w:rPr>
          <w:sz w:val="20"/>
          <w:szCs w:val="20"/>
        </w:rPr>
        <w:t>he magnitude of effect </w:t>
      </w:r>
      <w:r w:rsidRPr="009A2045">
        <w:rPr>
          <w:bCs/>
          <w:sz w:val="20"/>
          <w:szCs w:val="20"/>
        </w:rPr>
        <w:t>for endpoints associated with</w:t>
      </w:r>
      <w:r w:rsidRPr="009A2045">
        <w:rPr>
          <w:sz w:val="20"/>
          <w:szCs w:val="20"/>
        </w:rPr>
        <w:t> a given line of evidence </w:t>
      </w:r>
      <w:r w:rsidRPr="009A2045">
        <w:rPr>
          <w:bCs/>
          <w:sz w:val="20"/>
          <w:szCs w:val="20"/>
        </w:rPr>
        <w:t>is useful</w:t>
      </w:r>
      <w:r w:rsidRPr="009A2045">
        <w:rPr>
          <w:sz w:val="20"/>
          <w:szCs w:val="20"/>
        </w:rPr>
        <w:t xml:space="preserve"> for assessing risk</w:t>
      </w:r>
      <w:r w:rsidRPr="009A2045">
        <w:rPr>
          <w:bCs/>
          <w:sz w:val="20"/>
          <w:szCs w:val="20"/>
        </w:rPr>
        <w:t>. F</w:t>
      </w:r>
      <w:r w:rsidRPr="009A2045">
        <w:rPr>
          <w:sz w:val="20"/>
          <w:szCs w:val="20"/>
        </w:rPr>
        <w:t>or this biological assessment the magnitude of effect is reported from toxicity studies</w:t>
      </w:r>
      <w:r w:rsidRPr="009A2045">
        <w:rPr>
          <w:bCs/>
          <w:sz w:val="20"/>
          <w:szCs w:val="20"/>
        </w:rPr>
        <w:t xml:space="preserve"> reviewed</w:t>
      </w:r>
      <w:r w:rsidRPr="009A2045">
        <w:rPr>
          <w:sz w:val="20"/>
          <w:szCs w:val="20"/>
        </w:rPr>
        <w:t> to determine threshold values </w:t>
      </w:r>
      <w:r w:rsidRPr="009A2045">
        <w:rPr>
          <w:bCs/>
          <w:sz w:val="20"/>
          <w:szCs w:val="20"/>
        </w:rPr>
        <w:t xml:space="preserve">(see </w:t>
      </w:r>
      <w:r w:rsidR="00CD352F" w:rsidRPr="009A2045">
        <w:rPr>
          <w:b/>
          <w:bCs/>
          <w:sz w:val="20"/>
          <w:szCs w:val="20"/>
        </w:rPr>
        <w:t>ATTACHMENT 1-8</w:t>
      </w:r>
      <w:r w:rsidRPr="009A2045">
        <w:rPr>
          <w:bCs/>
          <w:sz w:val="20"/>
          <w:szCs w:val="20"/>
        </w:rPr>
        <w:t xml:space="preserve"> for information on the review process)</w:t>
      </w:r>
      <w:r w:rsidRPr="009A2045">
        <w:rPr>
          <w:sz w:val="20"/>
          <w:szCs w:val="20"/>
        </w:rPr>
        <w:t>.</w:t>
      </w:r>
    </w:p>
    <w:p w14:paraId="0C5905EA" w14:textId="77777777" w:rsidR="007C0F2A" w:rsidRPr="009A2045" w:rsidRDefault="007C0F2A" w:rsidP="009A2045">
      <w:pPr>
        <w:keepNext/>
        <w:keepLines/>
        <w:spacing w:after="0" w:line="240" w:lineRule="auto"/>
      </w:pPr>
    </w:p>
    <w:p w14:paraId="4E44AAD6" w14:textId="77777777" w:rsidR="007C0F2A" w:rsidRPr="009A2045" w:rsidRDefault="007C0F2A" w:rsidP="009A2045">
      <w:pPr>
        <w:keepNext/>
        <w:keepLines/>
        <w:spacing w:after="0" w:line="240" w:lineRule="auto"/>
      </w:pPr>
    </w:p>
    <w:p w14:paraId="3B5AC2DD" w14:textId="11FA9D3F" w:rsidR="007C0F2A" w:rsidRPr="009A2045" w:rsidRDefault="007C0F2A" w:rsidP="009A2045">
      <w:pPr>
        <w:pStyle w:val="Heading4"/>
      </w:pPr>
      <w:bookmarkStart w:id="60" w:name="_Toc436043044"/>
      <w:r w:rsidRPr="009A2045">
        <w:t>1.4.2.2.</w:t>
      </w:r>
      <w:r w:rsidRPr="009A2045">
        <w:tab/>
        <w:t xml:space="preserve">Weight of </w:t>
      </w:r>
      <w:r w:rsidR="0054061D" w:rsidRPr="009A2045">
        <w:t>E</w:t>
      </w:r>
      <w:r w:rsidRPr="009A2045">
        <w:t xml:space="preserve">vidence </w:t>
      </w:r>
      <w:r w:rsidR="0054061D" w:rsidRPr="009A2045">
        <w:t>A</w:t>
      </w:r>
      <w:r w:rsidRPr="009A2045">
        <w:t>pproach</w:t>
      </w:r>
      <w:bookmarkEnd w:id="60"/>
      <w:r w:rsidRPr="009A2045">
        <w:t xml:space="preserve"> </w:t>
      </w:r>
    </w:p>
    <w:p w14:paraId="23F25A13" w14:textId="2168B004" w:rsidR="007C0F2A" w:rsidRPr="009A2045" w:rsidRDefault="007C0F2A" w:rsidP="009A2045">
      <w:pPr>
        <w:spacing w:before="120" w:after="0" w:line="240" w:lineRule="auto"/>
      </w:pPr>
      <w:r w:rsidRPr="009A2045">
        <w:t xml:space="preserve">A </w:t>
      </w:r>
      <w:r w:rsidR="00CD352F" w:rsidRPr="009A2045">
        <w:t xml:space="preserve">weight-of-evidence </w:t>
      </w:r>
      <w:r w:rsidRPr="009A2045">
        <w:t xml:space="preserve">(WoE) approach is a systematic method of evaluating confidence in risk information from multiple sources.  The WoE approach in the BE consists of multiple steps (explained in further detail below; also see </w:t>
      </w:r>
      <w:r w:rsidR="00CD352F" w:rsidRPr="009A2045">
        <w:rPr>
          <w:b/>
        </w:rPr>
        <w:t>ATTACHMENT 1-9</w:t>
      </w:r>
      <w:r w:rsidRPr="009A2045">
        <w:t>):</w:t>
      </w:r>
    </w:p>
    <w:p w14:paraId="237650D0" w14:textId="77777777" w:rsidR="007C0F2A" w:rsidRPr="009A2045" w:rsidRDefault="007C0F2A" w:rsidP="009A2045"/>
    <w:p w14:paraId="0D070119" w14:textId="77777777" w:rsidR="007C0F2A" w:rsidRPr="009A2045" w:rsidRDefault="007C0F2A" w:rsidP="009A2045">
      <w:pPr>
        <w:numPr>
          <w:ilvl w:val="1"/>
          <w:numId w:val="10"/>
        </w:numPr>
        <w:spacing w:after="0" w:line="240" w:lineRule="auto"/>
        <w:ind w:hanging="360"/>
        <w:contextualSpacing/>
      </w:pPr>
      <w:r w:rsidRPr="009A2045">
        <w:t xml:space="preserve">Frame Risk Hypotheses that link directly to the protection goals of Step 2 </w:t>
      </w:r>
    </w:p>
    <w:p w14:paraId="60C1E523" w14:textId="77777777" w:rsidR="007C0F2A" w:rsidRPr="009A2045" w:rsidRDefault="007C0F2A" w:rsidP="009A2045">
      <w:pPr>
        <w:numPr>
          <w:ilvl w:val="1"/>
          <w:numId w:val="10"/>
        </w:numPr>
        <w:spacing w:after="0" w:line="240" w:lineRule="auto"/>
        <w:ind w:hanging="360"/>
        <w:contextualSpacing/>
      </w:pPr>
      <w:r w:rsidRPr="009A2045">
        <w:t>Construct “Lines of Evidence” (LOE) that assess the risk hypotheses</w:t>
      </w:r>
    </w:p>
    <w:p w14:paraId="09804D61" w14:textId="77777777" w:rsidR="007C0F2A" w:rsidRPr="009A2045" w:rsidRDefault="007C0F2A" w:rsidP="009A2045">
      <w:pPr>
        <w:numPr>
          <w:ilvl w:val="1"/>
          <w:numId w:val="10"/>
        </w:numPr>
        <w:spacing w:after="0" w:line="240" w:lineRule="auto"/>
        <w:ind w:hanging="360"/>
        <w:contextualSpacing/>
      </w:pPr>
      <w:r w:rsidRPr="009A2045">
        <w:t>Use of the following criteria to evaluate each LOE:</w:t>
      </w:r>
    </w:p>
    <w:p w14:paraId="1A2537AA" w14:textId="77777777" w:rsidR="007C0F2A" w:rsidRPr="009A2045" w:rsidRDefault="007C0F2A" w:rsidP="009A2045">
      <w:pPr>
        <w:numPr>
          <w:ilvl w:val="2"/>
          <w:numId w:val="10"/>
        </w:numPr>
        <w:spacing w:after="0" w:line="240" w:lineRule="auto"/>
        <w:ind w:hanging="360"/>
        <w:contextualSpacing/>
      </w:pPr>
      <w:r w:rsidRPr="009A2045">
        <w:t xml:space="preserve">Exposure </w:t>
      </w:r>
    </w:p>
    <w:p w14:paraId="20D53BCB" w14:textId="77777777" w:rsidR="007C0F2A" w:rsidRPr="009A2045" w:rsidRDefault="007C0F2A" w:rsidP="009A2045">
      <w:pPr>
        <w:numPr>
          <w:ilvl w:val="3"/>
          <w:numId w:val="10"/>
        </w:numPr>
        <w:spacing w:after="0" w:line="240" w:lineRule="auto"/>
        <w:ind w:hanging="360"/>
        <w:contextualSpacing/>
      </w:pPr>
      <w:r w:rsidRPr="009A2045">
        <w:t>Relevance</w:t>
      </w:r>
    </w:p>
    <w:p w14:paraId="2F6395B7" w14:textId="77777777" w:rsidR="007C0F2A" w:rsidRPr="009A2045" w:rsidRDefault="007C0F2A" w:rsidP="009A2045">
      <w:pPr>
        <w:numPr>
          <w:ilvl w:val="3"/>
          <w:numId w:val="10"/>
        </w:numPr>
        <w:spacing w:after="0" w:line="240" w:lineRule="auto"/>
        <w:ind w:hanging="360"/>
        <w:contextualSpacing/>
      </w:pPr>
      <w:r w:rsidRPr="009A2045">
        <w:t>Robustness</w:t>
      </w:r>
    </w:p>
    <w:p w14:paraId="1A736573" w14:textId="77777777" w:rsidR="007C0F2A" w:rsidRPr="009A2045" w:rsidRDefault="007C0F2A" w:rsidP="009A2045">
      <w:pPr>
        <w:numPr>
          <w:ilvl w:val="2"/>
          <w:numId w:val="10"/>
        </w:numPr>
        <w:spacing w:after="0" w:line="240" w:lineRule="auto"/>
        <w:ind w:hanging="360"/>
        <w:contextualSpacing/>
      </w:pPr>
      <w:r w:rsidRPr="009A2045">
        <w:t>Effects data</w:t>
      </w:r>
    </w:p>
    <w:p w14:paraId="5807A9B1" w14:textId="77777777" w:rsidR="007C0F2A" w:rsidRPr="009A2045" w:rsidRDefault="007C0F2A" w:rsidP="009A2045">
      <w:pPr>
        <w:numPr>
          <w:ilvl w:val="3"/>
          <w:numId w:val="10"/>
        </w:numPr>
        <w:spacing w:after="0" w:line="240" w:lineRule="auto"/>
        <w:ind w:hanging="360"/>
        <w:contextualSpacing/>
      </w:pPr>
      <w:r w:rsidRPr="009A2045">
        <w:t>Biological Relevance</w:t>
      </w:r>
    </w:p>
    <w:p w14:paraId="3905DEFE" w14:textId="77777777" w:rsidR="007C0F2A" w:rsidRPr="009A2045" w:rsidRDefault="007C0F2A" w:rsidP="009A2045">
      <w:pPr>
        <w:numPr>
          <w:ilvl w:val="3"/>
          <w:numId w:val="10"/>
        </w:numPr>
        <w:spacing w:after="0" w:line="240" w:lineRule="auto"/>
        <w:ind w:hanging="360"/>
        <w:contextualSpacing/>
      </w:pPr>
      <w:r w:rsidRPr="009A2045">
        <w:t>Species surrogacy</w:t>
      </w:r>
    </w:p>
    <w:p w14:paraId="31487B22" w14:textId="77777777" w:rsidR="007C0F2A" w:rsidRPr="009A2045" w:rsidRDefault="007C0F2A" w:rsidP="009A2045">
      <w:pPr>
        <w:numPr>
          <w:ilvl w:val="3"/>
          <w:numId w:val="10"/>
        </w:numPr>
        <w:spacing w:after="0" w:line="240" w:lineRule="auto"/>
        <w:ind w:hanging="360"/>
        <w:contextualSpacing/>
      </w:pPr>
      <w:r w:rsidRPr="009A2045">
        <w:t>Robustness</w:t>
      </w:r>
    </w:p>
    <w:p w14:paraId="44A89E6B" w14:textId="77777777" w:rsidR="007C0F2A" w:rsidRPr="009A2045" w:rsidRDefault="007C0F2A" w:rsidP="009A2045">
      <w:pPr>
        <w:numPr>
          <w:ilvl w:val="1"/>
          <w:numId w:val="10"/>
        </w:numPr>
        <w:spacing w:after="0" w:line="240" w:lineRule="auto"/>
        <w:ind w:hanging="360"/>
        <w:contextualSpacing/>
      </w:pPr>
      <w:r w:rsidRPr="009A2045">
        <w:t>Use of the aforementioned criteria to assign weight (or confidence) in the data available for each line of evidence</w:t>
      </w:r>
    </w:p>
    <w:p w14:paraId="13D24B43" w14:textId="77777777" w:rsidR="007C0F2A" w:rsidRPr="009A2045" w:rsidRDefault="007C0F2A" w:rsidP="009A2045">
      <w:pPr>
        <w:numPr>
          <w:ilvl w:val="1"/>
          <w:numId w:val="10"/>
        </w:numPr>
        <w:spacing w:after="0" w:line="240" w:lineRule="auto"/>
        <w:ind w:hanging="360"/>
        <w:contextualSpacing/>
      </w:pPr>
      <w:r w:rsidRPr="009A2045">
        <w:t>Comparison of the exposure concentration data with effects data to establish overlap (or risk) and assign weight to that risk</w:t>
      </w:r>
    </w:p>
    <w:p w14:paraId="059DFB65" w14:textId="77777777" w:rsidR="007C0F2A" w:rsidRPr="009A2045" w:rsidRDefault="007C0F2A" w:rsidP="009A2045">
      <w:pPr>
        <w:numPr>
          <w:ilvl w:val="1"/>
          <w:numId w:val="10"/>
        </w:numPr>
        <w:spacing w:after="0" w:line="240" w:lineRule="auto"/>
        <w:ind w:hanging="360"/>
        <w:contextualSpacing/>
      </w:pPr>
      <w:r w:rsidRPr="009A2045">
        <w:t>Integration of results from each line of evidence to support or refute the associated risk hypothesis</w:t>
      </w:r>
    </w:p>
    <w:p w14:paraId="18C2120F" w14:textId="77777777" w:rsidR="007C0F2A" w:rsidRPr="009A2045" w:rsidRDefault="007C0F2A" w:rsidP="009A2045">
      <w:pPr>
        <w:spacing w:after="0" w:line="240" w:lineRule="auto"/>
        <w:ind w:left="1440"/>
        <w:contextualSpacing/>
      </w:pPr>
    </w:p>
    <w:p w14:paraId="683B7E0C" w14:textId="77777777" w:rsidR="007C0F2A" w:rsidRPr="009A2045" w:rsidRDefault="007C0F2A" w:rsidP="009A2045">
      <w:r w:rsidRPr="009A2045">
        <w:t xml:space="preserve">Studies and data collected for Step 1 are assigned to the appropriate line-of-evidence within each risk hypothesis.  </w:t>
      </w:r>
    </w:p>
    <w:p w14:paraId="4D5F7FD4" w14:textId="77777777" w:rsidR="007C0F2A" w:rsidRPr="009A2045" w:rsidRDefault="007C0F2A" w:rsidP="009A2045">
      <w:r w:rsidRPr="009A2045">
        <w:rPr>
          <w:b/>
          <w:u w:val="single"/>
        </w:rPr>
        <w:t xml:space="preserve">Collectively the risk hypotheses pose the question: </w:t>
      </w:r>
    </w:p>
    <w:p w14:paraId="63B7D050" w14:textId="47E3AE68" w:rsidR="007C0F2A" w:rsidRPr="009A2045" w:rsidRDefault="007C0F2A" w:rsidP="009A2045">
      <w:pPr>
        <w:ind w:left="720"/>
      </w:pPr>
      <w:r w:rsidRPr="009A2045">
        <w:t xml:space="preserve">Do we expect that effects to individuals of a listed species or its designated critical habitat exposed to </w:t>
      </w:r>
      <w:r w:rsidR="009F0204" w:rsidRPr="009A2045">
        <w:t>malathion</w:t>
      </w:r>
      <w:r w:rsidRPr="009A2045">
        <w:t xml:space="preserve"> (according to registered labels) will not be discountable, insignificant, or completely beneficial?</w:t>
      </w:r>
      <w:r w:rsidRPr="009A2045">
        <w:rPr>
          <w:b/>
          <w:i/>
        </w:rPr>
        <w:t xml:space="preserve"> </w:t>
      </w:r>
    </w:p>
    <w:p w14:paraId="1DBF8746" w14:textId="3FB6CDE1" w:rsidR="007C0F2A" w:rsidRPr="009A2045" w:rsidRDefault="007C0F2A" w:rsidP="009A2045">
      <w:r w:rsidRPr="009A2045">
        <w:t xml:space="preserve">Lines-of-evidence (LOE) are constructed based on assessment endpoints.  General lines of evidence for </w:t>
      </w:r>
      <w:r w:rsidR="009F0204" w:rsidRPr="009A2045">
        <w:t>malathion</w:t>
      </w:r>
      <w:r w:rsidRPr="009A2045">
        <w:t xml:space="preserve"> are described above in </w:t>
      </w:r>
      <w:r w:rsidR="00CD352F" w:rsidRPr="009A2045">
        <w:rPr>
          <w:b/>
        </w:rPr>
        <w:t>Section 1.4.2.1</w:t>
      </w:r>
      <w:r w:rsidRPr="009A2045">
        <w:t xml:space="preserve"> and are repeated below:</w:t>
      </w:r>
    </w:p>
    <w:p w14:paraId="57B545B8" w14:textId="77777777" w:rsidR="007C0F2A" w:rsidRPr="009A2045" w:rsidRDefault="007C0F2A" w:rsidP="009A2045">
      <w:r w:rsidRPr="009A2045">
        <w:rPr>
          <w:b/>
        </w:rPr>
        <w:t>A.  Lines of evidence for direct effects are:</w:t>
      </w:r>
    </w:p>
    <w:p w14:paraId="60409402" w14:textId="332EB971" w:rsidR="007C0F2A" w:rsidRPr="009A2045" w:rsidRDefault="007C0F2A" w:rsidP="009A2045">
      <w:pPr>
        <w:numPr>
          <w:ilvl w:val="0"/>
          <w:numId w:val="14"/>
        </w:numPr>
        <w:spacing w:after="200" w:line="276" w:lineRule="auto"/>
        <w:ind w:hanging="360"/>
        <w:contextualSpacing/>
      </w:pPr>
      <w:r w:rsidRPr="009A2045">
        <w:t xml:space="preserve">Mortality to an individual of a listed species from direct, acute exposure from the use of </w:t>
      </w:r>
      <w:r w:rsidR="009F0204" w:rsidRPr="009A2045">
        <w:t>malathion</w:t>
      </w:r>
      <w:r w:rsidRPr="009A2045">
        <w:t xml:space="preserve"> according to registered labels (includes parent active ingredient, formulations, and degradates of concern)  </w:t>
      </w:r>
    </w:p>
    <w:p w14:paraId="287B0DB5" w14:textId="77777777" w:rsidR="007C0F2A" w:rsidRPr="009A2045" w:rsidRDefault="007C0F2A" w:rsidP="009A2045">
      <w:pPr>
        <w:ind w:left="720"/>
      </w:pPr>
    </w:p>
    <w:p w14:paraId="13C9B1B2" w14:textId="61A714A1" w:rsidR="007C0F2A" w:rsidRPr="009A2045" w:rsidRDefault="007C0F2A" w:rsidP="009A2045">
      <w:pPr>
        <w:numPr>
          <w:ilvl w:val="0"/>
          <w:numId w:val="14"/>
        </w:numPr>
        <w:spacing w:after="200" w:line="276" w:lineRule="auto"/>
        <w:ind w:hanging="360"/>
        <w:contextualSpacing/>
      </w:pPr>
      <w:r w:rsidRPr="009A2045">
        <w:lastRenderedPageBreak/>
        <w:t xml:space="preserve">Reduced growth of an individual (potential </w:t>
      </w:r>
      <w:r w:rsidR="00F1745F" w:rsidRPr="009A2045">
        <w:t>for</w:t>
      </w:r>
      <w:r w:rsidRPr="009A2045">
        <w:t xml:space="preserve"> decrease</w:t>
      </w:r>
      <w:r w:rsidR="00F1745F" w:rsidRPr="009A2045">
        <w:t>d</w:t>
      </w:r>
      <w:r w:rsidRPr="009A2045">
        <w:t xml:space="preserve"> survival and/or reproduction)  from the use of </w:t>
      </w:r>
      <w:r w:rsidR="009F0204" w:rsidRPr="009A2045">
        <w:t>malathion</w:t>
      </w:r>
      <w:r w:rsidRPr="009A2045">
        <w:t xml:space="preserve"> according to registered labels </w:t>
      </w:r>
    </w:p>
    <w:p w14:paraId="3BB2C471" w14:textId="77777777" w:rsidR="007C0F2A" w:rsidRPr="009A2045" w:rsidRDefault="007C0F2A" w:rsidP="009A2045">
      <w:pPr>
        <w:ind w:left="720"/>
      </w:pPr>
    </w:p>
    <w:p w14:paraId="54270787" w14:textId="022840C3" w:rsidR="007C0F2A" w:rsidRPr="009A2045" w:rsidRDefault="007C0F2A" w:rsidP="009A2045">
      <w:pPr>
        <w:numPr>
          <w:ilvl w:val="0"/>
          <w:numId w:val="14"/>
        </w:numPr>
        <w:spacing w:after="200" w:line="276" w:lineRule="auto"/>
        <w:ind w:hanging="360"/>
        <w:contextualSpacing/>
      </w:pPr>
      <w:r w:rsidRPr="009A2045">
        <w:t xml:space="preserve">Reduced or impaired reproduction of an individual from the use of </w:t>
      </w:r>
      <w:r w:rsidR="009F0204" w:rsidRPr="009A2045">
        <w:t>malathion</w:t>
      </w:r>
      <w:r w:rsidRPr="009A2045">
        <w:t xml:space="preserve"> according to registered labels </w:t>
      </w:r>
    </w:p>
    <w:p w14:paraId="7858B622" w14:textId="77777777" w:rsidR="007C0F2A" w:rsidRPr="009A2045" w:rsidRDefault="007C0F2A" w:rsidP="009A2045">
      <w:pPr>
        <w:ind w:left="720"/>
      </w:pPr>
    </w:p>
    <w:p w14:paraId="7E502C5C" w14:textId="5B1EF222" w:rsidR="007C0F2A" w:rsidRPr="009A2045" w:rsidRDefault="007C0F2A" w:rsidP="009A2045">
      <w:pPr>
        <w:numPr>
          <w:ilvl w:val="0"/>
          <w:numId w:val="14"/>
        </w:numPr>
        <w:spacing w:after="200" w:line="276" w:lineRule="auto"/>
        <w:ind w:hanging="360"/>
        <w:contextualSpacing/>
      </w:pPr>
      <w:r w:rsidRPr="009A2045">
        <w:t xml:space="preserve">Impaired behavior that could result in increased mortality or decreased growth or reproduction of an individual from the use of </w:t>
      </w:r>
      <w:r w:rsidR="009F0204" w:rsidRPr="009A2045">
        <w:t>malathion</w:t>
      </w:r>
      <w:r w:rsidRPr="009A2045">
        <w:t xml:space="preserve"> according to registered labels </w:t>
      </w:r>
    </w:p>
    <w:p w14:paraId="64C2C8EB" w14:textId="77777777" w:rsidR="007C0F2A" w:rsidRPr="009A2045" w:rsidRDefault="007C0F2A" w:rsidP="009A2045">
      <w:pPr>
        <w:ind w:left="720"/>
      </w:pPr>
    </w:p>
    <w:p w14:paraId="1FA2D72F" w14:textId="0F0D57DC" w:rsidR="007C0F2A" w:rsidRPr="009A2045" w:rsidRDefault="007C0F2A" w:rsidP="009A2045">
      <w:pPr>
        <w:numPr>
          <w:ilvl w:val="0"/>
          <w:numId w:val="14"/>
        </w:numPr>
        <w:spacing w:after="200" w:line="276" w:lineRule="auto"/>
        <w:ind w:hanging="360"/>
        <w:contextualSpacing/>
      </w:pPr>
      <w:r w:rsidRPr="009A2045">
        <w:t xml:space="preserve">Impaired sensory function  that could result in increased mortality or decreased growth or reproduction of an individual from the use of </w:t>
      </w:r>
      <w:r w:rsidR="009F0204" w:rsidRPr="009A2045">
        <w:t>malathion</w:t>
      </w:r>
      <w:r w:rsidRPr="009A2045">
        <w:t xml:space="preserve"> according to registered labels</w:t>
      </w:r>
    </w:p>
    <w:p w14:paraId="4525EA8F" w14:textId="77777777" w:rsidR="007C0F2A" w:rsidRPr="009A2045" w:rsidRDefault="007C0F2A" w:rsidP="009A2045">
      <w:pPr>
        <w:spacing w:after="200" w:line="276" w:lineRule="auto"/>
        <w:contextualSpacing/>
      </w:pPr>
    </w:p>
    <w:p w14:paraId="5AA44A89" w14:textId="77777777" w:rsidR="007C0F2A" w:rsidRPr="009A2045" w:rsidRDefault="007C0F2A" w:rsidP="009A2045">
      <w:r w:rsidRPr="009A2045">
        <w:rPr>
          <w:b/>
        </w:rPr>
        <w:t>B.  Lines of evidence for indirect effects:</w:t>
      </w:r>
    </w:p>
    <w:p w14:paraId="6BCC5AC2" w14:textId="77777777" w:rsidR="007C0F2A" w:rsidRPr="009A2045" w:rsidRDefault="007C0F2A" w:rsidP="009A2045">
      <w:pPr>
        <w:numPr>
          <w:ilvl w:val="0"/>
          <w:numId w:val="11"/>
        </w:numPr>
        <w:spacing w:after="200" w:line="276" w:lineRule="auto"/>
        <w:ind w:hanging="360"/>
        <w:contextualSpacing/>
      </w:pPr>
      <w:r w:rsidRPr="009A2045">
        <w:t>Decline in availability of prey/food of a listed species.</w:t>
      </w:r>
    </w:p>
    <w:p w14:paraId="19C2C162" w14:textId="77777777" w:rsidR="007C0F2A" w:rsidRPr="009A2045" w:rsidRDefault="007C0F2A" w:rsidP="009A2045">
      <w:pPr>
        <w:ind w:left="720"/>
      </w:pPr>
    </w:p>
    <w:p w14:paraId="5F819EA5" w14:textId="77777777" w:rsidR="007C0F2A" w:rsidRPr="009A2045" w:rsidRDefault="007C0F2A" w:rsidP="009A2045">
      <w:pPr>
        <w:numPr>
          <w:ilvl w:val="0"/>
          <w:numId w:val="11"/>
        </w:numPr>
        <w:spacing w:after="200" w:line="276" w:lineRule="auto"/>
        <w:ind w:hanging="360"/>
        <w:contextualSpacing/>
      </w:pPr>
      <w:r w:rsidRPr="009A2045">
        <w:t xml:space="preserve">Impacts to suitability of habitat of a listed species. </w:t>
      </w:r>
    </w:p>
    <w:p w14:paraId="0AB01C2D" w14:textId="77777777" w:rsidR="007C0F2A" w:rsidRPr="009A2045" w:rsidRDefault="007C0F2A" w:rsidP="009A2045">
      <w:pPr>
        <w:ind w:left="360"/>
        <w:rPr>
          <w:b/>
        </w:rPr>
      </w:pPr>
    </w:p>
    <w:p w14:paraId="2135A3F8" w14:textId="77777777" w:rsidR="007C0F2A" w:rsidRPr="009A2045" w:rsidRDefault="007C0F2A" w:rsidP="009A2045">
      <w:pPr>
        <w:spacing w:after="200" w:line="276" w:lineRule="auto"/>
        <w:contextualSpacing/>
        <w:rPr>
          <w:b/>
        </w:rPr>
      </w:pPr>
      <w:r w:rsidRPr="009A2045">
        <w:rPr>
          <w:b/>
        </w:rPr>
        <w:t>C.  Lines of evidence for factors that could affect the magnitude of both direct and indirect effects:</w:t>
      </w:r>
    </w:p>
    <w:p w14:paraId="21E02EB9" w14:textId="77777777" w:rsidR="007C0F2A" w:rsidRPr="009A2045" w:rsidRDefault="007C0F2A" w:rsidP="009A2045">
      <w:pPr>
        <w:spacing w:after="200" w:line="276" w:lineRule="auto"/>
        <w:contextualSpacing/>
        <w:rPr>
          <w:b/>
        </w:rPr>
      </w:pPr>
    </w:p>
    <w:p w14:paraId="306D2994" w14:textId="77777777" w:rsidR="007C0F2A" w:rsidRPr="009A2045" w:rsidRDefault="007C0F2A" w:rsidP="009A2045">
      <w:pPr>
        <w:numPr>
          <w:ilvl w:val="0"/>
          <w:numId w:val="13"/>
        </w:numPr>
        <w:spacing w:after="200" w:line="276" w:lineRule="auto"/>
        <w:ind w:hanging="360"/>
        <w:contextualSpacing/>
      </w:pPr>
      <w:r w:rsidRPr="009A2045">
        <w:t>Potential effects due to degradates.</w:t>
      </w:r>
    </w:p>
    <w:p w14:paraId="66E0D959" w14:textId="77777777" w:rsidR="007C0F2A" w:rsidRPr="009A2045" w:rsidRDefault="007C0F2A" w:rsidP="009A2045">
      <w:pPr>
        <w:ind w:left="720"/>
      </w:pPr>
    </w:p>
    <w:p w14:paraId="5AFF0937" w14:textId="77777777" w:rsidR="007C0F2A" w:rsidRPr="009A2045" w:rsidRDefault="007C0F2A" w:rsidP="009A2045">
      <w:pPr>
        <w:numPr>
          <w:ilvl w:val="0"/>
          <w:numId w:val="13"/>
        </w:numPr>
        <w:spacing w:after="200" w:line="276" w:lineRule="auto"/>
        <w:ind w:hanging="360"/>
        <w:contextualSpacing/>
      </w:pPr>
      <w:r w:rsidRPr="009A2045">
        <w:t xml:space="preserve">Differences in effects observed when exposed to chemical mixtures (formulations, tank mixtures, environmental mixtures) </w:t>
      </w:r>
    </w:p>
    <w:p w14:paraId="051173AD" w14:textId="77777777" w:rsidR="007C0F2A" w:rsidRPr="009A2045" w:rsidRDefault="007C0F2A" w:rsidP="009A2045">
      <w:pPr>
        <w:ind w:left="720"/>
      </w:pPr>
    </w:p>
    <w:p w14:paraId="098F6E85" w14:textId="77777777" w:rsidR="007C0F2A" w:rsidRPr="009A2045" w:rsidRDefault="007C0F2A" w:rsidP="009A2045">
      <w:pPr>
        <w:numPr>
          <w:ilvl w:val="0"/>
          <w:numId w:val="13"/>
        </w:numPr>
        <w:spacing w:after="200" w:line="276" w:lineRule="auto"/>
        <w:ind w:hanging="360"/>
        <w:contextualSpacing/>
      </w:pPr>
      <w:r w:rsidRPr="009A2045">
        <w:t>Impacts of non-chemical stressors on the effects of the assessed pesticide, such as bacteria/viral prevalence, temperature, or pH in the environmental baseline.</w:t>
      </w:r>
    </w:p>
    <w:p w14:paraId="5E8FA068" w14:textId="77777777" w:rsidR="007C0F2A" w:rsidRPr="009A2045" w:rsidRDefault="007C0F2A" w:rsidP="009A2045">
      <w:pPr>
        <w:spacing w:after="200" w:line="276" w:lineRule="auto"/>
        <w:contextualSpacing/>
      </w:pPr>
    </w:p>
    <w:p w14:paraId="4709A98C" w14:textId="77777777" w:rsidR="007C0F2A" w:rsidRPr="009A2045" w:rsidRDefault="007C0F2A" w:rsidP="009A2045">
      <w:r w:rsidRPr="009A2045">
        <w:t xml:space="preserve">The weight of a line-of-evidence is an expression of confidence in knowledge about the effects caused by a pesticide according to registered labels and the exposures which would lead to such effects. </w:t>
      </w:r>
    </w:p>
    <w:p w14:paraId="58BA2BB0" w14:textId="4E89BE52" w:rsidR="007C0F2A" w:rsidRPr="009A2045" w:rsidRDefault="007C0F2A" w:rsidP="009A2045">
      <w:r w:rsidRPr="009A2045">
        <w:t xml:space="preserve">Criteria used to assess exposure estimates ultimately answer the question, “how confident are we that exposure estimates represent environmental concentrations that could occur based on allowable labeled use?” Exposure data are evaluated using two criteria, “relevance” and “robustness” (see </w:t>
      </w:r>
      <w:r w:rsidR="00CD352F" w:rsidRPr="009A2045">
        <w:rPr>
          <w:b/>
        </w:rPr>
        <w:t>ATTACHMENT 1-9</w:t>
      </w:r>
      <w:r w:rsidRPr="009A2045">
        <w:t xml:space="preserve">, for details).  In the same way exposure data are assessed, the effects data are evaluated to answer the question, “how confident are we that toxicity data accurately predict an effect </w:t>
      </w:r>
      <w:r w:rsidRPr="009A2045">
        <w:lastRenderedPageBreak/>
        <w:t xml:space="preserve">to the listed species?”  Criteria used to evaluate this question include biological relevance, species surrogacy, and robustness, (these are defined in </w:t>
      </w:r>
      <w:r w:rsidR="00CD352F" w:rsidRPr="009A2045">
        <w:rPr>
          <w:b/>
        </w:rPr>
        <w:t>ATTACHMENT 1-9</w:t>
      </w:r>
      <w:r w:rsidRPr="009A2045">
        <w:t>).</w:t>
      </w:r>
    </w:p>
    <w:p w14:paraId="792AD1E1" w14:textId="77777777" w:rsidR="007C0F2A" w:rsidRPr="009A2045" w:rsidRDefault="007C0F2A" w:rsidP="009A2045">
      <w:r w:rsidRPr="009A2045">
        <w:t xml:space="preserve">Based on consideration of these criteria for the exposure and effects data, the weight (or confidence) in the line of evidence is assigned a rank of high, medium or low. </w:t>
      </w:r>
    </w:p>
    <w:p w14:paraId="7AC2A7DC" w14:textId="2B7D9B5F" w:rsidR="007C0F2A" w:rsidRPr="009A2045" w:rsidRDefault="007C0F2A" w:rsidP="009A2045">
      <w:r w:rsidRPr="009A2045">
        <w:t>Risk is established by comparing the overlap of exposure with effect levels from toxicity studies for each line of evidence.  Consideration is given to the degree of overlap between exposure and effects data.  Based on this analysis, risk is assigned a rank of high, medium</w:t>
      </w:r>
      <w:r w:rsidR="002A387C" w:rsidRPr="009A2045">
        <w:t>,</w:t>
      </w:r>
      <w:r w:rsidRPr="009A2045">
        <w:t xml:space="preserve"> or low.  An overall risk finding (high, medium, low) and a finding on the overall confidence (high, medium, low) in the available exposure and effects data is made for each line of evidence. </w:t>
      </w:r>
    </w:p>
    <w:p w14:paraId="18AE9E55" w14:textId="6A0D817B" w:rsidR="007C0F2A" w:rsidRPr="009A2045" w:rsidRDefault="007C0F2A" w:rsidP="009A2045">
      <w:r w:rsidRPr="009A2045">
        <w:t>Next, each line of evidence for a given risk hypothesis is plotted in a graph according to the risk and confidence associated with the line of evidence (</w:t>
      </w:r>
      <w:r w:rsidRPr="009A2045">
        <w:rPr>
          <w:i/>
        </w:rPr>
        <w:t>e.g</w:t>
      </w:r>
      <w:r w:rsidRPr="009A2045">
        <w:t xml:space="preserve">., </w:t>
      </w:r>
      <w:r w:rsidRPr="009A2045">
        <w:rPr>
          <w:b/>
        </w:rPr>
        <w:t xml:space="preserve">Figure </w:t>
      </w:r>
      <w:r w:rsidR="00CF543D" w:rsidRPr="009A2045">
        <w:rPr>
          <w:b/>
        </w:rPr>
        <w:t>1-</w:t>
      </w:r>
      <w:r w:rsidR="008041CB" w:rsidRPr="009A2045">
        <w:rPr>
          <w:b/>
        </w:rPr>
        <w:t>7</w:t>
      </w:r>
      <w:r w:rsidRPr="009A2045">
        <w:t>). Each risk hypothesis is assessed to determine if the lines of evidence support or refute it.  For species that have designated critical habitat, an additional risk hypothesis is evaluated.</w:t>
      </w:r>
      <w:r w:rsidRPr="009A2045">
        <w:rPr>
          <w:b/>
        </w:rPr>
        <w:t xml:space="preserve"> </w:t>
      </w:r>
    </w:p>
    <w:p w14:paraId="7DFCDCA5" w14:textId="77777777" w:rsidR="007C0F2A" w:rsidRPr="009A2045" w:rsidRDefault="007C0F2A" w:rsidP="009A2045">
      <w:pPr>
        <w:spacing w:after="0" w:line="240" w:lineRule="auto"/>
      </w:pPr>
      <w:r w:rsidRPr="009A2045">
        <w:rPr>
          <w:noProof/>
        </w:rPr>
        <w:drawing>
          <wp:inline distT="0" distB="0" distL="0" distR="0" wp14:anchorId="618E65A0" wp14:editId="2EDDA110">
            <wp:extent cx="5676900" cy="4358005"/>
            <wp:effectExtent l="0" t="0" r="0" b="0"/>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5"/>
                    <a:srcRect/>
                    <a:stretch>
                      <a:fillRect/>
                    </a:stretch>
                  </pic:blipFill>
                  <pic:spPr>
                    <a:xfrm>
                      <a:off x="0" y="0"/>
                      <a:ext cx="5676900" cy="4358005"/>
                    </a:xfrm>
                    <a:prstGeom prst="rect">
                      <a:avLst/>
                    </a:prstGeom>
                    <a:ln/>
                  </pic:spPr>
                </pic:pic>
              </a:graphicData>
            </a:graphic>
          </wp:inline>
        </w:drawing>
      </w:r>
    </w:p>
    <w:p w14:paraId="68A9A7DD" w14:textId="0CC56AEF" w:rsidR="007C0F2A" w:rsidRPr="009A2045" w:rsidRDefault="008041CB" w:rsidP="009A2045">
      <w:pPr>
        <w:pStyle w:val="Caption"/>
        <w:rPr>
          <w:b/>
          <w:i w:val="0"/>
          <w:sz w:val="22"/>
          <w:szCs w:val="22"/>
        </w:rPr>
      </w:pPr>
      <w:bookmarkStart w:id="61" w:name="_Toc435773406"/>
      <w:r w:rsidRPr="009A2045">
        <w:rPr>
          <w:b/>
          <w:i w:val="0"/>
          <w:sz w:val="22"/>
          <w:szCs w:val="22"/>
        </w:rPr>
        <w:t xml:space="preserve">Figure </w:t>
      </w:r>
      <w:r w:rsidR="00281C70" w:rsidRPr="009A2045">
        <w:rPr>
          <w:b/>
          <w:i w:val="0"/>
          <w:sz w:val="22"/>
          <w:szCs w:val="22"/>
        </w:rPr>
        <w:t>1-</w:t>
      </w:r>
      <w:r w:rsidR="00C60928" w:rsidRPr="009A2045">
        <w:rPr>
          <w:b/>
          <w:i w:val="0"/>
          <w:sz w:val="22"/>
          <w:szCs w:val="22"/>
        </w:rPr>
        <w:fldChar w:fldCharType="begin"/>
      </w:r>
      <w:r w:rsidR="00C60928" w:rsidRPr="009A2045">
        <w:rPr>
          <w:b/>
          <w:i w:val="0"/>
          <w:sz w:val="22"/>
          <w:szCs w:val="22"/>
        </w:rPr>
        <w:instrText xml:space="preserve"> SEQ Figure \* ARABIC </w:instrText>
      </w:r>
      <w:r w:rsidR="00C60928" w:rsidRPr="009A2045">
        <w:rPr>
          <w:b/>
          <w:i w:val="0"/>
          <w:sz w:val="22"/>
          <w:szCs w:val="22"/>
        </w:rPr>
        <w:fldChar w:fldCharType="separate"/>
      </w:r>
      <w:r w:rsidRPr="009A2045">
        <w:rPr>
          <w:b/>
          <w:i w:val="0"/>
          <w:noProof/>
          <w:sz w:val="22"/>
          <w:szCs w:val="22"/>
        </w:rPr>
        <w:t>7</w:t>
      </w:r>
      <w:r w:rsidR="00C60928" w:rsidRPr="009A2045">
        <w:rPr>
          <w:b/>
          <w:i w:val="0"/>
          <w:noProof/>
          <w:sz w:val="22"/>
          <w:szCs w:val="22"/>
        </w:rPr>
        <w:fldChar w:fldCharType="end"/>
      </w:r>
      <w:r w:rsidRPr="009A2045">
        <w:rPr>
          <w:b/>
          <w:i w:val="0"/>
          <w:sz w:val="22"/>
          <w:szCs w:val="22"/>
        </w:rPr>
        <w:t>.  Example Display of All Lines of Evidence for a Risk Hypothes</w:t>
      </w:r>
      <w:r w:rsidR="002F3E78" w:rsidRPr="009A2045">
        <w:rPr>
          <w:b/>
          <w:i w:val="0"/>
          <w:sz w:val="22"/>
          <w:szCs w:val="22"/>
        </w:rPr>
        <w:t>i</w:t>
      </w:r>
      <w:r w:rsidR="00281C70" w:rsidRPr="009A2045">
        <w:rPr>
          <w:b/>
          <w:i w:val="0"/>
          <w:sz w:val="22"/>
          <w:szCs w:val="22"/>
        </w:rPr>
        <w:t>s</w:t>
      </w:r>
      <w:r w:rsidRPr="009A2045">
        <w:rPr>
          <w:b/>
          <w:i w:val="0"/>
          <w:sz w:val="22"/>
          <w:szCs w:val="22"/>
        </w:rPr>
        <w:t xml:space="preserve"> Based on Confidence and Risk</w:t>
      </w:r>
      <w:r w:rsidR="007C0F2A" w:rsidRPr="009A2045">
        <w:rPr>
          <w:b/>
          <w:i w:val="0"/>
          <w:sz w:val="22"/>
          <w:szCs w:val="22"/>
        </w:rPr>
        <w:t>.</w:t>
      </w:r>
      <w:bookmarkEnd w:id="61"/>
    </w:p>
    <w:p w14:paraId="4F99C84A" w14:textId="77777777" w:rsidR="007C0F2A" w:rsidRPr="009A2045" w:rsidRDefault="007C0F2A" w:rsidP="009A2045"/>
    <w:p w14:paraId="59A59426" w14:textId="7B800AB0" w:rsidR="007C0F2A" w:rsidRPr="009A2045" w:rsidRDefault="007C0F2A" w:rsidP="009A2045">
      <w:r w:rsidRPr="009A2045">
        <w:rPr>
          <w:b/>
        </w:rPr>
        <w:t xml:space="preserve">Table </w:t>
      </w:r>
      <w:r w:rsidR="00CF543D" w:rsidRPr="009A2045">
        <w:rPr>
          <w:b/>
        </w:rPr>
        <w:t>1-8</w:t>
      </w:r>
      <w:r w:rsidRPr="009A2045">
        <w:t xml:space="preserve"> shows the appropriate finding for pairings of confidences and risk estimates. The effect determination represents a finding for a listed species on whether the action, as proposed, is not likely to adversely affect (NLAA) or is likely to adversely affect (LAA).  For the direct and indirect lines of evidence (</w:t>
      </w:r>
      <w:r w:rsidRPr="009A2045">
        <w:rPr>
          <w:i/>
        </w:rPr>
        <w:t>i.e</w:t>
      </w:r>
      <w:r w:rsidRPr="009A2045">
        <w:t xml:space="preserve">., LOEs A. 1 through 5 and B. 1 and 2, above), a combination of ‘risk estimate’ and ‘confidence’ that results in an LAA for any single line of evidence – as described in </w:t>
      </w:r>
      <w:r w:rsidRPr="009A2045">
        <w:rPr>
          <w:b/>
        </w:rPr>
        <w:t xml:space="preserve">Table </w:t>
      </w:r>
      <w:r w:rsidR="00CF543D" w:rsidRPr="009A2045">
        <w:rPr>
          <w:b/>
        </w:rPr>
        <w:t>1-8</w:t>
      </w:r>
      <w:r w:rsidRPr="009A2045">
        <w:t>- is sufficient to make an LAA effects determination for the species [or Distinct Population Segment (DPS)/Evolutionarily Significant Unit (ESU)] or critical habitat as a whole. Therefore, for each of these specific LOEs, if one or more of the ‘risk estimate’/’confidence’ combinations results in an ‘LAA</w:t>
      </w:r>
      <w:r w:rsidR="002A387C" w:rsidRPr="009A2045">
        <w:t>,</w:t>
      </w:r>
      <w:r w:rsidRPr="009A2045">
        <w:t>’ then a LAA effects determination for the species (DPS/ESU) or critical habitat as a whole will be made.</w:t>
      </w:r>
    </w:p>
    <w:p w14:paraId="40316AC5" w14:textId="58058EFD" w:rsidR="007C0F2A" w:rsidRPr="009A2045" w:rsidRDefault="007C0F2A" w:rsidP="009A2045">
      <w:r w:rsidRPr="009A2045">
        <w:t>The lines of evidence that could impact the magnitude of direct or indirect effects (</w:t>
      </w:r>
      <w:r w:rsidRPr="009A2045">
        <w:rPr>
          <w:i/>
        </w:rPr>
        <w:t>i.e</w:t>
      </w:r>
      <w:r w:rsidRPr="009A2045">
        <w:t xml:space="preserve">., LOEs C. 1 through 3, above) are not used solely to make NLAA/LAA determination, but rather used in association with the other LOEs.  If the available data provide evidence that the stressors related to these LOEs increase the effects of </w:t>
      </w:r>
      <w:r w:rsidR="009F0204" w:rsidRPr="009A2045">
        <w:t>malathion</w:t>
      </w:r>
      <w:r w:rsidRPr="009A2045">
        <w:t xml:space="preserve"> to impair or reduce an individual’s fitness or affect PCEs/PBFs, then this could result in an LAA determination.  </w:t>
      </w:r>
    </w:p>
    <w:p w14:paraId="42D9CFCC" w14:textId="0A4CCB2A" w:rsidR="007C0F2A" w:rsidRPr="009A2045" w:rsidRDefault="007C0F2A" w:rsidP="009A2045">
      <w:r w:rsidRPr="009A2045">
        <w:t xml:space="preserve">For some ‘risk’ and ‘confidence’ pairings, the NLAA or LAA call will be made on a case-by-case basis (those denoted by an asterisk in </w:t>
      </w:r>
      <w:r w:rsidRPr="009A2045">
        <w:rPr>
          <w:b/>
        </w:rPr>
        <w:t xml:space="preserve">Table </w:t>
      </w:r>
      <w:r w:rsidR="00CF543D" w:rsidRPr="009A2045">
        <w:rPr>
          <w:b/>
        </w:rPr>
        <w:t>1-8</w:t>
      </w:r>
      <w:r w:rsidRPr="009A2045">
        <w:t>). When applicable, the EPA and the Services will discuss the available information further to decide on the appropriate effects determination (</w:t>
      </w:r>
      <w:r w:rsidRPr="009A2045">
        <w:rPr>
          <w:i/>
        </w:rPr>
        <w:t>i.e</w:t>
      </w:r>
      <w:r w:rsidRPr="009A2045">
        <w:t>., NLAA or LAA).</w:t>
      </w:r>
    </w:p>
    <w:p w14:paraId="3905A2D8" w14:textId="1E6548CD" w:rsidR="007C0F2A" w:rsidRPr="009A2045" w:rsidRDefault="000D01C3" w:rsidP="009A2045">
      <w:pPr>
        <w:pStyle w:val="Caption"/>
        <w:rPr>
          <w:b/>
          <w:i w:val="0"/>
          <w:sz w:val="20"/>
          <w:szCs w:val="20"/>
        </w:rPr>
      </w:pPr>
      <w:bookmarkStart w:id="62" w:name="_Toc435773442"/>
      <w:r w:rsidRPr="009A2045">
        <w:rPr>
          <w:b/>
          <w:i w:val="0"/>
          <w:sz w:val="20"/>
          <w:szCs w:val="20"/>
        </w:rPr>
        <w:t xml:space="preserve">Table </w:t>
      </w:r>
      <w:r w:rsidR="00281C70" w:rsidRPr="009A2045">
        <w:rPr>
          <w:b/>
          <w:i w:val="0"/>
          <w:sz w:val="20"/>
          <w:szCs w:val="20"/>
        </w:rPr>
        <w:t>1-</w:t>
      </w:r>
      <w:r w:rsidR="00C60928" w:rsidRPr="009A2045">
        <w:rPr>
          <w:b/>
          <w:i w:val="0"/>
          <w:sz w:val="20"/>
          <w:szCs w:val="20"/>
        </w:rPr>
        <w:fldChar w:fldCharType="begin"/>
      </w:r>
      <w:r w:rsidR="00C60928" w:rsidRPr="009A2045">
        <w:rPr>
          <w:b/>
          <w:i w:val="0"/>
          <w:sz w:val="20"/>
          <w:szCs w:val="20"/>
        </w:rPr>
        <w:instrText xml:space="preserve"> SEQ Table \* ARABIC </w:instrText>
      </w:r>
      <w:r w:rsidR="00C60928" w:rsidRPr="009A2045">
        <w:rPr>
          <w:b/>
          <w:i w:val="0"/>
          <w:sz w:val="20"/>
          <w:szCs w:val="20"/>
        </w:rPr>
        <w:fldChar w:fldCharType="separate"/>
      </w:r>
      <w:r w:rsidRPr="009A2045">
        <w:rPr>
          <w:b/>
          <w:i w:val="0"/>
          <w:noProof/>
          <w:sz w:val="20"/>
          <w:szCs w:val="20"/>
        </w:rPr>
        <w:t>8</w:t>
      </w:r>
      <w:r w:rsidR="00C60928" w:rsidRPr="009A2045">
        <w:rPr>
          <w:b/>
          <w:i w:val="0"/>
          <w:noProof/>
          <w:sz w:val="20"/>
          <w:szCs w:val="20"/>
        </w:rPr>
        <w:fldChar w:fldCharType="end"/>
      </w:r>
      <w:r w:rsidRPr="009A2045">
        <w:rPr>
          <w:b/>
          <w:i w:val="0"/>
          <w:sz w:val="20"/>
          <w:szCs w:val="20"/>
        </w:rPr>
        <w:t>. Effect</w:t>
      </w:r>
      <w:r w:rsidR="00F1745F" w:rsidRPr="009A2045">
        <w:rPr>
          <w:b/>
          <w:i w:val="0"/>
          <w:sz w:val="20"/>
          <w:szCs w:val="20"/>
        </w:rPr>
        <w:t>s</w:t>
      </w:r>
      <w:r w:rsidRPr="009A2045">
        <w:rPr>
          <w:b/>
          <w:i w:val="0"/>
          <w:sz w:val="20"/>
          <w:szCs w:val="20"/>
        </w:rPr>
        <w:t xml:space="preserve"> Determinations Based on Pairings of Risk and C</w:t>
      </w:r>
      <w:r w:rsidR="00281C70" w:rsidRPr="009A2045">
        <w:rPr>
          <w:b/>
          <w:i w:val="0"/>
          <w:sz w:val="20"/>
          <w:szCs w:val="20"/>
        </w:rPr>
        <w:t>o</w:t>
      </w:r>
      <w:r w:rsidRPr="009A2045">
        <w:rPr>
          <w:b/>
          <w:i w:val="0"/>
          <w:sz w:val="20"/>
          <w:szCs w:val="20"/>
        </w:rPr>
        <w:t>nfidence for a Line of Evidence</w:t>
      </w:r>
      <w:bookmarkEnd w:id="62"/>
    </w:p>
    <w:tbl>
      <w:tblPr>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8"/>
        <w:gridCol w:w="3097"/>
        <w:gridCol w:w="3205"/>
      </w:tblGrid>
      <w:tr w:rsidR="007C0F2A" w:rsidRPr="009A2045" w14:paraId="696A9745"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shd w:val="clear" w:color="auto" w:fill="BFBFBF"/>
          </w:tcPr>
          <w:p w14:paraId="28451B3A" w14:textId="77777777" w:rsidR="007C0F2A" w:rsidRPr="009A2045" w:rsidRDefault="007C0F2A" w:rsidP="009A2045">
            <w:pPr>
              <w:jc w:val="center"/>
            </w:pPr>
            <w:r w:rsidRPr="009A2045">
              <w:rPr>
                <w:b/>
              </w:rPr>
              <w:t>Risk Estimate (for any line of evidence)</w:t>
            </w:r>
          </w:p>
        </w:tc>
        <w:tc>
          <w:tcPr>
            <w:tcW w:w="3097" w:type="dxa"/>
            <w:tcBorders>
              <w:top w:val="single" w:sz="4" w:space="0" w:color="000000"/>
              <w:left w:val="single" w:sz="4" w:space="0" w:color="000000"/>
              <w:bottom w:val="single" w:sz="4" w:space="0" w:color="000000"/>
              <w:right w:val="single" w:sz="4" w:space="0" w:color="000000"/>
            </w:tcBorders>
            <w:shd w:val="clear" w:color="auto" w:fill="BFBFBF"/>
          </w:tcPr>
          <w:p w14:paraId="7E3242FA" w14:textId="77777777" w:rsidR="007C0F2A" w:rsidRPr="009A2045" w:rsidRDefault="007C0F2A" w:rsidP="009A2045">
            <w:pPr>
              <w:jc w:val="center"/>
            </w:pPr>
            <w:r w:rsidRPr="009A2045">
              <w:rPr>
                <w:b/>
              </w:rPr>
              <w:t>Confidence</w:t>
            </w:r>
          </w:p>
        </w:tc>
        <w:tc>
          <w:tcPr>
            <w:tcW w:w="3205" w:type="dxa"/>
            <w:tcBorders>
              <w:top w:val="single" w:sz="4" w:space="0" w:color="000000"/>
              <w:left w:val="single" w:sz="4" w:space="0" w:color="000000"/>
              <w:bottom w:val="single" w:sz="4" w:space="0" w:color="000000"/>
              <w:right w:val="single" w:sz="4" w:space="0" w:color="000000"/>
            </w:tcBorders>
            <w:shd w:val="clear" w:color="auto" w:fill="BFBFBF"/>
          </w:tcPr>
          <w:p w14:paraId="694078E3" w14:textId="77777777" w:rsidR="007C0F2A" w:rsidRPr="009A2045" w:rsidRDefault="007C0F2A" w:rsidP="009A2045">
            <w:pPr>
              <w:jc w:val="center"/>
            </w:pPr>
            <w:r w:rsidRPr="009A2045">
              <w:rPr>
                <w:b/>
              </w:rPr>
              <w:t>Effect Determination</w:t>
            </w:r>
          </w:p>
        </w:tc>
      </w:tr>
      <w:tr w:rsidR="007C0F2A" w:rsidRPr="009A2045" w14:paraId="2B0A70BD"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393A271B" w14:textId="77777777" w:rsidR="007C0F2A" w:rsidRPr="009A2045" w:rsidRDefault="007C0F2A" w:rsidP="009A2045">
            <w:pPr>
              <w:jc w:val="center"/>
            </w:pPr>
            <w:r w:rsidRPr="009A2045">
              <w:t>High</w:t>
            </w:r>
          </w:p>
        </w:tc>
        <w:tc>
          <w:tcPr>
            <w:tcW w:w="3097" w:type="dxa"/>
            <w:tcBorders>
              <w:top w:val="single" w:sz="4" w:space="0" w:color="000000"/>
              <w:left w:val="single" w:sz="4" w:space="0" w:color="000000"/>
              <w:bottom w:val="single" w:sz="4" w:space="0" w:color="000000"/>
              <w:right w:val="single" w:sz="4" w:space="0" w:color="000000"/>
            </w:tcBorders>
          </w:tcPr>
          <w:p w14:paraId="06FB0603" w14:textId="77777777" w:rsidR="007C0F2A" w:rsidRPr="009A2045" w:rsidRDefault="007C0F2A" w:rsidP="009A2045">
            <w:pPr>
              <w:jc w:val="center"/>
            </w:pPr>
            <w:r w:rsidRPr="009A2045">
              <w:t>High</w:t>
            </w:r>
          </w:p>
        </w:tc>
        <w:tc>
          <w:tcPr>
            <w:tcW w:w="3205" w:type="dxa"/>
            <w:tcBorders>
              <w:top w:val="single" w:sz="4" w:space="0" w:color="000000"/>
              <w:left w:val="single" w:sz="4" w:space="0" w:color="000000"/>
              <w:bottom w:val="single" w:sz="4" w:space="0" w:color="000000"/>
              <w:right w:val="single" w:sz="4" w:space="0" w:color="000000"/>
            </w:tcBorders>
          </w:tcPr>
          <w:p w14:paraId="67225457" w14:textId="77777777" w:rsidR="007C0F2A" w:rsidRPr="009A2045" w:rsidRDefault="007C0F2A" w:rsidP="009A2045">
            <w:pPr>
              <w:jc w:val="center"/>
            </w:pPr>
            <w:r w:rsidRPr="009A2045">
              <w:t>LAA</w:t>
            </w:r>
          </w:p>
        </w:tc>
      </w:tr>
      <w:tr w:rsidR="007C0F2A" w:rsidRPr="009A2045" w14:paraId="0099F287"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4A93C20D" w14:textId="77777777" w:rsidR="007C0F2A" w:rsidRPr="009A2045" w:rsidRDefault="007C0F2A" w:rsidP="009A2045">
            <w:pPr>
              <w:jc w:val="center"/>
            </w:pPr>
            <w:r w:rsidRPr="009A2045">
              <w:t>High</w:t>
            </w:r>
          </w:p>
        </w:tc>
        <w:tc>
          <w:tcPr>
            <w:tcW w:w="3097" w:type="dxa"/>
            <w:tcBorders>
              <w:top w:val="single" w:sz="4" w:space="0" w:color="000000"/>
              <w:left w:val="single" w:sz="4" w:space="0" w:color="000000"/>
              <w:bottom w:val="single" w:sz="4" w:space="0" w:color="000000"/>
              <w:right w:val="single" w:sz="4" w:space="0" w:color="000000"/>
            </w:tcBorders>
          </w:tcPr>
          <w:p w14:paraId="218839D3" w14:textId="77777777" w:rsidR="007C0F2A" w:rsidRPr="009A2045" w:rsidRDefault="007C0F2A" w:rsidP="009A2045">
            <w:pPr>
              <w:jc w:val="center"/>
            </w:pPr>
            <w:r w:rsidRPr="009A2045">
              <w:t>Med</w:t>
            </w:r>
          </w:p>
        </w:tc>
        <w:tc>
          <w:tcPr>
            <w:tcW w:w="3205" w:type="dxa"/>
            <w:tcBorders>
              <w:top w:val="single" w:sz="4" w:space="0" w:color="000000"/>
              <w:left w:val="single" w:sz="4" w:space="0" w:color="000000"/>
              <w:bottom w:val="single" w:sz="4" w:space="0" w:color="000000"/>
              <w:right w:val="single" w:sz="4" w:space="0" w:color="000000"/>
            </w:tcBorders>
          </w:tcPr>
          <w:p w14:paraId="021F29F9" w14:textId="77777777" w:rsidR="007C0F2A" w:rsidRPr="009A2045" w:rsidRDefault="007C0F2A" w:rsidP="009A2045">
            <w:pPr>
              <w:jc w:val="center"/>
            </w:pPr>
            <w:r w:rsidRPr="009A2045">
              <w:t>LAA</w:t>
            </w:r>
          </w:p>
        </w:tc>
      </w:tr>
      <w:tr w:rsidR="007C0F2A" w:rsidRPr="009A2045" w14:paraId="0E5221BF"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2CF9D9F2" w14:textId="77777777" w:rsidR="007C0F2A" w:rsidRPr="009A2045" w:rsidRDefault="007C0F2A" w:rsidP="009A2045">
            <w:pPr>
              <w:jc w:val="center"/>
            </w:pPr>
            <w:r w:rsidRPr="009A2045">
              <w:t>High</w:t>
            </w:r>
          </w:p>
        </w:tc>
        <w:tc>
          <w:tcPr>
            <w:tcW w:w="3097" w:type="dxa"/>
            <w:tcBorders>
              <w:top w:val="single" w:sz="4" w:space="0" w:color="000000"/>
              <w:left w:val="single" w:sz="4" w:space="0" w:color="000000"/>
              <w:bottom w:val="single" w:sz="4" w:space="0" w:color="000000"/>
              <w:right w:val="single" w:sz="4" w:space="0" w:color="000000"/>
            </w:tcBorders>
          </w:tcPr>
          <w:p w14:paraId="082AEC88" w14:textId="77777777" w:rsidR="007C0F2A" w:rsidRPr="009A2045" w:rsidRDefault="007C0F2A" w:rsidP="009A2045">
            <w:pPr>
              <w:jc w:val="center"/>
            </w:pPr>
            <w:r w:rsidRPr="009A2045">
              <w:t>Low</w:t>
            </w:r>
          </w:p>
        </w:tc>
        <w:tc>
          <w:tcPr>
            <w:tcW w:w="3205" w:type="dxa"/>
            <w:tcBorders>
              <w:top w:val="single" w:sz="4" w:space="0" w:color="000000"/>
              <w:left w:val="single" w:sz="4" w:space="0" w:color="000000"/>
              <w:bottom w:val="single" w:sz="4" w:space="0" w:color="000000"/>
              <w:right w:val="single" w:sz="4" w:space="0" w:color="000000"/>
            </w:tcBorders>
          </w:tcPr>
          <w:p w14:paraId="71C0D902" w14:textId="77777777" w:rsidR="007C0F2A" w:rsidRPr="009A2045" w:rsidRDefault="007C0F2A" w:rsidP="009A2045">
            <w:pPr>
              <w:jc w:val="center"/>
            </w:pPr>
            <w:r w:rsidRPr="009A2045">
              <w:t>LAA</w:t>
            </w:r>
          </w:p>
        </w:tc>
      </w:tr>
      <w:tr w:rsidR="007C0F2A" w:rsidRPr="009A2045" w14:paraId="162EE1A1"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7FE54991" w14:textId="77777777" w:rsidR="007C0F2A" w:rsidRPr="009A2045" w:rsidRDefault="007C0F2A" w:rsidP="009A2045">
            <w:pPr>
              <w:jc w:val="center"/>
            </w:pPr>
            <w:r w:rsidRPr="009A2045">
              <w:t>Medium</w:t>
            </w:r>
          </w:p>
        </w:tc>
        <w:tc>
          <w:tcPr>
            <w:tcW w:w="3097" w:type="dxa"/>
            <w:tcBorders>
              <w:top w:val="single" w:sz="4" w:space="0" w:color="000000"/>
              <w:left w:val="single" w:sz="4" w:space="0" w:color="000000"/>
              <w:bottom w:val="single" w:sz="4" w:space="0" w:color="000000"/>
              <w:right w:val="single" w:sz="4" w:space="0" w:color="000000"/>
            </w:tcBorders>
          </w:tcPr>
          <w:p w14:paraId="1A442DD3" w14:textId="77777777" w:rsidR="007C0F2A" w:rsidRPr="009A2045" w:rsidRDefault="007C0F2A" w:rsidP="009A2045">
            <w:pPr>
              <w:jc w:val="center"/>
            </w:pPr>
            <w:r w:rsidRPr="009A2045">
              <w:t>High</w:t>
            </w:r>
          </w:p>
        </w:tc>
        <w:tc>
          <w:tcPr>
            <w:tcW w:w="3205" w:type="dxa"/>
            <w:tcBorders>
              <w:top w:val="single" w:sz="4" w:space="0" w:color="000000"/>
              <w:left w:val="single" w:sz="4" w:space="0" w:color="000000"/>
              <w:bottom w:val="single" w:sz="4" w:space="0" w:color="000000"/>
              <w:right w:val="single" w:sz="4" w:space="0" w:color="000000"/>
            </w:tcBorders>
          </w:tcPr>
          <w:p w14:paraId="449EABBA" w14:textId="77777777" w:rsidR="007C0F2A" w:rsidRPr="009A2045" w:rsidRDefault="007C0F2A" w:rsidP="009A2045">
            <w:pPr>
              <w:jc w:val="center"/>
            </w:pPr>
            <w:r w:rsidRPr="009A2045">
              <w:t>LAA</w:t>
            </w:r>
          </w:p>
        </w:tc>
      </w:tr>
      <w:tr w:rsidR="007C0F2A" w:rsidRPr="009A2045" w14:paraId="5E8CB5CE"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1F9295E9" w14:textId="77777777" w:rsidR="007C0F2A" w:rsidRPr="009A2045" w:rsidRDefault="007C0F2A" w:rsidP="009A2045">
            <w:pPr>
              <w:jc w:val="center"/>
            </w:pPr>
            <w:r w:rsidRPr="009A2045">
              <w:t>Medium</w:t>
            </w:r>
          </w:p>
        </w:tc>
        <w:tc>
          <w:tcPr>
            <w:tcW w:w="3097" w:type="dxa"/>
            <w:tcBorders>
              <w:top w:val="single" w:sz="4" w:space="0" w:color="000000"/>
              <w:left w:val="single" w:sz="4" w:space="0" w:color="000000"/>
              <w:bottom w:val="single" w:sz="4" w:space="0" w:color="000000"/>
              <w:right w:val="single" w:sz="4" w:space="0" w:color="000000"/>
            </w:tcBorders>
          </w:tcPr>
          <w:p w14:paraId="558DDCDE" w14:textId="77777777" w:rsidR="007C0F2A" w:rsidRPr="009A2045" w:rsidRDefault="007C0F2A" w:rsidP="009A2045">
            <w:pPr>
              <w:jc w:val="center"/>
            </w:pPr>
            <w:r w:rsidRPr="009A2045">
              <w:t>Medium</w:t>
            </w:r>
          </w:p>
        </w:tc>
        <w:tc>
          <w:tcPr>
            <w:tcW w:w="3205" w:type="dxa"/>
            <w:tcBorders>
              <w:top w:val="single" w:sz="4" w:space="0" w:color="000000"/>
              <w:left w:val="single" w:sz="4" w:space="0" w:color="000000"/>
              <w:bottom w:val="single" w:sz="4" w:space="0" w:color="000000"/>
              <w:right w:val="single" w:sz="4" w:space="0" w:color="000000"/>
            </w:tcBorders>
          </w:tcPr>
          <w:p w14:paraId="3E5F0697" w14:textId="77777777" w:rsidR="007C0F2A" w:rsidRPr="009A2045" w:rsidRDefault="007C0F2A" w:rsidP="009A2045">
            <w:pPr>
              <w:jc w:val="center"/>
            </w:pPr>
            <w:r w:rsidRPr="009A2045">
              <w:t>LAA</w:t>
            </w:r>
          </w:p>
        </w:tc>
      </w:tr>
      <w:tr w:rsidR="007C0F2A" w:rsidRPr="009A2045" w14:paraId="103CDF98"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57278FB4" w14:textId="77777777" w:rsidR="007C0F2A" w:rsidRPr="009A2045" w:rsidRDefault="007C0F2A" w:rsidP="009A2045">
            <w:pPr>
              <w:jc w:val="center"/>
            </w:pPr>
            <w:r w:rsidRPr="009A2045">
              <w:t>Medium</w:t>
            </w:r>
          </w:p>
        </w:tc>
        <w:tc>
          <w:tcPr>
            <w:tcW w:w="3097" w:type="dxa"/>
            <w:tcBorders>
              <w:top w:val="single" w:sz="4" w:space="0" w:color="000000"/>
              <w:left w:val="single" w:sz="4" w:space="0" w:color="000000"/>
              <w:bottom w:val="single" w:sz="4" w:space="0" w:color="000000"/>
              <w:right w:val="single" w:sz="4" w:space="0" w:color="000000"/>
            </w:tcBorders>
          </w:tcPr>
          <w:p w14:paraId="23C0CD80" w14:textId="77777777" w:rsidR="007C0F2A" w:rsidRPr="009A2045" w:rsidRDefault="007C0F2A" w:rsidP="009A2045">
            <w:pPr>
              <w:jc w:val="center"/>
            </w:pPr>
            <w:r w:rsidRPr="009A2045">
              <w:t>Low</w:t>
            </w:r>
          </w:p>
        </w:tc>
        <w:tc>
          <w:tcPr>
            <w:tcW w:w="3205" w:type="dxa"/>
            <w:tcBorders>
              <w:top w:val="single" w:sz="4" w:space="0" w:color="000000"/>
              <w:left w:val="single" w:sz="4" w:space="0" w:color="000000"/>
              <w:bottom w:val="single" w:sz="4" w:space="0" w:color="000000"/>
              <w:right w:val="single" w:sz="4" w:space="0" w:color="000000"/>
            </w:tcBorders>
          </w:tcPr>
          <w:p w14:paraId="36986A90" w14:textId="77777777" w:rsidR="007C0F2A" w:rsidRPr="009A2045" w:rsidRDefault="007C0F2A" w:rsidP="009A2045">
            <w:pPr>
              <w:jc w:val="center"/>
            </w:pPr>
            <w:r w:rsidRPr="009A2045">
              <w:t>NLAA or LAA*</w:t>
            </w:r>
          </w:p>
        </w:tc>
      </w:tr>
      <w:tr w:rsidR="007C0F2A" w:rsidRPr="009A2045" w14:paraId="6E3A22FD"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0A5A966D" w14:textId="77777777" w:rsidR="007C0F2A" w:rsidRPr="009A2045" w:rsidRDefault="007C0F2A" w:rsidP="009A2045">
            <w:pPr>
              <w:jc w:val="center"/>
            </w:pPr>
            <w:r w:rsidRPr="009A2045">
              <w:t>Low</w:t>
            </w:r>
          </w:p>
        </w:tc>
        <w:tc>
          <w:tcPr>
            <w:tcW w:w="3097" w:type="dxa"/>
            <w:tcBorders>
              <w:top w:val="single" w:sz="4" w:space="0" w:color="000000"/>
              <w:left w:val="single" w:sz="4" w:space="0" w:color="000000"/>
              <w:bottom w:val="single" w:sz="4" w:space="0" w:color="000000"/>
              <w:right w:val="single" w:sz="4" w:space="0" w:color="000000"/>
            </w:tcBorders>
          </w:tcPr>
          <w:p w14:paraId="50497CA8" w14:textId="77777777" w:rsidR="007C0F2A" w:rsidRPr="009A2045" w:rsidRDefault="007C0F2A" w:rsidP="009A2045">
            <w:pPr>
              <w:jc w:val="center"/>
            </w:pPr>
            <w:r w:rsidRPr="009A2045">
              <w:t>High</w:t>
            </w:r>
          </w:p>
        </w:tc>
        <w:tc>
          <w:tcPr>
            <w:tcW w:w="3205" w:type="dxa"/>
            <w:tcBorders>
              <w:top w:val="single" w:sz="4" w:space="0" w:color="000000"/>
              <w:left w:val="single" w:sz="4" w:space="0" w:color="000000"/>
              <w:bottom w:val="single" w:sz="4" w:space="0" w:color="000000"/>
              <w:right w:val="single" w:sz="4" w:space="0" w:color="000000"/>
            </w:tcBorders>
          </w:tcPr>
          <w:p w14:paraId="2E40278D" w14:textId="77777777" w:rsidR="007C0F2A" w:rsidRPr="009A2045" w:rsidRDefault="007C0F2A" w:rsidP="009A2045">
            <w:pPr>
              <w:jc w:val="center"/>
            </w:pPr>
            <w:r w:rsidRPr="009A2045">
              <w:t>NLAA</w:t>
            </w:r>
          </w:p>
        </w:tc>
      </w:tr>
      <w:tr w:rsidR="007C0F2A" w:rsidRPr="009A2045" w14:paraId="2BA1BD86"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475D2AC9" w14:textId="77777777" w:rsidR="007C0F2A" w:rsidRPr="009A2045" w:rsidRDefault="007C0F2A" w:rsidP="009A2045">
            <w:pPr>
              <w:jc w:val="center"/>
            </w:pPr>
            <w:r w:rsidRPr="009A2045">
              <w:t>Low</w:t>
            </w:r>
          </w:p>
        </w:tc>
        <w:tc>
          <w:tcPr>
            <w:tcW w:w="3097" w:type="dxa"/>
            <w:tcBorders>
              <w:top w:val="single" w:sz="4" w:space="0" w:color="000000"/>
              <w:left w:val="single" w:sz="4" w:space="0" w:color="000000"/>
              <w:bottom w:val="single" w:sz="4" w:space="0" w:color="000000"/>
              <w:right w:val="single" w:sz="4" w:space="0" w:color="000000"/>
            </w:tcBorders>
          </w:tcPr>
          <w:p w14:paraId="5C3F49FE" w14:textId="77777777" w:rsidR="007C0F2A" w:rsidRPr="009A2045" w:rsidRDefault="007C0F2A" w:rsidP="009A2045">
            <w:pPr>
              <w:jc w:val="center"/>
            </w:pPr>
            <w:r w:rsidRPr="009A2045">
              <w:t>Medium</w:t>
            </w:r>
          </w:p>
        </w:tc>
        <w:tc>
          <w:tcPr>
            <w:tcW w:w="3205" w:type="dxa"/>
            <w:tcBorders>
              <w:top w:val="single" w:sz="4" w:space="0" w:color="000000"/>
              <w:left w:val="single" w:sz="4" w:space="0" w:color="000000"/>
              <w:bottom w:val="single" w:sz="4" w:space="0" w:color="000000"/>
              <w:right w:val="single" w:sz="4" w:space="0" w:color="000000"/>
            </w:tcBorders>
          </w:tcPr>
          <w:p w14:paraId="03068179" w14:textId="77777777" w:rsidR="007C0F2A" w:rsidRPr="009A2045" w:rsidRDefault="007C0F2A" w:rsidP="009A2045">
            <w:pPr>
              <w:jc w:val="center"/>
            </w:pPr>
            <w:r w:rsidRPr="009A2045">
              <w:t>NLAA or LAA*</w:t>
            </w:r>
          </w:p>
        </w:tc>
      </w:tr>
      <w:tr w:rsidR="007C0F2A" w:rsidRPr="009A2045" w14:paraId="4EEF235D" w14:textId="77777777" w:rsidTr="007C0F2A">
        <w:trPr>
          <w:trHeight w:val="260"/>
        </w:trPr>
        <w:tc>
          <w:tcPr>
            <w:tcW w:w="3048" w:type="dxa"/>
            <w:tcBorders>
              <w:top w:val="single" w:sz="4" w:space="0" w:color="000000"/>
              <w:left w:val="single" w:sz="4" w:space="0" w:color="000000"/>
              <w:bottom w:val="single" w:sz="4" w:space="0" w:color="000000"/>
              <w:right w:val="single" w:sz="4" w:space="0" w:color="000000"/>
            </w:tcBorders>
          </w:tcPr>
          <w:p w14:paraId="76F08ADB" w14:textId="77777777" w:rsidR="007C0F2A" w:rsidRPr="009A2045" w:rsidRDefault="007C0F2A" w:rsidP="009A2045">
            <w:pPr>
              <w:jc w:val="center"/>
            </w:pPr>
            <w:r w:rsidRPr="009A2045">
              <w:t>Low</w:t>
            </w:r>
          </w:p>
        </w:tc>
        <w:tc>
          <w:tcPr>
            <w:tcW w:w="3097" w:type="dxa"/>
            <w:tcBorders>
              <w:top w:val="single" w:sz="4" w:space="0" w:color="000000"/>
              <w:left w:val="single" w:sz="4" w:space="0" w:color="000000"/>
              <w:bottom w:val="single" w:sz="4" w:space="0" w:color="000000"/>
              <w:right w:val="single" w:sz="4" w:space="0" w:color="000000"/>
            </w:tcBorders>
          </w:tcPr>
          <w:p w14:paraId="050BE7DA" w14:textId="77777777" w:rsidR="007C0F2A" w:rsidRPr="009A2045" w:rsidRDefault="007C0F2A" w:rsidP="009A2045">
            <w:pPr>
              <w:jc w:val="center"/>
            </w:pPr>
            <w:r w:rsidRPr="009A2045">
              <w:t>Low</w:t>
            </w:r>
          </w:p>
        </w:tc>
        <w:tc>
          <w:tcPr>
            <w:tcW w:w="3205" w:type="dxa"/>
            <w:tcBorders>
              <w:top w:val="single" w:sz="4" w:space="0" w:color="000000"/>
              <w:left w:val="single" w:sz="4" w:space="0" w:color="000000"/>
              <w:bottom w:val="single" w:sz="4" w:space="0" w:color="000000"/>
              <w:right w:val="single" w:sz="4" w:space="0" w:color="000000"/>
            </w:tcBorders>
          </w:tcPr>
          <w:p w14:paraId="34CA4613" w14:textId="77777777" w:rsidR="007C0F2A" w:rsidRPr="009A2045" w:rsidRDefault="007C0F2A" w:rsidP="009A2045">
            <w:pPr>
              <w:jc w:val="center"/>
            </w:pPr>
            <w:r w:rsidRPr="009A2045">
              <w:t>NLAA or LAA*</w:t>
            </w:r>
          </w:p>
        </w:tc>
      </w:tr>
    </w:tbl>
    <w:p w14:paraId="472C862B" w14:textId="77777777" w:rsidR="007C0F2A" w:rsidRPr="009A2045" w:rsidRDefault="007C0F2A" w:rsidP="009A2045">
      <w:pPr>
        <w:spacing w:after="0" w:line="240" w:lineRule="auto"/>
      </w:pPr>
      <w:r w:rsidRPr="009A2045">
        <w:t>* The selection of the appropriate effects determination associated with this ‘risk’ and ‘confidence’ pairing may require additional discussion with FWS and NMFS.</w:t>
      </w:r>
    </w:p>
    <w:p w14:paraId="1224023B" w14:textId="77777777" w:rsidR="007C0F2A" w:rsidRPr="009A2045" w:rsidRDefault="007C0F2A" w:rsidP="009A2045">
      <w:pPr>
        <w:spacing w:after="0" w:line="240" w:lineRule="auto"/>
      </w:pPr>
    </w:p>
    <w:p w14:paraId="0A764669" w14:textId="77777777" w:rsidR="007C0F2A" w:rsidRPr="009A2045" w:rsidRDefault="007C0F2A" w:rsidP="009A2045">
      <w:pPr>
        <w:spacing w:after="0" w:line="240" w:lineRule="auto"/>
      </w:pPr>
      <w:r w:rsidRPr="009A2045">
        <w:lastRenderedPageBreak/>
        <w:t>The WoE approach considers both estimates of exposure and estimates of effects.  The methods by which exposures and effects are estimated for each species are discussed below.</w:t>
      </w:r>
    </w:p>
    <w:p w14:paraId="68764D07" w14:textId="497B585E" w:rsidR="000E5A0E" w:rsidRPr="009A2045" w:rsidRDefault="000E5A0E" w:rsidP="009A2045">
      <w:pPr>
        <w:keepNext/>
        <w:keepLines/>
        <w:spacing w:after="0" w:line="240" w:lineRule="auto"/>
      </w:pPr>
    </w:p>
    <w:p w14:paraId="3402AE3A" w14:textId="43F53DA5" w:rsidR="00D94E26" w:rsidRPr="009A2045" w:rsidRDefault="00D94E26" w:rsidP="009A2045">
      <w:pPr>
        <w:pStyle w:val="Heading5"/>
      </w:pPr>
      <w:bookmarkStart w:id="63" w:name="_Toc432773332"/>
      <w:bookmarkStart w:id="64" w:name="_Toc436043045"/>
      <w:bookmarkStart w:id="65" w:name="_Toc432773333"/>
      <w:r w:rsidRPr="009A2045">
        <w:t>1.4.2.2.a.</w:t>
      </w:r>
      <w:r w:rsidRPr="009A2045">
        <w:tab/>
        <w:t>Estimated exposures</w:t>
      </w:r>
      <w:bookmarkEnd w:id="63"/>
      <w:bookmarkEnd w:id="64"/>
    </w:p>
    <w:p w14:paraId="65E2C8DA" w14:textId="77777777" w:rsidR="00D94E26" w:rsidRPr="009A2045" w:rsidRDefault="00D94E26" w:rsidP="009A2045">
      <w:pPr>
        <w:spacing w:after="0" w:line="240" w:lineRule="auto"/>
        <w:rPr>
          <w:i/>
          <w:color w:val="2E75B5"/>
          <w:sz w:val="24"/>
          <w:szCs w:val="24"/>
        </w:rPr>
      </w:pPr>
    </w:p>
    <w:p w14:paraId="30A41579" w14:textId="01CD504C" w:rsidR="00EC7ECD" w:rsidRPr="009A2045" w:rsidRDefault="00D94E26" w:rsidP="009A2045">
      <w:pPr>
        <w:pStyle w:val="Heading6"/>
      </w:pPr>
      <w:bookmarkStart w:id="66" w:name="_Toc436043046"/>
      <w:r w:rsidRPr="009A2045">
        <w:t>1.4.2.2.a.1.</w:t>
      </w:r>
      <w:r w:rsidRPr="009A2045">
        <w:tab/>
        <w:t>Aquatic habitats</w:t>
      </w:r>
      <w:bookmarkEnd w:id="65"/>
      <w:bookmarkEnd w:id="66"/>
    </w:p>
    <w:p w14:paraId="3C8E23DD" w14:textId="77777777" w:rsidR="00D94E26" w:rsidRPr="009A2045" w:rsidRDefault="00D94E26" w:rsidP="009A2045">
      <w:pPr>
        <w:spacing w:after="0" w:line="240" w:lineRule="auto"/>
        <w:rPr>
          <w:i/>
          <w:color w:val="2E75B5"/>
          <w:sz w:val="24"/>
          <w:szCs w:val="24"/>
        </w:rPr>
      </w:pPr>
    </w:p>
    <w:p w14:paraId="54AD0BDE" w14:textId="0AD14A65" w:rsidR="007C0F2A" w:rsidRPr="009A2045" w:rsidRDefault="00D63E1A" w:rsidP="009A2045">
      <w:pPr>
        <w:spacing w:after="0" w:line="240" w:lineRule="auto"/>
      </w:pPr>
      <w:r w:rsidRPr="009A2045">
        <w:rPr>
          <w:i/>
          <w:color w:val="2E75B5"/>
          <w:sz w:val="24"/>
          <w:szCs w:val="24"/>
        </w:rPr>
        <w:tab/>
      </w:r>
      <w:r w:rsidR="007C0F2A" w:rsidRPr="009A2045">
        <w:t>To estimate exposure in surface water, ten generic habitat types were modeled (</w:t>
      </w:r>
      <w:r w:rsidR="007C0F2A" w:rsidRPr="009A2045">
        <w:rPr>
          <w:b/>
        </w:rPr>
        <w:t xml:space="preserve">Table </w:t>
      </w:r>
      <w:r w:rsidR="00CF543D" w:rsidRPr="009A2045">
        <w:rPr>
          <w:b/>
        </w:rPr>
        <w:t>1-9</w:t>
      </w:r>
      <w:r w:rsidR="007C0F2A" w:rsidRPr="009A2045">
        <w:t>): three to simulate flowing waterbodies (Bins 2-4); three to simulate static waterbodies (Bins 5-7) and three to simulate estuarine/marine habitats (Bins 8-10). The habitats vary in depth, volume, and flow. Aquatic-associated terrestrial habitats (Bin 1) include riparian habitats or other land-based habitats adjacent to waterbodies that may occasionally be inundated with surface water, provide habitat used by aquatic organisms and semi</w:t>
      </w:r>
      <w:r w:rsidR="002A387C" w:rsidRPr="009A2045">
        <w:t>-</w:t>
      </w:r>
      <w:r w:rsidR="007C0F2A" w:rsidRPr="009A2045">
        <w:t xml:space="preserve">aquatic organisms, or influence the quality of the aquatic habitats. The listed species assessed were assigned to the appropriate bin, based on habitat requirements (see </w:t>
      </w:r>
      <w:r w:rsidR="00CD352F" w:rsidRPr="009A2045">
        <w:rPr>
          <w:b/>
        </w:rPr>
        <w:t>ATTACHMENT 1-10</w:t>
      </w:r>
      <w:r w:rsidR="007C0F2A" w:rsidRPr="009A2045">
        <w:t xml:space="preserve">).  Environmental fate models are used to generate estimated exposure concentrations (EECs) for </w:t>
      </w:r>
      <w:r w:rsidR="009F0204" w:rsidRPr="009A2045">
        <w:t>malathion</w:t>
      </w:r>
      <w:r w:rsidR="007C0F2A" w:rsidRPr="009A2045">
        <w:t>. The concentration estimates serve as the exposure values</w:t>
      </w:r>
      <w:r w:rsidR="002A387C" w:rsidRPr="009A2045">
        <w:t>,</w:t>
      </w:r>
      <w:r w:rsidR="007C0F2A" w:rsidRPr="009A2045">
        <w:t xml:space="preserve"> which are compared to toxicity endpoints. The extent to which exposure concentrations in surface water and benthic sediment pore water may affect listed aquatic animals and plants from spray drift, runoff, and erosion from the chemical’s use site are simulated using the SWCC.  Peak (</w:t>
      </w:r>
      <w:r w:rsidR="007C0F2A" w:rsidRPr="009A2045">
        <w:rPr>
          <w:i/>
        </w:rPr>
        <w:t>e.g.</w:t>
      </w:r>
      <w:r w:rsidR="007C0F2A" w:rsidRPr="009A2045">
        <w:t xml:space="preserve">, 1-in-10 year and 1-in-15 year return frequency daily maximum values) and chronic (21-day and 60-day average EECs) for the different HUC 2 regions are estimated for the various use rates specified on the labels using the SWCC, the appropriate ESA scenario, the HUC 2 regionally-specific watershed dimensions, and the associated aquatic bins (see </w:t>
      </w:r>
      <w:r w:rsidR="007C0F2A" w:rsidRPr="009A2045">
        <w:rPr>
          <w:b/>
        </w:rPr>
        <w:t>Table</w:t>
      </w:r>
      <w:r w:rsidR="00281C70" w:rsidRPr="009A2045">
        <w:rPr>
          <w:b/>
        </w:rPr>
        <w:t xml:space="preserve"> </w:t>
      </w:r>
      <w:r w:rsidR="00CF543D" w:rsidRPr="009A2045">
        <w:rPr>
          <w:b/>
        </w:rPr>
        <w:t>1-9</w:t>
      </w:r>
      <w:r w:rsidR="007C0F2A" w:rsidRPr="009A2045">
        <w:t xml:space="preserve">).  The 1-in-15 year EECs are used in the ESA assessment to account for the length of the action, as determined through the length of the registration review cycle.  EPA currently lacks tools to model concentrations in tidal and marine environments. Generally, estimates developed for aquatic Bin 2 are used as surrogate exposure levels for intertidal nearshore waterbodies (Bin 8), and estimates developed using aquatic Bin 3 are used as surrogate exposure levels for subtidal nearshore waterbodies (Bin 9).  Additionally, aquatic Bin 5 is used as a surrogate for tidal pools occurring during low tide (aquatic Bin 8). In each of these cases, however, other life history considerations may have influenced the surrogate bin assignments to vary by species.  As aquatic Bin 10 is seldom associated with exposure from runoff and soil erosion, exposure concentrations are modeled assuming spray drift only. </w:t>
      </w:r>
    </w:p>
    <w:p w14:paraId="0DAD2D60" w14:textId="77777777" w:rsidR="007C0F2A" w:rsidRPr="009A2045" w:rsidRDefault="007C0F2A" w:rsidP="009A2045">
      <w:pPr>
        <w:spacing w:after="0" w:line="240" w:lineRule="auto"/>
      </w:pPr>
    </w:p>
    <w:p w14:paraId="47B27AAA" w14:textId="668D2D8A" w:rsidR="007C0F2A" w:rsidRPr="009A2045" w:rsidRDefault="000D01C3" w:rsidP="009A2045">
      <w:pPr>
        <w:pStyle w:val="Caption"/>
        <w:rPr>
          <w:b/>
          <w:i w:val="0"/>
          <w:sz w:val="20"/>
          <w:szCs w:val="20"/>
        </w:rPr>
      </w:pPr>
      <w:bookmarkStart w:id="67" w:name="_Toc435773443"/>
      <w:r w:rsidRPr="009A2045">
        <w:rPr>
          <w:b/>
          <w:i w:val="0"/>
          <w:sz w:val="20"/>
          <w:szCs w:val="20"/>
        </w:rPr>
        <w:t xml:space="preserve">Table </w:t>
      </w:r>
      <w:r w:rsidR="00281C70" w:rsidRPr="009A2045">
        <w:rPr>
          <w:b/>
          <w:i w:val="0"/>
          <w:sz w:val="20"/>
          <w:szCs w:val="20"/>
        </w:rPr>
        <w:t>1-</w:t>
      </w:r>
      <w:r w:rsidR="00C60928" w:rsidRPr="009A2045">
        <w:rPr>
          <w:b/>
          <w:i w:val="0"/>
          <w:sz w:val="20"/>
          <w:szCs w:val="20"/>
        </w:rPr>
        <w:fldChar w:fldCharType="begin"/>
      </w:r>
      <w:r w:rsidR="00C60928" w:rsidRPr="009A2045">
        <w:rPr>
          <w:b/>
          <w:i w:val="0"/>
          <w:sz w:val="20"/>
          <w:szCs w:val="20"/>
        </w:rPr>
        <w:instrText xml:space="preserve"> SEQ Table \* ARABIC </w:instrText>
      </w:r>
      <w:r w:rsidR="00C60928" w:rsidRPr="009A2045">
        <w:rPr>
          <w:b/>
          <w:i w:val="0"/>
          <w:sz w:val="20"/>
          <w:szCs w:val="20"/>
        </w:rPr>
        <w:fldChar w:fldCharType="separate"/>
      </w:r>
      <w:r w:rsidRPr="009A2045">
        <w:rPr>
          <w:b/>
          <w:i w:val="0"/>
          <w:noProof/>
          <w:sz w:val="20"/>
          <w:szCs w:val="20"/>
        </w:rPr>
        <w:t>9</w:t>
      </w:r>
      <w:r w:rsidR="00C60928" w:rsidRPr="009A2045">
        <w:rPr>
          <w:b/>
          <w:i w:val="0"/>
          <w:noProof/>
          <w:sz w:val="20"/>
          <w:szCs w:val="20"/>
        </w:rPr>
        <w:fldChar w:fldCharType="end"/>
      </w:r>
      <w:r w:rsidRPr="009A2045">
        <w:rPr>
          <w:b/>
          <w:i w:val="0"/>
          <w:sz w:val="20"/>
          <w:szCs w:val="20"/>
        </w:rPr>
        <w:t>. Generic Aquatic Habitats</w:t>
      </w:r>
      <w:bookmarkEnd w:id="67"/>
      <w:r w:rsidR="00281C70" w:rsidRPr="009A2045">
        <w:rPr>
          <w:b/>
          <w:i w:val="0"/>
          <w:sz w:val="20"/>
          <w:szCs w:val="20"/>
        </w:rPr>
        <w:t>.</w:t>
      </w:r>
    </w:p>
    <w:tbl>
      <w:tblPr>
        <w:tblW w:w="8568" w:type="dxa"/>
        <w:tblInd w:w="-115" w:type="dxa"/>
        <w:tblBorders>
          <w:top w:val="single" w:sz="8" w:space="0" w:color="A5A5A5"/>
          <w:bottom w:val="single" w:sz="8" w:space="0" w:color="A5A5A5"/>
        </w:tblBorders>
        <w:tblLayout w:type="fixed"/>
        <w:tblLook w:val="04A0" w:firstRow="1" w:lastRow="0" w:firstColumn="1" w:lastColumn="0" w:noHBand="0" w:noVBand="1"/>
      </w:tblPr>
      <w:tblGrid>
        <w:gridCol w:w="2448"/>
        <w:gridCol w:w="1080"/>
        <w:gridCol w:w="996"/>
        <w:gridCol w:w="1884"/>
        <w:gridCol w:w="2160"/>
      </w:tblGrid>
      <w:tr w:rsidR="007C0F2A" w:rsidRPr="009A2045" w14:paraId="51B85F5B" w14:textId="77777777" w:rsidTr="007C0F2A">
        <w:tc>
          <w:tcPr>
            <w:tcW w:w="2448" w:type="dxa"/>
          </w:tcPr>
          <w:p w14:paraId="2518ADD7" w14:textId="77777777" w:rsidR="007C0F2A" w:rsidRPr="009A2045" w:rsidRDefault="007C0F2A" w:rsidP="009A2045">
            <w:r w:rsidRPr="009A2045">
              <w:t>Generic Habitat</w:t>
            </w:r>
          </w:p>
        </w:tc>
        <w:tc>
          <w:tcPr>
            <w:tcW w:w="1080" w:type="dxa"/>
          </w:tcPr>
          <w:p w14:paraId="3ED1E207" w14:textId="77777777" w:rsidR="007C0F2A" w:rsidRPr="009A2045" w:rsidRDefault="007C0F2A" w:rsidP="009A2045">
            <w:r w:rsidRPr="009A2045">
              <w:t>Depth (meters)</w:t>
            </w:r>
          </w:p>
        </w:tc>
        <w:tc>
          <w:tcPr>
            <w:tcW w:w="996" w:type="dxa"/>
          </w:tcPr>
          <w:p w14:paraId="14D906FB" w14:textId="77777777" w:rsidR="007C0F2A" w:rsidRPr="009A2045" w:rsidRDefault="007C0F2A" w:rsidP="009A2045">
            <w:r w:rsidRPr="009A2045">
              <w:t>Width (meters)</w:t>
            </w:r>
          </w:p>
        </w:tc>
        <w:tc>
          <w:tcPr>
            <w:tcW w:w="1884" w:type="dxa"/>
          </w:tcPr>
          <w:p w14:paraId="64ED75E4" w14:textId="77777777" w:rsidR="007C0F2A" w:rsidRPr="009A2045" w:rsidRDefault="007C0F2A" w:rsidP="009A2045">
            <w:r w:rsidRPr="009A2045">
              <w:t>Length (meters)</w:t>
            </w:r>
          </w:p>
        </w:tc>
        <w:tc>
          <w:tcPr>
            <w:tcW w:w="2160" w:type="dxa"/>
          </w:tcPr>
          <w:p w14:paraId="04D09A34" w14:textId="77777777" w:rsidR="007C0F2A" w:rsidRPr="009A2045" w:rsidRDefault="007C0F2A" w:rsidP="009A2045">
            <w:r w:rsidRPr="009A2045">
              <w:t>Flow (m</w:t>
            </w:r>
            <w:r w:rsidRPr="009A2045">
              <w:rPr>
                <w:vertAlign w:val="superscript"/>
              </w:rPr>
              <w:t>3</w:t>
            </w:r>
            <w:r w:rsidRPr="009A2045">
              <w:t>/second)</w:t>
            </w:r>
          </w:p>
        </w:tc>
      </w:tr>
      <w:tr w:rsidR="007C0F2A" w:rsidRPr="009A2045" w14:paraId="2791FE5E" w14:textId="77777777" w:rsidTr="007C0F2A">
        <w:tc>
          <w:tcPr>
            <w:tcW w:w="2448" w:type="dxa"/>
          </w:tcPr>
          <w:p w14:paraId="292F152E" w14:textId="77777777" w:rsidR="007C0F2A" w:rsidRPr="009A2045" w:rsidRDefault="007C0F2A" w:rsidP="009A2045">
            <w:r w:rsidRPr="009A2045">
              <w:t>1 – Aquatic-associated terrestrial habitats</w:t>
            </w:r>
          </w:p>
        </w:tc>
        <w:tc>
          <w:tcPr>
            <w:tcW w:w="1080" w:type="dxa"/>
          </w:tcPr>
          <w:p w14:paraId="0E4C4780" w14:textId="77777777" w:rsidR="007C0F2A" w:rsidRPr="009A2045" w:rsidRDefault="007C0F2A" w:rsidP="009A2045">
            <w:r w:rsidRPr="009A2045">
              <w:t>NA</w:t>
            </w:r>
          </w:p>
        </w:tc>
        <w:tc>
          <w:tcPr>
            <w:tcW w:w="996" w:type="dxa"/>
          </w:tcPr>
          <w:p w14:paraId="1F5FBF69" w14:textId="77777777" w:rsidR="007C0F2A" w:rsidRPr="009A2045" w:rsidRDefault="007C0F2A" w:rsidP="009A2045">
            <w:r w:rsidRPr="009A2045">
              <w:t>NA</w:t>
            </w:r>
          </w:p>
        </w:tc>
        <w:tc>
          <w:tcPr>
            <w:tcW w:w="1884" w:type="dxa"/>
          </w:tcPr>
          <w:p w14:paraId="373EE4AE" w14:textId="77777777" w:rsidR="007C0F2A" w:rsidRPr="009A2045" w:rsidRDefault="007C0F2A" w:rsidP="009A2045">
            <w:r w:rsidRPr="009A2045">
              <w:t>NA</w:t>
            </w:r>
          </w:p>
        </w:tc>
        <w:tc>
          <w:tcPr>
            <w:tcW w:w="2160" w:type="dxa"/>
          </w:tcPr>
          <w:p w14:paraId="02D7B045" w14:textId="77777777" w:rsidR="007C0F2A" w:rsidRPr="009A2045" w:rsidRDefault="007C0F2A" w:rsidP="009A2045">
            <w:r w:rsidRPr="009A2045">
              <w:t>NA</w:t>
            </w:r>
          </w:p>
        </w:tc>
      </w:tr>
      <w:tr w:rsidR="007C0F2A" w:rsidRPr="009A2045" w14:paraId="0AE0FDFB" w14:textId="77777777" w:rsidTr="007C0F2A">
        <w:tc>
          <w:tcPr>
            <w:tcW w:w="2448" w:type="dxa"/>
          </w:tcPr>
          <w:p w14:paraId="26D81194" w14:textId="77777777" w:rsidR="007C0F2A" w:rsidRPr="009A2045" w:rsidRDefault="007C0F2A" w:rsidP="009A2045">
            <w:r w:rsidRPr="009A2045">
              <w:t>2- low-flow</w:t>
            </w:r>
          </w:p>
        </w:tc>
        <w:tc>
          <w:tcPr>
            <w:tcW w:w="1080" w:type="dxa"/>
          </w:tcPr>
          <w:p w14:paraId="4A271270" w14:textId="77777777" w:rsidR="007C0F2A" w:rsidRPr="009A2045" w:rsidRDefault="007C0F2A" w:rsidP="009A2045">
            <w:r w:rsidRPr="009A2045">
              <w:t>0.1</w:t>
            </w:r>
          </w:p>
        </w:tc>
        <w:tc>
          <w:tcPr>
            <w:tcW w:w="996" w:type="dxa"/>
          </w:tcPr>
          <w:p w14:paraId="57FB2AF4" w14:textId="77777777" w:rsidR="007C0F2A" w:rsidRPr="009A2045" w:rsidRDefault="007C0F2A" w:rsidP="009A2045">
            <w:r w:rsidRPr="009A2045">
              <w:t>2</w:t>
            </w:r>
          </w:p>
        </w:tc>
        <w:tc>
          <w:tcPr>
            <w:tcW w:w="1884" w:type="dxa"/>
          </w:tcPr>
          <w:p w14:paraId="59ABAB6E" w14:textId="77777777" w:rsidR="007C0F2A" w:rsidRPr="009A2045" w:rsidRDefault="007C0F2A" w:rsidP="009A2045">
            <w:r w:rsidRPr="009A2045">
              <w:t>length of field</w:t>
            </w:r>
            <w:r w:rsidRPr="009A2045">
              <w:rPr>
                <w:vertAlign w:val="superscript"/>
              </w:rPr>
              <w:t xml:space="preserve">1 </w:t>
            </w:r>
          </w:p>
        </w:tc>
        <w:tc>
          <w:tcPr>
            <w:tcW w:w="2160" w:type="dxa"/>
          </w:tcPr>
          <w:p w14:paraId="29DC7E2B" w14:textId="77777777" w:rsidR="007C0F2A" w:rsidRPr="009A2045" w:rsidRDefault="007C0F2A" w:rsidP="009A2045">
            <w:r w:rsidRPr="009A2045">
              <w:t xml:space="preserve">0.001 </w:t>
            </w:r>
          </w:p>
        </w:tc>
      </w:tr>
      <w:tr w:rsidR="007C0F2A" w:rsidRPr="009A2045" w14:paraId="1E7F3D9A" w14:textId="77777777" w:rsidTr="007C0F2A">
        <w:tc>
          <w:tcPr>
            <w:tcW w:w="2448" w:type="dxa"/>
          </w:tcPr>
          <w:p w14:paraId="747C4F29" w14:textId="77777777" w:rsidR="007C0F2A" w:rsidRPr="009A2045" w:rsidRDefault="007C0F2A" w:rsidP="009A2045">
            <w:r w:rsidRPr="009A2045">
              <w:t>3- Moderate-flow</w:t>
            </w:r>
          </w:p>
        </w:tc>
        <w:tc>
          <w:tcPr>
            <w:tcW w:w="1080" w:type="dxa"/>
          </w:tcPr>
          <w:p w14:paraId="5FF5D4F3" w14:textId="77777777" w:rsidR="007C0F2A" w:rsidRPr="009A2045" w:rsidRDefault="007C0F2A" w:rsidP="009A2045">
            <w:r w:rsidRPr="009A2045">
              <w:t>1</w:t>
            </w:r>
          </w:p>
        </w:tc>
        <w:tc>
          <w:tcPr>
            <w:tcW w:w="996" w:type="dxa"/>
          </w:tcPr>
          <w:p w14:paraId="74F74E42" w14:textId="77777777" w:rsidR="007C0F2A" w:rsidRPr="009A2045" w:rsidRDefault="007C0F2A" w:rsidP="009A2045">
            <w:r w:rsidRPr="009A2045">
              <w:t>8</w:t>
            </w:r>
          </w:p>
        </w:tc>
        <w:tc>
          <w:tcPr>
            <w:tcW w:w="1884" w:type="dxa"/>
          </w:tcPr>
          <w:p w14:paraId="4E822DF7" w14:textId="77777777" w:rsidR="007C0F2A" w:rsidRPr="009A2045" w:rsidRDefault="007C0F2A" w:rsidP="009A2045">
            <w:r w:rsidRPr="009A2045">
              <w:t xml:space="preserve">length of field </w:t>
            </w:r>
          </w:p>
        </w:tc>
        <w:tc>
          <w:tcPr>
            <w:tcW w:w="2160" w:type="dxa"/>
          </w:tcPr>
          <w:p w14:paraId="732A3D76" w14:textId="77777777" w:rsidR="007C0F2A" w:rsidRPr="009A2045" w:rsidRDefault="007C0F2A" w:rsidP="009A2045">
            <w:r w:rsidRPr="009A2045">
              <w:t xml:space="preserve">1 </w:t>
            </w:r>
          </w:p>
          <w:p w14:paraId="3684C4D0" w14:textId="77777777" w:rsidR="007C0F2A" w:rsidRPr="009A2045" w:rsidRDefault="007C0F2A" w:rsidP="009A2045"/>
        </w:tc>
      </w:tr>
      <w:tr w:rsidR="007C0F2A" w:rsidRPr="009A2045" w14:paraId="57F05BF4" w14:textId="77777777" w:rsidTr="007C0F2A">
        <w:tc>
          <w:tcPr>
            <w:tcW w:w="2448" w:type="dxa"/>
          </w:tcPr>
          <w:p w14:paraId="126AEEDA" w14:textId="77777777" w:rsidR="007C0F2A" w:rsidRPr="009A2045" w:rsidRDefault="007C0F2A" w:rsidP="009A2045">
            <w:r w:rsidRPr="009A2045">
              <w:lastRenderedPageBreak/>
              <w:t>4- High-flow</w:t>
            </w:r>
          </w:p>
        </w:tc>
        <w:tc>
          <w:tcPr>
            <w:tcW w:w="1080" w:type="dxa"/>
          </w:tcPr>
          <w:p w14:paraId="2B59D3A0" w14:textId="77777777" w:rsidR="007C0F2A" w:rsidRPr="009A2045" w:rsidRDefault="007C0F2A" w:rsidP="009A2045">
            <w:r w:rsidRPr="009A2045">
              <w:t>2</w:t>
            </w:r>
          </w:p>
        </w:tc>
        <w:tc>
          <w:tcPr>
            <w:tcW w:w="996" w:type="dxa"/>
          </w:tcPr>
          <w:p w14:paraId="30185DF8" w14:textId="77777777" w:rsidR="007C0F2A" w:rsidRPr="009A2045" w:rsidRDefault="007C0F2A" w:rsidP="009A2045">
            <w:r w:rsidRPr="009A2045">
              <w:t>40</w:t>
            </w:r>
          </w:p>
        </w:tc>
        <w:tc>
          <w:tcPr>
            <w:tcW w:w="1884" w:type="dxa"/>
          </w:tcPr>
          <w:p w14:paraId="31D9B974" w14:textId="77777777" w:rsidR="007C0F2A" w:rsidRPr="009A2045" w:rsidRDefault="007C0F2A" w:rsidP="009A2045">
            <w:r w:rsidRPr="009A2045">
              <w:t xml:space="preserve">length of field </w:t>
            </w:r>
          </w:p>
        </w:tc>
        <w:tc>
          <w:tcPr>
            <w:tcW w:w="2160" w:type="dxa"/>
          </w:tcPr>
          <w:p w14:paraId="08AC6020" w14:textId="77777777" w:rsidR="007C0F2A" w:rsidRPr="009A2045" w:rsidRDefault="007C0F2A" w:rsidP="009A2045">
            <w:r w:rsidRPr="009A2045">
              <w:t xml:space="preserve">100 </w:t>
            </w:r>
          </w:p>
        </w:tc>
      </w:tr>
      <w:tr w:rsidR="007C0F2A" w:rsidRPr="009A2045" w14:paraId="7EABEB4B" w14:textId="77777777" w:rsidTr="007C0F2A">
        <w:tc>
          <w:tcPr>
            <w:tcW w:w="2448" w:type="dxa"/>
          </w:tcPr>
          <w:p w14:paraId="3B047F8D" w14:textId="77777777" w:rsidR="007C0F2A" w:rsidRPr="009A2045" w:rsidRDefault="007C0F2A" w:rsidP="009A2045">
            <w:r w:rsidRPr="009A2045">
              <w:t>5 – Low-volume</w:t>
            </w:r>
          </w:p>
        </w:tc>
        <w:tc>
          <w:tcPr>
            <w:tcW w:w="1080" w:type="dxa"/>
          </w:tcPr>
          <w:p w14:paraId="369E0AE2" w14:textId="77777777" w:rsidR="007C0F2A" w:rsidRPr="009A2045" w:rsidRDefault="007C0F2A" w:rsidP="009A2045">
            <w:r w:rsidRPr="009A2045">
              <w:t>0.1</w:t>
            </w:r>
          </w:p>
        </w:tc>
        <w:tc>
          <w:tcPr>
            <w:tcW w:w="996" w:type="dxa"/>
          </w:tcPr>
          <w:p w14:paraId="68143E97" w14:textId="77777777" w:rsidR="007C0F2A" w:rsidRPr="009A2045" w:rsidRDefault="007C0F2A" w:rsidP="009A2045">
            <w:r w:rsidRPr="009A2045">
              <w:t>1</w:t>
            </w:r>
          </w:p>
        </w:tc>
        <w:tc>
          <w:tcPr>
            <w:tcW w:w="1884" w:type="dxa"/>
          </w:tcPr>
          <w:p w14:paraId="6BB2136D" w14:textId="77777777" w:rsidR="007C0F2A" w:rsidRPr="009A2045" w:rsidRDefault="007C0F2A" w:rsidP="009A2045">
            <w:r w:rsidRPr="009A2045">
              <w:t>1</w:t>
            </w:r>
          </w:p>
        </w:tc>
        <w:tc>
          <w:tcPr>
            <w:tcW w:w="2160" w:type="dxa"/>
          </w:tcPr>
          <w:p w14:paraId="29A01E02" w14:textId="77777777" w:rsidR="007C0F2A" w:rsidRPr="009A2045" w:rsidRDefault="007C0F2A" w:rsidP="009A2045">
            <w:r w:rsidRPr="009A2045">
              <w:t>0</w:t>
            </w:r>
          </w:p>
        </w:tc>
      </w:tr>
      <w:tr w:rsidR="007C0F2A" w:rsidRPr="009A2045" w14:paraId="7D6F7C90" w14:textId="77777777" w:rsidTr="007C0F2A">
        <w:tc>
          <w:tcPr>
            <w:tcW w:w="2448" w:type="dxa"/>
          </w:tcPr>
          <w:p w14:paraId="246EA1C5" w14:textId="77777777" w:rsidR="007C0F2A" w:rsidRPr="009A2045" w:rsidRDefault="007C0F2A" w:rsidP="009A2045">
            <w:r w:rsidRPr="009A2045">
              <w:t>6- Moderate-volume</w:t>
            </w:r>
          </w:p>
        </w:tc>
        <w:tc>
          <w:tcPr>
            <w:tcW w:w="1080" w:type="dxa"/>
          </w:tcPr>
          <w:p w14:paraId="4340D06B" w14:textId="77777777" w:rsidR="007C0F2A" w:rsidRPr="009A2045" w:rsidRDefault="007C0F2A" w:rsidP="009A2045">
            <w:r w:rsidRPr="009A2045">
              <w:t>1</w:t>
            </w:r>
          </w:p>
        </w:tc>
        <w:tc>
          <w:tcPr>
            <w:tcW w:w="996" w:type="dxa"/>
          </w:tcPr>
          <w:p w14:paraId="28886826" w14:textId="77777777" w:rsidR="007C0F2A" w:rsidRPr="009A2045" w:rsidRDefault="007C0F2A" w:rsidP="009A2045">
            <w:r w:rsidRPr="009A2045">
              <w:t>10</w:t>
            </w:r>
          </w:p>
        </w:tc>
        <w:tc>
          <w:tcPr>
            <w:tcW w:w="1884" w:type="dxa"/>
          </w:tcPr>
          <w:p w14:paraId="14103407" w14:textId="77777777" w:rsidR="007C0F2A" w:rsidRPr="009A2045" w:rsidRDefault="007C0F2A" w:rsidP="009A2045">
            <w:r w:rsidRPr="009A2045">
              <w:t>10</w:t>
            </w:r>
          </w:p>
        </w:tc>
        <w:tc>
          <w:tcPr>
            <w:tcW w:w="2160" w:type="dxa"/>
          </w:tcPr>
          <w:p w14:paraId="4CA8A930" w14:textId="77777777" w:rsidR="007C0F2A" w:rsidRPr="009A2045" w:rsidRDefault="007C0F2A" w:rsidP="009A2045">
            <w:r w:rsidRPr="009A2045">
              <w:t>0</w:t>
            </w:r>
          </w:p>
        </w:tc>
      </w:tr>
      <w:tr w:rsidR="007C0F2A" w:rsidRPr="009A2045" w14:paraId="465E7740" w14:textId="77777777" w:rsidTr="007C0F2A">
        <w:tc>
          <w:tcPr>
            <w:tcW w:w="2448" w:type="dxa"/>
          </w:tcPr>
          <w:p w14:paraId="390A9042" w14:textId="77777777" w:rsidR="007C0F2A" w:rsidRPr="009A2045" w:rsidRDefault="007C0F2A" w:rsidP="009A2045">
            <w:r w:rsidRPr="009A2045">
              <w:t>7- High-volume</w:t>
            </w:r>
          </w:p>
        </w:tc>
        <w:tc>
          <w:tcPr>
            <w:tcW w:w="1080" w:type="dxa"/>
          </w:tcPr>
          <w:p w14:paraId="654CF5D6" w14:textId="77777777" w:rsidR="007C0F2A" w:rsidRPr="009A2045" w:rsidRDefault="007C0F2A" w:rsidP="009A2045">
            <w:r w:rsidRPr="009A2045">
              <w:t>2</w:t>
            </w:r>
          </w:p>
        </w:tc>
        <w:tc>
          <w:tcPr>
            <w:tcW w:w="996" w:type="dxa"/>
          </w:tcPr>
          <w:p w14:paraId="548005FB" w14:textId="77777777" w:rsidR="007C0F2A" w:rsidRPr="009A2045" w:rsidRDefault="007C0F2A" w:rsidP="009A2045">
            <w:r w:rsidRPr="009A2045">
              <w:t>100</w:t>
            </w:r>
          </w:p>
        </w:tc>
        <w:tc>
          <w:tcPr>
            <w:tcW w:w="1884" w:type="dxa"/>
          </w:tcPr>
          <w:p w14:paraId="4E7255F5" w14:textId="77777777" w:rsidR="007C0F2A" w:rsidRPr="009A2045" w:rsidRDefault="007C0F2A" w:rsidP="009A2045">
            <w:r w:rsidRPr="009A2045">
              <w:t>100</w:t>
            </w:r>
          </w:p>
        </w:tc>
        <w:tc>
          <w:tcPr>
            <w:tcW w:w="2160" w:type="dxa"/>
          </w:tcPr>
          <w:p w14:paraId="135887CD" w14:textId="77777777" w:rsidR="007C0F2A" w:rsidRPr="009A2045" w:rsidRDefault="007C0F2A" w:rsidP="009A2045">
            <w:r w:rsidRPr="009A2045">
              <w:t>0</w:t>
            </w:r>
          </w:p>
        </w:tc>
      </w:tr>
      <w:tr w:rsidR="007C0F2A" w:rsidRPr="009A2045" w14:paraId="2846F677" w14:textId="77777777" w:rsidTr="007C0F2A">
        <w:tc>
          <w:tcPr>
            <w:tcW w:w="2448" w:type="dxa"/>
          </w:tcPr>
          <w:p w14:paraId="3111996F" w14:textId="77777777" w:rsidR="007C0F2A" w:rsidRPr="009A2045" w:rsidRDefault="007C0F2A" w:rsidP="009A2045">
            <w:r w:rsidRPr="009A2045">
              <w:t>8- Intertidal nearshore</w:t>
            </w:r>
          </w:p>
        </w:tc>
        <w:tc>
          <w:tcPr>
            <w:tcW w:w="1080" w:type="dxa"/>
          </w:tcPr>
          <w:p w14:paraId="0B38003C" w14:textId="77777777" w:rsidR="007C0F2A" w:rsidRPr="009A2045" w:rsidRDefault="007C0F2A" w:rsidP="009A2045">
            <w:r w:rsidRPr="009A2045">
              <w:t>0.5</w:t>
            </w:r>
          </w:p>
        </w:tc>
        <w:tc>
          <w:tcPr>
            <w:tcW w:w="996" w:type="dxa"/>
          </w:tcPr>
          <w:p w14:paraId="7E6DA727" w14:textId="77777777" w:rsidR="007C0F2A" w:rsidRPr="009A2045" w:rsidRDefault="007C0F2A" w:rsidP="009A2045">
            <w:r w:rsidRPr="009A2045">
              <w:t>50</w:t>
            </w:r>
          </w:p>
        </w:tc>
        <w:tc>
          <w:tcPr>
            <w:tcW w:w="1884" w:type="dxa"/>
          </w:tcPr>
          <w:p w14:paraId="4FB28D8F" w14:textId="77777777" w:rsidR="007C0F2A" w:rsidRPr="009A2045" w:rsidRDefault="007C0F2A" w:rsidP="009A2045">
            <w:r w:rsidRPr="009A2045">
              <w:t>Length of field</w:t>
            </w:r>
          </w:p>
        </w:tc>
        <w:tc>
          <w:tcPr>
            <w:tcW w:w="2160" w:type="dxa"/>
          </w:tcPr>
          <w:p w14:paraId="0FED93AC" w14:textId="77777777" w:rsidR="007C0F2A" w:rsidRPr="009A2045" w:rsidRDefault="007C0F2A" w:rsidP="009A2045">
            <w:r w:rsidRPr="009A2045">
              <w:t>NA</w:t>
            </w:r>
          </w:p>
        </w:tc>
      </w:tr>
      <w:tr w:rsidR="007C0F2A" w:rsidRPr="009A2045" w14:paraId="15984C9A" w14:textId="77777777" w:rsidTr="007C0F2A">
        <w:tc>
          <w:tcPr>
            <w:tcW w:w="2448" w:type="dxa"/>
          </w:tcPr>
          <w:p w14:paraId="456A09EC" w14:textId="77777777" w:rsidR="007C0F2A" w:rsidRPr="009A2045" w:rsidRDefault="007C0F2A" w:rsidP="009A2045">
            <w:r w:rsidRPr="009A2045">
              <w:t>9- Subtidal nearshore</w:t>
            </w:r>
          </w:p>
        </w:tc>
        <w:tc>
          <w:tcPr>
            <w:tcW w:w="1080" w:type="dxa"/>
          </w:tcPr>
          <w:p w14:paraId="100B82A5" w14:textId="77777777" w:rsidR="007C0F2A" w:rsidRPr="009A2045" w:rsidRDefault="007C0F2A" w:rsidP="009A2045">
            <w:r w:rsidRPr="009A2045">
              <w:t>5</w:t>
            </w:r>
          </w:p>
        </w:tc>
        <w:tc>
          <w:tcPr>
            <w:tcW w:w="996" w:type="dxa"/>
          </w:tcPr>
          <w:p w14:paraId="249FBA9A" w14:textId="77777777" w:rsidR="007C0F2A" w:rsidRPr="009A2045" w:rsidRDefault="007C0F2A" w:rsidP="009A2045">
            <w:r w:rsidRPr="009A2045">
              <w:t>200</w:t>
            </w:r>
          </w:p>
        </w:tc>
        <w:tc>
          <w:tcPr>
            <w:tcW w:w="1884" w:type="dxa"/>
          </w:tcPr>
          <w:p w14:paraId="1EC66470" w14:textId="77777777" w:rsidR="007C0F2A" w:rsidRPr="009A2045" w:rsidRDefault="007C0F2A" w:rsidP="009A2045">
            <w:r w:rsidRPr="009A2045">
              <w:t>Length of field</w:t>
            </w:r>
          </w:p>
        </w:tc>
        <w:tc>
          <w:tcPr>
            <w:tcW w:w="2160" w:type="dxa"/>
          </w:tcPr>
          <w:p w14:paraId="3C07E2E5" w14:textId="77777777" w:rsidR="007C0F2A" w:rsidRPr="009A2045" w:rsidRDefault="007C0F2A" w:rsidP="009A2045">
            <w:r w:rsidRPr="009A2045">
              <w:t>NA</w:t>
            </w:r>
          </w:p>
        </w:tc>
      </w:tr>
      <w:tr w:rsidR="007C0F2A" w:rsidRPr="009A2045" w14:paraId="4C2015A0" w14:textId="77777777" w:rsidTr="007C0F2A">
        <w:tc>
          <w:tcPr>
            <w:tcW w:w="2448" w:type="dxa"/>
          </w:tcPr>
          <w:p w14:paraId="0EBF6885" w14:textId="77777777" w:rsidR="007C0F2A" w:rsidRPr="009A2045" w:rsidRDefault="007C0F2A" w:rsidP="009A2045">
            <w:r w:rsidRPr="009A2045">
              <w:t>10- Offshore marine</w:t>
            </w:r>
          </w:p>
        </w:tc>
        <w:tc>
          <w:tcPr>
            <w:tcW w:w="1080" w:type="dxa"/>
          </w:tcPr>
          <w:p w14:paraId="60196F1C" w14:textId="77777777" w:rsidR="007C0F2A" w:rsidRPr="009A2045" w:rsidRDefault="007C0F2A" w:rsidP="009A2045">
            <w:r w:rsidRPr="009A2045">
              <w:t>200</w:t>
            </w:r>
          </w:p>
        </w:tc>
        <w:tc>
          <w:tcPr>
            <w:tcW w:w="996" w:type="dxa"/>
          </w:tcPr>
          <w:p w14:paraId="4AC8793C" w14:textId="77777777" w:rsidR="007C0F2A" w:rsidRPr="009A2045" w:rsidRDefault="007C0F2A" w:rsidP="009A2045">
            <w:r w:rsidRPr="009A2045">
              <w:t>300</w:t>
            </w:r>
          </w:p>
        </w:tc>
        <w:tc>
          <w:tcPr>
            <w:tcW w:w="1884" w:type="dxa"/>
          </w:tcPr>
          <w:p w14:paraId="07DFDA80" w14:textId="77777777" w:rsidR="007C0F2A" w:rsidRPr="009A2045" w:rsidRDefault="007C0F2A" w:rsidP="009A2045">
            <w:r w:rsidRPr="009A2045">
              <w:t>Length of field</w:t>
            </w:r>
          </w:p>
        </w:tc>
        <w:tc>
          <w:tcPr>
            <w:tcW w:w="2160" w:type="dxa"/>
          </w:tcPr>
          <w:p w14:paraId="31CE22F6" w14:textId="77777777" w:rsidR="007C0F2A" w:rsidRPr="009A2045" w:rsidRDefault="007C0F2A" w:rsidP="009A2045">
            <w:r w:rsidRPr="009A2045">
              <w:t>NA</w:t>
            </w:r>
          </w:p>
        </w:tc>
      </w:tr>
    </w:tbl>
    <w:p w14:paraId="05EA884D" w14:textId="77777777" w:rsidR="007C0F2A" w:rsidRPr="009A2045" w:rsidRDefault="007C0F2A" w:rsidP="009A2045">
      <w:pPr>
        <w:spacing w:after="0" w:line="240" w:lineRule="auto"/>
      </w:pPr>
      <w:r w:rsidRPr="009A2045">
        <w:rPr>
          <w:sz w:val="20"/>
          <w:szCs w:val="20"/>
          <w:vertAlign w:val="superscript"/>
        </w:rPr>
        <w:t>1</w:t>
      </w:r>
      <w:r w:rsidRPr="009A2045">
        <w:rPr>
          <w:sz w:val="20"/>
          <w:szCs w:val="20"/>
        </w:rPr>
        <w:t xml:space="preserve">length of field – The habitat being evaluated is the reach or segment that abuts or is immediately adjacent to the treated field.  The habitat is assumed to run the entire length of the treated area. </w:t>
      </w:r>
    </w:p>
    <w:p w14:paraId="117B980A" w14:textId="77777777" w:rsidR="007C0F2A" w:rsidRPr="009A2045" w:rsidRDefault="007C0F2A" w:rsidP="009A2045">
      <w:pPr>
        <w:spacing w:after="0" w:line="240" w:lineRule="auto"/>
      </w:pPr>
      <w:r w:rsidRPr="009A2045">
        <w:rPr>
          <w:sz w:val="20"/>
          <w:szCs w:val="20"/>
        </w:rPr>
        <w:t>Exposure concentrations in surface water and benthic sediment pore water, downwind from the chemical’s use, are evaluated using AgDRIFT and AGDISP, as previously described in Section 1.5.1.1.c.1.  NA indicates that concentrations were not calculated.</w:t>
      </w:r>
    </w:p>
    <w:p w14:paraId="4D847599" w14:textId="77777777" w:rsidR="007C0F2A" w:rsidRPr="009A2045" w:rsidRDefault="007C0F2A" w:rsidP="009A2045">
      <w:pPr>
        <w:spacing w:after="0" w:line="240" w:lineRule="auto"/>
      </w:pPr>
    </w:p>
    <w:p w14:paraId="2BB283D5" w14:textId="77777777" w:rsidR="00CD352F" w:rsidRPr="009A2045" w:rsidRDefault="00CD352F" w:rsidP="009A2045">
      <w:pPr>
        <w:spacing w:after="0" w:line="240" w:lineRule="auto"/>
      </w:pPr>
      <w:r w:rsidRPr="009A2045">
        <w:t xml:space="preserve">Details used for modeling exposures for the listed aquatic species (i.e., fish, aquatic invertebrates, marine mammals, marine reptiles and corals) are included in </w:t>
      </w:r>
      <w:r w:rsidRPr="009A2045">
        <w:rPr>
          <w:b/>
        </w:rPr>
        <w:t xml:space="preserve">ATTACHMENTS 1-11 </w:t>
      </w:r>
      <w:r w:rsidRPr="009A2045">
        <w:t>to</w:t>
      </w:r>
      <w:r w:rsidRPr="009A2045">
        <w:rPr>
          <w:b/>
        </w:rPr>
        <w:t xml:space="preserve"> 1-15</w:t>
      </w:r>
      <w:r w:rsidRPr="009A2045">
        <w:t xml:space="preserve">. </w:t>
      </w:r>
    </w:p>
    <w:p w14:paraId="7A785C4A" w14:textId="77777777" w:rsidR="00CD352F" w:rsidRPr="009A2045" w:rsidRDefault="00CD352F" w:rsidP="009A2045">
      <w:pPr>
        <w:spacing w:after="0" w:line="240" w:lineRule="auto"/>
      </w:pPr>
    </w:p>
    <w:p w14:paraId="6DA050BC" w14:textId="77777777" w:rsidR="007C0F2A" w:rsidRPr="009A2045" w:rsidRDefault="007C0F2A" w:rsidP="009A2045">
      <w:pPr>
        <w:spacing w:after="0" w:line="240" w:lineRule="auto"/>
      </w:pPr>
      <w:r w:rsidRPr="009A2045">
        <w:t xml:space="preserve">In addition to modeled exposure estimates, monitoring data are also available.  Monitoring data can be divided into 2 categories: (1) field studies, and (2) general monitoring studies (NRC 2013). </w:t>
      </w:r>
    </w:p>
    <w:p w14:paraId="3A463A8D" w14:textId="77777777" w:rsidR="007C0F2A" w:rsidRPr="009A2045" w:rsidRDefault="007C0F2A" w:rsidP="009A2045">
      <w:pPr>
        <w:spacing w:after="0" w:line="240" w:lineRule="auto"/>
      </w:pPr>
    </w:p>
    <w:p w14:paraId="33410F9C" w14:textId="57F80751" w:rsidR="007C0F2A" w:rsidRPr="009A2045" w:rsidRDefault="007C0F2A" w:rsidP="009A2045">
      <w:pPr>
        <w:spacing w:after="0" w:line="240" w:lineRule="auto"/>
      </w:pPr>
      <w:r w:rsidRPr="009A2045">
        <w:t>Field studies are defined as the monitoring of specific applications of the pesticide at the field-scale under well-described conditions.  These studies provide the information needed to make direct comparison to exposure model estimates</w:t>
      </w:r>
      <w:r w:rsidR="002A387C" w:rsidRPr="009A2045">
        <w:t>,</w:t>
      </w:r>
      <w:r w:rsidRPr="009A2045">
        <w:t xml:space="preserve"> including the rate, method, treatment location relative to monitoring stations, meteorological conditions, characteristics of the treated site, and characteristics of the habitat sampled.  Studies lacking this information are defined as general monitoring studies. </w:t>
      </w:r>
    </w:p>
    <w:p w14:paraId="6200AC16" w14:textId="77777777" w:rsidR="007C0F2A" w:rsidRPr="009A2045" w:rsidRDefault="007C0F2A" w:rsidP="009A2045">
      <w:pPr>
        <w:spacing w:after="0" w:line="240" w:lineRule="auto"/>
      </w:pPr>
    </w:p>
    <w:p w14:paraId="4ED6AEB8" w14:textId="77777777" w:rsidR="007C0F2A" w:rsidRPr="009A2045" w:rsidRDefault="007C0F2A" w:rsidP="009A2045">
      <w:pPr>
        <w:spacing w:after="0" w:line="240" w:lineRule="auto"/>
      </w:pPr>
      <w:r w:rsidRPr="009A2045">
        <w:t>General monitoring studies provide information on pesticide concentrations in the environment at specific locations and times.  They may also be coordinated with the use of pesticides at some level (</w:t>
      </w:r>
      <w:r w:rsidRPr="009A2045">
        <w:rPr>
          <w:i/>
        </w:rPr>
        <w:t>e.g.</w:t>
      </w:r>
      <w:r w:rsidRPr="009A2045">
        <w:t>, at the watershed level).  Since general monitoring studies are not coordinated with specific applications of pesticides, it is unlikely that they capture the maximum concentrations that exist in the environment (</w:t>
      </w:r>
      <w:r w:rsidRPr="009A2045">
        <w:rPr>
          <w:i/>
        </w:rPr>
        <w:t>i.e.</w:t>
      </w:r>
      <w:r w:rsidRPr="009A2045">
        <w:t>, at or near the site of application).  Further, valid comparisons to model estimates cannot be made with general monitoring data because they lack the specific information that is needed for such comparisons.</w:t>
      </w:r>
    </w:p>
    <w:p w14:paraId="1CF9A3CF" w14:textId="77777777" w:rsidR="007C0F2A" w:rsidRPr="009A2045" w:rsidRDefault="007C0F2A" w:rsidP="009A2045">
      <w:pPr>
        <w:spacing w:after="0" w:line="240" w:lineRule="auto"/>
      </w:pPr>
      <w:r w:rsidRPr="009A2045">
        <w:t xml:space="preserve">    </w:t>
      </w:r>
    </w:p>
    <w:p w14:paraId="300E034F" w14:textId="7A9B7170" w:rsidR="007C0F2A" w:rsidRPr="009A2045" w:rsidRDefault="009F0204" w:rsidP="009A2045">
      <w:pPr>
        <w:spacing w:after="0" w:line="240" w:lineRule="auto"/>
      </w:pPr>
      <w:r w:rsidRPr="009A2045">
        <w:t>Malathion</w:t>
      </w:r>
      <w:r w:rsidR="007C0F2A" w:rsidRPr="009A2045">
        <w:t xml:space="preserve"> and </w:t>
      </w:r>
      <w:r w:rsidRPr="009A2045">
        <w:t>malathion</w:t>
      </w:r>
      <w:r w:rsidR="007C0F2A" w:rsidRPr="009A2045">
        <w:t>-oxon have been measured in various environmental media, including surface water, groundwater, air, and precipitation.  Samples were collected from sites distributed throughout the United States as part of several environmental monitoring programs (</w:t>
      </w:r>
      <w:r w:rsidR="007C0F2A" w:rsidRPr="009A2045">
        <w:rPr>
          <w:i/>
        </w:rPr>
        <w:t>e.g.</w:t>
      </w:r>
      <w:r w:rsidR="007C0F2A" w:rsidRPr="009A2045">
        <w:t xml:space="preserve">, NAWQA). All of the available studies with </w:t>
      </w:r>
      <w:r w:rsidRPr="009A2045">
        <w:t>malathion</w:t>
      </w:r>
      <w:r w:rsidR="007C0F2A" w:rsidRPr="009A2045">
        <w:t xml:space="preserve"> were characterized as general monitoring.  Although data from these monitoring studies may not have been co-located with specific applications of pesticides under well-described conditions (</w:t>
      </w:r>
      <w:r w:rsidR="007C0F2A" w:rsidRPr="009A2045">
        <w:rPr>
          <w:i/>
        </w:rPr>
        <w:t>e.g.</w:t>
      </w:r>
      <w:r w:rsidR="007C0F2A" w:rsidRPr="009A2045">
        <w:t xml:space="preserve">, application rate, field characteristics, water characteristics, and </w:t>
      </w:r>
      <w:r w:rsidR="007C0F2A" w:rsidRPr="009A2045">
        <w:lastRenderedPageBreak/>
        <w:t>meteorological conditions), EPA considers this information useful as it documents concentration levels detected at species locations from previous pesticide use.  As recommended by NRC (2013), data from general monitoring studies are not used to estimate pesticide concentrations after a pesticide application (</w:t>
      </w:r>
      <w:r w:rsidR="007C0F2A" w:rsidRPr="009A2045">
        <w:rPr>
          <w:i/>
        </w:rPr>
        <w:t>i.e.</w:t>
      </w:r>
      <w:r w:rsidR="007C0F2A" w:rsidRPr="009A2045">
        <w:t xml:space="preserve">, predict maximum exposure concentrations) or to evaluate the performance of EPA’s fate and transport models.  Rather, EPA presents the data in </w:t>
      </w:r>
      <w:r w:rsidR="007C0F2A" w:rsidRPr="009A2045">
        <w:rPr>
          <w:b/>
        </w:rPr>
        <w:t xml:space="preserve">APPENDIX </w:t>
      </w:r>
      <w:r w:rsidR="00CD352F" w:rsidRPr="009A2045">
        <w:rPr>
          <w:b/>
        </w:rPr>
        <w:t>1-10</w:t>
      </w:r>
      <w:r w:rsidR="007C0F2A" w:rsidRPr="009A2045">
        <w:t xml:space="preserve"> and as part of the exposure assessment to qualitatively inform the </w:t>
      </w:r>
      <w:r w:rsidR="00CD352F" w:rsidRPr="009A2045">
        <w:t>WoE</w:t>
      </w:r>
      <w:r w:rsidR="007C0F2A" w:rsidRPr="009A2045">
        <w:t xml:space="preserve"> evaluation.</w:t>
      </w:r>
      <w:r w:rsidR="007C0F2A" w:rsidRPr="009A2045">
        <w:rPr>
          <w:rFonts w:eastAsia="Times New Roman" w:cs="Times New Roman"/>
          <w:color w:val="222222"/>
        </w:rPr>
        <w:t xml:space="preserve"> </w:t>
      </w:r>
      <w:r w:rsidR="007C0F2A" w:rsidRPr="009A2045">
        <w:t>While general monitoring data typically underestimate potential exposure, the documentation of a pesticide in listed species habitats at concentrations that exceed effects thresholds provides evidence to support conclusions of likely to adversely affect.   The general monitoring studies also provide useful information for describing the environmental baseline condition of species habitats</w:t>
      </w:r>
      <w:r w:rsidR="002A387C" w:rsidRPr="009A2045">
        <w:t>,</w:t>
      </w:r>
      <w:r w:rsidR="007C0F2A" w:rsidRPr="009A2045">
        <w:t xml:space="preserve"> including the occurrence of chemical mixtures and the presence of abiotic stressors that can increase risk.</w:t>
      </w:r>
    </w:p>
    <w:p w14:paraId="24A1AFA3" w14:textId="77777777" w:rsidR="007C0F2A" w:rsidRPr="009A2045" w:rsidRDefault="007C0F2A" w:rsidP="009A2045">
      <w:pPr>
        <w:spacing w:after="0" w:line="240" w:lineRule="auto"/>
      </w:pPr>
      <w:r w:rsidRPr="009A2045">
        <w:t> </w:t>
      </w:r>
    </w:p>
    <w:p w14:paraId="4B391515" w14:textId="56744CF8" w:rsidR="00711454" w:rsidRPr="009A2045" w:rsidRDefault="007C0F2A" w:rsidP="009A2045">
      <w:pPr>
        <w:spacing w:after="0" w:line="240" w:lineRule="auto"/>
      </w:pPr>
      <w:r w:rsidRPr="009A2045">
        <w:t xml:space="preserve">In this approach, monitoring data are compared to available thresholds. If measured concentrations of </w:t>
      </w:r>
      <w:r w:rsidR="009F0204" w:rsidRPr="009A2045">
        <w:t>malathion</w:t>
      </w:r>
      <w:r w:rsidRPr="009A2045">
        <w:t xml:space="preserve"> exceed established thresholds, this may serve to increase the confidence that this chemical poses a risk to a particular species (through direct or indirect effects). The relevance of monitoring data will be considered</w:t>
      </w:r>
      <w:r w:rsidR="00711454" w:rsidRPr="009A2045">
        <w:t xml:space="preserve"> (</w:t>
      </w:r>
      <w:r w:rsidR="00711454" w:rsidRPr="009A2045">
        <w:rPr>
          <w:i/>
        </w:rPr>
        <w:t>e.g</w:t>
      </w:r>
      <w:r w:rsidR="00711454" w:rsidRPr="009A2045">
        <w:t xml:space="preserve">., how the overlap of timing of the samples relate to major changes to the use of malathion). </w:t>
      </w:r>
      <w:r w:rsidRPr="009A2045">
        <w:t xml:space="preserve">Monitoring data that potentially reflect out of date use patterns will have lower weight compared to more recently collected samples that reflect current use patterns of </w:t>
      </w:r>
      <w:r w:rsidR="009F0204" w:rsidRPr="009A2045">
        <w:t>malathion</w:t>
      </w:r>
      <w:r w:rsidRPr="009A2045">
        <w:t xml:space="preserve">. </w:t>
      </w:r>
      <w:r w:rsidR="00711454" w:rsidRPr="009A2045">
        <w:t>When considering general monitoring data, because they do not necessarily reflect the higher concentrations of malathion in the sampled environment, risk cannot necessarily be precluded if measured concentrations in a media relevant to a listed species do not exceed thresholds.</w:t>
      </w:r>
    </w:p>
    <w:p w14:paraId="69DBD40F" w14:textId="7BD5916E" w:rsidR="007C0F2A" w:rsidRPr="009A2045" w:rsidRDefault="007C0F2A" w:rsidP="009A2045">
      <w:pPr>
        <w:spacing w:after="0" w:line="240" w:lineRule="auto"/>
      </w:pPr>
    </w:p>
    <w:p w14:paraId="3163271B" w14:textId="77777777" w:rsidR="007C0F2A" w:rsidRPr="009A2045" w:rsidRDefault="007C0F2A" w:rsidP="009A2045">
      <w:pPr>
        <w:spacing w:after="0" w:line="240" w:lineRule="auto"/>
      </w:pPr>
    </w:p>
    <w:p w14:paraId="43E0009D" w14:textId="43921A14" w:rsidR="007C0F2A" w:rsidRPr="009A2045" w:rsidRDefault="00CC16EB" w:rsidP="009A2045">
      <w:pPr>
        <w:pStyle w:val="Heading6"/>
        <w:rPr>
          <w:color w:val="000000"/>
        </w:rPr>
      </w:pPr>
      <w:bookmarkStart w:id="68" w:name="_Toc432773334"/>
      <w:bookmarkStart w:id="69" w:name="_Toc436043047"/>
      <w:r w:rsidRPr="009A2045">
        <w:t>1.4.2.2.a.2.</w:t>
      </w:r>
      <w:r w:rsidRPr="009A2045">
        <w:tab/>
        <w:t>Terrestrial habitats</w:t>
      </w:r>
      <w:bookmarkEnd w:id="68"/>
      <w:bookmarkEnd w:id="69"/>
    </w:p>
    <w:p w14:paraId="03845DA8" w14:textId="77777777" w:rsidR="007C0F2A" w:rsidRPr="009A2045" w:rsidRDefault="007C0F2A" w:rsidP="009A2045">
      <w:pPr>
        <w:spacing w:after="0" w:line="240" w:lineRule="auto"/>
      </w:pPr>
    </w:p>
    <w:p w14:paraId="0809A89D" w14:textId="6F824FF2" w:rsidR="007C0F2A" w:rsidRPr="009A2045" w:rsidRDefault="007C0F2A" w:rsidP="009A2045">
      <w:pPr>
        <w:spacing w:after="0" w:line="240" w:lineRule="auto"/>
      </w:pPr>
      <w:r w:rsidRPr="009A2045">
        <w:t>In the terrestrial environment, exposure is estimated for animals located on the treated area as well as on non-target areas adjacent to the treated field. Pesticide exposure to animals is quantified based on direct applications and spray drift transport. Measures of exposure are based on models that predict EECs using maximum labeled application rates and methods. In EFED’s standard ecological risk assessment, the models used to predict EECs on food items of animals are T-REX (terrestrial plants and arthropods), T-HERPS and KABAM (aquatic plants, invertebrates and fish). Because ch</w:t>
      </w:r>
      <w:r w:rsidR="00CF543D" w:rsidRPr="009A2045">
        <w:t>l</w:t>
      </w:r>
      <w:r w:rsidRPr="009A2045">
        <w:t>o</w:t>
      </w:r>
      <w:r w:rsidR="00CF543D" w:rsidRPr="009A2045">
        <w:t>r</w:t>
      </w:r>
      <w:r w:rsidRPr="009A2045">
        <w:t xml:space="preserve">pyrifos is known to metabolize in fish and a metabolism rate constant could not be established, empirically based invertebrate and fish BCF values were used in lieu of KABAM in order to estimate pesticide concentrations in fish and aquatic invertebrates. AgDRIFT and AGDISP are used to estimate spray drift deposition away from the treated field. These models are parameterized using relevant reviewed environmental fate data and product labels. Supporting documentation for each model is available online at: </w:t>
      </w:r>
      <w:hyperlink r:id="rId26" w:history="1">
        <w:r w:rsidRPr="009A2045">
          <w:rPr>
            <w:color w:val="0563C1" w:themeColor="hyperlink"/>
            <w:u w:val="single"/>
          </w:rPr>
          <w:t>http://www.epa.gov/pesticides/science/models_pg.htm</w:t>
        </w:r>
      </w:hyperlink>
      <w:r w:rsidRPr="009A2045">
        <w:rPr>
          <w:color w:val="0563C1" w:themeColor="hyperlink"/>
          <w:u w:val="single"/>
        </w:rPr>
        <w:t xml:space="preserve">. </w:t>
      </w:r>
    </w:p>
    <w:p w14:paraId="75963373" w14:textId="77777777" w:rsidR="007C0F2A" w:rsidRPr="009A2045" w:rsidRDefault="007C0F2A" w:rsidP="009A2045">
      <w:pPr>
        <w:spacing w:after="0" w:line="240" w:lineRule="auto"/>
      </w:pPr>
    </w:p>
    <w:p w14:paraId="1E40A742" w14:textId="77777777" w:rsidR="007C0F2A" w:rsidRPr="009A2045" w:rsidRDefault="007C0F2A" w:rsidP="009A2045">
      <w:pPr>
        <w:spacing w:after="0" w:line="240" w:lineRule="auto"/>
      </w:pPr>
      <w:r w:rsidRPr="009A2045">
        <w:t xml:space="preserve">Because the diets of listed species include food items that are not included in the current versions of T-REX and KABAM, additional approaches were developed to account for potential exposures through diet. The T-HERPS approach for deriving EECs for animals that consume mammals and birds was expanded to apply to birds and mammals. The earthworm fugacity model was used for species that consume soil-dwelling invertebrates. </w:t>
      </w:r>
    </w:p>
    <w:p w14:paraId="315D58C8" w14:textId="77777777" w:rsidR="007C0F2A" w:rsidRPr="009A2045" w:rsidRDefault="007C0F2A" w:rsidP="009A2045">
      <w:pPr>
        <w:spacing w:after="0" w:line="240" w:lineRule="auto"/>
      </w:pPr>
    </w:p>
    <w:p w14:paraId="6523C745" w14:textId="3F5946DC" w:rsidR="007C0F2A" w:rsidRPr="009A2045" w:rsidRDefault="007C0F2A" w:rsidP="009A2045">
      <w:pPr>
        <w:spacing w:after="0" w:line="240" w:lineRule="auto"/>
      </w:pPr>
      <w:r w:rsidRPr="009A2045">
        <w:lastRenderedPageBreak/>
        <w:t xml:space="preserve">In addition to dietary exposures, other routes will be considered for vertebrate animals, including consumption of contaminated drinking water, dermal contact or direct spray, and inhalation of volatilized residues or spray droplets. These methods are based on those used by the Terrestrial Investigation Model (TIM) and presented to the FIFRA Scientific Advisory Panel (SAP) in 2001 and 2004. Details on the body weights and diets used for specific species of birds, mammals, reptiles and amphibians are included in </w:t>
      </w:r>
      <w:r w:rsidR="00711454" w:rsidRPr="009A2045">
        <w:rPr>
          <w:b/>
        </w:rPr>
        <w:t xml:space="preserve">ATTACHMENTS 1-16 </w:t>
      </w:r>
      <w:r w:rsidR="00711454" w:rsidRPr="009A2045">
        <w:t>to</w:t>
      </w:r>
      <w:r w:rsidR="00711454" w:rsidRPr="009A2045">
        <w:rPr>
          <w:b/>
        </w:rPr>
        <w:t xml:space="preserve"> 1-19</w:t>
      </w:r>
      <w:r w:rsidRPr="009A2045">
        <w:t xml:space="preserve">. </w:t>
      </w:r>
    </w:p>
    <w:p w14:paraId="28A0A15F" w14:textId="77777777" w:rsidR="007C0F2A" w:rsidRPr="009A2045" w:rsidRDefault="007C0F2A" w:rsidP="009A2045">
      <w:pPr>
        <w:spacing w:after="0" w:line="240" w:lineRule="auto"/>
        <w:jc w:val="both"/>
      </w:pPr>
    </w:p>
    <w:p w14:paraId="66093492" w14:textId="129CF7B2" w:rsidR="00711454" w:rsidRPr="009A2045" w:rsidRDefault="007C0F2A" w:rsidP="009A2045">
      <w:pPr>
        <w:spacing w:after="0" w:line="240" w:lineRule="auto"/>
      </w:pPr>
      <w:r w:rsidRPr="009A2045">
        <w:t>For assessing direct effects to listed terrestrial invertebrates and indirect effects to species that consume invertebrates, a modified version of T-REX is used. This method is loosely based on the exposure method for bees that was developed by EPA, Canada’s Pest Management Regulatory Agency (PMRA) and California’s Department of Pesticide Regulation (CADPR) in 2012</w:t>
      </w:r>
      <w:r w:rsidRPr="009A2045">
        <w:rPr>
          <w:vertAlign w:val="superscript"/>
        </w:rPr>
        <w:footnoteReference w:id="23"/>
      </w:r>
      <w:r w:rsidRPr="009A2045">
        <w:t>. In this approach, dietary-based and contact-bas</w:t>
      </w:r>
      <w:r w:rsidR="00711454" w:rsidRPr="009A2045">
        <w:t>ed exposures are assessed.</w:t>
      </w:r>
      <w:r w:rsidRPr="009A2045">
        <w:t xml:space="preserve"> </w:t>
      </w:r>
      <w:r w:rsidR="00711454" w:rsidRPr="009A2045">
        <w:t xml:space="preserve">Details used for modeling exposures for the listed species of terrestrial invertebrates are included in </w:t>
      </w:r>
      <w:r w:rsidR="00711454" w:rsidRPr="009A2045">
        <w:rPr>
          <w:b/>
        </w:rPr>
        <w:t>ATTACHMENT 1-20</w:t>
      </w:r>
      <w:r w:rsidR="00711454" w:rsidRPr="009A2045">
        <w:t>.</w:t>
      </w:r>
    </w:p>
    <w:p w14:paraId="355B844B" w14:textId="77777777" w:rsidR="007C0F2A" w:rsidRPr="009A2045" w:rsidRDefault="007C0F2A" w:rsidP="009A2045">
      <w:pPr>
        <w:spacing w:after="0" w:line="240" w:lineRule="auto"/>
      </w:pPr>
    </w:p>
    <w:p w14:paraId="12EEEF5D" w14:textId="77777777" w:rsidR="007C0F2A" w:rsidRPr="009A2045" w:rsidRDefault="007C0F2A" w:rsidP="009A2045">
      <w:pPr>
        <w:spacing w:after="0" w:line="240" w:lineRule="auto"/>
      </w:pPr>
    </w:p>
    <w:p w14:paraId="1B8EEADA" w14:textId="77777777" w:rsidR="00711454" w:rsidRPr="009A2045" w:rsidRDefault="007C0F2A" w:rsidP="009A2045">
      <w:pPr>
        <w:spacing w:after="0" w:line="240" w:lineRule="auto"/>
      </w:pPr>
      <w:r w:rsidRPr="009A2045">
        <w:t xml:space="preserve">For plants, exposure is assessed for areas adjacent to the field that receive spray drift and runoff from the treated field. The model used to derive runoff EECs relevant to terrestrial and wetland plants is TerrPlant. AgDRIFT is also used to estimate spray drift deposition away from the treated field. </w:t>
      </w:r>
      <w:r w:rsidR="00711454" w:rsidRPr="009A2045">
        <w:t xml:space="preserve">Details used for modeling exposures for the listed species of terrestrial plants are included in </w:t>
      </w:r>
      <w:r w:rsidR="00711454" w:rsidRPr="009A2045">
        <w:rPr>
          <w:b/>
        </w:rPr>
        <w:t>ATTACHMENT 1-21</w:t>
      </w:r>
      <w:r w:rsidR="00711454" w:rsidRPr="009A2045">
        <w:t>.</w:t>
      </w:r>
    </w:p>
    <w:p w14:paraId="73618C83" w14:textId="77777777" w:rsidR="007C0F2A" w:rsidRPr="009A2045" w:rsidRDefault="007C0F2A" w:rsidP="009A2045">
      <w:pPr>
        <w:spacing w:after="0" w:line="240" w:lineRule="auto"/>
      </w:pPr>
    </w:p>
    <w:p w14:paraId="0058739B" w14:textId="77777777" w:rsidR="007C0F2A" w:rsidRPr="009A2045" w:rsidRDefault="007C0F2A" w:rsidP="009A2045">
      <w:pPr>
        <w:rPr>
          <w:color w:val="0563C1" w:themeColor="hyperlink"/>
          <w:u w:val="single"/>
        </w:rPr>
      </w:pPr>
    </w:p>
    <w:p w14:paraId="5C57B814" w14:textId="67FCE1F2" w:rsidR="007C0F2A" w:rsidRPr="009A2045" w:rsidRDefault="007C0F2A" w:rsidP="009A2045">
      <w:pPr>
        <w:keepNext/>
        <w:keepLines/>
        <w:spacing w:after="0" w:line="240" w:lineRule="auto"/>
      </w:pPr>
      <w:r w:rsidRPr="009A2045">
        <w:rPr>
          <w:color w:val="auto"/>
        </w:rPr>
        <w:t xml:space="preserve">In order to efficiently assess the risks of </w:t>
      </w:r>
      <w:r w:rsidR="009F0204" w:rsidRPr="009A2045">
        <w:rPr>
          <w:color w:val="auto"/>
        </w:rPr>
        <w:t>malathion</w:t>
      </w:r>
      <w:r w:rsidRPr="009A2045">
        <w:rPr>
          <w:color w:val="auto"/>
        </w:rPr>
        <w:t xml:space="preserve"> to the hundreds of listed terrestrial species, EFED’s current models (i.e., T-REX, T-HERPS, earthworm fugacity, TerrPlant and AgDRIFT) were combined into a single tool that is referred to as the TED (Terrestrial Effects Determination) tool. This tool also includes other food items not covered by these models and the ability to consider exposure via consumption of aquatic organisms (e.g., fish). In addition, this tool incorporates non-dietary exposure routes for vertebrates (i.e., inhalation, drinking water and dermal) as well as exposures to terrestrial invertebrates.  </w:t>
      </w:r>
      <w:r w:rsidRPr="009A2045">
        <w:t xml:space="preserve">A detailed description of the methods for estimating exposures to terrestrial animals is provided in </w:t>
      </w:r>
      <w:r w:rsidR="00711454" w:rsidRPr="009A2045">
        <w:rPr>
          <w:b/>
        </w:rPr>
        <w:t>ATTACHMENT 1-7</w:t>
      </w:r>
      <w:r w:rsidR="00711454" w:rsidRPr="009A2045">
        <w:t>.</w:t>
      </w:r>
    </w:p>
    <w:p w14:paraId="2C3DCF01" w14:textId="38D630D0" w:rsidR="007C0F2A" w:rsidRPr="009A2045" w:rsidRDefault="00CC16EB" w:rsidP="009A2045">
      <w:pPr>
        <w:pStyle w:val="Heading5"/>
        <w:rPr>
          <w:color w:val="000000"/>
        </w:rPr>
      </w:pPr>
      <w:bookmarkStart w:id="70" w:name="_Toc432773335"/>
      <w:bookmarkStart w:id="71" w:name="_Toc436043048"/>
      <w:r w:rsidRPr="009A2045">
        <w:t>1.4.2.2.b. Estimated effects</w:t>
      </w:r>
      <w:bookmarkEnd w:id="70"/>
      <w:bookmarkEnd w:id="71"/>
    </w:p>
    <w:p w14:paraId="5A3B2544" w14:textId="77777777" w:rsidR="007C0F2A" w:rsidRPr="009A2045" w:rsidRDefault="007C0F2A" w:rsidP="009A2045">
      <w:pPr>
        <w:keepNext/>
        <w:keepLines/>
        <w:spacing w:after="0" w:line="240" w:lineRule="auto"/>
        <w:ind w:left="2160"/>
      </w:pPr>
    </w:p>
    <w:p w14:paraId="2A117B9E" w14:textId="2F8C96B7" w:rsidR="007C0F2A" w:rsidRPr="009A2045" w:rsidRDefault="00CC16EB" w:rsidP="009A2045">
      <w:pPr>
        <w:pStyle w:val="Heading6"/>
        <w:rPr>
          <w:color w:val="000000"/>
        </w:rPr>
      </w:pPr>
      <w:bookmarkStart w:id="72" w:name="_Toc432773336"/>
      <w:bookmarkStart w:id="73" w:name="_Toc436043049"/>
      <w:r w:rsidRPr="009A2045">
        <w:t>1.4.2.2.b.1</w:t>
      </w:r>
      <w:r w:rsidRPr="009A2045">
        <w:tab/>
        <w:t>Effects thresholds</w:t>
      </w:r>
      <w:bookmarkEnd w:id="72"/>
      <w:bookmarkEnd w:id="73"/>
      <w:r w:rsidRPr="009A2045">
        <w:t xml:space="preserve"> </w:t>
      </w:r>
    </w:p>
    <w:p w14:paraId="7BC03509" w14:textId="77777777" w:rsidR="007C0F2A" w:rsidRPr="009A2045" w:rsidRDefault="007C0F2A" w:rsidP="009A2045">
      <w:pPr>
        <w:keepNext/>
        <w:keepLines/>
        <w:spacing w:after="0" w:line="240" w:lineRule="auto"/>
        <w:ind w:left="2160"/>
      </w:pPr>
    </w:p>
    <w:p w14:paraId="17BF95E7" w14:textId="42119BAE" w:rsidR="007C0F2A" w:rsidRPr="009A2045" w:rsidRDefault="007C0F2A" w:rsidP="009A2045">
      <w:pPr>
        <w:spacing w:after="0" w:line="240" w:lineRule="auto"/>
        <w:rPr>
          <w:b/>
          <w:color w:val="auto"/>
        </w:rPr>
      </w:pPr>
      <w:r w:rsidRPr="009A2045">
        <w:rPr>
          <w:color w:val="auto"/>
        </w:rPr>
        <w:t xml:space="preserve">In Step 2, toxicity values and other data (e.g., incident data) for direct and indirect effects to listed species are analyzed using a </w:t>
      </w:r>
      <w:r w:rsidR="00CC16EB" w:rsidRPr="009A2045">
        <w:rPr>
          <w:color w:val="auto"/>
        </w:rPr>
        <w:t>WoE</w:t>
      </w:r>
      <w:r w:rsidRPr="009A2045">
        <w:rPr>
          <w:color w:val="auto"/>
        </w:rPr>
        <w:t xml:space="preserve"> approach. These data are organized into lines of evidence that inform risk hypotheses and ultimately the effect determinations (NLAA or LAA) for listed species. Effects thresholds represent just one component of information considered within each line of evidence in the overall </w:t>
      </w:r>
      <w:r w:rsidR="00CC16EB" w:rsidRPr="009A2045">
        <w:rPr>
          <w:color w:val="auto"/>
        </w:rPr>
        <w:t>WoE</w:t>
      </w:r>
      <w:r w:rsidRPr="009A2045">
        <w:rPr>
          <w:color w:val="auto"/>
        </w:rPr>
        <w:t xml:space="preserve">. The overall effects determination for each species and critical habitat being assessed will be based on the </w:t>
      </w:r>
      <w:r w:rsidR="00CC16EB" w:rsidRPr="009A2045">
        <w:rPr>
          <w:color w:val="auto"/>
        </w:rPr>
        <w:t>WoE</w:t>
      </w:r>
      <w:r w:rsidRPr="009A2045">
        <w:rPr>
          <w:color w:val="auto"/>
        </w:rPr>
        <w:t xml:space="preserve"> approach described in </w:t>
      </w:r>
      <w:r w:rsidR="00CC16EB" w:rsidRPr="009A2045">
        <w:rPr>
          <w:b/>
          <w:color w:val="auto"/>
        </w:rPr>
        <w:t>Section 1.4.2.2</w:t>
      </w:r>
      <w:r w:rsidRPr="009A2045">
        <w:rPr>
          <w:b/>
          <w:color w:val="auto"/>
        </w:rPr>
        <w:t>.</w:t>
      </w:r>
    </w:p>
    <w:p w14:paraId="2BE68DAB" w14:textId="77777777" w:rsidR="007C0F2A" w:rsidRPr="009A2045" w:rsidRDefault="007C0F2A" w:rsidP="009A2045">
      <w:pPr>
        <w:spacing w:after="0" w:line="240" w:lineRule="auto"/>
        <w:rPr>
          <w:b/>
          <w:color w:val="auto"/>
        </w:rPr>
      </w:pPr>
    </w:p>
    <w:p w14:paraId="46D5AF4A" w14:textId="1795C2CC" w:rsidR="007C0F2A" w:rsidRPr="009A2045" w:rsidRDefault="007C0F2A" w:rsidP="009A2045">
      <w:pPr>
        <w:spacing w:after="0" w:line="240" w:lineRule="auto"/>
        <w:rPr>
          <w:color w:val="auto"/>
        </w:rPr>
      </w:pPr>
      <w:r w:rsidRPr="009A2045">
        <w:rPr>
          <w:color w:val="auto"/>
        </w:rPr>
        <w:t xml:space="preserve">Studies used for thresholds (including a subset of studies used to develop SSDs) were reviewed.  Studies submitted to the agency from registrants are reviewed using the agency’s Standard Evaluation Procedures (SEP).  Studies from the open literature are reviewed largely using the approach outlined in the agency’s guidance for evaluating ecological toxicity data in the open literature (USEPA 2011; </w:t>
      </w:r>
      <w:hyperlink r:id="rId27" w:history="1">
        <w:r w:rsidRPr="009A2045">
          <w:rPr>
            <w:rStyle w:val="Hyperlink"/>
          </w:rPr>
          <w:t>http://www.epa.gov/pesticides/science/efed/policy_guidance/team_authors/endangered_species_reregistration_workgroup/esa_evaluation_open_literature.htm</w:t>
        </w:r>
      </w:hyperlink>
      <w:r w:rsidRPr="009A2045">
        <w:rPr>
          <w:color w:val="auto"/>
        </w:rPr>
        <w:t xml:space="preserve">).  Modifications from the guidance that were used are detailed in </w:t>
      </w:r>
      <w:r w:rsidR="00CC16EB" w:rsidRPr="009A2045">
        <w:rPr>
          <w:b/>
          <w:color w:val="auto"/>
        </w:rPr>
        <w:t>ATTACHMENT 1-8</w:t>
      </w:r>
      <w:r w:rsidRPr="009A2045">
        <w:rPr>
          <w:color w:val="auto"/>
        </w:rPr>
        <w:t>.</w:t>
      </w:r>
    </w:p>
    <w:p w14:paraId="0EB27F61" w14:textId="77777777" w:rsidR="007C0F2A" w:rsidRPr="009A2045" w:rsidRDefault="007C0F2A" w:rsidP="009A2045">
      <w:pPr>
        <w:keepNext/>
        <w:keepLines/>
        <w:spacing w:after="0" w:line="240" w:lineRule="auto"/>
      </w:pPr>
    </w:p>
    <w:p w14:paraId="6ED144D2" w14:textId="77777777" w:rsidR="00CC16EB" w:rsidRPr="009A2045" w:rsidRDefault="00CC16EB" w:rsidP="009A2045">
      <w:pPr>
        <w:pStyle w:val="Heading7"/>
        <w:ind w:left="2160"/>
      </w:pPr>
      <w:bookmarkStart w:id="74" w:name="_Toc432773337"/>
      <w:bookmarkStart w:id="75" w:name="_Toc436043050"/>
      <w:r w:rsidRPr="009A2045">
        <w:rPr>
          <w:i w:val="0"/>
          <w:color w:val="2E75B5"/>
          <w:sz w:val="24"/>
          <w:szCs w:val="24"/>
        </w:rPr>
        <w:t>1.4.2.1.b.1.1</w:t>
      </w:r>
      <w:r w:rsidRPr="009A2045">
        <w:rPr>
          <w:i w:val="0"/>
          <w:color w:val="2E75B5"/>
          <w:sz w:val="24"/>
          <w:szCs w:val="24"/>
        </w:rPr>
        <w:tab/>
        <w:t>Direct and indirect effect thresholds based on mortality</w:t>
      </w:r>
      <w:bookmarkEnd w:id="74"/>
      <w:bookmarkEnd w:id="75"/>
      <w:r w:rsidRPr="009A2045">
        <w:rPr>
          <w:i w:val="0"/>
          <w:color w:val="2E75B5"/>
          <w:sz w:val="24"/>
          <w:szCs w:val="24"/>
        </w:rPr>
        <w:t xml:space="preserve"> </w:t>
      </w:r>
    </w:p>
    <w:p w14:paraId="6D4A28D1" w14:textId="77777777" w:rsidR="00CC16EB" w:rsidRPr="009A2045" w:rsidRDefault="00CC16EB" w:rsidP="009A2045">
      <w:pPr>
        <w:spacing w:after="0" w:line="240" w:lineRule="auto"/>
      </w:pPr>
    </w:p>
    <w:p w14:paraId="14C32A88" w14:textId="08641870" w:rsidR="007C0F2A" w:rsidRPr="009A2045" w:rsidRDefault="007C0F2A" w:rsidP="009A2045">
      <w:pPr>
        <w:spacing w:after="0" w:line="240" w:lineRule="auto"/>
      </w:pPr>
      <w:r w:rsidRPr="009A2045">
        <w:t>For mortality, either the one-in-a-million chance of mortality as established in Step 1 for each particular taxon (</w:t>
      </w:r>
      <w:r w:rsidRPr="009A2045">
        <w:rPr>
          <w:i/>
        </w:rPr>
        <w:t>e.g</w:t>
      </w:r>
      <w:r w:rsidRPr="009A2045">
        <w:t>., fish) is used as a threshold, or data for a more appropriate surrogate, when available (</w:t>
      </w:r>
      <w:r w:rsidRPr="009A2045">
        <w:rPr>
          <w:rFonts w:ascii="Times New Roman" w:eastAsia="Times New Roman" w:hAnsi="Times New Roman" w:cs="Times New Roman"/>
          <w:i/>
        </w:rPr>
        <w:t>e.g.,</w:t>
      </w:r>
      <w:r w:rsidRPr="009A2045">
        <w:t xml:space="preserve"> trout data for a listed salmonid) are used.  If enough data from appropriate surrogates are available to create a SSD for the surrogates, the 5</w:t>
      </w:r>
      <w:r w:rsidRPr="009A2045">
        <w:rPr>
          <w:vertAlign w:val="superscript"/>
        </w:rPr>
        <w:t>th</w:t>
      </w:r>
      <w:r w:rsidRPr="009A2045">
        <w:t xml:space="preserve"> percentile of the SSD or a surrogate LD</w:t>
      </w:r>
      <w:r w:rsidRPr="009A2045">
        <w:rPr>
          <w:vertAlign w:val="subscript"/>
        </w:rPr>
        <w:t>50</w:t>
      </w:r>
      <w:r w:rsidRPr="009A2045">
        <w:t>, LC</w:t>
      </w:r>
      <w:r w:rsidRPr="009A2045">
        <w:rPr>
          <w:vertAlign w:val="subscript"/>
        </w:rPr>
        <w:t>50</w:t>
      </w:r>
      <w:r w:rsidRPr="009A2045">
        <w:t>, or EC</w:t>
      </w:r>
      <w:r w:rsidRPr="009A2045">
        <w:rPr>
          <w:vertAlign w:val="subscript"/>
        </w:rPr>
        <w:t xml:space="preserve">x </w:t>
      </w:r>
      <w:r w:rsidRPr="009A2045">
        <w:t xml:space="preserve">from the subset of data may be used.  For listed species which lack more appropriate surrogate data, the taxon-specific threshold derived in Step 1 is also used for the NLAA/LAA analysis (for details, </w:t>
      </w:r>
      <w:r w:rsidRPr="009A2045">
        <w:rPr>
          <w:b/>
        </w:rPr>
        <w:t xml:space="preserve">see </w:t>
      </w:r>
      <w:r w:rsidR="00CC16EB" w:rsidRPr="009A2045">
        <w:rPr>
          <w:b/>
        </w:rPr>
        <w:t>ATTACHMENT 1-4</w:t>
      </w:r>
      <w:r w:rsidRPr="009A2045">
        <w:t xml:space="preserve">). </w:t>
      </w:r>
    </w:p>
    <w:p w14:paraId="1E435C34" w14:textId="77777777" w:rsidR="007C0F2A" w:rsidRPr="009A2045" w:rsidRDefault="007C0F2A" w:rsidP="009A2045">
      <w:pPr>
        <w:spacing w:after="0" w:line="240" w:lineRule="auto"/>
      </w:pPr>
      <w:r w:rsidRPr="009A2045">
        <w:t xml:space="preserve"> </w:t>
      </w:r>
    </w:p>
    <w:p w14:paraId="19350498" w14:textId="53EC8CDE" w:rsidR="007C0F2A" w:rsidRPr="009A2045" w:rsidRDefault="007C0F2A" w:rsidP="009A2045">
      <w:pPr>
        <w:spacing w:after="0" w:line="240" w:lineRule="auto"/>
      </w:pPr>
      <w:r w:rsidRPr="009A2045">
        <w:t>The potential for indirect effects (</w:t>
      </w:r>
      <w:r w:rsidRPr="009A2045">
        <w:rPr>
          <w:i/>
        </w:rPr>
        <w:t>e.g.,</w:t>
      </w:r>
      <w:r w:rsidRPr="009A2045">
        <w:t xml:space="preserve"> effects on diet, habitat, and pollinators) is based on </w:t>
      </w:r>
      <w:r w:rsidR="009F0204" w:rsidRPr="009A2045">
        <w:t>malathion</w:t>
      </w:r>
      <w:r w:rsidRPr="009A2045">
        <w:t xml:space="preserve"> toxicity to the taxa that are relevant to the listed species being assessed.  For potential indirect effects based on prey lethality for those species without obligate relationships, for example, the exposure that results in a 10% effect for the 5</w:t>
      </w:r>
      <w:r w:rsidRPr="009A2045">
        <w:rPr>
          <w:vertAlign w:val="superscript"/>
        </w:rPr>
        <w:t>th</w:t>
      </w:r>
      <w:r w:rsidRPr="009A2045">
        <w:t xml:space="preserve"> percentile species on an SSD for the prey species</w:t>
      </w:r>
      <w:r w:rsidR="004B6614" w:rsidRPr="009A2045">
        <w:t>,</w:t>
      </w:r>
      <w:r w:rsidRPr="009A2045">
        <w:t xml:space="preserve"> is used as a threshold.  If not enough data are available for a SSD, the 10% effect for the most sensitive prey species tested in that taxon is used.  The 10% effect is determined using the most sensitive LD</w:t>
      </w:r>
      <w:r w:rsidRPr="009A2045">
        <w:rPr>
          <w:vertAlign w:val="subscript"/>
        </w:rPr>
        <w:t>50</w:t>
      </w:r>
      <w:r w:rsidRPr="009A2045">
        <w:t xml:space="preserve"> and the corresponding slope, if available (if not available a default slope of 4.5</w:t>
      </w:r>
      <w:r w:rsidRPr="009A2045">
        <w:rPr>
          <w:rStyle w:val="FootnoteReference"/>
        </w:rPr>
        <w:footnoteReference w:id="24"/>
      </w:r>
      <w:r w:rsidRPr="009A2045">
        <w:t xml:space="preserve"> is used) (see </w:t>
      </w:r>
      <w:r w:rsidRPr="009A2045">
        <w:rPr>
          <w:b/>
        </w:rPr>
        <w:t xml:space="preserve">Table </w:t>
      </w:r>
      <w:r w:rsidR="00CF543D" w:rsidRPr="009A2045">
        <w:rPr>
          <w:b/>
        </w:rPr>
        <w:t>1-10</w:t>
      </w:r>
      <w:r w:rsidRPr="009A2045">
        <w:t xml:space="preserve">, below).   </w:t>
      </w:r>
    </w:p>
    <w:p w14:paraId="21FDFC8F" w14:textId="77777777" w:rsidR="007C0F2A" w:rsidRPr="009A2045" w:rsidRDefault="007C0F2A" w:rsidP="009A2045">
      <w:pPr>
        <w:keepNext/>
        <w:keepLines/>
        <w:spacing w:after="0" w:line="240" w:lineRule="auto"/>
      </w:pPr>
    </w:p>
    <w:p w14:paraId="517CA91A" w14:textId="77777777" w:rsidR="00CC16EB" w:rsidRPr="009A2045" w:rsidRDefault="00CC16EB" w:rsidP="009A2045">
      <w:pPr>
        <w:pStyle w:val="Heading7"/>
        <w:ind w:left="1440" w:firstLine="720"/>
      </w:pPr>
      <w:bookmarkStart w:id="76" w:name="_Toc432773338"/>
      <w:bookmarkStart w:id="77" w:name="_Toc436043051"/>
      <w:r w:rsidRPr="009A2045">
        <w:rPr>
          <w:i w:val="0"/>
          <w:color w:val="2E75B5"/>
          <w:sz w:val="24"/>
          <w:szCs w:val="24"/>
        </w:rPr>
        <w:t>1.4.2.1.b.1.2.</w:t>
      </w:r>
      <w:r w:rsidRPr="009A2045">
        <w:rPr>
          <w:i w:val="0"/>
          <w:color w:val="2E75B5"/>
          <w:sz w:val="24"/>
          <w:szCs w:val="24"/>
        </w:rPr>
        <w:tab/>
        <w:t>Direct and indirect effect thresholds based on sublethal endpoints</w:t>
      </w:r>
      <w:bookmarkEnd w:id="76"/>
      <w:bookmarkEnd w:id="77"/>
      <w:r w:rsidRPr="009A2045">
        <w:rPr>
          <w:i w:val="0"/>
          <w:color w:val="2E75B5"/>
          <w:sz w:val="24"/>
          <w:szCs w:val="24"/>
        </w:rPr>
        <w:t xml:space="preserve"> </w:t>
      </w:r>
    </w:p>
    <w:p w14:paraId="411EE668" w14:textId="77777777" w:rsidR="007C0F2A" w:rsidRPr="009A2045" w:rsidRDefault="007C0F2A" w:rsidP="009A2045">
      <w:pPr>
        <w:spacing w:after="0" w:line="240" w:lineRule="auto"/>
      </w:pPr>
    </w:p>
    <w:p w14:paraId="5979EA96" w14:textId="5CE6360B" w:rsidR="007C0F2A" w:rsidRPr="009A2045" w:rsidRDefault="007C0F2A" w:rsidP="009A2045">
      <w:pPr>
        <w:spacing w:after="0" w:line="240" w:lineRule="auto"/>
      </w:pPr>
      <w:r w:rsidRPr="009A2045">
        <w:t>For sublethal effects to plants, the level that corresponds to the reproduction or growth NOAEC, NOAEL, or EC</w:t>
      </w:r>
      <w:r w:rsidRPr="009A2045">
        <w:rPr>
          <w:vertAlign w:val="subscript"/>
        </w:rPr>
        <w:t>05</w:t>
      </w:r>
      <w:r w:rsidRPr="009A2045">
        <w:t xml:space="preserve"> for the most appropriate surrogate species is used as the sublethal threshold.  If data on a specific surrogate are not available, the most sensitive species tested in a taxon is used (as described above).  For species with obligate relationships</w:t>
      </w:r>
      <w:r w:rsidRPr="009A2045">
        <w:rPr>
          <w:rStyle w:val="FootnoteReference"/>
        </w:rPr>
        <w:footnoteReference w:id="25"/>
      </w:r>
      <w:r w:rsidRPr="009A2045">
        <w:t xml:space="preserve">, the potential for indirect effects to the obligate species is based on the effects endpoints identified for assessing the potential for direct effects to a species as described above (see </w:t>
      </w:r>
      <w:r w:rsidRPr="009A2045">
        <w:rPr>
          <w:b/>
        </w:rPr>
        <w:t xml:space="preserve">Table </w:t>
      </w:r>
      <w:r w:rsidR="00CF543D" w:rsidRPr="009A2045">
        <w:rPr>
          <w:b/>
        </w:rPr>
        <w:t>1-10</w:t>
      </w:r>
      <w:r w:rsidRPr="009A2045">
        <w:t>).</w:t>
      </w:r>
      <w:r w:rsidRPr="009A2045">
        <w:rPr>
          <w:rFonts w:ascii="Times New Roman" w:eastAsia="Times New Roman" w:hAnsi="Times New Roman" w:cs="Times New Roman"/>
          <w:b/>
          <w:i/>
        </w:rPr>
        <w:t xml:space="preserve"> </w:t>
      </w:r>
    </w:p>
    <w:p w14:paraId="35296F49" w14:textId="77777777" w:rsidR="007C0F2A" w:rsidRPr="009A2045" w:rsidRDefault="007C0F2A" w:rsidP="009A2045">
      <w:pPr>
        <w:spacing w:after="0" w:line="240" w:lineRule="auto"/>
      </w:pPr>
      <w:r w:rsidRPr="009A2045">
        <w:t xml:space="preserve"> </w:t>
      </w:r>
    </w:p>
    <w:p w14:paraId="119F017D" w14:textId="7477FCF9" w:rsidR="007C0F2A" w:rsidRPr="009A2045" w:rsidRDefault="007C0F2A" w:rsidP="009A2045">
      <w:pPr>
        <w:spacing w:after="0" w:line="240" w:lineRule="auto"/>
      </w:pPr>
      <w:r w:rsidRPr="009A2045">
        <w:lastRenderedPageBreak/>
        <w:t>For deriving a threshold based on sublethal direct effects to listed animals, the lowest available NOAEC or NOAEL or other scientifically defensible effect threshold (EC</w:t>
      </w:r>
      <w:r w:rsidRPr="009A2045">
        <w:rPr>
          <w:vertAlign w:val="subscript"/>
        </w:rPr>
        <w:t>x</w:t>
      </w:r>
      <w:r w:rsidRPr="009A2045">
        <w:t>) that can be quantitatively or qualitatively linked to survival or reproduction of a listed individual is used.  For deriving a threshold for indirect effects, the LOAEC or LOAEL or other scientifically defensible effect threshold (EC</w:t>
      </w:r>
      <w:r w:rsidRPr="009A2045">
        <w:rPr>
          <w:vertAlign w:val="subscript"/>
        </w:rPr>
        <w:t>x</w:t>
      </w:r>
      <w:r w:rsidRPr="009A2045">
        <w:t xml:space="preserve">) for growth or reproduction is used (see </w:t>
      </w:r>
      <w:r w:rsidR="00CC16EB" w:rsidRPr="009A2045">
        <w:rPr>
          <w:b/>
        </w:rPr>
        <w:t>ATTACHMENT 1-4</w:t>
      </w:r>
      <w:r w:rsidRPr="009A2045">
        <w:t xml:space="preserve">, for details).   </w:t>
      </w:r>
    </w:p>
    <w:p w14:paraId="67178C11" w14:textId="77777777" w:rsidR="00CF543D" w:rsidRPr="009A2045" w:rsidRDefault="00CF543D" w:rsidP="009A2045">
      <w:pPr>
        <w:spacing w:after="0" w:line="240" w:lineRule="auto"/>
        <w:rPr>
          <w:b/>
        </w:rPr>
      </w:pPr>
    </w:p>
    <w:p w14:paraId="0D655307" w14:textId="77777777" w:rsidR="00CF543D" w:rsidRPr="009A2045" w:rsidRDefault="00CF543D" w:rsidP="009A2045">
      <w:pPr>
        <w:spacing w:after="0" w:line="240" w:lineRule="auto"/>
        <w:rPr>
          <w:b/>
        </w:rPr>
      </w:pPr>
    </w:p>
    <w:p w14:paraId="19C1A6C9" w14:textId="08E90BC0" w:rsidR="007C0F2A" w:rsidRPr="009A2045" w:rsidRDefault="000D01C3" w:rsidP="009A2045">
      <w:pPr>
        <w:pStyle w:val="Caption"/>
        <w:rPr>
          <w:i w:val="0"/>
          <w:sz w:val="20"/>
          <w:szCs w:val="20"/>
        </w:rPr>
      </w:pPr>
      <w:bookmarkStart w:id="78" w:name="_Toc435773444"/>
      <w:r w:rsidRPr="009A2045">
        <w:rPr>
          <w:b/>
          <w:i w:val="0"/>
          <w:sz w:val="22"/>
          <w:szCs w:val="22"/>
        </w:rPr>
        <w:t xml:space="preserve">Table </w:t>
      </w:r>
      <w:r w:rsidR="00C60928" w:rsidRPr="009A2045">
        <w:rPr>
          <w:b/>
          <w:i w:val="0"/>
          <w:sz w:val="22"/>
          <w:szCs w:val="22"/>
        </w:rPr>
        <w:fldChar w:fldCharType="begin"/>
      </w:r>
      <w:r w:rsidR="00C60928" w:rsidRPr="009A2045">
        <w:rPr>
          <w:b/>
          <w:i w:val="0"/>
          <w:sz w:val="22"/>
          <w:szCs w:val="22"/>
        </w:rPr>
        <w:instrText xml:space="preserve"> SEQ Table \* ARABIC </w:instrText>
      </w:r>
      <w:r w:rsidR="00C60928" w:rsidRPr="009A2045">
        <w:rPr>
          <w:b/>
          <w:i w:val="0"/>
          <w:sz w:val="22"/>
          <w:szCs w:val="22"/>
        </w:rPr>
        <w:fldChar w:fldCharType="separate"/>
      </w:r>
      <w:r w:rsidRPr="009A2045">
        <w:rPr>
          <w:b/>
          <w:i w:val="0"/>
          <w:noProof/>
          <w:sz w:val="22"/>
          <w:szCs w:val="22"/>
        </w:rPr>
        <w:t>1</w:t>
      </w:r>
      <w:r w:rsidR="00C60928" w:rsidRPr="009A2045">
        <w:rPr>
          <w:b/>
          <w:i w:val="0"/>
          <w:noProof/>
          <w:sz w:val="22"/>
          <w:szCs w:val="22"/>
        </w:rPr>
        <w:fldChar w:fldCharType="end"/>
      </w:r>
      <w:r w:rsidRPr="009A2045">
        <w:rPr>
          <w:b/>
          <w:i w:val="0"/>
          <w:sz w:val="22"/>
          <w:szCs w:val="22"/>
        </w:rPr>
        <w:t>-10. Step 2 Habitats</w:t>
      </w:r>
      <w:r w:rsidR="00281C70" w:rsidRPr="009A2045">
        <w:rPr>
          <w:b/>
          <w:i w:val="0"/>
          <w:sz w:val="22"/>
          <w:szCs w:val="22"/>
        </w:rPr>
        <w:t>.</w:t>
      </w:r>
      <w:r w:rsidR="00281C70" w:rsidRPr="009A2045">
        <w:t xml:space="preserve"> </w:t>
      </w:r>
      <w:r w:rsidR="007C0F2A" w:rsidRPr="009A2045">
        <w:rPr>
          <w:i w:val="0"/>
          <w:sz w:val="20"/>
          <w:szCs w:val="20"/>
        </w:rPr>
        <w:t>[these values are used to derive thresholds for use, along with other</w:t>
      </w:r>
      <w:r w:rsidR="00CC16EB" w:rsidRPr="009A2045">
        <w:rPr>
          <w:i w:val="0"/>
          <w:sz w:val="20"/>
          <w:szCs w:val="20"/>
        </w:rPr>
        <w:t xml:space="preserve"> data, in the weight-of-evidence (WoE)</w:t>
      </w:r>
      <w:r w:rsidR="007C0F2A" w:rsidRPr="009A2045">
        <w:rPr>
          <w:i w:val="0"/>
          <w:sz w:val="20"/>
          <w:szCs w:val="20"/>
        </w:rPr>
        <w:t xml:space="preserve"> approach for making NLAA and LAA determinations for listed species and critical habitats].</w:t>
      </w:r>
      <w:bookmarkEnd w:id="78"/>
    </w:p>
    <w:tbl>
      <w:tblPr>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1"/>
        <w:gridCol w:w="3670"/>
        <w:gridCol w:w="3689"/>
      </w:tblGrid>
      <w:tr w:rsidR="007C0F2A" w:rsidRPr="009A2045" w14:paraId="62DC6CC5" w14:textId="77777777" w:rsidTr="007C0F2A">
        <w:trPr>
          <w:tblHeader/>
        </w:trPr>
        <w:tc>
          <w:tcPr>
            <w:tcW w:w="1991" w:type="dxa"/>
            <w:shd w:val="clear" w:color="auto" w:fill="E7E6E6"/>
            <w:vAlign w:val="center"/>
          </w:tcPr>
          <w:p w14:paraId="352822F8" w14:textId="77777777" w:rsidR="007C0F2A" w:rsidRPr="009A2045" w:rsidRDefault="007C0F2A" w:rsidP="009A2045">
            <w:pPr>
              <w:spacing w:after="0" w:line="240" w:lineRule="auto"/>
              <w:jc w:val="center"/>
            </w:pPr>
            <w:r w:rsidRPr="009A2045">
              <w:rPr>
                <w:b/>
                <w:sz w:val="20"/>
                <w:szCs w:val="20"/>
              </w:rPr>
              <w:t>Taxon (Direct Effects)  (Indirect Effects) or Taxa  on which a listed species depends</w:t>
            </w:r>
          </w:p>
        </w:tc>
        <w:tc>
          <w:tcPr>
            <w:tcW w:w="3670" w:type="dxa"/>
            <w:shd w:val="clear" w:color="auto" w:fill="E7E6E6"/>
            <w:vAlign w:val="center"/>
          </w:tcPr>
          <w:p w14:paraId="5FD2558A" w14:textId="77777777" w:rsidR="007C0F2A" w:rsidRPr="009A2045" w:rsidRDefault="007C0F2A" w:rsidP="009A2045">
            <w:pPr>
              <w:spacing w:after="0" w:line="240" w:lineRule="auto"/>
              <w:jc w:val="center"/>
            </w:pPr>
            <w:r w:rsidRPr="009A2045">
              <w:rPr>
                <w:b/>
                <w:sz w:val="20"/>
                <w:szCs w:val="20"/>
              </w:rPr>
              <w:t xml:space="preserve">Mortality </w:t>
            </w:r>
          </w:p>
        </w:tc>
        <w:tc>
          <w:tcPr>
            <w:tcW w:w="3689" w:type="dxa"/>
            <w:shd w:val="clear" w:color="auto" w:fill="E7E6E6"/>
            <w:vAlign w:val="center"/>
          </w:tcPr>
          <w:p w14:paraId="232879FC" w14:textId="77777777" w:rsidR="007C0F2A" w:rsidRPr="009A2045" w:rsidRDefault="007C0F2A" w:rsidP="009A2045">
            <w:pPr>
              <w:spacing w:after="0" w:line="240" w:lineRule="auto"/>
              <w:jc w:val="center"/>
            </w:pPr>
            <w:r w:rsidRPr="009A2045">
              <w:rPr>
                <w:b/>
                <w:sz w:val="20"/>
                <w:szCs w:val="20"/>
              </w:rPr>
              <w:t>Sublethal Effects</w:t>
            </w:r>
          </w:p>
        </w:tc>
      </w:tr>
      <w:tr w:rsidR="007C0F2A" w:rsidRPr="009A2045" w14:paraId="513E0F05" w14:textId="77777777" w:rsidTr="007C0F2A">
        <w:tc>
          <w:tcPr>
            <w:tcW w:w="1991" w:type="dxa"/>
            <w:vAlign w:val="center"/>
          </w:tcPr>
          <w:p w14:paraId="3D45B28F" w14:textId="77777777" w:rsidR="007C0F2A" w:rsidRPr="009A2045" w:rsidRDefault="007C0F2A" w:rsidP="009A2045">
            <w:pPr>
              <w:spacing w:after="0" w:line="240" w:lineRule="auto"/>
            </w:pPr>
            <w:r w:rsidRPr="009A2045">
              <w:rPr>
                <w:sz w:val="20"/>
                <w:szCs w:val="20"/>
              </w:rPr>
              <w:t>Birds</w:t>
            </w:r>
            <w:r w:rsidRPr="009A2045">
              <w:rPr>
                <w:sz w:val="20"/>
                <w:szCs w:val="20"/>
                <w:vertAlign w:val="superscript"/>
              </w:rPr>
              <w:t>1</w:t>
            </w:r>
          </w:p>
        </w:tc>
        <w:tc>
          <w:tcPr>
            <w:tcW w:w="3670" w:type="dxa"/>
            <w:vMerge w:val="restart"/>
            <w:vAlign w:val="center"/>
          </w:tcPr>
          <w:p w14:paraId="35DFEE7E" w14:textId="396CCEC4" w:rsidR="007C0F2A" w:rsidRPr="009A2045" w:rsidRDefault="007C0F2A" w:rsidP="009A2045">
            <w:pPr>
              <w:spacing w:after="0" w:line="240" w:lineRule="auto"/>
            </w:pPr>
            <w:r w:rsidRPr="009A2045">
              <w:rPr>
                <w:sz w:val="20"/>
                <w:szCs w:val="20"/>
                <w:u w:val="single"/>
              </w:rPr>
              <w:t>Direct Effects</w:t>
            </w:r>
            <w:r w:rsidRPr="009A2045">
              <w:rPr>
                <w:sz w:val="20"/>
                <w:szCs w:val="20"/>
              </w:rPr>
              <w:t xml:space="preserve">: Same as those identified in </w:t>
            </w:r>
            <w:r w:rsidRPr="009A2045">
              <w:rPr>
                <w:b/>
                <w:sz w:val="20"/>
                <w:szCs w:val="20"/>
              </w:rPr>
              <w:t xml:space="preserve">Table </w:t>
            </w:r>
            <w:r w:rsidR="00CF543D" w:rsidRPr="009A2045">
              <w:rPr>
                <w:b/>
                <w:sz w:val="20"/>
                <w:szCs w:val="20"/>
              </w:rPr>
              <w:t>1-10</w:t>
            </w:r>
            <w:r w:rsidRPr="009A2045">
              <w:rPr>
                <w:sz w:val="20"/>
                <w:szCs w:val="20"/>
              </w:rPr>
              <w:t xml:space="preserve"> unless species surrogate data can be used.</w:t>
            </w:r>
          </w:p>
          <w:p w14:paraId="6ACD29BE" w14:textId="77777777" w:rsidR="007C0F2A" w:rsidRPr="009A2045" w:rsidRDefault="007C0F2A" w:rsidP="009A2045">
            <w:pPr>
              <w:spacing w:after="0" w:line="240" w:lineRule="auto"/>
            </w:pPr>
          </w:p>
          <w:p w14:paraId="5BC75349" w14:textId="77777777" w:rsidR="007C0F2A" w:rsidRPr="009A2045" w:rsidRDefault="007C0F2A" w:rsidP="009A2045">
            <w:pPr>
              <w:spacing w:after="0" w:line="240" w:lineRule="auto"/>
            </w:pPr>
            <w:r w:rsidRPr="009A2045">
              <w:rPr>
                <w:sz w:val="20"/>
                <w:szCs w:val="20"/>
                <w:u w:val="single"/>
              </w:rPr>
              <w:t>Indirect Effects</w:t>
            </w:r>
            <w:r w:rsidRPr="009A2045">
              <w:rPr>
                <w:sz w:val="20"/>
                <w:szCs w:val="20"/>
              </w:rPr>
              <w:t>: Concentration (or dose) that would result in a decrease of 10% of individuals (i.e. the EC</w:t>
            </w:r>
            <w:r w:rsidRPr="009A2045">
              <w:rPr>
                <w:sz w:val="20"/>
                <w:szCs w:val="20"/>
                <w:vertAlign w:val="subscript"/>
              </w:rPr>
              <w:t>10</w:t>
            </w:r>
            <w:r w:rsidRPr="009A2045">
              <w:rPr>
                <w:sz w:val="20"/>
                <w:szCs w:val="20"/>
              </w:rPr>
              <w:t>). This is calculated by using HC</w:t>
            </w:r>
            <w:r w:rsidRPr="009A2045">
              <w:rPr>
                <w:sz w:val="20"/>
                <w:szCs w:val="20"/>
                <w:vertAlign w:val="subscript"/>
              </w:rPr>
              <w:t>05</w:t>
            </w:r>
            <w:r w:rsidRPr="009A2045">
              <w:rPr>
                <w:sz w:val="20"/>
                <w:szCs w:val="20"/>
              </w:rPr>
              <w:t xml:space="preserve"> of SSD of LC</w:t>
            </w:r>
            <w:r w:rsidRPr="009A2045">
              <w:rPr>
                <w:sz w:val="20"/>
                <w:szCs w:val="20"/>
                <w:vertAlign w:val="subscript"/>
              </w:rPr>
              <w:t>50</w:t>
            </w:r>
            <w:r w:rsidRPr="009A2045">
              <w:rPr>
                <w:sz w:val="20"/>
                <w:szCs w:val="20"/>
              </w:rPr>
              <w:t>/LD</w:t>
            </w:r>
            <w:r w:rsidRPr="009A2045">
              <w:rPr>
                <w:sz w:val="20"/>
                <w:szCs w:val="20"/>
                <w:vertAlign w:val="subscript"/>
              </w:rPr>
              <w:t>50</w:t>
            </w:r>
            <w:r w:rsidRPr="009A2045">
              <w:rPr>
                <w:sz w:val="20"/>
                <w:szCs w:val="20"/>
              </w:rPr>
              <w:t xml:space="preserve"> or EC</w:t>
            </w:r>
            <w:r w:rsidRPr="009A2045">
              <w:rPr>
                <w:sz w:val="20"/>
                <w:szCs w:val="20"/>
                <w:vertAlign w:val="subscript"/>
              </w:rPr>
              <w:t>50</w:t>
            </w:r>
            <w:r w:rsidRPr="009A2045">
              <w:rPr>
                <w:sz w:val="20"/>
                <w:szCs w:val="20"/>
              </w:rPr>
              <w:t xml:space="preserve"> values and representative slope. If SSD cannot be derived, most sensitive LC</w:t>
            </w:r>
            <w:r w:rsidRPr="009A2045">
              <w:rPr>
                <w:sz w:val="20"/>
                <w:szCs w:val="20"/>
                <w:vertAlign w:val="subscript"/>
              </w:rPr>
              <w:t>50</w:t>
            </w:r>
            <w:r w:rsidRPr="009A2045">
              <w:rPr>
                <w:sz w:val="20"/>
                <w:szCs w:val="20"/>
              </w:rPr>
              <w:t>/LD</w:t>
            </w:r>
            <w:r w:rsidRPr="009A2045">
              <w:rPr>
                <w:sz w:val="20"/>
                <w:szCs w:val="20"/>
                <w:vertAlign w:val="subscript"/>
              </w:rPr>
              <w:t>50</w:t>
            </w:r>
            <w:r w:rsidRPr="009A2045">
              <w:rPr>
                <w:sz w:val="20"/>
                <w:szCs w:val="20"/>
              </w:rPr>
              <w:t xml:space="preserve"> or EC</w:t>
            </w:r>
            <w:r w:rsidRPr="009A2045">
              <w:rPr>
                <w:sz w:val="20"/>
                <w:szCs w:val="20"/>
                <w:vertAlign w:val="subscript"/>
              </w:rPr>
              <w:t>50</w:t>
            </w:r>
            <w:r w:rsidRPr="009A2045">
              <w:rPr>
                <w:sz w:val="20"/>
                <w:szCs w:val="20"/>
              </w:rPr>
              <w:t xml:space="preserve"> will be used.</w:t>
            </w:r>
          </w:p>
        </w:tc>
        <w:tc>
          <w:tcPr>
            <w:tcW w:w="3689" w:type="dxa"/>
            <w:vMerge w:val="restart"/>
            <w:vAlign w:val="center"/>
          </w:tcPr>
          <w:p w14:paraId="08D2FBB4" w14:textId="77777777" w:rsidR="007C0F2A" w:rsidRPr="009A2045" w:rsidRDefault="007C0F2A" w:rsidP="009A2045">
            <w:pPr>
              <w:spacing w:after="0" w:line="240" w:lineRule="auto"/>
            </w:pPr>
            <w:r w:rsidRPr="009A2045">
              <w:rPr>
                <w:sz w:val="20"/>
                <w:szCs w:val="20"/>
                <w:u w:val="single"/>
              </w:rPr>
              <w:t>Direct effects:</w:t>
            </w:r>
            <w:r w:rsidRPr="009A2045">
              <w:rPr>
                <w:sz w:val="20"/>
                <w:szCs w:val="20"/>
              </w:rPr>
              <w:t xml:space="preserve">  Lowest available NOAEC/NOAEL or other scientifically defensible effect threshold (EC</w:t>
            </w:r>
            <w:r w:rsidRPr="009A2045">
              <w:rPr>
                <w:sz w:val="20"/>
                <w:szCs w:val="20"/>
                <w:vertAlign w:val="subscript"/>
              </w:rPr>
              <w:t>x</w:t>
            </w:r>
            <w:r w:rsidRPr="009A2045">
              <w:rPr>
                <w:sz w:val="20"/>
                <w:szCs w:val="20"/>
              </w:rPr>
              <w:t xml:space="preserve">) that can be linked to survival or reproduction of a listed individual will be used. </w:t>
            </w:r>
          </w:p>
          <w:p w14:paraId="210ED640" w14:textId="77777777" w:rsidR="007C0F2A" w:rsidRPr="009A2045" w:rsidRDefault="007C0F2A" w:rsidP="009A2045">
            <w:pPr>
              <w:spacing w:after="0" w:line="240" w:lineRule="auto"/>
            </w:pPr>
            <w:r w:rsidRPr="009A2045">
              <w:rPr>
                <w:sz w:val="20"/>
                <w:szCs w:val="20"/>
                <w:u w:val="single"/>
              </w:rPr>
              <w:t>Indirect Effects</w:t>
            </w:r>
            <w:r w:rsidRPr="009A2045">
              <w:rPr>
                <w:sz w:val="20"/>
                <w:szCs w:val="20"/>
              </w:rPr>
              <w:t>: LOAEC/LOAEL for growth or reproduction will be used (see text for details).</w:t>
            </w:r>
          </w:p>
        </w:tc>
      </w:tr>
      <w:tr w:rsidR="007C0F2A" w:rsidRPr="009A2045" w14:paraId="0C2C9558" w14:textId="77777777" w:rsidTr="007C0F2A">
        <w:tc>
          <w:tcPr>
            <w:tcW w:w="1991" w:type="dxa"/>
            <w:vAlign w:val="center"/>
          </w:tcPr>
          <w:p w14:paraId="54D30E61" w14:textId="77777777" w:rsidR="007C0F2A" w:rsidRPr="009A2045" w:rsidRDefault="007C0F2A" w:rsidP="009A2045">
            <w:pPr>
              <w:spacing w:after="0" w:line="240" w:lineRule="auto"/>
            </w:pPr>
            <w:r w:rsidRPr="009A2045">
              <w:rPr>
                <w:sz w:val="20"/>
                <w:szCs w:val="20"/>
              </w:rPr>
              <w:t>Mammals</w:t>
            </w:r>
            <w:r w:rsidRPr="009A2045">
              <w:rPr>
                <w:sz w:val="20"/>
                <w:szCs w:val="20"/>
                <w:vertAlign w:val="superscript"/>
              </w:rPr>
              <w:t>1</w:t>
            </w:r>
          </w:p>
        </w:tc>
        <w:tc>
          <w:tcPr>
            <w:tcW w:w="3670" w:type="dxa"/>
            <w:vMerge/>
            <w:vAlign w:val="center"/>
          </w:tcPr>
          <w:p w14:paraId="3FDB77BB" w14:textId="77777777" w:rsidR="007C0F2A" w:rsidRPr="009A2045" w:rsidRDefault="007C0F2A" w:rsidP="009A2045">
            <w:pPr>
              <w:widowControl w:val="0"/>
              <w:spacing w:after="0" w:line="276" w:lineRule="auto"/>
            </w:pPr>
          </w:p>
        </w:tc>
        <w:tc>
          <w:tcPr>
            <w:tcW w:w="3689" w:type="dxa"/>
            <w:vMerge w:val="restart"/>
            <w:vAlign w:val="center"/>
          </w:tcPr>
          <w:p w14:paraId="618D0843" w14:textId="77777777" w:rsidR="007C0F2A" w:rsidRPr="009A2045" w:rsidRDefault="007C0F2A" w:rsidP="009A2045">
            <w:pPr>
              <w:spacing w:after="0" w:line="240" w:lineRule="auto"/>
            </w:pPr>
          </w:p>
          <w:p w14:paraId="7A82EF8B" w14:textId="77777777" w:rsidR="007C0F2A" w:rsidRPr="009A2045" w:rsidRDefault="007C0F2A" w:rsidP="009A2045">
            <w:pPr>
              <w:spacing w:after="0" w:line="240" w:lineRule="auto"/>
            </w:pPr>
          </w:p>
        </w:tc>
      </w:tr>
      <w:tr w:rsidR="007C0F2A" w:rsidRPr="009A2045" w14:paraId="1FEB3041" w14:textId="77777777" w:rsidTr="007C0F2A">
        <w:tc>
          <w:tcPr>
            <w:tcW w:w="1991" w:type="dxa"/>
            <w:vAlign w:val="center"/>
          </w:tcPr>
          <w:p w14:paraId="256A0F89" w14:textId="77777777" w:rsidR="007C0F2A" w:rsidRPr="009A2045" w:rsidRDefault="007C0F2A" w:rsidP="009A2045">
            <w:pPr>
              <w:spacing w:after="0" w:line="240" w:lineRule="auto"/>
            </w:pPr>
            <w:r w:rsidRPr="009A2045">
              <w:rPr>
                <w:sz w:val="20"/>
                <w:szCs w:val="20"/>
              </w:rPr>
              <w:t>Reptiles</w:t>
            </w:r>
          </w:p>
        </w:tc>
        <w:tc>
          <w:tcPr>
            <w:tcW w:w="3670" w:type="dxa"/>
            <w:vMerge/>
            <w:vAlign w:val="center"/>
          </w:tcPr>
          <w:p w14:paraId="70E2C7F1" w14:textId="77777777" w:rsidR="007C0F2A" w:rsidRPr="009A2045" w:rsidRDefault="007C0F2A" w:rsidP="009A2045">
            <w:pPr>
              <w:widowControl w:val="0"/>
              <w:spacing w:after="0" w:line="276" w:lineRule="auto"/>
            </w:pPr>
          </w:p>
        </w:tc>
        <w:tc>
          <w:tcPr>
            <w:tcW w:w="3689" w:type="dxa"/>
            <w:vMerge w:val="restart"/>
            <w:vAlign w:val="center"/>
          </w:tcPr>
          <w:p w14:paraId="471D6C33" w14:textId="77777777" w:rsidR="007C0F2A" w:rsidRPr="009A2045" w:rsidRDefault="007C0F2A" w:rsidP="009A2045">
            <w:pPr>
              <w:spacing w:after="0" w:line="240" w:lineRule="auto"/>
            </w:pPr>
          </w:p>
          <w:p w14:paraId="4ECCBFE9" w14:textId="77777777" w:rsidR="007C0F2A" w:rsidRPr="009A2045" w:rsidRDefault="007C0F2A" w:rsidP="009A2045">
            <w:pPr>
              <w:spacing w:after="0" w:line="240" w:lineRule="auto"/>
            </w:pPr>
          </w:p>
        </w:tc>
      </w:tr>
      <w:tr w:rsidR="007C0F2A" w:rsidRPr="009A2045" w14:paraId="041326DC" w14:textId="77777777" w:rsidTr="007C0F2A">
        <w:tc>
          <w:tcPr>
            <w:tcW w:w="1991" w:type="dxa"/>
            <w:vAlign w:val="center"/>
          </w:tcPr>
          <w:p w14:paraId="1CA6E297" w14:textId="77777777" w:rsidR="007C0F2A" w:rsidRPr="009A2045" w:rsidRDefault="007C0F2A" w:rsidP="009A2045">
            <w:pPr>
              <w:spacing w:after="0" w:line="240" w:lineRule="auto"/>
            </w:pPr>
            <w:r w:rsidRPr="009A2045">
              <w:rPr>
                <w:sz w:val="20"/>
                <w:szCs w:val="20"/>
              </w:rPr>
              <w:t>Terrestrial-phase amphibians</w:t>
            </w:r>
          </w:p>
        </w:tc>
        <w:tc>
          <w:tcPr>
            <w:tcW w:w="3670" w:type="dxa"/>
            <w:vMerge/>
            <w:vAlign w:val="center"/>
          </w:tcPr>
          <w:p w14:paraId="494F7E71" w14:textId="77777777" w:rsidR="007C0F2A" w:rsidRPr="009A2045" w:rsidRDefault="007C0F2A" w:rsidP="009A2045">
            <w:pPr>
              <w:widowControl w:val="0"/>
              <w:spacing w:after="0" w:line="276" w:lineRule="auto"/>
            </w:pPr>
          </w:p>
        </w:tc>
        <w:tc>
          <w:tcPr>
            <w:tcW w:w="3689" w:type="dxa"/>
            <w:vMerge w:val="restart"/>
            <w:vAlign w:val="center"/>
          </w:tcPr>
          <w:p w14:paraId="09B288C0" w14:textId="77777777" w:rsidR="007C0F2A" w:rsidRPr="009A2045" w:rsidRDefault="007C0F2A" w:rsidP="009A2045">
            <w:pPr>
              <w:spacing w:after="0" w:line="240" w:lineRule="auto"/>
            </w:pPr>
          </w:p>
          <w:p w14:paraId="2134DD1B" w14:textId="77777777" w:rsidR="007C0F2A" w:rsidRPr="009A2045" w:rsidRDefault="007C0F2A" w:rsidP="009A2045">
            <w:pPr>
              <w:spacing w:after="0" w:line="240" w:lineRule="auto"/>
            </w:pPr>
          </w:p>
        </w:tc>
      </w:tr>
      <w:tr w:rsidR="007C0F2A" w:rsidRPr="009A2045" w14:paraId="18F2282E" w14:textId="77777777" w:rsidTr="007C0F2A">
        <w:tc>
          <w:tcPr>
            <w:tcW w:w="1991" w:type="dxa"/>
            <w:vAlign w:val="center"/>
          </w:tcPr>
          <w:p w14:paraId="6DC6756D" w14:textId="77777777" w:rsidR="007C0F2A" w:rsidRPr="009A2045" w:rsidRDefault="007C0F2A" w:rsidP="009A2045">
            <w:pPr>
              <w:spacing w:after="0" w:line="240" w:lineRule="auto"/>
            </w:pPr>
            <w:r w:rsidRPr="009A2045">
              <w:rPr>
                <w:sz w:val="20"/>
                <w:szCs w:val="20"/>
              </w:rPr>
              <w:t>Aquatic-phase amphibians</w:t>
            </w:r>
          </w:p>
        </w:tc>
        <w:tc>
          <w:tcPr>
            <w:tcW w:w="3670" w:type="dxa"/>
            <w:vMerge/>
            <w:vAlign w:val="center"/>
          </w:tcPr>
          <w:p w14:paraId="7193B694" w14:textId="77777777" w:rsidR="007C0F2A" w:rsidRPr="009A2045" w:rsidRDefault="007C0F2A" w:rsidP="009A2045">
            <w:pPr>
              <w:widowControl w:val="0"/>
              <w:spacing w:after="0" w:line="276" w:lineRule="auto"/>
            </w:pPr>
          </w:p>
        </w:tc>
        <w:tc>
          <w:tcPr>
            <w:tcW w:w="3689" w:type="dxa"/>
            <w:vMerge w:val="restart"/>
            <w:vAlign w:val="center"/>
          </w:tcPr>
          <w:p w14:paraId="4AD03FD4" w14:textId="77777777" w:rsidR="007C0F2A" w:rsidRPr="009A2045" w:rsidRDefault="007C0F2A" w:rsidP="009A2045">
            <w:pPr>
              <w:spacing w:after="0" w:line="240" w:lineRule="auto"/>
            </w:pPr>
          </w:p>
          <w:p w14:paraId="322D8FCB" w14:textId="77777777" w:rsidR="007C0F2A" w:rsidRPr="009A2045" w:rsidRDefault="007C0F2A" w:rsidP="009A2045">
            <w:pPr>
              <w:spacing w:after="0" w:line="240" w:lineRule="auto"/>
            </w:pPr>
          </w:p>
        </w:tc>
      </w:tr>
      <w:tr w:rsidR="007C0F2A" w:rsidRPr="009A2045" w14:paraId="73A1435C" w14:textId="77777777" w:rsidTr="007C0F2A">
        <w:tc>
          <w:tcPr>
            <w:tcW w:w="1991" w:type="dxa"/>
            <w:vAlign w:val="center"/>
          </w:tcPr>
          <w:p w14:paraId="1CFC207D" w14:textId="77777777" w:rsidR="007C0F2A" w:rsidRPr="009A2045" w:rsidRDefault="007C0F2A" w:rsidP="009A2045">
            <w:pPr>
              <w:spacing w:after="0" w:line="240" w:lineRule="auto"/>
            </w:pPr>
            <w:r w:rsidRPr="009A2045">
              <w:rPr>
                <w:sz w:val="20"/>
                <w:szCs w:val="20"/>
              </w:rPr>
              <w:t>Fish</w:t>
            </w:r>
          </w:p>
        </w:tc>
        <w:tc>
          <w:tcPr>
            <w:tcW w:w="3670" w:type="dxa"/>
            <w:vMerge/>
            <w:vAlign w:val="center"/>
          </w:tcPr>
          <w:p w14:paraId="0F772298" w14:textId="77777777" w:rsidR="007C0F2A" w:rsidRPr="009A2045" w:rsidRDefault="007C0F2A" w:rsidP="009A2045">
            <w:pPr>
              <w:widowControl w:val="0"/>
              <w:spacing w:after="0" w:line="276" w:lineRule="auto"/>
            </w:pPr>
          </w:p>
        </w:tc>
        <w:tc>
          <w:tcPr>
            <w:tcW w:w="3689" w:type="dxa"/>
            <w:vMerge w:val="restart"/>
            <w:vAlign w:val="center"/>
          </w:tcPr>
          <w:p w14:paraId="6876EA1F" w14:textId="77777777" w:rsidR="007C0F2A" w:rsidRPr="009A2045" w:rsidRDefault="007C0F2A" w:rsidP="009A2045">
            <w:pPr>
              <w:spacing w:after="0" w:line="240" w:lineRule="auto"/>
            </w:pPr>
          </w:p>
          <w:p w14:paraId="35009D5A" w14:textId="77777777" w:rsidR="007C0F2A" w:rsidRPr="009A2045" w:rsidRDefault="007C0F2A" w:rsidP="009A2045">
            <w:pPr>
              <w:spacing w:after="0" w:line="240" w:lineRule="auto"/>
            </w:pPr>
          </w:p>
        </w:tc>
      </w:tr>
      <w:tr w:rsidR="007C0F2A" w:rsidRPr="009A2045" w14:paraId="546E5E7F" w14:textId="77777777" w:rsidTr="007C0F2A">
        <w:tc>
          <w:tcPr>
            <w:tcW w:w="1991" w:type="dxa"/>
            <w:vAlign w:val="center"/>
          </w:tcPr>
          <w:p w14:paraId="0CA20D12" w14:textId="77777777" w:rsidR="007C0F2A" w:rsidRPr="009A2045" w:rsidRDefault="007C0F2A" w:rsidP="009A2045">
            <w:pPr>
              <w:spacing w:after="0" w:line="240" w:lineRule="auto"/>
            </w:pPr>
            <w:r w:rsidRPr="009A2045">
              <w:rPr>
                <w:sz w:val="20"/>
                <w:szCs w:val="20"/>
              </w:rPr>
              <w:t>Aquatic invertebrates</w:t>
            </w:r>
          </w:p>
        </w:tc>
        <w:tc>
          <w:tcPr>
            <w:tcW w:w="3670" w:type="dxa"/>
            <w:vMerge/>
            <w:vAlign w:val="center"/>
          </w:tcPr>
          <w:p w14:paraId="3FDC2DB3" w14:textId="77777777" w:rsidR="007C0F2A" w:rsidRPr="009A2045" w:rsidRDefault="007C0F2A" w:rsidP="009A2045">
            <w:pPr>
              <w:widowControl w:val="0"/>
              <w:spacing w:after="0" w:line="276" w:lineRule="auto"/>
            </w:pPr>
          </w:p>
        </w:tc>
        <w:tc>
          <w:tcPr>
            <w:tcW w:w="3689" w:type="dxa"/>
            <w:vMerge w:val="restart"/>
            <w:vAlign w:val="center"/>
          </w:tcPr>
          <w:p w14:paraId="7CD214C6" w14:textId="77777777" w:rsidR="007C0F2A" w:rsidRPr="009A2045" w:rsidRDefault="007C0F2A" w:rsidP="009A2045">
            <w:pPr>
              <w:spacing w:after="0" w:line="240" w:lineRule="auto"/>
            </w:pPr>
          </w:p>
          <w:p w14:paraId="2273ED96" w14:textId="77777777" w:rsidR="007C0F2A" w:rsidRPr="009A2045" w:rsidRDefault="007C0F2A" w:rsidP="009A2045">
            <w:pPr>
              <w:spacing w:after="0" w:line="240" w:lineRule="auto"/>
            </w:pPr>
          </w:p>
        </w:tc>
      </w:tr>
      <w:tr w:rsidR="007C0F2A" w:rsidRPr="009A2045" w14:paraId="058FD93A" w14:textId="77777777" w:rsidTr="007C0F2A">
        <w:tc>
          <w:tcPr>
            <w:tcW w:w="1991" w:type="dxa"/>
            <w:vAlign w:val="center"/>
          </w:tcPr>
          <w:p w14:paraId="292C0129" w14:textId="4709907B" w:rsidR="007C0F2A" w:rsidRPr="009A2045" w:rsidRDefault="007C0F2A" w:rsidP="009A2045">
            <w:pPr>
              <w:spacing w:after="0" w:line="240" w:lineRule="auto"/>
            </w:pPr>
            <w:r w:rsidRPr="009A2045">
              <w:rPr>
                <w:sz w:val="20"/>
                <w:szCs w:val="20"/>
              </w:rPr>
              <w:t>Terrestrial invertebrates</w:t>
            </w:r>
          </w:p>
        </w:tc>
        <w:tc>
          <w:tcPr>
            <w:tcW w:w="3670" w:type="dxa"/>
            <w:vMerge/>
            <w:vAlign w:val="center"/>
          </w:tcPr>
          <w:p w14:paraId="18353F43" w14:textId="77777777" w:rsidR="007C0F2A" w:rsidRPr="009A2045" w:rsidRDefault="007C0F2A" w:rsidP="009A2045">
            <w:pPr>
              <w:widowControl w:val="0"/>
              <w:spacing w:after="0" w:line="276" w:lineRule="auto"/>
            </w:pPr>
          </w:p>
        </w:tc>
        <w:tc>
          <w:tcPr>
            <w:tcW w:w="3689" w:type="dxa"/>
            <w:vAlign w:val="center"/>
          </w:tcPr>
          <w:p w14:paraId="4DC8BE1D" w14:textId="77777777" w:rsidR="007C0F2A" w:rsidRPr="009A2045" w:rsidRDefault="007C0F2A" w:rsidP="009A2045">
            <w:pPr>
              <w:spacing w:after="0" w:line="240" w:lineRule="auto"/>
            </w:pPr>
          </w:p>
          <w:p w14:paraId="29323108" w14:textId="77777777" w:rsidR="007C0F2A" w:rsidRPr="009A2045" w:rsidRDefault="007C0F2A" w:rsidP="009A2045">
            <w:pPr>
              <w:spacing w:after="0" w:line="240" w:lineRule="auto"/>
            </w:pPr>
          </w:p>
        </w:tc>
      </w:tr>
      <w:tr w:rsidR="007C0F2A" w:rsidRPr="009A2045" w14:paraId="7B40F7EA" w14:textId="77777777" w:rsidTr="007C0F2A">
        <w:tc>
          <w:tcPr>
            <w:tcW w:w="1991" w:type="dxa"/>
            <w:vAlign w:val="center"/>
          </w:tcPr>
          <w:p w14:paraId="7A8D26F6" w14:textId="77777777" w:rsidR="007C0F2A" w:rsidRPr="009A2045" w:rsidRDefault="007C0F2A" w:rsidP="009A2045">
            <w:pPr>
              <w:spacing w:after="0" w:line="240" w:lineRule="auto"/>
            </w:pPr>
            <w:r w:rsidRPr="009A2045">
              <w:rPr>
                <w:sz w:val="20"/>
                <w:szCs w:val="20"/>
              </w:rPr>
              <w:t>Aquatic plants</w:t>
            </w:r>
          </w:p>
        </w:tc>
        <w:tc>
          <w:tcPr>
            <w:tcW w:w="3670" w:type="dxa"/>
            <w:vMerge w:val="restart"/>
            <w:vAlign w:val="center"/>
          </w:tcPr>
          <w:p w14:paraId="141CA19B" w14:textId="77777777" w:rsidR="007C0F2A" w:rsidRPr="009A2045" w:rsidRDefault="007C0F2A" w:rsidP="009A2045">
            <w:pPr>
              <w:spacing w:after="0" w:line="240" w:lineRule="auto"/>
            </w:pPr>
            <w:r w:rsidRPr="009A2045">
              <w:rPr>
                <w:sz w:val="20"/>
                <w:szCs w:val="20"/>
              </w:rPr>
              <w:t>None</w:t>
            </w:r>
          </w:p>
        </w:tc>
        <w:tc>
          <w:tcPr>
            <w:tcW w:w="3689" w:type="dxa"/>
            <w:vMerge w:val="restart"/>
            <w:vAlign w:val="center"/>
          </w:tcPr>
          <w:p w14:paraId="29708310" w14:textId="4712B354" w:rsidR="007C0F2A" w:rsidRPr="009A2045" w:rsidRDefault="007C0F2A" w:rsidP="009A2045">
            <w:pPr>
              <w:spacing w:after="0" w:line="240" w:lineRule="auto"/>
            </w:pPr>
            <w:r w:rsidRPr="009A2045">
              <w:rPr>
                <w:sz w:val="20"/>
                <w:szCs w:val="20"/>
                <w:u w:val="single"/>
              </w:rPr>
              <w:t>Direct Effects</w:t>
            </w:r>
            <w:r w:rsidRPr="009A2045">
              <w:rPr>
                <w:sz w:val="20"/>
                <w:szCs w:val="20"/>
              </w:rPr>
              <w:t xml:space="preserve">: Same as those identified in </w:t>
            </w:r>
            <w:r w:rsidRPr="009A2045">
              <w:rPr>
                <w:b/>
                <w:sz w:val="20"/>
                <w:szCs w:val="20"/>
              </w:rPr>
              <w:t xml:space="preserve">Table </w:t>
            </w:r>
            <w:r w:rsidR="00CF543D" w:rsidRPr="009A2045">
              <w:rPr>
                <w:b/>
                <w:sz w:val="20"/>
                <w:szCs w:val="20"/>
              </w:rPr>
              <w:t>1-10</w:t>
            </w:r>
            <w:r w:rsidRPr="009A2045">
              <w:rPr>
                <w:sz w:val="20"/>
                <w:szCs w:val="20"/>
              </w:rPr>
              <w:t>.</w:t>
            </w:r>
          </w:p>
          <w:p w14:paraId="5C60C8CA" w14:textId="77777777" w:rsidR="007C0F2A" w:rsidRPr="009A2045" w:rsidRDefault="007C0F2A" w:rsidP="009A2045">
            <w:pPr>
              <w:spacing w:after="0" w:line="240" w:lineRule="auto"/>
            </w:pPr>
          </w:p>
          <w:p w14:paraId="0803CE45" w14:textId="77777777" w:rsidR="007C0F2A" w:rsidRPr="009A2045" w:rsidRDefault="007C0F2A" w:rsidP="009A2045">
            <w:pPr>
              <w:spacing w:after="0" w:line="240" w:lineRule="auto"/>
            </w:pPr>
            <w:r w:rsidRPr="009A2045">
              <w:rPr>
                <w:sz w:val="20"/>
                <w:szCs w:val="20"/>
                <w:u w:val="single"/>
              </w:rPr>
              <w:t xml:space="preserve">Indirect Effects: </w:t>
            </w:r>
          </w:p>
          <w:p w14:paraId="150CDB3A" w14:textId="77777777" w:rsidR="007C0F2A" w:rsidRPr="009A2045" w:rsidRDefault="007C0F2A" w:rsidP="009A2045">
            <w:pPr>
              <w:spacing w:after="0" w:line="240" w:lineRule="auto"/>
            </w:pPr>
            <w:r w:rsidRPr="009A2045">
              <w:rPr>
                <w:i/>
                <w:sz w:val="20"/>
                <w:szCs w:val="20"/>
              </w:rPr>
              <w:t>Aquatic plants</w:t>
            </w:r>
            <w:r w:rsidRPr="009A2045">
              <w:rPr>
                <w:sz w:val="20"/>
                <w:szCs w:val="20"/>
              </w:rPr>
              <w:t>: Concentration equal to the lowest available LOAEC and EC</w:t>
            </w:r>
            <w:r w:rsidRPr="009A2045">
              <w:rPr>
                <w:sz w:val="20"/>
                <w:szCs w:val="20"/>
                <w:vertAlign w:val="subscript"/>
              </w:rPr>
              <w:t>25</w:t>
            </w:r>
            <w:r w:rsidRPr="009A2045">
              <w:rPr>
                <w:sz w:val="20"/>
                <w:szCs w:val="20"/>
              </w:rPr>
              <w:t xml:space="preserve"> value for aquatic plants</w:t>
            </w:r>
          </w:p>
          <w:p w14:paraId="2942EF5A" w14:textId="77777777" w:rsidR="007C0F2A" w:rsidRPr="009A2045" w:rsidRDefault="007C0F2A" w:rsidP="009A2045">
            <w:pPr>
              <w:spacing w:after="0" w:line="240" w:lineRule="auto"/>
            </w:pPr>
          </w:p>
          <w:p w14:paraId="07E51AC7" w14:textId="77777777" w:rsidR="007C0F2A" w:rsidRPr="009A2045" w:rsidRDefault="007C0F2A" w:rsidP="009A2045">
            <w:pPr>
              <w:spacing w:after="0" w:line="240" w:lineRule="auto"/>
            </w:pPr>
            <w:r w:rsidRPr="009A2045">
              <w:rPr>
                <w:i/>
                <w:sz w:val="20"/>
                <w:szCs w:val="20"/>
              </w:rPr>
              <w:lastRenderedPageBreak/>
              <w:t>Terrestrial and wetland plants</w:t>
            </w:r>
            <w:r w:rsidRPr="009A2045">
              <w:rPr>
                <w:sz w:val="20"/>
                <w:szCs w:val="20"/>
              </w:rPr>
              <w:t>:  Concentration equal to the lowest LOAEC and EC</w:t>
            </w:r>
            <w:r w:rsidRPr="009A2045">
              <w:rPr>
                <w:sz w:val="20"/>
                <w:szCs w:val="20"/>
                <w:vertAlign w:val="subscript"/>
              </w:rPr>
              <w:t>25</w:t>
            </w:r>
            <w:r w:rsidRPr="009A2045">
              <w:rPr>
                <w:sz w:val="20"/>
                <w:szCs w:val="20"/>
              </w:rPr>
              <w:t xml:space="preserve"> value from the available seedling emergence and vegetative vigor studies</w:t>
            </w:r>
          </w:p>
        </w:tc>
      </w:tr>
      <w:tr w:rsidR="007C0F2A" w:rsidRPr="009A2045" w14:paraId="2C288846" w14:textId="77777777" w:rsidTr="007C0F2A">
        <w:tc>
          <w:tcPr>
            <w:tcW w:w="1991" w:type="dxa"/>
            <w:vAlign w:val="center"/>
          </w:tcPr>
          <w:p w14:paraId="0673D1FC" w14:textId="77777777" w:rsidR="007C0F2A" w:rsidRPr="009A2045" w:rsidRDefault="007C0F2A" w:rsidP="009A2045">
            <w:pPr>
              <w:spacing w:after="0" w:line="240" w:lineRule="auto"/>
            </w:pPr>
            <w:r w:rsidRPr="009A2045">
              <w:rPr>
                <w:sz w:val="20"/>
                <w:szCs w:val="20"/>
              </w:rPr>
              <w:lastRenderedPageBreak/>
              <w:t>Terrestrial plants</w:t>
            </w:r>
          </w:p>
        </w:tc>
        <w:tc>
          <w:tcPr>
            <w:tcW w:w="3670" w:type="dxa"/>
            <w:vMerge/>
            <w:vAlign w:val="center"/>
          </w:tcPr>
          <w:p w14:paraId="244B5B55" w14:textId="77777777" w:rsidR="007C0F2A" w:rsidRPr="009A2045" w:rsidRDefault="007C0F2A" w:rsidP="009A2045">
            <w:pPr>
              <w:widowControl w:val="0"/>
              <w:spacing w:after="0" w:line="276" w:lineRule="auto"/>
            </w:pPr>
          </w:p>
        </w:tc>
        <w:tc>
          <w:tcPr>
            <w:tcW w:w="3689" w:type="dxa"/>
            <w:vMerge w:val="restart"/>
            <w:vAlign w:val="center"/>
          </w:tcPr>
          <w:p w14:paraId="79FB9ADA" w14:textId="77777777" w:rsidR="007C0F2A" w:rsidRPr="009A2045" w:rsidRDefault="007C0F2A" w:rsidP="009A2045">
            <w:pPr>
              <w:spacing w:after="0" w:line="240" w:lineRule="auto"/>
            </w:pPr>
          </w:p>
          <w:p w14:paraId="44708845" w14:textId="77777777" w:rsidR="007C0F2A" w:rsidRPr="009A2045" w:rsidRDefault="007C0F2A" w:rsidP="009A2045">
            <w:pPr>
              <w:spacing w:after="0" w:line="240" w:lineRule="auto"/>
            </w:pPr>
          </w:p>
        </w:tc>
      </w:tr>
      <w:tr w:rsidR="007C0F2A" w:rsidRPr="009A2045" w14:paraId="1C439E60" w14:textId="77777777" w:rsidTr="007C0F2A">
        <w:tc>
          <w:tcPr>
            <w:tcW w:w="1991" w:type="dxa"/>
            <w:vAlign w:val="center"/>
          </w:tcPr>
          <w:p w14:paraId="2A00AAAA" w14:textId="77777777" w:rsidR="007C0F2A" w:rsidRPr="009A2045" w:rsidRDefault="007C0F2A" w:rsidP="009A2045">
            <w:pPr>
              <w:spacing w:after="0" w:line="240" w:lineRule="auto"/>
            </w:pPr>
            <w:r w:rsidRPr="009A2045">
              <w:rPr>
                <w:sz w:val="20"/>
                <w:szCs w:val="20"/>
              </w:rPr>
              <w:t>Wetland plants</w:t>
            </w:r>
          </w:p>
        </w:tc>
        <w:tc>
          <w:tcPr>
            <w:tcW w:w="3670" w:type="dxa"/>
            <w:vMerge/>
            <w:vAlign w:val="center"/>
          </w:tcPr>
          <w:p w14:paraId="76A00F4D" w14:textId="77777777" w:rsidR="007C0F2A" w:rsidRPr="009A2045" w:rsidRDefault="007C0F2A" w:rsidP="009A2045">
            <w:pPr>
              <w:widowControl w:val="0"/>
              <w:spacing w:after="0" w:line="276" w:lineRule="auto"/>
            </w:pPr>
          </w:p>
        </w:tc>
        <w:tc>
          <w:tcPr>
            <w:tcW w:w="3689" w:type="dxa"/>
            <w:vAlign w:val="center"/>
          </w:tcPr>
          <w:p w14:paraId="7577EB1D" w14:textId="77777777" w:rsidR="007C0F2A" w:rsidRPr="009A2045" w:rsidRDefault="007C0F2A" w:rsidP="009A2045">
            <w:pPr>
              <w:spacing w:after="0" w:line="240" w:lineRule="auto"/>
            </w:pPr>
          </w:p>
          <w:p w14:paraId="1483B857" w14:textId="77777777" w:rsidR="007C0F2A" w:rsidRPr="009A2045" w:rsidRDefault="007C0F2A" w:rsidP="009A2045">
            <w:pPr>
              <w:spacing w:after="0" w:line="240" w:lineRule="auto"/>
            </w:pPr>
          </w:p>
        </w:tc>
      </w:tr>
    </w:tbl>
    <w:p w14:paraId="691F8843" w14:textId="77777777" w:rsidR="007C0F2A" w:rsidRPr="009A2045" w:rsidRDefault="007C0F2A" w:rsidP="009A2045">
      <w:pPr>
        <w:spacing w:after="0" w:line="240" w:lineRule="auto"/>
      </w:pPr>
      <w:r w:rsidRPr="009A2045">
        <w:rPr>
          <w:sz w:val="20"/>
          <w:szCs w:val="20"/>
          <w:vertAlign w:val="superscript"/>
        </w:rPr>
        <w:t>1</w:t>
      </w:r>
      <w:r w:rsidRPr="009A2045">
        <w:rPr>
          <w:sz w:val="20"/>
          <w:szCs w:val="20"/>
        </w:rPr>
        <w:t>Lowest LD</w:t>
      </w:r>
      <w:r w:rsidRPr="009A2045">
        <w:rPr>
          <w:sz w:val="20"/>
          <w:szCs w:val="20"/>
          <w:vertAlign w:val="subscript"/>
        </w:rPr>
        <w:t>50</w:t>
      </w:r>
      <w:r w:rsidRPr="009A2045">
        <w:rPr>
          <w:sz w:val="20"/>
          <w:szCs w:val="20"/>
        </w:rPr>
        <w:t xml:space="preserve"> or NOAEL/LOAEL for birds and mammals determined by normalizing results to 100 g body weight for birds and 15 g body weight for mammals prior to establishing threshold value.</w:t>
      </w:r>
    </w:p>
    <w:p w14:paraId="253D6628" w14:textId="77777777" w:rsidR="007C0F2A" w:rsidRPr="009A2045" w:rsidRDefault="007C0F2A" w:rsidP="009A2045">
      <w:pPr>
        <w:spacing w:after="0" w:line="240" w:lineRule="auto"/>
      </w:pPr>
    </w:p>
    <w:p w14:paraId="3F84C999" w14:textId="56D6647A" w:rsidR="007C0F2A" w:rsidRPr="009A2045" w:rsidRDefault="00CC16EB" w:rsidP="009A2045">
      <w:pPr>
        <w:pStyle w:val="Heading5"/>
      </w:pPr>
      <w:bookmarkStart w:id="79" w:name="_Toc432773339"/>
      <w:bookmarkStart w:id="80" w:name="_Toc436043052"/>
      <w:r w:rsidRPr="009A2045">
        <w:t>1.4.2.2.a.</w:t>
      </w:r>
      <w:r w:rsidRPr="009A2045">
        <w:tab/>
        <w:t>Effect arrays</w:t>
      </w:r>
      <w:bookmarkEnd w:id="79"/>
      <w:bookmarkEnd w:id="80"/>
      <w:r w:rsidRPr="009A2045">
        <w:t xml:space="preserve"> </w:t>
      </w:r>
    </w:p>
    <w:p w14:paraId="6436CDD8" w14:textId="77777777" w:rsidR="007C0F2A" w:rsidRPr="009A2045" w:rsidRDefault="007C0F2A" w:rsidP="009A2045">
      <w:pPr>
        <w:spacing w:after="0" w:line="240" w:lineRule="auto"/>
      </w:pPr>
    </w:p>
    <w:p w14:paraId="2583BA73" w14:textId="77777777" w:rsidR="007C0F2A" w:rsidRPr="009A2045" w:rsidRDefault="007C0F2A" w:rsidP="009A2045">
      <w:pPr>
        <w:spacing w:after="0" w:line="240" w:lineRule="auto"/>
      </w:pPr>
      <w:r w:rsidRPr="009A2045">
        <w:t xml:space="preserve">Effects Arrays enable the examination of all available ecotoxicity data relative to a range of potential exposure values for a pesticide. Use of the array format also allows for a visual representation for summarizing this information.  The Effects Arrays allow for: </w:t>
      </w:r>
    </w:p>
    <w:p w14:paraId="4994A598" w14:textId="77777777" w:rsidR="007C0F2A" w:rsidRPr="009A2045" w:rsidRDefault="007C0F2A" w:rsidP="009A2045">
      <w:pPr>
        <w:spacing w:after="0" w:line="240" w:lineRule="auto"/>
      </w:pPr>
    </w:p>
    <w:p w14:paraId="66A18D8F" w14:textId="77777777" w:rsidR="007C0F2A" w:rsidRPr="009A2045" w:rsidRDefault="007C0F2A" w:rsidP="009A2045">
      <w:pPr>
        <w:pStyle w:val="ListParagraph"/>
        <w:numPr>
          <w:ilvl w:val="4"/>
          <w:numId w:val="10"/>
        </w:numPr>
        <w:tabs>
          <w:tab w:val="left" w:pos="1350"/>
        </w:tabs>
        <w:spacing w:after="0" w:line="240" w:lineRule="auto"/>
        <w:ind w:left="1350" w:hanging="270"/>
      </w:pPr>
      <w:r w:rsidRPr="009A2045">
        <w:t xml:space="preserve">Identification of taxa, families, and species of concern that may be affected by exposure to a pesticide; </w:t>
      </w:r>
    </w:p>
    <w:p w14:paraId="5EC0A2E1" w14:textId="77777777" w:rsidR="007C0F2A" w:rsidRPr="009A2045" w:rsidRDefault="007C0F2A" w:rsidP="009A2045">
      <w:pPr>
        <w:pStyle w:val="ListParagraph"/>
        <w:numPr>
          <w:ilvl w:val="4"/>
          <w:numId w:val="10"/>
        </w:numPr>
        <w:tabs>
          <w:tab w:val="left" w:pos="1350"/>
        </w:tabs>
        <w:spacing w:after="0" w:line="240" w:lineRule="auto"/>
        <w:ind w:left="1350" w:hanging="270"/>
      </w:pPr>
      <w:r w:rsidRPr="009A2045">
        <w:t xml:space="preserve">Identification and evaluation potential exposure pathways of concern; </w:t>
      </w:r>
    </w:p>
    <w:p w14:paraId="1F357C37" w14:textId="77777777" w:rsidR="007C0F2A" w:rsidRPr="009A2045" w:rsidRDefault="007C0F2A" w:rsidP="009A2045">
      <w:pPr>
        <w:pStyle w:val="ListParagraph"/>
        <w:numPr>
          <w:ilvl w:val="4"/>
          <w:numId w:val="10"/>
        </w:numPr>
        <w:tabs>
          <w:tab w:val="left" w:pos="1350"/>
        </w:tabs>
        <w:spacing w:after="0" w:line="240" w:lineRule="auto"/>
        <w:ind w:left="1350" w:hanging="270"/>
      </w:pPr>
      <w:r w:rsidRPr="009A2045">
        <w:t>Identification of effects (mortality and sublethal effects) and effects thresholds used to assess direct and indirect effects to a listed species;</w:t>
      </w:r>
    </w:p>
    <w:p w14:paraId="61EB01BA" w14:textId="77777777" w:rsidR="007C0F2A" w:rsidRPr="009A2045" w:rsidRDefault="007C0F2A" w:rsidP="009A2045">
      <w:pPr>
        <w:pStyle w:val="ListParagraph"/>
        <w:numPr>
          <w:ilvl w:val="4"/>
          <w:numId w:val="10"/>
        </w:numPr>
        <w:tabs>
          <w:tab w:val="left" w:pos="1350"/>
        </w:tabs>
        <w:spacing w:after="0" w:line="240" w:lineRule="auto"/>
        <w:ind w:left="1350" w:hanging="270"/>
      </w:pPr>
      <w:r w:rsidRPr="009A2045">
        <w:t xml:space="preserve">Description of the type and range of effects for species at expected exposure concentrations; and </w:t>
      </w:r>
    </w:p>
    <w:p w14:paraId="0FAE1BCF" w14:textId="69B9A9C6" w:rsidR="007C0F2A" w:rsidRPr="009A2045" w:rsidRDefault="007C0F2A" w:rsidP="009A2045">
      <w:pPr>
        <w:pStyle w:val="ListParagraph"/>
        <w:numPr>
          <w:ilvl w:val="4"/>
          <w:numId w:val="10"/>
        </w:numPr>
        <w:tabs>
          <w:tab w:val="left" w:pos="1350"/>
        </w:tabs>
        <w:spacing w:after="0" w:line="240" w:lineRule="auto"/>
        <w:ind w:left="1350" w:hanging="270"/>
      </w:pPr>
      <w:r w:rsidRPr="009A2045">
        <w:t xml:space="preserve">Prioritization of studies that may need further review to inform the </w:t>
      </w:r>
      <w:r w:rsidR="00CC16EB" w:rsidRPr="009A2045">
        <w:t>WoE</w:t>
      </w:r>
      <w:r w:rsidRPr="009A2045">
        <w:t xml:space="preserve"> process.  </w:t>
      </w:r>
    </w:p>
    <w:p w14:paraId="256D8282" w14:textId="77777777" w:rsidR="007C0F2A" w:rsidRPr="009A2045" w:rsidRDefault="007C0F2A" w:rsidP="009A2045">
      <w:pPr>
        <w:spacing w:after="0" w:line="240" w:lineRule="auto"/>
      </w:pPr>
    </w:p>
    <w:p w14:paraId="75347271" w14:textId="77777777" w:rsidR="007C0F2A" w:rsidRPr="009A2045" w:rsidRDefault="007C0F2A" w:rsidP="009A2045">
      <w:pPr>
        <w:spacing w:after="0" w:line="240" w:lineRule="auto"/>
      </w:pPr>
      <w:r w:rsidRPr="009A2045">
        <w:t xml:space="preserve">Sources of toxicity data used to build the Effects Arrays include registrant-submitted studies as well as open literature studies and government reports contained within the ECOTOX database. Studies located and coded into ECOTOX must meet acceptability criteria, as established in the </w:t>
      </w:r>
      <w:r w:rsidRPr="009A2045">
        <w:rPr>
          <w:i/>
        </w:rPr>
        <w:t>Interim Guidance of the Evaluation Criteria for Ecological Toxicity Data in the Open Literature, Phase I and II</w:t>
      </w:r>
      <w:r w:rsidRPr="009A2045">
        <w:t xml:space="preserve"> (http://www.epa.gov/pesticides/science/efed/policy_guidance/team_authors/endangered_species_reregistration_workgroup/esa_evaluation_open_literature.htm). The intent of the acceptability criteria is to ensure data quality and verifiability. </w:t>
      </w:r>
    </w:p>
    <w:p w14:paraId="7817423F" w14:textId="77777777" w:rsidR="007C0F2A" w:rsidRPr="009A2045" w:rsidRDefault="007C0F2A" w:rsidP="009A2045">
      <w:pPr>
        <w:spacing w:after="0" w:line="240" w:lineRule="auto"/>
      </w:pPr>
    </w:p>
    <w:p w14:paraId="2F556BFD" w14:textId="4C1C7FD5" w:rsidR="007C0F2A" w:rsidRPr="009A2045" w:rsidRDefault="007C0F2A" w:rsidP="009A2045">
      <w:pPr>
        <w:spacing w:after="0" w:line="240" w:lineRule="auto"/>
      </w:pPr>
      <w:r w:rsidRPr="009A2045">
        <w:t>All sublethal and lethal endpoints (based on study NOEC/LOAEC, EC</w:t>
      </w:r>
      <w:r w:rsidRPr="009A2045">
        <w:rPr>
          <w:vertAlign w:val="subscript"/>
        </w:rPr>
        <w:t>x</w:t>
      </w:r>
      <w:r w:rsidRPr="009A2045">
        <w:t xml:space="preserve"> and LC</w:t>
      </w:r>
      <w:r w:rsidRPr="009A2045">
        <w:rPr>
          <w:vertAlign w:val="subscript"/>
        </w:rPr>
        <w:t>x</w:t>
      </w:r>
      <w:r w:rsidRPr="009A2045">
        <w:t xml:space="preserve"> values) that meet the ECOTOX acceptability criteria are presented in the Effects Arrays.  As a result, the arrays include a diversity of studies, effects, and endpoints.  For example, there may be studies with different test duration, test conditions, and/or test species.  Some studies may have tested TGAI</w:t>
      </w:r>
      <w:r w:rsidR="004B6614" w:rsidRPr="009A2045">
        <w:t>,</w:t>
      </w:r>
      <w:r w:rsidRPr="009A2045">
        <w:t xml:space="preserve"> while others used formulated products or tank mixtures.  Different endpoints may be reported (NOAECs, LOAECs, ECx, or </w:t>
      </w:r>
      <w:r w:rsidRPr="009A2045">
        <w:lastRenderedPageBreak/>
        <w:t>LCx)</w:t>
      </w:r>
      <w:r w:rsidR="004B6614" w:rsidRPr="009A2045">
        <w:t>,</w:t>
      </w:r>
      <w:r w:rsidRPr="009A2045">
        <w:t xml:space="preserve"> and the magnitude of effect associated with some endpoints (</w:t>
      </w:r>
      <w:r w:rsidRPr="009A2045">
        <w:rPr>
          <w:i/>
        </w:rPr>
        <w:t>i.e</w:t>
      </w:r>
      <w:r w:rsidRPr="009A2045">
        <w:t xml:space="preserve">., NOAEC, LOAEC) are not reported.  These sources of variability/uncertainty will be taken into account when using effects arrays to inform specific lines-of-evidence for the </w:t>
      </w:r>
      <w:r w:rsidR="00CC16EB" w:rsidRPr="009A2045">
        <w:t>WoE</w:t>
      </w:r>
      <w:r w:rsidRPr="009A2045">
        <w:t xml:space="preserve"> analysis.  </w:t>
      </w:r>
    </w:p>
    <w:p w14:paraId="7B1CA18C" w14:textId="77777777" w:rsidR="007C0F2A" w:rsidRPr="009A2045" w:rsidRDefault="007C0F2A" w:rsidP="009A2045">
      <w:pPr>
        <w:spacing w:after="0" w:line="240" w:lineRule="auto"/>
      </w:pPr>
    </w:p>
    <w:p w14:paraId="146E737E" w14:textId="583B743C" w:rsidR="007C0F2A" w:rsidRPr="009A2045" w:rsidRDefault="007C0F2A" w:rsidP="009A2045">
      <w:pPr>
        <w:spacing w:after="0" w:line="240" w:lineRule="auto"/>
      </w:pPr>
      <w:r w:rsidRPr="009A2045">
        <w:t>Effects Arrays are constructed u</w:t>
      </w:r>
      <w:r w:rsidR="00CC16EB" w:rsidRPr="009A2045">
        <w:t>sing the Data Array Builder v.1.0</w:t>
      </w:r>
      <w:r w:rsidRPr="009A2045">
        <w:t xml:space="preserve">, which batch processes all of the available data for a particular taxonomic grouping and unit of measurement into graphs that display all of the effects data. The graphs display data by the measured effect, as defined within the ECOTOX database (the ECOTOX code list can be found at: </w:t>
      </w:r>
      <w:hyperlink r:id="rId28">
        <w:r w:rsidRPr="009A2045">
          <w:rPr>
            <w:rStyle w:val="Hyperlink"/>
          </w:rPr>
          <w:t>http://cfpub.epa.gov/ecotox/blackbox/help/codelist.pdf</w:t>
        </w:r>
      </w:hyperlink>
      <w:r w:rsidRPr="009A2045">
        <w:t xml:space="preserve">).  In the arrays, the data are arranged generally as they relate to the different lines of evidence (discussed above).  More information on how to construct and evaluate the Effects Arrays is provided in </w:t>
      </w:r>
      <w:r w:rsidR="00CC16EB" w:rsidRPr="009A2045">
        <w:rPr>
          <w:b/>
        </w:rPr>
        <w:t>ATTACHMENT 1-22</w:t>
      </w:r>
      <w:r w:rsidRPr="009A2045">
        <w:t xml:space="preserve">. </w:t>
      </w:r>
    </w:p>
    <w:p w14:paraId="6C517785" w14:textId="77777777" w:rsidR="007C0F2A" w:rsidRPr="009A2045" w:rsidRDefault="007C0F2A" w:rsidP="009A2045">
      <w:pPr>
        <w:spacing w:after="0" w:line="240" w:lineRule="auto"/>
        <w:rPr>
          <w:i/>
        </w:rPr>
      </w:pPr>
    </w:p>
    <w:p w14:paraId="605FF663" w14:textId="77777777" w:rsidR="00CC16EB" w:rsidRPr="009A2045" w:rsidRDefault="00CC16EB" w:rsidP="009A2045">
      <w:pPr>
        <w:pStyle w:val="Heading5"/>
      </w:pPr>
      <w:bookmarkStart w:id="81" w:name="_Toc432773340"/>
      <w:bookmarkStart w:id="82" w:name="_Toc436043053"/>
      <w:r w:rsidRPr="009A2045">
        <w:t>1.4.2.2.b.</w:t>
      </w:r>
      <w:r w:rsidRPr="009A2045">
        <w:tab/>
        <w:t>Incident data</w:t>
      </w:r>
      <w:bookmarkEnd w:id="81"/>
      <w:bookmarkEnd w:id="82"/>
      <w:r w:rsidRPr="009A2045">
        <w:t xml:space="preserve"> </w:t>
      </w:r>
    </w:p>
    <w:p w14:paraId="52AFCB79" w14:textId="77777777" w:rsidR="007C0F2A" w:rsidRPr="009A2045" w:rsidRDefault="007C0F2A" w:rsidP="009A2045">
      <w:pPr>
        <w:spacing w:after="0" w:line="240" w:lineRule="auto"/>
      </w:pPr>
    </w:p>
    <w:p w14:paraId="3D1DD266" w14:textId="4863E203" w:rsidR="007C0F2A" w:rsidRPr="009A2045" w:rsidRDefault="007C0F2A" w:rsidP="009A2045">
      <w:pPr>
        <w:spacing w:after="0" w:line="240" w:lineRule="auto"/>
      </w:pPr>
      <w:r w:rsidRPr="009A2045">
        <w:t xml:space="preserve">A pesticide incident is defined as any exposure or effect from a pesticide’s use that is not expected or intended.  Pesticide incidents may involve humans, pets, wildlife, plants, domestic animals and honey bees. Ecological incident reports (those involving wildlife and plants) are typically used by EPA as a line of evidence (in a </w:t>
      </w:r>
      <w:r w:rsidR="00CC16EB" w:rsidRPr="009A2045">
        <w:t>WoE</w:t>
      </w:r>
      <w:r w:rsidRPr="009A2045">
        <w:t xml:space="preserve"> approach) for making risk conclusions in pesticide risk assessments. Incident data can provide evidence that exposure pathways for a particular pesticide are complete and that exposure levels are sufficient to result in field-observable effects. In short, incident reports provide important information on what can happen to non-target plants and wildlife when a pesticide is used in the ‘real world’, and they can help support or refute risk predictions based on laboratory data.    </w:t>
      </w:r>
    </w:p>
    <w:p w14:paraId="3C1D6D0B" w14:textId="77777777" w:rsidR="007C0F2A" w:rsidRPr="009A2045" w:rsidRDefault="007C0F2A" w:rsidP="009A2045">
      <w:pPr>
        <w:spacing w:after="0" w:line="240" w:lineRule="auto"/>
      </w:pPr>
    </w:p>
    <w:p w14:paraId="4FED1E9B" w14:textId="77777777" w:rsidR="007C0F2A" w:rsidRPr="009A2045" w:rsidRDefault="007C0F2A" w:rsidP="009A2045">
      <w:pPr>
        <w:spacing w:after="0" w:line="240" w:lineRule="auto"/>
      </w:pPr>
      <w:r w:rsidRPr="009A2045">
        <w:t>Because incident data are not typically reported or collected systematically, a lack of reported incidents cannot be used as evidence that incidents could not or do not exist from registered uses of the chemical(s) being considered. Incident reports for non-target organisms normally provide information only on mortality events and plant damage. Except for phytotoxic effects in terrestrial plants, sublethal effects, such as abnormal behavior, reduced growth or impaired reproduction, are rarely reported.</w:t>
      </w:r>
    </w:p>
    <w:p w14:paraId="56BBF174" w14:textId="77777777" w:rsidR="007C0F2A" w:rsidRPr="009A2045" w:rsidRDefault="007C0F2A" w:rsidP="009A2045">
      <w:pPr>
        <w:spacing w:after="0" w:line="240" w:lineRule="auto"/>
      </w:pPr>
    </w:p>
    <w:p w14:paraId="032AE47B" w14:textId="72136D59" w:rsidR="007C0F2A" w:rsidRPr="009A2045" w:rsidRDefault="007C0F2A" w:rsidP="009A2045">
      <w:pPr>
        <w:spacing w:after="0" w:line="240" w:lineRule="auto"/>
      </w:pPr>
      <w:r w:rsidRPr="009A2045">
        <w:t xml:space="preserve">The primary sources of ecological incident information that OPP uses are the Incident Data System (IDS), the Ecological Incident Information System (EIIS), and the Avian Incident Monitoring System (AIMS) (see </w:t>
      </w:r>
      <w:r w:rsidR="00CC16EB" w:rsidRPr="009A2045">
        <w:rPr>
          <w:b/>
        </w:rPr>
        <w:t>ATTACHMENT 1-1</w:t>
      </w:r>
      <w:r w:rsidRPr="009A2045">
        <w:t xml:space="preserve"> for details). These databases contain information from pesticide incident reports.  The incident reports are derived from a variety of sources [those submitted directly to OPP (</w:t>
      </w:r>
      <w:r w:rsidRPr="009A2045">
        <w:rPr>
          <w:i/>
        </w:rPr>
        <w:t>e.g</w:t>
      </w:r>
      <w:r w:rsidRPr="009A2045">
        <w:t>., by pesticide registrants, the public, and state, federal, and local government agencies) and those available through other sources (</w:t>
      </w:r>
      <w:r w:rsidRPr="009A2045">
        <w:rPr>
          <w:i/>
        </w:rPr>
        <w:t>e.g</w:t>
      </w:r>
      <w:r w:rsidRPr="009A2045">
        <w:t xml:space="preserve">., the United States Geological Survey’s Contaminant Exposure and Effects – Terrestrial Vertebrate Database, the open literature and media accounts)].  </w:t>
      </w:r>
    </w:p>
    <w:p w14:paraId="1F8C0765" w14:textId="77777777" w:rsidR="007C0F2A" w:rsidRPr="009A2045" w:rsidRDefault="007C0F2A" w:rsidP="009A2045">
      <w:pPr>
        <w:spacing w:after="0" w:line="240" w:lineRule="auto"/>
      </w:pPr>
    </w:p>
    <w:p w14:paraId="5A0476D3" w14:textId="33244760" w:rsidR="007C0F2A" w:rsidRPr="009A2045" w:rsidRDefault="007C0F2A" w:rsidP="009A2045">
      <w:pPr>
        <w:spacing w:after="0" w:line="240" w:lineRule="auto"/>
      </w:pPr>
      <w:r w:rsidRPr="009A2045">
        <w:t>The available incident data are evaluated for relevance based on EFED’s current incident guidance</w:t>
      </w:r>
      <w:r w:rsidRPr="009A2045">
        <w:rPr>
          <w:vertAlign w:val="superscript"/>
        </w:rPr>
        <w:footnoteReference w:id="26"/>
      </w:r>
      <w:r w:rsidRPr="009A2045">
        <w:t>.  This evaluation includes decisions on which incidents to exclude from further consideration (</w:t>
      </w:r>
      <w:r w:rsidRPr="009A2045">
        <w:rPr>
          <w:i/>
        </w:rPr>
        <w:t>e.g</w:t>
      </w:r>
      <w:r w:rsidRPr="009A2045">
        <w:t xml:space="preserve">., </w:t>
      </w:r>
      <w:r w:rsidRPr="009A2045">
        <w:lastRenderedPageBreak/>
        <w:t xml:space="preserve">because they were determined to be unrelated to a pesticide). A </w:t>
      </w:r>
      <w:r w:rsidR="00CC16EB" w:rsidRPr="009A2045">
        <w:t>WoE</w:t>
      </w:r>
      <w:r w:rsidRPr="009A2045">
        <w:t xml:space="preserve"> analysis of the combined knowledge obtained from all of the "included" incidents is conducted, along with a characterization of the certainty of the incident information in identifying exposure pathways that lead to risk to plants and/or animals in the field. Factors that are considered in this analysis include the following: certainty level of the incidents; legality determination of incidents; number of incidents; number of animals and/or plants affected in the incidents; evidence of exposure revealed through residues measured in tissue and environmental samples; the agreement of observed incidents with risks predicted by risk assessments; the agreement of observed incidents with risks predicted by laboratory and field studies; patterns of certain types of uses causing certain types of incidents; and evidence that incidents occurred from typical circumstances versus unusual circumstances.  Special emphasis is placed on reported incidents involving any federally-listed species.</w:t>
      </w:r>
    </w:p>
    <w:p w14:paraId="784F51EB" w14:textId="77777777" w:rsidR="007C0F2A" w:rsidRPr="009A2045" w:rsidRDefault="007C0F2A" w:rsidP="009A2045">
      <w:pPr>
        <w:spacing w:after="0" w:line="240" w:lineRule="auto"/>
      </w:pPr>
    </w:p>
    <w:p w14:paraId="7DF7D858" w14:textId="77777777" w:rsidR="00CC16EB" w:rsidRPr="009A2045" w:rsidRDefault="00CC16EB" w:rsidP="009A2045">
      <w:pPr>
        <w:pStyle w:val="Heading5"/>
      </w:pPr>
      <w:bookmarkStart w:id="83" w:name="_Toc432773341"/>
      <w:bookmarkStart w:id="84" w:name="_Toc436043054"/>
      <w:r w:rsidRPr="009A2045">
        <w:t>1.4.2.2.c.</w:t>
      </w:r>
      <w:r w:rsidRPr="009A2045">
        <w:tab/>
        <w:t>Effects to designated critical habitat</w:t>
      </w:r>
      <w:bookmarkEnd w:id="83"/>
      <w:bookmarkEnd w:id="84"/>
    </w:p>
    <w:p w14:paraId="1635408D" w14:textId="77777777" w:rsidR="007C0F2A" w:rsidRPr="009A2045" w:rsidRDefault="007C0F2A" w:rsidP="009A2045">
      <w:pPr>
        <w:spacing w:after="0" w:line="240" w:lineRule="auto"/>
      </w:pPr>
    </w:p>
    <w:p w14:paraId="13FA1F91" w14:textId="77777777" w:rsidR="007C0F2A" w:rsidRPr="009A2045" w:rsidRDefault="007C0F2A" w:rsidP="009A2045">
      <w:pPr>
        <w:spacing w:after="0" w:line="240" w:lineRule="auto"/>
      </w:pPr>
      <w:r w:rsidRPr="009A2045">
        <w:t xml:space="preserve">Actions are evaluated to determine whether the use of a pesticide would measurably affect the PCEs/PBFs of the assessed species’ designated critical habitats.  Both short-term and long-term effects to the PCEs are considered for a given critical habitat designation, and presence of the species is not a determining factor for the NLAA/LAA conclusion.  For example, relevant PCEs for aquatic species or aquatic-associated species are generally expected to address those related to water quality, but also include PCEs related to important life history stages where "water quality" may not be the main focus of the PCEs.  Examples include, but are not limited to spawning and rearing areas, migratory corridors with no physical or water quality impediments, cover (e.g., where a chemical might affect presence or complexity of overhanging/riparian vegetation), abundance of prey organisms, </w:t>
      </w:r>
      <w:r w:rsidRPr="009A2045">
        <w:rPr>
          <w:i/>
        </w:rPr>
        <w:t>etc</w:t>
      </w:r>
      <w:r w:rsidRPr="009A2045">
        <w:t>.  Critical habitat PCEs for terrestrial organisms may have considerations in terms of presence of contaminants or other chemicals, presence/structure of vegetation and other habitat features, prey base, pollinators, or other important physical and biological features.  Therefore, these PCEs are identified as assessment endpoints.</w:t>
      </w:r>
    </w:p>
    <w:p w14:paraId="7D99B5F2" w14:textId="77777777" w:rsidR="007C0F2A" w:rsidRPr="009A2045" w:rsidRDefault="007C0F2A" w:rsidP="009A2045">
      <w:pPr>
        <w:spacing w:after="0" w:line="240" w:lineRule="auto"/>
      </w:pPr>
    </w:p>
    <w:p w14:paraId="0CE5EE91" w14:textId="77777777" w:rsidR="007C0F2A" w:rsidRPr="009A2045" w:rsidRDefault="007C0F2A" w:rsidP="009A2045">
      <w:pPr>
        <w:spacing w:after="0" w:line="240" w:lineRule="auto"/>
      </w:pPr>
      <w:r w:rsidRPr="009A2045">
        <w:t>In many cases, EPA anticipates that the assessment endpoints used to evaluate the potential for direct and indirect effects to listed species are equivalent to those used to evaluate potential effects to PCEs for a given designated critical habitat.  Furthermore, if a potential for direct or indirect effects for a listed species is identified, then there is also a potential for effects to critical habitat (where critical habitat has been designated for that species).</w:t>
      </w:r>
    </w:p>
    <w:p w14:paraId="6BFDE8A5" w14:textId="77777777" w:rsidR="007C0F2A" w:rsidRPr="009A2045" w:rsidRDefault="007C0F2A" w:rsidP="009A2045">
      <w:pPr>
        <w:spacing w:after="0" w:line="240" w:lineRule="auto"/>
      </w:pPr>
    </w:p>
    <w:p w14:paraId="6D6A3860" w14:textId="77777777" w:rsidR="001D59AA" w:rsidRPr="009A2045" w:rsidRDefault="001D59AA" w:rsidP="009A2045">
      <w:pPr>
        <w:pStyle w:val="Heading5"/>
      </w:pPr>
      <w:bookmarkStart w:id="85" w:name="_Toc432773342"/>
      <w:bookmarkStart w:id="86" w:name="_Toc436043055"/>
      <w:r w:rsidRPr="009A2045">
        <w:t>1.4.2.2.d.</w:t>
      </w:r>
      <w:r w:rsidRPr="009A2045">
        <w:tab/>
        <w:t>Probabilistic approach for 15 bird species</w:t>
      </w:r>
      <w:bookmarkEnd w:id="85"/>
      <w:bookmarkEnd w:id="86"/>
    </w:p>
    <w:p w14:paraId="66374C15" w14:textId="77777777" w:rsidR="007C0F2A" w:rsidRPr="009A2045" w:rsidRDefault="007C0F2A" w:rsidP="009A2045">
      <w:pPr>
        <w:spacing w:after="0" w:line="240" w:lineRule="auto"/>
      </w:pPr>
    </w:p>
    <w:p w14:paraId="726EB444" w14:textId="115C6D0E" w:rsidR="007C0F2A" w:rsidRPr="009A2045" w:rsidRDefault="007C0F2A" w:rsidP="009A2045">
      <w:pPr>
        <w:spacing w:after="0" w:line="240" w:lineRule="auto"/>
      </w:pPr>
      <w:bookmarkStart w:id="87" w:name="h.3znysh7" w:colFirst="0" w:colLast="0"/>
      <w:bookmarkEnd w:id="87"/>
      <w:r w:rsidRPr="009A2045">
        <w:t xml:space="preserve">One of the recommendations of the NRC was to base conclusions of whether a use is likely or not likely to adversely affect individuals of listed species </w:t>
      </w:r>
      <w:r w:rsidR="004B6614" w:rsidRPr="009A2045">
        <w:t xml:space="preserve">based </w:t>
      </w:r>
      <w:r w:rsidRPr="009A2045">
        <w:t xml:space="preserve">on probabilistic methods. At this time, tools are not available to conduct probabilistic risk assessments for all listed species; however, more information than has traditionally been used in assessments can be integrated into the effects determinations. For instance, species sensitivity distributions can be used to represent species responses and variability in exposures over time. </w:t>
      </w:r>
    </w:p>
    <w:p w14:paraId="1C069176" w14:textId="77777777" w:rsidR="007C0F2A" w:rsidRPr="009A2045" w:rsidRDefault="007C0F2A" w:rsidP="009A2045">
      <w:pPr>
        <w:spacing w:after="0" w:line="240" w:lineRule="auto"/>
      </w:pPr>
    </w:p>
    <w:p w14:paraId="43071FFA" w14:textId="2044DB90" w:rsidR="007C0F2A" w:rsidRPr="009A2045" w:rsidRDefault="007C0F2A" w:rsidP="009A2045">
      <w:pPr>
        <w:spacing w:after="0" w:line="240" w:lineRule="auto"/>
      </w:pPr>
      <w:r w:rsidRPr="009A2045">
        <w:t xml:space="preserve">EPA’s existing refined tools for birds are used when possible to illustrate the capabilities of probabilistic models for providing lines of evidence in making effects determinations and for informing risk mitigation options that may be implemented on pesticide labels. These models include the Terrestrial Investigation Model (TIM v. 3.0) and the Markov Chain Nest Productivity Model (MCnest). A preliminary review of currently listed and proposed bird species indicate that these models may be appropriate for quantifying risks to 15 listed bird species (see </w:t>
      </w:r>
      <w:r w:rsidR="00D94E26" w:rsidRPr="009A2045">
        <w:rPr>
          <w:b/>
        </w:rPr>
        <w:t>ATTACHMENT 1-16</w:t>
      </w:r>
      <w:r w:rsidRPr="009A2045">
        <w:t>). The models may also be used to assess indirect effects to those listed avian species that rely upon birds as prey (</w:t>
      </w:r>
      <w:r w:rsidRPr="009A2045">
        <w:rPr>
          <w:i/>
        </w:rPr>
        <w:t>e.g</w:t>
      </w:r>
      <w:r w:rsidRPr="009A2045">
        <w:t>., raptors).</w:t>
      </w:r>
    </w:p>
    <w:p w14:paraId="036297EF" w14:textId="77777777" w:rsidR="007C0F2A" w:rsidRPr="009A2045" w:rsidRDefault="007C0F2A" w:rsidP="009A2045">
      <w:pPr>
        <w:spacing w:after="0" w:line="240" w:lineRule="auto"/>
      </w:pPr>
    </w:p>
    <w:p w14:paraId="786B64B1" w14:textId="77777777" w:rsidR="007C0F2A" w:rsidRPr="009A2045" w:rsidRDefault="007C0F2A" w:rsidP="009A2045">
      <w:pPr>
        <w:spacing w:after="0" w:line="240" w:lineRule="auto"/>
      </w:pPr>
      <w:r w:rsidRPr="009A2045">
        <w:t>TIM (v3.0) is a multimedia exposure/effects model that can be used to address generic or specific species avian mortality levels from acute pesticide exposure over a user-defined exposure window.  This time frame corresponds to one growing season of the treated crop or a single sub-annual pesticide application window. The spatial scale considered by the model is at the field level. Specific field dimensions are undefined. It is assumed that the field and surrounding area meet habitat and dietary requirements for the modeled species. During the simulation, birds use the treated field and edge habitat to meet their requirements for food and water. TIM also accounts for exposure via dermal and inhalation routes for birds on the field or on adjacent habitat that receives spray drift. It is expected that the relative importance of these routes of exposure will vary based on the properties of the pesticide, its use, as well as the characteristics of the simulated bird species.</w:t>
      </w:r>
    </w:p>
    <w:p w14:paraId="4B02D555" w14:textId="77777777" w:rsidR="007C0F2A" w:rsidRPr="009A2045" w:rsidRDefault="007C0F2A" w:rsidP="009A2045">
      <w:pPr>
        <w:spacing w:after="0" w:line="240" w:lineRule="auto"/>
      </w:pPr>
    </w:p>
    <w:p w14:paraId="46BF019C" w14:textId="6AE49113" w:rsidR="007C0F2A" w:rsidRPr="009A2045" w:rsidRDefault="007C0F2A" w:rsidP="009A2045">
      <w:pPr>
        <w:spacing w:after="0" w:line="240" w:lineRule="auto"/>
      </w:pPr>
      <w:r w:rsidRPr="009A2045">
        <w:t>The Markov Chain Nest Productivity Model (or MCnest) integrates existing toxicity information</w:t>
      </w:r>
      <w:r w:rsidR="006E069D" w:rsidRPr="009A2045">
        <w:t>,</w:t>
      </w:r>
      <w:r w:rsidRPr="009A2045">
        <w:t xml:space="preserve"> from three standardized avian toxicity tests</w:t>
      </w:r>
      <w:r w:rsidR="006E069D" w:rsidRPr="009A2045">
        <w:t>,</w:t>
      </w:r>
      <w:r w:rsidRPr="009A2045">
        <w:t xml:space="preserve"> with information on species life history and the timing of pesticide applications relative to the timing of avian breeding seasons, to quantitatively estimate the impact of pesticide-use scenarios on the annual reproductive success of bird populations. MCnest provides risk assessors with a tool to go beyond the current screening-level approaches for assessing reproductive effects by estimating the proportional change in reproductive success. MCnest translates toxicity information into the currency needed for conducting a population-level assessment of pesticide risks. Details on MCnest are available online at: </w:t>
      </w:r>
      <w:hyperlink r:id="rId29">
        <w:r w:rsidRPr="009A2045">
          <w:rPr>
            <w:color w:val="0563C1"/>
            <w:u w:val="single"/>
          </w:rPr>
          <w:t>http://www.epa.gov/med/Prods_Pubs/mcnest.htm</w:t>
        </w:r>
      </w:hyperlink>
      <w:hyperlink r:id="rId30"/>
      <w:hyperlink r:id="rId31"/>
    </w:p>
    <w:p w14:paraId="28AD8E72" w14:textId="77777777" w:rsidR="007C0F2A" w:rsidRPr="009A2045" w:rsidRDefault="007C0F2A" w:rsidP="009A2045">
      <w:pPr>
        <w:spacing w:after="0" w:line="240" w:lineRule="auto"/>
      </w:pPr>
    </w:p>
    <w:p w14:paraId="253E7DE9" w14:textId="4E4638FB" w:rsidR="007C0F2A" w:rsidRPr="009A2045" w:rsidRDefault="007C0F2A" w:rsidP="009A2045">
      <w:pPr>
        <w:pStyle w:val="Heading5"/>
      </w:pPr>
      <w:bookmarkStart w:id="88" w:name="_Toc436043056"/>
      <w:r w:rsidRPr="009A2045">
        <w:t>1.</w:t>
      </w:r>
      <w:r w:rsidR="00EC7ECD" w:rsidRPr="009A2045">
        <w:t>4</w:t>
      </w:r>
      <w:r w:rsidRPr="009A2045">
        <w:t>.2.2.</w:t>
      </w:r>
      <w:r w:rsidR="001D59AA" w:rsidRPr="009A2045">
        <w:t>e</w:t>
      </w:r>
      <w:r w:rsidRPr="009A2045">
        <w:t>.</w:t>
      </w:r>
      <w:r w:rsidRPr="009A2045">
        <w:tab/>
        <w:t xml:space="preserve">Mixture </w:t>
      </w:r>
      <w:r w:rsidR="0054061D" w:rsidRPr="009A2045">
        <w:t>A</w:t>
      </w:r>
      <w:r w:rsidRPr="009A2045">
        <w:t>nalysis</w:t>
      </w:r>
      <w:bookmarkEnd w:id="88"/>
      <w:r w:rsidRPr="009A2045">
        <w:t xml:space="preserve"> </w:t>
      </w:r>
    </w:p>
    <w:p w14:paraId="69712CF5" w14:textId="77777777" w:rsidR="007C0F2A" w:rsidRPr="009A2045" w:rsidRDefault="007C0F2A" w:rsidP="009A2045">
      <w:pPr>
        <w:keepNext/>
        <w:keepLines/>
        <w:spacing w:after="0" w:line="240" w:lineRule="auto"/>
      </w:pPr>
    </w:p>
    <w:p w14:paraId="35D6A0A0" w14:textId="4BBB6BE9" w:rsidR="007C0F2A" w:rsidRPr="009A2045" w:rsidRDefault="007C0F2A" w:rsidP="009A2045">
      <w:pPr>
        <w:spacing w:after="0" w:line="240" w:lineRule="auto"/>
        <w:rPr>
          <w:rFonts w:asciiTheme="minorHAnsi" w:hAnsiTheme="minorHAnsi"/>
        </w:rPr>
      </w:pPr>
      <w:r w:rsidRPr="009A2045">
        <w:rPr>
          <w:rFonts w:asciiTheme="minorHAnsi" w:hAnsiTheme="minorHAnsi"/>
        </w:rPr>
        <w:t xml:space="preserve">Environmental mixtures containing </w:t>
      </w:r>
      <w:r w:rsidR="009F0204" w:rsidRPr="009A2045">
        <w:rPr>
          <w:rFonts w:asciiTheme="minorHAnsi" w:hAnsiTheme="minorHAnsi"/>
        </w:rPr>
        <w:t>malathion</w:t>
      </w:r>
      <w:r w:rsidRPr="009A2045">
        <w:rPr>
          <w:rFonts w:asciiTheme="minorHAnsi" w:hAnsiTheme="minorHAnsi"/>
        </w:rPr>
        <w:t xml:space="preserve"> have been identified as a stressor of the action for this ESA Section 7 consultation. Environmental mixtures result from the offsite transport of </w:t>
      </w:r>
      <w:r w:rsidR="009F0204" w:rsidRPr="009A2045">
        <w:rPr>
          <w:rFonts w:asciiTheme="minorHAnsi" w:hAnsiTheme="minorHAnsi"/>
        </w:rPr>
        <w:t>malathion</w:t>
      </w:r>
      <w:r w:rsidRPr="009A2045">
        <w:rPr>
          <w:rFonts w:asciiTheme="minorHAnsi" w:hAnsiTheme="minorHAnsi"/>
        </w:rPr>
        <w:t xml:space="preserve"> and other chemical constituents (</w:t>
      </w:r>
      <w:r w:rsidRPr="009A2045">
        <w:rPr>
          <w:rFonts w:asciiTheme="minorHAnsi" w:hAnsiTheme="minorHAnsi"/>
          <w:i/>
        </w:rPr>
        <w:t>e.g.</w:t>
      </w:r>
      <w:r w:rsidRPr="009A2045">
        <w:rPr>
          <w:rFonts w:asciiTheme="minorHAnsi" w:hAnsiTheme="minorHAnsi"/>
        </w:rPr>
        <w:t xml:space="preserve">, other active ingredients, inerts, adjuvants, etc.), through the use of single or co-formulated products or tank mixes, at individual or multiple locations. Species and habitats exposed to these types of mixtures may be at greater risk of adverse effects than exposure to </w:t>
      </w:r>
      <w:r w:rsidR="009F0204" w:rsidRPr="009A2045">
        <w:rPr>
          <w:rFonts w:asciiTheme="minorHAnsi" w:hAnsiTheme="minorHAnsi"/>
        </w:rPr>
        <w:t>malathion</w:t>
      </w:r>
      <w:r w:rsidRPr="009A2045">
        <w:rPr>
          <w:rFonts w:asciiTheme="minorHAnsi" w:hAnsiTheme="minorHAnsi"/>
        </w:rPr>
        <w:t xml:space="preserve"> alone; as a result the potential effects of exposure to mixtures is assessed qualitatively in Step 2.  While conceptually responses to environmental mixtures can be predicted, it is not feasible to estimate exposure concentrations and predicted responses for all possible mixture combinations.  In most cases, the concentrations of potential mixture constituents are unknown.  Furthermore, it is not practical to test the toxicity of every possible chemical combination that may be encountered by listed species in the environment.  Despite the complexity of assessing mixture risk, the scientific literature on mixture toxicity is considered to determine the risk of mixtures in order to inform a qualitative line of evidence.</w:t>
      </w:r>
    </w:p>
    <w:p w14:paraId="05DCEA01" w14:textId="77777777" w:rsidR="007C0F2A" w:rsidRPr="009A2045" w:rsidRDefault="007C0F2A" w:rsidP="009A2045">
      <w:pPr>
        <w:spacing w:after="0" w:line="240" w:lineRule="auto"/>
        <w:rPr>
          <w:rFonts w:asciiTheme="minorHAnsi" w:hAnsiTheme="minorHAnsi"/>
        </w:rPr>
      </w:pPr>
    </w:p>
    <w:p w14:paraId="0709CD9B" w14:textId="5D9E84AE" w:rsidR="007C0F2A" w:rsidRPr="009A2045" w:rsidRDefault="007C0F2A" w:rsidP="009A2045">
      <w:pPr>
        <w:spacing w:after="0" w:line="240" w:lineRule="auto"/>
        <w:rPr>
          <w:rFonts w:asciiTheme="minorHAnsi" w:hAnsiTheme="minorHAnsi"/>
        </w:rPr>
      </w:pPr>
      <w:r w:rsidRPr="009A2045">
        <w:rPr>
          <w:rFonts w:asciiTheme="minorHAnsi" w:hAnsiTheme="minorHAnsi"/>
          <w:u w:val="single"/>
        </w:rPr>
        <w:lastRenderedPageBreak/>
        <w:t>Step 1</w:t>
      </w:r>
      <w:r w:rsidRPr="009A2045">
        <w:rPr>
          <w:rFonts w:asciiTheme="minorHAnsi" w:hAnsiTheme="minorHAnsi"/>
        </w:rPr>
        <w:t xml:space="preserve"> – A mixtures analysis is not conducted as part of the Step 1 “may affect” determination.  The threshold for the “may affect” determination is co-occurrence of </w:t>
      </w:r>
      <w:r w:rsidR="009F0204" w:rsidRPr="009A2045">
        <w:rPr>
          <w:rFonts w:asciiTheme="minorHAnsi" w:hAnsiTheme="minorHAnsi"/>
        </w:rPr>
        <w:t>malathion</w:t>
      </w:r>
      <w:r w:rsidRPr="009A2045">
        <w:rPr>
          <w:rFonts w:asciiTheme="minorHAnsi" w:hAnsiTheme="minorHAnsi"/>
        </w:rPr>
        <w:t>’</w:t>
      </w:r>
      <w:r w:rsidR="006E069D" w:rsidRPr="009A2045">
        <w:rPr>
          <w:rFonts w:asciiTheme="minorHAnsi" w:hAnsiTheme="minorHAnsi"/>
        </w:rPr>
        <w:t>s</w:t>
      </w:r>
      <w:r w:rsidRPr="009A2045">
        <w:rPr>
          <w:rFonts w:asciiTheme="minorHAnsi" w:hAnsiTheme="minorHAnsi"/>
        </w:rPr>
        <w:t xml:space="preserve"> labeled use sites and modeled drift and runoff with a species’ range.</w:t>
      </w:r>
    </w:p>
    <w:p w14:paraId="1E21715A" w14:textId="77777777" w:rsidR="007C0F2A" w:rsidRPr="009A2045" w:rsidRDefault="007C0F2A" w:rsidP="009A2045">
      <w:pPr>
        <w:spacing w:after="0" w:line="240" w:lineRule="auto"/>
        <w:rPr>
          <w:rFonts w:asciiTheme="minorHAnsi" w:hAnsiTheme="minorHAnsi"/>
        </w:rPr>
      </w:pPr>
    </w:p>
    <w:p w14:paraId="04064C76" w14:textId="77777777" w:rsidR="007C0F2A" w:rsidRPr="009A2045" w:rsidRDefault="007C0F2A" w:rsidP="009A2045">
      <w:pPr>
        <w:spacing w:after="0" w:line="240" w:lineRule="auto"/>
        <w:rPr>
          <w:rFonts w:asciiTheme="minorHAnsi" w:hAnsiTheme="minorHAnsi"/>
        </w:rPr>
      </w:pPr>
      <w:r w:rsidRPr="009A2045">
        <w:rPr>
          <w:rFonts w:asciiTheme="minorHAnsi" w:hAnsiTheme="minorHAnsi"/>
          <w:u w:val="single"/>
        </w:rPr>
        <w:t>Step 2</w:t>
      </w:r>
      <w:r w:rsidRPr="009A2045">
        <w:rPr>
          <w:rFonts w:asciiTheme="minorHAnsi" w:hAnsiTheme="minorHAnsi"/>
        </w:rPr>
        <w:t xml:space="preserve"> – Available product labels, usage information, monitoring data, and toxicity information are used to qualitatively assess the mixtures line of evidence.</w:t>
      </w:r>
    </w:p>
    <w:p w14:paraId="00AFF847" w14:textId="77777777" w:rsidR="007C0F2A" w:rsidRPr="009A2045" w:rsidRDefault="007C0F2A" w:rsidP="009A2045">
      <w:pPr>
        <w:spacing w:after="0" w:line="240" w:lineRule="auto"/>
        <w:rPr>
          <w:rFonts w:asciiTheme="minorHAnsi" w:hAnsiTheme="minorHAnsi"/>
        </w:rPr>
      </w:pPr>
    </w:p>
    <w:p w14:paraId="79D4721D" w14:textId="4F48F5C1" w:rsidR="007C0F2A" w:rsidRPr="009A2045" w:rsidRDefault="007C0F2A" w:rsidP="009A2045">
      <w:pPr>
        <w:widowControl w:val="0"/>
        <w:autoSpaceDE w:val="0"/>
        <w:autoSpaceDN w:val="0"/>
        <w:adjustRightInd w:val="0"/>
        <w:spacing w:after="240" w:line="240" w:lineRule="auto"/>
        <w:rPr>
          <w:rFonts w:asciiTheme="minorHAnsi" w:eastAsiaTheme="minorEastAsia" w:hAnsiTheme="minorHAnsi" w:cs="Garamond"/>
          <w:color w:val="auto"/>
        </w:rPr>
      </w:pPr>
      <w:r w:rsidRPr="009A2045">
        <w:rPr>
          <w:rFonts w:asciiTheme="minorHAnsi" w:eastAsiaTheme="minorEastAsia" w:hAnsiTheme="minorHAnsi" w:cs="Garamond"/>
          <w:color w:val="auto"/>
        </w:rPr>
        <w:t xml:space="preserve">Additive toxicity of </w:t>
      </w:r>
      <w:r w:rsidR="009F0204" w:rsidRPr="009A2045">
        <w:rPr>
          <w:rFonts w:asciiTheme="minorHAnsi" w:eastAsiaTheme="minorEastAsia" w:hAnsiTheme="minorHAnsi" w:cs="Garamond"/>
          <w:color w:val="auto"/>
        </w:rPr>
        <w:t>malathion</w:t>
      </w:r>
      <w:r w:rsidRPr="009A2045">
        <w:rPr>
          <w:rFonts w:asciiTheme="minorHAnsi" w:eastAsiaTheme="minorEastAsia" w:hAnsiTheme="minorHAnsi" w:cs="Garamond"/>
          <w:color w:val="auto"/>
        </w:rPr>
        <w:t xml:space="preserve"> with other chemicals is the default assumption based on inter-agency </w:t>
      </w:r>
      <w:r w:rsidR="00D94E26" w:rsidRPr="009A2045">
        <w:rPr>
          <w:rFonts w:asciiTheme="minorHAnsi" w:eastAsiaTheme="minorEastAsia" w:hAnsiTheme="minorHAnsi" w:cs="Garamond"/>
          <w:color w:val="auto"/>
        </w:rPr>
        <w:t>discussions</w:t>
      </w:r>
      <w:r w:rsidRPr="009A2045">
        <w:rPr>
          <w:rFonts w:asciiTheme="minorHAnsi" w:eastAsiaTheme="minorEastAsia" w:hAnsiTheme="minorHAnsi" w:cs="Garamond"/>
          <w:color w:val="auto"/>
        </w:rPr>
        <w:t xml:space="preserve"> and the NAS NRC report recommendations.  Additive mixture toxicity can be evaluated using either “concentration-addition” or “response-addition” assumptions using single active ingredient toxicity data and exposure estimates. In the case of compounds with a shared mechanism of action (</w:t>
      </w:r>
      <w:r w:rsidRPr="009A2045">
        <w:rPr>
          <w:rFonts w:asciiTheme="minorHAnsi" w:eastAsiaTheme="minorEastAsia" w:hAnsiTheme="minorHAnsi" w:cs="Garamond"/>
          <w:i/>
          <w:color w:val="auto"/>
        </w:rPr>
        <w:t>e.g.,</w:t>
      </w:r>
      <w:r w:rsidRPr="009A2045">
        <w:rPr>
          <w:rFonts w:asciiTheme="minorHAnsi" w:eastAsiaTheme="minorEastAsia" w:hAnsiTheme="minorHAnsi" w:cs="Garamond"/>
          <w:color w:val="auto"/>
        </w:rPr>
        <w:t xml:space="preserve"> organophosphates such as </w:t>
      </w:r>
      <w:r w:rsidR="009F0204" w:rsidRPr="009A2045">
        <w:rPr>
          <w:rFonts w:asciiTheme="minorHAnsi" w:eastAsiaTheme="minorEastAsia" w:hAnsiTheme="minorHAnsi" w:cs="Garamond"/>
          <w:color w:val="auto"/>
        </w:rPr>
        <w:t>malathion</w:t>
      </w:r>
      <w:r w:rsidRPr="009A2045">
        <w:rPr>
          <w:rFonts w:asciiTheme="minorHAnsi" w:eastAsiaTheme="minorEastAsia" w:hAnsiTheme="minorHAnsi" w:cs="Garamond"/>
          <w:color w:val="auto"/>
        </w:rPr>
        <w:t>), concentration-addition is assumed unless data indicate that antagonism or synergism is more likely with specific mixtures and species combinations. This approach is consistent with the best available science (</w:t>
      </w:r>
      <w:r w:rsidRPr="009A2045">
        <w:rPr>
          <w:rFonts w:asciiTheme="minorHAnsi" w:eastAsiaTheme="minorEastAsia" w:hAnsiTheme="minorHAnsi" w:cs="Garamond"/>
          <w:i/>
          <w:color w:val="auto"/>
        </w:rPr>
        <w:t>e.g.</w:t>
      </w:r>
      <w:r w:rsidRPr="009A2045">
        <w:rPr>
          <w:rFonts w:asciiTheme="minorHAnsi" w:eastAsiaTheme="minorEastAsia" w:hAnsiTheme="minorHAnsi" w:cs="Garamond"/>
          <w:color w:val="auto"/>
        </w:rPr>
        <w:t xml:space="preserve">, Belden </w:t>
      </w:r>
      <w:r w:rsidRPr="009A2045">
        <w:rPr>
          <w:rFonts w:asciiTheme="minorHAnsi" w:eastAsiaTheme="minorEastAsia" w:hAnsiTheme="minorHAnsi" w:cs="Garamond"/>
          <w:i/>
          <w:color w:val="auto"/>
        </w:rPr>
        <w:t>et al</w:t>
      </w:r>
      <w:r w:rsidRPr="009A2045">
        <w:rPr>
          <w:rFonts w:asciiTheme="minorHAnsi" w:eastAsiaTheme="minorEastAsia" w:hAnsiTheme="minorHAnsi" w:cs="Garamond"/>
          <w:color w:val="auto"/>
        </w:rPr>
        <w:t>., 2007; Backhaus and Faust, 2012; Cedergreen, 2014) and the NRC recommendations. Caution is exercised in using the concentration-addition assumption as a default approach when mechanistic data or concentration-response toxicity data are unavailable. Response-addition is the appropriate additive model for compounds that have dissimilar mechanisms of action unless available data indicate that antagonism or synergism is more likely with specific mixture and species combinations. The NRC report states that “mixture components will contribute to the response only when present in the environment at concentrations that elicit relevant response... [and] such components do not need to be considered when present at concentrations below their toxic thresholds.” (NRC, 2013)</w:t>
      </w:r>
    </w:p>
    <w:p w14:paraId="662AB6D3" w14:textId="77777777" w:rsidR="007C0F2A" w:rsidRPr="009A2045" w:rsidRDefault="007C0F2A" w:rsidP="009A2045">
      <w:pPr>
        <w:spacing w:after="0" w:line="240" w:lineRule="auto"/>
        <w:rPr>
          <w:rFonts w:asciiTheme="minorHAnsi" w:hAnsiTheme="minorHAnsi"/>
        </w:rPr>
      </w:pPr>
      <w:r w:rsidRPr="009A2045">
        <w:rPr>
          <w:rFonts w:asciiTheme="minorHAnsi" w:hAnsiTheme="minorHAnsi"/>
        </w:rPr>
        <w:t>The following information is used to evaluate potential exposure to environmental mixtures:</w:t>
      </w:r>
    </w:p>
    <w:p w14:paraId="0FB49E70" w14:textId="77777777" w:rsidR="007C0F2A" w:rsidRPr="009A2045" w:rsidRDefault="007C0F2A" w:rsidP="009A2045">
      <w:pPr>
        <w:spacing w:after="0" w:line="240" w:lineRule="auto"/>
        <w:rPr>
          <w:rFonts w:asciiTheme="minorHAnsi" w:eastAsiaTheme="minorEastAsia" w:hAnsiTheme="minorHAnsi" w:cs="Times"/>
          <w:color w:val="auto"/>
        </w:rPr>
      </w:pPr>
    </w:p>
    <w:p w14:paraId="1F2EE3BD" w14:textId="77777777" w:rsidR="007C0F2A" w:rsidRPr="009A2045" w:rsidRDefault="007C0F2A" w:rsidP="009A2045">
      <w:pPr>
        <w:spacing w:after="0" w:line="240" w:lineRule="auto"/>
        <w:rPr>
          <w:rFonts w:asciiTheme="minorHAnsi" w:hAnsiTheme="minorHAnsi"/>
        </w:rPr>
      </w:pPr>
      <w:r w:rsidRPr="009A2045">
        <w:rPr>
          <w:rFonts w:asciiTheme="minorHAnsi" w:hAnsiTheme="minorHAnsi"/>
          <w:b/>
          <w:u w:val="single"/>
        </w:rPr>
        <w:t>Environmental mixture monitoring data.</w:t>
      </w:r>
      <w:r w:rsidRPr="009A2045">
        <w:rPr>
          <w:rFonts w:asciiTheme="minorHAnsi" w:hAnsiTheme="minorHAnsi"/>
        </w:rPr>
        <w:t xml:space="preserve">  Available monitoring data (</w:t>
      </w:r>
      <w:r w:rsidRPr="009A2045">
        <w:rPr>
          <w:rFonts w:asciiTheme="minorHAnsi" w:hAnsiTheme="minorHAnsi"/>
          <w:i/>
        </w:rPr>
        <w:t>e.g</w:t>
      </w:r>
      <w:r w:rsidRPr="009A2045">
        <w:rPr>
          <w:rFonts w:asciiTheme="minorHAnsi" w:hAnsiTheme="minorHAnsi"/>
        </w:rPr>
        <w:t>., NAWQA) are used to identify active ingredients that commonly co-occur in the environment.  Response to environmental mixtures is qualitatively evaluated assuming additive toxicity (response or concentration addition) unless available data indicate that antagonism or synergism is more likely with specific mixture and species combinations.</w:t>
      </w:r>
    </w:p>
    <w:p w14:paraId="64E39436" w14:textId="77777777" w:rsidR="007C0F2A" w:rsidRPr="009A2045" w:rsidRDefault="007C0F2A" w:rsidP="009A2045">
      <w:pPr>
        <w:spacing w:after="0" w:line="240" w:lineRule="auto"/>
        <w:rPr>
          <w:rFonts w:asciiTheme="minorHAnsi" w:hAnsiTheme="minorHAnsi"/>
        </w:rPr>
      </w:pPr>
    </w:p>
    <w:p w14:paraId="09B9D18F" w14:textId="77777777" w:rsidR="007C0F2A" w:rsidRPr="009A2045" w:rsidRDefault="007C0F2A" w:rsidP="009A2045">
      <w:pPr>
        <w:widowControl w:val="0"/>
        <w:autoSpaceDE w:val="0"/>
        <w:autoSpaceDN w:val="0"/>
        <w:adjustRightInd w:val="0"/>
        <w:spacing w:after="240" w:line="240" w:lineRule="auto"/>
        <w:rPr>
          <w:rFonts w:asciiTheme="minorHAnsi" w:hAnsiTheme="minorHAnsi"/>
        </w:rPr>
      </w:pPr>
      <w:r w:rsidRPr="009A2045">
        <w:rPr>
          <w:rFonts w:asciiTheme="minorHAnsi" w:hAnsiTheme="minorHAnsi"/>
          <w:b/>
          <w:u w:val="single"/>
        </w:rPr>
        <w:t>Formulated products.</w:t>
      </w:r>
      <w:r w:rsidRPr="009A2045">
        <w:rPr>
          <w:rFonts w:asciiTheme="minorHAnsi" w:hAnsiTheme="minorHAnsi"/>
        </w:rPr>
        <w:t xml:space="preserve">  Environmental mixtures occurring from the application of </w:t>
      </w:r>
      <w:r w:rsidRPr="009A2045">
        <w:rPr>
          <w:rFonts w:asciiTheme="minorHAnsi" w:eastAsiaTheme="minorEastAsia" w:hAnsiTheme="minorHAnsi" w:cs="Garamond"/>
          <w:color w:val="auto"/>
        </w:rPr>
        <w:t xml:space="preserve">co-formulated products are qualitatively evaluated. The description of combined toxicity assumes additive toxicity (response or concentration addition) unless available data indicate that antagonism or synergism is more likely with specific mixture and species combinations. </w:t>
      </w:r>
      <w:r w:rsidRPr="009A2045">
        <w:rPr>
          <w:rFonts w:asciiTheme="minorHAnsi" w:hAnsiTheme="minorHAnsi"/>
        </w:rPr>
        <w:t>The toxicity information considered include studies of responses to mixtures as well as the sensitivity of different species to the single active ingredients included in formulation mixtures.</w:t>
      </w:r>
    </w:p>
    <w:p w14:paraId="38A90AAE" w14:textId="77777777" w:rsidR="007C0F2A" w:rsidRPr="009A2045" w:rsidRDefault="007C0F2A" w:rsidP="009A2045">
      <w:pPr>
        <w:spacing w:after="0" w:line="240" w:lineRule="auto"/>
        <w:rPr>
          <w:rFonts w:asciiTheme="minorHAnsi" w:hAnsiTheme="minorHAnsi"/>
        </w:rPr>
      </w:pPr>
      <w:r w:rsidRPr="009A2045">
        <w:rPr>
          <w:rFonts w:asciiTheme="minorHAnsi" w:hAnsiTheme="minorHAnsi"/>
        </w:rPr>
        <w:t>For most multi-a.i. products registered in the U.S., acute oral mammalian toxicity data and terrestrial plant toxicity data are available on the formulated products. Because the acute mammalian toxicity studies are available for single active ingredients and multi-a.i. products and are conducted using consistent study designs, these data can be used to explore mixture toxicity in this taxon (</w:t>
      </w:r>
      <w:r w:rsidRPr="009A2045">
        <w:rPr>
          <w:rFonts w:asciiTheme="minorHAnsi" w:hAnsiTheme="minorHAnsi"/>
          <w:i/>
        </w:rPr>
        <w:t>i.e.</w:t>
      </w:r>
      <w:r w:rsidRPr="009A2045">
        <w:rPr>
          <w:rFonts w:asciiTheme="minorHAnsi" w:hAnsiTheme="minorHAnsi"/>
        </w:rPr>
        <w:t>, mammals). This analysis of the multi-a.i. products, which is in addition to the consideration of the mixture toxicity data available in the open literature, involves a comparison of the acute oral endpoints (</w:t>
      </w:r>
      <w:r w:rsidRPr="009A2045">
        <w:rPr>
          <w:rFonts w:asciiTheme="minorHAnsi" w:hAnsiTheme="minorHAnsi"/>
          <w:i/>
        </w:rPr>
        <w:t>i.e</w:t>
      </w:r>
      <w:r w:rsidRPr="009A2045">
        <w:rPr>
          <w:rFonts w:asciiTheme="minorHAnsi" w:hAnsiTheme="minorHAnsi"/>
        </w:rPr>
        <w:t>., LD</w:t>
      </w:r>
      <w:r w:rsidRPr="009A2045">
        <w:rPr>
          <w:rFonts w:asciiTheme="minorHAnsi" w:hAnsiTheme="minorHAnsi"/>
          <w:vertAlign w:val="subscript"/>
        </w:rPr>
        <w:t>50</w:t>
      </w:r>
      <w:r w:rsidRPr="009A2045">
        <w:rPr>
          <w:rFonts w:asciiTheme="minorHAnsi" w:hAnsiTheme="minorHAnsi"/>
        </w:rPr>
        <w:t xml:space="preserve"> values) for the technical grade product and the formulated products.  If there are multiple </w:t>
      </w:r>
      <w:r w:rsidRPr="009A2045">
        <w:rPr>
          <w:rFonts w:asciiTheme="minorHAnsi" w:hAnsiTheme="minorHAnsi"/>
        </w:rPr>
        <w:lastRenderedPageBreak/>
        <w:t>studies with the technical formulation for which confidence intervals (CI) are provided for the LD</w:t>
      </w:r>
      <w:r w:rsidRPr="009A2045">
        <w:rPr>
          <w:rFonts w:asciiTheme="minorHAnsi" w:hAnsiTheme="minorHAnsi"/>
          <w:vertAlign w:val="subscript"/>
        </w:rPr>
        <w:t>50</w:t>
      </w:r>
      <w:r w:rsidRPr="009A2045">
        <w:rPr>
          <w:rFonts w:asciiTheme="minorHAnsi" w:hAnsiTheme="minorHAnsi"/>
        </w:rPr>
        <w:t>, then the CI with the smallest lower CI for the LD</w:t>
      </w:r>
      <w:r w:rsidRPr="009A2045">
        <w:rPr>
          <w:rFonts w:asciiTheme="minorHAnsi" w:hAnsiTheme="minorHAnsi"/>
          <w:vertAlign w:val="subscript"/>
        </w:rPr>
        <w:t xml:space="preserve">50 </w:t>
      </w:r>
      <w:r w:rsidRPr="009A2045">
        <w:rPr>
          <w:rFonts w:asciiTheme="minorHAnsi" w:hAnsiTheme="minorHAnsi"/>
        </w:rPr>
        <w:t>(</w:t>
      </w:r>
      <w:r w:rsidRPr="009A2045">
        <w:rPr>
          <w:rFonts w:asciiTheme="minorHAnsi" w:hAnsiTheme="minorHAnsi"/>
          <w:i/>
        </w:rPr>
        <w:t>i.e.</w:t>
      </w:r>
      <w:r w:rsidRPr="009A2045">
        <w:rPr>
          <w:rFonts w:asciiTheme="minorHAnsi" w:hAnsiTheme="minorHAnsi"/>
        </w:rPr>
        <w:t>, most toxic LD</w:t>
      </w:r>
      <w:r w:rsidRPr="009A2045">
        <w:rPr>
          <w:rFonts w:asciiTheme="minorHAnsi" w:hAnsiTheme="minorHAnsi"/>
          <w:vertAlign w:val="subscript"/>
        </w:rPr>
        <w:t>50</w:t>
      </w:r>
      <w:r w:rsidRPr="009A2045">
        <w:rPr>
          <w:rFonts w:asciiTheme="minorHAnsi" w:hAnsiTheme="minorHAnsi"/>
        </w:rPr>
        <w:t>,) after correcting for %a.i., is compared to the LD</w:t>
      </w:r>
      <w:r w:rsidRPr="009A2045">
        <w:rPr>
          <w:rFonts w:asciiTheme="minorHAnsi" w:hAnsiTheme="minorHAnsi"/>
          <w:vertAlign w:val="subscript"/>
        </w:rPr>
        <w:t xml:space="preserve">50 </w:t>
      </w:r>
      <w:r w:rsidRPr="009A2045">
        <w:rPr>
          <w:rFonts w:asciiTheme="minorHAnsi" w:hAnsiTheme="minorHAnsi"/>
        </w:rPr>
        <w:t>upper CI for each formulation, after correcting for %a.i.  If these confidence intervals do not overlap, then the formulated mixture is considered to be more toxic.  Based on this approach, one of three conclusions for the formulations can be reached:</w:t>
      </w:r>
    </w:p>
    <w:p w14:paraId="480B83BC" w14:textId="77777777" w:rsidR="007C0F2A" w:rsidRPr="009A2045" w:rsidRDefault="007C0F2A" w:rsidP="009A2045">
      <w:pPr>
        <w:spacing w:after="0" w:line="240" w:lineRule="auto"/>
        <w:rPr>
          <w:rFonts w:asciiTheme="minorHAnsi" w:hAnsiTheme="minorHAnsi"/>
        </w:rPr>
      </w:pPr>
    </w:p>
    <w:p w14:paraId="7CC9AAEB" w14:textId="77777777" w:rsidR="007C0F2A" w:rsidRPr="009A2045" w:rsidRDefault="007C0F2A" w:rsidP="009A2045">
      <w:pPr>
        <w:spacing w:after="0" w:line="240" w:lineRule="auto"/>
        <w:ind w:firstLine="720"/>
        <w:rPr>
          <w:rFonts w:asciiTheme="minorHAnsi" w:hAnsiTheme="minorHAnsi"/>
        </w:rPr>
      </w:pPr>
      <w:r w:rsidRPr="009A2045">
        <w:rPr>
          <w:rFonts w:asciiTheme="minorHAnsi" w:hAnsiTheme="minorHAnsi"/>
        </w:rPr>
        <w:t>•   Formulation is no more toxic than single active ingredient</w:t>
      </w:r>
    </w:p>
    <w:p w14:paraId="5FAF0197" w14:textId="77777777" w:rsidR="007C0F2A" w:rsidRPr="009A2045" w:rsidRDefault="007C0F2A" w:rsidP="009A2045">
      <w:pPr>
        <w:spacing w:after="0" w:line="240" w:lineRule="auto"/>
        <w:ind w:firstLine="720"/>
        <w:rPr>
          <w:rFonts w:asciiTheme="minorHAnsi" w:hAnsiTheme="minorHAnsi"/>
        </w:rPr>
      </w:pPr>
      <w:r w:rsidRPr="009A2045">
        <w:rPr>
          <w:rFonts w:asciiTheme="minorHAnsi" w:hAnsiTheme="minorHAnsi"/>
        </w:rPr>
        <w:t>•   Formulation is more toxic than single active ingredient</w:t>
      </w:r>
    </w:p>
    <w:p w14:paraId="57DCE063" w14:textId="77777777" w:rsidR="007C0F2A" w:rsidRPr="009A2045" w:rsidRDefault="007C0F2A" w:rsidP="009A2045">
      <w:pPr>
        <w:spacing w:after="0" w:line="240" w:lineRule="auto"/>
        <w:ind w:firstLine="720"/>
        <w:rPr>
          <w:rFonts w:asciiTheme="minorHAnsi" w:hAnsiTheme="minorHAnsi"/>
        </w:rPr>
      </w:pPr>
      <w:r w:rsidRPr="009A2045">
        <w:rPr>
          <w:rFonts w:asciiTheme="minorHAnsi" w:hAnsiTheme="minorHAnsi"/>
        </w:rPr>
        <w:t>•   There is insufficient data to establish difference in toxicity</w:t>
      </w:r>
    </w:p>
    <w:p w14:paraId="4F990A55" w14:textId="77777777" w:rsidR="007C0F2A" w:rsidRPr="009A2045" w:rsidRDefault="007C0F2A" w:rsidP="009A2045">
      <w:pPr>
        <w:spacing w:after="0" w:line="240" w:lineRule="auto"/>
        <w:rPr>
          <w:rFonts w:asciiTheme="minorHAnsi" w:hAnsiTheme="minorHAnsi"/>
        </w:rPr>
      </w:pPr>
    </w:p>
    <w:p w14:paraId="3D2E4CF3" w14:textId="14F06E60" w:rsidR="007C0F2A" w:rsidRPr="009A2045" w:rsidRDefault="007C0F2A" w:rsidP="009A2045">
      <w:pPr>
        <w:spacing w:after="0" w:line="240" w:lineRule="auto"/>
        <w:rPr>
          <w:rFonts w:asciiTheme="minorHAnsi" w:hAnsiTheme="minorHAnsi"/>
        </w:rPr>
      </w:pPr>
      <w:r w:rsidRPr="009A2045">
        <w:rPr>
          <w:rFonts w:asciiTheme="minorHAnsi" w:hAnsiTheme="minorHAnsi"/>
        </w:rPr>
        <w:t xml:space="preserve">In the case of </w:t>
      </w:r>
      <w:r w:rsidR="009F0204" w:rsidRPr="009A2045">
        <w:rPr>
          <w:rFonts w:asciiTheme="minorHAnsi" w:hAnsiTheme="minorHAnsi"/>
        </w:rPr>
        <w:t>malathion</w:t>
      </w:r>
      <w:r w:rsidRPr="009A2045">
        <w:rPr>
          <w:rFonts w:asciiTheme="minorHAnsi" w:hAnsiTheme="minorHAnsi"/>
        </w:rPr>
        <w:t>, a qualitative examination of the trends in LD</w:t>
      </w:r>
      <w:r w:rsidRPr="009A2045">
        <w:rPr>
          <w:rFonts w:asciiTheme="minorHAnsi" w:hAnsiTheme="minorHAnsi"/>
          <w:vertAlign w:val="subscript"/>
        </w:rPr>
        <w:t xml:space="preserve">50 </w:t>
      </w:r>
      <w:r w:rsidRPr="009A2045">
        <w:rPr>
          <w:rFonts w:asciiTheme="minorHAnsi" w:hAnsiTheme="minorHAnsi"/>
        </w:rPr>
        <w:t xml:space="preserve">values, with the associated confidence intervals, across the range of percent active ingredient, reveals no definitive conclusions.  For all of the </w:t>
      </w:r>
      <w:r w:rsidR="009F0204" w:rsidRPr="009A2045">
        <w:rPr>
          <w:rFonts w:asciiTheme="minorHAnsi" w:hAnsiTheme="minorHAnsi"/>
        </w:rPr>
        <w:t>malathion</w:t>
      </w:r>
      <w:r w:rsidRPr="009A2045">
        <w:rPr>
          <w:rFonts w:asciiTheme="minorHAnsi" w:hAnsiTheme="minorHAnsi"/>
        </w:rPr>
        <w:t xml:space="preserve"> products analyzed, the data are insufficient to establish a difference in toxicity between the technical grade product and formulated products (see </w:t>
      </w:r>
      <w:r w:rsidR="00D94E26" w:rsidRPr="009A2045">
        <w:rPr>
          <w:rFonts w:asciiTheme="minorHAnsi" w:hAnsiTheme="minorHAnsi"/>
          <w:b/>
        </w:rPr>
        <w:t>APPENDIX 1-11</w:t>
      </w:r>
      <w:r w:rsidRPr="009A2045">
        <w:rPr>
          <w:rFonts w:asciiTheme="minorHAnsi" w:hAnsiTheme="minorHAnsi"/>
        </w:rPr>
        <w:t>).</w:t>
      </w:r>
    </w:p>
    <w:p w14:paraId="344AD999" w14:textId="77777777" w:rsidR="007C0F2A" w:rsidRPr="009A2045" w:rsidRDefault="007C0F2A" w:rsidP="009A2045">
      <w:pPr>
        <w:spacing w:after="0" w:line="240" w:lineRule="auto"/>
        <w:rPr>
          <w:rFonts w:asciiTheme="minorHAnsi" w:hAnsiTheme="minorHAnsi"/>
        </w:rPr>
      </w:pPr>
    </w:p>
    <w:p w14:paraId="368A9BD3" w14:textId="77777777" w:rsidR="007C0F2A" w:rsidRPr="009A2045" w:rsidRDefault="007C0F2A" w:rsidP="009A2045">
      <w:pPr>
        <w:spacing w:after="0" w:line="240" w:lineRule="auto"/>
        <w:rPr>
          <w:rFonts w:asciiTheme="minorHAnsi" w:eastAsiaTheme="minorEastAsia" w:hAnsiTheme="minorHAnsi" w:cs="Garamond"/>
          <w:color w:val="auto"/>
        </w:rPr>
      </w:pPr>
      <w:r w:rsidRPr="009A2045">
        <w:rPr>
          <w:rFonts w:asciiTheme="minorHAnsi" w:hAnsiTheme="minorHAnsi"/>
        </w:rPr>
        <w:t>With regards to other taxa,</w:t>
      </w:r>
      <w:r w:rsidRPr="009A2045">
        <w:rPr>
          <w:rFonts w:asciiTheme="minorHAnsi" w:eastAsiaTheme="minorEastAsia" w:hAnsiTheme="minorHAnsi" w:cs="Garamond"/>
          <w:color w:val="auto"/>
        </w:rPr>
        <w:t xml:space="preserve"> the combined toxicity for multi-a.i. products assumes additive toxicity unless available data from other submitted studies or the available open literature indicate otherwise.</w:t>
      </w:r>
    </w:p>
    <w:p w14:paraId="7E88ADF0" w14:textId="77777777" w:rsidR="007C0F2A" w:rsidRPr="009A2045" w:rsidRDefault="007C0F2A" w:rsidP="009A2045">
      <w:pPr>
        <w:spacing w:after="0" w:line="240" w:lineRule="auto"/>
        <w:rPr>
          <w:rFonts w:asciiTheme="minorHAnsi" w:hAnsiTheme="minorHAnsi"/>
          <w:b/>
          <w:u w:val="single"/>
        </w:rPr>
      </w:pPr>
    </w:p>
    <w:p w14:paraId="5C85CA8B" w14:textId="77777777" w:rsidR="007C0F2A" w:rsidRPr="009A2045" w:rsidRDefault="007C0F2A" w:rsidP="009A2045">
      <w:pPr>
        <w:spacing w:after="0" w:line="240" w:lineRule="auto"/>
        <w:rPr>
          <w:rFonts w:asciiTheme="minorHAnsi" w:hAnsiTheme="minorHAnsi"/>
        </w:rPr>
      </w:pPr>
      <w:r w:rsidRPr="009A2045">
        <w:rPr>
          <w:rFonts w:asciiTheme="minorHAnsi" w:hAnsiTheme="minorHAnsi"/>
          <w:b/>
          <w:u w:val="single"/>
        </w:rPr>
        <w:t>Tank mixes.</w:t>
      </w:r>
      <w:r w:rsidRPr="009A2045">
        <w:rPr>
          <w:rFonts w:asciiTheme="minorHAnsi" w:hAnsiTheme="minorHAnsi"/>
        </w:rPr>
        <w:t xml:space="preserve"> Environmental mixtures resulting from the application of tank mixtures are characterized based on label recommendations and typical use patterns (</w:t>
      </w:r>
      <w:r w:rsidRPr="009A2045">
        <w:rPr>
          <w:rFonts w:asciiTheme="minorHAnsi" w:hAnsiTheme="minorHAnsi"/>
          <w:i/>
        </w:rPr>
        <w:t>e</w:t>
      </w:r>
      <w:r w:rsidRPr="009A2045">
        <w:rPr>
          <w:rFonts w:asciiTheme="minorHAnsi" w:hAnsiTheme="minorHAnsi"/>
        </w:rPr>
        <w:t>.</w:t>
      </w:r>
      <w:r w:rsidRPr="009A2045">
        <w:rPr>
          <w:rFonts w:asciiTheme="minorHAnsi" w:hAnsiTheme="minorHAnsi"/>
          <w:i/>
        </w:rPr>
        <w:t>g.</w:t>
      </w:r>
      <w:r w:rsidRPr="009A2045">
        <w:rPr>
          <w:rFonts w:asciiTheme="minorHAnsi" w:hAnsiTheme="minorHAnsi"/>
        </w:rPr>
        <w:t xml:space="preserve">, California Pesticide Use Reports).  Responses to tank mixtures are qualitatively evaluated assuming additive toxicity (response or concentration addition) unless available data indicate that antagonism or synergism is more likely with specific mixture and species combinations. </w:t>
      </w:r>
    </w:p>
    <w:p w14:paraId="13B8282A" w14:textId="77777777" w:rsidR="007C0F2A" w:rsidRPr="009A2045" w:rsidRDefault="007C0F2A" w:rsidP="009A2045">
      <w:pPr>
        <w:spacing w:after="0" w:line="240" w:lineRule="auto"/>
        <w:rPr>
          <w:rFonts w:asciiTheme="minorHAnsi" w:hAnsiTheme="minorHAnsi"/>
        </w:rPr>
      </w:pPr>
    </w:p>
    <w:p w14:paraId="1AE99BCA" w14:textId="3C6D40A4" w:rsidR="007C0F2A" w:rsidRPr="009A2045" w:rsidRDefault="007C0F2A" w:rsidP="009A2045">
      <w:pPr>
        <w:spacing w:after="0" w:line="240" w:lineRule="auto"/>
        <w:rPr>
          <w:rFonts w:asciiTheme="minorHAnsi" w:hAnsiTheme="minorHAnsi"/>
        </w:rPr>
      </w:pPr>
      <w:r w:rsidRPr="009A2045">
        <w:rPr>
          <w:rFonts w:asciiTheme="minorHAnsi" w:hAnsiTheme="minorHAnsi"/>
        </w:rPr>
        <w:t xml:space="preserve">Beyond the acute mammalian data available for multi-a.i. products, toxicity data for mixtures may also be available for a variety of taxa from data captured in ECOTOX searches.  Studies containing toxicity data on mixtures are normally rejected by ECOTOX (which focuses on toxicity data for single chemicals) and listed in the bibliography as ‘rejected’ studies. However, some studies found ‘acceptable’ in ECOTOX may also contain mixture data if the study also involved results from a single chemical.  These ‘rejected’ and ‘accepted’ mixture references are identified in </w:t>
      </w:r>
      <w:r w:rsidR="00D94E26" w:rsidRPr="009A2045">
        <w:rPr>
          <w:rFonts w:asciiTheme="minorHAnsi" w:hAnsiTheme="minorHAnsi"/>
          <w:b/>
        </w:rPr>
        <w:t>APPENDIX 1-12</w:t>
      </w:r>
      <w:r w:rsidRPr="009A2045">
        <w:rPr>
          <w:rFonts w:asciiTheme="minorHAnsi" w:hAnsiTheme="minorHAnsi"/>
        </w:rPr>
        <w:t xml:space="preserve"> along with the taxonomic group(s) the study included.</w:t>
      </w:r>
    </w:p>
    <w:p w14:paraId="0F0A67A2" w14:textId="77777777" w:rsidR="007C0F2A" w:rsidRPr="009A2045" w:rsidRDefault="007C0F2A" w:rsidP="009A2045">
      <w:pPr>
        <w:spacing w:after="0" w:line="240" w:lineRule="auto"/>
        <w:rPr>
          <w:rFonts w:asciiTheme="minorHAnsi" w:hAnsiTheme="minorHAnsi"/>
        </w:rPr>
      </w:pPr>
    </w:p>
    <w:p w14:paraId="1D365DC3" w14:textId="3249D7F8" w:rsidR="007C0F2A" w:rsidRPr="009A2045" w:rsidRDefault="007C0F2A" w:rsidP="009A2045">
      <w:pPr>
        <w:spacing w:after="0" w:line="240" w:lineRule="auto"/>
        <w:rPr>
          <w:rFonts w:asciiTheme="minorHAnsi" w:hAnsiTheme="minorHAnsi"/>
        </w:rPr>
      </w:pPr>
      <w:r w:rsidRPr="009A2045">
        <w:rPr>
          <w:rFonts w:asciiTheme="minorHAnsi" w:hAnsiTheme="minorHAnsi"/>
        </w:rPr>
        <w:t xml:space="preserve">Further discussion of the risks to environmental mixtures containing </w:t>
      </w:r>
      <w:r w:rsidR="009F0204" w:rsidRPr="009A2045">
        <w:rPr>
          <w:rFonts w:asciiTheme="minorHAnsi" w:hAnsiTheme="minorHAnsi"/>
        </w:rPr>
        <w:t>malathion</w:t>
      </w:r>
      <w:r w:rsidRPr="009A2045">
        <w:rPr>
          <w:rFonts w:asciiTheme="minorHAnsi" w:hAnsiTheme="minorHAnsi"/>
        </w:rPr>
        <w:t xml:space="preserve"> is discussed in </w:t>
      </w:r>
      <w:r w:rsidRPr="009A2045">
        <w:rPr>
          <w:rFonts w:asciiTheme="minorHAnsi" w:hAnsiTheme="minorHAnsi"/>
          <w:b/>
        </w:rPr>
        <w:t xml:space="preserve">Section </w:t>
      </w:r>
      <w:r w:rsidR="00D94E26" w:rsidRPr="009A2045">
        <w:rPr>
          <w:rFonts w:asciiTheme="minorHAnsi" w:hAnsiTheme="minorHAnsi"/>
          <w:b/>
        </w:rPr>
        <w:t>1.4.2.2.g</w:t>
      </w:r>
      <w:r w:rsidR="00D94E26" w:rsidRPr="009A2045">
        <w:rPr>
          <w:rFonts w:asciiTheme="minorHAnsi" w:hAnsiTheme="minorHAnsi"/>
        </w:rPr>
        <w:t>.</w:t>
      </w:r>
    </w:p>
    <w:p w14:paraId="49B7C640" w14:textId="77777777" w:rsidR="007C0F2A" w:rsidRPr="009A2045" w:rsidRDefault="007C0F2A" w:rsidP="009A2045">
      <w:pPr>
        <w:keepNext/>
        <w:keepLines/>
        <w:spacing w:after="0" w:line="240" w:lineRule="auto"/>
      </w:pPr>
    </w:p>
    <w:p w14:paraId="2A3D58DF" w14:textId="0EE5C696" w:rsidR="007C0F2A" w:rsidRPr="009A2045" w:rsidRDefault="00EC7ECD" w:rsidP="009A2045">
      <w:pPr>
        <w:pStyle w:val="Heading5"/>
      </w:pPr>
      <w:bookmarkStart w:id="89" w:name="_Toc436043057"/>
      <w:r w:rsidRPr="009A2045">
        <w:t>1.4</w:t>
      </w:r>
      <w:r w:rsidR="007C0F2A" w:rsidRPr="009A2045">
        <w:t>.2.2.</w:t>
      </w:r>
      <w:r w:rsidR="001D59AA" w:rsidRPr="009A2045">
        <w:t>f</w:t>
      </w:r>
      <w:r w:rsidR="007C0F2A" w:rsidRPr="009A2045">
        <w:t>.</w:t>
      </w:r>
      <w:r w:rsidR="007C0F2A" w:rsidRPr="009A2045">
        <w:tab/>
        <w:t xml:space="preserve">Consideration of Impacts of Biotic and/or Abiotic Stressors on the Effects of </w:t>
      </w:r>
      <w:r w:rsidR="009F0204" w:rsidRPr="009A2045">
        <w:t>Malathion</w:t>
      </w:r>
      <w:bookmarkEnd w:id="89"/>
    </w:p>
    <w:p w14:paraId="0E8731C4" w14:textId="77777777" w:rsidR="007C0F2A" w:rsidRPr="009A2045" w:rsidRDefault="007C0F2A" w:rsidP="009A2045"/>
    <w:p w14:paraId="02257DE7" w14:textId="22709094" w:rsidR="007C0F2A" w:rsidRPr="009A2045" w:rsidRDefault="007C0F2A" w:rsidP="009A2045">
      <w:r w:rsidRPr="009A2045">
        <w:t xml:space="preserve">Potential impacts of environmental conditions on the effects of </w:t>
      </w:r>
      <w:r w:rsidR="009F0204" w:rsidRPr="009A2045">
        <w:t>malathion</w:t>
      </w:r>
      <w:r w:rsidRPr="009A2045">
        <w:t xml:space="preserve"> are discussed qualitatively. Environmental factors that are known to alter the toxicity of a chemical include, pH, temperature, and low oxygen content. In cases where chemical-specific toxicity data are available, they will be incorporated into this line of evidence for the appropriate taxa. This line of evidence will be used to </w:t>
      </w:r>
      <w:r w:rsidRPr="009A2045">
        <w:lastRenderedPageBreak/>
        <w:t xml:space="preserve">determine whether it is reasonable to assume that the effects of </w:t>
      </w:r>
      <w:r w:rsidR="009F0204" w:rsidRPr="009A2045">
        <w:t>malathion</w:t>
      </w:r>
      <w:r w:rsidRPr="009A2045">
        <w:t xml:space="preserve"> on non-target organisms may increase due to other stressors that may be attributed to the organism’s environmen</w:t>
      </w:r>
      <w:r w:rsidR="00D94E26" w:rsidRPr="009A2045">
        <w:t>t (excluding other pesticides).</w:t>
      </w:r>
    </w:p>
    <w:p w14:paraId="53674C97" w14:textId="77777777" w:rsidR="00D94E26" w:rsidRPr="009A2045" w:rsidRDefault="00D94E26" w:rsidP="009A2045"/>
    <w:p w14:paraId="735BC27C" w14:textId="2AC0CDF3" w:rsidR="007C0F2A" w:rsidRPr="009A2045" w:rsidRDefault="007C0F2A" w:rsidP="009A2045">
      <w:r w:rsidRPr="009A2045">
        <w:t>Technical malathion has historically contained impurities that can account for up to 5% of the insecticide.  California Department of Food and Agriculture reported 15 impurities (</w:t>
      </w:r>
      <w:r w:rsidRPr="009A2045">
        <w:rPr>
          <w:b/>
        </w:rPr>
        <w:t xml:space="preserve">Table </w:t>
      </w:r>
      <w:r w:rsidR="00CF543D" w:rsidRPr="009A2045">
        <w:rPr>
          <w:b/>
        </w:rPr>
        <w:t>1-11</w:t>
      </w:r>
      <w:r w:rsidRPr="009A2045">
        <w:t>) in an ultra-low volume malathion formulation (CalEPA 1981). In some respect</w:t>
      </w:r>
      <w:r w:rsidR="006E069D" w:rsidRPr="009A2045">
        <w:t>s</w:t>
      </w:r>
      <w:r w:rsidRPr="009A2045">
        <w:t>, it appears that the malathion technical registrant has taken measures to reduce impurities in more recent malathion technical products (MRID 49316501).</w:t>
      </w:r>
    </w:p>
    <w:p w14:paraId="2240F867" w14:textId="77777777" w:rsidR="007C0F2A" w:rsidRPr="009A2045" w:rsidRDefault="007C0F2A" w:rsidP="009A2045"/>
    <w:bookmarkStart w:id="90" w:name="h.2et92p0" w:colFirst="0" w:colLast="0"/>
    <w:bookmarkStart w:id="91" w:name="_Toc435773445"/>
    <w:bookmarkEnd w:id="90"/>
    <w:p w14:paraId="31863A72" w14:textId="627024E0" w:rsidR="007C0F2A" w:rsidRPr="009A2045" w:rsidRDefault="00C60928" w:rsidP="009A2045">
      <w:pPr>
        <w:pStyle w:val="Caption"/>
        <w:rPr>
          <w:b/>
          <w:i w:val="0"/>
          <w:sz w:val="22"/>
          <w:szCs w:val="22"/>
        </w:rPr>
      </w:pPr>
      <w:r w:rsidRPr="009A2045">
        <w:rPr>
          <w:b/>
          <w:i w:val="0"/>
          <w:sz w:val="22"/>
          <w:szCs w:val="22"/>
        </w:rPr>
        <w:fldChar w:fldCharType="begin"/>
      </w:r>
      <w:r w:rsidRPr="009A2045">
        <w:rPr>
          <w:b/>
          <w:i w:val="0"/>
          <w:sz w:val="22"/>
          <w:szCs w:val="22"/>
        </w:rPr>
        <w:instrText xml:space="preserve"> SEQ Table \* ARABIC </w:instrText>
      </w:r>
      <w:r w:rsidRPr="009A2045">
        <w:rPr>
          <w:b/>
          <w:i w:val="0"/>
          <w:sz w:val="22"/>
          <w:szCs w:val="22"/>
        </w:rPr>
        <w:fldChar w:fldCharType="separate"/>
      </w:r>
      <w:r w:rsidR="000D01C3" w:rsidRPr="009A2045">
        <w:rPr>
          <w:b/>
          <w:i w:val="0"/>
          <w:noProof/>
          <w:sz w:val="22"/>
          <w:szCs w:val="22"/>
        </w:rPr>
        <w:t>1</w:t>
      </w:r>
      <w:r w:rsidR="00281C70" w:rsidRPr="009A2045">
        <w:rPr>
          <w:b/>
          <w:i w:val="0"/>
          <w:noProof/>
          <w:sz w:val="22"/>
          <w:szCs w:val="22"/>
        </w:rPr>
        <w:t>-11</w:t>
      </w:r>
      <w:r w:rsidRPr="009A2045">
        <w:rPr>
          <w:b/>
          <w:i w:val="0"/>
          <w:noProof/>
          <w:sz w:val="22"/>
          <w:szCs w:val="22"/>
        </w:rPr>
        <w:fldChar w:fldCharType="end"/>
      </w:r>
      <w:r w:rsidR="000D01C3" w:rsidRPr="009A2045">
        <w:rPr>
          <w:b/>
          <w:i w:val="0"/>
          <w:sz w:val="22"/>
          <w:szCs w:val="22"/>
        </w:rPr>
        <w:t>. Impurities Reported in Technical Malathion (CalEPA 1981)</w:t>
      </w:r>
      <w:bookmarkEnd w:id="91"/>
      <w:r w:rsidR="00281C70" w:rsidRPr="009A2045">
        <w:rPr>
          <w:b/>
          <w:i w:val="0"/>
          <w:sz w:val="22"/>
          <w:szCs w:val="22"/>
        </w:rPr>
        <w:t>.</w:t>
      </w:r>
    </w:p>
    <w:tbl>
      <w:tblPr>
        <w:tblStyle w:val="a9"/>
        <w:tblW w:w="7545"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30"/>
        <w:gridCol w:w="915"/>
      </w:tblGrid>
      <w:tr w:rsidR="007C0F2A" w:rsidRPr="009A2045" w14:paraId="5EC468DB" w14:textId="77777777" w:rsidTr="007C0F2A">
        <w:tc>
          <w:tcPr>
            <w:tcW w:w="6630" w:type="dxa"/>
            <w:shd w:val="clear" w:color="auto" w:fill="E6E6E6"/>
            <w:vAlign w:val="bottom"/>
          </w:tcPr>
          <w:p w14:paraId="057CF5A5" w14:textId="77777777" w:rsidR="007C0F2A" w:rsidRPr="009A2045" w:rsidRDefault="007C0F2A" w:rsidP="009A2045">
            <w:pPr>
              <w:spacing w:after="160"/>
            </w:pPr>
            <w:r w:rsidRPr="009A2045">
              <w:rPr>
                <w:rFonts w:ascii="Calibri" w:eastAsia="Calibri" w:hAnsi="Calibri" w:cs="Calibri"/>
                <w:b/>
              </w:rPr>
              <w:t xml:space="preserve">Impurity as Listed in </w:t>
            </w:r>
            <w:r w:rsidRPr="009A2045">
              <w:rPr>
                <w:rFonts w:ascii="Calibri" w:eastAsia="Calibri" w:hAnsi="Calibri" w:cs="Calibri"/>
              </w:rPr>
              <w:t>CalEPA (1981)</w:t>
            </w:r>
          </w:p>
        </w:tc>
        <w:tc>
          <w:tcPr>
            <w:tcW w:w="915" w:type="dxa"/>
            <w:shd w:val="clear" w:color="auto" w:fill="E6E6E6"/>
            <w:vAlign w:val="bottom"/>
          </w:tcPr>
          <w:p w14:paraId="25E86055" w14:textId="77777777" w:rsidR="007C0F2A" w:rsidRPr="009A2045" w:rsidRDefault="007C0F2A" w:rsidP="009A2045">
            <w:pPr>
              <w:spacing w:after="160"/>
            </w:pPr>
            <w:r w:rsidRPr="009A2045">
              <w:rPr>
                <w:rFonts w:ascii="Calibri" w:eastAsia="Calibri" w:hAnsi="Calibri" w:cs="Calibri"/>
                <w:b/>
              </w:rPr>
              <w:t>% in Technical</w:t>
            </w:r>
          </w:p>
        </w:tc>
      </w:tr>
      <w:tr w:rsidR="007C0F2A" w:rsidRPr="009A2045" w14:paraId="444557AF" w14:textId="77777777" w:rsidTr="007C0F2A">
        <w:tc>
          <w:tcPr>
            <w:tcW w:w="6630" w:type="dxa"/>
          </w:tcPr>
          <w:p w14:paraId="2FF77A71" w14:textId="77777777" w:rsidR="007C0F2A" w:rsidRPr="009A2045" w:rsidRDefault="007C0F2A" w:rsidP="009A2045">
            <w:pPr>
              <w:spacing w:after="160"/>
            </w:pPr>
            <w:r w:rsidRPr="009A2045">
              <w:rPr>
                <w:rFonts w:ascii="Calibri" w:eastAsia="Calibri" w:hAnsi="Calibri" w:cs="Calibri"/>
              </w:rPr>
              <w:t>Diethyl fumarate</w:t>
            </w:r>
          </w:p>
        </w:tc>
        <w:tc>
          <w:tcPr>
            <w:tcW w:w="915" w:type="dxa"/>
          </w:tcPr>
          <w:p w14:paraId="44211592" w14:textId="77777777" w:rsidR="007C0F2A" w:rsidRPr="009A2045" w:rsidRDefault="007C0F2A" w:rsidP="009A2045">
            <w:pPr>
              <w:spacing w:after="160"/>
            </w:pPr>
            <w:r w:rsidRPr="009A2045">
              <w:rPr>
                <w:rFonts w:ascii="Calibri" w:eastAsia="Calibri" w:hAnsi="Calibri" w:cs="Calibri"/>
              </w:rPr>
              <w:t>0.90</w:t>
            </w:r>
          </w:p>
        </w:tc>
      </w:tr>
      <w:tr w:rsidR="007C0F2A" w:rsidRPr="009A2045" w14:paraId="691143A3" w14:textId="77777777" w:rsidTr="007C0F2A">
        <w:tc>
          <w:tcPr>
            <w:tcW w:w="6630" w:type="dxa"/>
          </w:tcPr>
          <w:p w14:paraId="33419FA7" w14:textId="77777777" w:rsidR="007C0F2A" w:rsidRPr="009A2045" w:rsidRDefault="007C0F2A" w:rsidP="009A2045">
            <w:pPr>
              <w:spacing w:after="160"/>
            </w:pPr>
            <w:r w:rsidRPr="009A2045">
              <w:rPr>
                <w:rFonts w:ascii="Calibri" w:eastAsia="Calibri" w:hAnsi="Calibri" w:cs="Calibri"/>
              </w:rPr>
              <w:t>Diethylhydroxysuccinate</w:t>
            </w:r>
          </w:p>
        </w:tc>
        <w:tc>
          <w:tcPr>
            <w:tcW w:w="915" w:type="dxa"/>
          </w:tcPr>
          <w:p w14:paraId="7796A3A7" w14:textId="77777777" w:rsidR="007C0F2A" w:rsidRPr="009A2045" w:rsidRDefault="007C0F2A" w:rsidP="009A2045">
            <w:pPr>
              <w:spacing w:after="160"/>
            </w:pPr>
            <w:r w:rsidRPr="009A2045">
              <w:rPr>
                <w:rFonts w:ascii="Calibri" w:eastAsia="Calibri" w:hAnsi="Calibri" w:cs="Calibri"/>
              </w:rPr>
              <w:t>0.05</w:t>
            </w:r>
          </w:p>
        </w:tc>
      </w:tr>
      <w:tr w:rsidR="007C0F2A" w:rsidRPr="009A2045" w14:paraId="4C9AC891" w14:textId="77777777" w:rsidTr="007C0F2A">
        <w:tc>
          <w:tcPr>
            <w:tcW w:w="6630" w:type="dxa"/>
          </w:tcPr>
          <w:p w14:paraId="565CBBB9" w14:textId="77777777" w:rsidR="007C0F2A" w:rsidRPr="009A2045" w:rsidRDefault="007C0F2A" w:rsidP="009A2045">
            <w:pPr>
              <w:spacing w:after="160"/>
            </w:pPr>
            <w:r w:rsidRPr="009A2045">
              <w:rPr>
                <w:rFonts w:ascii="Calibri" w:eastAsia="Calibri" w:hAnsi="Calibri" w:cs="Calibri"/>
              </w:rPr>
              <w:t>O,O-dimethylphosphorothioate</w:t>
            </w:r>
          </w:p>
        </w:tc>
        <w:tc>
          <w:tcPr>
            <w:tcW w:w="915" w:type="dxa"/>
          </w:tcPr>
          <w:p w14:paraId="3E9A9D8C" w14:textId="77777777" w:rsidR="007C0F2A" w:rsidRPr="009A2045" w:rsidRDefault="007C0F2A" w:rsidP="009A2045">
            <w:pPr>
              <w:spacing w:after="160"/>
            </w:pPr>
            <w:r w:rsidRPr="009A2045">
              <w:rPr>
                <w:rFonts w:ascii="Calibri" w:eastAsia="Calibri" w:hAnsi="Calibri" w:cs="Calibri"/>
              </w:rPr>
              <w:t>0.05</w:t>
            </w:r>
          </w:p>
        </w:tc>
      </w:tr>
      <w:tr w:rsidR="007C0F2A" w:rsidRPr="009A2045" w14:paraId="4EE00EEA" w14:textId="77777777" w:rsidTr="007C0F2A">
        <w:tc>
          <w:tcPr>
            <w:tcW w:w="6630" w:type="dxa"/>
          </w:tcPr>
          <w:p w14:paraId="690D522B" w14:textId="77777777" w:rsidR="007C0F2A" w:rsidRPr="009A2045" w:rsidRDefault="007C0F2A" w:rsidP="009A2045">
            <w:pPr>
              <w:spacing w:after="160"/>
            </w:pPr>
            <w:r w:rsidRPr="009A2045">
              <w:rPr>
                <w:rFonts w:ascii="Calibri" w:eastAsia="Calibri" w:hAnsi="Calibri" w:cs="Calibri"/>
              </w:rPr>
              <w:t>O,O,O-trimethyl phosphorothioate</w:t>
            </w:r>
          </w:p>
        </w:tc>
        <w:tc>
          <w:tcPr>
            <w:tcW w:w="915" w:type="dxa"/>
          </w:tcPr>
          <w:p w14:paraId="3F162040" w14:textId="77777777" w:rsidR="007C0F2A" w:rsidRPr="009A2045" w:rsidRDefault="007C0F2A" w:rsidP="009A2045">
            <w:pPr>
              <w:spacing w:after="160"/>
            </w:pPr>
            <w:r w:rsidRPr="009A2045">
              <w:rPr>
                <w:rFonts w:ascii="Calibri" w:eastAsia="Calibri" w:hAnsi="Calibri" w:cs="Calibri"/>
              </w:rPr>
              <w:t>0.45</w:t>
            </w:r>
          </w:p>
        </w:tc>
      </w:tr>
      <w:tr w:rsidR="007C0F2A" w:rsidRPr="009A2045" w14:paraId="3837732C" w14:textId="77777777" w:rsidTr="007C0F2A">
        <w:tc>
          <w:tcPr>
            <w:tcW w:w="6630" w:type="dxa"/>
          </w:tcPr>
          <w:p w14:paraId="04A914C8" w14:textId="77777777" w:rsidR="007C0F2A" w:rsidRPr="009A2045" w:rsidRDefault="007C0F2A" w:rsidP="009A2045">
            <w:pPr>
              <w:spacing w:after="160"/>
            </w:pPr>
            <w:r w:rsidRPr="009A2045">
              <w:rPr>
                <w:rFonts w:ascii="Calibri" w:eastAsia="Calibri" w:hAnsi="Calibri" w:cs="Calibri"/>
              </w:rPr>
              <w:t>O,O,S-trimethyl phosphorodithioate</w:t>
            </w:r>
          </w:p>
        </w:tc>
        <w:tc>
          <w:tcPr>
            <w:tcW w:w="915" w:type="dxa"/>
          </w:tcPr>
          <w:p w14:paraId="658EF41A" w14:textId="77777777" w:rsidR="007C0F2A" w:rsidRPr="009A2045" w:rsidRDefault="007C0F2A" w:rsidP="009A2045">
            <w:pPr>
              <w:spacing w:after="160"/>
            </w:pPr>
            <w:r w:rsidRPr="009A2045">
              <w:rPr>
                <w:rFonts w:ascii="Calibri" w:eastAsia="Calibri" w:hAnsi="Calibri" w:cs="Calibri"/>
              </w:rPr>
              <w:t>1.20</w:t>
            </w:r>
          </w:p>
        </w:tc>
      </w:tr>
      <w:tr w:rsidR="007C0F2A" w:rsidRPr="009A2045" w14:paraId="31309F03" w14:textId="77777777" w:rsidTr="007C0F2A">
        <w:tc>
          <w:tcPr>
            <w:tcW w:w="6630" w:type="dxa"/>
          </w:tcPr>
          <w:p w14:paraId="424A1DC6" w14:textId="77777777" w:rsidR="007C0F2A" w:rsidRPr="009A2045" w:rsidRDefault="007C0F2A" w:rsidP="009A2045">
            <w:pPr>
              <w:spacing w:after="160"/>
            </w:pPr>
            <w:r w:rsidRPr="009A2045">
              <w:rPr>
                <w:rFonts w:ascii="Calibri" w:eastAsia="Calibri" w:hAnsi="Calibri" w:cs="Calibri"/>
              </w:rPr>
              <w:t>Ethyl nitrite</w:t>
            </w:r>
          </w:p>
        </w:tc>
        <w:tc>
          <w:tcPr>
            <w:tcW w:w="915" w:type="dxa"/>
          </w:tcPr>
          <w:p w14:paraId="30651703" w14:textId="77777777" w:rsidR="007C0F2A" w:rsidRPr="009A2045" w:rsidRDefault="007C0F2A" w:rsidP="009A2045">
            <w:pPr>
              <w:spacing w:after="160"/>
            </w:pPr>
            <w:r w:rsidRPr="009A2045">
              <w:rPr>
                <w:rFonts w:ascii="Calibri" w:eastAsia="Calibri" w:hAnsi="Calibri" w:cs="Calibri"/>
              </w:rPr>
              <w:t>0.03</w:t>
            </w:r>
          </w:p>
        </w:tc>
      </w:tr>
      <w:tr w:rsidR="007C0F2A" w:rsidRPr="009A2045" w14:paraId="58032B1E" w14:textId="77777777" w:rsidTr="007C0F2A">
        <w:tc>
          <w:tcPr>
            <w:tcW w:w="6630" w:type="dxa"/>
          </w:tcPr>
          <w:p w14:paraId="31511686" w14:textId="77777777" w:rsidR="007C0F2A" w:rsidRPr="009A2045" w:rsidRDefault="007C0F2A" w:rsidP="009A2045">
            <w:pPr>
              <w:spacing w:after="160"/>
            </w:pPr>
            <w:r w:rsidRPr="009A2045">
              <w:rPr>
                <w:rFonts w:ascii="Calibri" w:eastAsia="Calibri" w:hAnsi="Calibri" w:cs="Calibri"/>
              </w:rPr>
              <w:t>Diethyl-bis (ethoxycarbonyl) mercaptosuccinate</w:t>
            </w:r>
          </w:p>
        </w:tc>
        <w:tc>
          <w:tcPr>
            <w:tcW w:w="915" w:type="dxa"/>
          </w:tcPr>
          <w:p w14:paraId="0ED9E3C1" w14:textId="77777777" w:rsidR="007C0F2A" w:rsidRPr="009A2045" w:rsidRDefault="007C0F2A" w:rsidP="009A2045">
            <w:pPr>
              <w:spacing w:after="160"/>
            </w:pPr>
            <w:r w:rsidRPr="009A2045">
              <w:rPr>
                <w:rFonts w:ascii="Calibri" w:eastAsia="Calibri" w:hAnsi="Calibri" w:cs="Calibri"/>
              </w:rPr>
              <w:t>0.15</w:t>
            </w:r>
          </w:p>
        </w:tc>
      </w:tr>
      <w:tr w:rsidR="007C0F2A" w:rsidRPr="009A2045" w14:paraId="32057C1C" w14:textId="77777777" w:rsidTr="007C0F2A">
        <w:tc>
          <w:tcPr>
            <w:tcW w:w="6630" w:type="dxa"/>
          </w:tcPr>
          <w:p w14:paraId="0C9A0D18" w14:textId="77777777" w:rsidR="007C0F2A" w:rsidRPr="009A2045" w:rsidRDefault="007C0F2A" w:rsidP="009A2045">
            <w:pPr>
              <w:spacing w:after="160"/>
            </w:pPr>
            <w:r w:rsidRPr="009A2045">
              <w:rPr>
                <w:rFonts w:ascii="Calibri" w:eastAsia="Calibri" w:hAnsi="Calibri" w:cs="Calibri"/>
              </w:rPr>
              <w:t>S-1,2-ethyl-O,S-dimethyl phosphorodithioate [isomalathion]</w:t>
            </w:r>
          </w:p>
        </w:tc>
        <w:tc>
          <w:tcPr>
            <w:tcW w:w="915" w:type="dxa"/>
          </w:tcPr>
          <w:p w14:paraId="0CF51A7A" w14:textId="77777777" w:rsidR="007C0F2A" w:rsidRPr="009A2045" w:rsidRDefault="007C0F2A" w:rsidP="009A2045">
            <w:pPr>
              <w:spacing w:after="160"/>
            </w:pPr>
            <w:r w:rsidRPr="009A2045">
              <w:rPr>
                <w:rFonts w:ascii="Calibri" w:eastAsia="Calibri" w:hAnsi="Calibri" w:cs="Calibri"/>
              </w:rPr>
              <w:t>0.20</w:t>
            </w:r>
          </w:p>
        </w:tc>
      </w:tr>
      <w:tr w:rsidR="007C0F2A" w:rsidRPr="009A2045" w14:paraId="13239751" w14:textId="77777777" w:rsidTr="007C0F2A">
        <w:tc>
          <w:tcPr>
            <w:tcW w:w="6630" w:type="dxa"/>
          </w:tcPr>
          <w:p w14:paraId="17770415" w14:textId="77777777" w:rsidR="007C0F2A" w:rsidRPr="009A2045" w:rsidRDefault="007C0F2A" w:rsidP="009A2045">
            <w:pPr>
              <w:spacing w:after="160"/>
            </w:pPr>
            <w:r w:rsidRPr="009A2045">
              <w:rPr>
                <w:rFonts w:ascii="Calibri" w:eastAsia="Calibri" w:hAnsi="Calibri" w:cs="Calibri"/>
              </w:rPr>
              <w:t>S-(1-methoxycarbonyl-2-ethoxycarbonyl)ethyl-O,O-dimethyl phosphorodithioate</w:t>
            </w:r>
          </w:p>
        </w:tc>
        <w:tc>
          <w:tcPr>
            <w:tcW w:w="915" w:type="dxa"/>
          </w:tcPr>
          <w:p w14:paraId="4BE45F29" w14:textId="77777777" w:rsidR="007C0F2A" w:rsidRPr="009A2045" w:rsidRDefault="007C0F2A" w:rsidP="009A2045">
            <w:pPr>
              <w:spacing w:after="160"/>
            </w:pPr>
            <w:r w:rsidRPr="009A2045">
              <w:rPr>
                <w:rFonts w:ascii="Calibri" w:eastAsia="Calibri" w:hAnsi="Calibri" w:cs="Calibri"/>
              </w:rPr>
              <w:t>0.60</w:t>
            </w:r>
          </w:p>
        </w:tc>
      </w:tr>
      <w:tr w:rsidR="007C0F2A" w:rsidRPr="009A2045" w14:paraId="6707DEAB" w14:textId="77777777" w:rsidTr="007C0F2A">
        <w:tc>
          <w:tcPr>
            <w:tcW w:w="6630" w:type="dxa"/>
          </w:tcPr>
          <w:p w14:paraId="5770B5B9" w14:textId="77777777" w:rsidR="007C0F2A" w:rsidRPr="009A2045" w:rsidRDefault="007C0F2A" w:rsidP="009A2045">
            <w:pPr>
              <w:spacing w:after="160"/>
            </w:pPr>
            <w:r w:rsidRPr="009A2045">
              <w:rPr>
                <w:rFonts w:ascii="Calibri" w:eastAsia="Calibri" w:hAnsi="Calibri" w:cs="Calibri"/>
              </w:rPr>
              <w:t>Bis-(O,O-dimethyl thionophosphoryl) sulfide</w:t>
            </w:r>
          </w:p>
        </w:tc>
        <w:tc>
          <w:tcPr>
            <w:tcW w:w="915" w:type="dxa"/>
          </w:tcPr>
          <w:p w14:paraId="19F855FF" w14:textId="77777777" w:rsidR="007C0F2A" w:rsidRPr="009A2045" w:rsidRDefault="007C0F2A" w:rsidP="009A2045">
            <w:pPr>
              <w:spacing w:after="160"/>
            </w:pPr>
            <w:r w:rsidRPr="009A2045">
              <w:rPr>
                <w:rFonts w:ascii="Calibri" w:eastAsia="Calibri" w:hAnsi="Calibri" w:cs="Calibri"/>
              </w:rPr>
              <w:t>0.30</w:t>
            </w:r>
          </w:p>
        </w:tc>
      </w:tr>
      <w:tr w:rsidR="007C0F2A" w:rsidRPr="009A2045" w14:paraId="11B7A017" w14:textId="77777777" w:rsidTr="007C0F2A">
        <w:tc>
          <w:tcPr>
            <w:tcW w:w="6630" w:type="dxa"/>
          </w:tcPr>
          <w:p w14:paraId="33F62774" w14:textId="77777777" w:rsidR="007C0F2A" w:rsidRPr="009A2045" w:rsidRDefault="007C0F2A" w:rsidP="009A2045">
            <w:pPr>
              <w:spacing w:after="160"/>
            </w:pPr>
            <w:r w:rsidRPr="009A2045">
              <w:rPr>
                <w:rFonts w:ascii="Calibri" w:eastAsia="Calibri" w:hAnsi="Calibri" w:cs="Calibri"/>
              </w:rPr>
              <w:t>Diethyl methylthiosuccinate</w:t>
            </w:r>
          </w:p>
        </w:tc>
        <w:tc>
          <w:tcPr>
            <w:tcW w:w="915" w:type="dxa"/>
          </w:tcPr>
          <w:p w14:paraId="0554651C" w14:textId="77777777" w:rsidR="007C0F2A" w:rsidRPr="009A2045" w:rsidRDefault="007C0F2A" w:rsidP="009A2045">
            <w:pPr>
              <w:spacing w:after="160"/>
            </w:pPr>
            <w:r w:rsidRPr="009A2045">
              <w:rPr>
                <w:rFonts w:ascii="Calibri" w:eastAsia="Calibri" w:hAnsi="Calibri" w:cs="Calibri"/>
              </w:rPr>
              <w:t>1.00</w:t>
            </w:r>
          </w:p>
        </w:tc>
      </w:tr>
      <w:tr w:rsidR="007C0F2A" w:rsidRPr="009A2045" w14:paraId="2ED65664" w14:textId="77777777" w:rsidTr="007C0F2A">
        <w:tc>
          <w:tcPr>
            <w:tcW w:w="6630" w:type="dxa"/>
          </w:tcPr>
          <w:p w14:paraId="4C855FAE" w14:textId="77777777" w:rsidR="007C0F2A" w:rsidRPr="009A2045" w:rsidRDefault="007C0F2A" w:rsidP="009A2045">
            <w:pPr>
              <w:spacing w:after="160"/>
            </w:pPr>
            <w:r w:rsidRPr="009A2045">
              <w:rPr>
                <w:rFonts w:ascii="Calibri" w:eastAsia="Calibri" w:hAnsi="Calibri" w:cs="Calibri"/>
              </w:rPr>
              <w:t>S-ethyl-O,O-dimethyl phosphorodithioate</w:t>
            </w:r>
          </w:p>
        </w:tc>
        <w:tc>
          <w:tcPr>
            <w:tcW w:w="915" w:type="dxa"/>
          </w:tcPr>
          <w:p w14:paraId="33B4816F" w14:textId="77777777" w:rsidR="007C0F2A" w:rsidRPr="009A2045" w:rsidRDefault="007C0F2A" w:rsidP="009A2045">
            <w:pPr>
              <w:spacing w:after="160"/>
            </w:pPr>
            <w:r w:rsidRPr="009A2045">
              <w:rPr>
                <w:rFonts w:ascii="Calibri" w:eastAsia="Calibri" w:hAnsi="Calibri" w:cs="Calibri"/>
              </w:rPr>
              <w:t>0.10</w:t>
            </w:r>
          </w:p>
        </w:tc>
      </w:tr>
      <w:tr w:rsidR="007C0F2A" w:rsidRPr="009A2045" w14:paraId="319C31EB" w14:textId="77777777" w:rsidTr="007C0F2A">
        <w:tc>
          <w:tcPr>
            <w:tcW w:w="6630" w:type="dxa"/>
          </w:tcPr>
          <w:p w14:paraId="6FBD16B6" w14:textId="77777777" w:rsidR="007C0F2A" w:rsidRPr="009A2045" w:rsidRDefault="007C0F2A" w:rsidP="009A2045">
            <w:pPr>
              <w:spacing w:after="160"/>
            </w:pPr>
            <w:r w:rsidRPr="009A2045">
              <w:rPr>
                <w:rFonts w:ascii="Calibri" w:eastAsia="Calibri" w:hAnsi="Calibri" w:cs="Calibri"/>
              </w:rPr>
              <w:t>S-1,2-bis (ethoxycarbonyl) ethyl-O,O-dimethyl phosphorothioate [malaoxon]</w:t>
            </w:r>
          </w:p>
        </w:tc>
        <w:tc>
          <w:tcPr>
            <w:tcW w:w="915" w:type="dxa"/>
          </w:tcPr>
          <w:p w14:paraId="441D42E5" w14:textId="77777777" w:rsidR="007C0F2A" w:rsidRPr="009A2045" w:rsidRDefault="007C0F2A" w:rsidP="009A2045">
            <w:pPr>
              <w:spacing w:after="160"/>
            </w:pPr>
            <w:r w:rsidRPr="009A2045">
              <w:rPr>
                <w:rFonts w:ascii="Calibri" w:eastAsia="Calibri" w:hAnsi="Calibri" w:cs="Calibri"/>
              </w:rPr>
              <w:t>0.10</w:t>
            </w:r>
          </w:p>
        </w:tc>
      </w:tr>
      <w:tr w:rsidR="007C0F2A" w:rsidRPr="009A2045" w14:paraId="680617A1" w14:textId="77777777" w:rsidTr="007C0F2A">
        <w:tc>
          <w:tcPr>
            <w:tcW w:w="6630" w:type="dxa"/>
          </w:tcPr>
          <w:p w14:paraId="5033DF55" w14:textId="77777777" w:rsidR="007C0F2A" w:rsidRPr="009A2045" w:rsidRDefault="007C0F2A" w:rsidP="009A2045">
            <w:pPr>
              <w:spacing w:after="160"/>
            </w:pPr>
            <w:r w:rsidRPr="009A2045">
              <w:rPr>
                <w:rFonts w:ascii="Calibri" w:eastAsia="Calibri" w:hAnsi="Calibri" w:cs="Calibri"/>
              </w:rPr>
              <w:t>Diethyl ethylthiosuccinate</w:t>
            </w:r>
          </w:p>
        </w:tc>
        <w:tc>
          <w:tcPr>
            <w:tcW w:w="915" w:type="dxa"/>
          </w:tcPr>
          <w:p w14:paraId="710BAD59" w14:textId="77777777" w:rsidR="007C0F2A" w:rsidRPr="009A2045" w:rsidRDefault="007C0F2A" w:rsidP="009A2045">
            <w:pPr>
              <w:spacing w:after="160"/>
            </w:pPr>
            <w:r w:rsidRPr="009A2045">
              <w:rPr>
                <w:rFonts w:ascii="Calibri" w:eastAsia="Calibri" w:hAnsi="Calibri" w:cs="Calibri"/>
              </w:rPr>
              <w:t>0.10</w:t>
            </w:r>
          </w:p>
        </w:tc>
      </w:tr>
      <w:tr w:rsidR="007C0F2A" w:rsidRPr="009A2045" w14:paraId="31424098" w14:textId="77777777" w:rsidTr="007C0F2A">
        <w:tc>
          <w:tcPr>
            <w:tcW w:w="6630" w:type="dxa"/>
          </w:tcPr>
          <w:p w14:paraId="4CC575B2" w14:textId="77777777" w:rsidR="007C0F2A" w:rsidRPr="009A2045" w:rsidRDefault="007C0F2A" w:rsidP="009A2045">
            <w:pPr>
              <w:spacing w:after="160"/>
            </w:pPr>
            <w:r w:rsidRPr="009A2045">
              <w:rPr>
                <w:rFonts w:ascii="Calibri" w:eastAsia="Calibri" w:hAnsi="Calibri" w:cs="Calibri"/>
              </w:rPr>
              <w:t>Sulfuric acid</w:t>
            </w:r>
          </w:p>
        </w:tc>
        <w:tc>
          <w:tcPr>
            <w:tcW w:w="915" w:type="dxa"/>
          </w:tcPr>
          <w:p w14:paraId="4E411151" w14:textId="77777777" w:rsidR="007C0F2A" w:rsidRPr="009A2045" w:rsidRDefault="007C0F2A" w:rsidP="009A2045">
            <w:pPr>
              <w:spacing w:after="160"/>
            </w:pPr>
            <w:r w:rsidRPr="009A2045">
              <w:rPr>
                <w:rFonts w:ascii="Calibri" w:eastAsia="Calibri" w:hAnsi="Calibri" w:cs="Calibri"/>
              </w:rPr>
              <w:t>0.05</w:t>
            </w:r>
          </w:p>
        </w:tc>
      </w:tr>
    </w:tbl>
    <w:p w14:paraId="55B4DDD6" w14:textId="77777777" w:rsidR="007C0F2A" w:rsidRPr="009A2045" w:rsidRDefault="007C0F2A" w:rsidP="009A2045"/>
    <w:p w14:paraId="16AF33AF" w14:textId="4B2C1D1B" w:rsidR="007C0F2A" w:rsidRPr="009A2045" w:rsidRDefault="007C0F2A" w:rsidP="009A2045">
      <w:r w:rsidRPr="009A2045">
        <w:t xml:space="preserve">The relative concentration of malathion impurities can vary depending not only on manufacturing processes but also storage conditions. Umetsu </w:t>
      </w:r>
      <w:r w:rsidRPr="009A2045">
        <w:rPr>
          <w:i/>
        </w:rPr>
        <w:t>et al</w:t>
      </w:r>
      <w:r w:rsidR="006E069D" w:rsidRPr="009A2045">
        <w:rPr>
          <w:i/>
        </w:rPr>
        <w:t>.</w:t>
      </w:r>
      <w:r w:rsidRPr="009A2045">
        <w:t xml:space="preserve"> (1977) concluded “Storage of technical malathion </w:t>
      </w:r>
      <w:r w:rsidRPr="009A2045">
        <w:lastRenderedPageBreak/>
        <w:t>for 3 to 6 months at 40</w:t>
      </w:r>
      <w:r w:rsidR="003A4023" w:rsidRPr="009A2045">
        <w:t xml:space="preserve"> </w:t>
      </w:r>
      <w:r w:rsidR="003A4023" w:rsidRPr="009A2045">
        <w:rPr>
          <w:vertAlign w:val="superscript"/>
        </w:rPr>
        <w:t>o</w:t>
      </w:r>
      <w:r w:rsidR="003A4023" w:rsidRPr="009A2045">
        <w:t>C</w:t>
      </w:r>
      <w:r w:rsidRPr="009A2045">
        <w:t xml:space="preserve"> resulted in materials </w:t>
      </w:r>
      <w:r w:rsidR="003A4023" w:rsidRPr="009A2045">
        <w:t>that</w:t>
      </w:r>
      <w:r w:rsidRPr="009A2045">
        <w:t xml:space="preserve"> were noticeably more toxic to mice.” Therefore, the composition and toxicological properties of the technical malathion are not only affected by initial purity after manufacturing, but also by storage conditions of technical malathion and end use products. </w:t>
      </w:r>
    </w:p>
    <w:p w14:paraId="5A5E8B5A" w14:textId="501A8FAC" w:rsidR="007C0F2A" w:rsidRPr="009A2045" w:rsidRDefault="007C0F2A" w:rsidP="009A2045">
      <w:r w:rsidRPr="009A2045">
        <w:t xml:space="preserve">Based on reported data, it appears that some malathion (and other organophosphate) impurities can increase malathion toxicity and also are toxic alone, but there </w:t>
      </w:r>
      <w:r w:rsidR="00B10530" w:rsidRPr="009A2045">
        <w:t>are</w:t>
      </w:r>
      <w:r w:rsidRPr="009A2045">
        <w:t xml:space="preserve"> almost no data available on their environmental fate. The persistence of a phosphorothioate impurity (O,O,S-trimethyl phosphorothioate) was shown to be 18.7 times longer than malathion in an aerobic soil metabolism study (Miles and Takashima 1991). Some phosphorothioates and -dithioates have been studied with a reported effect of inducing a delayed toxic effect to mammals at lower levels than pure malathion (Ali Fouad and Fukuto 1982, Umetsu </w:t>
      </w:r>
      <w:r w:rsidRPr="009A2045">
        <w:rPr>
          <w:i/>
        </w:rPr>
        <w:t>et al</w:t>
      </w:r>
      <w:r w:rsidRPr="009A2045">
        <w:t xml:space="preserve"> 1977, Fukuto 1983, Aldridge</w:t>
      </w:r>
      <w:r w:rsidRPr="009A2045">
        <w:rPr>
          <w:i/>
        </w:rPr>
        <w:t xml:space="preserve"> et al</w:t>
      </w:r>
      <w:r w:rsidRPr="009A2045">
        <w:t xml:space="preserve"> 1979, Toia </w:t>
      </w:r>
      <w:r w:rsidRPr="009A2045">
        <w:rPr>
          <w:i/>
        </w:rPr>
        <w:t>et al</w:t>
      </w:r>
      <w:r w:rsidRPr="009A2045">
        <w:t xml:space="preserve"> 1980). A phosophorothioate and -dithioate impurity identified by CalEPA (1981) is of lower toxicity than impurities reported in older formulations (Toia </w:t>
      </w:r>
      <w:r w:rsidRPr="009A2045">
        <w:rPr>
          <w:i/>
        </w:rPr>
        <w:t>et al</w:t>
      </w:r>
      <w:r w:rsidRPr="009A2045">
        <w:t xml:space="preserve"> 1980).  One hydrolysis product, diethyl fumarate, which has also been present as an impurity in technical malathion is approximately three times more toxic to fathead minnows than malathion (Bender 1969).  </w:t>
      </w:r>
    </w:p>
    <w:p w14:paraId="7814E02C" w14:textId="46768600" w:rsidR="007C0F2A" w:rsidRPr="009A2045" w:rsidRDefault="007C0F2A" w:rsidP="009A2045">
      <w:r w:rsidRPr="009A2045">
        <w:t xml:space="preserve">The available toxicity data for malathion </w:t>
      </w:r>
      <w:r w:rsidR="00A37E78" w:rsidRPr="009A2045">
        <w:t>represent studies that have</w:t>
      </w:r>
      <w:r w:rsidRPr="009A2045">
        <w:t xml:space="preserve"> been conducted over the course of several decades and ha</w:t>
      </w:r>
      <w:r w:rsidR="00B10530" w:rsidRPr="009A2045">
        <w:t>ve</w:t>
      </w:r>
      <w:r w:rsidRPr="009A2045">
        <w:t xml:space="preserve"> involved the use of many different technical grade products.  Given the potential increase in purity of malathion (and thereby presumed reduction in potentially toxic impurities) over the years, a comparison of recently submitted toxicity data with technical malathion to other available toxicity data (as reported in ECOTOX </w:t>
      </w:r>
      <w:r w:rsidR="00B10530" w:rsidRPr="009A2045">
        <w:t>and/</w:t>
      </w:r>
      <w:r w:rsidRPr="009A2045">
        <w:t>or other submitted studies) of similar duration and endpoint (generally 48- or 96-hr EC/LC50 values for aquatic species) was conducted to compare potential differential sensitivity (</w:t>
      </w:r>
      <w:r w:rsidRPr="009A2045">
        <w:rPr>
          <w:b/>
        </w:rPr>
        <w:t xml:space="preserve">Table </w:t>
      </w:r>
      <w:r w:rsidR="00D94E26" w:rsidRPr="009A2045">
        <w:rPr>
          <w:b/>
        </w:rPr>
        <w:t>1-12</w:t>
      </w:r>
      <w:r w:rsidRPr="009A2045">
        <w:t xml:space="preserve">). While the following paragraphs describe comparisons for both aquatic and terrestrial animals, the overall conclusion is that there does not appear to be compelling information to exclude toxicity data at this time solely due to </w:t>
      </w:r>
      <w:r w:rsidR="003A4023" w:rsidRPr="009A2045">
        <w:t xml:space="preserve">the </w:t>
      </w:r>
      <w:r w:rsidRPr="009A2045">
        <w:t xml:space="preserve">source of technical malathion or </w:t>
      </w:r>
      <w:r w:rsidR="00254508" w:rsidRPr="009A2045">
        <w:t xml:space="preserve">the </w:t>
      </w:r>
      <w:r w:rsidRPr="009A2045">
        <w:t xml:space="preserve">date </w:t>
      </w:r>
      <w:r w:rsidR="00254508" w:rsidRPr="009A2045">
        <w:t xml:space="preserve">when the study was </w:t>
      </w:r>
      <w:r w:rsidRPr="009A2045">
        <w:t>conduct</w:t>
      </w:r>
      <w:r w:rsidR="00254508" w:rsidRPr="009A2045">
        <w:t>ed</w:t>
      </w:r>
      <w:r w:rsidRPr="009A2045">
        <w:t>.</w:t>
      </w:r>
    </w:p>
    <w:p w14:paraId="53E8E814" w14:textId="77777777" w:rsidR="007C0F2A" w:rsidRPr="009A2045" w:rsidRDefault="007C0F2A" w:rsidP="009A2045">
      <w:r w:rsidRPr="009A2045">
        <w:t>While the comparisons used toxicity data of the same test duration, it is recognized that there are sources of uncertainty, including:</w:t>
      </w:r>
    </w:p>
    <w:p w14:paraId="291C16EB" w14:textId="77777777" w:rsidR="007C0F2A" w:rsidRPr="009A2045" w:rsidRDefault="007C0F2A" w:rsidP="009A2045">
      <w:pPr>
        <w:numPr>
          <w:ilvl w:val="0"/>
          <w:numId w:val="6"/>
        </w:numPr>
        <w:ind w:hanging="360"/>
      </w:pPr>
      <w:r w:rsidRPr="009A2045">
        <w:t xml:space="preserve">Differences between study test protocols (e.g., source of organisms, dilution water, flow-through vs. static designs); </w:t>
      </w:r>
    </w:p>
    <w:p w14:paraId="35A7EC12" w14:textId="77777777" w:rsidR="007C0F2A" w:rsidRPr="009A2045" w:rsidRDefault="007C0F2A" w:rsidP="009A2045">
      <w:pPr>
        <w:numPr>
          <w:ilvl w:val="0"/>
          <w:numId w:val="6"/>
        </w:numPr>
        <w:ind w:hanging="360"/>
      </w:pPr>
      <w:r w:rsidRPr="009A2045">
        <w:t>Toxicity data for the same species were not available (</w:t>
      </w:r>
      <w:r w:rsidRPr="009A2045">
        <w:rPr>
          <w:i/>
        </w:rPr>
        <w:t>i.e</w:t>
      </w:r>
      <w:r w:rsidRPr="009A2045">
        <w:t xml:space="preserve">., </w:t>
      </w:r>
      <w:r w:rsidRPr="009A2045">
        <w:rPr>
          <w:i/>
        </w:rPr>
        <w:t>Gammarus pseudolimnaeus</w:t>
      </w:r>
      <w:r w:rsidRPr="009A2045">
        <w:t>), and, therefore, toxicity data using species within the same genus were compared;</w:t>
      </w:r>
    </w:p>
    <w:p w14:paraId="061838F2" w14:textId="77777777" w:rsidR="007C0F2A" w:rsidRPr="009A2045" w:rsidRDefault="007C0F2A" w:rsidP="009A2045">
      <w:pPr>
        <w:numPr>
          <w:ilvl w:val="0"/>
          <w:numId w:val="6"/>
        </w:numPr>
        <w:ind w:hanging="360"/>
      </w:pPr>
      <w:r w:rsidRPr="009A2045">
        <w:t>Only studies which used an end-use product (formulation) were available for some species (</w:t>
      </w:r>
      <w:r w:rsidRPr="009A2045">
        <w:rPr>
          <w:i/>
        </w:rPr>
        <w:t>i.e</w:t>
      </w:r>
      <w:r w:rsidRPr="009A2045">
        <w:t xml:space="preserve">., oyster, midge); and  </w:t>
      </w:r>
    </w:p>
    <w:p w14:paraId="6A4D5D8D" w14:textId="77777777" w:rsidR="007C0F2A" w:rsidRPr="009A2045" w:rsidRDefault="007C0F2A" w:rsidP="009A2045">
      <w:pPr>
        <w:numPr>
          <w:ilvl w:val="0"/>
          <w:numId w:val="6"/>
        </w:numPr>
        <w:ind w:hanging="360"/>
      </w:pPr>
      <w:r w:rsidRPr="009A2045">
        <w:t xml:space="preserve">Comparable toxicity data were not available for the mayfly. </w:t>
      </w:r>
    </w:p>
    <w:p w14:paraId="350AC88F" w14:textId="68A74248" w:rsidR="007C0F2A" w:rsidRPr="009A2045" w:rsidRDefault="007C0F2A" w:rsidP="009A2045">
      <w:r w:rsidRPr="009A2045">
        <w:t>However, even considering these uncertainties, the reported toxicity values for several species are similar, or are well with</w:t>
      </w:r>
      <w:r w:rsidR="00B10530" w:rsidRPr="009A2045">
        <w:t>in</w:t>
      </w:r>
      <w:r w:rsidRPr="009A2045">
        <w:t xml:space="preserve"> one order of each other. For example, for the mysid shrimp, while there is an approximate 2X difference in the reported LC50 value between the recent study (MRID 49389401, study conducted 2013-2014) and MRID 41474501 (study conducted in 1990), their 95% confidence intervals </w:t>
      </w:r>
      <w:r w:rsidRPr="009A2045">
        <w:lastRenderedPageBreak/>
        <w:t>overlap. Furthermore, the other reported mysid shrimp LC</w:t>
      </w:r>
      <w:r w:rsidRPr="009A2045">
        <w:rPr>
          <w:vertAlign w:val="subscript"/>
        </w:rPr>
        <w:t>50</w:t>
      </w:r>
      <w:r w:rsidRPr="009A2045">
        <w:t xml:space="preserve"> values (</w:t>
      </w:r>
      <w:r w:rsidRPr="009A2045">
        <w:rPr>
          <w:i/>
        </w:rPr>
        <w:t>i.e</w:t>
      </w:r>
      <w:r w:rsidRPr="009A2045">
        <w:t xml:space="preserve">., Ecotox# 968, 2280) are also similar to these values. For the amphipod, </w:t>
      </w:r>
      <w:r w:rsidRPr="009A2045">
        <w:rPr>
          <w:i/>
        </w:rPr>
        <w:t>Gammarus</w:t>
      </w:r>
      <w:r w:rsidRPr="009A2045">
        <w:t xml:space="preserve">, even though a direct comparison to the recently tested species could not be conducted, toxicity values for other Gammarid species are similar to the toxicity value from a more recent study. The toxicity values for the sheepshead minnow and green sunfish were also similar.  There are cases where the toxicity values do not appear to be similar for which the recent toxicity value is greater or lesser than other toxicity values.  For example, the recent crayfish toxicity values are substantially </w:t>
      </w:r>
      <w:r w:rsidR="00B10530" w:rsidRPr="009A2045">
        <w:t>higher</w:t>
      </w:r>
      <w:r w:rsidRPr="009A2045">
        <w:t xml:space="preserve"> than the other toxicity values which used a formulation, whereas the medaka fish recent toxicity value is lower than the open literature value. </w:t>
      </w:r>
    </w:p>
    <w:p w14:paraId="79BCE3B9" w14:textId="77777777" w:rsidR="007C0F2A" w:rsidRPr="009A2045" w:rsidRDefault="007C0F2A" w:rsidP="009A2045"/>
    <w:p w14:paraId="42FFCB84" w14:textId="12D5BB63" w:rsidR="000D01C3" w:rsidRPr="009A2045" w:rsidRDefault="000D01C3" w:rsidP="009A2045">
      <w:pPr>
        <w:pStyle w:val="Caption"/>
        <w:keepNext/>
        <w:rPr>
          <w:color w:val="auto"/>
        </w:rPr>
      </w:pPr>
      <w:bookmarkStart w:id="92" w:name="_Toc435773446"/>
      <w:r w:rsidRPr="009A2045">
        <w:rPr>
          <w:b/>
          <w:i w:val="0"/>
          <w:color w:val="auto"/>
          <w:sz w:val="22"/>
          <w:szCs w:val="22"/>
        </w:rPr>
        <w:t xml:space="preserve">Table </w:t>
      </w:r>
      <w:r w:rsidR="00C60928" w:rsidRPr="009A2045">
        <w:rPr>
          <w:b/>
          <w:i w:val="0"/>
          <w:color w:val="auto"/>
          <w:sz w:val="22"/>
          <w:szCs w:val="22"/>
        </w:rPr>
        <w:fldChar w:fldCharType="begin"/>
      </w:r>
      <w:r w:rsidR="00C60928" w:rsidRPr="009A2045">
        <w:rPr>
          <w:b/>
          <w:i w:val="0"/>
          <w:color w:val="auto"/>
          <w:sz w:val="22"/>
          <w:szCs w:val="22"/>
        </w:rPr>
        <w:instrText xml:space="preserve"> SEQ Table \* ARABIC </w:instrText>
      </w:r>
      <w:r w:rsidR="00C60928" w:rsidRPr="009A2045">
        <w:rPr>
          <w:b/>
          <w:i w:val="0"/>
          <w:color w:val="auto"/>
          <w:sz w:val="22"/>
          <w:szCs w:val="22"/>
        </w:rPr>
        <w:fldChar w:fldCharType="separate"/>
      </w:r>
      <w:r w:rsidRPr="009A2045">
        <w:rPr>
          <w:b/>
          <w:i w:val="0"/>
          <w:noProof/>
          <w:color w:val="auto"/>
          <w:sz w:val="22"/>
          <w:szCs w:val="22"/>
        </w:rPr>
        <w:t>1</w:t>
      </w:r>
      <w:r w:rsidR="00281C70" w:rsidRPr="009A2045">
        <w:rPr>
          <w:b/>
          <w:i w:val="0"/>
          <w:noProof/>
          <w:color w:val="auto"/>
          <w:sz w:val="22"/>
          <w:szCs w:val="22"/>
        </w:rPr>
        <w:t>-12</w:t>
      </w:r>
      <w:r w:rsidR="00C60928" w:rsidRPr="009A2045">
        <w:rPr>
          <w:b/>
          <w:i w:val="0"/>
          <w:noProof/>
          <w:color w:val="auto"/>
          <w:sz w:val="22"/>
          <w:szCs w:val="22"/>
        </w:rPr>
        <w:fldChar w:fldCharType="end"/>
      </w:r>
      <w:r w:rsidRPr="009A2045">
        <w:rPr>
          <w:b/>
          <w:i w:val="0"/>
          <w:color w:val="auto"/>
          <w:sz w:val="22"/>
          <w:szCs w:val="22"/>
        </w:rPr>
        <w:t>. Comparison of Recently Submitted Toxicity Values to Other Reported Toxicity Values for Aquatic Species</w:t>
      </w:r>
      <w:bookmarkEnd w:id="92"/>
      <w:r w:rsidR="00281C70" w:rsidRPr="009A2045">
        <w:rPr>
          <w:color w:val="auto"/>
        </w:rPr>
        <w:t>.</w:t>
      </w:r>
    </w:p>
    <w:tbl>
      <w:tblPr>
        <w:tblStyle w:val="a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25"/>
        <w:gridCol w:w="1714"/>
        <w:gridCol w:w="716"/>
        <w:gridCol w:w="1170"/>
        <w:gridCol w:w="1626"/>
        <w:gridCol w:w="984"/>
        <w:gridCol w:w="1615"/>
      </w:tblGrid>
      <w:tr w:rsidR="007C0F2A" w:rsidRPr="009A2045" w14:paraId="3CA09179" w14:textId="77777777" w:rsidTr="00D94E26">
        <w:trPr>
          <w:tblHeader/>
        </w:trPr>
        <w:tc>
          <w:tcPr>
            <w:tcW w:w="1525" w:type="dxa"/>
            <w:vMerge w:val="restart"/>
            <w:shd w:val="clear" w:color="auto" w:fill="E7E6E6"/>
          </w:tcPr>
          <w:p w14:paraId="5AB629C5" w14:textId="77777777" w:rsidR="007C0F2A" w:rsidRPr="009A2045" w:rsidRDefault="007C0F2A" w:rsidP="009A2045">
            <w:pPr>
              <w:spacing w:after="160" w:line="259" w:lineRule="auto"/>
            </w:pPr>
            <w:r w:rsidRPr="009A2045">
              <w:rPr>
                <w:rFonts w:ascii="Calibri" w:eastAsia="Calibri" w:hAnsi="Calibri" w:cs="Calibri"/>
                <w:b/>
              </w:rPr>
              <w:t>Aquatic Species</w:t>
            </w:r>
          </w:p>
        </w:tc>
        <w:tc>
          <w:tcPr>
            <w:tcW w:w="3600" w:type="dxa"/>
            <w:gridSpan w:val="3"/>
            <w:shd w:val="clear" w:color="auto" w:fill="E7E6E6"/>
          </w:tcPr>
          <w:p w14:paraId="196D5019" w14:textId="77777777" w:rsidR="007C0F2A" w:rsidRPr="009A2045" w:rsidRDefault="007C0F2A" w:rsidP="009A2045">
            <w:pPr>
              <w:spacing w:after="160" w:line="259" w:lineRule="auto"/>
            </w:pPr>
            <w:r w:rsidRPr="009A2045">
              <w:rPr>
                <w:rFonts w:ascii="Calibri" w:eastAsia="Calibri" w:hAnsi="Calibri" w:cs="Calibri"/>
                <w:b/>
              </w:rPr>
              <w:t>Recently Submitted Toxicity Data</w:t>
            </w:r>
          </w:p>
        </w:tc>
        <w:tc>
          <w:tcPr>
            <w:tcW w:w="4225" w:type="dxa"/>
            <w:gridSpan w:val="3"/>
            <w:shd w:val="clear" w:color="auto" w:fill="E7E6E6"/>
          </w:tcPr>
          <w:p w14:paraId="11A68748" w14:textId="77777777" w:rsidR="007C0F2A" w:rsidRPr="009A2045" w:rsidRDefault="007C0F2A" w:rsidP="009A2045">
            <w:pPr>
              <w:spacing w:after="160" w:line="259" w:lineRule="auto"/>
            </w:pPr>
            <w:r w:rsidRPr="009A2045">
              <w:rPr>
                <w:rFonts w:ascii="Calibri" w:eastAsia="Calibri" w:hAnsi="Calibri" w:cs="Calibri"/>
                <w:b/>
              </w:rPr>
              <w:t>Other Reported Toxicity Data</w:t>
            </w:r>
          </w:p>
        </w:tc>
      </w:tr>
      <w:tr w:rsidR="007C0F2A" w:rsidRPr="009A2045" w14:paraId="176A5A01" w14:textId="77777777" w:rsidTr="00D94E26">
        <w:trPr>
          <w:tblHeader/>
        </w:trPr>
        <w:tc>
          <w:tcPr>
            <w:tcW w:w="1525" w:type="dxa"/>
            <w:vMerge/>
            <w:shd w:val="clear" w:color="auto" w:fill="E7E6E6"/>
          </w:tcPr>
          <w:p w14:paraId="76F9B143" w14:textId="77777777" w:rsidR="007C0F2A" w:rsidRPr="009A2045" w:rsidRDefault="007C0F2A" w:rsidP="009A2045">
            <w:pPr>
              <w:spacing w:after="160" w:line="259" w:lineRule="auto"/>
            </w:pPr>
          </w:p>
        </w:tc>
        <w:tc>
          <w:tcPr>
            <w:tcW w:w="1714" w:type="dxa"/>
            <w:shd w:val="clear" w:color="auto" w:fill="E7E6E6"/>
          </w:tcPr>
          <w:p w14:paraId="64123D2A" w14:textId="77777777" w:rsidR="007C0F2A" w:rsidRPr="009A2045" w:rsidRDefault="007C0F2A" w:rsidP="009A2045">
            <w:pPr>
              <w:spacing w:after="160" w:line="259" w:lineRule="auto"/>
            </w:pPr>
            <w:r w:rsidRPr="009A2045">
              <w:rPr>
                <w:rFonts w:ascii="Calibri" w:eastAsia="Calibri" w:hAnsi="Calibri" w:cs="Calibri"/>
              </w:rPr>
              <w:t>48 or 96-hr</w:t>
            </w:r>
            <w:r w:rsidRPr="009A2045">
              <w:rPr>
                <w:rFonts w:ascii="Calibri" w:eastAsia="Calibri" w:hAnsi="Calibri" w:cs="Calibri"/>
                <w:vertAlign w:val="superscript"/>
              </w:rPr>
              <w:t>1</w:t>
            </w:r>
            <w:r w:rsidRPr="009A2045">
              <w:rPr>
                <w:rFonts w:ascii="Calibri" w:eastAsia="Calibri" w:hAnsi="Calibri" w:cs="Calibri"/>
              </w:rPr>
              <w:t xml:space="preserve"> Toxicity Value (95% CI) (µg/L);</w:t>
            </w:r>
          </w:p>
          <w:p w14:paraId="2AC16EC4" w14:textId="77777777" w:rsidR="007C0F2A" w:rsidRPr="009A2045" w:rsidRDefault="007C0F2A" w:rsidP="009A2045">
            <w:pPr>
              <w:spacing w:after="160" w:line="259" w:lineRule="auto"/>
            </w:pPr>
            <w:r w:rsidRPr="009A2045">
              <w:rPr>
                <w:rFonts w:ascii="Calibri" w:eastAsia="Calibri" w:hAnsi="Calibri" w:cs="Calibri"/>
              </w:rPr>
              <w:t>(Test Design)</w:t>
            </w:r>
            <w:r w:rsidRPr="009A2045">
              <w:rPr>
                <w:rFonts w:ascii="Calibri" w:eastAsia="Calibri" w:hAnsi="Calibri" w:cs="Calibri"/>
                <w:vertAlign w:val="superscript"/>
              </w:rPr>
              <w:t>2</w:t>
            </w:r>
          </w:p>
        </w:tc>
        <w:tc>
          <w:tcPr>
            <w:tcW w:w="716" w:type="dxa"/>
            <w:shd w:val="clear" w:color="auto" w:fill="E7E6E6"/>
          </w:tcPr>
          <w:p w14:paraId="59C32E5E" w14:textId="77777777" w:rsidR="007C0F2A" w:rsidRPr="009A2045" w:rsidRDefault="007C0F2A" w:rsidP="009A2045">
            <w:pPr>
              <w:spacing w:after="160" w:line="259" w:lineRule="auto"/>
            </w:pPr>
            <w:r w:rsidRPr="009A2045">
              <w:rPr>
                <w:rFonts w:ascii="Calibri" w:eastAsia="Calibri" w:hAnsi="Calibri" w:cs="Calibri"/>
              </w:rPr>
              <w:t>% Purity</w:t>
            </w:r>
          </w:p>
          <w:p w14:paraId="2FD6ABD5" w14:textId="77777777" w:rsidR="007C0F2A" w:rsidRPr="009A2045" w:rsidRDefault="007C0F2A" w:rsidP="009A2045">
            <w:pPr>
              <w:spacing w:after="160" w:line="259" w:lineRule="auto"/>
            </w:pPr>
          </w:p>
        </w:tc>
        <w:tc>
          <w:tcPr>
            <w:tcW w:w="1170" w:type="dxa"/>
            <w:shd w:val="clear" w:color="auto" w:fill="E7E6E6"/>
          </w:tcPr>
          <w:p w14:paraId="598AE27E" w14:textId="77777777" w:rsidR="007C0F2A" w:rsidRPr="009A2045" w:rsidRDefault="007C0F2A" w:rsidP="009A2045">
            <w:pPr>
              <w:spacing w:after="160" w:line="259" w:lineRule="auto"/>
            </w:pPr>
            <w:r w:rsidRPr="009A2045">
              <w:rPr>
                <w:rFonts w:ascii="Calibri" w:eastAsia="Calibri" w:hAnsi="Calibri" w:cs="Calibri"/>
              </w:rPr>
              <w:t>Reference / Year</w:t>
            </w:r>
          </w:p>
        </w:tc>
        <w:tc>
          <w:tcPr>
            <w:tcW w:w="1626" w:type="dxa"/>
            <w:shd w:val="clear" w:color="auto" w:fill="E7E6E6"/>
          </w:tcPr>
          <w:p w14:paraId="401FECFE" w14:textId="77777777" w:rsidR="007C0F2A" w:rsidRPr="009A2045" w:rsidRDefault="007C0F2A" w:rsidP="009A2045">
            <w:pPr>
              <w:spacing w:after="160" w:line="259" w:lineRule="auto"/>
            </w:pPr>
            <w:r w:rsidRPr="009A2045">
              <w:rPr>
                <w:rFonts w:ascii="Calibri" w:eastAsia="Calibri" w:hAnsi="Calibri" w:cs="Calibri"/>
              </w:rPr>
              <w:t>48 or 96-hr</w:t>
            </w:r>
            <w:r w:rsidRPr="009A2045">
              <w:rPr>
                <w:rFonts w:ascii="Calibri" w:eastAsia="Calibri" w:hAnsi="Calibri" w:cs="Calibri"/>
                <w:vertAlign w:val="superscript"/>
              </w:rPr>
              <w:t>1</w:t>
            </w:r>
            <w:r w:rsidRPr="009A2045">
              <w:rPr>
                <w:rFonts w:ascii="Calibri" w:eastAsia="Calibri" w:hAnsi="Calibri" w:cs="Calibri"/>
              </w:rPr>
              <w:t xml:space="preserve"> Toxicity Values </w:t>
            </w:r>
          </w:p>
          <w:p w14:paraId="23D3915C" w14:textId="77777777" w:rsidR="007C0F2A" w:rsidRPr="009A2045" w:rsidRDefault="007C0F2A" w:rsidP="009A2045">
            <w:pPr>
              <w:spacing w:after="160" w:line="259" w:lineRule="auto"/>
            </w:pPr>
            <w:r w:rsidRPr="009A2045">
              <w:rPr>
                <w:rFonts w:ascii="Calibri" w:eastAsia="Calibri" w:hAnsi="Calibri" w:cs="Calibri"/>
              </w:rPr>
              <w:t>(95% CI) (µg/L); (Test Design)</w:t>
            </w:r>
          </w:p>
        </w:tc>
        <w:tc>
          <w:tcPr>
            <w:tcW w:w="984" w:type="dxa"/>
            <w:shd w:val="clear" w:color="auto" w:fill="E7E6E6"/>
          </w:tcPr>
          <w:p w14:paraId="067C3C09" w14:textId="77777777" w:rsidR="007C0F2A" w:rsidRPr="009A2045" w:rsidRDefault="007C0F2A" w:rsidP="009A2045">
            <w:pPr>
              <w:spacing w:after="160" w:line="259" w:lineRule="auto"/>
            </w:pPr>
            <w:r w:rsidRPr="009A2045">
              <w:rPr>
                <w:rFonts w:ascii="Calibri" w:eastAsia="Calibri" w:hAnsi="Calibri" w:cs="Calibri"/>
              </w:rPr>
              <w:t>% Purity</w:t>
            </w:r>
          </w:p>
        </w:tc>
        <w:tc>
          <w:tcPr>
            <w:tcW w:w="1615" w:type="dxa"/>
            <w:shd w:val="clear" w:color="auto" w:fill="E7E6E6"/>
          </w:tcPr>
          <w:p w14:paraId="6717CEED" w14:textId="77777777" w:rsidR="007C0F2A" w:rsidRPr="009A2045" w:rsidRDefault="007C0F2A" w:rsidP="009A2045">
            <w:pPr>
              <w:spacing w:after="160" w:line="259" w:lineRule="auto"/>
            </w:pPr>
            <w:r w:rsidRPr="009A2045">
              <w:rPr>
                <w:rFonts w:ascii="Calibri" w:eastAsia="Calibri" w:hAnsi="Calibri" w:cs="Calibri"/>
              </w:rPr>
              <w:t>Reference / Year</w:t>
            </w:r>
          </w:p>
        </w:tc>
      </w:tr>
      <w:tr w:rsidR="007C0F2A" w:rsidRPr="009A2045" w14:paraId="2B9D5995" w14:textId="77777777" w:rsidTr="00D94E26">
        <w:tc>
          <w:tcPr>
            <w:tcW w:w="1525" w:type="dxa"/>
            <w:vMerge w:val="restart"/>
          </w:tcPr>
          <w:p w14:paraId="660B8E29" w14:textId="77777777" w:rsidR="007C0F2A" w:rsidRPr="009A2045" w:rsidRDefault="007C0F2A" w:rsidP="009A2045">
            <w:pPr>
              <w:spacing w:after="160" w:line="259" w:lineRule="auto"/>
            </w:pPr>
            <w:r w:rsidRPr="009A2045">
              <w:rPr>
                <w:rFonts w:ascii="Calibri" w:eastAsia="Calibri" w:hAnsi="Calibri" w:cs="Calibri"/>
              </w:rPr>
              <w:t>Crayfish (</w:t>
            </w:r>
            <w:r w:rsidRPr="009A2045">
              <w:rPr>
                <w:rFonts w:ascii="Calibri" w:eastAsia="Calibri" w:hAnsi="Calibri" w:cs="Calibri"/>
                <w:i/>
              </w:rPr>
              <w:t>Procambarus clarkii</w:t>
            </w:r>
            <w:r w:rsidRPr="009A2045">
              <w:rPr>
                <w:rFonts w:ascii="Calibri" w:eastAsia="Calibri" w:hAnsi="Calibri" w:cs="Calibri"/>
              </w:rPr>
              <w:t>)</w:t>
            </w:r>
          </w:p>
        </w:tc>
        <w:tc>
          <w:tcPr>
            <w:tcW w:w="1714" w:type="dxa"/>
            <w:vMerge w:val="restart"/>
          </w:tcPr>
          <w:p w14:paraId="6459A4C4" w14:textId="77777777" w:rsidR="007C0F2A" w:rsidRPr="009A2045" w:rsidRDefault="007C0F2A" w:rsidP="009A2045">
            <w:pPr>
              <w:spacing w:after="160" w:line="259" w:lineRule="auto"/>
            </w:pPr>
            <w:r w:rsidRPr="009A2045">
              <w:rPr>
                <w:rFonts w:ascii="Calibri" w:eastAsia="Calibri" w:hAnsi="Calibri" w:cs="Calibri"/>
              </w:rPr>
              <w:t xml:space="preserve">21,000 </w:t>
            </w:r>
          </w:p>
          <w:p w14:paraId="5E12E64B" w14:textId="77777777" w:rsidR="007C0F2A" w:rsidRPr="009A2045" w:rsidRDefault="007C0F2A" w:rsidP="009A2045">
            <w:pPr>
              <w:spacing w:after="160" w:line="259" w:lineRule="auto"/>
            </w:pPr>
            <w:r w:rsidRPr="009A2045">
              <w:rPr>
                <w:rFonts w:ascii="Calibri" w:eastAsia="Calibri" w:hAnsi="Calibri" w:cs="Calibri"/>
              </w:rPr>
              <w:t>(18,000-26,000)</w:t>
            </w:r>
          </w:p>
        </w:tc>
        <w:tc>
          <w:tcPr>
            <w:tcW w:w="716" w:type="dxa"/>
            <w:vMerge w:val="restart"/>
          </w:tcPr>
          <w:p w14:paraId="1619A517"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vMerge w:val="restart"/>
          </w:tcPr>
          <w:p w14:paraId="70DF0EA9" w14:textId="77777777" w:rsidR="007C0F2A" w:rsidRPr="009A2045" w:rsidRDefault="007C0F2A" w:rsidP="009A2045">
            <w:pPr>
              <w:spacing w:after="160" w:line="259" w:lineRule="auto"/>
            </w:pPr>
            <w:r w:rsidRPr="009A2045">
              <w:rPr>
                <w:rFonts w:ascii="Calibri" w:eastAsia="Calibri" w:hAnsi="Calibri" w:cs="Calibri"/>
              </w:rPr>
              <w:t>MRID 49534901 / 2014</w:t>
            </w:r>
          </w:p>
        </w:tc>
        <w:tc>
          <w:tcPr>
            <w:tcW w:w="1626" w:type="dxa"/>
          </w:tcPr>
          <w:p w14:paraId="38426926" w14:textId="77777777" w:rsidR="007C0F2A" w:rsidRPr="009A2045" w:rsidRDefault="007C0F2A" w:rsidP="009A2045">
            <w:pPr>
              <w:spacing w:after="160" w:line="259" w:lineRule="auto"/>
            </w:pPr>
            <w:r w:rsidRPr="009A2045">
              <w:rPr>
                <w:rFonts w:ascii="Calibri" w:eastAsia="Calibri" w:hAnsi="Calibri" w:cs="Calibri"/>
              </w:rPr>
              <w:t>1,750</w:t>
            </w:r>
          </w:p>
          <w:p w14:paraId="66C8A51A" w14:textId="77777777" w:rsidR="007C0F2A" w:rsidRPr="009A2045" w:rsidRDefault="007C0F2A" w:rsidP="009A2045">
            <w:pPr>
              <w:spacing w:after="160" w:line="259" w:lineRule="auto"/>
            </w:pPr>
            <w:r w:rsidRPr="009A2045">
              <w:rPr>
                <w:rFonts w:ascii="Calibri" w:eastAsia="Calibri" w:hAnsi="Calibri" w:cs="Calibri"/>
              </w:rPr>
              <w:t>(±0.45 SD) (S)</w:t>
            </w:r>
          </w:p>
          <w:p w14:paraId="3A72CF88" w14:textId="77777777" w:rsidR="007C0F2A" w:rsidRPr="009A2045" w:rsidRDefault="007C0F2A" w:rsidP="009A2045">
            <w:pPr>
              <w:spacing w:after="160" w:line="259" w:lineRule="auto"/>
            </w:pPr>
          </w:p>
        </w:tc>
        <w:tc>
          <w:tcPr>
            <w:tcW w:w="984" w:type="dxa"/>
          </w:tcPr>
          <w:p w14:paraId="61905C43" w14:textId="77777777" w:rsidR="007C0F2A" w:rsidRPr="009A2045" w:rsidRDefault="007C0F2A" w:rsidP="009A2045">
            <w:pPr>
              <w:spacing w:after="160" w:line="259" w:lineRule="auto"/>
            </w:pPr>
            <w:r w:rsidRPr="009A2045">
              <w:rPr>
                <w:rFonts w:ascii="Calibri" w:eastAsia="Calibri" w:hAnsi="Calibri" w:cs="Calibri"/>
              </w:rPr>
              <w:t>50</w:t>
            </w:r>
          </w:p>
        </w:tc>
        <w:tc>
          <w:tcPr>
            <w:tcW w:w="1615" w:type="dxa"/>
          </w:tcPr>
          <w:p w14:paraId="7A305798" w14:textId="77777777" w:rsidR="007C0F2A" w:rsidRPr="009A2045" w:rsidRDefault="007C0F2A" w:rsidP="009A2045">
            <w:pPr>
              <w:spacing w:after="160" w:line="259" w:lineRule="auto"/>
            </w:pPr>
            <w:r w:rsidRPr="009A2045">
              <w:rPr>
                <w:rFonts w:ascii="Calibri" w:eastAsia="Calibri" w:hAnsi="Calibri" w:cs="Calibri"/>
              </w:rPr>
              <w:t xml:space="preserve">Ecotox# 71856 (Jimenez </w:t>
            </w:r>
            <w:r w:rsidRPr="009A2045">
              <w:rPr>
                <w:rFonts w:ascii="Calibri" w:eastAsia="Calibri" w:hAnsi="Calibri" w:cs="Calibri"/>
                <w:i/>
              </w:rPr>
              <w:t>et al</w:t>
            </w:r>
            <w:r w:rsidRPr="009A2045">
              <w:rPr>
                <w:rFonts w:ascii="Calibri" w:eastAsia="Calibri" w:hAnsi="Calibri" w:cs="Calibri"/>
              </w:rPr>
              <w:t>.) / 2003</w:t>
            </w:r>
          </w:p>
        </w:tc>
      </w:tr>
      <w:tr w:rsidR="007C0F2A" w:rsidRPr="009A2045" w14:paraId="409B5B74" w14:textId="77777777" w:rsidTr="00D94E26">
        <w:tc>
          <w:tcPr>
            <w:tcW w:w="1525" w:type="dxa"/>
            <w:vMerge/>
          </w:tcPr>
          <w:p w14:paraId="4E826A3E" w14:textId="77777777" w:rsidR="007C0F2A" w:rsidRPr="009A2045" w:rsidRDefault="007C0F2A" w:rsidP="009A2045">
            <w:pPr>
              <w:widowControl w:val="0"/>
              <w:spacing w:line="276" w:lineRule="auto"/>
            </w:pPr>
          </w:p>
        </w:tc>
        <w:tc>
          <w:tcPr>
            <w:tcW w:w="1714" w:type="dxa"/>
            <w:vMerge/>
          </w:tcPr>
          <w:p w14:paraId="7C32A071" w14:textId="77777777" w:rsidR="007C0F2A" w:rsidRPr="009A2045" w:rsidRDefault="007C0F2A" w:rsidP="009A2045">
            <w:pPr>
              <w:widowControl w:val="0"/>
              <w:spacing w:line="276" w:lineRule="auto"/>
            </w:pPr>
          </w:p>
        </w:tc>
        <w:tc>
          <w:tcPr>
            <w:tcW w:w="716" w:type="dxa"/>
            <w:vMerge/>
          </w:tcPr>
          <w:p w14:paraId="3D41F9AD" w14:textId="77777777" w:rsidR="007C0F2A" w:rsidRPr="009A2045" w:rsidRDefault="007C0F2A" w:rsidP="009A2045">
            <w:pPr>
              <w:widowControl w:val="0"/>
              <w:spacing w:line="276" w:lineRule="auto"/>
            </w:pPr>
          </w:p>
        </w:tc>
        <w:tc>
          <w:tcPr>
            <w:tcW w:w="1170" w:type="dxa"/>
          </w:tcPr>
          <w:p w14:paraId="2714279C" w14:textId="77777777" w:rsidR="007C0F2A" w:rsidRPr="009A2045" w:rsidRDefault="007C0F2A" w:rsidP="009A2045">
            <w:pPr>
              <w:spacing w:after="160" w:line="259" w:lineRule="auto"/>
            </w:pPr>
          </w:p>
          <w:p w14:paraId="4B404345" w14:textId="77777777" w:rsidR="007C0F2A" w:rsidRPr="009A2045" w:rsidRDefault="007C0F2A" w:rsidP="009A2045">
            <w:pPr>
              <w:spacing w:after="160" w:line="259" w:lineRule="auto"/>
            </w:pPr>
          </w:p>
          <w:p w14:paraId="7B617F5C" w14:textId="77777777" w:rsidR="007C0F2A" w:rsidRPr="009A2045" w:rsidRDefault="007C0F2A" w:rsidP="009A2045">
            <w:pPr>
              <w:spacing w:after="160" w:line="259" w:lineRule="auto"/>
            </w:pPr>
          </w:p>
          <w:p w14:paraId="665FEFB2" w14:textId="77777777" w:rsidR="007C0F2A" w:rsidRPr="009A2045" w:rsidRDefault="007C0F2A" w:rsidP="009A2045">
            <w:pPr>
              <w:spacing w:after="160" w:line="259" w:lineRule="auto"/>
            </w:pPr>
          </w:p>
        </w:tc>
        <w:tc>
          <w:tcPr>
            <w:tcW w:w="1626" w:type="dxa"/>
          </w:tcPr>
          <w:p w14:paraId="097B6280" w14:textId="77777777" w:rsidR="007C0F2A" w:rsidRPr="009A2045" w:rsidRDefault="007C0F2A" w:rsidP="009A2045">
            <w:pPr>
              <w:spacing w:after="160" w:line="259" w:lineRule="auto"/>
            </w:pPr>
            <w:r w:rsidRPr="009A2045">
              <w:rPr>
                <w:rFonts w:ascii="Calibri" w:eastAsia="Calibri" w:hAnsi="Calibri" w:cs="Calibri"/>
              </w:rPr>
              <w:t>1,340 (±0.2 SD) (S)</w:t>
            </w:r>
          </w:p>
        </w:tc>
        <w:tc>
          <w:tcPr>
            <w:tcW w:w="984" w:type="dxa"/>
          </w:tcPr>
          <w:p w14:paraId="5D7E6C04" w14:textId="77777777" w:rsidR="007C0F2A" w:rsidRPr="009A2045" w:rsidRDefault="007C0F2A" w:rsidP="009A2045">
            <w:pPr>
              <w:spacing w:after="160" w:line="259" w:lineRule="auto"/>
            </w:pPr>
            <w:r w:rsidRPr="009A2045">
              <w:rPr>
                <w:rFonts w:ascii="Calibri" w:eastAsia="Calibri" w:hAnsi="Calibri" w:cs="Calibri"/>
              </w:rPr>
              <w:t>NR</w:t>
            </w:r>
          </w:p>
        </w:tc>
        <w:tc>
          <w:tcPr>
            <w:tcW w:w="1615" w:type="dxa"/>
          </w:tcPr>
          <w:p w14:paraId="5602B30A" w14:textId="77777777" w:rsidR="007C0F2A" w:rsidRPr="009A2045" w:rsidRDefault="007C0F2A" w:rsidP="009A2045">
            <w:pPr>
              <w:spacing w:after="160" w:line="259" w:lineRule="auto"/>
            </w:pPr>
            <w:r w:rsidRPr="009A2045">
              <w:rPr>
                <w:rFonts w:ascii="Calibri" w:eastAsia="Calibri" w:hAnsi="Calibri" w:cs="Calibri"/>
              </w:rPr>
              <w:t xml:space="preserve">Ecotox#20475 (Cano </w:t>
            </w:r>
            <w:r w:rsidRPr="009A2045">
              <w:rPr>
                <w:rFonts w:ascii="Calibri" w:eastAsia="Calibri" w:hAnsi="Calibri" w:cs="Calibri"/>
                <w:i/>
              </w:rPr>
              <w:t>et al</w:t>
            </w:r>
            <w:r w:rsidRPr="009A2045">
              <w:rPr>
                <w:rFonts w:ascii="Calibri" w:eastAsia="Calibri" w:hAnsi="Calibri" w:cs="Calibri"/>
              </w:rPr>
              <w:t>) / 1999</w:t>
            </w:r>
          </w:p>
        </w:tc>
      </w:tr>
      <w:tr w:rsidR="007C0F2A" w:rsidRPr="009A2045" w14:paraId="24390774" w14:textId="77777777" w:rsidTr="00D94E26">
        <w:tc>
          <w:tcPr>
            <w:tcW w:w="1525" w:type="dxa"/>
            <w:vMerge w:val="restart"/>
          </w:tcPr>
          <w:p w14:paraId="23103C4C" w14:textId="77777777" w:rsidR="007C0F2A" w:rsidRPr="009A2045" w:rsidRDefault="007C0F2A" w:rsidP="009A2045">
            <w:pPr>
              <w:spacing w:after="160" w:line="259" w:lineRule="auto"/>
            </w:pPr>
            <w:r w:rsidRPr="009A2045">
              <w:rPr>
                <w:rFonts w:ascii="Calibri" w:eastAsia="Calibri" w:hAnsi="Calibri" w:cs="Calibri"/>
              </w:rPr>
              <w:t>Grass shrimp (</w:t>
            </w:r>
            <w:r w:rsidRPr="009A2045">
              <w:rPr>
                <w:rFonts w:ascii="Calibri" w:eastAsia="Calibri" w:hAnsi="Calibri" w:cs="Calibri"/>
                <w:i/>
              </w:rPr>
              <w:t>Palaemontetes pugio</w:t>
            </w:r>
            <w:r w:rsidRPr="009A2045">
              <w:rPr>
                <w:rFonts w:ascii="Calibri" w:eastAsia="Calibri" w:hAnsi="Calibri" w:cs="Calibri"/>
              </w:rPr>
              <w:t>)</w:t>
            </w:r>
          </w:p>
        </w:tc>
        <w:tc>
          <w:tcPr>
            <w:tcW w:w="1714" w:type="dxa"/>
            <w:vMerge w:val="restart"/>
          </w:tcPr>
          <w:p w14:paraId="40E5EA34" w14:textId="77777777" w:rsidR="007C0F2A" w:rsidRPr="009A2045" w:rsidRDefault="007C0F2A" w:rsidP="009A2045">
            <w:pPr>
              <w:spacing w:after="160" w:line="259" w:lineRule="auto"/>
            </w:pPr>
            <w:r w:rsidRPr="009A2045">
              <w:rPr>
                <w:rFonts w:ascii="Calibri" w:eastAsia="Calibri" w:hAnsi="Calibri" w:cs="Calibri"/>
              </w:rPr>
              <w:t>67</w:t>
            </w:r>
          </w:p>
          <w:p w14:paraId="4F56A861" w14:textId="77777777" w:rsidR="007C0F2A" w:rsidRPr="009A2045" w:rsidRDefault="007C0F2A" w:rsidP="009A2045">
            <w:pPr>
              <w:spacing w:after="160" w:line="259" w:lineRule="auto"/>
            </w:pPr>
            <w:r w:rsidRPr="009A2045">
              <w:rPr>
                <w:rFonts w:ascii="Calibri" w:eastAsia="Calibri" w:hAnsi="Calibri" w:cs="Calibri"/>
              </w:rPr>
              <w:t>(52-91) (mixed age juveniles)</w:t>
            </w:r>
          </w:p>
        </w:tc>
        <w:tc>
          <w:tcPr>
            <w:tcW w:w="716" w:type="dxa"/>
            <w:vMerge w:val="restart"/>
          </w:tcPr>
          <w:p w14:paraId="4A8662C3"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vMerge w:val="restart"/>
          </w:tcPr>
          <w:p w14:paraId="20879E4B" w14:textId="77777777" w:rsidR="007C0F2A" w:rsidRPr="009A2045" w:rsidRDefault="007C0F2A" w:rsidP="009A2045">
            <w:pPr>
              <w:spacing w:after="160" w:line="259" w:lineRule="auto"/>
            </w:pPr>
            <w:r w:rsidRPr="009A2045">
              <w:rPr>
                <w:rFonts w:ascii="Calibri" w:eastAsia="Calibri" w:hAnsi="Calibri" w:cs="Calibri"/>
              </w:rPr>
              <w:t>MRID 49534902 / 2014</w:t>
            </w:r>
          </w:p>
        </w:tc>
        <w:tc>
          <w:tcPr>
            <w:tcW w:w="1626" w:type="dxa"/>
          </w:tcPr>
          <w:p w14:paraId="0DD079B7" w14:textId="77777777" w:rsidR="007C0F2A" w:rsidRPr="009A2045" w:rsidRDefault="007C0F2A" w:rsidP="009A2045">
            <w:pPr>
              <w:spacing w:after="160" w:line="259" w:lineRule="auto"/>
            </w:pPr>
            <w:r w:rsidRPr="009A2045">
              <w:rPr>
                <w:rFonts w:ascii="Calibri" w:eastAsia="Calibri" w:hAnsi="Calibri" w:cs="Calibri"/>
                <w:u w:val="single"/>
              </w:rPr>
              <w:t>Adults</w:t>
            </w:r>
            <w:r w:rsidRPr="009A2045">
              <w:rPr>
                <w:rFonts w:ascii="Calibri" w:eastAsia="Calibri" w:hAnsi="Calibri" w:cs="Calibri"/>
              </w:rPr>
              <w:t xml:space="preserve"> -38.19 (31.9-45.7)</w:t>
            </w:r>
          </w:p>
          <w:p w14:paraId="11DA2C7D" w14:textId="77777777" w:rsidR="007C0F2A" w:rsidRPr="009A2045" w:rsidRDefault="007C0F2A" w:rsidP="009A2045">
            <w:pPr>
              <w:spacing w:after="160" w:line="259" w:lineRule="auto"/>
            </w:pPr>
            <w:r w:rsidRPr="009A2045">
              <w:rPr>
                <w:rFonts w:ascii="Calibri" w:eastAsia="Calibri" w:hAnsi="Calibri" w:cs="Calibri"/>
                <w:u w:val="single"/>
              </w:rPr>
              <w:t>18-d old</w:t>
            </w:r>
            <w:r w:rsidRPr="009A2045">
              <w:rPr>
                <w:rFonts w:ascii="Calibri" w:eastAsia="Calibri" w:hAnsi="Calibri" w:cs="Calibri"/>
              </w:rPr>
              <w:t xml:space="preserve"> – 13.24 (9.9-17.7)</w:t>
            </w:r>
          </w:p>
          <w:p w14:paraId="79E96410" w14:textId="77777777" w:rsidR="007C0F2A" w:rsidRPr="009A2045" w:rsidRDefault="007C0F2A" w:rsidP="009A2045">
            <w:pPr>
              <w:spacing w:after="160" w:line="259" w:lineRule="auto"/>
            </w:pPr>
            <w:r w:rsidRPr="009A2045">
              <w:rPr>
                <w:rFonts w:ascii="Calibri" w:eastAsia="Calibri" w:hAnsi="Calibri" w:cs="Calibri"/>
                <w:u w:val="single"/>
              </w:rPr>
              <w:t xml:space="preserve">Newly hatched </w:t>
            </w:r>
            <w:r w:rsidRPr="009A2045">
              <w:rPr>
                <w:rFonts w:ascii="Calibri" w:eastAsia="Calibri" w:hAnsi="Calibri" w:cs="Calibri"/>
              </w:rPr>
              <w:t>– 9.06 (7.6-10.7)</w:t>
            </w:r>
            <w:r w:rsidRPr="009A2045">
              <w:rPr>
                <w:rFonts w:ascii="Calibri" w:eastAsia="Calibri" w:hAnsi="Calibri" w:cs="Calibri"/>
                <w:u w:val="single"/>
              </w:rPr>
              <w:t xml:space="preserve"> </w:t>
            </w:r>
            <w:r w:rsidRPr="009A2045">
              <w:rPr>
                <w:rFonts w:ascii="Calibri" w:eastAsia="Calibri" w:hAnsi="Calibri" w:cs="Calibri"/>
              </w:rPr>
              <w:t>(R)</w:t>
            </w:r>
          </w:p>
        </w:tc>
        <w:tc>
          <w:tcPr>
            <w:tcW w:w="984" w:type="dxa"/>
          </w:tcPr>
          <w:p w14:paraId="09B0C3E9" w14:textId="77777777" w:rsidR="007C0F2A" w:rsidRPr="009A2045" w:rsidRDefault="007C0F2A" w:rsidP="009A2045">
            <w:pPr>
              <w:spacing w:after="160" w:line="259" w:lineRule="auto"/>
            </w:pPr>
            <w:r w:rsidRPr="009A2045">
              <w:rPr>
                <w:rFonts w:ascii="Calibri" w:eastAsia="Calibri" w:hAnsi="Calibri" w:cs="Calibri"/>
              </w:rPr>
              <w:t>Tech grade</w:t>
            </w:r>
            <w:r w:rsidRPr="009A2045">
              <w:rPr>
                <w:rFonts w:ascii="Calibri" w:eastAsia="Calibri" w:hAnsi="Calibri" w:cs="Calibri"/>
                <w:vertAlign w:val="superscript"/>
              </w:rPr>
              <w:t>3</w:t>
            </w:r>
          </w:p>
        </w:tc>
        <w:tc>
          <w:tcPr>
            <w:tcW w:w="1615" w:type="dxa"/>
          </w:tcPr>
          <w:p w14:paraId="5D586C21" w14:textId="77777777" w:rsidR="007C0F2A" w:rsidRPr="009A2045" w:rsidRDefault="007C0F2A" w:rsidP="009A2045">
            <w:pPr>
              <w:spacing w:after="160" w:line="259" w:lineRule="auto"/>
            </w:pPr>
            <w:r w:rsidRPr="009A2045">
              <w:rPr>
                <w:rFonts w:ascii="Calibri" w:eastAsia="Calibri" w:hAnsi="Calibri" w:cs="Calibri"/>
              </w:rPr>
              <w:t xml:space="preserve">Ecotox# 14346 (Key </w:t>
            </w:r>
            <w:r w:rsidRPr="009A2045">
              <w:rPr>
                <w:rFonts w:ascii="Calibri" w:eastAsia="Calibri" w:hAnsi="Calibri" w:cs="Calibri"/>
                <w:i/>
              </w:rPr>
              <w:t>et al</w:t>
            </w:r>
            <w:r w:rsidRPr="009A2045">
              <w:rPr>
                <w:rFonts w:ascii="Calibri" w:eastAsia="Calibri" w:hAnsi="Calibri" w:cs="Calibri"/>
              </w:rPr>
              <w:t>) / 1998</w:t>
            </w:r>
          </w:p>
        </w:tc>
      </w:tr>
      <w:tr w:rsidR="007C0F2A" w:rsidRPr="009A2045" w14:paraId="760E1ADC" w14:textId="77777777" w:rsidTr="00D94E26">
        <w:tc>
          <w:tcPr>
            <w:tcW w:w="1525" w:type="dxa"/>
            <w:vMerge/>
          </w:tcPr>
          <w:p w14:paraId="3ADFC256" w14:textId="77777777" w:rsidR="007C0F2A" w:rsidRPr="009A2045" w:rsidRDefault="007C0F2A" w:rsidP="009A2045">
            <w:pPr>
              <w:widowControl w:val="0"/>
              <w:spacing w:line="276" w:lineRule="auto"/>
            </w:pPr>
          </w:p>
        </w:tc>
        <w:tc>
          <w:tcPr>
            <w:tcW w:w="1714" w:type="dxa"/>
            <w:vMerge/>
          </w:tcPr>
          <w:p w14:paraId="352F24E0" w14:textId="77777777" w:rsidR="007C0F2A" w:rsidRPr="009A2045" w:rsidRDefault="007C0F2A" w:rsidP="009A2045">
            <w:pPr>
              <w:widowControl w:val="0"/>
              <w:spacing w:line="276" w:lineRule="auto"/>
            </w:pPr>
          </w:p>
        </w:tc>
        <w:tc>
          <w:tcPr>
            <w:tcW w:w="716" w:type="dxa"/>
            <w:vMerge/>
          </w:tcPr>
          <w:p w14:paraId="6CA671B9" w14:textId="77777777" w:rsidR="007C0F2A" w:rsidRPr="009A2045" w:rsidRDefault="007C0F2A" w:rsidP="009A2045">
            <w:pPr>
              <w:widowControl w:val="0"/>
              <w:spacing w:line="276" w:lineRule="auto"/>
            </w:pPr>
          </w:p>
        </w:tc>
        <w:tc>
          <w:tcPr>
            <w:tcW w:w="1170" w:type="dxa"/>
          </w:tcPr>
          <w:p w14:paraId="4865C9EE" w14:textId="77777777" w:rsidR="007C0F2A" w:rsidRPr="009A2045" w:rsidRDefault="007C0F2A" w:rsidP="009A2045">
            <w:pPr>
              <w:spacing w:after="160" w:line="259" w:lineRule="auto"/>
            </w:pPr>
          </w:p>
          <w:p w14:paraId="040095E4" w14:textId="77777777" w:rsidR="007C0F2A" w:rsidRPr="009A2045" w:rsidRDefault="007C0F2A" w:rsidP="009A2045">
            <w:pPr>
              <w:spacing w:after="160" w:line="259" w:lineRule="auto"/>
            </w:pPr>
          </w:p>
          <w:p w14:paraId="25830AEB" w14:textId="77777777" w:rsidR="007C0F2A" w:rsidRPr="009A2045" w:rsidRDefault="007C0F2A" w:rsidP="009A2045">
            <w:pPr>
              <w:spacing w:after="160" w:line="259" w:lineRule="auto"/>
            </w:pPr>
          </w:p>
          <w:p w14:paraId="2F46B0F7" w14:textId="77777777" w:rsidR="007C0F2A" w:rsidRPr="009A2045" w:rsidRDefault="007C0F2A" w:rsidP="009A2045">
            <w:pPr>
              <w:spacing w:after="160" w:line="259" w:lineRule="auto"/>
            </w:pPr>
          </w:p>
        </w:tc>
        <w:tc>
          <w:tcPr>
            <w:tcW w:w="1626" w:type="dxa"/>
          </w:tcPr>
          <w:p w14:paraId="45FFB42B" w14:textId="77777777" w:rsidR="007C0F2A" w:rsidRPr="009A2045" w:rsidRDefault="007C0F2A" w:rsidP="009A2045">
            <w:pPr>
              <w:spacing w:after="160" w:line="259" w:lineRule="auto"/>
            </w:pPr>
            <w:r w:rsidRPr="009A2045">
              <w:rPr>
                <w:rFonts w:ascii="Calibri" w:eastAsia="Calibri" w:hAnsi="Calibri" w:cs="Calibri"/>
                <w:u w:val="single"/>
              </w:rPr>
              <w:lastRenderedPageBreak/>
              <w:t xml:space="preserve">Postlarvae – </w:t>
            </w:r>
            <w:r w:rsidRPr="009A2045">
              <w:rPr>
                <w:rFonts w:ascii="Calibri" w:eastAsia="Calibri" w:hAnsi="Calibri" w:cs="Calibri"/>
              </w:rPr>
              <w:t>39.92 (32.5-50.1)</w:t>
            </w:r>
            <w:r w:rsidRPr="009A2045">
              <w:rPr>
                <w:rFonts w:ascii="Calibri" w:eastAsia="Calibri" w:hAnsi="Calibri" w:cs="Calibri"/>
                <w:u w:val="single"/>
              </w:rPr>
              <w:t xml:space="preserve"> (</w:t>
            </w:r>
            <w:r w:rsidRPr="009A2045">
              <w:rPr>
                <w:rFonts w:ascii="Calibri" w:eastAsia="Calibri" w:hAnsi="Calibri" w:cs="Calibri"/>
              </w:rPr>
              <w:t>R)</w:t>
            </w:r>
          </w:p>
        </w:tc>
        <w:tc>
          <w:tcPr>
            <w:tcW w:w="984" w:type="dxa"/>
          </w:tcPr>
          <w:p w14:paraId="7DAFB78D" w14:textId="77777777" w:rsidR="007C0F2A" w:rsidRPr="009A2045" w:rsidRDefault="007C0F2A" w:rsidP="009A2045">
            <w:pPr>
              <w:spacing w:after="160" w:line="259" w:lineRule="auto"/>
            </w:pPr>
            <w:r w:rsidRPr="009A2045">
              <w:rPr>
                <w:rFonts w:ascii="Calibri" w:eastAsia="Calibri" w:hAnsi="Calibri" w:cs="Calibri"/>
              </w:rPr>
              <w:t>Tech grade</w:t>
            </w:r>
            <w:r w:rsidRPr="009A2045">
              <w:rPr>
                <w:rFonts w:ascii="Calibri" w:eastAsia="Calibri" w:hAnsi="Calibri" w:cs="Calibri"/>
                <w:vertAlign w:val="superscript"/>
              </w:rPr>
              <w:t>3</w:t>
            </w:r>
          </w:p>
        </w:tc>
        <w:tc>
          <w:tcPr>
            <w:tcW w:w="1615" w:type="dxa"/>
          </w:tcPr>
          <w:p w14:paraId="59218592" w14:textId="77777777" w:rsidR="007C0F2A" w:rsidRPr="009A2045" w:rsidRDefault="007C0F2A" w:rsidP="009A2045">
            <w:pPr>
              <w:spacing w:after="160" w:line="259" w:lineRule="auto"/>
            </w:pPr>
            <w:r w:rsidRPr="009A2045">
              <w:rPr>
                <w:rFonts w:ascii="Calibri" w:eastAsia="Calibri" w:hAnsi="Calibri" w:cs="Calibri"/>
              </w:rPr>
              <w:t xml:space="preserve">Ecotox# 92616 (Key </w:t>
            </w:r>
            <w:r w:rsidRPr="009A2045">
              <w:rPr>
                <w:rFonts w:ascii="Calibri" w:eastAsia="Calibri" w:hAnsi="Calibri" w:cs="Calibri"/>
                <w:i/>
              </w:rPr>
              <w:t>et al</w:t>
            </w:r>
            <w:r w:rsidRPr="009A2045">
              <w:rPr>
                <w:rFonts w:ascii="Calibri" w:eastAsia="Calibri" w:hAnsi="Calibri" w:cs="Calibri"/>
              </w:rPr>
              <w:t>) / 2006</w:t>
            </w:r>
          </w:p>
        </w:tc>
      </w:tr>
      <w:tr w:rsidR="007C0F2A" w:rsidRPr="009A2045" w14:paraId="391D2C59" w14:textId="77777777" w:rsidTr="00D94E26">
        <w:tc>
          <w:tcPr>
            <w:tcW w:w="1525" w:type="dxa"/>
            <w:vMerge w:val="restart"/>
          </w:tcPr>
          <w:p w14:paraId="16296E8C" w14:textId="77777777" w:rsidR="007C0F2A" w:rsidRPr="009A2045" w:rsidRDefault="007C0F2A" w:rsidP="009A2045">
            <w:pPr>
              <w:spacing w:after="160" w:line="259" w:lineRule="auto"/>
            </w:pPr>
            <w:r w:rsidRPr="009A2045">
              <w:rPr>
                <w:rFonts w:ascii="Calibri" w:eastAsia="Calibri" w:hAnsi="Calibri" w:cs="Calibri"/>
              </w:rPr>
              <w:lastRenderedPageBreak/>
              <w:t>Amphipod (</w:t>
            </w:r>
            <w:r w:rsidRPr="009A2045">
              <w:rPr>
                <w:rFonts w:ascii="Calibri" w:eastAsia="Calibri" w:hAnsi="Calibri" w:cs="Calibri"/>
                <w:i/>
              </w:rPr>
              <w:t>Gammarus pseudolimnaeus</w:t>
            </w:r>
            <w:r w:rsidRPr="009A2045">
              <w:rPr>
                <w:rFonts w:ascii="Calibri" w:eastAsia="Calibri" w:hAnsi="Calibri" w:cs="Calibri"/>
              </w:rPr>
              <w:t>)</w:t>
            </w:r>
          </w:p>
        </w:tc>
        <w:tc>
          <w:tcPr>
            <w:tcW w:w="1714" w:type="dxa"/>
            <w:vMerge w:val="restart"/>
          </w:tcPr>
          <w:p w14:paraId="4E82B7D1" w14:textId="77777777" w:rsidR="007C0F2A" w:rsidRPr="009A2045" w:rsidRDefault="007C0F2A" w:rsidP="009A2045">
            <w:pPr>
              <w:spacing w:after="160" w:line="259" w:lineRule="auto"/>
            </w:pPr>
            <w:r w:rsidRPr="009A2045">
              <w:rPr>
                <w:rFonts w:ascii="Calibri" w:eastAsia="Calibri" w:hAnsi="Calibri" w:cs="Calibri"/>
              </w:rPr>
              <w:t>2.1</w:t>
            </w:r>
          </w:p>
          <w:p w14:paraId="07D2A74B" w14:textId="77777777" w:rsidR="007C0F2A" w:rsidRPr="009A2045" w:rsidRDefault="007C0F2A" w:rsidP="009A2045">
            <w:pPr>
              <w:spacing w:after="160" w:line="259" w:lineRule="auto"/>
            </w:pPr>
            <w:r w:rsidRPr="009A2045">
              <w:rPr>
                <w:rFonts w:ascii="Calibri" w:eastAsia="Calibri" w:hAnsi="Calibri" w:cs="Calibri"/>
              </w:rPr>
              <w:t>(1.6-2.7)</w:t>
            </w:r>
          </w:p>
          <w:p w14:paraId="37689DF8" w14:textId="77777777" w:rsidR="007C0F2A" w:rsidRPr="009A2045" w:rsidRDefault="007C0F2A" w:rsidP="009A2045">
            <w:pPr>
              <w:spacing w:after="160" w:line="259" w:lineRule="auto"/>
            </w:pPr>
          </w:p>
          <w:p w14:paraId="43811600" w14:textId="77777777" w:rsidR="007C0F2A" w:rsidRPr="009A2045" w:rsidRDefault="007C0F2A" w:rsidP="009A2045">
            <w:pPr>
              <w:spacing w:after="160" w:line="259" w:lineRule="auto"/>
            </w:pPr>
          </w:p>
        </w:tc>
        <w:tc>
          <w:tcPr>
            <w:tcW w:w="716" w:type="dxa"/>
            <w:vMerge w:val="restart"/>
          </w:tcPr>
          <w:p w14:paraId="4A35CED9"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vMerge w:val="restart"/>
          </w:tcPr>
          <w:p w14:paraId="0D4D344D" w14:textId="77777777" w:rsidR="007C0F2A" w:rsidRPr="009A2045" w:rsidRDefault="007C0F2A" w:rsidP="009A2045">
            <w:pPr>
              <w:spacing w:after="160" w:line="259" w:lineRule="auto"/>
            </w:pPr>
            <w:r w:rsidRPr="009A2045">
              <w:rPr>
                <w:rFonts w:ascii="Calibri" w:eastAsia="Calibri" w:hAnsi="Calibri" w:cs="Calibri"/>
              </w:rPr>
              <w:t>MRID 49389402 / 2014</w:t>
            </w:r>
          </w:p>
        </w:tc>
        <w:tc>
          <w:tcPr>
            <w:tcW w:w="1626" w:type="dxa"/>
          </w:tcPr>
          <w:p w14:paraId="65DC1CCD" w14:textId="77777777" w:rsidR="007C0F2A" w:rsidRPr="009A2045" w:rsidRDefault="007C0F2A" w:rsidP="009A2045">
            <w:pPr>
              <w:spacing w:after="160" w:line="259" w:lineRule="auto"/>
            </w:pPr>
            <w:r w:rsidRPr="009A2045">
              <w:rPr>
                <w:rFonts w:ascii="Calibri" w:eastAsia="Calibri" w:hAnsi="Calibri" w:cs="Calibri"/>
              </w:rPr>
              <w:t>0.5-0.9</w:t>
            </w:r>
          </w:p>
          <w:p w14:paraId="4849D278" w14:textId="77777777" w:rsidR="007C0F2A" w:rsidRPr="009A2045" w:rsidRDefault="007C0F2A" w:rsidP="009A2045">
            <w:pPr>
              <w:spacing w:after="160" w:line="259" w:lineRule="auto"/>
            </w:pPr>
            <w:r w:rsidRPr="009A2045">
              <w:rPr>
                <w:rFonts w:ascii="Calibri" w:eastAsia="Calibri" w:hAnsi="Calibri" w:cs="Calibri"/>
              </w:rPr>
              <w:t>(</w:t>
            </w:r>
            <w:r w:rsidRPr="009A2045">
              <w:rPr>
                <w:rFonts w:ascii="Calibri" w:eastAsia="Calibri" w:hAnsi="Calibri" w:cs="Calibri"/>
                <w:i/>
              </w:rPr>
              <w:t>G. fasciatus</w:t>
            </w:r>
            <w:r w:rsidRPr="009A2045">
              <w:rPr>
                <w:rFonts w:ascii="Calibri" w:eastAsia="Calibri" w:hAnsi="Calibri" w:cs="Calibri"/>
              </w:rPr>
              <w:t>) (S)</w:t>
            </w:r>
          </w:p>
          <w:p w14:paraId="531C11F2" w14:textId="77777777" w:rsidR="007C0F2A" w:rsidRPr="009A2045" w:rsidRDefault="007C0F2A" w:rsidP="009A2045">
            <w:pPr>
              <w:spacing w:after="160" w:line="259" w:lineRule="auto"/>
            </w:pPr>
          </w:p>
        </w:tc>
        <w:tc>
          <w:tcPr>
            <w:tcW w:w="984" w:type="dxa"/>
          </w:tcPr>
          <w:p w14:paraId="76E94E46" w14:textId="77777777" w:rsidR="007C0F2A" w:rsidRPr="009A2045" w:rsidRDefault="007C0F2A" w:rsidP="009A2045">
            <w:pPr>
              <w:spacing w:after="160" w:line="259" w:lineRule="auto"/>
            </w:pPr>
            <w:r w:rsidRPr="009A2045">
              <w:rPr>
                <w:rFonts w:ascii="Calibri" w:eastAsia="Calibri" w:hAnsi="Calibri" w:cs="Calibri"/>
              </w:rPr>
              <w:t>95</w:t>
            </w:r>
          </w:p>
        </w:tc>
        <w:tc>
          <w:tcPr>
            <w:tcW w:w="1615" w:type="dxa"/>
          </w:tcPr>
          <w:p w14:paraId="6F6CB9B4" w14:textId="77777777" w:rsidR="007C0F2A" w:rsidRPr="009A2045" w:rsidRDefault="007C0F2A" w:rsidP="009A2045">
            <w:pPr>
              <w:spacing w:after="160" w:line="259" w:lineRule="auto"/>
            </w:pPr>
            <w:r w:rsidRPr="009A2045">
              <w:rPr>
                <w:rFonts w:ascii="Calibri" w:eastAsia="Calibri" w:hAnsi="Calibri" w:cs="Calibri"/>
              </w:rPr>
              <w:t xml:space="preserve">Ecotox# 6797 (Mayer &amp; Ellersieck) / 1986 </w:t>
            </w:r>
          </w:p>
        </w:tc>
      </w:tr>
      <w:tr w:rsidR="007C0F2A" w:rsidRPr="009A2045" w14:paraId="1E08EE8B" w14:textId="77777777" w:rsidTr="00D94E26">
        <w:tc>
          <w:tcPr>
            <w:tcW w:w="1525" w:type="dxa"/>
            <w:vMerge/>
          </w:tcPr>
          <w:p w14:paraId="2F3B12D9" w14:textId="77777777" w:rsidR="007C0F2A" w:rsidRPr="009A2045" w:rsidRDefault="007C0F2A" w:rsidP="009A2045">
            <w:pPr>
              <w:widowControl w:val="0"/>
              <w:spacing w:line="276" w:lineRule="auto"/>
            </w:pPr>
          </w:p>
        </w:tc>
        <w:tc>
          <w:tcPr>
            <w:tcW w:w="1714" w:type="dxa"/>
            <w:vMerge/>
          </w:tcPr>
          <w:p w14:paraId="084ED15F" w14:textId="77777777" w:rsidR="007C0F2A" w:rsidRPr="009A2045" w:rsidRDefault="007C0F2A" w:rsidP="009A2045">
            <w:pPr>
              <w:widowControl w:val="0"/>
              <w:spacing w:line="276" w:lineRule="auto"/>
            </w:pPr>
          </w:p>
        </w:tc>
        <w:tc>
          <w:tcPr>
            <w:tcW w:w="716" w:type="dxa"/>
            <w:vMerge/>
          </w:tcPr>
          <w:p w14:paraId="52C2E860" w14:textId="77777777" w:rsidR="007C0F2A" w:rsidRPr="009A2045" w:rsidRDefault="007C0F2A" w:rsidP="009A2045">
            <w:pPr>
              <w:widowControl w:val="0"/>
              <w:spacing w:line="276" w:lineRule="auto"/>
            </w:pPr>
          </w:p>
        </w:tc>
        <w:tc>
          <w:tcPr>
            <w:tcW w:w="1170" w:type="dxa"/>
            <w:vMerge w:val="restart"/>
          </w:tcPr>
          <w:p w14:paraId="1A5993ED" w14:textId="77777777" w:rsidR="007C0F2A" w:rsidRPr="009A2045" w:rsidRDefault="007C0F2A" w:rsidP="009A2045">
            <w:pPr>
              <w:spacing w:after="160" w:line="259" w:lineRule="auto"/>
            </w:pPr>
          </w:p>
          <w:p w14:paraId="798CB7E5" w14:textId="77777777" w:rsidR="007C0F2A" w:rsidRPr="009A2045" w:rsidRDefault="007C0F2A" w:rsidP="009A2045">
            <w:pPr>
              <w:spacing w:after="160" w:line="259" w:lineRule="auto"/>
            </w:pPr>
          </w:p>
          <w:p w14:paraId="2677D35D" w14:textId="77777777" w:rsidR="007C0F2A" w:rsidRPr="009A2045" w:rsidRDefault="007C0F2A" w:rsidP="009A2045">
            <w:pPr>
              <w:spacing w:after="160" w:line="259" w:lineRule="auto"/>
            </w:pPr>
          </w:p>
          <w:p w14:paraId="5DF46456" w14:textId="77777777" w:rsidR="007C0F2A" w:rsidRPr="009A2045" w:rsidRDefault="007C0F2A" w:rsidP="009A2045">
            <w:pPr>
              <w:spacing w:after="160" w:line="259" w:lineRule="auto"/>
            </w:pPr>
          </w:p>
        </w:tc>
        <w:tc>
          <w:tcPr>
            <w:tcW w:w="1626" w:type="dxa"/>
          </w:tcPr>
          <w:p w14:paraId="03BA1103" w14:textId="77777777" w:rsidR="007C0F2A" w:rsidRPr="009A2045" w:rsidRDefault="007C0F2A" w:rsidP="009A2045">
            <w:pPr>
              <w:spacing w:after="160" w:line="259" w:lineRule="auto"/>
            </w:pPr>
            <w:r w:rsidRPr="009A2045">
              <w:rPr>
                <w:rFonts w:ascii="Calibri" w:eastAsia="Calibri" w:hAnsi="Calibri" w:cs="Calibri"/>
              </w:rPr>
              <w:t>4.65 (3.47-6.21)</w:t>
            </w:r>
            <w:r w:rsidRPr="009A2045">
              <w:rPr>
                <w:rFonts w:ascii="Calibri" w:eastAsia="Calibri" w:hAnsi="Calibri" w:cs="Calibri"/>
                <w:u w:val="single"/>
              </w:rPr>
              <w:t xml:space="preserve"> </w:t>
            </w:r>
            <w:r w:rsidRPr="009A2045">
              <w:rPr>
                <w:rFonts w:ascii="Calibri" w:eastAsia="Calibri" w:hAnsi="Calibri" w:cs="Calibri"/>
              </w:rPr>
              <w:t>(S)</w:t>
            </w:r>
          </w:p>
          <w:p w14:paraId="142B446F" w14:textId="77777777" w:rsidR="007C0F2A" w:rsidRPr="009A2045" w:rsidRDefault="007C0F2A" w:rsidP="009A2045">
            <w:pPr>
              <w:spacing w:after="160" w:line="259" w:lineRule="auto"/>
            </w:pPr>
            <w:r w:rsidRPr="009A2045">
              <w:rPr>
                <w:rFonts w:ascii="Calibri" w:eastAsia="Calibri" w:hAnsi="Calibri" w:cs="Calibri"/>
              </w:rPr>
              <w:t>2.29 (1.74-3.03)</w:t>
            </w:r>
          </w:p>
          <w:p w14:paraId="5AED0D78" w14:textId="77777777" w:rsidR="007C0F2A" w:rsidRPr="009A2045" w:rsidRDefault="007C0F2A" w:rsidP="009A2045">
            <w:pPr>
              <w:spacing w:after="160" w:line="259" w:lineRule="auto"/>
            </w:pPr>
            <w:r w:rsidRPr="009A2045">
              <w:rPr>
                <w:rFonts w:ascii="Calibri" w:eastAsia="Calibri" w:hAnsi="Calibri" w:cs="Calibri"/>
              </w:rPr>
              <w:t>(</w:t>
            </w:r>
            <w:r w:rsidRPr="009A2045">
              <w:rPr>
                <w:rFonts w:ascii="Calibri" w:eastAsia="Calibri" w:hAnsi="Calibri" w:cs="Calibri"/>
                <w:i/>
              </w:rPr>
              <w:t>G. palustris</w:t>
            </w:r>
            <w:r w:rsidRPr="009A2045">
              <w:rPr>
                <w:rFonts w:ascii="Calibri" w:eastAsia="Calibri" w:hAnsi="Calibri" w:cs="Calibri"/>
              </w:rPr>
              <w:t>) (R)</w:t>
            </w:r>
          </w:p>
        </w:tc>
        <w:tc>
          <w:tcPr>
            <w:tcW w:w="984" w:type="dxa"/>
          </w:tcPr>
          <w:p w14:paraId="532AA8CF" w14:textId="77777777" w:rsidR="007C0F2A" w:rsidRPr="009A2045" w:rsidRDefault="007C0F2A" w:rsidP="009A2045">
            <w:pPr>
              <w:spacing w:after="160" w:line="259" w:lineRule="auto"/>
            </w:pPr>
            <w:r w:rsidRPr="009A2045">
              <w:rPr>
                <w:rFonts w:ascii="Calibri" w:eastAsia="Calibri" w:hAnsi="Calibri" w:cs="Calibri"/>
              </w:rPr>
              <w:t>Tech grade</w:t>
            </w:r>
            <w:r w:rsidRPr="009A2045">
              <w:rPr>
                <w:rFonts w:ascii="Calibri" w:eastAsia="Calibri" w:hAnsi="Calibri" w:cs="Calibri"/>
                <w:vertAlign w:val="superscript"/>
              </w:rPr>
              <w:t>4</w:t>
            </w:r>
          </w:p>
        </w:tc>
        <w:tc>
          <w:tcPr>
            <w:tcW w:w="1615" w:type="dxa"/>
          </w:tcPr>
          <w:p w14:paraId="269ADC7A" w14:textId="77777777" w:rsidR="007C0F2A" w:rsidRPr="009A2045" w:rsidRDefault="007C0F2A" w:rsidP="009A2045">
            <w:pPr>
              <w:spacing w:after="160" w:line="259" w:lineRule="auto"/>
            </w:pPr>
            <w:r w:rsidRPr="009A2045">
              <w:rPr>
                <w:rFonts w:ascii="Calibri" w:eastAsia="Calibri" w:hAnsi="Calibri" w:cs="Calibri"/>
              </w:rPr>
              <w:t xml:space="preserve">Ecotox# 51439 (Leight </w:t>
            </w:r>
            <w:r w:rsidRPr="009A2045">
              <w:rPr>
                <w:rFonts w:ascii="Calibri" w:eastAsia="Calibri" w:hAnsi="Calibri" w:cs="Calibri"/>
                <w:i/>
              </w:rPr>
              <w:t>et al</w:t>
            </w:r>
            <w:r w:rsidRPr="009A2045">
              <w:rPr>
                <w:rFonts w:ascii="Calibri" w:eastAsia="Calibri" w:hAnsi="Calibri" w:cs="Calibri"/>
              </w:rPr>
              <w:t>.) / 1999</w:t>
            </w:r>
          </w:p>
        </w:tc>
      </w:tr>
      <w:tr w:rsidR="007C0F2A" w:rsidRPr="009A2045" w14:paraId="103AA442" w14:textId="77777777" w:rsidTr="00D94E26">
        <w:tc>
          <w:tcPr>
            <w:tcW w:w="1525" w:type="dxa"/>
            <w:vMerge/>
          </w:tcPr>
          <w:p w14:paraId="57B40324" w14:textId="77777777" w:rsidR="007C0F2A" w:rsidRPr="009A2045" w:rsidRDefault="007C0F2A" w:rsidP="009A2045">
            <w:pPr>
              <w:widowControl w:val="0"/>
              <w:spacing w:line="276" w:lineRule="auto"/>
            </w:pPr>
          </w:p>
        </w:tc>
        <w:tc>
          <w:tcPr>
            <w:tcW w:w="1714" w:type="dxa"/>
            <w:vMerge/>
          </w:tcPr>
          <w:p w14:paraId="2FE96235" w14:textId="77777777" w:rsidR="007C0F2A" w:rsidRPr="009A2045" w:rsidRDefault="007C0F2A" w:rsidP="009A2045">
            <w:pPr>
              <w:widowControl w:val="0"/>
              <w:spacing w:line="276" w:lineRule="auto"/>
            </w:pPr>
          </w:p>
        </w:tc>
        <w:tc>
          <w:tcPr>
            <w:tcW w:w="716" w:type="dxa"/>
            <w:vMerge/>
          </w:tcPr>
          <w:p w14:paraId="276954D6" w14:textId="77777777" w:rsidR="007C0F2A" w:rsidRPr="009A2045" w:rsidRDefault="007C0F2A" w:rsidP="009A2045">
            <w:pPr>
              <w:widowControl w:val="0"/>
              <w:spacing w:line="276" w:lineRule="auto"/>
            </w:pPr>
          </w:p>
        </w:tc>
        <w:tc>
          <w:tcPr>
            <w:tcW w:w="1170" w:type="dxa"/>
          </w:tcPr>
          <w:p w14:paraId="0EE85775" w14:textId="77777777" w:rsidR="007C0F2A" w:rsidRPr="009A2045" w:rsidRDefault="007C0F2A" w:rsidP="009A2045">
            <w:pPr>
              <w:spacing w:after="160" w:line="259" w:lineRule="auto"/>
            </w:pPr>
          </w:p>
          <w:p w14:paraId="026FE273" w14:textId="77777777" w:rsidR="007C0F2A" w:rsidRPr="009A2045" w:rsidRDefault="007C0F2A" w:rsidP="009A2045">
            <w:pPr>
              <w:spacing w:after="160" w:line="259" w:lineRule="auto"/>
            </w:pPr>
          </w:p>
          <w:p w14:paraId="194EF912" w14:textId="77777777" w:rsidR="007C0F2A" w:rsidRPr="009A2045" w:rsidRDefault="007C0F2A" w:rsidP="009A2045">
            <w:pPr>
              <w:spacing w:after="160" w:line="259" w:lineRule="auto"/>
            </w:pPr>
          </w:p>
          <w:p w14:paraId="05B5F03A" w14:textId="77777777" w:rsidR="007C0F2A" w:rsidRPr="009A2045" w:rsidRDefault="007C0F2A" w:rsidP="009A2045">
            <w:pPr>
              <w:spacing w:after="160" w:line="259" w:lineRule="auto"/>
            </w:pPr>
          </w:p>
        </w:tc>
        <w:tc>
          <w:tcPr>
            <w:tcW w:w="1626" w:type="dxa"/>
          </w:tcPr>
          <w:p w14:paraId="2FCD8C88" w14:textId="77777777" w:rsidR="007C0F2A" w:rsidRPr="009A2045" w:rsidRDefault="007C0F2A" w:rsidP="009A2045">
            <w:pPr>
              <w:spacing w:after="160" w:line="259" w:lineRule="auto"/>
            </w:pPr>
            <w:r w:rsidRPr="009A2045">
              <w:rPr>
                <w:rFonts w:ascii="Calibri" w:eastAsia="Calibri" w:hAnsi="Calibri" w:cs="Calibri"/>
              </w:rPr>
              <w:t>0.33 (0.3-0.36)</w:t>
            </w:r>
          </w:p>
          <w:p w14:paraId="7B94FE5E" w14:textId="77777777" w:rsidR="007C0F2A" w:rsidRPr="009A2045" w:rsidRDefault="007C0F2A" w:rsidP="009A2045">
            <w:pPr>
              <w:spacing w:after="160" w:line="259" w:lineRule="auto"/>
            </w:pPr>
            <w:r w:rsidRPr="009A2045">
              <w:rPr>
                <w:rFonts w:ascii="Calibri" w:eastAsia="Calibri" w:hAnsi="Calibri" w:cs="Calibri"/>
              </w:rPr>
              <w:t>(</w:t>
            </w:r>
            <w:r w:rsidRPr="009A2045">
              <w:rPr>
                <w:rFonts w:ascii="Calibri" w:eastAsia="Calibri" w:hAnsi="Calibri" w:cs="Calibri"/>
                <w:i/>
              </w:rPr>
              <w:t>G. pulex</w:t>
            </w:r>
            <w:r w:rsidRPr="009A2045">
              <w:rPr>
                <w:rFonts w:ascii="Calibri" w:eastAsia="Calibri" w:hAnsi="Calibri" w:cs="Calibri"/>
              </w:rPr>
              <w:t>) (S)</w:t>
            </w:r>
          </w:p>
        </w:tc>
        <w:tc>
          <w:tcPr>
            <w:tcW w:w="984" w:type="dxa"/>
          </w:tcPr>
          <w:p w14:paraId="1DEF487F" w14:textId="77777777" w:rsidR="007C0F2A" w:rsidRPr="009A2045" w:rsidRDefault="007C0F2A" w:rsidP="009A2045">
            <w:pPr>
              <w:spacing w:after="160" w:line="259" w:lineRule="auto"/>
            </w:pPr>
            <w:r w:rsidRPr="009A2045">
              <w:rPr>
                <w:rFonts w:ascii="Calibri" w:eastAsia="Calibri" w:hAnsi="Calibri" w:cs="Calibri"/>
              </w:rPr>
              <w:t>97.78</w:t>
            </w:r>
            <w:r w:rsidRPr="009A2045">
              <w:rPr>
                <w:rFonts w:ascii="Calibri" w:eastAsia="Calibri" w:hAnsi="Calibri" w:cs="Calibri"/>
                <w:vertAlign w:val="superscript"/>
              </w:rPr>
              <w:t>5</w:t>
            </w:r>
          </w:p>
        </w:tc>
        <w:tc>
          <w:tcPr>
            <w:tcW w:w="1615" w:type="dxa"/>
          </w:tcPr>
          <w:p w14:paraId="7FBCFCC9" w14:textId="77777777" w:rsidR="007C0F2A" w:rsidRPr="009A2045" w:rsidRDefault="007C0F2A" w:rsidP="009A2045">
            <w:pPr>
              <w:spacing w:after="160" w:line="259" w:lineRule="auto"/>
            </w:pPr>
            <w:r w:rsidRPr="009A2045">
              <w:rPr>
                <w:rFonts w:ascii="Calibri" w:eastAsia="Calibri" w:hAnsi="Calibri" w:cs="Calibri"/>
              </w:rPr>
              <w:t xml:space="preserve">Ecotox# 153561 (Ashauer </w:t>
            </w:r>
            <w:r w:rsidRPr="009A2045">
              <w:rPr>
                <w:rFonts w:ascii="Calibri" w:eastAsia="Calibri" w:hAnsi="Calibri" w:cs="Calibri"/>
                <w:i/>
              </w:rPr>
              <w:t>et al</w:t>
            </w:r>
            <w:r w:rsidRPr="009A2045">
              <w:rPr>
                <w:rFonts w:ascii="Calibri" w:eastAsia="Calibri" w:hAnsi="Calibri" w:cs="Calibri"/>
              </w:rPr>
              <w:t>) / 2011</w:t>
            </w:r>
          </w:p>
        </w:tc>
      </w:tr>
      <w:tr w:rsidR="007C0F2A" w:rsidRPr="009A2045" w14:paraId="14CD9B19" w14:textId="77777777" w:rsidTr="00D94E26">
        <w:tc>
          <w:tcPr>
            <w:tcW w:w="1525" w:type="dxa"/>
          </w:tcPr>
          <w:p w14:paraId="34BC278F" w14:textId="77777777" w:rsidR="007C0F2A" w:rsidRPr="009A2045" w:rsidRDefault="007C0F2A" w:rsidP="009A2045">
            <w:pPr>
              <w:spacing w:after="160" w:line="259" w:lineRule="auto"/>
            </w:pPr>
            <w:r w:rsidRPr="009A2045">
              <w:rPr>
                <w:rFonts w:ascii="Calibri" w:eastAsia="Calibri" w:hAnsi="Calibri" w:cs="Calibri"/>
              </w:rPr>
              <w:t>Mayfly (</w:t>
            </w:r>
            <w:r w:rsidRPr="009A2045">
              <w:rPr>
                <w:rFonts w:ascii="Calibri" w:eastAsia="Calibri" w:hAnsi="Calibri" w:cs="Calibri"/>
                <w:i/>
              </w:rPr>
              <w:t>Centroptilum triangulifer</w:t>
            </w:r>
            <w:r w:rsidRPr="009A2045">
              <w:rPr>
                <w:rFonts w:ascii="Calibri" w:eastAsia="Calibri" w:hAnsi="Calibri" w:cs="Calibri"/>
              </w:rPr>
              <w:t>)</w:t>
            </w:r>
          </w:p>
        </w:tc>
        <w:tc>
          <w:tcPr>
            <w:tcW w:w="1714" w:type="dxa"/>
          </w:tcPr>
          <w:p w14:paraId="3146598A" w14:textId="77777777" w:rsidR="007C0F2A" w:rsidRPr="009A2045" w:rsidRDefault="007C0F2A" w:rsidP="009A2045">
            <w:pPr>
              <w:spacing w:after="160" w:line="259" w:lineRule="auto"/>
            </w:pPr>
            <w:r w:rsidRPr="009A2045">
              <w:rPr>
                <w:rFonts w:ascii="Calibri" w:eastAsia="Calibri" w:hAnsi="Calibri" w:cs="Calibri"/>
              </w:rPr>
              <w:t>23</w:t>
            </w:r>
          </w:p>
          <w:p w14:paraId="72E5CCA2" w14:textId="77777777" w:rsidR="007C0F2A" w:rsidRPr="009A2045" w:rsidRDefault="007C0F2A" w:rsidP="009A2045">
            <w:pPr>
              <w:spacing w:after="160" w:line="259" w:lineRule="auto"/>
            </w:pPr>
            <w:r w:rsidRPr="009A2045">
              <w:rPr>
                <w:rFonts w:ascii="Calibri" w:eastAsia="Calibri" w:hAnsi="Calibri" w:cs="Calibri"/>
              </w:rPr>
              <w:t>(20-26)</w:t>
            </w:r>
          </w:p>
        </w:tc>
        <w:tc>
          <w:tcPr>
            <w:tcW w:w="716" w:type="dxa"/>
          </w:tcPr>
          <w:p w14:paraId="74E86A52"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tcPr>
          <w:p w14:paraId="1343B537" w14:textId="77777777" w:rsidR="007C0F2A" w:rsidRPr="009A2045" w:rsidRDefault="007C0F2A" w:rsidP="009A2045">
            <w:pPr>
              <w:spacing w:after="160" w:line="259" w:lineRule="auto"/>
            </w:pPr>
            <w:r w:rsidRPr="009A2045">
              <w:rPr>
                <w:rFonts w:ascii="Calibri" w:eastAsia="Calibri" w:hAnsi="Calibri" w:cs="Calibri"/>
              </w:rPr>
              <w:t>MRID 49479001 / 2014</w:t>
            </w:r>
          </w:p>
        </w:tc>
        <w:tc>
          <w:tcPr>
            <w:tcW w:w="1626" w:type="dxa"/>
          </w:tcPr>
          <w:p w14:paraId="278BC856" w14:textId="77777777" w:rsidR="007C0F2A" w:rsidRPr="009A2045" w:rsidRDefault="007C0F2A" w:rsidP="009A2045">
            <w:pPr>
              <w:spacing w:after="160" w:line="259" w:lineRule="auto"/>
            </w:pPr>
            <w:r w:rsidRPr="009A2045">
              <w:rPr>
                <w:rFonts w:ascii="Calibri" w:eastAsia="Calibri" w:hAnsi="Calibri" w:cs="Calibri"/>
              </w:rPr>
              <w:t>NA</w:t>
            </w:r>
          </w:p>
        </w:tc>
        <w:tc>
          <w:tcPr>
            <w:tcW w:w="984" w:type="dxa"/>
          </w:tcPr>
          <w:p w14:paraId="38915E6A" w14:textId="77777777" w:rsidR="007C0F2A" w:rsidRPr="009A2045" w:rsidRDefault="007C0F2A" w:rsidP="009A2045">
            <w:pPr>
              <w:spacing w:after="160" w:line="259" w:lineRule="auto"/>
            </w:pPr>
            <w:r w:rsidRPr="009A2045">
              <w:rPr>
                <w:rFonts w:ascii="Calibri" w:eastAsia="Calibri" w:hAnsi="Calibri" w:cs="Calibri"/>
              </w:rPr>
              <w:t>--</w:t>
            </w:r>
          </w:p>
        </w:tc>
        <w:tc>
          <w:tcPr>
            <w:tcW w:w="1615" w:type="dxa"/>
          </w:tcPr>
          <w:p w14:paraId="3BDFD3D0" w14:textId="77777777" w:rsidR="007C0F2A" w:rsidRPr="009A2045" w:rsidRDefault="007C0F2A" w:rsidP="009A2045">
            <w:pPr>
              <w:spacing w:after="160" w:line="259" w:lineRule="auto"/>
            </w:pPr>
            <w:r w:rsidRPr="009A2045">
              <w:rPr>
                <w:rFonts w:ascii="Calibri" w:eastAsia="Calibri" w:hAnsi="Calibri" w:cs="Calibri"/>
              </w:rPr>
              <w:t>--</w:t>
            </w:r>
          </w:p>
        </w:tc>
      </w:tr>
      <w:tr w:rsidR="007C0F2A" w:rsidRPr="009A2045" w14:paraId="07ECB2D3" w14:textId="77777777" w:rsidTr="00D94E26">
        <w:tc>
          <w:tcPr>
            <w:tcW w:w="1525" w:type="dxa"/>
          </w:tcPr>
          <w:p w14:paraId="2EC3BAF7" w14:textId="77777777" w:rsidR="007C0F2A" w:rsidRPr="009A2045" w:rsidRDefault="007C0F2A" w:rsidP="009A2045">
            <w:pPr>
              <w:spacing w:after="160" w:line="259" w:lineRule="auto"/>
            </w:pPr>
            <w:r w:rsidRPr="009A2045">
              <w:rPr>
                <w:rFonts w:ascii="Calibri" w:eastAsia="Calibri" w:hAnsi="Calibri" w:cs="Calibri"/>
              </w:rPr>
              <w:t>Midge (</w:t>
            </w:r>
            <w:r w:rsidRPr="009A2045">
              <w:rPr>
                <w:rFonts w:ascii="Calibri" w:eastAsia="Calibri" w:hAnsi="Calibri" w:cs="Calibri"/>
                <w:i/>
              </w:rPr>
              <w:t>Chironomus tentans</w:t>
            </w:r>
            <w:r w:rsidRPr="009A2045">
              <w:rPr>
                <w:rFonts w:ascii="Calibri" w:eastAsia="Calibri" w:hAnsi="Calibri" w:cs="Calibri"/>
              </w:rPr>
              <w:t>)</w:t>
            </w:r>
          </w:p>
        </w:tc>
        <w:tc>
          <w:tcPr>
            <w:tcW w:w="1714" w:type="dxa"/>
          </w:tcPr>
          <w:p w14:paraId="25E86801" w14:textId="77777777" w:rsidR="007C0F2A" w:rsidRPr="009A2045" w:rsidRDefault="007C0F2A" w:rsidP="009A2045">
            <w:pPr>
              <w:spacing w:after="160" w:line="259" w:lineRule="auto"/>
            </w:pPr>
            <w:r w:rsidRPr="009A2045">
              <w:rPr>
                <w:rFonts w:ascii="Calibri" w:eastAsia="Calibri" w:hAnsi="Calibri" w:cs="Calibri"/>
              </w:rPr>
              <w:t>3.5</w:t>
            </w:r>
          </w:p>
          <w:p w14:paraId="5FEAB2C5" w14:textId="77777777" w:rsidR="007C0F2A" w:rsidRPr="009A2045" w:rsidRDefault="007C0F2A" w:rsidP="009A2045">
            <w:pPr>
              <w:spacing w:after="160" w:line="259" w:lineRule="auto"/>
            </w:pPr>
            <w:r w:rsidRPr="009A2045">
              <w:rPr>
                <w:rFonts w:ascii="Calibri" w:eastAsia="Calibri" w:hAnsi="Calibri" w:cs="Calibri"/>
              </w:rPr>
              <w:t>(2.9-4.1)</w:t>
            </w:r>
          </w:p>
        </w:tc>
        <w:tc>
          <w:tcPr>
            <w:tcW w:w="716" w:type="dxa"/>
          </w:tcPr>
          <w:p w14:paraId="49D9298D"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tcPr>
          <w:p w14:paraId="2B1BD4F9" w14:textId="77777777" w:rsidR="007C0F2A" w:rsidRPr="009A2045" w:rsidRDefault="007C0F2A" w:rsidP="009A2045">
            <w:pPr>
              <w:spacing w:after="160" w:line="259" w:lineRule="auto"/>
            </w:pPr>
            <w:r w:rsidRPr="009A2045">
              <w:rPr>
                <w:rFonts w:ascii="Calibri" w:eastAsia="Calibri" w:hAnsi="Calibri" w:cs="Calibri"/>
              </w:rPr>
              <w:t>MRID 49479002 / 2014</w:t>
            </w:r>
          </w:p>
        </w:tc>
        <w:tc>
          <w:tcPr>
            <w:tcW w:w="1626" w:type="dxa"/>
          </w:tcPr>
          <w:p w14:paraId="65C62A9F" w14:textId="77777777" w:rsidR="007C0F2A" w:rsidRPr="009A2045" w:rsidRDefault="007C0F2A" w:rsidP="009A2045">
            <w:pPr>
              <w:spacing w:after="160" w:line="259" w:lineRule="auto"/>
            </w:pPr>
            <w:r w:rsidRPr="009A2045">
              <w:rPr>
                <w:rFonts w:ascii="Calibri" w:eastAsia="Calibri" w:hAnsi="Calibri" w:cs="Calibri"/>
              </w:rPr>
              <w:t>26,900 (20,000-36,200)</w:t>
            </w:r>
          </w:p>
          <w:p w14:paraId="7E5E119D" w14:textId="77777777" w:rsidR="007C0F2A" w:rsidRPr="009A2045" w:rsidRDefault="007C0F2A" w:rsidP="009A2045">
            <w:pPr>
              <w:spacing w:after="160" w:line="259" w:lineRule="auto"/>
            </w:pPr>
            <w:r w:rsidRPr="009A2045">
              <w:rPr>
                <w:rFonts w:ascii="Calibri" w:eastAsia="Calibri" w:hAnsi="Calibri" w:cs="Calibri"/>
              </w:rPr>
              <w:t>(</w:t>
            </w:r>
            <w:r w:rsidRPr="009A2045">
              <w:rPr>
                <w:rFonts w:ascii="Calibri" w:eastAsia="Calibri" w:hAnsi="Calibri" w:cs="Calibri"/>
                <w:i/>
              </w:rPr>
              <w:t>C. riparius</w:t>
            </w:r>
            <w:r w:rsidRPr="009A2045">
              <w:rPr>
                <w:rFonts w:ascii="Calibri" w:eastAsia="Calibri" w:hAnsi="Calibri" w:cs="Calibri"/>
              </w:rPr>
              <w:t>) (R)</w:t>
            </w:r>
          </w:p>
          <w:p w14:paraId="79D6BDE6" w14:textId="77777777" w:rsidR="007C0F2A" w:rsidRPr="009A2045" w:rsidRDefault="007C0F2A" w:rsidP="009A2045">
            <w:pPr>
              <w:spacing w:after="160" w:line="259" w:lineRule="auto"/>
            </w:pPr>
          </w:p>
        </w:tc>
        <w:tc>
          <w:tcPr>
            <w:tcW w:w="984" w:type="dxa"/>
          </w:tcPr>
          <w:p w14:paraId="3E402926" w14:textId="77777777" w:rsidR="007C0F2A" w:rsidRPr="009A2045" w:rsidRDefault="007C0F2A" w:rsidP="009A2045">
            <w:pPr>
              <w:spacing w:after="160" w:line="259" w:lineRule="auto"/>
            </w:pPr>
            <w:r w:rsidRPr="009A2045">
              <w:rPr>
                <w:rFonts w:ascii="Calibri" w:eastAsia="Calibri" w:hAnsi="Calibri" w:cs="Calibri"/>
              </w:rPr>
              <w:t>40 (Carbophos)</w:t>
            </w:r>
          </w:p>
        </w:tc>
        <w:tc>
          <w:tcPr>
            <w:tcW w:w="1615" w:type="dxa"/>
          </w:tcPr>
          <w:p w14:paraId="3E7775BD" w14:textId="77777777" w:rsidR="007C0F2A" w:rsidRPr="009A2045" w:rsidRDefault="007C0F2A" w:rsidP="009A2045">
            <w:pPr>
              <w:spacing w:after="160" w:line="259" w:lineRule="auto"/>
            </w:pPr>
            <w:r w:rsidRPr="009A2045">
              <w:rPr>
                <w:rFonts w:ascii="Calibri" w:eastAsia="Calibri" w:hAnsi="Calibri" w:cs="Calibri"/>
              </w:rPr>
              <w:t xml:space="preserve">Ecotox# 77206 (Frumin </w:t>
            </w:r>
            <w:r w:rsidRPr="009A2045">
              <w:rPr>
                <w:rFonts w:ascii="Calibri" w:eastAsia="Calibri" w:hAnsi="Calibri" w:cs="Calibri"/>
                <w:i/>
              </w:rPr>
              <w:t>et al</w:t>
            </w:r>
            <w:r w:rsidRPr="009A2045">
              <w:rPr>
                <w:rFonts w:ascii="Calibri" w:eastAsia="Calibri" w:hAnsi="Calibri" w:cs="Calibri"/>
              </w:rPr>
              <w:t>) / 1992</w:t>
            </w:r>
          </w:p>
        </w:tc>
      </w:tr>
      <w:tr w:rsidR="007C0F2A" w:rsidRPr="009A2045" w14:paraId="4F2BB460" w14:textId="77777777" w:rsidTr="00D94E26">
        <w:tc>
          <w:tcPr>
            <w:tcW w:w="1525" w:type="dxa"/>
          </w:tcPr>
          <w:p w14:paraId="1E94EFFE" w14:textId="77777777" w:rsidR="007C0F2A" w:rsidRPr="009A2045" w:rsidRDefault="007C0F2A" w:rsidP="009A2045">
            <w:pPr>
              <w:spacing w:after="160" w:line="259" w:lineRule="auto"/>
            </w:pPr>
            <w:r w:rsidRPr="009A2045">
              <w:rPr>
                <w:rFonts w:ascii="Calibri" w:eastAsia="Calibri" w:hAnsi="Calibri" w:cs="Calibri"/>
              </w:rPr>
              <w:t>Oyster (</w:t>
            </w:r>
            <w:r w:rsidRPr="009A2045">
              <w:rPr>
                <w:rFonts w:ascii="Calibri" w:eastAsia="Calibri" w:hAnsi="Calibri" w:cs="Calibri"/>
                <w:i/>
              </w:rPr>
              <w:t>Crassostrea virginica</w:t>
            </w:r>
            <w:r w:rsidRPr="009A2045">
              <w:rPr>
                <w:rFonts w:ascii="Calibri" w:eastAsia="Calibri" w:hAnsi="Calibri" w:cs="Calibri"/>
              </w:rPr>
              <w:t>)</w:t>
            </w:r>
          </w:p>
        </w:tc>
        <w:tc>
          <w:tcPr>
            <w:tcW w:w="1714" w:type="dxa"/>
          </w:tcPr>
          <w:p w14:paraId="52C7A49C" w14:textId="77777777" w:rsidR="007C0F2A" w:rsidRPr="009A2045" w:rsidRDefault="007C0F2A" w:rsidP="009A2045">
            <w:pPr>
              <w:spacing w:after="160" w:line="259" w:lineRule="auto"/>
            </w:pPr>
            <w:r w:rsidRPr="009A2045">
              <w:rPr>
                <w:rFonts w:ascii="Calibri" w:eastAsia="Calibri" w:hAnsi="Calibri" w:cs="Calibri"/>
              </w:rPr>
              <w:t>2,700</w:t>
            </w:r>
          </w:p>
          <w:p w14:paraId="5002DD7F" w14:textId="77777777" w:rsidR="007C0F2A" w:rsidRPr="009A2045" w:rsidRDefault="007C0F2A" w:rsidP="009A2045">
            <w:pPr>
              <w:spacing w:after="160" w:line="259" w:lineRule="auto"/>
            </w:pPr>
            <w:r w:rsidRPr="009A2045">
              <w:rPr>
                <w:rFonts w:ascii="Calibri" w:eastAsia="Calibri" w:hAnsi="Calibri" w:cs="Calibri"/>
              </w:rPr>
              <w:t>(1,900-3,700) based on shell deposition inhibition</w:t>
            </w:r>
          </w:p>
        </w:tc>
        <w:tc>
          <w:tcPr>
            <w:tcW w:w="716" w:type="dxa"/>
          </w:tcPr>
          <w:p w14:paraId="18F82F66"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tcPr>
          <w:p w14:paraId="043F22DE" w14:textId="77777777" w:rsidR="007C0F2A" w:rsidRPr="009A2045" w:rsidRDefault="007C0F2A" w:rsidP="009A2045">
            <w:pPr>
              <w:spacing w:after="160" w:line="259" w:lineRule="auto"/>
            </w:pPr>
            <w:r w:rsidRPr="009A2045">
              <w:rPr>
                <w:rFonts w:ascii="Calibri" w:eastAsia="Calibri" w:hAnsi="Calibri" w:cs="Calibri"/>
              </w:rPr>
              <w:t>MRID 49389403 / 2014</w:t>
            </w:r>
          </w:p>
        </w:tc>
        <w:tc>
          <w:tcPr>
            <w:tcW w:w="1626" w:type="dxa"/>
          </w:tcPr>
          <w:p w14:paraId="052944B7" w14:textId="77777777" w:rsidR="007C0F2A" w:rsidRPr="009A2045" w:rsidRDefault="007C0F2A" w:rsidP="009A2045">
            <w:pPr>
              <w:spacing w:after="160" w:line="259" w:lineRule="auto"/>
            </w:pPr>
            <w:r w:rsidRPr="009A2045">
              <w:rPr>
                <w:rFonts w:ascii="Calibri" w:eastAsia="Calibri" w:hAnsi="Calibri" w:cs="Calibri"/>
              </w:rPr>
              <w:t>1,900</w:t>
            </w:r>
          </w:p>
          <w:p w14:paraId="1B3DDE73" w14:textId="77777777" w:rsidR="007C0F2A" w:rsidRPr="009A2045" w:rsidRDefault="007C0F2A" w:rsidP="009A2045">
            <w:pPr>
              <w:spacing w:after="160" w:line="259" w:lineRule="auto"/>
            </w:pPr>
            <w:r w:rsidRPr="009A2045">
              <w:rPr>
                <w:rFonts w:ascii="Calibri" w:eastAsia="Calibri" w:hAnsi="Calibri" w:cs="Calibri"/>
              </w:rPr>
              <w:t xml:space="preserve">(could not be calculated) (FT) </w:t>
            </w:r>
          </w:p>
          <w:p w14:paraId="2F8B9D92" w14:textId="77777777" w:rsidR="007C0F2A" w:rsidRPr="009A2045" w:rsidRDefault="007C0F2A" w:rsidP="009A2045">
            <w:pPr>
              <w:spacing w:after="160" w:line="259" w:lineRule="auto"/>
            </w:pPr>
          </w:p>
        </w:tc>
        <w:tc>
          <w:tcPr>
            <w:tcW w:w="984" w:type="dxa"/>
          </w:tcPr>
          <w:p w14:paraId="1A28C1EF" w14:textId="77777777" w:rsidR="007C0F2A" w:rsidRPr="009A2045" w:rsidRDefault="007C0F2A" w:rsidP="009A2045">
            <w:pPr>
              <w:spacing w:after="160" w:line="259" w:lineRule="auto"/>
            </w:pPr>
            <w:r w:rsidRPr="009A2045">
              <w:rPr>
                <w:rFonts w:ascii="Calibri" w:eastAsia="Calibri" w:hAnsi="Calibri" w:cs="Calibri"/>
              </w:rPr>
              <w:t>57</w:t>
            </w:r>
          </w:p>
        </w:tc>
        <w:tc>
          <w:tcPr>
            <w:tcW w:w="1615" w:type="dxa"/>
          </w:tcPr>
          <w:p w14:paraId="28A4A3C6" w14:textId="77777777" w:rsidR="007C0F2A" w:rsidRPr="009A2045" w:rsidRDefault="007C0F2A" w:rsidP="009A2045">
            <w:pPr>
              <w:spacing w:after="160" w:line="259" w:lineRule="auto"/>
            </w:pPr>
            <w:r w:rsidRPr="009A2045">
              <w:rPr>
                <w:rFonts w:ascii="Calibri" w:eastAsia="Calibri" w:hAnsi="Calibri" w:cs="Calibri"/>
              </w:rPr>
              <w:t>MRID 42249901 / 1992</w:t>
            </w:r>
          </w:p>
        </w:tc>
      </w:tr>
      <w:tr w:rsidR="007C0F2A" w:rsidRPr="009A2045" w14:paraId="6A42A956" w14:textId="77777777" w:rsidTr="00D94E26">
        <w:tc>
          <w:tcPr>
            <w:tcW w:w="1525" w:type="dxa"/>
            <w:vMerge w:val="restart"/>
          </w:tcPr>
          <w:p w14:paraId="5AB3B1B9" w14:textId="77777777" w:rsidR="007C0F2A" w:rsidRPr="009A2045" w:rsidRDefault="007C0F2A" w:rsidP="009A2045">
            <w:pPr>
              <w:spacing w:after="160" w:line="259" w:lineRule="auto"/>
            </w:pPr>
            <w:r w:rsidRPr="009A2045">
              <w:rPr>
                <w:rFonts w:ascii="Calibri" w:eastAsia="Calibri" w:hAnsi="Calibri" w:cs="Calibri"/>
              </w:rPr>
              <w:t>Mysid shrimp (</w:t>
            </w:r>
            <w:r w:rsidRPr="009A2045">
              <w:rPr>
                <w:rFonts w:ascii="Calibri" w:eastAsia="Calibri" w:hAnsi="Calibri" w:cs="Calibri"/>
                <w:i/>
              </w:rPr>
              <w:t>Americamysis bahia</w:t>
            </w:r>
            <w:r w:rsidRPr="009A2045">
              <w:rPr>
                <w:rFonts w:ascii="Calibri" w:eastAsia="Calibri" w:hAnsi="Calibri" w:cs="Calibri"/>
              </w:rPr>
              <w:t>)</w:t>
            </w:r>
          </w:p>
        </w:tc>
        <w:tc>
          <w:tcPr>
            <w:tcW w:w="1714" w:type="dxa"/>
            <w:vMerge w:val="restart"/>
          </w:tcPr>
          <w:p w14:paraId="3AB5E0CC" w14:textId="77777777" w:rsidR="007C0F2A" w:rsidRPr="009A2045" w:rsidRDefault="007C0F2A" w:rsidP="009A2045">
            <w:pPr>
              <w:spacing w:after="160" w:line="259" w:lineRule="auto"/>
            </w:pPr>
            <w:r w:rsidRPr="009A2045">
              <w:rPr>
                <w:rFonts w:ascii="Calibri" w:eastAsia="Calibri" w:hAnsi="Calibri" w:cs="Calibri"/>
              </w:rPr>
              <w:t>4.8</w:t>
            </w:r>
          </w:p>
          <w:p w14:paraId="6E7DBCBC" w14:textId="77777777" w:rsidR="007C0F2A" w:rsidRPr="009A2045" w:rsidRDefault="007C0F2A" w:rsidP="009A2045">
            <w:pPr>
              <w:spacing w:after="160" w:line="259" w:lineRule="auto"/>
            </w:pPr>
            <w:r w:rsidRPr="009A2045">
              <w:rPr>
                <w:rFonts w:ascii="Calibri" w:eastAsia="Calibri" w:hAnsi="Calibri" w:cs="Calibri"/>
              </w:rPr>
              <w:t>(2.4-8.4)</w:t>
            </w:r>
          </w:p>
        </w:tc>
        <w:tc>
          <w:tcPr>
            <w:tcW w:w="716" w:type="dxa"/>
            <w:vMerge w:val="restart"/>
          </w:tcPr>
          <w:p w14:paraId="68BE7533"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vMerge w:val="restart"/>
          </w:tcPr>
          <w:p w14:paraId="6DA31DEF" w14:textId="77777777" w:rsidR="007C0F2A" w:rsidRPr="009A2045" w:rsidRDefault="007C0F2A" w:rsidP="009A2045">
            <w:pPr>
              <w:spacing w:after="160" w:line="259" w:lineRule="auto"/>
            </w:pPr>
            <w:r w:rsidRPr="009A2045">
              <w:rPr>
                <w:rFonts w:ascii="Calibri" w:eastAsia="Calibri" w:hAnsi="Calibri" w:cs="Calibri"/>
              </w:rPr>
              <w:t>MRID 49389401 / 2014</w:t>
            </w:r>
          </w:p>
        </w:tc>
        <w:tc>
          <w:tcPr>
            <w:tcW w:w="1626" w:type="dxa"/>
          </w:tcPr>
          <w:p w14:paraId="25C0560F" w14:textId="77777777" w:rsidR="007C0F2A" w:rsidRPr="009A2045" w:rsidRDefault="007C0F2A" w:rsidP="009A2045">
            <w:pPr>
              <w:spacing w:after="160" w:line="259" w:lineRule="auto"/>
            </w:pPr>
            <w:r w:rsidRPr="009A2045">
              <w:rPr>
                <w:rFonts w:ascii="Calibri" w:eastAsia="Calibri" w:hAnsi="Calibri" w:cs="Calibri"/>
              </w:rPr>
              <w:t xml:space="preserve">2.2 </w:t>
            </w:r>
          </w:p>
          <w:p w14:paraId="5EB23738" w14:textId="77777777" w:rsidR="007C0F2A" w:rsidRPr="009A2045" w:rsidRDefault="007C0F2A" w:rsidP="009A2045">
            <w:pPr>
              <w:spacing w:after="160" w:line="259" w:lineRule="auto"/>
            </w:pPr>
            <w:r w:rsidRPr="009A2045">
              <w:rPr>
                <w:rFonts w:ascii="Calibri" w:eastAsia="Calibri" w:hAnsi="Calibri" w:cs="Calibri"/>
              </w:rPr>
              <w:t>(1.5-2.6) (FT)</w:t>
            </w:r>
          </w:p>
        </w:tc>
        <w:tc>
          <w:tcPr>
            <w:tcW w:w="984" w:type="dxa"/>
          </w:tcPr>
          <w:p w14:paraId="75FD3AE7" w14:textId="77777777" w:rsidR="007C0F2A" w:rsidRPr="009A2045" w:rsidRDefault="007C0F2A" w:rsidP="009A2045">
            <w:pPr>
              <w:spacing w:after="160" w:line="259" w:lineRule="auto"/>
            </w:pPr>
            <w:r w:rsidRPr="009A2045">
              <w:rPr>
                <w:rFonts w:ascii="Calibri" w:eastAsia="Calibri" w:hAnsi="Calibri" w:cs="Calibri"/>
              </w:rPr>
              <w:t>94</w:t>
            </w:r>
          </w:p>
        </w:tc>
        <w:tc>
          <w:tcPr>
            <w:tcW w:w="1615" w:type="dxa"/>
          </w:tcPr>
          <w:p w14:paraId="0EC9AEC6" w14:textId="77777777" w:rsidR="007C0F2A" w:rsidRPr="009A2045" w:rsidRDefault="007C0F2A" w:rsidP="009A2045">
            <w:pPr>
              <w:spacing w:after="160" w:line="259" w:lineRule="auto"/>
            </w:pPr>
            <w:r w:rsidRPr="009A2045">
              <w:rPr>
                <w:rFonts w:ascii="Calibri" w:eastAsia="Calibri" w:hAnsi="Calibri" w:cs="Calibri"/>
              </w:rPr>
              <w:t>MRID 41474501 / 1990</w:t>
            </w:r>
          </w:p>
        </w:tc>
      </w:tr>
      <w:tr w:rsidR="007C0F2A" w:rsidRPr="009A2045" w14:paraId="7E87C201" w14:textId="77777777" w:rsidTr="00D94E26">
        <w:tc>
          <w:tcPr>
            <w:tcW w:w="1525" w:type="dxa"/>
            <w:vMerge/>
          </w:tcPr>
          <w:p w14:paraId="1A67260E" w14:textId="77777777" w:rsidR="007C0F2A" w:rsidRPr="009A2045" w:rsidRDefault="007C0F2A" w:rsidP="009A2045">
            <w:pPr>
              <w:widowControl w:val="0"/>
              <w:spacing w:line="276" w:lineRule="auto"/>
            </w:pPr>
          </w:p>
        </w:tc>
        <w:tc>
          <w:tcPr>
            <w:tcW w:w="1714" w:type="dxa"/>
            <w:vMerge/>
          </w:tcPr>
          <w:p w14:paraId="022BAA73" w14:textId="77777777" w:rsidR="007C0F2A" w:rsidRPr="009A2045" w:rsidRDefault="007C0F2A" w:rsidP="009A2045">
            <w:pPr>
              <w:widowControl w:val="0"/>
              <w:spacing w:line="276" w:lineRule="auto"/>
            </w:pPr>
          </w:p>
        </w:tc>
        <w:tc>
          <w:tcPr>
            <w:tcW w:w="716" w:type="dxa"/>
            <w:vMerge/>
          </w:tcPr>
          <w:p w14:paraId="6036BC91" w14:textId="77777777" w:rsidR="007C0F2A" w:rsidRPr="009A2045" w:rsidRDefault="007C0F2A" w:rsidP="009A2045">
            <w:pPr>
              <w:widowControl w:val="0"/>
              <w:spacing w:line="276" w:lineRule="auto"/>
            </w:pPr>
          </w:p>
        </w:tc>
        <w:tc>
          <w:tcPr>
            <w:tcW w:w="1170" w:type="dxa"/>
            <w:vMerge w:val="restart"/>
          </w:tcPr>
          <w:p w14:paraId="2EECE8C3" w14:textId="77777777" w:rsidR="007C0F2A" w:rsidRPr="009A2045" w:rsidRDefault="007C0F2A" w:rsidP="009A2045">
            <w:pPr>
              <w:spacing w:after="160" w:line="259" w:lineRule="auto"/>
            </w:pPr>
          </w:p>
          <w:p w14:paraId="51AA4267" w14:textId="77777777" w:rsidR="007C0F2A" w:rsidRPr="009A2045" w:rsidRDefault="007C0F2A" w:rsidP="009A2045">
            <w:pPr>
              <w:spacing w:after="160" w:line="259" w:lineRule="auto"/>
            </w:pPr>
          </w:p>
          <w:p w14:paraId="0BC240CA" w14:textId="77777777" w:rsidR="007C0F2A" w:rsidRPr="009A2045" w:rsidRDefault="007C0F2A" w:rsidP="009A2045">
            <w:pPr>
              <w:spacing w:after="160" w:line="259" w:lineRule="auto"/>
            </w:pPr>
          </w:p>
          <w:p w14:paraId="363C30EB" w14:textId="77777777" w:rsidR="007C0F2A" w:rsidRPr="009A2045" w:rsidRDefault="007C0F2A" w:rsidP="009A2045">
            <w:pPr>
              <w:spacing w:after="160" w:line="259" w:lineRule="auto"/>
            </w:pPr>
          </w:p>
        </w:tc>
        <w:tc>
          <w:tcPr>
            <w:tcW w:w="1626" w:type="dxa"/>
          </w:tcPr>
          <w:p w14:paraId="3E2D6F4D" w14:textId="77777777" w:rsidR="007C0F2A" w:rsidRPr="009A2045" w:rsidRDefault="007C0F2A" w:rsidP="009A2045">
            <w:pPr>
              <w:spacing w:after="160" w:line="259" w:lineRule="auto"/>
            </w:pPr>
            <w:r w:rsidRPr="009A2045">
              <w:rPr>
                <w:rFonts w:ascii="Calibri" w:eastAsia="Calibri" w:hAnsi="Calibri" w:cs="Calibri"/>
                <w:u w:val="single"/>
              </w:rPr>
              <w:t>&lt;1-d old</w:t>
            </w:r>
            <w:r w:rsidRPr="009A2045">
              <w:rPr>
                <w:rFonts w:ascii="Calibri" w:eastAsia="Calibri" w:hAnsi="Calibri" w:cs="Calibri"/>
              </w:rPr>
              <w:t xml:space="preserve"> – 3.0 (2.6-4.0)</w:t>
            </w:r>
          </w:p>
          <w:p w14:paraId="7013C532" w14:textId="77777777" w:rsidR="007C0F2A" w:rsidRPr="009A2045" w:rsidRDefault="007C0F2A" w:rsidP="009A2045">
            <w:pPr>
              <w:spacing w:after="160" w:line="259" w:lineRule="auto"/>
            </w:pPr>
            <w:r w:rsidRPr="009A2045">
              <w:rPr>
                <w:rFonts w:ascii="Calibri" w:eastAsia="Calibri" w:hAnsi="Calibri" w:cs="Calibri"/>
                <w:u w:val="single"/>
              </w:rPr>
              <w:t>5-d old</w:t>
            </w:r>
            <w:r w:rsidRPr="009A2045">
              <w:rPr>
                <w:rFonts w:ascii="Calibri" w:eastAsia="Calibri" w:hAnsi="Calibri" w:cs="Calibri"/>
              </w:rPr>
              <w:t xml:space="preserve">- </w:t>
            </w:r>
          </w:p>
          <w:p w14:paraId="41810267" w14:textId="77777777" w:rsidR="007C0F2A" w:rsidRPr="009A2045" w:rsidRDefault="007C0F2A" w:rsidP="009A2045">
            <w:pPr>
              <w:spacing w:after="160" w:line="259" w:lineRule="auto"/>
            </w:pPr>
            <w:r w:rsidRPr="009A2045">
              <w:rPr>
                <w:rFonts w:ascii="Calibri" w:eastAsia="Calibri" w:hAnsi="Calibri" w:cs="Calibri"/>
              </w:rPr>
              <w:t>3.1 (2.8-3.5)</w:t>
            </w:r>
          </w:p>
          <w:p w14:paraId="0D461159" w14:textId="77777777" w:rsidR="007C0F2A" w:rsidRPr="009A2045" w:rsidRDefault="007C0F2A" w:rsidP="009A2045">
            <w:pPr>
              <w:spacing w:after="160" w:line="259" w:lineRule="auto"/>
            </w:pPr>
            <w:r w:rsidRPr="009A2045">
              <w:rPr>
                <w:rFonts w:ascii="Calibri" w:eastAsia="Calibri" w:hAnsi="Calibri" w:cs="Calibri"/>
                <w:u w:val="single"/>
              </w:rPr>
              <w:t>10-d old</w:t>
            </w:r>
            <w:r w:rsidRPr="009A2045">
              <w:rPr>
                <w:rFonts w:ascii="Calibri" w:eastAsia="Calibri" w:hAnsi="Calibri" w:cs="Calibri"/>
              </w:rPr>
              <w:t xml:space="preserve"> – 2.6 (2.3-2.9) (FT)</w:t>
            </w:r>
          </w:p>
        </w:tc>
        <w:tc>
          <w:tcPr>
            <w:tcW w:w="984" w:type="dxa"/>
          </w:tcPr>
          <w:p w14:paraId="54143456" w14:textId="77777777" w:rsidR="007C0F2A" w:rsidRPr="009A2045" w:rsidRDefault="007C0F2A" w:rsidP="009A2045">
            <w:pPr>
              <w:spacing w:after="160" w:line="259" w:lineRule="auto"/>
            </w:pPr>
            <w:r w:rsidRPr="009A2045">
              <w:rPr>
                <w:rFonts w:ascii="Calibri" w:eastAsia="Calibri" w:hAnsi="Calibri" w:cs="Calibri"/>
              </w:rPr>
              <w:t>71.5</w:t>
            </w:r>
          </w:p>
        </w:tc>
        <w:tc>
          <w:tcPr>
            <w:tcW w:w="1615" w:type="dxa"/>
          </w:tcPr>
          <w:p w14:paraId="26289924" w14:textId="77777777" w:rsidR="007C0F2A" w:rsidRPr="009A2045" w:rsidRDefault="007C0F2A" w:rsidP="009A2045">
            <w:pPr>
              <w:spacing w:after="160" w:line="259" w:lineRule="auto"/>
            </w:pPr>
            <w:r w:rsidRPr="009A2045">
              <w:rPr>
                <w:rFonts w:ascii="Calibri" w:eastAsia="Calibri" w:hAnsi="Calibri" w:cs="Calibri"/>
              </w:rPr>
              <w:t xml:space="preserve">Ecotox# 968 (Goodman </w:t>
            </w:r>
            <w:r w:rsidRPr="009A2045">
              <w:rPr>
                <w:rFonts w:ascii="Calibri" w:eastAsia="Calibri" w:hAnsi="Calibri" w:cs="Calibri"/>
                <w:i/>
              </w:rPr>
              <w:t>et al</w:t>
            </w:r>
            <w:r w:rsidRPr="009A2045">
              <w:rPr>
                <w:rFonts w:ascii="Calibri" w:eastAsia="Calibri" w:hAnsi="Calibri" w:cs="Calibri"/>
              </w:rPr>
              <w:t>.) / 1988</w:t>
            </w:r>
          </w:p>
        </w:tc>
      </w:tr>
      <w:tr w:rsidR="007C0F2A" w:rsidRPr="009A2045" w14:paraId="6C4ACB52" w14:textId="77777777" w:rsidTr="00D94E26">
        <w:tc>
          <w:tcPr>
            <w:tcW w:w="1525" w:type="dxa"/>
            <w:vMerge/>
          </w:tcPr>
          <w:p w14:paraId="392AAEF4" w14:textId="77777777" w:rsidR="007C0F2A" w:rsidRPr="009A2045" w:rsidRDefault="007C0F2A" w:rsidP="009A2045">
            <w:pPr>
              <w:widowControl w:val="0"/>
              <w:spacing w:line="276" w:lineRule="auto"/>
            </w:pPr>
          </w:p>
        </w:tc>
        <w:tc>
          <w:tcPr>
            <w:tcW w:w="1714" w:type="dxa"/>
            <w:vMerge/>
          </w:tcPr>
          <w:p w14:paraId="35869398" w14:textId="77777777" w:rsidR="007C0F2A" w:rsidRPr="009A2045" w:rsidRDefault="007C0F2A" w:rsidP="009A2045">
            <w:pPr>
              <w:widowControl w:val="0"/>
              <w:spacing w:line="276" w:lineRule="auto"/>
            </w:pPr>
          </w:p>
        </w:tc>
        <w:tc>
          <w:tcPr>
            <w:tcW w:w="716" w:type="dxa"/>
            <w:vMerge/>
          </w:tcPr>
          <w:p w14:paraId="06D8F69A" w14:textId="77777777" w:rsidR="007C0F2A" w:rsidRPr="009A2045" w:rsidRDefault="007C0F2A" w:rsidP="009A2045">
            <w:pPr>
              <w:widowControl w:val="0"/>
              <w:spacing w:line="276" w:lineRule="auto"/>
            </w:pPr>
          </w:p>
        </w:tc>
        <w:tc>
          <w:tcPr>
            <w:tcW w:w="1170" w:type="dxa"/>
            <w:vMerge w:val="restart"/>
          </w:tcPr>
          <w:p w14:paraId="4C793741" w14:textId="77777777" w:rsidR="007C0F2A" w:rsidRPr="009A2045" w:rsidRDefault="007C0F2A" w:rsidP="009A2045">
            <w:pPr>
              <w:spacing w:after="160" w:line="259" w:lineRule="auto"/>
            </w:pPr>
          </w:p>
          <w:p w14:paraId="61499320" w14:textId="77777777" w:rsidR="007C0F2A" w:rsidRPr="009A2045" w:rsidRDefault="007C0F2A" w:rsidP="009A2045">
            <w:pPr>
              <w:spacing w:after="160" w:line="259" w:lineRule="auto"/>
            </w:pPr>
          </w:p>
          <w:p w14:paraId="5E9E1CA6" w14:textId="77777777" w:rsidR="007C0F2A" w:rsidRPr="009A2045" w:rsidRDefault="007C0F2A" w:rsidP="009A2045">
            <w:pPr>
              <w:spacing w:after="160" w:line="259" w:lineRule="auto"/>
            </w:pPr>
          </w:p>
          <w:p w14:paraId="72BDE6F7" w14:textId="77777777" w:rsidR="007C0F2A" w:rsidRPr="009A2045" w:rsidRDefault="007C0F2A" w:rsidP="009A2045">
            <w:pPr>
              <w:spacing w:after="160" w:line="259" w:lineRule="auto"/>
            </w:pPr>
          </w:p>
        </w:tc>
        <w:tc>
          <w:tcPr>
            <w:tcW w:w="1626" w:type="dxa"/>
          </w:tcPr>
          <w:p w14:paraId="7A5289B0" w14:textId="77777777" w:rsidR="007C0F2A" w:rsidRPr="009A2045" w:rsidRDefault="007C0F2A" w:rsidP="009A2045">
            <w:pPr>
              <w:spacing w:after="160" w:line="259" w:lineRule="auto"/>
            </w:pPr>
            <w:r w:rsidRPr="009A2045">
              <w:rPr>
                <w:rFonts w:ascii="Calibri" w:eastAsia="Calibri" w:hAnsi="Calibri" w:cs="Calibri"/>
              </w:rPr>
              <w:t>3.2-5.7 (multiple tests, different feeding regimes) (S)</w:t>
            </w:r>
          </w:p>
          <w:p w14:paraId="4B791DCC" w14:textId="77777777" w:rsidR="007C0F2A" w:rsidRPr="009A2045" w:rsidRDefault="007C0F2A" w:rsidP="009A2045">
            <w:pPr>
              <w:spacing w:after="160" w:line="259" w:lineRule="auto"/>
            </w:pPr>
          </w:p>
        </w:tc>
        <w:tc>
          <w:tcPr>
            <w:tcW w:w="984" w:type="dxa"/>
          </w:tcPr>
          <w:p w14:paraId="0078F481" w14:textId="77777777" w:rsidR="007C0F2A" w:rsidRPr="009A2045" w:rsidRDefault="007C0F2A" w:rsidP="009A2045">
            <w:pPr>
              <w:spacing w:after="160" w:line="259" w:lineRule="auto"/>
            </w:pPr>
            <w:r w:rsidRPr="009A2045">
              <w:rPr>
                <w:rFonts w:ascii="Calibri" w:eastAsia="Calibri" w:hAnsi="Calibri" w:cs="Calibri"/>
              </w:rPr>
              <w:t>92</w:t>
            </w:r>
          </w:p>
        </w:tc>
        <w:tc>
          <w:tcPr>
            <w:tcW w:w="1615" w:type="dxa"/>
          </w:tcPr>
          <w:p w14:paraId="3B48A0BA" w14:textId="77777777" w:rsidR="007C0F2A" w:rsidRPr="009A2045" w:rsidRDefault="007C0F2A" w:rsidP="009A2045">
            <w:pPr>
              <w:spacing w:after="160" w:line="259" w:lineRule="auto"/>
            </w:pPr>
            <w:r w:rsidRPr="009A2045">
              <w:rPr>
                <w:rFonts w:ascii="Calibri" w:eastAsia="Calibri" w:hAnsi="Calibri" w:cs="Calibri"/>
              </w:rPr>
              <w:t xml:space="preserve">Ecotox# 2280 (Cripe </w:t>
            </w:r>
            <w:r w:rsidRPr="009A2045">
              <w:rPr>
                <w:rFonts w:ascii="Calibri" w:eastAsia="Calibri" w:hAnsi="Calibri" w:cs="Calibri"/>
                <w:i/>
              </w:rPr>
              <w:t>et al</w:t>
            </w:r>
            <w:r w:rsidRPr="009A2045">
              <w:rPr>
                <w:rFonts w:ascii="Calibri" w:eastAsia="Calibri" w:hAnsi="Calibri" w:cs="Calibri"/>
              </w:rPr>
              <w:t>) / 1989</w:t>
            </w:r>
          </w:p>
        </w:tc>
      </w:tr>
      <w:tr w:rsidR="007C0F2A" w:rsidRPr="009A2045" w14:paraId="7F9748E9" w14:textId="77777777" w:rsidTr="00D94E26">
        <w:tc>
          <w:tcPr>
            <w:tcW w:w="1525" w:type="dxa"/>
            <w:vMerge/>
          </w:tcPr>
          <w:p w14:paraId="0C670699" w14:textId="77777777" w:rsidR="007C0F2A" w:rsidRPr="009A2045" w:rsidRDefault="007C0F2A" w:rsidP="009A2045">
            <w:pPr>
              <w:widowControl w:val="0"/>
              <w:spacing w:line="276" w:lineRule="auto"/>
            </w:pPr>
          </w:p>
        </w:tc>
        <w:tc>
          <w:tcPr>
            <w:tcW w:w="1714" w:type="dxa"/>
            <w:vMerge/>
          </w:tcPr>
          <w:p w14:paraId="6774CE28" w14:textId="77777777" w:rsidR="007C0F2A" w:rsidRPr="009A2045" w:rsidRDefault="007C0F2A" w:rsidP="009A2045">
            <w:pPr>
              <w:widowControl w:val="0"/>
              <w:spacing w:line="276" w:lineRule="auto"/>
            </w:pPr>
          </w:p>
        </w:tc>
        <w:tc>
          <w:tcPr>
            <w:tcW w:w="716" w:type="dxa"/>
            <w:vMerge/>
          </w:tcPr>
          <w:p w14:paraId="0715C5AD" w14:textId="77777777" w:rsidR="007C0F2A" w:rsidRPr="009A2045" w:rsidRDefault="007C0F2A" w:rsidP="009A2045">
            <w:pPr>
              <w:widowControl w:val="0"/>
              <w:spacing w:line="276" w:lineRule="auto"/>
            </w:pPr>
          </w:p>
        </w:tc>
        <w:tc>
          <w:tcPr>
            <w:tcW w:w="1170" w:type="dxa"/>
          </w:tcPr>
          <w:p w14:paraId="694D3BF6" w14:textId="77777777" w:rsidR="007C0F2A" w:rsidRPr="009A2045" w:rsidRDefault="007C0F2A" w:rsidP="009A2045">
            <w:pPr>
              <w:spacing w:after="160" w:line="259" w:lineRule="auto"/>
            </w:pPr>
          </w:p>
          <w:p w14:paraId="53023C76" w14:textId="77777777" w:rsidR="007C0F2A" w:rsidRPr="009A2045" w:rsidRDefault="007C0F2A" w:rsidP="009A2045">
            <w:pPr>
              <w:spacing w:after="160" w:line="259" w:lineRule="auto"/>
            </w:pPr>
          </w:p>
          <w:p w14:paraId="17D64A85" w14:textId="77777777" w:rsidR="007C0F2A" w:rsidRPr="009A2045" w:rsidRDefault="007C0F2A" w:rsidP="009A2045">
            <w:pPr>
              <w:spacing w:after="160" w:line="259" w:lineRule="auto"/>
            </w:pPr>
          </w:p>
          <w:p w14:paraId="12F58704" w14:textId="77777777" w:rsidR="007C0F2A" w:rsidRPr="009A2045" w:rsidRDefault="007C0F2A" w:rsidP="009A2045">
            <w:pPr>
              <w:spacing w:after="160" w:line="259" w:lineRule="auto"/>
            </w:pPr>
          </w:p>
        </w:tc>
        <w:tc>
          <w:tcPr>
            <w:tcW w:w="1626" w:type="dxa"/>
          </w:tcPr>
          <w:p w14:paraId="70496EDB" w14:textId="77777777" w:rsidR="007C0F2A" w:rsidRPr="009A2045" w:rsidRDefault="007C0F2A" w:rsidP="009A2045">
            <w:pPr>
              <w:spacing w:after="160" w:line="259" w:lineRule="auto"/>
            </w:pPr>
            <w:r w:rsidRPr="009A2045">
              <w:rPr>
                <w:rFonts w:ascii="Calibri" w:eastAsia="Calibri" w:hAnsi="Calibri" w:cs="Calibri"/>
              </w:rPr>
              <w:t xml:space="preserve">11 (9.1-11) (S) </w:t>
            </w:r>
          </w:p>
          <w:p w14:paraId="4C2EAF8F" w14:textId="77777777" w:rsidR="007C0F2A" w:rsidRPr="009A2045" w:rsidRDefault="007C0F2A" w:rsidP="009A2045">
            <w:pPr>
              <w:spacing w:after="160" w:line="259" w:lineRule="auto"/>
            </w:pPr>
          </w:p>
        </w:tc>
        <w:tc>
          <w:tcPr>
            <w:tcW w:w="984" w:type="dxa"/>
          </w:tcPr>
          <w:p w14:paraId="3611DF49" w14:textId="77777777" w:rsidR="007C0F2A" w:rsidRPr="009A2045" w:rsidRDefault="007C0F2A" w:rsidP="009A2045">
            <w:pPr>
              <w:spacing w:after="160" w:line="259" w:lineRule="auto"/>
            </w:pPr>
            <w:r w:rsidRPr="009A2045">
              <w:rPr>
                <w:rFonts w:ascii="Calibri" w:eastAsia="Calibri" w:hAnsi="Calibri" w:cs="Calibri"/>
              </w:rPr>
              <w:t>NR (obtained from EPA)</w:t>
            </w:r>
          </w:p>
        </w:tc>
        <w:tc>
          <w:tcPr>
            <w:tcW w:w="1615" w:type="dxa"/>
          </w:tcPr>
          <w:p w14:paraId="66AFC14B" w14:textId="77777777" w:rsidR="007C0F2A" w:rsidRPr="009A2045" w:rsidRDefault="007C0F2A" w:rsidP="009A2045">
            <w:pPr>
              <w:spacing w:after="160" w:line="259" w:lineRule="auto"/>
            </w:pPr>
            <w:r w:rsidRPr="009A2045">
              <w:rPr>
                <w:rFonts w:ascii="Calibri" w:eastAsia="Calibri" w:hAnsi="Calibri" w:cs="Calibri"/>
              </w:rPr>
              <w:t xml:space="preserve">Ecotox# 13513 (Cripe </w:t>
            </w:r>
            <w:r w:rsidRPr="009A2045">
              <w:rPr>
                <w:rFonts w:ascii="Calibri" w:eastAsia="Calibri" w:hAnsi="Calibri" w:cs="Calibri"/>
                <w:i/>
              </w:rPr>
              <w:t>et al</w:t>
            </w:r>
            <w:r w:rsidRPr="009A2045">
              <w:rPr>
                <w:rFonts w:ascii="Calibri" w:eastAsia="Calibri" w:hAnsi="Calibri" w:cs="Calibri"/>
              </w:rPr>
              <w:t>) / 1990</w:t>
            </w:r>
          </w:p>
        </w:tc>
      </w:tr>
      <w:tr w:rsidR="007C0F2A" w:rsidRPr="009A2045" w14:paraId="3B9DB7A1" w14:textId="77777777" w:rsidTr="00D94E26">
        <w:tc>
          <w:tcPr>
            <w:tcW w:w="1525" w:type="dxa"/>
          </w:tcPr>
          <w:p w14:paraId="69D51DB6" w14:textId="77777777" w:rsidR="007C0F2A" w:rsidRPr="009A2045" w:rsidRDefault="007C0F2A" w:rsidP="009A2045">
            <w:pPr>
              <w:spacing w:after="160" w:line="259" w:lineRule="auto"/>
            </w:pPr>
            <w:r w:rsidRPr="009A2045">
              <w:rPr>
                <w:rFonts w:ascii="Calibri" w:eastAsia="Calibri" w:hAnsi="Calibri" w:cs="Calibri"/>
              </w:rPr>
              <w:t>Green Sunfish (</w:t>
            </w:r>
            <w:r w:rsidRPr="009A2045">
              <w:rPr>
                <w:rFonts w:ascii="Calibri" w:eastAsia="Calibri" w:hAnsi="Calibri" w:cs="Calibri"/>
                <w:i/>
              </w:rPr>
              <w:t>Lepomis cyanellus</w:t>
            </w:r>
            <w:r w:rsidRPr="009A2045">
              <w:rPr>
                <w:rFonts w:ascii="Calibri" w:eastAsia="Calibri" w:hAnsi="Calibri" w:cs="Calibri"/>
              </w:rPr>
              <w:t>)</w:t>
            </w:r>
          </w:p>
        </w:tc>
        <w:tc>
          <w:tcPr>
            <w:tcW w:w="1714" w:type="dxa"/>
          </w:tcPr>
          <w:p w14:paraId="2FE1ADC1" w14:textId="77777777" w:rsidR="007C0F2A" w:rsidRPr="009A2045" w:rsidRDefault="007C0F2A" w:rsidP="009A2045">
            <w:pPr>
              <w:spacing w:after="160" w:line="259" w:lineRule="auto"/>
            </w:pPr>
            <w:r w:rsidRPr="009A2045">
              <w:rPr>
                <w:rFonts w:ascii="Calibri" w:eastAsia="Calibri" w:hAnsi="Calibri" w:cs="Calibri"/>
              </w:rPr>
              <w:t>130</w:t>
            </w:r>
          </w:p>
          <w:p w14:paraId="7FD38865" w14:textId="77777777" w:rsidR="007C0F2A" w:rsidRPr="009A2045" w:rsidRDefault="007C0F2A" w:rsidP="009A2045">
            <w:pPr>
              <w:spacing w:after="160" w:line="259" w:lineRule="auto"/>
            </w:pPr>
            <w:r w:rsidRPr="009A2045">
              <w:rPr>
                <w:rFonts w:ascii="Calibri" w:eastAsia="Calibri" w:hAnsi="Calibri" w:cs="Calibri"/>
              </w:rPr>
              <w:t>(120-150)</w:t>
            </w:r>
          </w:p>
        </w:tc>
        <w:tc>
          <w:tcPr>
            <w:tcW w:w="716" w:type="dxa"/>
          </w:tcPr>
          <w:p w14:paraId="71248F3D"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tcPr>
          <w:p w14:paraId="2297FD70" w14:textId="77777777" w:rsidR="007C0F2A" w:rsidRPr="009A2045" w:rsidRDefault="007C0F2A" w:rsidP="009A2045">
            <w:pPr>
              <w:spacing w:after="160" w:line="259" w:lineRule="auto"/>
            </w:pPr>
            <w:r w:rsidRPr="009A2045">
              <w:rPr>
                <w:rFonts w:ascii="Calibri" w:eastAsia="Calibri" w:hAnsi="Calibri" w:cs="Calibri"/>
              </w:rPr>
              <w:t>MRID 49364101 / 2014</w:t>
            </w:r>
          </w:p>
        </w:tc>
        <w:tc>
          <w:tcPr>
            <w:tcW w:w="1626" w:type="dxa"/>
          </w:tcPr>
          <w:p w14:paraId="3BE28947" w14:textId="77777777" w:rsidR="007C0F2A" w:rsidRPr="009A2045" w:rsidRDefault="007C0F2A" w:rsidP="009A2045">
            <w:pPr>
              <w:spacing w:after="160" w:line="259" w:lineRule="auto"/>
            </w:pPr>
            <w:r w:rsidRPr="009A2045">
              <w:rPr>
                <w:rFonts w:ascii="Calibri" w:eastAsia="Calibri" w:hAnsi="Calibri" w:cs="Calibri"/>
              </w:rPr>
              <w:t>146-175(S)</w:t>
            </w:r>
          </w:p>
          <w:p w14:paraId="7CB94F97" w14:textId="77777777" w:rsidR="007C0F2A" w:rsidRPr="009A2045" w:rsidRDefault="007C0F2A" w:rsidP="009A2045">
            <w:pPr>
              <w:spacing w:after="160" w:line="259" w:lineRule="auto"/>
            </w:pPr>
          </w:p>
          <w:p w14:paraId="6C2F5C26" w14:textId="77777777" w:rsidR="007C0F2A" w:rsidRPr="009A2045" w:rsidRDefault="007C0F2A" w:rsidP="009A2045">
            <w:pPr>
              <w:spacing w:after="160" w:line="259" w:lineRule="auto"/>
            </w:pPr>
          </w:p>
        </w:tc>
        <w:tc>
          <w:tcPr>
            <w:tcW w:w="984" w:type="dxa"/>
          </w:tcPr>
          <w:p w14:paraId="6FEF073A" w14:textId="77777777" w:rsidR="007C0F2A" w:rsidRPr="009A2045" w:rsidRDefault="007C0F2A" w:rsidP="009A2045">
            <w:pPr>
              <w:spacing w:after="160" w:line="259" w:lineRule="auto"/>
            </w:pPr>
            <w:r w:rsidRPr="009A2045">
              <w:rPr>
                <w:rFonts w:ascii="Calibri" w:eastAsia="Calibri" w:hAnsi="Calibri" w:cs="Calibri"/>
              </w:rPr>
              <w:t>95</w:t>
            </w:r>
          </w:p>
        </w:tc>
        <w:tc>
          <w:tcPr>
            <w:tcW w:w="1615" w:type="dxa"/>
          </w:tcPr>
          <w:p w14:paraId="3FF52BCA" w14:textId="77777777" w:rsidR="007C0F2A" w:rsidRPr="009A2045" w:rsidRDefault="007C0F2A" w:rsidP="009A2045">
            <w:pPr>
              <w:spacing w:after="160" w:line="259" w:lineRule="auto"/>
            </w:pPr>
            <w:r w:rsidRPr="009A2045">
              <w:rPr>
                <w:rFonts w:ascii="Calibri" w:eastAsia="Calibri" w:hAnsi="Calibri" w:cs="Calibri"/>
              </w:rPr>
              <w:t xml:space="preserve">Ecotox# 6797 (Mayer &amp; Ellersieck) / 1986 </w:t>
            </w:r>
          </w:p>
        </w:tc>
      </w:tr>
      <w:tr w:rsidR="007C0F2A" w:rsidRPr="009A2045" w14:paraId="03FA08AC" w14:textId="77777777" w:rsidTr="00D94E26">
        <w:tc>
          <w:tcPr>
            <w:tcW w:w="1525" w:type="dxa"/>
          </w:tcPr>
          <w:p w14:paraId="2C9A6DC3" w14:textId="77777777" w:rsidR="007C0F2A" w:rsidRPr="009A2045" w:rsidRDefault="007C0F2A" w:rsidP="009A2045">
            <w:pPr>
              <w:spacing w:after="160" w:line="259" w:lineRule="auto"/>
            </w:pPr>
            <w:r w:rsidRPr="009A2045">
              <w:rPr>
                <w:rFonts w:ascii="Calibri" w:eastAsia="Calibri" w:hAnsi="Calibri" w:cs="Calibri"/>
              </w:rPr>
              <w:t>Medaka (</w:t>
            </w:r>
            <w:r w:rsidRPr="009A2045">
              <w:rPr>
                <w:rFonts w:ascii="Calibri" w:eastAsia="Calibri" w:hAnsi="Calibri" w:cs="Calibri"/>
                <w:i/>
              </w:rPr>
              <w:t>Oryzias latipes</w:t>
            </w:r>
            <w:r w:rsidRPr="009A2045">
              <w:rPr>
                <w:rFonts w:ascii="Calibri" w:eastAsia="Calibri" w:hAnsi="Calibri" w:cs="Calibri"/>
              </w:rPr>
              <w:t>)</w:t>
            </w:r>
          </w:p>
        </w:tc>
        <w:tc>
          <w:tcPr>
            <w:tcW w:w="1714" w:type="dxa"/>
          </w:tcPr>
          <w:p w14:paraId="3B719640" w14:textId="77777777" w:rsidR="007C0F2A" w:rsidRPr="009A2045" w:rsidRDefault="007C0F2A" w:rsidP="009A2045">
            <w:pPr>
              <w:spacing w:after="160" w:line="259" w:lineRule="auto"/>
            </w:pPr>
            <w:r w:rsidRPr="009A2045">
              <w:rPr>
                <w:rFonts w:ascii="Calibri" w:eastAsia="Calibri" w:hAnsi="Calibri" w:cs="Calibri"/>
              </w:rPr>
              <w:t>1,500</w:t>
            </w:r>
          </w:p>
          <w:p w14:paraId="0F9DE8E0" w14:textId="77777777" w:rsidR="007C0F2A" w:rsidRPr="009A2045" w:rsidRDefault="007C0F2A" w:rsidP="009A2045">
            <w:pPr>
              <w:spacing w:after="160" w:line="259" w:lineRule="auto"/>
            </w:pPr>
            <w:r w:rsidRPr="009A2045">
              <w:rPr>
                <w:rFonts w:ascii="Calibri" w:eastAsia="Calibri" w:hAnsi="Calibri" w:cs="Calibri"/>
              </w:rPr>
              <w:t>(720-2,700)</w:t>
            </w:r>
          </w:p>
        </w:tc>
        <w:tc>
          <w:tcPr>
            <w:tcW w:w="716" w:type="dxa"/>
          </w:tcPr>
          <w:p w14:paraId="37FB81C3"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tcPr>
          <w:p w14:paraId="46ADEC02" w14:textId="77777777" w:rsidR="007C0F2A" w:rsidRPr="009A2045" w:rsidRDefault="007C0F2A" w:rsidP="009A2045">
            <w:pPr>
              <w:spacing w:after="160" w:line="259" w:lineRule="auto"/>
            </w:pPr>
            <w:r w:rsidRPr="009A2045">
              <w:rPr>
                <w:rFonts w:ascii="Calibri" w:eastAsia="Calibri" w:hAnsi="Calibri" w:cs="Calibri"/>
              </w:rPr>
              <w:t>MRID 49364102 / 2014</w:t>
            </w:r>
          </w:p>
        </w:tc>
        <w:tc>
          <w:tcPr>
            <w:tcW w:w="1626" w:type="dxa"/>
          </w:tcPr>
          <w:p w14:paraId="1943DE39" w14:textId="77777777" w:rsidR="007C0F2A" w:rsidRPr="009A2045" w:rsidRDefault="007C0F2A" w:rsidP="009A2045">
            <w:pPr>
              <w:spacing w:after="160" w:line="259" w:lineRule="auto"/>
            </w:pPr>
            <w:r w:rsidRPr="009A2045">
              <w:rPr>
                <w:rFonts w:ascii="Calibri" w:eastAsia="Calibri" w:hAnsi="Calibri" w:cs="Calibri"/>
              </w:rPr>
              <w:t>9,700 (S)</w:t>
            </w:r>
          </w:p>
          <w:p w14:paraId="5BB0EDD9" w14:textId="77777777" w:rsidR="007C0F2A" w:rsidRPr="009A2045" w:rsidRDefault="007C0F2A" w:rsidP="009A2045">
            <w:pPr>
              <w:spacing w:after="160" w:line="259" w:lineRule="auto"/>
            </w:pPr>
          </w:p>
          <w:p w14:paraId="2DA18011" w14:textId="77777777" w:rsidR="007C0F2A" w:rsidRPr="009A2045" w:rsidRDefault="007C0F2A" w:rsidP="009A2045">
            <w:pPr>
              <w:spacing w:after="160" w:line="259" w:lineRule="auto"/>
            </w:pPr>
          </w:p>
        </w:tc>
        <w:tc>
          <w:tcPr>
            <w:tcW w:w="984" w:type="dxa"/>
          </w:tcPr>
          <w:p w14:paraId="27BAC4AC" w14:textId="77777777" w:rsidR="007C0F2A" w:rsidRPr="009A2045" w:rsidRDefault="007C0F2A" w:rsidP="009A2045">
            <w:pPr>
              <w:spacing w:after="160" w:line="259" w:lineRule="auto"/>
            </w:pPr>
            <w:r w:rsidRPr="009A2045">
              <w:rPr>
                <w:rFonts w:ascii="Calibri" w:eastAsia="Calibri" w:hAnsi="Calibri" w:cs="Calibri"/>
              </w:rPr>
              <w:t>99.1</w:t>
            </w:r>
          </w:p>
        </w:tc>
        <w:tc>
          <w:tcPr>
            <w:tcW w:w="1615" w:type="dxa"/>
          </w:tcPr>
          <w:p w14:paraId="4317D2AD" w14:textId="77777777" w:rsidR="007C0F2A" w:rsidRPr="009A2045" w:rsidRDefault="007C0F2A" w:rsidP="009A2045">
            <w:pPr>
              <w:spacing w:after="160" w:line="259" w:lineRule="auto"/>
            </w:pPr>
            <w:r w:rsidRPr="009A2045">
              <w:rPr>
                <w:rFonts w:ascii="Calibri" w:eastAsia="Calibri" w:hAnsi="Calibri" w:cs="Calibri"/>
              </w:rPr>
              <w:t xml:space="preserve">Ecotox# 89099 (Wolfe </w:t>
            </w:r>
            <w:r w:rsidRPr="009A2045">
              <w:rPr>
                <w:rFonts w:ascii="Calibri" w:eastAsia="Calibri" w:hAnsi="Calibri" w:cs="Calibri"/>
                <w:i/>
              </w:rPr>
              <w:t>et al</w:t>
            </w:r>
            <w:r w:rsidRPr="009A2045">
              <w:rPr>
                <w:rFonts w:ascii="Calibri" w:eastAsia="Calibri" w:hAnsi="Calibri" w:cs="Calibri"/>
              </w:rPr>
              <w:t>) / 1995</w:t>
            </w:r>
          </w:p>
        </w:tc>
      </w:tr>
      <w:tr w:rsidR="007C0F2A" w:rsidRPr="009A2045" w14:paraId="645F5786" w14:textId="77777777" w:rsidTr="00D94E26">
        <w:tc>
          <w:tcPr>
            <w:tcW w:w="1525" w:type="dxa"/>
            <w:vMerge w:val="restart"/>
          </w:tcPr>
          <w:p w14:paraId="2A2B6F73" w14:textId="77777777" w:rsidR="007C0F2A" w:rsidRPr="009A2045" w:rsidRDefault="007C0F2A" w:rsidP="009A2045">
            <w:pPr>
              <w:spacing w:after="160" w:line="259" w:lineRule="auto"/>
            </w:pPr>
            <w:r w:rsidRPr="009A2045">
              <w:rPr>
                <w:rFonts w:ascii="Calibri" w:eastAsia="Calibri" w:hAnsi="Calibri" w:cs="Calibri"/>
              </w:rPr>
              <w:t>Mosquitofish (</w:t>
            </w:r>
            <w:r w:rsidRPr="009A2045">
              <w:rPr>
                <w:rFonts w:ascii="Calibri" w:eastAsia="Calibri" w:hAnsi="Calibri" w:cs="Calibri"/>
                <w:i/>
              </w:rPr>
              <w:t>Gambusia affinis</w:t>
            </w:r>
            <w:r w:rsidRPr="009A2045">
              <w:rPr>
                <w:rFonts w:ascii="Calibri" w:eastAsia="Calibri" w:hAnsi="Calibri" w:cs="Calibri"/>
              </w:rPr>
              <w:t>)</w:t>
            </w:r>
          </w:p>
        </w:tc>
        <w:tc>
          <w:tcPr>
            <w:tcW w:w="1714" w:type="dxa"/>
            <w:vMerge w:val="restart"/>
          </w:tcPr>
          <w:p w14:paraId="5F5F54C2" w14:textId="77777777" w:rsidR="007C0F2A" w:rsidRPr="009A2045" w:rsidRDefault="007C0F2A" w:rsidP="009A2045">
            <w:pPr>
              <w:spacing w:after="160" w:line="259" w:lineRule="auto"/>
            </w:pPr>
            <w:r w:rsidRPr="009A2045">
              <w:rPr>
                <w:rFonts w:ascii="Calibri" w:eastAsia="Calibri" w:hAnsi="Calibri" w:cs="Calibri"/>
              </w:rPr>
              <w:t>2,900</w:t>
            </w:r>
          </w:p>
          <w:p w14:paraId="67438957" w14:textId="77777777" w:rsidR="007C0F2A" w:rsidRPr="009A2045" w:rsidRDefault="007C0F2A" w:rsidP="009A2045">
            <w:pPr>
              <w:spacing w:after="160" w:line="259" w:lineRule="auto"/>
            </w:pPr>
            <w:r w:rsidRPr="009A2045">
              <w:rPr>
                <w:rFonts w:ascii="Calibri" w:eastAsia="Calibri" w:hAnsi="Calibri" w:cs="Calibri"/>
              </w:rPr>
              <w:t>(2,400-3,500)</w:t>
            </w:r>
          </w:p>
        </w:tc>
        <w:tc>
          <w:tcPr>
            <w:tcW w:w="716" w:type="dxa"/>
            <w:vMerge w:val="restart"/>
          </w:tcPr>
          <w:p w14:paraId="24F8B9E8"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vMerge w:val="restart"/>
          </w:tcPr>
          <w:p w14:paraId="7500B0F3" w14:textId="77777777" w:rsidR="007C0F2A" w:rsidRPr="009A2045" w:rsidRDefault="007C0F2A" w:rsidP="009A2045">
            <w:pPr>
              <w:spacing w:after="160" w:line="259" w:lineRule="auto"/>
            </w:pPr>
            <w:r w:rsidRPr="009A2045">
              <w:rPr>
                <w:rFonts w:ascii="Calibri" w:eastAsia="Calibri" w:hAnsi="Calibri" w:cs="Calibri"/>
              </w:rPr>
              <w:t>MRID 49422801 / 2014</w:t>
            </w:r>
          </w:p>
        </w:tc>
        <w:tc>
          <w:tcPr>
            <w:tcW w:w="1626" w:type="dxa"/>
          </w:tcPr>
          <w:p w14:paraId="369158E8" w14:textId="77777777" w:rsidR="007C0F2A" w:rsidRPr="009A2045" w:rsidRDefault="007C0F2A" w:rsidP="009A2045">
            <w:pPr>
              <w:spacing w:after="160" w:line="259" w:lineRule="auto"/>
            </w:pPr>
            <w:r w:rsidRPr="009A2045">
              <w:rPr>
                <w:rFonts w:ascii="Calibri" w:eastAsia="Calibri" w:hAnsi="Calibri" w:cs="Calibri"/>
              </w:rPr>
              <w:t>112,000 (S)</w:t>
            </w:r>
          </w:p>
        </w:tc>
        <w:tc>
          <w:tcPr>
            <w:tcW w:w="984" w:type="dxa"/>
          </w:tcPr>
          <w:p w14:paraId="010C953A" w14:textId="77777777" w:rsidR="007C0F2A" w:rsidRPr="009A2045" w:rsidRDefault="007C0F2A" w:rsidP="009A2045">
            <w:pPr>
              <w:spacing w:after="160" w:line="259" w:lineRule="auto"/>
            </w:pPr>
            <w:r w:rsidRPr="009A2045">
              <w:rPr>
                <w:rFonts w:ascii="Calibri" w:eastAsia="Calibri" w:hAnsi="Calibri" w:cs="Calibri"/>
              </w:rPr>
              <w:t>56.1</w:t>
            </w:r>
          </w:p>
        </w:tc>
        <w:tc>
          <w:tcPr>
            <w:tcW w:w="1615" w:type="dxa"/>
          </w:tcPr>
          <w:p w14:paraId="5AC5767C" w14:textId="77777777" w:rsidR="007C0F2A" w:rsidRPr="009A2045" w:rsidRDefault="007C0F2A" w:rsidP="009A2045">
            <w:pPr>
              <w:spacing w:after="160" w:line="259" w:lineRule="auto"/>
            </w:pPr>
            <w:r w:rsidRPr="009A2045">
              <w:rPr>
                <w:rFonts w:ascii="Calibri" w:eastAsia="Calibri" w:hAnsi="Calibri" w:cs="Calibri"/>
              </w:rPr>
              <w:t xml:space="preserve">Ecotox#5806 (Naqvi </w:t>
            </w:r>
            <w:r w:rsidRPr="009A2045">
              <w:rPr>
                <w:rFonts w:ascii="Calibri" w:eastAsia="Calibri" w:hAnsi="Calibri" w:cs="Calibri"/>
                <w:i/>
              </w:rPr>
              <w:t>et al</w:t>
            </w:r>
            <w:r w:rsidRPr="009A2045">
              <w:rPr>
                <w:rFonts w:ascii="Calibri" w:eastAsia="Calibri" w:hAnsi="Calibri" w:cs="Calibri"/>
              </w:rPr>
              <w:t>) / 1988</w:t>
            </w:r>
          </w:p>
        </w:tc>
      </w:tr>
      <w:tr w:rsidR="007C0F2A" w:rsidRPr="009A2045" w14:paraId="3DB8D33B" w14:textId="77777777" w:rsidTr="00D94E26">
        <w:tc>
          <w:tcPr>
            <w:tcW w:w="1525" w:type="dxa"/>
            <w:vMerge/>
          </w:tcPr>
          <w:p w14:paraId="38ADAB3D" w14:textId="77777777" w:rsidR="007C0F2A" w:rsidRPr="009A2045" w:rsidRDefault="007C0F2A" w:rsidP="009A2045">
            <w:pPr>
              <w:widowControl w:val="0"/>
              <w:spacing w:line="276" w:lineRule="auto"/>
            </w:pPr>
          </w:p>
        </w:tc>
        <w:tc>
          <w:tcPr>
            <w:tcW w:w="1714" w:type="dxa"/>
            <w:vMerge/>
          </w:tcPr>
          <w:p w14:paraId="798F0ACA" w14:textId="77777777" w:rsidR="007C0F2A" w:rsidRPr="009A2045" w:rsidRDefault="007C0F2A" w:rsidP="009A2045">
            <w:pPr>
              <w:widowControl w:val="0"/>
              <w:spacing w:line="276" w:lineRule="auto"/>
            </w:pPr>
          </w:p>
        </w:tc>
        <w:tc>
          <w:tcPr>
            <w:tcW w:w="716" w:type="dxa"/>
            <w:vMerge/>
          </w:tcPr>
          <w:p w14:paraId="7F9DDA18" w14:textId="77777777" w:rsidR="007C0F2A" w:rsidRPr="009A2045" w:rsidRDefault="007C0F2A" w:rsidP="009A2045">
            <w:pPr>
              <w:widowControl w:val="0"/>
              <w:spacing w:line="276" w:lineRule="auto"/>
            </w:pPr>
          </w:p>
        </w:tc>
        <w:tc>
          <w:tcPr>
            <w:tcW w:w="1170" w:type="dxa"/>
          </w:tcPr>
          <w:p w14:paraId="65C4CE84" w14:textId="77777777" w:rsidR="007C0F2A" w:rsidRPr="009A2045" w:rsidRDefault="007C0F2A" w:rsidP="009A2045">
            <w:pPr>
              <w:spacing w:after="160" w:line="259" w:lineRule="auto"/>
            </w:pPr>
          </w:p>
          <w:p w14:paraId="4A338B46" w14:textId="77777777" w:rsidR="007C0F2A" w:rsidRPr="009A2045" w:rsidRDefault="007C0F2A" w:rsidP="009A2045">
            <w:pPr>
              <w:spacing w:after="160" w:line="259" w:lineRule="auto"/>
            </w:pPr>
          </w:p>
          <w:p w14:paraId="3672D6CB" w14:textId="77777777" w:rsidR="007C0F2A" w:rsidRPr="009A2045" w:rsidRDefault="007C0F2A" w:rsidP="009A2045">
            <w:pPr>
              <w:spacing w:after="160" w:line="259" w:lineRule="auto"/>
            </w:pPr>
          </w:p>
          <w:p w14:paraId="6EA705D5" w14:textId="77777777" w:rsidR="007C0F2A" w:rsidRPr="009A2045" w:rsidRDefault="007C0F2A" w:rsidP="009A2045">
            <w:pPr>
              <w:spacing w:after="160" w:line="259" w:lineRule="auto"/>
            </w:pPr>
          </w:p>
        </w:tc>
        <w:tc>
          <w:tcPr>
            <w:tcW w:w="1626" w:type="dxa"/>
          </w:tcPr>
          <w:p w14:paraId="18979F49" w14:textId="77777777" w:rsidR="007C0F2A" w:rsidRPr="009A2045" w:rsidRDefault="007C0F2A" w:rsidP="009A2045">
            <w:pPr>
              <w:spacing w:after="160" w:line="259" w:lineRule="auto"/>
            </w:pPr>
            <w:r w:rsidRPr="009A2045">
              <w:rPr>
                <w:rFonts w:ascii="Calibri" w:eastAsia="Calibri" w:hAnsi="Calibri" w:cs="Calibri"/>
              </w:rPr>
              <w:lastRenderedPageBreak/>
              <w:t>300 (±0.075 SD) (S)</w:t>
            </w:r>
          </w:p>
        </w:tc>
        <w:tc>
          <w:tcPr>
            <w:tcW w:w="984" w:type="dxa"/>
          </w:tcPr>
          <w:p w14:paraId="0BC6845F" w14:textId="77777777" w:rsidR="007C0F2A" w:rsidRPr="009A2045" w:rsidRDefault="007C0F2A" w:rsidP="009A2045">
            <w:pPr>
              <w:spacing w:after="160" w:line="259" w:lineRule="auto"/>
            </w:pPr>
            <w:r w:rsidRPr="009A2045">
              <w:rPr>
                <w:rFonts w:ascii="Calibri" w:eastAsia="Calibri" w:hAnsi="Calibri" w:cs="Calibri"/>
              </w:rPr>
              <w:t>NR</w:t>
            </w:r>
          </w:p>
        </w:tc>
        <w:tc>
          <w:tcPr>
            <w:tcW w:w="1615" w:type="dxa"/>
          </w:tcPr>
          <w:p w14:paraId="59D0E39D" w14:textId="77777777" w:rsidR="007C0F2A" w:rsidRPr="009A2045" w:rsidRDefault="007C0F2A" w:rsidP="009A2045">
            <w:pPr>
              <w:spacing w:after="160" w:line="259" w:lineRule="auto"/>
            </w:pPr>
            <w:r w:rsidRPr="009A2045">
              <w:rPr>
                <w:rFonts w:ascii="Calibri" w:eastAsia="Calibri" w:hAnsi="Calibri" w:cs="Calibri"/>
              </w:rPr>
              <w:t xml:space="preserve">Ecotox#20475 (Cano </w:t>
            </w:r>
            <w:r w:rsidRPr="009A2045">
              <w:rPr>
                <w:rFonts w:ascii="Calibri" w:eastAsia="Calibri" w:hAnsi="Calibri" w:cs="Calibri"/>
                <w:i/>
              </w:rPr>
              <w:t>et al</w:t>
            </w:r>
            <w:r w:rsidRPr="009A2045">
              <w:rPr>
                <w:rFonts w:ascii="Calibri" w:eastAsia="Calibri" w:hAnsi="Calibri" w:cs="Calibri"/>
              </w:rPr>
              <w:t>) / 1999</w:t>
            </w:r>
          </w:p>
        </w:tc>
      </w:tr>
      <w:tr w:rsidR="007C0F2A" w:rsidRPr="009A2045" w14:paraId="553D07C6" w14:textId="77777777" w:rsidTr="00D94E26">
        <w:tc>
          <w:tcPr>
            <w:tcW w:w="1525" w:type="dxa"/>
          </w:tcPr>
          <w:p w14:paraId="768C4610" w14:textId="77777777" w:rsidR="007C0F2A" w:rsidRPr="009A2045" w:rsidRDefault="007C0F2A" w:rsidP="009A2045">
            <w:pPr>
              <w:spacing w:after="160" w:line="259" w:lineRule="auto"/>
            </w:pPr>
            <w:r w:rsidRPr="009A2045">
              <w:rPr>
                <w:rFonts w:ascii="Calibri" w:eastAsia="Calibri" w:hAnsi="Calibri" w:cs="Calibri"/>
              </w:rPr>
              <w:lastRenderedPageBreak/>
              <w:t>Coho salmon (</w:t>
            </w:r>
            <w:r w:rsidRPr="009A2045">
              <w:rPr>
                <w:rFonts w:ascii="Calibri" w:eastAsia="Calibri" w:hAnsi="Calibri" w:cs="Calibri"/>
                <w:i/>
              </w:rPr>
              <w:t>Oncorhynchus kisutch</w:t>
            </w:r>
            <w:r w:rsidRPr="009A2045">
              <w:rPr>
                <w:rFonts w:ascii="Calibri" w:eastAsia="Calibri" w:hAnsi="Calibri" w:cs="Calibri"/>
              </w:rPr>
              <w:t>)</w:t>
            </w:r>
          </w:p>
        </w:tc>
        <w:tc>
          <w:tcPr>
            <w:tcW w:w="1714" w:type="dxa"/>
          </w:tcPr>
          <w:p w14:paraId="7E68C686" w14:textId="77777777" w:rsidR="007C0F2A" w:rsidRPr="009A2045" w:rsidRDefault="007C0F2A" w:rsidP="009A2045">
            <w:pPr>
              <w:spacing w:after="160" w:line="259" w:lineRule="auto"/>
            </w:pPr>
            <w:r w:rsidRPr="009A2045">
              <w:rPr>
                <w:rFonts w:ascii="Calibri" w:eastAsia="Calibri" w:hAnsi="Calibri" w:cs="Calibri"/>
              </w:rPr>
              <w:t>720</w:t>
            </w:r>
          </w:p>
          <w:p w14:paraId="1495067B" w14:textId="77777777" w:rsidR="007C0F2A" w:rsidRPr="009A2045" w:rsidRDefault="007C0F2A" w:rsidP="009A2045">
            <w:pPr>
              <w:spacing w:after="160" w:line="259" w:lineRule="auto"/>
            </w:pPr>
            <w:r w:rsidRPr="009A2045">
              <w:rPr>
                <w:rFonts w:ascii="Calibri" w:eastAsia="Calibri" w:hAnsi="Calibri" w:cs="Calibri"/>
              </w:rPr>
              <w:t>(310-1200)</w:t>
            </w:r>
          </w:p>
        </w:tc>
        <w:tc>
          <w:tcPr>
            <w:tcW w:w="716" w:type="dxa"/>
          </w:tcPr>
          <w:p w14:paraId="342663A4" w14:textId="77777777" w:rsidR="007C0F2A" w:rsidRPr="009A2045" w:rsidRDefault="007C0F2A" w:rsidP="009A2045">
            <w:pPr>
              <w:spacing w:after="160" w:line="259" w:lineRule="auto"/>
            </w:pPr>
            <w:r w:rsidRPr="009A2045">
              <w:rPr>
                <w:rFonts w:ascii="Calibri" w:eastAsia="Calibri" w:hAnsi="Calibri" w:cs="Calibri"/>
              </w:rPr>
              <w:t>96.8</w:t>
            </w:r>
          </w:p>
        </w:tc>
        <w:tc>
          <w:tcPr>
            <w:tcW w:w="1170" w:type="dxa"/>
          </w:tcPr>
          <w:p w14:paraId="3FC964F1" w14:textId="77777777" w:rsidR="007C0F2A" w:rsidRPr="009A2045" w:rsidRDefault="007C0F2A" w:rsidP="009A2045">
            <w:pPr>
              <w:spacing w:after="160" w:line="259" w:lineRule="auto"/>
            </w:pPr>
            <w:r w:rsidRPr="009A2045">
              <w:rPr>
                <w:rFonts w:ascii="Calibri" w:eastAsia="Calibri" w:hAnsi="Calibri" w:cs="Calibri"/>
              </w:rPr>
              <w:t xml:space="preserve">MRID 49479003 / 2014 </w:t>
            </w:r>
          </w:p>
        </w:tc>
        <w:tc>
          <w:tcPr>
            <w:tcW w:w="1626" w:type="dxa"/>
          </w:tcPr>
          <w:p w14:paraId="2C324DA4" w14:textId="77777777" w:rsidR="007C0F2A" w:rsidRPr="009A2045" w:rsidRDefault="007C0F2A" w:rsidP="009A2045">
            <w:pPr>
              <w:spacing w:after="160" w:line="259" w:lineRule="auto"/>
            </w:pPr>
            <w:r w:rsidRPr="009A2045">
              <w:rPr>
                <w:rFonts w:ascii="Calibri" w:eastAsia="Calibri" w:hAnsi="Calibri" w:cs="Calibri"/>
              </w:rPr>
              <w:t>170-177(S)</w:t>
            </w:r>
          </w:p>
          <w:p w14:paraId="20D9491F" w14:textId="77777777" w:rsidR="007C0F2A" w:rsidRPr="009A2045" w:rsidRDefault="007C0F2A" w:rsidP="009A2045">
            <w:pPr>
              <w:spacing w:after="160" w:line="259" w:lineRule="auto"/>
            </w:pPr>
          </w:p>
          <w:p w14:paraId="4AD6FB1C" w14:textId="77777777" w:rsidR="007C0F2A" w:rsidRPr="009A2045" w:rsidRDefault="007C0F2A" w:rsidP="009A2045">
            <w:pPr>
              <w:spacing w:after="160" w:line="259" w:lineRule="auto"/>
            </w:pPr>
          </w:p>
        </w:tc>
        <w:tc>
          <w:tcPr>
            <w:tcW w:w="984" w:type="dxa"/>
          </w:tcPr>
          <w:p w14:paraId="346C3AA3" w14:textId="77777777" w:rsidR="007C0F2A" w:rsidRPr="009A2045" w:rsidRDefault="007C0F2A" w:rsidP="009A2045">
            <w:pPr>
              <w:spacing w:after="160" w:line="259" w:lineRule="auto"/>
            </w:pPr>
            <w:r w:rsidRPr="009A2045">
              <w:rPr>
                <w:rFonts w:ascii="Calibri" w:eastAsia="Calibri" w:hAnsi="Calibri" w:cs="Calibri"/>
              </w:rPr>
              <w:t>95</w:t>
            </w:r>
          </w:p>
        </w:tc>
        <w:tc>
          <w:tcPr>
            <w:tcW w:w="1615" w:type="dxa"/>
          </w:tcPr>
          <w:p w14:paraId="37125469" w14:textId="77777777" w:rsidR="007C0F2A" w:rsidRPr="009A2045" w:rsidRDefault="007C0F2A" w:rsidP="009A2045">
            <w:pPr>
              <w:spacing w:after="160" w:line="259" w:lineRule="auto"/>
            </w:pPr>
            <w:r w:rsidRPr="009A2045">
              <w:rPr>
                <w:rFonts w:ascii="Calibri" w:eastAsia="Calibri" w:hAnsi="Calibri" w:cs="Calibri"/>
              </w:rPr>
              <w:t xml:space="preserve">Ecotox# 6797 (Mayer &amp; Ellersieck) / 1986 </w:t>
            </w:r>
          </w:p>
        </w:tc>
      </w:tr>
      <w:tr w:rsidR="007C0F2A" w:rsidRPr="009A2045" w14:paraId="6AEB704E" w14:textId="77777777" w:rsidTr="00D94E26">
        <w:tc>
          <w:tcPr>
            <w:tcW w:w="1525" w:type="dxa"/>
            <w:vMerge w:val="restart"/>
          </w:tcPr>
          <w:p w14:paraId="216029A6" w14:textId="77777777" w:rsidR="007C0F2A" w:rsidRPr="009A2045" w:rsidRDefault="007C0F2A" w:rsidP="009A2045">
            <w:pPr>
              <w:spacing w:after="160" w:line="259" w:lineRule="auto"/>
            </w:pPr>
            <w:r w:rsidRPr="009A2045">
              <w:rPr>
                <w:rFonts w:ascii="Calibri" w:eastAsia="Calibri" w:hAnsi="Calibri" w:cs="Calibri"/>
              </w:rPr>
              <w:t>Sheepshead minnow</w:t>
            </w:r>
          </w:p>
          <w:p w14:paraId="012A7C4E" w14:textId="77777777" w:rsidR="007C0F2A" w:rsidRPr="009A2045" w:rsidRDefault="007C0F2A" w:rsidP="009A2045">
            <w:pPr>
              <w:spacing w:after="160" w:line="259" w:lineRule="auto"/>
            </w:pPr>
            <w:r w:rsidRPr="009A2045">
              <w:rPr>
                <w:rFonts w:ascii="Calibri" w:eastAsia="Calibri" w:hAnsi="Calibri" w:cs="Calibri"/>
              </w:rPr>
              <w:t>(</w:t>
            </w:r>
            <w:r w:rsidRPr="009A2045">
              <w:rPr>
                <w:rFonts w:ascii="Calibri" w:eastAsia="Calibri" w:hAnsi="Calibri" w:cs="Calibri"/>
                <w:i/>
              </w:rPr>
              <w:t>Cyprinodon variegatus</w:t>
            </w:r>
            <w:r w:rsidRPr="009A2045">
              <w:rPr>
                <w:rFonts w:ascii="Calibri" w:eastAsia="Calibri" w:hAnsi="Calibri" w:cs="Calibri"/>
              </w:rPr>
              <w:t>)</w:t>
            </w:r>
          </w:p>
        </w:tc>
        <w:tc>
          <w:tcPr>
            <w:tcW w:w="1714" w:type="dxa"/>
            <w:vMerge w:val="restart"/>
          </w:tcPr>
          <w:p w14:paraId="55EF7C40" w14:textId="77777777" w:rsidR="007C0F2A" w:rsidRPr="009A2045" w:rsidRDefault="007C0F2A" w:rsidP="009A2045">
            <w:pPr>
              <w:spacing w:after="160" w:line="259" w:lineRule="auto"/>
            </w:pPr>
            <w:r w:rsidRPr="009A2045">
              <w:rPr>
                <w:rFonts w:ascii="Calibri" w:eastAsia="Calibri" w:hAnsi="Calibri" w:cs="Calibri"/>
              </w:rPr>
              <w:t>47.4</w:t>
            </w:r>
          </w:p>
          <w:p w14:paraId="5F7E7AC4" w14:textId="77777777" w:rsidR="007C0F2A" w:rsidRPr="009A2045" w:rsidRDefault="007C0F2A" w:rsidP="009A2045">
            <w:pPr>
              <w:spacing w:after="160" w:line="259" w:lineRule="auto"/>
            </w:pPr>
            <w:r w:rsidRPr="009A2045">
              <w:rPr>
                <w:rFonts w:ascii="Calibri" w:eastAsia="Calibri" w:hAnsi="Calibri" w:cs="Calibri"/>
              </w:rPr>
              <w:t>(could not be calculated)</w:t>
            </w:r>
          </w:p>
        </w:tc>
        <w:tc>
          <w:tcPr>
            <w:tcW w:w="716" w:type="dxa"/>
            <w:vMerge w:val="restart"/>
          </w:tcPr>
          <w:p w14:paraId="12389C81" w14:textId="77777777" w:rsidR="007C0F2A" w:rsidRPr="009A2045" w:rsidRDefault="007C0F2A" w:rsidP="009A2045">
            <w:pPr>
              <w:spacing w:after="160" w:line="259" w:lineRule="auto"/>
            </w:pPr>
            <w:r w:rsidRPr="009A2045">
              <w:rPr>
                <w:rFonts w:ascii="Calibri" w:eastAsia="Calibri" w:hAnsi="Calibri" w:cs="Calibri"/>
              </w:rPr>
              <w:t>96.6</w:t>
            </w:r>
          </w:p>
        </w:tc>
        <w:tc>
          <w:tcPr>
            <w:tcW w:w="1170" w:type="dxa"/>
            <w:vMerge w:val="restart"/>
          </w:tcPr>
          <w:p w14:paraId="20D8B88A" w14:textId="77777777" w:rsidR="007C0F2A" w:rsidRPr="009A2045" w:rsidRDefault="007C0F2A" w:rsidP="009A2045">
            <w:pPr>
              <w:spacing w:after="160" w:line="259" w:lineRule="auto"/>
            </w:pPr>
            <w:r w:rsidRPr="009A2045">
              <w:rPr>
                <w:rFonts w:ascii="Calibri" w:eastAsia="Calibri" w:hAnsi="Calibri" w:cs="Calibri"/>
              </w:rPr>
              <w:t>MRID 49055701 / 2011</w:t>
            </w:r>
          </w:p>
        </w:tc>
        <w:tc>
          <w:tcPr>
            <w:tcW w:w="1626" w:type="dxa"/>
          </w:tcPr>
          <w:p w14:paraId="352C3809" w14:textId="77777777" w:rsidR="007C0F2A" w:rsidRPr="009A2045" w:rsidRDefault="007C0F2A" w:rsidP="009A2045">
            <w:pPr>
              <w:spacing w:after="160" w:line="259" w:lineRule="auto"/>
            </w:pPr>
            <w:r w:rsidRPr="009A2045">
              <w:rPr>
                <w:rFonts w:ascii="Calibri" w:eastAsia="Calibri" w:hAnsi="Calibri" w:cs="Calibri"/>
              </w:rPr>
              <w:t>33 (14-63) (FT)</w:t>
            </w:r>
          </w:p>
          <w:p w14:paraId="7C6E8A0E" w14:textId="77777777" w:rsidR="007C0F2A" w:rsidRPr="009A2045" w:rsidRDefault="007C0F2A" w:rsidP="009A2045">
            <w:pPr>
              <w:spacing w:after="160" w:line="259" w:lineRule="auto"/>
            </w:pPr>
          </w:p>
        </w:tc>
        <w:tc>
          <w:tcPr>
            <w:tcW w:w="984" w:type="dxa"/>
          </w:tcPr>
          <w:p w14:paraId="37B344A8" w14:textId="77777777" w:rsidR="007C0F2A" w:rsidRPr="009A2045" w:rsidRDefault="007C0F2A" w:rsidP="009A2045">
            <w:pPr>
              <w:spacing w:after="160" w:line="259" w:lineRule="auto"/>
            </w:pPr>
            <w:r w:rsidRPr="009A2045">
              <w:rPr>
                <w:rFonts w:ascii="Calibri" w:eastAsia="Calibri" w:hAnsi="Calibri" w:cs="Calibri"/>
              </w:rPr>
              <w:t>94</w:t>
            </w:r>
          </w:p>
        </w:tc>
        <w:tc>
          <w:tcPr>
            <w:tcW w:w="1615" w:type="dxa"/>
          </w:tcPr>
          <w:p w14:paraId="735DA763" w14:textId="77777777" w:rsidR="007C0F2A" w:rsidRPr="009A2045" w:rsidRDefault="007C0F2A" w:rsidP="009A2045">
            <w:pPr>
              <w:spacing w:after="160" w:line="259" w:lineRule="auto"/>
            </w:pPr>
            <w:r w:rsidRPr="009A2045">
              <w:rPr>
                <w:rFonts w:ascii="Calibri" w:eastAsia="Calibri" w:hAnsi="Calibri" w:cs="Calibri"/>
              </w:rPr>
              <w:t>MRID 41174301</w:t>
            </w:r>
          </w:p>
        </w:tc>
      </w:tr>
      <w:tr w:rsidR="007C0F2A" w:rsidRPr="009A2045" w14:paraId="1C93181E" w14:textId="77777777" w:rsidTr="00D94E26">
        <w:tc>
          <w:tcPr>
            <w:tcW w:w="1525" w:type="dxa"/>
            <w:vMerge/>
          </w:tcPr>
          <w:p w14:paraId="65405D8A" w14:textId="77777777" w:rsidR="007C0F2A" w:rsidRPr="009A2045" w:rsidRDefault="007C0F2A" w:rsidP="009A2045">
            <w:pPr>
              <w:widowControl w:val="0"/>
              <w:spacing w:line="276" w:lineRule="auto"/>
            </w:pPr>
          </w:p>
        </w:tc>
        <w:tc>
          <w:tcPr>
            <w:tcW w:w="1714" w:type="dxa"/>
            <w:vMerge/>
          </w:tcPr>
          <w:p w14:paraId="7151650D" w14:textId="77777777" w:rsidR="007C0F2A" w:rsidRPr="009A2045" w:rsidRDefault="007C0F2A" w:rsidP="009A2045">
            <w:pPr>
              <w:widowControl w:val="0"/>
              <w:spacing w:line="276" w:lineRule="auto"/>
            </w:pPr>
          </w:p>
        </w:tc>
        <w:tc>
          <w:tcPr>
            <w:tcW w:w="716" w:type="dxa"/>
            <w:vMerge/>
          </w:tcPr>
          <w:p w14:paraId="5A9E8F78" w14:textId="77777777" w:rsidR="007C0F2A" w:rsidRPr="009A2045" w:rsidRDefault="007C0F2A" w:rsidP="009A2045">
            <w:pPr>
              <w:widowControl w:val="0"/>
              <w:spacing w:line="276" w:lineRule="auto"/>
            </w:pPr>
          </w:p>
        </w:tc>
        <w:tc>
          <w:tcPr>
            <w:tcW w:w="1170" w:type="dxa"/>
            <w:vMerge w:val="restart"/>
          </w:tcPr>
          <w:p w14:paraId="0FF2D03B" w14:textId="77777777" w:rsidR="007C0F2A" w:rsidRPr="009A2045" w:rsidRDefault="007C0F2A" w:rsidP="009A2045">
            <w:pPr>
              <w:spacing w:after="160" w:line="259" w:lineRule="auto"/>
            </w:pPr>
          </w:p>
          <w:p w14:paraId="712B0E8B" w14:textId="77777777" w:rsidR="007C0F2A" w:rsidRPr="009A2045" w:rsidRDefault="007C0F2A" w:rsidP="009A2045">
            <w:pPr>
              <w:spacing w:after="160" w:line="259" w:lineRule="auto"/>
            </w:pPr>
          </w:p>
          <w:p w14:paraId="1BD9E3A8" w14:textId="77777777" w:rsidR="007C0F2A" w:rsidRPr="009A2045" w:rsidRDefault="007C0F2A" w:rsidP="009A2045">
            <w:pPr>
              <w:spacing w:after="160" w:line="259" w:lineRule="auto"/>
            </w:pPr>
          </w:p>
          <w:p w14:paraId="10FF72EF" w14:textId="77777777" w:rsidR="007C0F2A" w:rsidRPr="009A2045" w:rsidRDefault="007C0F2A" w:rsidP="009A2045">
            <w:pPr>
              <w:spacing w:after="160" w:line="259" w:lineRule="auto"/>
            </w:pPr>
          </w:p>
        </w:tc>
        <w:tc>
          <w:tcPr>
            <w:tcW w:w="1626" w:type="dxa"/>
          </w:tcPr>
          <w:p w14:paraId="32E8F891" w14:textId="77777777" w:rsidR="007C0F2A" w:rsidRPr="009A2045" w:rsidRDefault="007C0F2A" w:rsidP="009A2045">
            <w:pPr>
              <w:spacing w:after="160" w:line="259" w:lineRule="auto"/>
            </w:pPr>
            <w:r w:rsidRPr="009A2045">
              <w:rPr>
                <w:rFonts w:ascii="Calibri" w:eastAsia="Calibri" w:hAnsi="Calibri" w:cs="Calibri"/>
              </w:rPr>
              <w:t>51 (NR) (FT)</w:t>
            </w:r>
          </w:p>
          <w:p w14:paraId="2E949FEE" w14:textId="77777777" w:rsidR="007C0F2A" w:rsidRPr="009A2045" w:rsidRDefault="007C0F2A" w:rsidP="009A2045">
            <w:pPr>
              <w:spacing w:after="160" w:line="259" w:lineRule="auto"/>
            </w:pPr>
          </w:p>
        </w:tc>
        <w:tc>
          <w:tcPr>
            <w:tcW w:w="984" w:type="dxa"/>
          </w:tcPr>
          <w:p w14:paraId="16C82B5B" w14:textId="77777777" w:rsidR="007C0F2A" w:rsidRPr="009A2045" w:rsidRDefault="007C0F2A" w:rsidP="009A2045">
            <w:pPr>
              <w:spacing w:after="160" w:line="259" w:lineRule="auto"/>
            </w:pPr>
            <w:r w:rsidRPr="009A2045">
              <w:rPr>
                <w:rFonts w:ascii="Calibri" w:eastAsia="Calibri" w:hAnsi="Calibri" w:cs="Calibri"/>
              </w:rPr>
              <w:t>95</w:t>
            </w:r>
          </w:p>
        </w:tc>
        <w:tc>
          <w:tcPr>
            <w:tcW w:w="1615" w:type="dxa"/>
          </w:tcPr>
          <w:p w14:paraId="1833F6E3" w14:textId="77777777" w:rsidR="007C0F2A" w:rsidRPr="009A2045" w:rsidRDefault="007C0F2A" w:rsidP="009A2045">
            <w:pPr>
              <w:spacing w:after="160" w:line="259" w:lineRule="auto"/>
            </w:pPr>
            <w:r w:rsidRPr="009A2045">
              <w:rPr>
                <w:rFonts w:ascii="Calibri" w:eastAsia="Calibri" w:hAnsi="Calibri" w:cs="Calibri"/>
              </w:rPr>
              <w:t xml:space="preserve">Ecotox# 5074 (Hansen </w:t>
            </w:r>
            <w:r w:rsidRPr="009A2045">
              <w:rPr>
                <w:rFonts w:ascii="Calibri" w:eastAsia="Calibri" w:hAnsi="Calibri" w:cs="Calibri"/>
                <w:i/>
              </w:rPr>
              <w:t>et al</w:t>
            </w:r>
            <w:r w:rsidRPr="009A2045">
              <w:rPr>
                <w:rFonts w:ascii="Calibri" w:eastAsia="Calibri" w:hAnsi="Calibri" w:cs="Calibri"/>
              </w:rPr>
              <w:t>) / 1977</w:t>
            </w:r>
            <w:r w:rsidRPr="009A2045">
              <w:rPr>
                <w:rFonts w:ascii="Calibri" w:eastAsia="Calibri" w:hAnsi="Calibri" w:cs="Calibri"/>
                <w:vertAlign w:val="superscript"/>
              </w:rPr>
              <w:t>6</w:t>
            </w:r>
          </w:p>
        </w:tc>
      </w:tr>
      <w:tr w:rsidR="007C0F2A" w:rsidRPr="009A2045" w14:paraId="06049E10" w14:textId="77777777" w:rsidTr="00D94E26">
        <w:tc>
          <w:tcPr>
            <w:tcW w:w="1525" w:type="dxa"/>
            <w:vMerge/>
          </w:tcPr>
          <w:p w14:paraId="5210EC79" w14:textId="77777777" w:rsidR="007C0F2A" w:rsidRPr="009A2045" w:rsidRDefault="007C0F2A" w:rsidP="009A2045">
            <w:pPr>
              <w:widowControl w:val="0"/>
              <w:spacing w:line="276" w:lineRule="auto"/>
            </w:pPr>
          </w:p>
        </w:tc>
        <w:tc>
          <w:tcPr>
            <w:tcW w:w="1714" w:type="dxa"/>
            <w:vMerge/>
          </w:tcPr>
          <w:p w14:paraId="6E4CB2EC" w14:textId="77777777" w:rsidR="007C0F2A" w:rsidRPr="009A2045" w:rsidRDefault="007C0F2A" w:rsidP="009A2045">
            <w:pPr>
              <w:widowControl w:val="0"/>
              <w:spacing w:line="276" w:lineRule="auto"/>
            </w:pPr>
          </w:p>
        </w:tc>
        <w:tc>
          <w:tcPr>
            <w:tcW w:w="716" w:type="dxa"/>
            <w:vMerge/>
          </w:tcPr>
          <w:p w14:paraId="0F790731" w14:textId="77777777" w:rsidR="007C0F2A" w:rsidRPr="009A2045" w:rsidRDefault="007C0F2A" w:rsidP="009A2045">
            <w:pPr>
              <w:widowControl w:val="0"/>
              <w:spacing w:line="276" w:lineRule="auto"/>
            </w:pPr>
          </w:p>
        </w:tc>
        <w:tc>
          <w:tcPr>
            <w:tcW w:w="1170" w:type="dxa"/>
          </w:tcPr>
          <w:p w14:paraId="3115953B" w14:textId="77777777" w:rsidR="007C0F2A" w:rsidRPr="009A2045" w:rsidRDefault="007C0F2A" w:rsidP="009A2045">
            <w:pPr>
              <w:spacing w:after="160" w:line="259" w:lineRule="auto"/>
            </w:pPr>
          </w:p>
          <w:p w14:paraId="240AB547" w14:textId="77777777" w:rsidR="007C0F2A" w:rsidRPr="009A2045" w:rsidRDefault="007C0F2A" w:rsidP="009A2045">
            <w:pPr>
              <w:spacing w:after="160" w:line="259" w:lineRule="auto"/>
            </w:pPr>
          </w:p>
          <w:p w14:paraId="49D92B26" w14:textId="77777777" w:rsidR="007C0F2A" w:rsidRPr="009A2045" w:rsidRDefault="007C0F2A" w:rsidP="009A2045">
            <w:pPr>
              <w:spacing w:after="160" w:line="259" w:lineRule="auto"/>
            </w:pPr>
          </w:p>
          <w:p w14:paraId="2B594026" w14:textId="77777777" w:rsidR="007C0F2A" w:rsidRPr="009A2045" w:rsidRDefault="007C0F2A" w:rsidP="009A2045">
            <w:pPr>
              <w:spacing w:after="160" w:line="259" w:lineRule="auto"/>
            </w:pPr>
          </w:p>
        </w:tc>
        <w:tc>
          <w:tcPr>
            <w:tcW w:w="1626" w:type="dxa"/>
          </w:tcPr>
          <w:p w14:paraId="19FEC880" w14:textId="77777777" w:rsidR="007C0F2A" w:rsidRPr="009A2045" w:rsidRDefault="007C0F2A" w:rsidP="009A2045">
            <w:pPr>
              <w:spacing w:after="160" w:line="259" w:lineRule="auto"/>
            </w:pPr>
            <w:r w:rsidRPr="009A2045">
              <w:rPr>
                <w:rFonts w:ascii="Calibri" w:eastAsia="Calibri" w:hAnsi="Calibri" w:cs="Calibri"/>
              </w:rPr>
              <w:t>55 (FT)</w:t>
            </w:r>
          </w:p>
          <w:p w14:paraId="5E5E900B" w14:textId="77777777" w:rsidR="007C0F2A" w:rsidRPr="009A2045" w:rsidRDefault="007C0F2A" w:rsidP="009A2045">
            <w:pPr>
              <w:spacing w:after="160" w:line="259" w:lineRule="auto"/>
            </w:pPr>
          </w:p>
        </w:tc>
        <w:tc>
          <w:tcPr>
            <w:tcW w:w="984" w:type="dxa"/>
          </w:tcPr>
          <w:p w14:paraId="6CC8E304" w14:textId="77777777" w:rsidR="007C0F2A" w:rsidRPr="009A2045" w:rsidRDefault="007C0F2A" w:rsidP="009A2045">
            <w:pPr>
              <w:spacing w:after="160" w:line="259" w:lineRule="auto"/>
            </w:pPr>
            <w:r w:rsidRPr="009A2045">
              <w:rPr>
                <w:rFonts w:ascii="Calibri" w:eastAsia="Calibri" w:hAnsi="Calibri" w:cs="Calibri"/>
              </w:rPr>
              <w:t>57</w:t>
            </w:r>
          </w:p>
        </w:tc>
        <w:tc>
          <w:tcPr>
            <w:tcW w:w="1615" w:type="dxa"/>
          </w:tcPr>
          <w:p w14:paraId="71B9F54E" w14:textId="77777777" w:rsidR="007C0F2A" w:rsidRPr="009A2045" w:rsidRDefault="007C0F2A" w:rsidP="009A2045">
            <w:pPr>
              <w:spacing w:after="160" w:line="259" w:lineRule="auto"/>
            </w:pPr>
            <w:r w:rsidRPr="009A2045">
              <w:rPr>
                <w:rFonts w:ascii="Calibri" w:eastAsia="Calibri" w:hAnsi="Calibri" w:cs="Calibri"/>
              </w:rPr>
              <w:t>MRID 41252101</w:t>
            </w:r>
          </w:p>
        </w:tc>
      </w:tr>
      <w:tr w:rsidR="007C0F2A" w:rsidRPr="009A2045" w14:paraId="2A45062A" w14:textId="77777777" w:rsidTr="00D94E26">
        <w:tc>
          <w:tcPr>
            <w:tcW w:w="1525" w:type="dxa"/>
          </w:tcPr>
          <w:p w14:paraId="7A306E80" w14:textId="77777777" w:rsidR="007C0F2A" w:rsidRPr="009A2045" w:rsidRDefault="007C0F2A" w:rsidP="009A2045">
            <w:pPr>
              <w:spacing w:after="160" w:line="259" w:lineRule="auto"/>
            </w:pPr>
            <w:r w:rsidRPr="009A2045">
              <w:rPr>
                <w:rFonts w:ascii="Calibri" w:eastAsia="Calibri" w:hAnsi="Calibri" w:cs="Calibri"/>
              </w:rPr>
              <w:t>Frog (</w:t>
            </w:r>
            <w:r w:rsidRPr="009A2045">
              <w:rPr>
                <w:rFonts w:ascii="Calibri" w:eastAsia="Calibri" w:hAnsi="Calibri" w:cs="Calibri"/>
                <w:i/>
              </w:rPr>
              <w:t>Xenopus laevis</w:t>
            </w:r>
            <w:r w:rsidRPr="009A2045">
              <w:rPr>
                <w:rFonts w:ascii="Calibri" w:eastAsia="Calibri" w:hAnsi="Calibri" w:cs="Calibri"/>
              </w:rPr>
              <w:t>)</w:t>
            </w:r>
          </w:p>
        </w:tc>
        <w:tc>
          <w:tcPr>
            <w:tcW w:w="1714" w:type="dxa"/>
          </w:tcPr>
          <w:p w14:paraId="2F0C2886" w14:textId="77777777" w:rsidR="007C0F2A" w:rsidRPr="009A2045" w:rsidRDefault="007C0F2A" w:rsidP="009A2045">
            <w:pPr>
              <w:spacing w:after="160" w:line="259" w:lineRule="auto"/>
            </w:pPr>
            <w:r w:rsidRPr="009A2045">
              <w:rPr>
                <w:rFonts w:ascii="Calibri" w:eastAsia="Calibri" w:hAnsi="Calibri" w:cs="Calibri"/>
              </w:rPr>
              <w:t>4,700</w:t>
            </w:r>
          </w:p>
          <w:p w14:paraId="007B789F" w14:textId="77777777" w:rsidR="007C0F2A" w:rsidRPr="009A2045" w:rsidRDefault="007C0F2A" w:rsidP="009A2045">
            <w:pPr>
              <w:spacing w:after="160" w:line="259" w:lineRule="auto"/>
            </w:pPr>
            <w:r w:rsidRPr="009A2045">
              <w:rPr>
                <w:rFonts w:ascii="Calibri" w:eastAsia="Calibri" w:hAnsi="Calibri" w:cs="Calibri"/>
              </w:rPr>
              <w:t>(3,900-5,600)</w:t>
            </w:r>
          </w:p>
        </w:tc>
        <w:tc>
          <w:tcPr>
            <w:tcW w:w="716" w:type="dxa"/>
          </w:tcPr>
          <w:p w14:paraId="1BCF1A5F" w14:textId="77777777" w:rsidR="007C0F2A" w:rsidRPr="009A2045" w:rsidRDefault="007C0F2A" w:rsidP="009A2045">
            <w:pPr>
              <w:spacing w:after="160" w:line="259" w:lineRule="auto"/>
            </w:pPr>
            <w:r w:rsidRPr="009A2045">
              <w:rPr>
                <w:rFonts w:ascii="Calibri" w:eastAsia="Calibri" w:hAnsi="Calibri" w:cs="Calibri"/>
              </w:rPr>
              <w:t>96.0</w:t>
            </w:r>
          </w:p>
        </w:tc>
        <w:tc>
          <w:tcPr>
            <w:tcW w:w="1170" w:type="dxa"/>
          </w:tcPr>
          <w:p w14:paraId="7333613D" w14:textId="77777777" w:rsidR="007C0F2A" w:rsidRPr="009A2045" w:rsidRDefault="007C0F2A" w:rsidP="009A2045">
            <w:pPr>
              <w:spacing w:after="160" w:line="259" w:lineRule="auto"/>
            </w:pPr>
            <w:r w:rsidRPr="009A2045">
              <w:rPr>
                <w:rFonts w:ascii="Calibri" w:eastAsia="Calibri" w:hAnsi="Calibri" w:cs="Calibri"/>
              </w:rPr>
              <w:t>MRID 48409302 / 2011</w:t>
            </w:r>
          </w:p>
        </w:tc>
        <w:tc>
          <w:tcPr>
            <w:tcW w:w="1626" w:type="dxa"/>
          </w:tcPr>
          <w:p w14:paraId="15264561" w14:textId="77777777" w:rsidR="007C0F2A" w:rsidRPr="009A2045" w:rsidRDefault="007C0F2A" w:rsidP="009A2045">
            <w:pPr>
              <w:spacing w:after="160" w:line="259" w:lineRule="auto"/>
            </w:pPr>
            <w:r w:rsidRPr="009A2045">
              <w:rPr>
                <w:rFonts w:ascii="Calibri" w:eastAsia="Calibri" w:hAnsi="Calibri" w:cs="Calibri"/>
                <w:u w:val="single"/>
              </w:rPr>
              <w:t>Embryos</w:t>
            </w:r>
            <w:r w:rsidRPr="009A2045">
              <w:rPr>
                <w:rFonts w:ascii="Calibri" w:eastAsia="Calibri" w:hAnsi="Calibri" w:cs="Calibri"/>
              </w:rPr>
              <w:t>- 10,900</w:t>
            </w:r>
          </w:p>
          <w:p w14:paraId="78405ECB" w14:textId="77777777" w:rsidR="007C0F2A" w:rsidRPr="009A2045" w:rsidRDefault="007C0F2A" w:rsidP="009A2045">
            <w:pPr>
              <w:spacing w:after="160" w:line="259" w:lineRule="auto"/>
            </w:pPr>
            <w:r w:rsidRPr="009A2045">
              <w:rPr>
                <w:rFonts w:ascii="Calibri" w:eastAsia="Calibri" w:hAnsi="Calibri" w:cs="Calibri"/>
              </w:rPr>
              <w:t>(16,600-11,300) (S)</w:t>
            </w:r>
          </w:p>
          <w:p w14:paraId="588199AA" w14:textId="77777777" w:rsidR="007C0F2A" w:rsidRPr="009A2045" w:rsidRDefault="007C0F2A" w:rsidP="009A2045">
            <w:pPr>
              <w:spacing w:after="160" w:line="259" w:lineRule="auto"/>
            </w:pPr>
          </w:p>
        </w:tc>
        <w:tc>
          <w:tcPr>
            <w:tcW w:w="984" w:type="dxa"/>
          </w:tcPr>
          <w:p w14:paraId="7EF0FBC6" w14:textId="77777777" w:rsidR="007C0F2A" w:rsidRPr="009A2045" w:rsidRDefault="007C0F2A" w:rsidP="009A2045">
            <w:pPr>
              <w:spacing w:after="160" w:line="259" w:lineRule="auto"/>
            </w:pPr>
            <w:r w:rsidRPr="009A2045">
              <w:rPr>
                <w:rFonts w:ascii="Calibri" w:eastAsia="Calibri" w:hAnsi="Calibri" w:cs="Calibri"/>
              </w:rPr>
              <w:t>&gt;90</w:t>
            </w:r>
          </w:p>
        </w:tc>
        <w:tc>
          <w:tcPr>
            <w:tcW w:w="1615" w:type="dxa"/>
          </w:tcPr>
          <w:p w14:paraId="7DF7E625" w14:textId="77777777" w:rsidR="007C0F2A" w:rsidRPr="009A2045" w:rsidRDefault="007C0F2A" w:rsidP="009A2045">
            <w:pPr>
              <w:spacing w:after="160" w:line="259" w:lineRule="auto"/>
            </w:pPr>
            <w:r w:rsidRPr="009A2045">
              <w:rPr>
                <w:rFonts w:ascii="Calibri" w:eastAsia="Calibri" w:hAnsi="Calibri" w:cs="Calibri"/>
              </w:rPr>
              <w:t xml:space="preserve">Ecotox# 66505 (Snawder </w:t>
            </w:r>
            <w:r w:rsidRPr="009A2045">
              <w:rPr>
                <w:rFonts w:ascii="Calibri" w:eastAsia="Calibri" w:hAnsi="Calibri" w:cs="Calibri"/>
                <w:i/>
              </w:rPr>
              <w:t>et al</w:t>
            </w:r>
            <w:r w:rsidRPr="009A2045">
              <w:rPr>
                <w:rFonts w:ascii="Calibri" w:eastAsia="Calibri" w:hAnsi="Calibri" w:cs="Calibri"/>
              </w:rPr>
              <w:t>) / 1989</w:t>
            </w:r>
          </w:p>
        </w:tc>
      </w:tr>
    </w:tbl>
    <w:p w14:paraId="350A4250" w14:textId="026B2D32" w:rsidR="007C0F2A" w:rsidRPr="009A2045" w:rsidRDefault="007C0F2A" w:rsidP="009A2045">
      <w:pPr>
        <w:spacing w:after="0"/>
        <w:rPr>
          <w:sz w:val="20"/>
        </w:rPr>
      </w:pPr>
      <w:r w:rsidRPr="009A2045">
        <w:rPr>
          <w:sz w:val="20"/>
          <w:vertAlign w:val="superscript"/>
        </w:rPr>
        <w:t xml:space="preserve">1 </w:t>
      </w:r>
      <w:r w:rsidRPr="009A2045">
        <w:rPr>
          <w:sz w:val="20"/>
        </w:rPr>
        <w:t>All studies were of 96-hr duration, except for studies with mayfly or midge</w:t>
      </w:r>
      <w:r w:rsidR="00254508" w:rsidRPr="009A2045">
        <w:rPr>
          <w:sz w:val="20"/>
        </w:rPr>
        <w:t>,</w:t>
      </w:r>
      <w:r w:rsidRPr="009A2045">
        <w:rPr>
          <w:sz w:val="20"/>
        </w:rPr>
        <w:t xml:space="preserve"> which were 48-hr</w:t>
      </w:r>
    </w:p>
    <w:p w14:paraId="659ED4B9" w14:textId="77777777" w:rsidR="007C0F2A" w:rsidRPr="009A2045" w:rsidRDefault="007C0F2A" w:rsidP="009A2045">
      <w:pPr>
        <w:spacing w:after="0"/>
        <w:rPr>
          <w:sz w:val="20"/>
        </w:rPr>
      </w:pPr>
      <w:r w:rsidRPr="009A2045">
        <w:rPr>
          <w:sz w:val="20"/>
          <w:vertAlign w:val="superscript"/>
        </w:rPr>
        <w:t xml:space="preserve">2 </w:t>
      </w:r>
      <w:r w:rsidRPr="009A2045">
        <w:rPr>
          <w:sz w:val="20"/>
        </w:rPr>
        <w:t>All studies in this column were conducted using flow-through test systems</w:t>
      </w:r>
    </w:p>
    <w:p w14:paraId="195398FF" w14:textId="64B18BE9" w:rsidR="007C0F2A" w:rsidRPr="009A2045" w:rsidRDefault="007C0F2A" w:rsidP="009A2045">
      <w:pPr>
        <w:spacing w:after="0"/>
        <w:rPr>
          <w:sz w:val="20"/>
        </w:rPr>
      </w:pPr>
      <w:r w:rsidRPr="009A2045">
        <w:rPr>
          <w:sz w:val="20"/>
          <w:vertAlign w:val="superscript"/>
        </w:rPr>
        <w:t xml:space="preserve">3 </w:t>
      </w:r>
      <w:r w:rsidRPr="009A2045">
        <w:rPr>
          <w:sz w:val="20"/>
        </w:rPr>
        <w:t xml:space="preserve">Purity other than technical grade </w:t>
      </w:r>
      <w:r w:rsidR="00254508" w:rsidRPr="009A2045">
        <w:rPr>
          <w:sz w:val="20"/>
        </w:rPr>
        <w:t xml:space="preserve">was </w:t>
      </w:r>
      <w:r w:rsidRPr="009A2045">
        <w:rPr>
          <w:sz w:val="20"/>
        </w:rPr>
        <w:t xml:space="preserve">not reported; source – Micro Flo Company (Sparks, GA) </w:t>
      </w:r>
    </w:p>
    <w:p w14:paraId="372135AB" w14:textId="0A51650F" w:rsidR="007C0F2A" w:rsidRPr="009A2045" w:rsidRDefault="007C0F2A" w:rsidP="009A2045">
      <w:pPr>
        <w:spacing w:after="0"/>
        <w:rPr>
          <w:sz w:val="20"/>
        </w:rPr>
      </w:pPr>
      <w:r w:rsidRPr="009A2045">
        <w:rPr>
          <w:sz w:val="20"/>
          <w:vertAlign w:val="superscript"/>
        </w:rPr>
        <w:t>4</w:t>
      </w:r>
      <w:r w:rsidRPr="009A2045">
        <w:rPr>
          <w:sz w:val="20"/>
        </w:rPr>
        <w:t xml:space="preserve"> Purity other than technical grade </w:t>
      </w:r>
      <w:r w:rsidR="00254508" w:rsidRPr="009A2045">
        <w:rPr>
          <w:sz w:val="20"/>
        </w:rPr>
        <w:t xml:space="preserve">was </w:t>
      </w:r>
      <w:r w:rsidRPr="009A2045">
        <w:rPr>
          <w:sz w:val="20"/>
        </w:rPr>
        <w:t>not reported; source – donated by Marine Ecotoxicology Division at the National Marine Fisheries Service</w:t>
      </w:r>
    </w:p>
    <w:p w14:paraId="1014C275" w14:textId="77777777" w:rsidR="007C0F2A" w:rsidRPr="009A2045" w:rsidRDefault="007C0F2A" w:rsidP="009A2045">
      <w:pPr>
        <w:spacing w:after="0"/>
        <w:rPr>
          <w:sz w:val="20"/>
        </w:rPr>
      </w:pPr>
      <w:r w:rsidRPr="009A2045">
        <w:rPr>
          <w:sz w:val="20"/>
          <w:vertAlign w:val="superscript"/>
        </w:rPr>
        <w:t>5</w:t>
      </w:r>
      <w:r w:rsidRPr="009A2045">
        <w:rPr>
          <w:sz w:val="20"/>
        </w:rPr>
        <w:t xml:space="preserve"> 14-C labelled material was used; Un-labelled material was of analytical grade from Sigma-Aldrich, Buchs, Switzerland; units reported as nmol/L in paper, reviewer converted to µg/L.</w:t>
      </w:r>
    </w:p>
    <w:p w14:paraId="0774B41C" w14:textId="77777777" w:rsidR="007C0F2A" w:rsidRPr="009A2045" w:rsidRDefault="007C0F2A" w:rsidP="009A2045">
      <w:pPr>
        <w:spacing w:after="0"/>
        <w:rPr>
          <w:sz w:val="20"/>
        </w:rPr>
      </w:pPr>
      <w:r w:rsidRPr="009A2045">
        <w:rPr>
          <w:sz w:val="20"/>
          <w:vertAlign w:val="superscript"/>
        </w:rPr>
        <w:t>6</w:t>
      </w:r>
      <w:r w:rsidRPr="009A2045">
        <w:rPr>
          <w:sz w:val="20"/>
        </w:rPr>
        <w:t xml:space="preserve"> Referred to Parrish </w:t>
      </w:r>
      <w:r w:rsidRPr="009A2045">
        <w:rPr>
          <w:i/>
          <w:sz w:val="20"/>
        </w:rPr>
        <w:t>et al</w:t>
      </w:r>
      <w:r w:rsidRPr="009A2045">
        <w:rPr>
          <w:sz w:val="20"/>
        </w:rPr>
        <w:t>. 1977 for purity as this is a more complete description of studies reported in E5074.</w:t>
      </w:r>
    </w:p>
    <w:p w14:paraId="232E5317" w14:textId="77777777" w:rsidR="007C0F2A" w:rsidRPr="009A2045" w:rsidRDefault="007C0F2A" w:rsidP="009A2045">
      <w:pPr>
        <w:spacing w:after="0"/>
        <w:rPr>
          <w:sz w:val="20"/>
        </w:rPr>
      </w:pPr>
      <w:r w:rsidRPr="009A2045">
        <w:rPr>
          <w:sz w:val="20"/>
        </w:rPr>
        <w:t>FT= flow-through; S = static; R=static renewal; NR=not reported</w:t>
      </w:r>
    </w:p>
    <w:p w14:paraId="433666AE" w14:textId="77777777" w:rsidR="007C0F2A" w:rsidRPr="009A2045" w:rsidRDefault="007C0F2A" w:rsidP="009A2045"/>
    <w:p w14:paraId="190E0C70" w14:textId="77777777" w:rsidR="007C0F2A" w:rsidRPr="009A2045" w:rsidRDefault="007C0F2A" w:rsidP="009A2045">
      <w:r w:rsidRPr="009A2045">
        <w:lastRenderedPageBreak/>
        <w:t>Additionally, in a recently submitted 34-day early-life cycle study with sheepshead minnow (MRID 48705301, 2011), the most sensitive endpoint was 16 µg a.i./L (NOAEC 8.2 µg/L), based on  survival and clinical signs (purity 96%). A life-cycle toxicity test conducted with sheepshead minnow using technical-grade malathion (95%) in 1977, reported a NOAEC of 4 µg a.i./L based on reductions in offspring survival at 9 µg a.i./L. Parental survival was affected at 18 µg/L.  Therefore, the observed toxicity values for these two studies are considered similar, even with the differences in test duration and time of conduct.</w:t>
      </w:r>
    </w:p>
    <w:p w14:paraId="4AFFD564" w14:textId="1845DB52" w:rsidR="007C0F2A" w:rsidRPr="009A2045" w:rsidRDefault="007C0F2A" w:rsidP="009A2045">
      <w:r w:rsidRPr="009A2045">
        <w:t>Studies with fathead minnow were conducted</w:t>
      </w:r>
      <w:r w:rsidR="00254508" w:rsidRPr="009A2045">
        <w:t>,</w:t>
      </w:r>
      <w:r w:rsidRPr="009A2045">
        <w:t xml:space="preserve"> which evaluated acute toxicity using both pure malathion (99.4%) and pure malathion spiked with 0.8% isomalathion (MRID 49252802 and 49252801; 2013).  While a greater number of mortalities occurred after 24 and 48</w:t>
      </w:r>
      <w:r w:rsidR="00254508" w:rsidRPr="009A2045">
        <w:t xml:space="preserve"> </w:t>
      </w:r>
      <w:r w:rsidRPr="009A2045">
        <w:t>hours with the spiked malathion compared to pure malathion, by the end of the study (96 hour duration), the 96</w:t>
      </w:r>
      <w:r w:rsidR="00254508" w:rsidRPr="009A2045">
        <w:t>-</w:t>
      </w:r>
      <w:r w:rsidRPr="009A2045">
        <w:t>hr LC</w:t>
      </w:r>
      <w:r w:rsidRPr="009A2045">
        <w:rPr>
          <w:vertAlign w:val="subscript"/>
        </w:rPr>
        <w:t>50</w:t>
      </w:r>
      <w:r w:rsidRPr="009A2045">
        <w:t xml:space="preserve"> values were similar between the two test compounds with values of 28 mg/L (95% CI: 20-40 mg/L) and 27 mg/L (95% CI: 20-40 mg/L) for the pure malathion and spiked malathion, respectively.</w:t>
      </w:r>
    </w:p>
    <w:p w14:paraId="53AA39B7" w14:textId="26D10E95" w:rsidR="007C0F2A" w:rsidRPr="009A2045" w:rsidRDefault="007C0F2A" w:rsidP="009A2045">
      <w:r w:rsidRPr="009A2045">
        <w:t>A similar comparison was attempted for terrestrial animals, with toxicity data for birds and honey bees available for comparison which included both recently submitted data and other data sources (</w:t>
      </w:r>
      <w:r w:rsidRPr="009A2045">
        <w:rPr>
          <w:b/>
        </w:rPr>
        <w:t xml:space="preserve">Table </w:t>
      </w:r>
      <w:r w:rsidR="00E807F7" w:rsidRPr="009A2045">
        <w:rPr>
          <w:b/>
        </w:rPr>
        <w:t>1-13</w:t>
      </w:r>
      <w:r w:rsidRPr="009A2045">
        <w:t>).  However, as with the aquatic species, toxicity values (</w:t>
      </w:r>
      <w:r w:rsidRPr="009A2045">
        <w:rPr>
          <w:i/>
        </w:rPr>
        <w:t>i.e.</w:t>
      </w:r>
      <w:r w:rsidRPr="009A2045">
        <w:t>, the honey bee contact exposure route, ring-necked pheasant studies) were similar between the recently submitted data and other reported values.</w:t>
      </w:r>
    </w:p>
    <w:p w14:paraId="639A78BC" w14:textId="07DCC619" w:rsidR="000D01C3" w:rsidRPr="009A2045" w:rsidRDefault="000D01C3" w:rsidP="009A2045">
      <w:pPr>
        <w:pStyle w:val="Caption"/>
        <w:keepNext/>
      </w:pPr>
      <w:bookmarkStart w:id="93" w:name="_Toc435773447"/>
      <w:r w:rsidRPr="009A2045">
        <w:rPr>
          <w:b/>
          <w:i w:val="0"/>
          <w:color w:val="auto"/>
          <w:sz w:val="22"/>
          <w:szCs w:val="22"/>
        </w:rPr>
        <w:t xml:space="preserve">Table </w:t>
      </w:r>
      <w:r w:rsidR="00C60928" w:rsidRPr="009A2045">
        <w:rPr>
          <w:b/>
          <w:i w:val="0"/>
          <w:color w:val="auto"/>
          <w:sz w:val="22"/>
          <w:szCs w:val="22"/>
        </w:rPr>
        <w:fldChar w:fldCharType="begin"/>
      </w:r>
      <w:r w:rsidR="00C60928" w:rsidRPr="009A2045">
        <w:rPr>
          <w:b/>
          <w:i w:val="0"/>
          <w:color w:val="auto"/>
          <w:sz w:val="22"/>
          <w:szCs w:val="22"/>
        </w:rPr>
        <w:instrText xml:space="preserve"> SEQ Table \* ARABIC </w:instrText>
      </w:r>
      <w:r w:rsidR="00C60928" w:rsidRPr="009A2045">
        <w:rPr>
          <w:b/>
          <w:i w:val="0"/>
          <w:color w:val="auto"/>
          <w:sz w:val="22"/>
          <w:szCs w:val="22"/>
        </w:rPr>
        <w:fldChar w:fldCharType="separate"/>
      </w:r>
      <w:r w:rsidRPr="009A2045">
        <w:rPr>
          <w:b/>
          <w:i w:val="0"/>
          <w:noProof/>
          <w:color w:val="auto"/>
          <w:sz w:val="22"/>
          <w:szCs w:val="22"/>
        </w:rPr>
        <w:t>1</w:t>
      </w:r>
      <w:r w:rsidR="00281C70" w:rsidRPr="009A2045">
        <w:rPr>
          <w:b/>
          <w:i w:val="0"/>
          <w:noProof/>
          <w:color w:val="auto"/>
          <w:sz w:val="22"/>
          <w:szCs w:val="22"/>
        </w:rPr>
        <w:t>-13</w:t>
      </w:r>
      <w:r w:rsidR="00C60928" w:rsidRPr="009A2045">
        <w:rPr>
          <w:b/>
          <w:i w:val="0"/>
          <w:noProof/>
          <w:color w:val="auto"/>
          <w:sz w:val="22"/>
          <w:szCs w:val="22"/>
        </w:rPr>
        <w:fldChar w:fldCharType="end"/>
      </w:r>
      <w:r w:rsidRPr="009A2045">
        <w:rPr>
          <w:b/>
          <w:i w:val="0"/>
          <w:color w:val="auto"/>
          <w:sz w:val="22"/>
          <w:szCs w:val="22"/>
        </w:rPr>
        <w:t>. Comparison of Recently Submitted Toxicity Values to Other Reported Toxicity Values for Terrestrial Species</w:t>
      </w:r>
      <w:bookmarkEnd w:id="93"/>
      <w:r w:rsidR="00281C70" w:rsidRPr="009A2045">
        <w:t>.</w:t>
      </w:r>
    </w:p>
    <w:tbl>
      <w:tblPr>
        <w:tblStyle w:val="ab"/>
        <w:tblW w:w="9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34"/>
        <w:gridCol w:w="1844"/>
        <w:gridCol w:w="857"/>
        <w:gridCol w:w="1295"/>
        <w:gridCol w:w="1503"/>
        <w:gridCol w:w="944"/>
        <w:gridCol w:w="1372"/>
      </w:tblGrid>
      <w:tr w:rsidR="007C0F2A" w:rsidRPr="009A2045" w14:paraId="6A5DE0B2" w14:textId="77777777" w:rsidTr="00D94E26">
        <w:trPr>
          <w:tblHeader/>
        </w:trPr>
        <w:tc>
          <w:tcPr>
            <w:tcW w:w="1534" w:type="dxa"/>
            <w:vMerge w:val="restart"/>
            <w:shd w:val="clear" w:color="auto" w:fill="E7E6E6"/>
          </w:tcPr>
          <w:p w14:paraId="602D8E55" w14:textId="77777777" w:rsidR="007C0F2A" w:rsidRPr="009A2045" w:rsidRDefault="007C0F2A" w:rsidP="009A2045">
            <w:pPr>
              <w:spacing w:after="160" w:line="259" w:lineRule="auto"/>
            </w:pPr>
            <w:r w:rsidRPr="009A2045">
              <w:rPr>
                <w:rFonts w:ascii="Calibri" w:eastAsia="Calibri" w:hAnsi="Calibri" w:cs="Calibri"/>
                <w:b/>
              </w:rPr>
              <w:t>Terrestrial Species</w:t>
            </w:r>
          </w:p>
        </w:tc>
        <w:tc>
          <w:tcPr>
            <w:tcW w:w="3996" w:type="dxa"/>
            <w:gridSpan w:val="3"/>
            <w:shd w:val="clear" w:color="auto" w:fill="E7E6E6"/>
          </w:tcPr>
          <w:p w14:paraId="4EBA4059" w14:textId="77777777" w:rsidR="007C0F2A" w:rsidRPr="009A2045" w:rsidRDefault="007C0F2A" w:rsidP="009A2045">
            <w:pPr>
              <w:spacing w:after="160" w:line="259" w:lineRule="auto"/>
            </w:pPr>
            <w:r w:rsidRPr="009A2045">
              <w:rPr>
                <w:rFonts w:ascii="Calibri" w:eastAsia="Calibri" w:hAnsi="Calibri" w:cs="Calibri"/>
                <w:b/>
              </w:rPr>
              <w:t>Recently Submitted Toxicity Data</w:t>
            </w:r>
          </w:p>
        </w:tc>
        <w:tc>
          <w:tcPr>
            <w:tcW w:w="3819" w:type="dxa"/>
            <w:gridSpan w:val="3"/>
            <w:shd w:val="clear" w:color="auto" w:fill="E7E6E6"/>
          </w:tcPr>
          <w:p w14:paraId="5A437EA2" w14:textId="77777777" w:rsidR="007C0F2A" w:rsidRPr="009A2045" w:rsidRDefault="007C0F2A" w:rsidP="009A2045">
            <w:pPr>
              <w:spacing w:after="160" w:line="259" w:lineRule="auto"/>
            </w:pPr>
            <w:r w:rsidRPr="009A2045">
              <w:rPr>
                <w:rFonts w:ascii="Calibri" w:eastAsia="Calibri" w:hAnsi="Calibri" w:cs="Calibri"/>
                <w:b/>
              </w:rPr>
              <w:t>Other Reported Toxicity Data</w:t>
            </w:r>
          </w:p>
        </w:tc>
      </w:tr>
      <w:tr w:rsidR="007C0F2A" w:rsidRPr="009A2045" w14:paraId="6C6ECAAE" w14:textId="77777777" w:rsidTr="00D94E26">
        <w:trPr>
          <w:tblHeader/>
        </w:trPr>
        <w:tc>
          <w:tcPr>
            <w:tcW w:w="1534" w:type="dxa"/>
            <w:vMerge/>
            <w:shd w:val="clear" w:color="auto" w:fill="E7E6E6"/>
          </w:tcPr>
          <w:p w14:paraId="2E81F052" w14:textId="77777777" w:rsidR="007C0F2A" w:rsidRPr="009A2045" w:rsidRDefault="007C0F2A" w:rsidP="009A2045">
            <w:pPr>
              <w:spacing w:after="160" w:line="259" w:lineRule="auto"/>
            </w:pPr>
          </w:p>
        </w:tc>
        <w:tc>
          <w:tcPr>
            <w:tcW w:w="1844" w:type="dxa"/>
            <w:shd w:val="clear" w:color="auto" w:fill="E7E6E6"/>
          </w:tcPr>
          <w:p w14:paraId="49ED4398" w14:textId="77777777" w:rsidR="007C0F2A" w:rsidRPr="009A2045" w:rsidRDefault="007C0F2A" w:rsidP="009A2045">
            <w:pPr>
              <w:spacing w:after="160" w:line="259" w:lineRule="auto"/>
            </w:pPr>
            <w:r w:rsidRPr="009A2045">
              <w:rPr>
                <w:rFonts w:ascii="Calibri" w:eastAsia="Calibri" w:hAnsi="Calibri" w:cs="Calibri"/>
              </w:rPr>
              <w:t>Recent Toxicity Value (95% CI)</w:t>
            </w:r>
          </w:p>
          <w:p w14:paraId="2E46F4D6" w14:textId="77777777" w:rsidR="007C0F2A" w:rsidRPr="009A2045" w:rsidRDefault="007C0F2A" w:rsidP="009A2045">
            <w:pPr>
              <w:spacing w:after="160" w:line="259" w:lineRule="auto"/>
            </w:pPr>
          </w:p>
        </w:tc>
        <w:tc>
          <w:tcPr>
            <w:tcW w:w="857" w:type="dxa"/>
            <w:shd w:val="clear" w:color="auto" w:fill="E7E6E6"/>
          </w:tcPr>
          <w:p w14:paraId="732B8EAE" w14:textId="77777777" w:rsidR="007C0F2A" w:rsidRPr="009A2045" w:rsidRDefault="007C0F2A" w:rsidP="009A2045">
            <w:pPr>
              <w:spacing w:after="160" w:line="259" w:lineRule="auto"/>
            </w:pPr>
            <w:r w:rsidRPr="009A2045">
              <w:rPr>
                <w:rFonts w:ascii="Calibri" w:eastAsia="Calibri" w:hAnsi="Calibri" w:cs="Calibri"/>
              </w:rPr>
              <w:t xml:space="preserve">% Purity </w:t>
            </w:r>
          </w:p>
          <w:p w14:paraId="690D9A5A" w14:textId="77777777" w:rsidR="007C0F2A" w:rsidRPr="009A2045" w:rsidRDefault="007C0F2A" w:rsidP="009A2045">
            <w:pPr>
              <w:spacing w:after="160" w:line="259" w:lineRule="auto"/>
            </w:pPr>
          </w:p>
        </w:tc>
        <w:tc>
          <w:tcPr>
            <w:tcW w:w="1295" w:type="dxa"/>
            <w:shd w:val="clear" w:color="auto" w:fill="E7E6E6"/>
          </w:tcPr>
          <w:p w14:paraId="49E75353" w14:textId="77777777" w:rsidR="007C0F2A" w:rsidRPr="009A2045" w:rsidRDefault="007C0F2A" w:rsidP="009A2045">
            <w:pPr>
              <w:spacing w:after="160" w:line="259" w:lineRule="auto"/>
            </w:pPr>
            <w:r w:rsidRPr="009A2045">
              <w:rPr>
                <w:rFonts w:ascii="Calibri" w:eastAsia="Calibri" w:hAnsi="Calibri" w:cs="Calibri"/>
              </w:rPr>
              <w:t>Reference / Year</w:t>
            </w:r>
          </w:p>
        </w:tc>
        <w:tc>
          <w:tcPr>
            <w:tcW w:w="1503" w:type="dxa"/>
            <w:shd w:val="clear" w:color="auto" w:fill="E7E6E6"/>
          </w:tcPr>
          <w:p w14:paraId="4A746ED1" w14:textId="77777777" w:rsidR="007C0F2A" w:rsidRPr="009A2045" w:rsidRDefault="007C0F2A" w:rsidP="009A2045">
            <w:pPr>
              <w:spacing w:after="160" w:line="259" w:lineRule="auto"/>
            </w:pPr>
            <w:r w:rsidRPr="009A2045">
              <w:rPr>
                <w:rFonts w:ascii="Calibri" w:eastAsia="Calibri" w:hAnsi="Calibri" w:cs="Calibri"/>
              </w:rPr>
              <w:t>Other Reported Toxicity Values (95% CI)</w:t>
            </w:r>
          </w:p>
        </w:tc>
        <w:tc>
          <w:tcPr>
            <w:tcW w:w="944" w:type="dxa"/>
            <w:shd w:val="clear" w:color="auto" w:fill="E7E6E6"/>
          </w:tcPr>
          <w:p w14:paraId="6FCC35B1" w14:textId="77777777" w:rsidR="007C0F2A" w:rsidRPr="009A2045" w:rsidRDefault="007C0F2A" w:rsidP="009A2045">
            <w:pPr>
              <w:spacing w:after="160" w:line="259" w:lineRule="auto"/>
            </w:pPr>
            <w:r w:rsidRPr="009A2045">
              <w:rPr>
                <w:rFonts w:ascii="Calibri" w:eastAsia="Calibri" w:hAnsi="Calibri" w:cs="Calibri"/>
              </w:rPr>
              <w:t xml:space="preserve">% Purity </w:t>
            </w:r>
          </w:p>
        </w:tc>
        <w:tc>
          <w:tcPr>
            <w:tcW w:w="1372" w:type="dxa"/>
            <w:shd w:val="clear" w:color="auto" w:fill="E7E6E6"/>
          </w:tcPr>
          <w:p w14:paraId="0834CB7A" w14:textId="77777777" w:rsidR="007C0F2A" w:rsidRPr="009A2045" w:rsidRDefault="007C0F2A" w:rsidP="009A2045">
            <w:pPr>
              <w:spacing w:after="160" w:line="259" w:lineRule="auto"/>
            </w:pPr>
            <w:r w:rsidRPr="009A2045">
              <w:rPr>
                <w:rFonts w:ascii="Calibri" w:eastAsia="Calibri" w:hAnsi="Calibri" w:cs="Calibri"/>
              </w:rPr>
              <w:t>Reference / Year</w:t>
            </w:r>
          </w:p>
        </w:tc>
      </w:tr>
      <w:tr w:rsidR="007C0F2A" w:rsidRPr="009A2045" w14:paraId="276D91B3" w14:textId="77777777" w:rsidTr="00D94E26">
        <w:tc>
          <w:tcPr>
            <w:tcW w:w="1534" w:type="dxa"/>
            <w:vMerge w:val="restart"/>
          </w:tcPr>
          <w:p w14:paraId="71625A5D" w14:textId="77777777" w:rsidR="007C0F2A" w:rsidRPr="009A2045" w:rsidRDefault="007C0F2A" w:rsidP="009A2045">
            <w:pPr>
              <w:spacing w:after="160" w:line="259" w:lineRule="auto"/>
            </w:pPr>
            <w:r w:rsidRPr="009A2045">
              <w:rPr>
                <w:rFonts w:ascii="Calibri" w:eastAsia="Calibri" w:hAnsi="Calibri" w:cs="Calibri"/>
              </w:rPr>
              <w:t>Honeybee</w:t>
            </w:r>
          </w:p>
          <w:p w14:paraId="65318404" w14:textId="77777777" w:rsidR="007C0F2A" w:rsidRPr="009A2045" w:rsidRDefault="007C0F2A" w:rsidP="009A2045">
            <w:pPr>
              <w:spacing w:after="160" w:line="259" w:lineRule="auto"/>
            </w:pPr>
            <w:r w:rsidRPr="009A2045">
              <w:rPr>
                <w:rFonts w:ascii="Calibri" w:eastAsia="Calibri" w:hAnsi="Calibri" w:cs="Calibri"/>
              </w:rPr>
              <w:t>(</w:t>
            </w:r>
            <w:r w:rsidRPr="009A2045">
              <w:rPr>
                <w:rFonts w:ascii="Calibri" w:eastAsia="Calibri" w:hAnsi="Calibri" w:cs="Calibri"/>
                <w:i/>
              </w:rPr>
              <w:t>Apis mellifera</w:t>
            </w:r>
            <w:r w:rsidRPr="009A2045">
              <w:rPr>
                <w:rFonts w:ascii="Calibri" w:eastAsia="Calibri" w:hAnsi="Calibri" w:cs="Calibri"/>
              </w:rPr>
              <w:t>)</w:t>
            </w:r>
          </w:p>
        </w:tc>
        <w:tc>
          <w:tcPr>
            <w:tcW w:w="1844" w:type="dxa"/>
            <w:vMerge w:val="restart"/>
          </w:tcPr>
          <w:p w14:paraId="37A26C63" w14:textId="77777777" w:rsidR="007C0F2A" w:rsidRPr="009A2045" w:rsidRDefault="007C0F2A" w:rsidP="009A2045">
            <w:pPr>
              <w:spacing w:after="160" w:line="259" w:lineRule="auto"/>
            </w:pPr>
            <w:r w:rsidRPr="009A2045">
              <w:rPr>
                <w:rFonts w:ascii="Calibri" w:eastAsia="Calibri" w:hAnsi="Calibri" w:cs="Calibri"/>
              </w:rPr>
              <w:t xml:space="preserve">Contact 48-hr LD50: 0.189 µg a.i./bee </w:t>
            </w:r>
          </w:p>
          <w:p w14:paraId="6D24F11F" w14:textId="77777777" w:rsidR="007C0F2A" w:rsidRPr="009A2045" w:rsidRDefault="007C0F2A" w:rsidP="009A2045">
            <w:pPr>
              <w:spacing w:after="160" w:line="259" w:lineRule="auto"/>
            </w:pPr>
            <w:r w:rsidRPr="009A2045">
              <w:rPr>
                <w:rFonts w:ascii="Calibri" w:eastAsia="Calibri" w:hAnsi="Calibri" w:cs="Calibri"/>
              </w:rPr>
              <w:t>(0.1-0.4)</w:t>
            </w:r>
          </w:p>
        </w:tc>
        <w:tc>
          <w:tcPr>
            <w:tcW w:w="857" w:type="dxa"/>
            <w:vMerge w:val="restart"/>
          </w:tcPr>
          <w:p w14:paraId="3D432653" w14:textId="77777777" w:rsidR="007C0F2A" w:rsidRPr="009A2045" w:rsidRDefault="007C0F2A" w:rsidP="009A2045">
            <w:pPr>
              <w:spacing w:after="160" w:line="259" w:lineRule="auto"/>
            </w:pPr>
            <w:r w:rsidRPr="009A2045">
              <w:rPr>
                <w:rFonts w:ascii="Calibri" w:eastAsia="Calibri" w:hAnsi="Calibri" w:cs="Calibri"/>
              </w:rPr>
              <w:t>96.0</w:t>
            </w:r>
          </w:p>
        </w:tc>
        <w:tc>
          <w:tcPr>
            <w:tcW w:w="1295" w:type="dxa"/>
            <w:vMerge w:val="restart"/>
          </w:tcPr>
          <w:p w14:paraId="542225ED" w14:textId="77777777" w:rsidR="007C0F2A" w:rsidRPr="009A2045" w:rsidRDefault="007C0F2A" w:rsidP="009A2045">
            <w:pPr>
              <w:spacing w:after="160" w:line="259" w:lineRule="auto"/>
            </w:pPr>
            <w:r w:rsidRPr="009A2045">
              <w:rPr>
                <w:rFonts w:ascii="Calibri" w:eastAsia="Calibri" w:hAnsi="Calibri" w:cs="Calibri"/>
              </w:rPr>
              <w:t>MRID 49270301 / 2013</w:t>
            </w:r>
          </w:p>
        </w:tc>
        <w:tc>
          <w:tcPr>
            <w:tcW w:w="1503" w:type="dxa"/>
          </w:tcPr>
          <w:p w14:paraId="3D15E4E4" w14:textId="77777777" w:rsidR="007C0F2A" w:rsidRPr="009A2045" w:rsidRDefault="007C0F2A" w:rsidP="009A2045">
            <w:pPr>
              <w:spacing w:after="160" w:line="259" w:lineRule="auto"/>
            </w:pPr>
            <w:r w:rsidRPr="009A2045">
              <w:rPr>
                <w:rFonts w:ascii="Calibri" w:eastAsia="Calibri" w:hAnsi="Calibri" w:cs="Calibri"/>
              </w:rPr>
              <w:t>0.25-0.27 (NR)</w:t>
            </w:r>
          </w:p>
        </w:tc>
        <w:tc>
          <w:tcPr>
            <w:tcW w:w="944" w:type="dxa"/>
          </w:tcPr>
          <w:p w14:paraId="0BFAD8F8" w14:textId="77777777" w:rsidR="007C0F2A" w:rsidRPr="009A2045" w:rsidRDefault="007C0F2A" w:rsidP="009A2045">
            <w:pPr>
              <w:spacing w:after="160" w:line="259" w:lineRule="auto"/>
            </w:pPr>
            <w:r w:rsidRPr="009A2045">
              <w:rPr>
                <w:rFonts w:ascii="Calibri" w:eastAsia="Calibri" w:hAnsi="Calibri" w:cs="Calibri"/>
              </w:rPr>
              <w:t>Tech</w:t>
            </w:r>
          </w:p>
        </w:tc>
        <w:tc>
          <w:tcPr>
            <w:tcW w:w="1372" w:type="dxa"/>
          </w:tcPr>
          <w:p w14:paraId="31626947" w14:textId="77777777" w:rsidR="007C0F2A" w:rsidRPr="009A2045" w:rsidRDefault="007C0F2A" w:rsidP="009A2045">
            <w:pPr>
              <w:spacing w:after="160" w:line="259" w:lineRule="auto"/>
            </w:pPr>
            <w:r w:rsidRPr="009A2045">
              <w:rPr>
                <w:rFonts w:ascii="Calibri" w:eastAsia="Calibri" w:hAnsi="Calibri" w:cs="Calibri"/>
              </w:rPr>
              <w:t>MRID 05001991 &amp; 05004151 / 1968</w:t>
            </w:r>
          </w:p>
        </w:tc>
      </w:tr>
      <w:tr w:rsidR="007C0F2A" w:rsidRPr="009A2045" w14:paraId="1B59B138" w14:textId="77777777" w:rsidTr="00D94E26">
        <w:tc>
          <w:tcPr>
            <w:tcW w:w="1534" w:type="dxa"/>
            <w:vMerge/>
          </w:tcPr>
          <w:p w14:paraId="317B4FC1" w14:textId="77777777" w:rsidR="007C0F2A" w:rsidRPr="009A2045" w:rsidRDefault="007C0F2A" w:rsidP="009A2045">
            <w:pPr>
              <w:widowControl w:val="0"/>
              <w:spacing w:line="276" w:lineRule="auto"/>
            </w:pPr>
          </w:p>
        </w:tc>
        <w:tc>
          <w:tcPr>
            <w:tcW w:w="1844" w:type="dxa"/>
            <w:vMerge/>
          </w:tcPr>
          <w:p w14:paraId="62AF5CC7" w14:textId="77777777" w:rsidR="007C0F2A" w:rsidRPr="009A2045" w:rsidRDefault="007C0F2A" w:rsidP="009A2045">
            <w:pPr>
              <w:widowControl w:val="0"/>
              <w:spacing w:line="276" w:lineRule="auto"/>
            </w:pPr>
          </w:p>
        </w:tc>
        <w:tc>
          <w:tcPr>
            <w:tcW w:w="857" w:type="dxa"/>
            <w:vMerge/>
          </w:tcPr>
          <w:p w14:paraId="7C872AF0" w14:textId="77777777" w:rsidR="007C0F2A" w:rsidRPr="009A2045" w:rsidRDefault="007C0F2A" w:rsidP="009A2045">
            <w:pPr>
              <w:widowControl w:val="0"/>
              <w:spacing w:line="276" w:lineRule="auto"/>
            </w:pPr>
          </w:p>
        </w:tc>
        <w:tc>
          <w:tcPr>
            <w:tcW w:w="1295" w:type="dxa"/>
            <w:vMerge w:val="restart"/>
          </w:tcPr>
          <w:p w14:paraId="6887218F" w14:textId="77777777" w:rsidR="007C0F2A" w:rsidRPr="009A2045" w:rsidRDefault="007C0F2A" w:rsidP="009A2045">
            <w:pPr>
              <w:spacing w:after="160" w:line="259" w:lineRule="auto"/>
            </w:pPr>
          </w:p>
          <w:p w14:paraId="231F6C34" w14:textId="77777777" w:rsidR="007C0F2A" w:rsidRPr="009A2045" w:rsidRDefault="007C0F2A" w:rsidP="009A2045">
            <w:pPr>
              <w:spacing w:after="160" w:line="259" w:lineRule="auto"/>
            </w:pPr>
          </w:p>
          <w:p w14:paraId="0786C708" w14:textId="77777777" w:rsidR="007C0F2A" w:rsidRPr="009A2045" w:rsidRDefault="007C0F2A" w:rsidP="009A2045">
            <w:pPr>
              <w:spacing w:after="160" w:line="259" w:lineRule="auto"/>
            </w:pPr>
          </w:p>
          <w:p w14:paraId="588E43F7" w14:textId="77777777" w:rsidR="007C0F2A" w:rsidRPr="009A2045" w:rsidRDefault="007C0F2A" w:rsidP="009A2045">
            <w:pPr>
              <w:spacing w:after="160" w:line="259" w:lineRule="auto"/>
            </w:pPr>
          </w:p>
        </w:tc>
        <w:tc>
          <w:tcPr>
            <w:tcW w:w="1503" w:type="dxa"/>
          </w:tcPr>
          <w:p w14:paraId="64D22E33" w14:textId="77777777" w:rsidR="007C0F2A" w:rsidRPr="009A2045" w:rsidRDefault="007C0F2A" w:rsidP="009A2045">
            <w:pPr>
              <w:spacing w:after="160" w:line="259" w:lineRule="auto"/>
            </w:pPr>
            <w:r w:rsidRPr="009A2045">
              <w:rPr>
                <w:rFonts w:ascii="Calibri" w:eastAsia="Calibri" w:hAnsi="Calibri" w:cs="Calibri"/>
              </w:rPr>
              <w:t>0.709 (NR)</w:t>
            </w:r>
          </w:p>
        </w:tc>
        <w:tc>
          <w:tcPr>
            <w:tcW w:w="944" w:type="dxa"/>
          </w:tcPr>
          <w:p w14:paraId="6E4341B3" w14:textId="77777777" w:rsidR="007C0F2A" w:rsidRPr="009A2045" w:rsidRDefault="007C0F2A" w:rsidP="009A2045">
            <w:pPr>
              <w:spacing w:after="160" w:line="259" w:lineRule="auto"/>
            </w:pPr>
            <w:r w:rsidRPr="009A2045">
              <w:rPr>
                <w:rFonts w:ascii="Calibri" w:eastAsia="Calibri" w:hAnsi="Calibri" w:cs="Calibri"/>
              </w:rPr>
              <w:t>Tech</w:t>
            </w:r>
          </w:p>
        </w:tc>
        <w:tc>
          <w:tcPr>
            <w:tcW w:w="1372" w:type="dxa"/>
          </w:tcPr>
          <w:p w14:paraId="253C74CD" w14:textId="77777777" w:rsidR="007C0F2A" w:rsidRPr="009A2045" w:rsidRDefault="007C0F2A" w:rsidP="009A2045">
            <w:pPr>
              <w:spacing w:after="160" w:line="259" w:lineRule="auto"/>
            </w:pPr>
            <w:r w:rsidRPr="009A2045">
              <w:rPr>
                <w:rFonts w:ascii="Calibri" w:eastAsia="Calibri" w:hAnsi="Calibri" w:cs="Calibri"/>
              </w:rPr>
              <w:t>MRID 0001999 / 1967</w:t>
            </w:r>
          </w:p>
        </w:tc>
      </w:tr>
      <w:tr w:rsidR="007C0F2A" w:rsidRPr="009A2045" w14:paraId="37CE5FA5" w14:textId="77777777" w:rsidTr="00D94E26">
        <w:tc>
          <w:tcPr>
            <w:tcW w:w="1534" w:type="dxa"/>
            <w:vMerge/>
          </w:tcPr>
          <w:p w14:paraId="5AF07587" w14:textId="77777777" w:rsidR="007C0F2A" w:rsidRPr="009A2045" w:rsidRDefault="007C0F2A" w:rsidP="009A2045">
            <w:pPr>
              <w:widowControl w:val="0"/>
              <w:spacing w:line="276" w:lineRule="auto"/>
            </w:pPr>
          </w:p>
        </w:tc>
        <w:tc>
          <w:tcPr>
            <w:tcW w:w="1844" w:type="dxa"/>
            <w:vMerge/>
          </w:tcPr>
          <w:p w14:paraId="55D9A11F" w14:textId="77777777" w:rsidR="007C0F2A" w:rsidRPr="009A2045" w:rsidRDefault="007C0F2A" w:rsidP="009A2045">
            <w:pPr>
              <w:widowControl w:val="0"/>
              <w:spacing w:line="276" w:lineRule="auto"/>
            </w:pPr>
          </w:p>
        </w:tc>
        <w:tc>
          <w:tcPr>
            <w:tcW w:w="857" w:type="dxa"/>
            <w:vMerge/>
          </w:tcPr>
          <w:p w14:paraId="1906FD61" w14:textId="77777777" w:rsidR="007C0F2A" w:rsidRPr="009A2045" w:rsidRDefault="007C0F2A" w:rsidP="009A2045">
            <w:pPr>
              <w:widowControl w:val="0"/>
              <w:spacing w:line="276" w:lineRule="auto"/>
            </w:pPr>
          </w:p>
        </w:tc>
        <w:tc>
          <w:tcPr>
            <w:tcW w:w="1295" w:type="dxa"/>
          </w:tcPr>
          <w:p w14:paraId="3C3320EB" w14:textId="77777777" w:rsidR="007C0F2A" w:rsidRPr="009A2045" w:rsidRDefault="007C0F2A" w:rsidP="009A2045">
            <w:pPr>
              <w:spacing w:after="160" w:line="259" w:lineRule="auto"/>
            </w:pPr>
          </w:p>
          <w:p w14:paraId="1082B76F" w14:textId="77777777" w:rsidR="007C0F2A" w:rsidRPr="009A2045" w:rsidRDefault="007C0F2A" w:rsidP="009A2045">
            <w:pPr>
              <w:spacing w:after="160" w:line="259" w:lineRule="auto"/>
            </w:pPr>
          </w:p>
          <w:p w14:paraId="01C3CB8F" w14:textId="77777777" w:rsidR="007C0F2A" w:rsidRPr="009A2045" w:rsidRDefault="007C0F2A" w:rsidP="009A2045">
            <w:pPr>
              <w:spacing w:after="160" w:line="259" w:lineRule="auto"/>
            </w:pPr>
          </w:p>
          <w:p w14:paraId="4F64E332" w14:textId="77777777" w:rsidR="007C0F2A" w:rsidRPr="009A2045" w:rsidRDefault="007C0F2A" w:rsidP="009A2045">
            <w:pPr>
              <w:spacing w:after="160" w:line="259" w:lineRule="auto"/>
            </w:pPr>
          </w:p>
        </w:tc>
        <w:tc>
          <w:tcPr>
            <w:tcW w:w="1503" w:type="dxa"/>
          </w:tcPr>
          <w:p w14:paraId="6C6CE27C" w14:textId="77777777" w:rsidR="007C0F2A" w:rsidRPr="009A2045" w:rsidRDefault="007C0F2A" w:rsidP="009A2045">
            <w:pPr>
              <w:spacing w:after="160" w:line="259" w:lineRule="auto"/>
            </w:pPr>
            <w:r w:rsidRPr="009A2045">
              <w:rPr>
                <w:rFonts w:ascii="Calibri" w:eastAsia="Calibri" w:hAnsi="Calibri" w:cs="Calibri"/>
              </w:rPr>
              <w:lastRenderedPageBreak/>
              <w:t>0.46 (NR)</w:t>
            </w:r>
          </w:p>
        </w:tc>
        <w:tc>
          <w:tcPr>
            <w:tcW w:w="944" w:type="dxa"/>
          </w:tcPr>
          <w:p w14:paraId="2839A06A" w14:textId="77777777" w:rsidR="007C0F2A" w:rsidRPr="009A2045" w:rsidRDefault="007C0F2A" w:rsidP="009A2045">
            <w:pPr>
              <w:spacing w:after="160" w:line="259" w:lineRule="auto"/>
            </w:pPr>
            <w:r w:rsidRPr="009A2045">
              <w:rPr>
                <w:rFonts w:ascii="Calibri" w:eastAsia="Calibri" w:hAnsi="Calibri" w:cs="Calibri"/>
              </w:rPr>
              <w:t>Tech</w:t>
            </w:r>
          </w:p>
        </w:tc>
        <w:tc>
          <w:tcPr>
            <w:tcW w:w="1372" w:type="dxa"/>
          </w:tcPr>
          <w:p w14:paraId="45CBD59A" w14:textId="77777777" w:rsidR="007C0F2A" w:rsidRPr="009A2045" w:rsidRDefault="007C0F2A" w:rsidP="009A2045">
            <w:pPr>
              <w:spacing w:after="160" w:line="259" w:lineRule="auto"/>
            </w:pPr>
            <w:r w:rsidRPr="009A2045">
              <w:rPr>
                <w:rFonts w:ascii="Calibri" w:eastAsia="Calibri" w:hAnsi="Calibri" w:cs="Calibri"/>
              </w:rPr>
              <w:t xml:space="preserve">MRID 05008990 / </w:t>
            </w:r>
          </w:p>
        </w:tc>
      </w:tr>
      <w:tr w:rsidR="007C0F2A" w:rsidRPr="009A2045" w14:paraId="7DD61810" w14:textId="77777777" w:rsidTr="00D94E26">
        <w:trPr>
          <w:trHeight w:val="920"/>
        </w:trPr>
        <w:tc>
          <w:tcPr>
            <w:tcW w:w="1534" w:type="dxa"/>
            <w:vMerge/>
          </w:tcPr>
          <w:p w14:paraId="03380999" w14:textId="77777777" w:rsidR="007C0F2A" w:rsidRPr="009A2045" w:rsidRDefault="007C0F2A" w:rsidP="009A2045">
            <w:pPr>
              <w:spacing w:after="160" w:line="259" w:lineRule="auto"/>
            </w:pPr>
          </w:p>
        </w:tc>
        <w:tc>
          <w:tcPr>
            <w:tcW w:w="1844" w:type="dxa"/>
          </w:tcPr>
          <w:p w14:paraId="17D4DF18" w14:textId="77777777" w:rsidR="007C0F2A" w:rsidRPr="009A2045" w:rsidRDefault="007C0F2A" w:rsidP="009A2045">
            <w:pPr>
              <w:spacing w:after="160" w:line="259" w:lineRule="auto"/>
            </w:pPr>
            <w:r w:rsidRPr="009A2045">
              <w:rPr>
                <w:rFonts w:ascii="Calibri" w:eastAsia="Calibri" w:hAnsi="Calibri" w:cs="Calibri"/>
              </w:rPr>
              <w:t>Oral 48-hr LD50: 1.66 µg a.i./bee (0.995-4.992)</w:t>
            </w:r>
          </w:p>
        </w:tc>
        <w:tc>
          <w:tcPr>
            <w:tcW w:w="857" w:type="dxa"/>
          </w:tcPr>
          <w:p w14:paraId="5C7F4B26" w14:textId="77777777" w:rsidR="007C0F2A" w:rsidRPr="009A2045" w:rsidRDefault="007C0F2A" w:rsidP="009A2045">
            <w:pPr>
              <w:spacing w:after="160" w:line="259" w:lineRule="auto"/>
            </w:pPr>
            <w:r w:rsidRPr="009A2045">
              <w:rPr>
                <w:rFonts w:ascii="Calibri" w:eastAsia="Calibri" w:hAnsi="Calibri" w:cs="Calibri"/>
              </w:rPr>
              <w:t>96.0</w:t>
            </w:r>
          </w:p>
        </w:tc>
        <w:tc>
          <w:tcPr>
            <w:tcW w:w="1295" w:type="dxa"/>
          </w:tcPr>
          <w:p w14:paraId="1A72E0D3" w14:textId="77777777" w:rsidR="007C0F2A" w:rsidRPr="009A2045" w:rsidRDefault="007C0F2A" w:rsidP="009A2045">
            <w:pPr>
              <w:spacing w:after="160" w:line="259" w:lineRule="auto"/>
            </w:pPr>
            <w:r w:rsidRPr="009A2045">
              <w:rPr>
                <w:rFonts w:ascii="Calibri" w:eastAsia="Calibri" w:hAnsi="Calibri" w:cs="Calibri"/>
              </w:rPr>
              <w:t>MRID 49270302 / 2013</w:t>
            </w:r>
          </w:p>
        </w:tc>
        <w:tc>
          <w:tcPr>
            <w:tcW w:w="1503" w:type="dxa"/>
          </w:tcPr>
          <w:p w14:paraId="4427C755" w14:textId="77777777" w:rsidR="007C0F2A" w:rsidRPr="009A2045" w:rsidRDefault="007C0F2A" w:rsidP="009A2045">
            <w:pPr>
              <w:spacing w:after="160" w:line="259" w:lineRule="auto"/>
            </w:pPr>
            <w:r w:rsidRPr="009A2045">
              <w:rPr>
                <w:rFonts w:ascii="Calibri" w:eastAsia="Calibri" w:hAnsi="Calibri" w:cs="Calibri"/>
              </w:rPr>
              <w:t>0.38 (NR)</w:t>
            </w:r>
          </w:p>
        </w:tc>
        <w:tc>
          <w:tcPr>
            <w:tcW w:w="944" w:type="dxa"/>
          </w:tcPr>
          <w:p w14:paraId="4516E910" w14:textId="77777777" w:rsidR="007C0F2A" w:rsidRPr="009A2045" w:rsidRDefault="007C0F2A" w:rsidP="009A2045">
            <w:pPr>
              <w:spacing w:after="160" w:line="259" w:lineRule="auto"/>
            </w:pPr>
            <w:r w:rsidRPr="009A2045">
              <w:rPr>
                <w:rFonts w:ascii="Calibri" w:eastAsia="Calibri" w:hAnsi="Calibri" w:cs="Calibri"/>
              </w:rPr>
              <w:t>Tech</w:t>
            </w:r>
          </w:p>
        </w:tc>
        <w:tc>
          <w:tcPr>
            <w:tcW w:w="1372" w:type="dxa"/>
          </w:tcPr>
          <w:p w14:paraId="1AF7D4D8" w14:textId="77777777" w:rsidR="007C0F2A" w:rsidRPr="009A2045" w:rsidRDefault="007C0F2A" w:rsidP="009A2045">
            <w:pPr>
              <w:spacing w:after="160" w:line="259" w:lineRule="auto"/>
            </w:pPr>
            <w:r w:rsidRPr="009A2045">
              <w:rPr>
                <w:rFonts w:ascii="Calibri" w:eastAsia="Calibri" w:hAnsi="Calibri" w:cs="Calibri"/>
              </w:rPr>
              <w:t xml:space="preserve">MRID 05001991&amp; 05004151 / </w:t>
            </w:r>
          </w:p>
          <w:p w14:paraId="30AD27A1" w14:textId="77777777" w:rsidR="007C0F2A" w:rsidRPr="009A2045" w:rsidRDefault="007C0F2A" w:rsidP="009A2045">
            <w:pPr>
              <w:spacing w:after="160" w:line="259" w:lineRule="auto"/>
            </w:pPr>
            <w:r w:rsidRPr="009A2045">
              <w:rPr>
                <w:rFonts w:ascii="Calibri" w:eastAsia="Calibri" w:hAnsi="Calibri" w:cs="Calibri"/>
              </w:rPr>
              <w:t>1968</w:t>
            </w:r>
          </w:p>
        </w:tc>
      </w:tr>
      <w:tr w:rsidR="007C0F2A" w:rsidRPr="009A2045" w14:paraId="138BBB78" w14:textId="77777777" w:rsidTr="00D94E26">
        <w:trPr>
          <w:trHeight w:val="920"/>
        </w:trPr>
        <w:tc>
          <w:tcPr>
            <w:tcW w:w="1534" w:type="dxa"/>
            <w:vMerge w:val="restart"/>
          </w:tcPr>
          <w:p w14:paraId="19661015" w14:textId="77777777" w:rsidR="007C0F2A" w:rsidRPr="009A2045" w:rsidRDefault="007C0F2A" w:rsidP="009A2045">
            <w:pPr>
              <w:spacing w:after="160" w:line="259" w:lineRule="auto"/>
            </w:pPr>
            <w:r w:rsidRPr="009A2045">
              <w:rPr>
                <w:rFonts w:ascii="Calibri" w:eastAsia="Calibri" w:hAnsi="Calibri" w:cs="Calibri"/>
              </w:rPr>
              <w:t>Mallard duck (</w:t>
            </w:r>
            <w:r w:rsidRPr="009A2045">
              <w:rPr>
                <w:rFonts w:ascii="Calibri" w:eastAsia="Calibri" w:hAnsi="Calibri" w:cs="Calibri"/>
                <w:i/>
              </w:rPr>
              <w:t>Anas platyrhynchos</w:t>
            </w:r>
            <w:r w:rsidRPr="009A2045">
              <w:rPr>
                <w:rFonts w:ascii="Calibri" w:eastAsia="Calibri" w:hAnsi="Calibri" w:cs="Calibri"/>
              </w:rPr>
              <w:t>)</w:t>
            </w:r>
          </w:p>
        </w:tc>
        <w:tc>
          <w:tcPr>
            <w:tcW w:w="1844" w:type="dxa"/>
          </w:tcPr>
          <w:p w14:paraId="7B83A940" w14:textId="77777777" w:rsidR="007C0F2A" w:rsidRPr="009A2045" w:rsidRDefault="007C0F2A" w:rsidP="009A2045">
            <w:pPr>
              <w:spacing w:after="160" w:line="259" w:lineRule="auto"/>
            </w:pPr>
            <w:r w:rsidRPr="009A2045">
              <w:rPr>
                <w:rFonts w:ascii="Calibri" w:eastAsia="Calibri" w:hAnsi="Calibri" w:cs="Calibri"/>
              </w:rPr>
              <w:t xml:space="preserve">8-day LC50: </w:t>
            </w:r>
          </w:p>
          <w:p w14:paraId="0501023A" w14:textId="77777777" w:rsidR="007C0F2A" w:rsidRPr="009A2045" w:rsidRDefault="007C0F2A" w:rsidP="009A2045">
            <w:pPr>
              <w:spacing w:after="160" w:line="259" w:lineRule="auto"/>
            </w:pPr>
            <w:r w:rsidRPr="009A2045">
              <w:rPr>
                <w:rFonts w:ascii="Calibri" w:eastAsia="Calibri" w:hAnsi="Calibri" w:cs="Calibri"/>
              </w:rPr>
              <w:t>&gt;5850 mg a.i./kg-diet</w:t>
            </w:r>
          </w:p>
        </w:tc>
        <w:tc>
          <w:tcPr>
            <w:tcW w:w="857" w:type="dxa"/>
          </w:tcPr>
          <w:p w14:paraId="12BF15DC" w14:textId="77777777" w:rsidR="007C0F2A" w:rsidRPr="009A2045" w:rsidRDefault="007C0F2A" w:rsidP="009A2045">
            <w:pPr>
              <w:spacing w:after="160" w:line="259" w:lineRule="auto"/>
            </w:pPr>
            <w:r w:rsidRPr="009A2045">
              <w:rPr>
                <w:rFonts w:ascii="Calibri" w:eastAsia="Calibri" w:hAnsi="Calibri" w:cs="Calibri"/>
              </w:rPr>
              <w:t>96</w:t>
            </w:r>
          </w:p>
        </w:tc>
        <w:tc>
          <w:tcPr>
            <w:tcW w:w="1295" w:type="dxa"/>
          </w:tcPr>
          <w:p w14:paraId="47B64188" w14:textId="77777777" w:rsidR="007C0F2A" w:rsidRPr="009A2045" w:rsidRDefault="007C0F2A" w:rsidP="009A2045">
            <w:pPr>
              <w:spacing w:after="160" w:line="259" w:lineRule="auto"/>
            </w:pPr>
            <w:r w:rsidRPr="009A2045">
              <w:rPr>
                <w:rFonts w:ascii="Calibri" w:eastAsia="Calibri" w:hAnsi="Calibri" w:cs="Calibri"/>
              </w:rPr>
              <w:t>MRID 48963303 / 2012</w:t>
            </w:r>
          </w:p>
        </w:tc>
        <w:tc>
          <w:tcPr>
            <w:tcW w:w="1503" w:type="dxa"/>
          </w:tcPr>
          <w:p w14:paraId="35FCE97B" w14:textId="77777777" w:rsidR="007C0F2A" w:rsidRPr="009A2045" w:rsidRDefault="007C0F2A" w:rsidP="009A2045">
            <w:pPr>
              <w:spacing w:after="160" w:line="259" w:lineRule="auto"/>
            </w:pPr>
            <w:r w:rsidRPr="009A2045">
              <w:rPr>
                <w:rFonts w:ascii="Calibri" w:eastAsia="Calibri" w:hAnsi="Calibri" w:cs="Calibri"/>
              </w:rPr>
              <w:t>&gt;5000 mg/kg-diet</w:t>
            </w:r>
          </w:p>
        </w:tc>
        <w:tc>
          <w:tcPr>
            <w:tcW w:w="944" w:type="dxa"/>
          </w:tcPr>
          <w:p w14:paraId="4295DCD0" w14:textId="77777777" w:rsidR="007C0F2A" w:rsidRPr="009A2045" w:rsidRDefault="007C0F2A" w:rsidP="009A2045">
            <w:pPr>
              <w:spacing w:after="160" w:line="259" w:lineRule="auto"/>
            </w:pPr>
            <w:r w:rsidRPr="009A2045">
              <w:rPr>
                <w:rFonts w:ascii="Calibri" w:eastAsia="Calibri" w:hAnsi="Calibri" w:cs="Calibri"/>
              </w:rPr>
              <w:t>95</w:t>
            </w:r>
          </w:p>
        </w:tc>
        <w:tc>
          <w:tcPr>
            <w:tcW w:w="1372" w:type="dxa"/>
          </w:tcPr>
          <w:p w14:paraId="0A44FC32" w14:textId="77777777" w:rsidR="007C0F2A" w:rsidRPr="009A2045" w:rsidRDefault="007C0F2A" w:rsidP="009A2045">
            <w:pPr>
              <w:spacing w:after="160" w:line="259" w:lineRule="auto"/>
            </w:pPr>
            <w:r w:rsidRPr="009A2045">
              <w:rPr>
                <w:rFonts w:ascii="Calibri" w:eastAsia="Calibri" w:hAnsi="Calibri" w:cs="Calibri"/>
              </w:rPr>
              <w:t>MRID 00022923 / 1984</w:t>
            </w:r>
          </w:p>
        </w:tc>
      </w:tr>
      <w:tr w:rsidR="007C0F2A" w:rsidRPr="009A2045" w14:paraId="7E17C57F" w14:textId="77777777" w:rsidTr="00D94E26">
        <w:trPr>
          <w:trHeight w:val="920"/>
        </w:trPr>
        <w:tc>
          <w:tcPr>
            <w:tcW w:w="1534" w:type="dxa"/>
            <w:vMerge/>
          </w:tcPr>
          <w:p w14:paraId="72A3B1FF" w14:textId="77777777" w:rsidR="007C0F2A" w:rsidRPr="009A2045" w:rsidRDefault="007C0F2A" w:rsidP="009A2045">
            <w:pPr>
              <w:spacing w:after="160" w:line="259" w:lineRule="auto"/>
            </w:pPr>
          </w:p>
        </w:tc>
        <w:tc>
          <w:tcPr>
            <w:tcW w:w="1844" w:type="dxa"/>
          </w:tcPr>
          <w:p w14:paraId="0CF087D0" w14:textId="77777777" w:rsidR="007C0F2A" w:rsidRPr="009A2045" w:rsidRDefault="007C0F2A" w:rsidP="009A2045">
            <w:pPr>
              <w:spacing w:after="160" w:line="259" w:lineRule="auto"/>
            </w:pPr>
            <w:r w:rsidRPr="009A2045">
              <w:rPr>
                <w:rFonts w:ascii="Calibri" w:eastAsia="Calibri" w:hAnsi="Calibri" w:cs="Calibri"/>
              </w:rPr>
              <w:t xml:space="preserve">14-day LD50: </w:t>
            </w:r>
          </w:p>
          <w:p w14:paraId="0296F9ED" w14:textId="77777777" w:rsidR="007C0F2A" w:rsidRPr="009A2045" w:rsidRDefault="007C0F2A" w:rsidP="009A2045">
            <w:pPr>
              <w:spacing w:after="160" w:line="259" w:lineRule="auto"/>
            </w:pPr>
            <w:r w:rsidRPr="009A2045">
              <w:rPr>
                <w:rFonts w:ascii="Calibri" w:eastAsia="Calibri" w:hAnsi="Calibri" w:cs="Calibri"/>
              </w:rPr>
              <w:t>&gt;2250 mg a.i./kg-bw</w:t>
            </w:r>
          </w:p>
        </w:tc>
        <w:tc>
          <w:tcPr>
            <w:tcW w:w="857" w:type="dxa"/>
          </w:tcPr>
          <w:p w14:paraId="74FEB7E2" w14:textId="77777777" w:rsidR="007C0F2A" w:rsidRPr="009A2045" w:rsidRDefault="007C0F2A" w:rsidP="009A2045">
            <w:pPr>
              <w:spacing w:after="160" w:line="259" w:lineRule="auto"/>
            </w:pPr>
            <w:r w:rsidRPr="009A2045">
              <w:rPr>
                <w:rFonts w:ascii="Calibri" w:eastAsia="Calibri" w:hAnsi="Calibri" w:cs="Calibri"/>
              </w:rPr>
              <w:t>96</w:t>
            </w:r>
          </w:p>
        </w:tc>
        <w:tc>
          <w:tcPr>
            <w:tcW w:w="1295" w:type="dxa"/>
          </w:tcPr>
          <w:p w14:paraId="6AE1618C" w14:textId="77777777" w:rsidR="007C0F2A" w:rsidRPr="009A2045" w:rsidRDefault="007C0F2A" w:rsidP="009A2045">
            <w:pPr>
              <w:spacing w:after="160" w:line="259" w:lineRule="auto"/>
            </w:pPr>
            <w:r w:rsidRPr="009A2045">
              <w:rPr>
                <w:rFonts w:ascii="Calibri" w:eastAsia="Calibri" w:hAnsi="Calibri" w:cs="Calibri"/>
              </w:rPr>
              <w:t xml:space="preserve">MRID 48963307 / </w:t>
            </w:r>
          </w:p>
          <w:p w14:paraId="63681FC8" w14:textId="77777777" w:rsidR="007C0F2A" w:rsidRPr="009A2045" w:rsidRDefault="007C0F2A" w:rsidP="009A2045">
            <w:pPr>
              <w:spacing w:after="160" w:line="259" w:lineRule="auto"/>
            </w:pPr>
            <w:r w:rsidRPr="009A2045">
              <w:rPr>
                <w:rFonts w:ascii="Calibri" w:eastAsia="Calibri" w:hAnsi="Calibri" w:cs="Calibri"/>
              </w:rPr>
              <w:t>2012</w:t>
            </w:r>
          </w:p>
        </w:tc>
        <w:tc>
          <w:tcPr>
            <w:tcW w:w="1503" w:type="dxa"/>
          </w:tcPr>
          <w:p w14:paraId="2C983976" w14:textId="77777777" w:rsidR="007C0F2A" w:rsidRPr="009A2045" w:rsidRDefault="007C0F2A" w:rsidP="009A2045">
            <w:pPr>
              <w:spacing w:after="160" w:line="259" w:lineRule="auto"/>
            </w:pPr>
            <w:r w:rsidRPr="009A2045">
              <w:rPr>
                <w:rFonts w:ascii="Calibri" w:eastAsia="Calibri" w:hAnsi="Calibri" w:cs="Calibri"/>
              </w:rPr>
              <w:t>1485</w:t>
            </w:r>
          </w:p>
          <w:p w14:paraId="66E13CBB" w14:textId="77777777" w:rsidR="007C0F2A" w:rsidRPr="009A2045" w:rsidRDefault="007C0F2A" w:rsidP="009A2045">
            <w:pPr>
              <w:spacing w:after="160" w:line="259" w:lineRule="auto"/>
            </w:pPr>
            <w:r w:rsidRPr="009A2045">
              <w:rPr>
                <w:rFonts w:ascii="Calibri" w:eastAsia="Calibri" w:hAnsi="Calibri" w:cs="Calibri"/>
              </w:rPr>
              <w:t>(1020-2150)</w:t>
            </w:r>
          </w:p>
        </w:tc>
        <w:tc>
          <w:tcPr>
            <w:tcW w:w="944" w:type="dxa"/>
          </w:tcPr>
          <w:p w14:paraId="69E3BC1B" w14:textId="77777777" w:rsidR="007C0F2A" w:rsidRPr="009A2045" w:rsidRDefault="007C0F2A" w:rsidP="009A2045">
            <w:pPr>
              <w:spacing w:after="160" w:line="259" w:lineRule="auto"/>
            </w:pPr>
            <w:r w:rsidRPr="009A2045">
              <w:rPr>
                <w:rFonts w:ascii="Calibri" w:eastAsia="Calibri" w:hAnsi="Calibri" w:cs="Calibri"/>
              </w:rPr>
              <w:t>95</w:t>
            </w:r>
          </w:p>
        </w:tc>
        <w:tc>
          <w:tcPr>
            <w:tcW w:w="1372" w:type="dxa"/>
          </w:tcPr>
          <w:p w14:paraId="60B44068" w14:textId="77777777" w:rsidR="007C0F2A" w:rsidRPr="009A2045" w:rsidRDefault="007C0F2A" w:rsidP="009A2045">
            <w:pPr>
              <w:spacing w:after="160" w:line="259" w:lineRule="auto"/>
            </w:pPr>
            <w:r w:rsidRPr="009A2045">
              <w:rPr>
                <w:rFonts w:ascii="Calibri" w:eastAsia="Calibri" w:hAnsi="Calibri" w:cs="Calibri"/>
              </w:rPr>
              <w:t>MRID 00160000 / 1984</w:t>
            </w:r>
          </w:p>
        </w:tc>
      </w:tr>
      <w:tr w:rsidR="007C0F2A" w:rsidRPr="009A2045" w14:paraId="1FDF25A8" w14:textId="77777777" w:rsidTr="00D94E26">
        <w:trPr>
          <w:trHeight w:val="920"/>
        </w:trPr>
        <w:tc>
          <w:tcPr>
            <w:tcW w:w="1534" w:type="dxa"/>
            <w:vMerge w:val="restart"/>
          </w:tcPr>
          <w:p w14:paraId="710092AB" w14:textId="77777777" w:rsidR="007C0F2A" w:rsidRPr="009A2045" w:rsidRDefault="007C0F2A" w:rsidP="009A2045">
            <w:pPr>
              <w:spacing w:after="160" w:line="259" w:lineRule="auto"/>
            </w:pPr>
            <w:r w:rsidRPr="009A2045">
              <w:rPr>
                <w:rFonts w:ascii="Calibri" w:eastAsia="Calibri" w:hAnsi="Calibri" w:cs="Calibri"/>
              </w:rPr>
              <w:t>Ring-necked pheasant (</w:t>
            </w:r>
            <w:r w:rsidRPr="009A2045">
              <w:rPr>
                <w:rFonts w:ascii="Calibri" w:eastAsia="Calibri" w:hAnsi="Calibri" w:cs="Calibri"/>
                <w:i/>
              </w:rPr>
              <w:t>Phasianus colchicus</w:t>
            </w:r>
            <w:r w:rsidRPr="009A2045">
              <w:rPr>
                <w:rFonts w:ascii="Calibri" w:eastAsia="Calibri" w:hAnsi="Calibri" w:cs="Calibri"/>
              </w:rPr>
              <w:t>)</w:t>
            </w:r>
          </w:p>
        </w:tc>
        <w:tc>
          <w:tcPr>
            <w:tcW w:w="1844" w:type="dxa"/>
          </w:tcPr>
          <w:p w14:paraId="3E079BF0" w14:textId="77777777" w:rsidR="007C0F2A" w:rsidRPr="009A2045" w:rsidRDefault="007C0F2A" w:rsidP="009A2045">
            <w:pPr>
              <w:spacing w:after="160" w:line="259" w:lineRule="auto"/>
            </w:pPr>
            <w:r w:rsidRPr="009A2045">
              <w:rPr>
                <w:rFonts w:ascii="Calibri" w:eastAsia="Calibri" w:hAnsi="Calibri" w:cs="Calibri"/>
              </w:rPr>
              <w:t xml:space="preserve">8-day LC50: </w:t>
            </w:r>
          </w:p>
          <w:p w14:paraId="44F61CBB" w14:textId="77777777" w:rsidR="007C0F2A" w:rsidRPr="009A2045" w:rsidRDefault="007C0F2A" w:rsidP="009A2045">
            <w:pPr>
              <w:spacing w:after="160" w:line="259" w:lineRule="auto"/>
            </w:pPr>
            <w:r w:rsidRPr="009A2045">
              <w:rPr>
                <w:rFonts w:ascii="Calibri" w:eastAsia="Calibri" w:hAnsi="Calibri" w:cs="Calibri"/>
              </w:rPr>
              <w:t>2505 mg a.i./kg-diet (2074-3025)</w:t>
            </w:r>
          </w:p>
        </w:tc>
        <w:tc>
          <w:tcPr>
            <w:tcW w:w="857" w:type="dxa"/>
          </w:tcPr>
          <w:p w14:paraId="30B903E8" w14:textId="77777777" w:rsidR="007C0F2A" w:rsidRPr="009A2045" w:rsidRDefault="007C0F2A" w:rsidP="009A2045">
            <w:pPr>
              <w:spacing w:after="160" w:line="259" w:lineRule="auto"/>
            </w:pPr>
            <w:r w:rsidRPr="009A2045">
              <w:rPr>
                <w:rFonts w:ascii="Calibri" w:eastAsia="Calibri" w:hAnsi="Calibri" w:cs="Calibri"/>
              </w:rPr>
              <w:t>96</w:t>
            </w:r>
          </w:p>
        </w:tc>
        <w:tc>
          <w:tcPr>
            <w:tcW w:w="1295" w:type="dxa"/>
          </w:tcPr>
          <w:p w14:paraId="44D7AA2E" w14:textId="77777777" w:rsidR="007C0F2A" w:rsidRPr="009A2045" w:rsidRDefault="007C0F2A" w:rsidP="009A2045">
            <w:pPr>
              <w:spacing w:after="160" w:line="259" w:lineRule="auto"/>
            </w:pPr>
            <w:r w:rsidRPr="009A2045">
              <w:rPr>
                <w:rFonts w:ascii="Calibri" w:eastAsia="Calibri" w:hAnsi="Calibri" w:cs="Calibri"/>
              </w:rPr>
              <w:t xml:space="preserve">MRID 48963301 / </w:t>
            </w:r>
          </w:p>
          <w:p w14:paraId="20A88AD1" w14:textId="77777777" w:rsidR="007C0F2A" w:rsidRPr="009A2045" w:rsidRDefault="007C0F2A" w:rsidP="009A2045">
            <w:pPr>
              <w:spacing w:after="160" w:line="259" w:lineRule="auto"/>
            </w:pPr>
            <w:r w:rsidRPr="009A2045">
              <w:rPr>
                <w:rFonts w:ascii="Calibri" w:eastAsia="Calibri" w:hAnsi="Calibri" w:cs="Calibri"/>
              </w:rPr>
              <w:t>2012</w:t>
            </w:r>
          </w:p>
        </w:tc>
        <w:tc>
          <w:tcPr>
            <w:tcW w:w="1503" w:type="dxa"/>
          </w:tcPr>
          <w:p w14:paraId="7CE2412C" w14:textId="77777777" w:rsidR="007C0F2A" w:rsidRPr="009A2045" w:rsidRDefault="007C0F2A" w:rsidP="009A2045">
            <w:pPr>
              <w:spacing w:after="160" w:line="259" w:lineRule="auto"/>
            </w:pPr>
            <w:r w:rsidRPr="009A2045">
              <w:rPr>
                <w:rFonts w:ascii="Calibri" w:eastAsia="Calibri" w:hAnsi="Calibri" w:cs="Calibri"/>
              </w:rPr>
              <w:t xml:space="preserve">2639  </w:t>
            </w:r>
          </w:p>
          <w:p w14:paraId="0EEB3F9B" w14:textId="77777777" w:rsidR="007C0F2A" w:rsidRPr="009A2045" w:rsidRDefault="007C0F2A" w:rsidP="009A2045">
            <w:pPr>
              <w:spacing w:after="160" w:line="259" w:lineRule="auto"/>
            </w:pPr>
            <w:r w:rsidRPr="009A2045">
              <w:rPr>
                <w:rFonts w:ascii="Calibri" w:eastAsia="Calibri" w:hAnsi="Calibri" w:cs="Calibri"/>
              </w:rPr>
              <w:t>(2220-3098)</w:t>
            </w:r>
          </w:p>
        </w:tc>
        <w:tc>
          <w:tcPr>
            <w:tcW w:w="944" w:type="dxa"/>
          </w:tcPr>
          <w:p w14:paraId="71F3D248" w14:textId="77777777" w:rsidR="007C0F2A" w:rsidRPr="009A2045" w:rsidRDefault="007C0F2A" w:rsidP="009A2045">
            <w:pPr>
              <w:spacing w:after="160" w:line="259" w:lineRule="auto"/>
            </w:pPr>
            <w:r w:rsidRPr="009A2045">
              <w:rPr>
                <w:rFonts w:ascii="Calibri" w:eastAsia="Calibri" w:hAnsi="Calibri" w:cs="Calibri"/>
              </w:rPr>
              <w:t>95</w:t>
            </w:r>
          </w:p>
        </w:tc>
        <w:tc>
          <w:tcPr>
            <w:tcW w:w="1372" w:type="dxa"/>
          </w:tcPr>
          <w:p w14:paraId="31D6FE1B" w14:textId="77777777" w:rsidR="007C0F2A" w:rsidRPr="009A2045" w:rsidRDefault="007C0F2A" w:rsidP="009A2045">
            <w:pPr>
              <w:spacing w:after="160" w:line="259" w:lineRule="auto"/>
            </w:pPr>
            <w:r w:rsidRPr="009A2045">
              <w:rPr>
                <w:rFonts w:ascii="Calibri" w:eastAsia="Calibri" w:hAnsi="Calibri" w:cs="Calibri"/>
              </w:rPr>
              <w:t>MRID 00022923 / 1984</w:t>
            </w:r>
          </w:p>
        </w:tc>
      </w:tr>
      <w:tr w:rsidR="007C0F2A" w:rsidRPr="009A2045" w14:paraId="37116234" w14:textId="77777777" w:rsidTr="00D94E26">
        <w:trPr>
          <w:trHeight w:val="920"/>
        </w:trPr>
        <w:tc>
          <w:tcPr>
            <w:tcW w:w="1534" w:type="dxa"/>
            <w:vMerge/>
          </w:tcPr>
          <w:p w14:paraId="4EB45B52" w14:textId="77777777" w:rsidR="007C0F2A" w:rsidRPr="009A2045" w:rsidRDefault="007C0F2A" w:rsidP="009A2045">
            <w:pPr>
              <w:spacing w:after="160" w:line="259" w:lineRule="auto"/>
            </w:pPr>
          </w:p>
        </w:tc>
        <w:tc>
          <w:tcPr>
            <w:tcW w:w="1844" w:type="dxa"/>
          </w:tcPr>
          <w:p w14:paraId="782048F4" w14:textId="77777777" w:rsidR="007C0F2A" w:rsidRPr="009A2045" w:rsidRDefault="007C0F2A" w:rsidP="009A2045">
            <w:pPr>
              <w:spacing w:after="160" w:line="259" w:lineRule="auto"/>
            </w:pPr>
            <w:r w:rsidRPr="009A2045">
              <w:rPr>
                <w:rFonts w:ascii="Calibri" w:eastAsia="Calibri" w:hAnsi="Calibri" w:cs="Calibri"/>
              </w:rPr>
              <w:t xml:space="preserve">14-day LD50: </w:t>
            </w:r>
          </w:p>
          <w:p w14:paraId="099BB5A0" w14:textId="77777777" w:rsidR="007C0F2A" w:rsidRPr="009A2045" w:rsidRDefault="007C0F2A" w:rsidP="009A2045">
            <w:pPr>
              <w:spacing w:after="160" w:line="259" w:lineRule="auto"/>
            </w:pPr>
            <w:r w:rsidRPr="009A2045">
              <w:rPr>
                <w:rFonts w:ascii="Calibri" w:eastAsia="Calibri" w:hAnsi="Calibri" w:cs="Calibri"/>
              </w:rPr>
              <w:t>136 mg a.i./kg-bw (108-170)</w:t>
            </w:r>
          </w:p>
        </w:tc>
        <w:tc>
          <w:tcPr>
            <w:tcW w:w="857" w:type="dxa"/>
          </w:tcPr>
          <w:p w14:paraId="35936DB4" w14:textId="77777777" w:rsidR="007C0F2A" w:rsidRPr="009A2045" w:rsidRDefault="007C0F2A" w:rsidP="009A2045">
            <w:pPr>
              <w:spacing w:after="160" w:line="259" w:lineRule="auto"/>
            </w:pPr>
            <w:r w:rsidRPr="009A2045">
              <w:rPr>
                <w:rFonts w:ascii="Calibri" w:eastAsia="Calibri" w:hAnsi="Calibri" w:cs="Calibri"/>
              </w:rPr>
              <w:t>96</w:t>
            </w:r>
          </w:p>
        </w:tc>
        <w:tc>
          <w:tcPr>
            <w:tcW w:w="1295" w:type="dxa"/>
          </w:tcPr>
          <w:p w14:paraId="73E45D2B" w14:textId="77777777" w:rsidR="007C0F2A" w:rsidRPr="009A2045" w:rsidRDefault="007C0F2A" w:rsidP="009A2045">
            <w:pPr>
              <w:spacing w:after="160" w:line="259" w:lineRule="auto"/>
            </w:pPr>
            <w:r w:rsidRPr="009A2045">
              <w:rPr>
                <w:rFonts w:ascii="Calibri" w:eastAsia="Calibri" w:hAnsi="Calibri" w:cs="Calibri"/>
              </w:rPr>
              <w:t xml:space="preserve">MRID 48963305 / </w:t>
            </w:r>
          </w:p>
          <w:p w14:paraId="1AD71F1A" w14:textId="77777777" w:rsidR="007C0F2A" w:rsidRPr="009A2045" w:rsidRDefault="007C0F2A" w:rsidP="009A2045">
            <w:pPr>
              <w:spacing w:after="160" w:line="259" w:lineRule="auto"/>
            </w:pPr>
            <w:r w:rsidRPr="009A2045">
              <w:rPr>
                <w:rFonts w:ascii="Calibri" w:eastAsia="Calibri" w:hAnsi="Calibri" w:cs="Calibri"/>
              </w:rPr>
              <w:t>2012</w:t>
            </w:r>
          </w:p>
        </w:tc>
        <w:tc>
          <w:tcPr>
            <w:tcW w:w="1503" w:type="dxa"/>
          </w:tcPr>
          <w:p w14:paraId="49D0F240" w14:textId="77777777" w:rsidR="007C0F2A" w:rsidRPr="009A2045" w:rsidRDefault="007C0F2A" w:rsidP="009A2045">
            <w:pPr>
              <w:spacing w:after="160" w:line="259" w:lineRule="auto"/>
            </w:pPr>
            <w:r w:rsidRPr="009A2045">
              <w:rPr>
                <w:rFonts w:ascii="Calibri" w:eastAsia="Calibri" w:hAnsi="Calibri" w:cs="Calibri"/>
              </w:rPr>
              <w:t>167</w:t>
            </w:r>
          </w:p>
          <w:p w14:paraId="6FEA57DD" w14:textId="77777777" w:rsidR="007C0F2A" w:rsidRPr="009A2045" w:rsidRDefault="007C0F2A" w:rsidP="009A2045">
            <w:pPr>
              <w:spacing w:after="160" w:line="259" w:lineRule="auto"/>
            </w:pPr>
            <w:r w:rsidRPr="009A2045">
              <w:rPr>
                <w:rFonts w:ascii="Calibri" w:eastAsia="Calibri" w:hAnsi="Calibri" w:cs="Calibri"/>
              </w:rPr>
              <w:t>(120-231)</w:t>
            </w:r>
          </w:p>
        </w:tc>
        <w:tc>
          <w:tcPr>
            <w:tcW w:w="944" w:type="dxa"/>
          </w:tcPr>
          <w:p w14:paraId="0C39B898" w14:textId="77777777" w:rsidR="007C0F2A" w:rsidRPr="009A2045" w:rsidRDefault="007C0F2A" w:rsidP="009A2045">
            <w:pPr>
              <w:spacing w:after="160" w:line="259" w:lineRule="auto"/>
            </w:pPr>
            <w:r w:rsidRPr="009A2045">
              <w:rPr>
                <w:rFonts w:ascii="Calibri" w:eastAsia="Calibri" w:hAnsi="Calibri" w:cs="Calibri"/>
              </w:rPr>
              <w:t>95</w:t>
            </w:r>
          </w:p>
        </w:tc>
        <w:tc>
          <w:tcPr>
            <w:tcW w:w="1372" w:type="dxa"/>
          </w:tcPr>
          <w:p w14:paraId="1D6B43B6" w14:textId="77777777" w:rsidR="007C0F2A" w:rsidRPr="009A2045" w:rsidRDefault="007C0F2A" w:rsidP="009A2045">
            <w:pPr>
              <w:spacing w:after="160" w:line="259" w:lineRule="auto"/>
            </w:pPr>
            <w:r w:rsidRPr="009A2045">
              <w:rPr>
                <w:rFonts w:ascii="Calibri" w:eastAsia="Calibri" w:hAnsi="Calibri" w:cs="Calibri"/>
              </w:rPr>
              <w:t>MRID 00160000 / 1984</w:t>
            </w:r>
          </w:p>
        </w:tc>
      </w:tr>
    </w:tbl>
    <w:p w14:paraId="30F12A80" w14:textId="77777777" w:rsidR="007C0F2A" w:rsidRPr="009A2045" w:rsidRDefault="007C0F2A" w:rsidP="009A2045">
      <w:pPr>
        <w:rPr>
          <w:sz w:val="20"/>
        </w:rPr>
      </w:pPr>
      <w:r w:rsidRPr="009A2045">
        <w:rPr>
          <w:sz w:val="20"/>
        </w:rPr>
        <w:t>NR= not reported</w:t>
      </w:r>
    </w:p>
    <w:p w14:paraId="2EF84086" w14:textId="324BDB54" w:rsidR="007C0F2A" w:rsidRPr="009A2045" w:rsidRDefault="007C0F2A" w:rsidP="009A2045">
      <w:r w:rsidRPr="009A2045">
        <w:t>Overall, while there is variability in the degree to which the more recently submitted studies align with other toxicity stud</w:t>
      </w:r>
      <w:r w:rsidR="00254508" w:rsidRPr="009A2045">
        <w:t>ies</w:t>
      </w:r>
      <w:r w:rsidRPr="009A2045">
        <w:t xml:space="preserve"> between species, there is observed concordance for both aquatic and terrestrial species.  As such, there does not appear to be compelling information to exclude toxicity data at this time solely due to source of technical malathion or date of study conduct.   </w:t>
      </w:r>
    </w:p>
    <w:p w14:paraId="04D02E39" w14:textId="19C9B8A6" w:rsidR="007C0F2A" w:rsidRPr="009A2045" w:rsidRDefault="007C0F2A" w:rsidP="009A2045">
      <w:bookmarkStart w:id="94" w:name="h.tyjcwt" w:colFirst="0" w:colLast="0"/>
      <w:bookmarkEnd w:id="94"/>
      <w:r w:rsidRPr="009A2045">
        <w:t xml:space="preserve">While stated as an impurity above, in </w:t>
      </w:r>
      <w:r w:rsidRPr="009A2045">
        <w:rPr>
          <w:b/>
        </w:rPr>
        <w:t xml:space="preserve">Table </w:t>
      </w:r>
      <w:r w:rsidR="00254508" w:rsidRPr="009A2045">
        <w:rPr>
          <w:b/>
        </w:rPr>
        <w:t>1-13</w:t>
      </w:r>
      <w:r w:rsidRPr="009A2045">
        <w:t>, similar to several other organophosphate insecticides, malathion degrades and is metabolized into an oxon product referred to as malaoxon.  Chemically, the only difference between malathion and malaoxon is the substitution of oxygen for sulfur at its double bond to phosphorous.  Metabolic conversion of malathion into malaoxon is called activation because it is the malaoxon metabolite that is responsible for most of the insecticidal activity of malathion, as well as most of its toxicity to other nontarget animals. Thus, malaoxon is the primary degradation product/metabolite considered to be a significant concern for ecological risk.  Toxicity and fate informat</w:t>
      </w:r>
      <w:r w:rsidR="00D94E26" w:rsidRPr="009A2045">
        <w:t xml:space="preserve">ion for malaoxon are discussed in </w:t>
      </w:r>
      <w:r w:rsidR="00D94E26" w:rsidRPr="009A2045">
        <w:rPr>
          <w:b/>
        </w:rPr>
        <w:t>APPENDIX 3-1</w:t>
      </w:r>
      <w:r w:rsidRPr="009A2045">
        <w:t>.</w:t>
      </w:r>
    </w:p>
    <w:p w14:paraId="4CF22FED" w14:textId="77777777" w:rsidR="007C0F2A" w:rsidRPr="009A2045" w:rsidRDefault="007C0F2A" w:rsidP="009A2045"/>
    <w:p w14:paraId="7DE10E37" w14:textId="1BC64C77" w:rsidR="007C0F2A" w:rsidRPr="009A2045" w:rsidRDefault="007C0F2A" w:rsidP="009A2045">
      <w:pPr>
        <w:pStyle w:val="Heading2"/>
      </w:pPr>
      <w:bookmarkStart w:id="95" w:name="_Toc436043058"/>
      <w:r w:rsidRPr="009A2045">
        <w:t>1.</w:t>
      </w:r>
      <w:r w:rsidR="00EC7ECD" w:rsidRPr="009A2045">
        <w:t>5</w:t>
      </w:r>
      <w:r w:rsidRPr="009A2045">
        <w:t>.</w:t>
      </w:r>
      <w:r w:rsidRPr="009A2045">
        <w:tab/>
        <w:t>References</w:t>
      </w:r>
      <w:bookmarkEnd w:id="95"/>
    </w:p>
    <w:p w14:paraId="3DEB5DED" w14:textId="77777777" w:rsidR="007C0F2A" w:rsidRPr="009A2045" w:rsidRDefault="007C0F2A" w:rsidP="009A2045">
      <w:pPr>
        <w:spacing w:after="0" w:line="240" w:lineRule="auto"/>
      </w:pPr>
    </w:p>
    <w:p w14:paraId="097F1003" w14:textId="77777777" w:rsidR="007C0F2A" w:rsidRPr="009A2045" w:rsidRDefault="007C0F2A" w:rsidP="009A2045">
      <w:pPr>
        <w:spacing w:after="0" w:line="240" w:lineRule="auto"/>
      </w:pPr>
      <w:r w:rsidRPr="009A2045">
        <w:t xml:space="preserve">Backhaus, T., and Faust, M. (2012).  Predictive environmental risk assessment of chemical mixtures: A conceptual framework. </w:t>
      </w:r>
      <w:r w:rsidRPr="009A2045">
        <w:rPr>
          <w:i/>
        </w:rPr>
        <w:t>Environmental Science and Technology</w:t>
      </w:r>
      <w:r w:rsidRPr="009A2045">
        <w:t>, 46: 2564 – 2573.</w:t>
      </w:r>
    </w:p>
    <w:p w14:paraId="6A95FE6E" w14:textId="77777777" w:rsidR="007C0F2A" w:rsidRPr="009A2045" w:rsidRDefault="007C0F2A" w:rsidP="009A2045">
      <w:pPr>
        <w:spacing w:after="0" w:line="240" w:lineRule="auto"/>
      </w:pPr>
    </w:p>
    <w:p w14:paraId="174EBCC5" w14:textId="77777777" w:rsidR="007C0F2A" w:rsidRPr="009A2045" w:rsidRDefault="007C0F2A" w:rsidP="009A2045">
      <w:pPr>
        <w:spacing w:after="0" w:line="240" w:lineRule="auto"/>
      </w:pPr>
      <w:r w:rsidRPr="009A2045">
        <w:t xml:space="preserve">Belden, J. B., Gilliom, R. J., and Michael, J. L. (2007).  How well can we predict the toxicity of pesticide mixtures to aquatic life?  </w:t>
      </w:r>
      <w:r w:rsidRPr="009A2045">
        <w:rPr>
          <w:i/>
        </w:rPr>
        <w:t>Integrated Environmental Assessment and Management</w:t>
      </w:r>
      <w:r w:rsidRPr="009A2045">
        <w:t>, 3(3): e1 – e5.</w:t>
      </w:r>
    </w:p>
    <w:p w14:paraId="42ACA03E" w14:textId="77777777" w:rsidR="007C0F2A" w:rsidRPr="009A2045" w:rsidRDefault="007C0F2A" w:rsidP="009A2045">
      <w:pPr>
        <w:spacing w:after="0" w:line="240" w:lineRule="auto"/>
      </w:pPr>
    </w:p>
    <w:p w14:paraId="738C39B8" w14:textId="77777777" w:rsidR="007C0F2A" w:rsidRPr="009A2045" w:rsidRDefault="007C0F2A" w:rsidP="009A2045">
      <w:pPr>
        <w:spacing w:after="0" w:line="240" w:lineRule="auto"/>
      </w:pPr>
      <w:r w:rsidRPr="009A2045">
        <w:t xml:space="preserve">Cedergreen, N., Kudsk, P., Mathiassen, S. K., Sørensen, H., and Streibig, J. C. (2007).  Reproducibility of binary-mixture toxicity studies.  </w:t>
      </w:r>
      <w:r w:rsidRPr="009A2045">
        <w:rPr>
          <w:i/>
        </w:rPr>
        <w:t>Environmental Toxicology and Chemistry</w:t>
      </w:r>
      <w:r w:rsidRPr="009A2045">
        <w:t>, 26(1): 149 – 156.</w:t>
      </w:r>
    </w:p>
    <w:p w14:paraId="658F47D2" w14:textId="77777777" w:rsidR="007C0F2A" w:rsidRPr="009A2045" w:rsidRDefault="007C0F2A" w:rsidP="009A2045">
      <w:pPr>
        <w:spacing w:after="0" w:line="240" w:lineRule="auto"/>
      </w:pPr>
    </w:p>
    <w:p w14:paraId="44C3266B" w14:textId="77777777" w:rsidR="007C0F2A" w:rsidRPr="009A2045" w:rsidRDefault="007C0F2A" w:rsidP="009A2045">
      <w:pPr>
        <w:spacing w:after="0" w:line="240" w:lineRule="auto"/>
      </w:pPr>
      <w:r w:rsidRPr="009A2045">
        <w:t>Landers, D. H., S.L. Simonich, D. A. Jaffe, L. H. Geiser, D. H. Campbell, A. R. Schwindt, C. B. Schrect, M. L. Kent, W. D. Hafner, H. E. Taylor, K. J. Hageman, S. Usenko, L. K. Ackerman, J. E. Schrlau, N. L. Rose, T. F. Blett, and M. M. Erway.  (2008). The Fate, Transport, and Ecological Impacts of Airborne Contaminants in Western National Parks (</w:t>
      </w:r>
      <w:smartTag w:uri="urn:schemas-microsoft-com:office:smarttags" w:element="place">
        <w:smartTag w:uri="urn:schemas-microsoft-com:office:smarttags" w:element="country-region">
          <w:r w:rsidRPr="009A2045">
            <w:t>USA</w:t>
          </w:r>
        </w:smartTag>
      </w:smartTag>
      <w:r w:rsidRPr="009A2045">
        <w:t>). EPA/600/R-07/138. U.S. Environmental Protection Agency, Office of Research and Development, NHEERL, Western Ecology Division, Corvallis, Oregon.</w:t>
      </w:r>
    </w:p>
    <w:p w14:paraId="0DA5BCA1" w14:textId="77777777" w:rsidR="007C0F2A" w:rsidRPr="009A2045" w:rsidRDefault="007C0F2A" w:rsidP="009A2045">
      <w:pPr>
        <w:spacing w:after="0" w:line="240" w:lineRule="auto"/>
      </w:pPr>
    </w:p>
    <w:p w14:paraId="2A42133A" w14:textId="77777777" w:rsidR="007C0F2A" w:rsidRPr="009A2045" w:rsidRDefault="007C0F2A" w:rsidP="009A2045">
      <w:pPr>
        <w:spacing w:after="0" w:line="240" w:lineRule="auto"/>
      </w:pPr>
      <w:r w:rsidRPr="009A2045">
        <w:t xml:space="preserve">LeNoir, J. S., McConnell, L. L., Fellers, G. M., Cahill, T. M., and Seiber, J.N. (1999).  Summertime transport of current-use pesticides from California’s Central Valley to the Sierra Nevada Mountain range. </w:t>
      </w:r>
      <w:r w:rsidRPr="009A2045">
        <w:rPr>
          <w:i/>
        </w:rPr>
        <w:t>Environmental Toxicology and Chemistry,</w:t>
      </w:r>
      <w:r w:rsidRPr="009A2045">
        <w:t xml:space="preserve"> 18:2715–2722.</w:t>
      </w:r>
    </w:p>
    <w:p w14:paraId="43E86E63" w14:textId="77777777" w:rsidR="007C0F2A" w:rsidRPr="009A2045" w:rsidRDefault="007C0F2A" w:rsidP="009A2045">
      <w:pPr>
        <w:spacing w:after="0" w:line="240" w:lineRule="auto"/>
      </w:pPr>
    </w:p>
    <w:p w14:paraId="46DFAF65" w14:textId="77777777" w:rsidR="007C0F2A" w:rsidRPr="009A2045" w:rsidRDefault="007C0F2A" w:rsidP="009A2045">
      <w:pPr>
        <w:spacing w:after="0" w:line="240" w:lineRule="auto"/>
      </w:pPr>
      <w:r w:rsidRPr="009A2045">
        <w:t xml:space="preserve">National Research Council of the National Academies (NRC) (2013).  </w:t>
      </w:r>
      <w:r w:rsidRPr="009A2045">
        <w:rPr>
          <w:i/>
        </w:rPr>
        <w:t>Assessing Risks to Endangered and Threatened Species from Pesticides.</w:t>
      </w:r>
      <w:r w:rsidRPr="009A2045">
        <w:t xml:space="preserve">  The National Academies Press.  Washington, DC.  Pp.  175.</w:t>
      </w:r>
    </w:p>
    <w:p w14:paraId="0E5890F5" w14:textId="77777777" w:rsidR="007C0F2A" w:rsidRPr="009A2045" w:rsidRDefault="007C0F2A" w:rsidP="009A2045">
      <w:pPr>
        <w:spacing w:after="0" w:line="240" w:lineRule="auto"/>
      </w:pPr>
    </w:p>
    <w:p w14:paraId="76BDC39E" w14:textId="77777777" w:rsidR="007C0F2A" w:rsidRPr="009A2045" w:rsidRDefault="007C0F2A" w:rsidP="009A2045">
      <w:pPr>
        <w:spacing w:after="0" w:line="240" w:lineRule="auto"/>
      </w:pPr>
      <w:r w:rsidRPr="009A2045">
        <w:t xml:space="preserve">Russom, C. L., LaLone, C. A., Villeneuve, D. L. and Ankley, G. T. (2014).  Development of an adverse outcome pathway for acetylcholinesterase inhibition leading to acute mortality.  </w:t>
      </w:r>
      <w:r w:rsidRPr="009A2045">
        <w:rPr>
          <w:i/>
        </w:rPr>
        <w:t>Environmental Toxicology and Chemistry</w:t>
      </w:r>
      <w:r w:rsidRPr="009A2045">
        <w:t xml:space="preserve">, 33: 2157–2169. </w:t>
      </w:r>
    </w:p>
    <w:p w14:paraId="69068293" w14:textId="77777777" w:rsidR="007C0F2A" w:rsidRPr="009A2045" w:rsidRDefault="007C0F2A" w:rsidP="009A2045">
      <w:pPr>
        <w:spacing w:after="0" w:line="240" w:lineRule="auto"/>
      </w:pPr>
    </w:p>
    <w:p w14:paraId="39CC3D1C" w14:textId="77777777" w:rsidR="007C0F2A" w:rsidRPr="009A2045" w:rsidRDefault="007C0F2A" w:rsidP="009A2045">
      <w:pPr>
        <w:spacing w:after="0" w:line="240" w:lineRule="auto"/>
      </w:pPr>
      <w:r w:rsidRPr="009A2045">
        <w:t xml:space="preserve">Sparling, D. W., Fellers, G. M., and McConnell, L. L. (2001). Pesticides and amphibian population declines in California, USA. </w:t>
      </w:r>
      <w:r w:rsidRPr="009A2045">
        <w:rPr>
          <w:i/>
        </w:rPr>
        <w:t>Environmental Toxicology and Chemistry,</w:t>
      </w:r>
      <w:r w:rsidRPr="009A2045">
        <w:t xml:space="preserve"> 20:1591–1595.</w:t>
      </w:r>
    </w:p>
    <w:p w14:paraId="6B5130BD" w14:textId="77777777" w:rsidR="007C0F2A" w:rsidRPr="009A2045" w:rsidRDefault="007C0F2A" w:rsidP="009A2045">
      <w:pPr>
        <w:spacing w:after="0" w:line="240" w:lineRule="auto"/>
      </w:pPr>
    </w:p>
    <w:p w14:paraId="24C7AD23" w14:textId="77777777" w:rsidR="007C0F2A" w:rsidRPr="009A2045" w:rsidRDefault="007C0F2A" w:rsidP="009A2045">
      <w:pPr>
        <w:spacing w:after="0" w:line="240" w:lineRule="auto"/>
      </w:pPr>
      <w:r w:rsidRPr="009A2045">
        <w:t xml:space="preserve">U.S. Fish and Wildlife Service (FWS) and National Marine Fisheries Service (NMFS) (1998).  </w:t>
      </w:r>
      <w:r w:rsidRPr="009A2045">
        <w:rPr>
          <w:i/>
        </w:rPr>
        <w:t>Endangered Species Act Consultation Handbook: Procedures for Conducting Section 7 Consultations and Conferences</w:t>
      </w:r>
      <w:r w:rsidRPr="009A2045">
        <w:t>.  Washington, DC. Pp. 315.</w:t>
      </w:r>
    </w:p>
    <w:p w14:paraId="3AA664BF" w14:textId="77777777" w:rsidR="00254508" w:rsidRPr="009A2045" w:rsidRDefault="00254508" w:rsidP="009A2045"/>
    <w:p w14:paraId="4D87C024" w14:textId="77777777" w:rsidR="000E5A0E" w:rsidRPr="009A2045" w:rsidRDefault="00D63E1A" w:rsidP="009A2045">
      <w:r w:rsidRPr="009A2045">
        <w:t xml:space="preserve">Ali Fouad, A.F. and Fukuto, T.R. (1982). Toxicity of O,O,S-trialkyl phosphorothioates to the rat. </w:t>
      </w:r>
      <w:r w:rsidRPr="009A2045">
        <w:rPr>
          <w:i/>
        </w:rPr>
        <w:t xml:space="preserve">JAgric Food Chem </w:t>
      </w:r>
      <w:r w:rsidRPr="009A2045">
        <w:t>30, 126-1 30.</w:t>
      </w:r>
    </w:p>
    <w:p w14:paraId="7FCA3E7C" w14:textId="77777777" w:rsidR="000E5A0E" w:rsidRPr="009A2045" w:rsidRDefault="00D63E1A" w:rsidP="009A2045">
      <w:r w:rsidRPr="009A2045">
        <w:t xml:space="preserve">Aldridge, W.N., Miles, J.W., Mount, D.L., and Verschoyle, R.D. (1979). The toxicological properties of impurities in malathion. </w:t>
      </w:r>
      <w:r w:rsidRPr="009A2045">
        <w:rPr>
          <w:i/>
        </w:rPr>
        <w:t xml:space="preserve">Arch Toxicol </w:t>
      </w:r>
      <w:r w:rsidRPr="009A2045">
        <w:rPr>
          <w:b/>
        </w:rPr>
        <w:t xml:space="preserve">42. </w:t>
      </w:r>
      <w:r w:rsidRPr="009A2045">
        <w:t>95-1 06.</w:t>
      </w:r>
    </w:p>
    <w:p w14:paraId="0EA2A7F7" w14:textId="5067F0A3" w:rsidR="000E5A0E" w:rsidRPr="009A2045" w:rsidRDefault="00D63E1A" w:rsidP="009A2045">
      <w:r w:rsidRPr="009A2045">
        <w:lastRenderedPageBreak/>
        <w:t>Bender, Michael E., 1969. The Toxicity of the Hydrolysis and Breakdown Products of Malathion to Fathead minnow - University of Michigan</w:t>
      </w:r>
      <w:r w:rsidR="00254508" w:rsidRPr="009A2045">
        <w:t>.</w:t>
      </w:r>
    </w:p>
    <w:p w14:paraId="11125C71" w14:textId="77777777" w:rsidR="000E5A0E" w:rsidRPr="009A2045" w:rsidRDefault="000E5A0E" w:rsidP="009A2045"/>
    <w:p w14:paraId="087106E3" w14:textId="3E878D62" w:rsidR="000E5A0E" w:rsidRPr="009A2045" w:rsidRDefault="00D63E1A" w:rsidP="009A2045">
      <w:r w:rsidRPr="009A2045">
        <w:t xml:space="preserve">Fukuto, T.R. (1 983). Toxicological properties of trialkyl phosphorothioate arid dialkyl alkyl- and arylphosphonothioate esters. J </w:t>
      </w:r>
      <w:r w:rsidRPr="009A2045">
        <w:rPr>
          <w:i/>
        </w:rPr>
        <w:t xml:space="preserve">Environ Sci Health </w:t>
      </w:r>
      <w:r w:rsidRPr="009A2045">
        <w:rPr>
          <w:b/>
        </w:rPr>
        <w:t xml:space="preserve">B18. </w:t>
      </w:r>
      <w:r w:rsidRPr="009A2045">
        <w:t>89- 1 17</w:t>
      </w:r>
      <w:r w:rsidR="00254508" w:rsidRPr="009A2045">
        <w:t>.</w:t>
      </w:r>
    </w:p>
    <w:p w14:paraId="77FD6F05" w14:textId="7147BF37" w:rsidR="000E5A0E" w:rsidRPr="009A2045" w:rsidRDefault="00D63E1A" w:rsidP="009A2045">
      <w:r w:rsidRPr="009A2045">
        <w:t xml:space="preserve">Miles, C.J. and Takashima, S., 1991. Fate of malathion and O,O,S-trimethyl phosphorothioate byproduct in Hawaiian soil and water. </w:t>
      </w:r>
      <w:r w:rsidRPr="009A2045">
        <w:rPr>
          <w:i/>
        </w:rPr>
        <w:t xml:space="preserve">Arch Env Contam and Toxicol. </w:t>
      </w:r>
      <w:r w:rsidRPr="009A2045">
        <w:t>20. 325-329</w:t>
      </w:r>
      <w:r w:rsidR="00254508" w:rsidRPr="009A2045">
        <w:t>.</w:t>
      </w:r>
    </w:p>
    <w:p w14:paraId="19C68C39" w14:textId="77777777" w:rsidR="000E5A0E" w:rsidRPr="009A2045" w:rsidRDefault="00D63E1A" w:rsidP="009A2045">
      <w:pPr>
        <w:spacing w:after="0" w:line="240" w:lineRule="auto"/>
      </w:pPr>
      <w:r w:rsidRPr="009A2045">
        <w:t>State of California Environmental Protection Agency. A Characterization of Sequential Aerial</w:t>
      </w:r>
    </w:p>
    <w:p w14:paraId="70FE2D49" w14:textId="77777777" w:rsidR="000E5A0E" w:rsidRPr="009A2045" w:rsidRDefault="00D63E1A" w:rsidP="009A2045">
      <w:pPr>
        <w:spacing w:after="0" w:line="240" w:lineRule="auto"/>
      </w:pPr>
      <w:r w:rsidRPr="009A2045">
        <w:t>Malathion Applications in the Santa Clara Valley of California. California Department of Food</w:t>
      </w:r>
    </w:p>
    <w:p w14:paraId="621C4DC4" w14:textId="77777777" w:rsidR="000E5A0E" w:rsidRPr="009A2045" w:rsidRDefault="00D63E1A" w:rsidP="009A2045">
      <w:pPr>
        <w:spacing w:after="0" w:line="240" w:lineRule="auto"/>
      </w:pPr>
      <w:r w:rsidRPr="009A2045">
        <w:t>and Agriculture (presently CalEPA). Division of Pest Management, Environmental Protection</w:t>
      </w:r>
    </w:p>
    <w:p w14:paraId="72E048F8" w14:textId="687FA048" w:rsidR="000E5A0E" w:rsidRPr="009A2045" w:rsidRDefault="00D63E1A" w:rsidP="009A2045">
      <w:pPr>
        <w:spacing w:after="0" w:line="240" w:lineRule="auto"/>
      </w:pPr>
      <w:r w:rsidRPr="009A2045">
        <w:t>and Worker Safety. EH-82-0 1. 1981</w:t>
      </w:r>
      <w:r w:rsidR="00254508" w:rsidRPr="009A2045">
        <w:t>.</w:t>
      </w:r>
    </w:p>
    <w:p w14:paraId="215C3A19" w14:textId="77777777" w:rsidR="000E5A0E" w:rsidRPr="009A2045" w:rsidRDefault="000E5A0E" w:rsidP="009A2045"/>
    <w:p w14:paraId="6A2D890D" w14:textId="77777777" w:rsidR="000E5A0E" w:rsidRPr="009A2045" w:rsidRDefault="00D63E1A" w:rsidP="009A2045">
      <w:pPr>
        <w:spacing w:after="0" w:line="240" w:lineRule="auto"/>
      </w:pPr>
      <w:r w:rsidRPr="009A2045">
        <w:t>Toia, R.F., March, R.B. Umetsu, N., Mallipudi, N.M., Allahyari, R., and Fukuto, T.R. (1980).</w:t>
      </w:r>
    </w:p>
    <w:p w14:paraId="6FEFABDC" w14:textId="77777777" w:rsidR="000E5A0E" w:rsidRPr="009A2045" w:rsidRDefault="00D63E1A" w:rsidP="009A2045">
      <w:pPr>
        <w:spacing w:after="0" w:line="240" w:lineRule="auto"/>
      </w:pPr>
      <w:r w:rsidRPr="009A2045">
        <w:t xml:space="preserve">Identification and toxicological evaluation of impurities in technical malathion and fenthion. </w:t>
      </w:r>
      <w:r w:rsidRPr="009A2045">
        <w:rPr>
          <w:i/>
        </w:rPr>
        <w:t>J</w:t>
      </w:r>
    </w:p>
    <w:p w14:paraId="58A10597" w14:textId="0334DB60" w:rsidR="000E5A0E" w:rsidRPr="009A2045" w:rsidRDefault="00D63E1A" w:rsidP="009A2045">
      <w:pPr>
        <w:spacing w:after="0" w:line="240" w:lineRule="auto"/>
      </w:pPr>
      <w:r w:rsidRPr="009A2045">
        <w:rPr>
          <w:i/>
        </w:rPr>
        <w:t xml:space="preserve">Agric Food Chem </w:t>
      </w:r>
      <w:r w:rsidRPr="009A2045">
        <w:rPr>
          <w:b/>
        </w:rPr>
        <w:t xml:space="preserve">28. </w:t>
      </w:r>
      <w:r w:rsidRPr="009A2045">
        <w:t>599-604</w:t>
      </w:r>
      <w:r w:rsidR="00254508" w:rsidRPr="009A2045">
        <w:t>.</w:t>
      </w:r>
    </w:p>
    <w:p w14:paraId="47D4F92C" w14:textId="77777777" w:rsidR="00254508" w:rsidRPr="009A2045" w:rsidRDefault="00254508" w:rsidP="009A2045">
      <w:pPr>
        <w:spacing w:after="0" w:line="240" w:lineRule="auto"/>
      </w:pPr>
    </w:p>
    <w:p w14:paraId="6EE86A74" w14:textId="77777777" w:rsidR="000E5A0E" w:rsidRPr="009A2045" w:rsidRDefault="00D63E1A" w:rsidP="009A2045">
      <w:pPr>
        <w:spacing w:after="0" w:line="240" w:lineRule="auto"/>
      </w:pPr>
      <w:r w:rsidRPr="009A2045">
        <w:t>Umetsu N., Grose, F.H., Allahyari, R., Abu-El-Haj, S., Fukuto, T.R. (1977). Effect of impurities</w:t>
      </w:r>
    </w:p>
    <w:p w14:paraId="6548C9AB" w14:textId="1DD0B6F6" w:rsidR="000E5A0E" w:rsidRDefault="00D63E1A" w:rsidP="009A2045">
      <w:pPr>
        <w:spacing w:after="0" w:line="240" w:lineRule="auto"/>
      </w:pPr>
      <w:r w:rsidRPr="009A2045">
        <w:t xml:space="preserve">on the mammalian toxicity of technical malathion and acephate. </w:t>
      </w:r>
      <w:r w:rsidRPr="009A2045">
        <w:rPr>
          <w:i/>
        </w:rPr>
        <w:t xml:space="preserve">JAgric </w:t>
      </w:r>
      <w:r w:rsidRPr="009A2045">
        <w:t xml:space="preserve">Food </w:t>
      </w:r>
      <w:r w:rsidRPr="009A2045">
        <w:rPr>
          <w:i/>
        </w:rPr>
        <w:t xml:space="preserve">Chem </w:t>
      </w:r>
      <w:r w:rsidRPr="009A2045">
        <w:t>25.946-955</w:t>
      </w:r>
      <w:r w:rsidR="00254508" w:rsidRPr="009A2045">
        <w:t>.</w:t>
      </w:r>
    </w:p>
    <w:p w14:paraId="346D83C2" w14:textId="77777777" w:rsidR="000E5A0E" w:rsidRDefault="000E5A0E" w:rsidP="009A2045"/>
    <w:sectPr w:rsidR="000E5A0E" w:rsidSect="002906D9">
      <w:headerReference w:type="default" r:id="rId32"/>
      <w:footerReference w:type="defaul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CA213" w14:textId="77777777" w:rsidR="003263FF" w:rsidRDefault="003263FF">
      <w:pPr>
        <w:spacing w:after="0" w:line="240" w:lineRule="auto"/>
      </w:pPr>
      <w:r>
        <w:separator/>
      </w:r>
    </w:p>
  </w:endnote>
  <w:endnote w:type="continuationSeparator" w:id="0">
    <w:p w14:paraId="17C510DC" w14:textId="77777777" w:rsidR="003263FF" w:rsidRDefault="0032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CF59" w14:textId="60E4BB06" w:rsidR="009A1ABB" w:rsidRDefault="009A1ABB">
    <w:pPr>
      <w:pStyle w:val="Footer"/>
      <w:jc w:val="center"/>
    </w:pPr>
    <w:r>
      <w:t>1-</w:t>
    </w:r>
    <w:sdt>
      <w:sdtPr>
        <w:id w:val="3669616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1BDF71A6" w14:textId="77777777" w:rsidR="003263FF" w:rsidRDefault="003263FF">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0E4A7" w14:textId="77777777" w:rsidR="003263FF" w:rsidRDefault="003263FF">
    <w:pPr>
      <w:tabs>
        <w:tab w:val="center" w:pos="4680"/>
        <w:tab w:val="right" w:pos="9360"/>
      </w:tabs>
      <w:spacing w:after="720" w:line="240" w:lineRule="auto"/>
      <w:jc w:val="right"/>
    </w:pPr>
    <w:r>
      <w:fldChar w:fldCharType="begin"/>
    </w:r>
    <w:r>
      <w:instrText>PAGE</w:instrText>
    </w:r>
    <w:r>
      <w:fldChar w:fldCharType="separate"/>
    </w:r>
    <w:r w:rsidR="009A1ABB">
      <w:rPr>
        <w:noProof/>
      </w:rPr>
      <w:t>77</w:t>
    </w:r>
    <w:r>
      <w:fldChar w:fldCharType="end"/>
    </w:r>
    <w:r>
      <w:t xml:space="preserve">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1EB84" w14:textId="77777777" w:rsidR="003263FF" w:rsidRDefault="003263FF">
      <w:pPr>
        <w:spacing w:after="0" w:line="240" w:lineRule="auto"/>
      </w:pPr>
      <w:r>
        <w:separator/>
      </w:r>
    </w:p>
  </w:footnote>
  <w:footnote w:type="continuationSeparator" w:id="0">
    <w:p w14:paraId="135B8B21" w14:textId="77777777" w:rsidR="003263FF" w:rsidRDefault="003263FF">
      <w:pPr>
        <w:spacing w:after="0" w:line="240" w:lineRule="auto"/>
      </w:pPr>
      <w:r>
        <w:continuationSeparator/>
      </w:r>
    </w:p>
  </w:footnote>
  <w:footnote w:id="1">
    <w:p w14:paraId="5A8EE762" w14:textId="77777777" w:rsidR="003263FF" w:rsidRPr="00F05A01" w:rsidRDefault="003263FF" w:rsidP="007B3FD5">
      <w:pPr>
        <w:pStyle w:val="FootnoteText"/>
      </w:pPr>
      <w:r>
        <w:rPr>
          <w:rStyle w:val="FootnoteReference"/>
        </w:rPr>
        <w:footnoteRef/>
      </w:r>
      <w:r>
        <w:t xml:space="preserve"> </w:t>
      </w:r>
      <w:r w:rsidRPr="00F05A01">
        <w:t>An unreasonable adverse effect on the environment is defined in FIFRA as, “(1) any unreasonable risk to man or the environment, taking into account the economic, social, and environmental costs and benefits of the use of the pesticide, or (2) a human dietary risk from residues that result from a use of a pesticide in or on any food inconsistent with the standard under section 408 of the FFDCA (21 U.S.C. §346a).”  [7 U.S.C. 136(b)].</w:t>
      </w:r>
      <w:r>
        <w:t xml:space="preserve">  FFDCA is the Federal Food, Drug, and Cosmetic Act which authorizes EPA to set tolerances, or maximum residue limits, for pesticide residues in foods.</w:t>
      </w:r>
    </w:p>
    <w:p w14:paraId="374F7D0F" w14:textId="77777777" w:rsidR="003263FF" w:rsidRDefault="003263FF" w:rsidP="007B3FD5">
      <w:pPr>
        <w:pStyle w:val="FootnoteText"/>
      </w:pPr>
    </w:p>
  </w:footnote>
  <w:footnote w:id="2">
    <w:p w14:paraId="7F7D75D9" w14:textId="77777777" w:rsidR="003263FF" w:rsidRDefault="003263FF" w:rsidP="007B3FD5">
      <w:pPr>
        <w:spacing w:after="0" w:line="240" w:lineRule="auto"/>
      </w:pPr>
      <w:r>
        <w:rPr>
          <w:vertAlign w:val="superscript"/>
        </w:rPr>
        <w:footnoteRef/>
      </w:r>
      <w:r>
        <w:rPr>
          <w:sz w:val="20"/>
          <w:szCs w:val="20"/>
        </w:rPr>
        <w:t>The Agencies include the U.S. Environmental Protection Agency (USEPA), National Marine Fisheries Service (NMFS), and the U.S. Fish and Wildlife Service (USFWS).</w:t>
      </w:r>
    </w:p>
    <w:p w14:paraId="0B1EF807" w14:textId="77777777" w:rsidR="003263FF" w:rsidRDefault="003263FF" w:rsidP="007B3FD5">
      <w:pPr>
        <w:pStyle w:val="FootnoteText"/>
      </w:pPr>
    </w:p>
  </w:footnote>
  <w:footnote w:id="3">
    <w:p w14:paraId="3E1DD120" w14:textId="77777777" w:rsidR="003263FF" w:rsidRDefault="003263FF" w:rsidP="007B3FD5">
      <w:pPr>
        <w:spacing w:after="0" w:line="240" w:lineRule="auto"/>
      </w:pPr>
      <w:r>
        <w:rPr>
          <w:vertAlign w:val="superscript"/>
        </w:rPr>
        <w:footnoteRef/>
      </w:r>
      <w:r>
        <w:rPr>
          <w:sz w:val="20"/>
          <w:szCs w:val="20"/>
        </w:rPr>
        <w:t xml:space="preserve"> On December 12, 2007, EPA, U.S. National Marine Fisheries Service (NMFS), and U.S. Fish and Wildlife Service (FWS) agreed that the Federal action for EPA’s FIFRA registration actions is defined as the “authorization for use or uses described in labeling of a pesticide product containing a particular pesticide ingredient.”</w:t>
      </w:r>
    </w:p>
  </w:footnote>
  <w:footnote w:id="4">
    <w:p w14:paraId="3B769FE3" w14:textId="77777777" w:rsidR="003263FF" w:rsidRDefault="003263FF" w:rsidP="007B3FD5">
      <w:pPr>
        <w:pStyle w:val="FootnoteText"/>
      </w:pPr>
      <w:r>
        <w:rPr>
          <w:rStyle w:val="FootnoteReference"/>
        </w:rPr>
        <w:footnoteRef/>
      </w:r>
      <w:r>
        <w:t xml:space="preserve"> See </w:t>
      </w:r>
      <w:hyperlink r:id="rId1" w:history="1">
        <w:r w:rsidRPr="00446192">
          <w:rPr>
            <w:rStyle w:val="Hyperlink"/>
          </w:rPr>
          <w:t>http://www.epa.gov/pesticides/factsheets/stprf.htm</w:t>
        </w:r>
      </w:hyperlink>
      <w:r>
        <w:t xml:space="preserve"> for details on what tolerances and tolerance exemptions are.</w:t>
      </w:r>
    </w:p>
  </w:footnote>
  <w:footnote w:id="5">
    <w:p w14:paraId="50E09923" w14:textId="77777777" w:rsidR="003263FF" w:rsidRDefault="003263FF" w:rsidP="007B3FD5">
      <w:pPr>
        <w:pStyle w:val="FootnoteText"/>
      </w:pPr>
      <w:r>
        <w:rPr>
          <w:rStyle w:val="FootnoteReference"/>
        </w:rPr>
        <w:footnoteRef/>
      </w:r>
      <w:r>
        <w:t xml:space="preserve"> InertFinder </w:t>
      </w:r>
      <w:r w:rsidRPr="00323C3F">
        <w:t>is an online database for searching substances used as inert ingredients in pesticide products</w:t>
      </w:r>
      <w:r>
        <w:t xml:space="preserve">.  It can be found at: </w:t>
      </w:r>
      <w:hyperlink r:id="rId2" w:history="1">
        <w:r w:rsidRPr="00446192">
          <w:rPr>
            <w:rStyle w:val="Hyperlink"/>
          </w:rPr>
          <w:t>http://iaspub.epa.gov/apex/pesticides/f?p=101:1</w:t>
        </w:r>
      </w:hyperlink>
      <w:r w:rsidRPr="00323C3F">
        <w:t>:</w:t>
      </w:r>
      <w:r>
        <w:t xml:space="preserve"> </w:t>
      </w:r>
    </w:p>
  </w:footnote>
  <w:footnote w:id="6">
    <w:p w14:paraId="0778B8E9" w14:textId="64258D50" w:rsidR="003263FF" w:rsidRPr="00512056" w:rsidRDefault="003263FF" w:rsidP="007C0F2A">
      <w:pPr>
        <w:spacing w:after="0" w:line="240" w:lineRule="auto"/>
        <w:rPr>
          <w:rFonts w:asciiTheme="minorHAnsi" w:hAnsiTheme="minorHAnsi"/>
        </w:rPr>
      </w:pPr>
      <w:r>
        <w:rPr>
          <w:vertAlign w:val="superscript"/>
        </w:rPr>
        <w:footnoteRef/>
      </w:r>
      <w:r>
        <w:t xml:space="preserve"> </w:t>
      </w:r>
      <w:r w:rsidRPr="00512056">
        <w:rPr>
          <w:rFonts w:asciiTheme="minorHAnsi" w:eastAsia="Times New Roman" w:hAnsiTheme="minorHAnsi" w:cs="Times New Roman"/>
          <w:sz w:val="20"/>
          <w:szCs w:val="20"/>
        </w:rPr>
        <w:t>Considers all of the known stressors of the action (</w:t>
      </w:r>
      <w:r w:rsidRPr="00512056">
        <w:rPr>
          <w:rFonts w:asciiTheme="minorHAnsi" w:eastAsia="Times New Roman" w:hAnsiTheme="minorHAnsi" w:cs="Times New Roman"/>
          <w:i/>
          <w:sz w:val="20"/>
          <w:szCs w:val="20"/>
        </w:rPr>
        <w:t>e.g</w:t>
      </w:r>
      <w:r w:rsidRPr="00512056">
        <w:rPr>
          <w:rFonts w:asciiTheme="minorHAnsi" w:eastAsia="Times New Roman" w:hAnsiTheme="minorHAnsi" w:cs="Times New Roman"/>
          <w:sz w:val="20"/>
          <w:szCs w:val="20"/>
        </w:rPr>
        <w:t xml:space="preserve">., parent active ingredient, formulations, mixtures, and degradates of concern) and abiotic or biotic factors likely present in the environment that may alter the toxicity of </w:t>
      </w:r>
      <w:proofErr w:type="gramStart"/>
      <w:r>
        <w:rPr>
          <w:rFonts w:asciiTheme="minorHAnsi" w:eastAsia="Times New Roman" w:hAnsiTheme="minorHAnsi" w:cs="Times New Roman"/>
          <w:sz w:val="20"/>
          <w:szCs w:val="20"/>
        </w:rPr>
        <w:t>malathion</w:t>
      </w:r>
      <w:proofErr w:type="gramEnd"/>
      <w:r w:rsidRPr="00512056">
        <w:rPr>
          <w:rFonts w:asciiTheme="minorHAnsi" w:eastAsia="Times New Roman" w:hAnsiTheme="minorHAnsi" w:cs="Times New Roman"/>
          <w:sz w:val="20"/>
          <w:szCs w:val="20"/>
        </w:rPr>
        <w:t xml:space="preserve"> to an individual of a listed species or their prey-base/habitat. These factors may include bacterial/viral prevalence, temperature, water quality parameters such as organic carbon, pH, DO, or salinity, or other environmental baseline factors.</w:t>
      </w:r>
    </w:p>
    <w:p w14:paraId="3D5A6ACE" w14:textId="77777777" w:rsidR="003263FF" w:rsidRDefault="003263FF" w:rsidP="007C0F2A">
      <w:pPr>
        <w:spacing w:after="0" w:line="240" w:lineRule="auto"/>
      </w:pPr>
    </w:p>
  </w:footnote>
  <w:footnote w:id="7">
    <w:p w14:paraId="50C04876" w14:textId="77777777" w:rsidR="003263FF" w:rsidRDefault="003263FF" w:rsidP="007C0F2A">
      <w:pPr>
        <w:spacing w:after="0" w:line="240" w:lineRule="auto"/>
      </w:pPr>
      <w:r>
        <w:rPr>
          <w:vertAlign w:val="superscript"/>
        </w:rPr>
        <w:footnoteRef/>
      </w:r>
      <w:r>
        <w:rPr>
          <w:sz w:val="20"/>
          <w:szCs w:val="20"/>
        </w:rPr>
        <w:t xml:space="preserve"> Primary Constituent Elements (PCEs) are those physical and biological features (PBFs) of a landscape that a listed species needs to survive and reproduce.  Where PCEs have not been specified in a critical habitat designation, effects to PBFs will be addressed.  The term "PCEs/PBFs" will be used throughout the remainder of this document in reference to the relevant physical and biological features of designated critical habitat.</w:t>
      </w:r>
    </w:p>
  </w:footnote>
  <w:footnote w:id="8">
    <w:p w14:paraId="7BA8B8B8" w14:textId="77777777" w:rsidR="003263FF" w:rsidRDefault="003263FF" w:rsidP="007C0F2A">
      <w:pPr>
        <w:pStyle w:val="FootnoteText"/>
      </w:pPr>
      <w:r>
        <w:rPr>
          <w:rStyle w:val="FootnoteReference"/>
        </w:rPr>
        <w:footnoteRef/>
      </w:r>
      <w:r>
        <w:t xml:space="preserve"> </w:t>
      </w:r>
      <w:r w:rsidRPr="008D0743">
        <w:t>Under the ESA, an insignificant or discountable effect is not the same as “no effect”.</w:t>
      </w:r>
    </w:p>
  </w:footnote>
  <w:footnote w:id="9">
    <w:p w14:paraId="12C37397" w14:textId="77777777" w:rsidR="003263FF" w:rsidRDefault="003263FF" w:rsidP="007C0F2A">
      <w:pPr>
        <w:pStyle w:val="FootnoteText"/>
      </w:pPr>
      <w:r>
        <w:rPr>
          <w:rStyle w:val="FootnoteReference"/>
        </w:rPr>
        <w:footnoteRef/>
      </w:r>
      <w:r>
        <w:t xml:space="preserve"> </w:t>
      </w:r>
      <w:r w:rsidRPr="00DD697E">
        <w:t>Any species and/or critical habitat that warranted a “no effect” determination would not be considered in Step 2.</w:t>
      </w:r>
    </w:p>
  </w:footnote>
  <w:footnote w:id="10">
    <w:p w14:paraId="6F362E5C" w14:textId="269EB0CF" w:rsidR="003263FF" w:rsidRDefault="003263FF" w:rsidP="007C0F2A">
      <w:pPr>
        <w:pStyle w:val="FootnoteText"/>
      </w:pPr>
      <w:r>
        <w:rPr>
          <w:rStyle w:val="FootnoteReference"/>
        </w:rPr>
        <w:footnoteRef/>
      </w:r>
      <w:r>
        <w:t xml:space="preserve"> Based on the </w:t>
      </w:r>
      <w:r w:rsidRPr="00A828CB">
        <w:rPr>
          <w:i/>
        </w:rPr>
        <w:t>Endangered Species</w:t>
      </w:r>
      <w:r>
        <w:t xml:space="preserve"> </w:t>
      </w:r>
      <w:r w:rsidRPr="00FB5B6B">
        <w:rPr>
          <w:i/>
        </w:rPr>
        <w:t>Consultation Handbook</w:t>
      </w:r>
      <w:r>
        <w:rPr>
          <w:i/>
        </w:rPr>
        <w:t>: Procedures for Conducting Consultation and Conference Activities under Section 7 of the Endangered Species Act</w:t>
      </w:r>
      <w:r>
        <w:t xml:space="preserve"> (FWS and NMFS, 1998): “Beneficial effects are contemporaneous positive effects without any adverse effects to the species.  Insignificant effects relate to the size of the impact and should never reach the scale where take occurs. Discountable effects are those extremely unlikely to occur.” (pp. xv – xvi). </w:t>
      </w:r>
    </w:p>
  </w:footnote>
  <w:footnote w:id="11">
    <w:p w14:paraId="1C0920AC" w14:textId="4DFE15A7" w:rsidR="00877923" w:rsidRDefault="00877923">
      <w:pPr>
        <w:pStyle w:val="FootnoteText"/>
      </w:pPr>
      <w:r>
        <w:rPr>
          <w:rStyle w:val="FootnoteReference"/>
        </w:rPr>
        <w:footnoteRef/>
      </w:r>
      <w:r>
        <w:t xml:space="preserve"> </w:t>
      </w:r>
      <w:r w:rsidRPr="00877923">
        <w:t>Young, D.F. and Fry, M.M., 2014. A Model for Predicting Pesticide in Runoff, Erosion, and Leachate: User Manual, U.S. Environmental Protection Agency, Washington, DC. USEPA/OPP 734F14002</w:t>
      </w:r>
    </w:p>
  </w:footnote>
  <w:footnote w:id="12">
    <w:p w14:paraId="4139E900" w14:textId="4C89AE71" w:rsidR="00877923" w:rsidRDefault="00877923">
      <w:pPr>
        <w:pStyle w:val="FootnoteText"/>
      </w:pPr>
      <w:r>
        <w:rPr>
          <w:rStyle w:val="FootnoteReference"/>
        </w:rPr>
        <w:footnoteRef/>
      </w:r>
      <w:r>
        <w:t xml:space="preserve"> </w:t>
      </w:r>
      <w:r w:rsidRPr="00877923">
        <w:rPr>
          <w:szCs w:val="22"/>
        </w:rPr>
        <w:t>Young, D. F., 2014. The Variable Volume Water Model, U.S. Environmental Protection Agency, Washington, DC. USEPA/OPP 734F14003.</w:t>
      </w:r>
    </w:p>
  </w:footnote>
  <w:footnote w:id="13">
    <w:p w14:paraId="0C9D7CB5" w14:textId="77777777" w:rsidR="003263FF" w:rsidRDefault="003263FF" w:rsidP="007C0F2A">
      <w:pPr>
        <w:pStyle w:val="FootnoteText"/>
      </w:pPr>
      <w:r>
        <w:rPr>
          <w:rStyle w:val="FootnoteReference"/>
        </w:rPr>
        <w:footnoteRef/>
      </w:r>
      <w:r>
        <w:t xml:space="preserve"> The exposure models can be found at: </w:t>
      </w:r>
      <w:hyperlink r:id="rId3" w:history="1">
        <w:r w:rsidRPr="00760A14">
          <w:rPr>
            <w:rStyle w:val="Hyperlink"/>
          </w:rPr>
          <w:t>http://www.epa.gov/pesticides/science/models_pg.htm</w:t>
        </w:r>
      </w:hyperlink>
    </w:p>
  </w:footnote>
  <w:footnote w:id="14">
    <w:p w14:paraId="10C5D3D8" w14:textId="77777777" w:rsidR="003263FF" w:rsidRDefault="003263FF" w:rsidP="007C0F2A">
      <w:pPr>
        <w:spacing w:after="0" w:line="240" w:lineRule="auto"/>
      </w:pPr>
      <w:r>
        <w:rPr>
          <w:vertAlign w:val="superscript"/>
        </w:rPr>
        <w:footnoteRef/>
      </w:r>
      <w:r>
        <w:rPr>
          <w:sz w:val="20"/>
          <w:szCs w:val="20"/>
        </w:rPr>
        <w:t xml:space="preserve"> The remaining bin (Bin 1) is included in the generic list due to its proximity to, or in some cases, continuity with, aquatic habitats.</w:t>
      </w:r>
    </w:p>
  </w:footnote>
  <w:footnote w:id="15">
    <w:p w14:paraId="105CBFC4" w14:textId="77777777" w:rsidR="003263FF" w:rsidRDefault="003263FF" w:rsidP="007C0F2A">
      <w:pPr>
        <w:pStyle w:val="FootnoteText"/>
      </w:pPr>
      <w:r>
        <w:rPr>
          <w:rStyle w:val="FootnoteReference"/>
        </w:rPr>
        <w:footnoteRef/>
      </w:r>
      <w:r>
        <w:t xml:space="preserve"> </w:t>
      </w:r>
      <w:r w:rsidRPr="00B24072">
        <w:t>Langrangian trajectory theory tracks the movement of the spray particles released from the nozzle until they are deposited or drift beyond the maximum distance of the model, using a moving frame of reference, unlike Gaussian modeling which looks at particles as if they are normally distributed along a line of travel and use a stationary frame of reference.</w:t>
      </w:r>
      <w:r>
        <w:t xml:space="preserve"> </w:t>
      </w:r>
    </w:p>
  </w:footnote>
  <w:footnote w:id="16">
    <w:p w14:paraId="513581D1" w14:textId="77777777" w:rsidR="003263FF" w:rsidRDefault="003263FF" w:rsidP="007C0F2A">
      <w:pPr>
        <w:pStyle w:val="FootnoteText"/>
      </w:pPr>
      <w:r>
        <w:rPr>
          <w:rStyle w:val="FootnoteReference"/>
        </w:rPr>
        <w:footnoteRef/>
      </w:r>
      <w:r>
        <w:t xml:space="preserve"> The droplet size spectra are defined by the American Society of Agricultural and Biological Engineers (ASABE).  For the ‘very fine to fine’ droplet size spectra, droplets range in size from 61 to 235 microns.</w:t>
      </w:r>
    </w:p>
  </w:footnote>
  <w:footnote w:id="17">
    <w:p w14:paraId="0CC210EF" w14:textId="77777777" w:rsidR="003263FF" w:rsidRDefault="003263FF" w:rsidP="007C0F2A">
      <w:pPr>
        <w:spacing w:after="0" w:line="240" w:lineRule="auto"/>
      </w:pPr>
      <w:r>
        <w:rPr>
          <w:vertAlign w:val="superscript"/>
        </w:rPr>
        <w:footnoteRef/>
      </w:r>
      <w:r>
        <w:rPr>
          <w:sz w:val="20"/>
          <w:szCs w:val="20"/>
        </w:rPr>
        <w:t xml:space="preserve"> Guidance on Modeling Offsite Deposition of Pesticides via Spray Drift for Ecological and Drinking Water Assessments. Environmental Fate and Effects Division, Office of Pesticide Programs, US Environmental Protection Agency, Washington, DC.  Dec. 20, 2013.( http://www.regulations.gov/#!documentDetail;D=EPA-HQ-OPP-2013-0676-0002)</w:t>
      </w:r>
    </w:p>
  </w:footnote>
  <w:footnote w:id="18">
    <w:p w14:paraId="0C106AC8" w14:textId="775793FD" w:rsidR="003263FF" w:rsidRDefault="003263FF" w:rsidP="007C0F2A">
      <w:pPr>
        <w:pStyle w:val="FootnoteText"/>
      </w:pPr>
      <w:r>
        <w:rPr>
          <w:rStyle w:val="FootnoteReference"/>
        </w:rPr>
        <w:footnoteRef/>
      </w:r>
      <w:r>
        <w:t xml:space="preserve"> For definitions, see </w:t>
      </w:r>
      <w:r w:rsidRPr="00A828CB">
        <w:rPr>
          <w:i/>
        </w:rPr>
        <w:t xml:space="preserve">Endangered Species Consultation Handbook: Procedures for Conducting Consultation and Conference Activities </w:t>
      </w:r>
      <w:r>
        <w:rPr>
          <w:i/>
        </w:rPr>
        <w:t>u</w:t>
      </w:r>
      <w:r w:rsidRPr="00A828CB">
        <w:rPr>
          <w:i/>
        </w:rPr>
        <w:t>nder Section 7 of the Endangered Species Act (FWS and NMFS, 1998)</w:t>
      </w:r>
      <w:r>
        <w:rPr>
          <w:i/>
        </w:rPr>
        <w:t>.</w:t>
      </w:r>
    </w:p>
  </w:footnote>
  <w:footnote w:id="19">
    <w:p w14:paraId="6CDD38D8" w14:textId="77777777" w:rsidR="003263FF" w:rsidRPr="00383556" w:rsidRDefault="003263FF" w:rsidP="007C0F2A">
      <w:pPr>
        <w:pStyle w:val="FootnoteText"/>
      </w:pPr>
      <w:r>
        <w:rPr>
          <w:rStyle w:val="FootnoteReference"/>
        </w:rPr>
        <w:footnoteRef/>
      </w:r>
      <w:r>
        <w:t xml:space="preserve"> Native projection refers to t</w:t>
      </w:r>
      <w:r w:rsidRPr="00383556">
        <w:t>he geographic and/or projected coordinate systems of the file when received. When necessary the files are re-projected to match the projection of the action area prior to running the co-occurrence analysis.  </w:t>
      </w:r>
    </w:p>
    <w:p w14:paraId="7DDAAD87" w14:textId="77777777" w:rsidR="003263FF" w:rsidRDefault="003263FF" w:rsidP="007C0F2A">
      <w:pPr>
        <w:pStyle w:val="FootnoteText"/>
      </w:pPr>
    </w:p>
  </w:footnote>
  <w:footnote w:id="20">
    <w:p w14:paraId="49400602" w14:textId="77777777" w:rsidR="003263FF" w:rsidRPr="00383556" w:rsidRDefault="003263FF" w:rsidP="007C0F2A">
      <w:pPr>
        <w:pStyle w:val="FootnoteText"/>
      </w:pPr>
      <w:r>
        <w:rPr>
          <w:rStyle w:val="FootnoteReference"/>
        </w:rPr>
        <w:footnoteRef/>
      </w:r>
      <w:r>
        <w:t xml:space="preserve"> </w:t>
      </w:r>
      <w:r w:rsidRPr="00383556">
        <w:t>Standard species identification information</w:t>
      </w:r>
      <w:r>
        <w:t xml:space="preserve"> refers to b</w:t>
      </w:r>
      <w:r w:rsidRPr="00383556">
        <w:t xml:space="preserve">asic descriptive information of a species identified as helpful for tracking purposes such as species common name, scientific name, current listing status, species group, and species identification number (USFWS Entity ID). </w:t>
      </w:r>
    </w:p>
    <w:p w14:paraId="38335F35" w14:textId="77777777" w:rsidR="003263FF" w:rsidRDefault="003263FF" w:rsidP="007C0F2A">
      <w:pPr>
        <w:pStyle w:val="FootnoteText"/>
      </w:pPr>
    </w:p>
  </w:footnote>
  <w:footnote w:id="21">
    <w:p w14:paraId="25D83DFC" w14:textId="77777777" w:rsidR="003263FF" w:rsidRDefault="003263FF" w:rsidP="007C0F2A">
      <w:pPr>
        <w:pStyle w:val="FootnoteText"/>
      </w:pPr>
      <w:r>
        <w:rPr>
          <w:rStyle w:val="FootnoteReference"/>
        </w:rPr>
        <w:footnoteRef/>
      </w:r>
      <w:r>
        <w:t xml:space="preserve"> </w:t>
      </w:r>
      <w:r w:rsidRPr="00293800">
        <w:t>"May affect, but not likely to adversely affect" means that all effects are beneficial, insignificant, or discountable.  Beneficial effects have contemporaneous positive effects without any adverse effects to the species or habitat.  Insignificant effects relate to the size of the impact and include those effects that are undetectable, not measurable, or cannot be evaluated.  Discountable effects are those extremely unlikely to occur.  These determinations require written concurrence from the Service. </w:t>
      </w:r>
      <w:r>
        <w:t xml:space="preserve">(see </w:t>
      </w:r>
      <w:hyperlink r:id="rId4" w:history="1">
        <w:r w:rsidRPr="006478BD">
          <w:rPr>
            <w:rStyle w:val="Hyperlink"/>
          </w:rPr>
          <w:t>http://www.fws.gov/midwest/Endangered/section7/ba_guide.html</w:t>
        </w:r>
      </w:hyperlink>
      <w:r>
        <w:t xml:space="preserve">) </w:t>
      </w:r>
    </w:p>
  </w:footnote>
  <w:footnote w:id="22">
    <w:p w14:paraId="73CEBC31" w14:textId="77777777" w:rsidR="003263FF" w:rsidRPr="00293800" w:rsidRDefault="003263FF" w:rsidP="007C0F2A">
      <w:pPr>
        <w:pStyle w:val="FootnoteText"/>
      </w:pPr>
      <w:r>
        <w:rPr>
          <w:rStyle w:val="FootnoteReference"/>
        </w:rPr>
        <w:footnoteRef/>
      </w:r>
      <w:r>
        <w:t xml:space="preserve"> </w:t>
      </w:r>
      <w:r w:rsidRPr="00293800">
        <w:t>"May affect, and is likely to adversely affect" means that listed resources are likely to be exposed to the action or its environmental consequences and will respond in a negative manner to the exposure.</w:t>
      </w:r>
      <w:r>
        <w:t xml:space="preserve"> (again see, </w:t>
      </w:r>
      <w:r w:rsidRPr="00293800">
        <w:t xml:space="preserve">(see </w:t>
      </w:r>
      <w:hyperlink r:id="rId5" w:history="1">
        <w:r w:rsidRPr="00293800">
          <w:rPr>
            <w:rStyle w:val="Hyperlink"/>
          </w:rPr>
          <w:t>http://www.fws.gov/midwest/Endangered/section7/ba_guide.html</w:t>
        </w:r>
      </w:hyperlink>
      <w:r w:rsidRPr="00293800">
        <w:t xml:space="preserve">) </w:t>
      </w:r>
    </w:p>
    <w:p w14:paraId="5D16A739" w14:textId="77777777" w:rsidR="003263FF" w:rsidRDefault="003263FF" w:rsidP="007C0F2A">
      <w:pPr>
        <w:pStyle w:val="FootnoteText"/>
      </w:pPr>
    </w:p>
  </w:footnote>
  <w:footnote w:id="23">
    <w:p w14:paraId="79ABA0F8" w14:textId="77777777" w:rsidR="003263FF" w:rsidRDefault="003263FF" w:rsidP="007C0F2A">
      <w:pPr>
        <w:spacing w:after="0" w:line="240" w:lineRule="auto"/>
      </w:pPr>
      <w:r>
        <w:rPr>
          <w:vertAlign w:val="superscript"/>
        </w:rPr>
        <w:footnoteRef/>
      </w:r>
      <w:r>
        <w:rPr>
          <w:sz w:val="20"/>
          <w:szCs w:val="20"/>
        </w:rPr>
        <w:t xml:space="preserve"> http://www.regulations.gov/#!documentDetail;D=EPA-HQ-OPP-2012-0543-0004</w:t>
      </w:r>
    </w:p>
  </w:footnote>
  <w:footnote w:id="24">
    <w:p w14:paraId="484B4101" w14:textId="77777777" w:rsidR="003263FF" w:rsidRDefault="003263FF" w:rsidP="007C0F2A">
      <w:pPr>
        <w:pStyle w:val="FootnoteText"/>
      </w:pPr>
      <w:r>
        <w:rPr>
          <w:rStyle w:val="FootnoteReference"/>
        </w:rPr>
        <w:footnoteRef/>
      </w:r>
      <w:r>
        <w:t xml:space="preserve"> A slope of 4.5 is considered a ‘typical’ slope based on a cross-section of dose-response data available in 1975 – when the ‘typical’ slope was estimated for the </w:t>
      </w:r>
      <w:r w:rsidRPr="00954150">
        <w:rPr>
          <w:i/>
        </w:rPr>
        <w:t>Special Review of Pesticides; Criteria and Procedures; Final Rule</w:t>
      </w:r>
      <w:r>
        <w:t xml:space="preserve"> [40 CFR Part 154: 49005; 49007; 49016 § 154.7(a)(3), (4), (5), and (6)].</w:t>
      </w:r>
    </w:p>
  </w:footnote>
  <w:footnote w:id="25">
    <w:p w14:paraId="0A09A765" w14:textId="74589DEB" w:rsidR="003263FF" w:rsidRDefault="003263FF" w:rsidP="007C0F2A">
      <w:pPr>
        <w:pStyle w:val="FootnoteText"/>
      </w:pPr>
      <w:r>
        <w:rPr>
          <w:rStyle w:val="FootnoteReference"/>
        </w:rPr>
        <w:footnoteRef/>
      </w:r>
      <w:r>
        <w:t xml:space="preserve"> </w:t>
      </w:r>
      <w:r w:rsidR="00CC16EB" w:rsidRPr="009A1ABB">
        <w:t>Obligate relationships occur when</w:t>
      </w:r>
      <w:r w:rsidR="00CC16EB">
        <w:t xml:space="preserve"> </w:t>
      </w:r>
      <w:r>
        <w:t>one species is interdependent with or highly reliant on another species in a way that one cannot survive without the other.</w:t>
      </w:r>
    </w:p>
  </w:footnote>
  <w:footnote w:id="26">
    <w:p w14:paraId="2F6793FA" w14:textId="77777777" w:rsidR="003263FF" w:rsidRDefault="003263FF" w:rsidP="007C0F2A">
      <w:pPr>
        <w:spacing w:after="0" w:line="240" w:lineRule="auto"/>
      </w:pPr>
      <w:r>
        <w:rPr>
          <w:vertAlign w:val="superscript"/>
        </w:rPr>
        <w:footnoteRef/>
      </w:r>
      <w:r>
        <w:rPr>
          <w:sz w:val="20"/>
          <w:szCs w:val="20"/>
        </w:rPr>
        <w:t xml:space="preserve"> Guidance for Using Incident Data in Evaluating Listed and Non-listed Species Under registration review. Environmental Fate and Effects Division, Office of Pesticide Programs, US Environmental Protection Agency, Washington, DC.  Oct. 13, 2011.  \\dccx150-opp01\OPP-EFED-SHARE\Information Resources\Websites\policy_guidance\eco_risk_effects.htm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A26A0" w14:textId="77777777" w:rsidR="003263FF" w:rsidRDefault="003263FF">
    <w:pPr>
      <w:tabs>
        <w:tab w:val="center" w:pos="4680"/>
        <w:tab w:val="right" w:pos="9360"/>
      </w:tabs>
      <w:spacing w:before="720" w:after="0" w:line="240" w:lineRule="auto"/>
    </w:pPr>
  </w:p>
  <w:p w14:paraId="0B4897B4" w14:textId="77777777" w:rsidR="003263FF" w:rsidRDefault="003263FF">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D9BA" w14:textId="77777777" w:rsidR="003263FF" w:rsidRDefault="003263FF">
    <w:pPr>
      <w:tabs>
        <w:tab w:val="center" w:pos="4680"/>
        <w:tab w:val="right" w:pos="9360"/>
      </w:tabs>
      <w:spacing w:before="720" w:after="0" w:line="240" w:lineRule="auto"/>
    </w:pPr>
  </w:p>
  <w:p w14:paraId="55268A10" w14:textId="77777777" w:rsidR="003263FF" w:rsidRDefault="003263FF">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20E7"/>
    <w:multiLevelType w:val="multilevel"/>
    <w:tmpl w:val="EA8A490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0DC27DAF"/>
    <w:multiLevelType w:val="multilevel"/>
    <w:tmpl w:val="0B145EB8"/>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6601E63"/>
    <w:multiLevelType w:val="hybridMultilevel"/>
    <w:tmpl w:val="A36E3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63430"/>
    <w:multiLevelType w:val="multilevel"/>
    <w:tmpl w:val="C1E27742"/>
    <w:lvl w:ilvl="0">
      <w:start w:val="1"/>
      <w:numFmt w:val="decimal"/>
      <w:lvlText w:val="%1."/>
      <w:lvlJc w:val="left"/>
      <w:pPr>
        <w:ind w:left="720" w:firstLine="1080"/>
      </w:p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212707E3"/>
    <w:multiLevelType w:val="multilevel"/>
    <w:tmpl w:val="6C461886"/>
    <w:lvl w:ilvl="0">
      <w:start w:val="1"/>
      <w:numFmt w:val="decimal"/>
      <w:lvlText w:val="%1."/>
      <w:lvlJc w:val="left"/>
      <w:pPr>
        <w:ind w:left="990" w:firstLine="630"/>
      </w:pPr>
    </w:lvl>
    <w:lvl w:ilvl="1">
      <w:start w:val="1"/>
      <w:numFmt w:val="decimal"/>
      <w:lvlText w:val="%1.%2."/>
      <w:lvlJc w:val="left"/>
      <w:pPr>
        <w:ind w:left="81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5" w15:restartNumberingAfterBreak="0">
    <w:nsid w:val="2CB14C2E"/>
    <w:multiLevelType w:val="multilevel"/>
    <w:tmpl w:val="B1D4BB8A"/>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CCC59D1"/>
    <w:multiLevelType w:val="multilevel"/>
    <w:tmpl w:val="AAC6F30E"/>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4965D9"/>
    <w:multiLevelType w:val="multilevel"/>
    <w:tmpl w:val="14902BFE"/>
    <w:lvl w:ilvl="0">
      <w:start w:val="1"/>
      <w:numFmt w:val="decimal"/>
      <w:lvlText w:val="%1."/>
      <w:lvlJc w:val="left"/>
      <w:pPr>
        <w:ind w:left="720" w:firstLine="1080"/>
      </w:p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15:restartNumberingAfterBreak="0">
    <w:nsid w:val="3E2967CD"/>
    <w:multiLevelType w:val="multilevel"/>
    <w:tmpl w:val="CA360050"/>
    <w:lvl w:ilvl="0">
      <w:start w:val="1"/>
      <w:numFmt w:val="bullet"/>
      <w:lvlText w:val="-"/>
      <w:lvlJc w:val="left"/>
      <w:pPr>
        <w:ind w:left="1080" w:firstLine="72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50352D1"/>
    <w:multiLevelType w:val="multilevel"/>
    <w:tmpl w:val="BC1630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A985DCC"/>
    <w:multiLevelType w:val="multilevel"/>
    <w:tmpl w:val="43D01024"/>
    <w:lvl w:ilvl="0">
      <w:start w:val="1"/>
      <w:numFmt w:val="decimal"/>
      <w:lvlText w:val="%1."/>
      <w:lvlJc w:val="left"/>
      <w:pPr>
        <w:ind w:left="720" w:firstLine="1080"/>
      </w:p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15:restartNumberingAfterBreak="0">
    <w:nsid w:val="6D39681C"/>
    <w:multiLevelType w:val="multilevel"/>
    <w:tmpl w:val="A34E9ABA"/>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2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2"/>
      <w:numFmt w:val="bullet"/>
      <w:lvlText w:val="-"/>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78AE0121"/>
    <w:multiLevelType w:val="multilevel"/>
    <w:tmpl w:val="DEE6D990"/>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794B0005"/>
    <w:multiLevelType w:val="multilevel"/>
    <w:tmpl w:val="D6284F66"/>
    <w:lvl w:ilvl="0">
      <w:start w:val="1"/>
      <w:numFmt w:val="decimal"/>
      <w:lvlText w:val="%1."/>
      <w:lvlJc w:val="left"/>
      <w:pPr>
        <w:ind w:left="990" w:firstLine="1620"/>
      </w:pPr>
    </w:lvl>
    <w:lvl w:ilvl="1">
      <w:start w:val="1"/>
      <w:numFmt w:val="decimal"/>
      <w:lvlText w:val="%1.%2."/>
      <w:lvlJc w:val="left"/>
      <w:pPr>
        <w:ind w:left="810" w:firstLine="1170"/>
      </w:p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14" w15:restartNumberingAfterBreak="0">
    <w:nsid w:val="79C84EE8"/>
    <w:multiLevelType w:val="multilevel"/>
    <w:tmpl w:val="CB4252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D9E5874"/>
    <w:multiLevelType w:val="multilevel"/>
    <w:tmpl w:val="30F6D6E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2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2"/>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0"/>
  </w:num>
  <w:num w:numId="3">
    <w:abstractNumId w:val="8"/>
  </w:num>
  <w:num w:numId="4">
    <w:abstractNumId w:val="7"/>
  </w:num>
  <w:num w:numId="5">
    <w:abstractNumId w:val="13"/>
  </w:num>
  <w:num w:numId="6">
    <w:abstractNumId w:val="9"/>
  </w:num>
  <w:num w:numId="7">
    <w:abstractNumId w:val="11"/>
  </w:num>
  <w:num w:numId="8">
    <w:abstractNumId w:val="3"/>
  </w:num>
  <w:num w:numId="9">
    <w:abstractNumId w:val="4"/>
  </w:num>
  <w:num w:numId="10">
    <w:abstractNumId w:val="15"/>
  </w:num>
  <w:num w:numId="11">
    <w:abstractNumId w:val="12"/>
  </w:num>
  <w:num w:numId="12">
    <w:abstractNumId w:val="14"/>
  </w:num>
  <w:num w:numId="13">
    <w:abstractNumId w:val="5"/>
  </w:num>
  <w:num w:numId="14">
    <w:abstractNumId w:val="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lnNNdmv6BQ3yILrVb5pw/tFw0VKyeKmWHeKlaVoK27f9h+rmsRPkrgtT3DERd+JB7VxRAQRPjQthY2q/Y0ABVg==" w:salt="sgW22sBddUyYyvgBT1mC2g=="/>
  <w:zoom w:percent="11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0E"/>
    <w:rsid w:val="00016835"/>
    <w:rsid w:val="00047E19"/>
    <w:rsid w:val="00063976"/>
    <w:rsid w:val="0008356F"/>
    <w:rsid w:val="00083D1A"/>
    <w:rsid w:val="000D01C3"/>
    <w:rsid w:val="000D1558"/>
    <w:rsid w:val="000E0D06"/>
    <w:rsid w:val="000E5A0E"/>
    <w:rsid w:val="0012067D"/>
    <w:rsid w:val="00142FA3"/>
    <w:rsid w:val="001718EE"/>
    <w:rsid w:val="00177E0E"/>
    <w:rsid w:val="0019129D"/>
    <w:rsid w:val="001D557C"/>
    <w:rsid w:val="001D59AA"/>
    <w:rsid w:val="0021000E"/>
    <w:rsid w:val="00254508"/>
    <w:rsid w:val="00281C70"/>
    <w:rsid w:val="00282804"/>
    <w:rsid w:val="002906D9"/>
    <w:rsid w:val="002A387C"/>
    <w:rsid w:val="002B26A2"/>
    <w:rsid w:val="002F3E78"/>
    <w:rsid w:val="003121CB"/>
    <w:rsid w:val="003263FF"/>
    <w:rsid w:val="003547D6"/>
    <w:rsid w:val="003A4023"/>
    <w:rsid w:val="003B0094"/>
    <w:rsid w:val="004569C3"/>
    <w:rsid w:val="00456B5B"/>
    <w:rsid w:val="004573BB"/>
    <w:rsid w:val="004876C1"/>
    <w:rsid w:val="004A2227"/>
    <w:rsid w:val="004B6614"/>
    <w:rsid w:val="0054061D"/>
    <w:rsid w:val="00574215"/>
    <w:rsid w:val="005B7DD5"/>
    <w:rsid w:val="005F7359"/>
    <w:rsid w:val="00657216"/>
    <w:rsid w:val="00666E7E"/>
    <w:rsid w:val="006678DD"/>
    <w:rsid w:val="006E069D"/>
    <w:rsid w:val="00711454"/>
    <w:rsid w:val="0071347D"/>
    <w:rsid w:val="00742D6D"/>
    <w:rsid w:val="00745C02"/>
    <w:rsid w:val="007B3FD5"/>
    <w:rsid w:val="007C0F2A"/>
    <w:rsid w:val="007D2D89"/>
    <w:rsid w:val="007D4A24"/>
    <w:rsid w:val="007E2AE6"/>
    <w:rsid w:val="008041CB"/>
    <w:rsid w:val="00850255"/>
    <w:rsid w:val="00877923"/>
    <w:rsid w:val="00886459"/>
    <w:rsid w:val="00892EAC"/>
    <w:rsid w:val="008A3279"/>
    <w:rsid w:val="008E22A5"/>
    <w:rsid w:val="008E52E4"/>
    <w:rsid w:val="00921924"/>
    <w:rsid w:val="009A1ABB"/>
    <w:rsid w:val="009A1CE1"/>
    <w:rsid w:val="009A2045"/>
    <w:rsid w:val="009B1B40"/>
    <w:rsid w:val="009C657D"/>
    <w:rsid w:val="009E44D6"/>
    <w:rsid w:val="009F0204"/>
    <w:rsid w:val="009F1199"/>
    <w:rsid w:val="00A133ED"/>
    <w:rsid w:val="00A37E78"/>
    <w:rsid w:val="00A51253"/>
    <w:rsid w:val="00A57C46"/>
    <w:rsid w:val="00A60C36"/>
    <w:rsid w:val="00A82077"/>
    <w:rsid w:val="00A86566"/>
    <w:rsid w:val="00AE147F"/>
    <w:rsid w:val="00B10530"/>
    <w:rsid w:val="00B115AF"/>
    <w:rsid w:val="00B2365C"/>
    <w:rsid w:val="00B23E7E"/>
    <w:rsid w:val="00B32584"/>
    <w:rsid w:val="00BB2967"/>
    <w:rsid w:val="00BB4346"/>
    <w:rsid w:val="00C60928"/>
    <w:rsid w:val="00C66535"/>
    <w:rsid w:val="00C76564"/>
    <w:rsid w:val="00CA1980"/>
    <w:rsid w:val="00CC16EB"/>
    <w:rsid w:val="00CC1E7E"/>
    <w:rsid w:val="00CC26F3"/>
    <w:rsid w:val="00CD352F"/>
    <w:rsid w:val="00CF543D"/>
    <w:rsid w:val="00CF7F2F"/>
    <w:rsid w:val="00D510A7"/>
    <w:rsid w:val="00D63E1A"/>
    <w:rsid w:val="00D94E26"/>
    <w:rsid w:val="00E110BC"/>
    <w:rsid w:val="00E220CF"/>
    <w:rsid w:val="00E60E74"/>
    <w:rsid w:val="00E807F7"/>
    <w:rsid w:val="00EC1A85"/>
    <w:rsid w:val="00EC7ECD"/>
    <w:rsid w:val="00EF769F"/>
    <w:rsid w:val="00F1745F"/>
    <w:rsid w:val="00F8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756760"/>
  <w15:docId w15:val="{DA2B9A4B-B398-4BD5-9C1F-1F9123DB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480" w:after="0" w:line="276" w:lineRule="auto"/>
      <w:outlineLvl w:val="0"/>
    </w:pPr>
    <w:rPr>
      <w:b/>
      <w:color w:val="2E75B5"/>
      <w:sz w:val="28"/>
      <w:szCs w:val="28"/>
    </w:rPr>
  </w:style>
  <w:style w:type="paragraph" w:styleId="Heading2">
    <w:name w:val="heading 2"/>
    <w:basedOn w:val="Normal"/>
    <w:next w:val="Normal"/>
    <w:qFormat/>
    <w:rsid w:val="001D557C"/>
    <w:pPr>
      <w:keepNext/>
      <w:keepLines/>
      <w:numPr>
        <w:ilvl w:val="1"/>
        <w:numId w:val="16"/>
      </w:numPr>
      <w:spacing w:before="200" w:after="0" w:line="276" w:lineRule="auto"/>
      <w:outlineLvl w:val="1"/>
    </w:pPr>
    <w:rPr>
      <w:b/>
      <w:color w:val="2E75B5"/>
      <w:sz w:val="26"/>
      <w:szCs w:val="26"/>
    </w:rPr>
  </w:style>
  <w:style w:type="paragraph" w:styleId="Heading3">
    <w:name w:val="heading 3"/>
    <w:basedOn w:val="Normal"/>
    <w:next w:val="Normal"/>
    <w:qFormat/>
    <w:rsid w:val="001D557C"/>
    <w:pPr>
      <w:keepNext/>
      <w:keepLines/>
      <w:spacing w:before="200" w:after="0" w:line="276" w:lineRule="auto"/>
      <w:outlineLvl w:val="2"/>
    </w:pPr>
    <w:rPr>
      <w:b/>
      <w:i/>
      <w:color w:val="2E75B5"/>
      <w:sz w:val="24"/>
      <w:szCs w:val="24"/>
    </w:rPr>
  </w:style>
  <w:style w:type="paragraph" w:styleId="Heading4">
    <w:name w:val="heading 4"/>
    <w:basedOn w:val="Normal"/>
    <w:next w:val="Normal"/>
    <w:qFormat/>
    <w:rsid w:val="001D557C"/>
    <w:pPr>
      <w:keepNext/>
      <w:keepLines/>
      <w:spacing w:before="240" w:after="40"/>
      <w:ind w:firstLine="720"/>
      <w:outlineLvl w:val="3"/>
    </w:pPr>
    <w:rPr>
      <w:b/>
      <w:i/>
      <w:color w:val="2E75B5"/>
      <w:sz w:val="24"/>
      <w:szCs w:val="24"/>
    </w:rPr>
  </w:style>
  <w:style w:type="paragraph" w:styleId="Heading5">
    <w:name w:val="heading 5"/>
    <w:basedOn w:val="Normal"/>
    <w:next w:val="Normal"/>
    <w:qFormat/>
    <w:rsid w:val="001D59AA"/>
    <w:pPr>
      <w:keepNext/>
      <w:keepLines/>
      <w:spacing w:before="220" w:after="40"/>
      <w:ind w:left="720" w:firstLine="720"/>
      <w:outlineLvl w:val="4"/>
    </w:pPr>
    <w:rPr>
      <w:b/>
      <w:i/>
      <w:color w:val="2E75B5"/>
      <w:sz w:val="24"/>
      <w:szCs w:val="24"/>
    </w:rPr>
  </w:style>
  <w:style w:type="paragraph" w:styleId="Heading6">
    <w:name w:val="heading 6"/>
    <w:basedOn w:val="Normal"/>
    <w:next w:val="Normal"/>
    <w:rsid w:val="001D557C"/>
    <w:pPr>
      <w:keepNext/>
      <w:keepLines/>
      <w:spacing w:before="200" w:after="40"/>
      <w:ind w:left="1440" w:firstLine="720"/>
      <w:outlineLvl w:val="5"/>
    </w:pPr>
    <w:rPr>
      <w:i/>
      <w:color w:val="2E75B5"/>
      <w:sz w:val="24"/>
      <w:szCs w:val="24"/>
    </w:rPr>
  </w:style>
  <w:style w:type="paragraph" w:styleId="Heading7">
    <w:name w:val="heading 7"/>
    <w:basedOn w:val="Normal"/>
    <w:next w:val="Normal"/>
    <w:link w:val="Heading7Char"/>
    <w:uiPriority w:val="9"/>
    <w:semiHidden/>
    <w:unhideWhenUsed/>
    <w:qFormat/>
    <w:rsid w:val="00177E0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rPr>
      <w:color w:val="7B7B7B"/>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E8E8E8"/>
        <w:tcMar>
          <w:top w:w="0" w:type="nil"/>
          <w:left w:w="115" w:type="dxa"/>
          <w:bottom w:w="0" w:type="nil"/>
          <w:right w:w="115" w:type="dxa"/>
        </w:tcMar>
      </w:tcPr>
    </w:tblStylePr>
    <w:tblStylePr w:type="band1Horz">
      <w:tblPr/>
      <w:tcPr>
        <w:tcBorders>
          <w:left w:val="nil"/>
          <w:right w:val="nil"/>
          <w:insideH w:val="nil"/>
          <w:insideV w:val="nil"/>
        </w:tcBorders>
        <w:shd w:val="clear" w:color="auto" w:fill="E8E8E8"/>
        <w:tcMar>
          <w:top w:w="0" w:type="nil"/>
          <w:left w:w="115" w:type="dxa"/>
          <w:bottom w:w="0" w:type="nil"/>
          <w:right w:w="115" w:type="dxa"/>
        </w:tcMar>
      </w:tcPr>
    </w:tblStyle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29" w:type="dxa"/>
        <w:right w:w="29" w:type="dxa"/>
      </w:tblCellMar>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3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067D"/>
    <w:rPr>
      <w:b/>
      <w:bCs/>
    </w:rPr>
  </w:style>
  <w:style w:type="character" w:customStyle="1" w:styleId="CommentSubjectChar">
    <w:name w:val="Comment Subject Char"/>
    <w:basedOn w:val="CommentTextChar"/>
    <w:link w:val="CommentSubject"/>
    <w:uiPriority w:val="99"/>
    <w:semiHidden/>
    <w:rsid w:val="0012067D"/>
    <w:rPr>
      <w:b/>
      <w:bCs/>
      <w:sz w:val="20"/>
      <w:szCs w:val="20"/>
    </w:rPr>
  </w:style>
  <w:style w:type="paragraph" w:styleId="FootnoteText">
    <w:name w:val="footnote text"/>
    <w:basedOn w:val="Normal"/>
    <w:link w:val="FootnoteTextChar"/>
    <w:uiPriority w:val="99"/>
    <w:semiHidden/>
    <w:unhideWhenUsed/>
    <w:rsid w:val="007B3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FD5"/>
    <w:rPr>
      <w:sz w:val="20"/>
      <w:szCs w:val="20"/>
    </w:rPr>
  </w:style>
  <w:style w:type="character" w:styleId="FootnoteReference">
    <w:name w:val="footnote reference"/>
    <w:basedOn w:val="DefaultParagraphFont"/>
    <w:uiPriority w:val="99"/>
    <w:unhideWhenUsed/>
    <w:rsid w:val="007B3FD5"/>
    <w:rPr>
      <w:vertAlign w:val="superscript"/>
    </w:rPr>
  </w:style>
  <w:style w:type="character" w:styleId="Hyperlink">
    <w:name w:val="Hyperlink"/>
    <w:basedOn w:val="DefaultParagraphFont"/>
    <w:uiPriority w:val="99"/>
    <w:unhideWhenUsed/>
    <w:rsid w:val="007B3FD5"/>
    <w:rPr>
      <w:color w:val="0563C1" w:themeColor="hyperlink"/>
      <w:u w:val="single"/>
    </w:rPr>
  </w:style>
  <w:style w:type="paragraph" w:styleId="ListParagraph">
    <w:name w:val="List Paragraph"/>
    <w:basedOn w:val="Normal"/>
    <w:uiPriority w:val="34"/>
    <w:qFormat/>
    <w:rsid w:val="007C0F2A"/>
    <w:pPr>
      <w:ind w:left="720"/>
      <w:contextualSpacing/>
    </w:pPr>
  </w:style>
  <w:style w:type="paragraph" w:styleId="TOC1">
    <w:name w:val="toc 1"/>
    <w:basedOn w:val="Normal"/>
    <w:next w:val="Normal"/>
    <w:autoRedefine/>
    <w:uiPriority w:val="39"/>
    <w:unhideWhenUsed/>
    <w:rsid w:val="0071347D"/>
    <w:pPr>
      <w:spacing w:after="100"/>
    </w:pPr>
  </w:style>
  <w:style w:type="paragraph" w:styleId="TOC2">
    <w:name w:val="toc 2"/>
    <w:basedOn w:val="Normal"/>
    <w:next w:val="Normal"/>
    <w:autoRedefine/>
    <w:uiPriority w:val="39"/>
    <w:unhideWhenUsed/>
    <w:rsid w:val="0071347D"/>
    <w:pPr>
      <w:spacing w:after="100"/>
      <w:ind w:left="220"/>
    </w:pPr>
  </w:style>
  <w:style w:type="paragraph" w:styleId="TOC3">
    <w:name w:val="toc 3"/>
    <w:basedOn w:val="Normal"/>
    <w:next w:val="Normal"/>
    <w:autoRedefine/>
    <w:uiPriority w:val="39"/>
    <w:unhideWhenUsed/>
    <w:rsid w:val="0071347D"/>
    <w:pPr>
      <w:spacing w:after="100"/>
      <w:ind w:left="440"/>
    </w:pPr>
  </w:style>
  <w:style w:type="paragraph" w:styleId="TOC4">
    <w:name w:val="toc 4"/>
    <w:basedOn w:val="Normal"/>
    <w:next w:val="Normal"/>
    <w:autoRedefine/>
    <w:uiPriority w:val="39"/>
    <w:unhideWhenUsed/>
    <w:rsid w:val="00177E0E"/>
    <w:pPr>
      <w:spacing w:after="100"/>
      <w:ind w:left="660"/>
    </w:pPr>
  </w:style>
  <w:style w:type="paragraph" w:styleId="TOC5">
    <w:name w:val="toc 5"/>
    <w:basedOn w:val="Normal"/>
    <w:next w:val="Normal"/>
    <w:autoRedefine/>
    <w:uiPriority w:val="39"/>
    <w:unhideWhenUsed/>
    <w:rsid w:val="00177E0E"/>
    <w:pPr>
      <w:spacing w:after="100"/>
      <w:ind w:left="880"/>
    </w:pPr>
  </w:style>
  <w:style w:type="paragraph" w:styleId="TOC6">
    <w:name w:val="toc 6"/>
    <w:basedOn w:val="Normal"/>
    <w:next w:val="Normal"/>
    <w:autoRedefine/>
    <w:uiPriority w:val="39"/>
    <w:unhideWhenUsed/>
    <w:rsid w:val="00177E0E"/>
    <w:pPr>
      <w:spacing w:after="100"/>
      <w:ind w:left="1100"/>
    </w:pPr>
  </w:style>
  <w:style w:type="character" w:customStyle="1" w:styleId="Heading7Char">
    <w:name w:val="Heading 7 Char"/>
    <w:basedOn w:val="DefaultParagraphFont"/>
    <w:link w:val="Heading7"/>
    <w:uiPriority w:val="9"/>
    <w:semiHidden/>
    <w:rsid w:val="00177E0E"/>
    <w:rPr>
      <w:rFonts w:asciiTheme="majorHAnsi" w:eastAsiaTheme="majorEastAsia" w:hAnsiTheme="majorHAnsi" w:cstheme="majorBidi"/>
      <w:i/>
      <w:iCs/>
      <w:color w:val="1F4D78" w:themeColor="accent1" w:themeShade="7F"/>
    </w:rPr>
  </w:style>
  <w:style w:type="paragraph" w:styleId="TOC7">
    <w:name w:val="toc 7"/>
    <w:basedOn w:val="Normal"/>
    <w:next w:val="Normal"/>
    <w:autoRedefine/>
    <w:uiPriority w:val="39"/>
    <w:unhideWhenUsed/>
    <w:rsid w:val="008E22A5"/>
    <w:pPr>
      <w:spacing w:after="100"/>
      <w:ind w:left="1320"/>
    </w:pPr>
  </w:style>
  <w:style w:type="paragraph" w:styleId="Caption">
    <w:name w:val="caption"/>
    <w:basedOn w:val="Normal"/>
    <w:next w:val="Normal"/>
    <w:uiPriority w:val="35"/>
    <w:unhideWhenUsed/>
    <w:qFormat/>
    <w:rsid w:val="003547D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C1A85"/>
    <w:pPr>
      <w:spacing w:after="0"/>
    </w:pPr>
  </w:style>
  <w:style w:type="paragraph" w:styleId="Header">
    <w:name w:val="header"/>
    <w:basedOn w:val="Normal"/>
    <w:link w:val="HeaderChar"/>
    <w:uiPriority w:val="99"/>
    <w:unhideWhenUsed/>
    <w:rsid w:val="00EC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A85"/>
  </w:style>
  <w:style w:type="paragraph" w:styleId="Footer">
    <w:name w:val="footer"/>
    <w:basedOn w:val="Normal"/>
    <w:link w:val="FooterChar"/>
    <w:uiPriority w:val="99"/>
    <w:unhideWhenUsed/>
    <w:rsid w:val="00EC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pa.gov/pesticides/regulating/cancellations.htm" TargetMode="External"/><Relationship Id="rId13" Type="http://schemas.openxmlformats.org/officeDocument/2006/relationships/hyperlink" Target="http://epa.gov/pesticides/fifra6a2/" TargetMode="External"/><Relationship Id="rId18" Type="http://schemas.openxmlformats.org/officeDocument/2006/relationships/image" Target="media/image3.png"/><Relationship Id="rId26" Type="http://schemas.openxmlformats.org/officeDocument/2006/relationships/hyperlink" Target="http://www.epa.gov/pesticides/science/models_pg.htm"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pa.gov/pesticides/fifra6a2/" TargetMode="External"/><Relationship Id="rId17" Type="http://schemas.openxmlformats.org/officeDocument/2006/relationships/image" Target="media/image2.png"/><Relationship Id="rId25" Type="http://schemas.openxmlformats.org/officeDocument/2006/relationships/image" Target="media/image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epa.gov/med/Prods_Pubs/mcnes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ppfead1/endanger/bulletins.htm" TargetMode="Externa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cfr.gpoaccess.gov/cgi/t/text/text-idx?c=ecfr&amp;tpl=/ecfrbrowse/Title40/40cfr180_main_02.tpl" TargetMode="External"/><Relationship Id="rId23" Type="http://schemas.openxmlformats.org/officeDocument/2006/relationships/header" Target="header1.xml"/><Relationship Id="rId28" Type="http://schemas.openxmlformats.org/officeDocument/2006/relationships/hyperlink" Target="http://cfpub.epa.gov/ecotox/blackbox/help/codelist.pdf" TargetMode="External"/><Relationship Id="rId10" Type="http://schemas.openxmlformats.org/officeDocument/2006/relationships/hyperlink" Target="http://www.epa.gov/pesticides/regulating/cancellations.htm" TargetMode="External"/><Relationship Id="rId19" Type="http://schemas.openxmlformats.org/officeDocument/2006/relationships/image" Target="media/image4.png"/><Relationship Id="rId31" Type="http://schemas.openxmlformats.org/officeDocument/2006/relationships/hyperlink" Target="http://www.epa.gov/med/Prods_Pubs/mcnest.htm" TargetMode="External"/><Relationship Id="rId4" Type="http://schemas.openxmlformats.org/officeDocument/2006/relationships/settings" Target="settings.xml"/><Relationship Id="rId9" Type="http://schemas.openxmlformats.org/officeDocument/2006/relationships/hyperlink" Target="http://www.epa.gov/pesticides/regulating/cancellations.htm" TargetMode="External"/><Relationship Id="rId14" Type="http://schemas.openxmlformats.org/officeDocument/2006/relationships/hyperlink" Target="http://epa.gov/pesticides/fifra6a2/" TargetMode="External"/><Relationship Id="rId22" Type="http://schemas.openxmlformats.org/officeDocument/2006/relationships/hyperlink" Target="http://ecos.fws.gov/crithab" TargetMode="External"/><Relationship Id="rId27" Type="http://schemas.openxmlformats.org/officeDocument/2006/relationships/hyperlink" Target="http://www.epa.gov/pesticides/science/efed/policy_guidance/team_authors/endangered_species_reregistration_workgroup/esa_evaluation_open_literature.htm" TargetMode="External"/><Relationship Id="rId30" Type="http://schemas.openxmlformats.org/officeDocument/2006/relationships/hyperlink" Target="http://www.epa.gov/med/Prods_Pubs/mcnest.htm"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pesticides/science/models_pg.htm" TargetMode="External"/><Relationship Id="rId2" Type="http://schemas.openxmlformats.org/officeDocument/2006/relationships/hyperlink" Target="http://iaspub.epa.gov/apex/pesticides/f?p=101:1" TargetMode="External"/><Relationship Id="rId1" Type="http://schemas.openxmlformats.org/officeDocument/2006/relationships/hyperlink" Target="http://www.epa.gov/pesticides/factsheets/stprf.htm" TargetMode="External"/><Relationship Id="rId5" Type="http://schemas.openxmlformats.org/officeDocument/2006/relationships/hyperlink" Target="http://www.fws.gov/midwest/Endangered/section7/ba_guide.html" TargetMode="External"/><Relationship Id="rId4" Type="http://schemas.openxmlformats.org/officeDocument/2006/relationships/hyperlink" Target="http://www.fws.gov/midwest/Endangered/section7/ba_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63AD-DA01-4BD0-AE27-6F9769B7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77</Pages>
  <Words>22400</Words>
  <Characters>127686</Characters>
  <Application>Microsoft Office Word</Application>
  <DocSecurity>6</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Elizabeth</dc:creator>
  <cp:lastModifiedBy>Riley, Elizabeth</cp:lastModifiedBy>
  <cp:revision>16</cp:revision>
  <dcterms:created xsi:type="dcterms:W3CDTF">2015-11-23T17:01:00Z</dcterms:created>
  <dcterms:modified xsi:type="dcterms:W3CDTF">2015-12-09T13:56:00Z</dcterms:modified>
</cp:coreProperties>
</file>