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293BC4C" w14:textId="77777777" w:rsidR="00E267BA" w:rsidRDefault="00E267BA" w:rsidP="00E267BA">
      <w:bookmarkStart w:id="0" w:name="_Ref410389850"/>
      <w:r>
        <w:rPr>
          <w:b/>
        </w:rPr>
        <w:t>The following revisions have been made to this document since the December 2015 posting:</w:t>
      </w:r>
    </w:p>
    <w:p w14:paraId="49D5BAA7" w14:textId="77777777" w:rsidR="00E267BA" w:rsidRDefault="00E267BA" w:rsidP="00E267BA"/>
    <w:p w14:paraId="5B234661" w14:textId="7C27967A" w:rsidR="00E267BA" w:rsidRDefault="00E267BA" w:rsidP="00E267BA">
      <w:r>
        <w:rPr>
          <w:sz w:val="20"/>
          <w:szCs w:val="20"/>
        </w:rPr>
        <w:t xml:space="preserve">Section A.4 (Bioconcentration Factor) was updated with a focus on updating KABAM estimated values for fish, aquatic invertebrates, and aquatic plants, </w:t>
      </w:r>
      <w:bookmarkStart w:id="1" w:name="_GoBack"/>
      <w:r>
        <w:rPr>
          <w:sz w:val="20"/>
          <w:szCs w:val="20"/>
        </w:rPr>
        <w:t>a</w:t>
      </w:r>
      <w:bookmarkEnd w:id="1"/>
      <w:r>
        <w:rPr>
          <w:sz w:val="20"/>
          <w:szCs w:val="20"/>
        </w:rPr>
        <w:t>s well as adding a missing reference.</w:t>
      </w:r>
      <w:r>
        <w:br w:type="page"/>
      </w:r>
    </w:p>
    <w:p w14:paraId="155AC750" w14:textId="56FA4B30" w:rsidR="00C066DB" w:rsidRPr="004B51F3" w:rsidRDefault="00C066DB" w:rsidP="005D355F">
      <w:pPr>
        <w:keepNext/>
        <w:spacing w:after="0" w:line="240" w:lineRule="auto"/>
        <w:rPr>
          <w:rFonts w:asciiTheme="minorHAnsi" w:hAnsiTheme="minorHAnsi" w:cs="Times New Roman"/>
          <w:b/>
          <w:bCs/>
          <w:color w:val="auto"/>
          <w:sz w:val="24"/>
          <w:szCs w:val="24"/>
        </w:rPr>
      </w:pPr>
      <w:r w:rsidRPr="004B51F3">
        <w:rPr>
          <w:rFonts w:asciiTheme="minorHAnsi" w:hAnsiTheme="minorHAnsi" w:cs="Times New Roman"/>
          <w:b/>
          <w:bCs/>
          <w:caps/>
          <w:color w:val="auto"/>
          <w:sz w:val="24"/>
          <w:szCs w:val="24"/>
        </w:rPr>
        <w:lastRenderedPageBreak/>
        <w:t xml:space="preserve">Appendix </w:t>
      </w:r>
      <w:bookmarkEnd w:id="0"/>
      <w:r w:rsidR="004B51F3">
        <w:rPr>
          <w:rFonts w:asciiTheme="minorHAnsi" w:hAnsiTheme="minorHAnsi" w:cs="Times New Roman"/>
          <w:b/>
          <w:bCs/>
          <w:caps/>
          <w:color w:val="auto"/>
          <w:sz w:val="24"/>
          <w:szCs w:val="24"/>
        </w:rPr>
        <w:t>3-1:</w:t>
      </w:r>
      <w:r w:rsidRPr="004B51F3">
        <w:rPr>
          <w:rFonts w:asciiTheme="minorHAnsi" w:hAnsiTheme="minorHAnsi" w:cs="Times New Roman"/>
          <w:b/>
          <w:bCs/>
          <w:caps/>
          <w:color w:val="auto"/>
          <w:sz w:val="24"/>
          <w:szCs w:val="24"/>
        </w:rPr>
        <w:t xml:space="preserve"> </w:t>
      </w:r>
      <w:r w:rsidR="004B51F3">
        <w:rPr>
          <w:rFonts w:asciiTheme="minorHAnsi" w:hAnsiTheme="minorHAnsi" w:cs="Times New Roman"/>
          <w:b/>
          <w:bCs/>
          <w:color w:val="auto"/>
          <w:sz w:val="24"/>
          <w:szCs w:val="24"/>
        </w:rPr>
        <w:t>Environmental Transport and Fate Data Analysis for Malathion</w:t>
      </w:r>
    </w:p>
    <w:p w14:paraId="456C980B" w14:textId="77777777" w:rsidR="00C31471" w:rsidRPr="00175B1D" w:rsidRDefault="00C31471">
      <w:pPr>
        <w:spacing w:after="0" w:line="240" w:lineRule="auto"/>
        <w:rPr>
          <w:rFonts w:asciiTheme="minorHAnsi" w:eastAsia="Times New Roman" w:hAnsiTheme="minorHAnsi" w:cs="Times New Roman"/>
          <w:sz w:val="24"/>
          <w:szCs w:val="24"/>
        </w:rPr>
      </w:pPr>
    </w:p>
    <w:p w14:paraId="4AC11F93" w14:textId="2924F0FF" w:rsidR="008F0DB9" w:rsidRPr="00175B1D" w:rsidRDefault="001970CB">
      <w:pPr>
        <w:spacing w:after="0" w:line="240" w:lineRule="auto"/>
        <w:rPr>
          <w:rFonts w:asciiTheme="minorHAnsi" w:hAnsiTheme="minorHAnsi"/>
        </w:rPr>
      </w:pPr>
      <w:r w:rsidRPr="00175B1D">
        <w:rPr>
          <w:rFonts w:asciiTheme="minorHAnsi" w:eastAsia="Times New Roman" w:hAnsiTheme="minorHAnsi" w:cs="Times New Roman"/>
        </w:rPr>
        <w:t xml:space="preserve">Non-targeted organisms may be exposed to </w:t>
      </w:r>
      <w:proofErr w:type="gramStart"/>
      <w:r w:rsidRPr="00175B1D">
        <w:rPr>
          <w:rFonts w:asciiTheme="minorHAnsi" w:eastAsia="Times New Roman" w:hAnsiTheme="minorHAnsi" w:cs="Times New Roman"/>
        </w:rPr>
        <w:t>malathion</w:t>
      </w:r>
      <w:proofErr w:type="gramEnd"/>
      <w:r w:rsidRPr="00175B1D">
        <w:rPr>
          <w:rFonts w:asciiTheme="minorHAnsi" w:eastAsia="Times New Roman" w:hAnsiTheme="minorHAnsi" w:cs="Times New Roman"/>
        </w:rPr>
        <w:t xml:space="preserve"> and its degradates through contamination of food, water, and air from off-target drift, volatilization, runoff, and direct application. Malathion exposure occurs readily through water given its solubility of 145 parts per million.  It is semi-volatile), with a vapor pressure of 2.3*10</w:t>
      </w:r>
      <w:r w:rsidRPr="00175B1D">
        <w:rPr>
          <w:rFonts w:asciiTheme="minorHAnsi" w:eastAsia="Times New Roman" w:hAnsiTheme="minorHAnsi" w:cs="Times New Roman"/>
          <w:vertAlign w:val="superscript"/>
        </w:rPr>
        <w:t xml:space="preserve">-5 </w:t>
      </w:r>
      <w:r w:rsidRPr="00175B1D">
        <w:rPr>
          <w:rFonts w:asciiTheme="minorHAnsi" w:eastAsia="Times New Roman" w:hAnsiTheme="minorHAnsi" w:cs="Times New Roman"/>
        </w:rPr>
        <w:t xml:space="preserve">torr (Fellers et al., 2004; </w:t>
      </w:r>
      <w:proofErr w:type="spellStart"/>
      <w:r w:rsidRPr="00175B1D">
        <w:rPr>
          <w:rFonts w:asciiTheme="minorHAnsi" w:eastAsia="Times New Roman" w:hAnsiTheme="minorHAnsi" w:cs="Times New Roman"/>
        </w:rPr>
        <w:t>LeNoir</w:t>
      </w:r>
      <w:proofErr w:type="spellEnd"/>
      <w:r w:rsidRPr="00175B1D">
        <w:rPr>
          <w:rFonts w:asciiTheme="minorHAnsi" w:eastAsia="Times New Roman" w:hAnsiTheme="minorHAnsi" w:cs="Times New Roman"/>
        </w:rPr>
        <w:t xml:space="preserve"> et al., 1999; McConnell et al., 1998; Sparling et al., 2001).  The octanol-water partition coefficient ranging from 560 to 2000 and fish bioconcentration factors ranging from 4.2x to 18x are evidence that </w:t>
      </w:r>
      <w:proofErr w:type="gramStart"/>
      <w:r w:rsidRPr="00175B1D">
        <w:rPr>
          <w:rFonts w:asciiTheme="minorHAnsi" w:eastAsia="Times New Roman" w:hAnsiTheme="minorHAnsi" w:cs="Times New Roman"/>
        </w:rPr>
        <w:t>malathion</w:t>
      </w:r>
      <w:proofErr w:type="gramEnd"/>
      <w:r w:rsidRPr="00175B1D">
        <w:rPr>
          <w:rFonts w:asciiTheme="minorHAnsi" w:eastAsia="Times New Roman" w:hAnsiTheme="minorHAnsi" w:cs="Times New Roman"/>
        </w:rPr>
        <w:t xml:space="preserve"> does not </w:t>
      </w:r>
      <w:proofErr w:type="spellStart"/>
      <w:r w:rsidRPr="00175B1D">
        <w:rPr>
          <w:rFonts w:asciiTheme="minorHAnsi" w:eastAsia="Times New Roman" w:hAnsiTheme="minorHAnsi" w:cs="Times New Roman"/>
        </w:rPr>
        <w:t>biomagnify</w:t>
      </w:r>
      <w:proofErr w:type="spellEnd"/>
      <w:r w:rsidR="00C066DB" w:rsidRPr="00175B1D">
        <w:rPr>
          <w:rFonts w:asciiTheme="minorHAnsi" w:eastAsia="Times New Roman" w:hAnsiTheme="minorHAnsi" w:cs="Times New Roman"/>
        </w:rPr>
        <w:t xml:space="preserve"> </w:t>
      </w:r>
      <w:r w:rsidRPr="00175B1D">
        <w:rPr>
          <w:rFonts w:asciiTheme="minorHAnsi" w:eastAsia="Times New Roman" w:hAnsiTheme="minorHAnsi" w:cs="Times New Roman"/>
        </w:rPr>
        <w:t>(MRIDs 40944103, 40966603, 43106401, 43106402, 43340301).  Characterization of bioaccumulation is well documented in the assessment following bioaccumulation and long</w:t>
      </w:r>
      <w:r w:rsidR="00C066DB" w:rsidRPr="00175B1D">
        <w:rPr>
          <w:rFonts w:asciiTheme="minorHAnsi" w:eastAsia="Times New Roman" w:hAnsiTheme="minorHAnsi" w:cs="Times New Roman"/>
        </w:rPr>
        <w:t xml:space="preserve"> range transport Science Adviso</w:t>
      </w:r>
      <w:r w:rsidRPr="00175B1D">
        <w:rPr>
          <w:rFonts w:asciiTheme="minorHAnsi" w:eastAsia="Times New Roman" w:hAnsiTheme="minorHAnsi" w:cs="Times New Roman"/>
        </w:rPr>
        <w:t xml:space="preserve">ry Panel (EPA, 2010).  Limited data are available on degradates and impurities, but the fate data provided to EFED for malathion and the more toxic degradate malaoxon was found to be acceptable for performing risk assessment (USEPA 2006).  The primary route for </w:t>
      </w:r>
      <w:proofErr w:type="gramStart"/>
      <w:r w:rsidRPr="00175B1D">
        <w:rPr>
          <w:rFonts w:asciiTheme="minorHAnsi" w:eastAsia="Times New Roman" w:hAnsiTheme="minorHAnsi" w:cs="Times New Roman"/>
        </w:rPr>
        <w:t>malathion</w:t>
      </w:r>
      <w:proofErr w:type="gramEnd"/>
      <w:r w:rsidRPr="00175B1D">
        <w:rPr>
          <w:rFonts w:asciiTheme="minorHAnsi" w:eastAsia="Times New Roman" w:hAnsiTheme="minorHAnsi" w:cs="Times New Roman"/>
        </w:rPr>
        <w:t xml:space="preserve"> dissipation is metabolism to the less toxic malathion dicarboxylic and monocarboxylic acids.  Malathion metabolizes readily in moist, </w:t>
      </w:r>
      <w:proofErr w:type="spellStart"/>
      <w:r w:rsidRPr="00175B1D">
        <w:rPr>
          <w:rFonts w:asciiTheme="minorHAnsi" w:eastAsia="Times New Roman" w:hAnsiTheme="minorHAnsi" w:cs="Times New Roman"/>
        </w:rPr>
        <w:t>microbially</w:t>
      </w:r>
      <w:proofErr w:type="spellEnd"/>
      <w:r w:rsidRPr="00175B1D">
        <w:rPr>
          <w:rFonts w:asciiTheme="minorHAnsi" w:eastAsia="Times New Roman" w:hAnsiTheme="minorHAnsi" w:cs="Times New Roman"/>
        </w:rPr>
        <w:t xml:space="preserve"> active soils.  However, if </w:t>
      </w:r>
      <w:proofErr w:type="gramStart"/>
      <w:r w:rsidRPr="00175B1D">
        <w:rPr>
          <w:rFonts w:asciiTheme="minorHAnsi" w:eastAsia="Times New Roman" w:hAnsiTheme="minorHAnsi" w:cs="Times New Roman"/>
        </w:rPr>
        <w:t>malathion</w:t>
      </w:r>
      <w:proofErr w:type="gramEnd"/>
      <w:r w:rsidRPr="00175B1D">
        <w:rPr>
          <w:rFonts w:asciiTheme="minorHAnsi" w:eastAsia="Times New Roman" w:hAnsiTheme="minorHAnsi" w:cs="Times New Roman"/>
        </w:rPr>
        <w:t xml:space="preserve"> is in contact with metabolically inactive surfaces such as dry soils or impervious surfaces common in non-agricultural settings, photo-oxidation to the toxic degradate malaoxon can occur.  Oxidation to malaoxon can also be catalyzed in the presence of chlorine.  To a much more limited degree than chlorine or photo-oxidation, </w:t>
      </w:r>
      <w:proofErr w:type="gramStart"/>
      <w:r w:rsidRPr="00175B1D">
        <w:rPr>
          <w:rFonts w:asciiTheme="minorHAnsi" w:eastAsia="Times New Roman" w:hAnsiTheme="minorHAnsi" w:cs="Times New Roman"/>
        </w:rPr>
        <w:t>malathion</w:t>
      </w:r>
      <w:proofErr w:type="gramEnd"/>
      <w:r w:rsidRPr="00175B1D">
        <w:rPr>
          <w:rFonts w:asciiTheme="minorHAnsi" w:eastAsia="Times New Roman" w:hAnsiTheme="minorHAnsi" w:cs="Times New Roman"/>
        </w:rPr>
        <w:t xml:space="preserve"> can metabolize to malaoxon but is not a major degradate in that pathway.  Malaoxon dissipates and degrades similarly to </w:t>
      </w:r>
      <w:proofErr w:type="gramStart"/>
      <w:r w:rsidRPr="00175B1D">
        <w:rPr>
          <w:rFonts w:asciiTheme="minorHAnsi" w:eastAsia="Times New Roman" w:hAnsiTheme="minorHAnsi" w:cs="Times New Roman"/>
        </w:rPr>
        <w:t>malathion</w:t>
      </w:r>
      <w:proofErr w:type="gramEnd"/>
      <w:r w:rsidRPr="00175B1D">
        <w:rPr>
          <w:rFonts w:asciiTheme="minorHAnsi" w:eastAsia="Times New Roman" w:hAnsiTheme="minorHAnsi" w:cs="Times New Roman"/>
        </w:rPr>
        <w:t xml:space="preserve">, therefore, short duration malaoxon concentration peaks may be expected in non-agricultural streams during run-off events.  Oxidation to malaoxon will increase toxicity. However, based on registrant submitted data and open literature reports, EFED concludes the primary routes of dissipation of malathion in surface soils appear to be </w:t>
      </w:r>
      <w:proofErr w:type="spellStart"/>
      <w:r w:rsidRPr="00175B1D">
        <w:rPr>
          <w:rFonts w:asciiTheme="minorHAnsi" w:eastAsia="Times New Roman" w:hAnsiTheme="minorHAnsi" w:cs="Times New Roman"/>
        </w:rPr>
        <w:t>microbially</w:t>
      </w:r>
      <w:proofErr w:type="spellEnd"/>
      <w:r w:rsidRPr="00175B1D">
        <w:rPr>
          <w:rFonts w:asciiTheme="minorHAnsi" w:eastAsia="Times New Roman" w:hAnsiTheme="minorHAnsi" w:cs="Times New Roman"/>
        </w:rPr>
        <w:t xml:space="preserve">-mediated soil metabolism, with half-lives of &lt;1 to 2.5 days, and to a lesser extent, pH-dependent hydrolysis.  Hydrolysis in soil having pH 5, 7, and 9 results in half-lives of 107 days, 6.21 days, and 12 hours, respectively. Malathion monoester, ethyl hydrogen fumarate, diethyl </w:t>
      </w:r>
      <w:proofErr w:type="spellStart"/>
      <w:r w:rsidRPr="00175B1D">
        <w:rPr>
          <w:rFonts w:asciiTheme="minorHAnsi" w:eastAsia="Times New Roman" w:hAnsiTheme="minorHAnsi" w:cs="Times New Roman"/>
        </w:rPr>
        <w:t>thiosuccinate</w:t>
      </w:r>
      <w:proofErr w:type="spellEnd"/>
      <w:r w:rsidRPr="00175B1D">
        <w:rPr>
          <w:rFonts w:asciiTheme="minorHAnsi" w:eastAsia="Times New Roman" w:hAnsiTheme="minorHAnsi" w:cs="Times New Roman"/>
        </w:rPr>
        <w:t xml:space="preserve">, </w:t>
      </w:r>
      <w:proofErr w:type="gramStart"/>
      <w:r w:rsidRPr="00175B1D">
        <w:rPr>
          <w:rFonts w:asciiTheme="minorHAnsi" w:eastAsia="Times New Roman" w:hAnsiTheme="minorHAnsi" w:cs="Times New Roman"/>
        </w:rPr>
        <w:t>malathion</w:t>
      </w:r>
      <w:proofErr w:type="gramEnd"/>
      <w:r w:rsidRPr="00175B1D">
        <w:rPr>
          <w:rFonts w:asciiTheme="minorHAnsi" w:eastAsia="Times New Roman" w:hAnsiTheme="minorHAnsi" w:cs="Times New Roman"/>
        </w:rPr>
        <w:t xml:space="preserve"> mono- and dicarboxylic acids, demethyl mono- and di-carboxylic acids, and CO2 are known degradates. </w:t>
      </w:r>
    </w:p>
    <w:p w14:paraId="6DE5352C" w14:textId="77777777" w:rsidR="008F0DB9" w:rsidRPr="00BD377B" w:rsidRDefault="008F0DB9">
      <w:pPr>
        <w:spacing w:after="0" w:line="240" w:lineRule="auto"/>
        <w:rPr>
          <w:rFonts w:asciiTheme="minorHAnsi" w:hAnsiTheme="minorHAnsi"/>
        </w:rPr>
      </w:pPr>
    </w:p>
    <w:p w14:paraId="5186B896" w14:textId="77777777" w:rsidR="00C066DB" w:rsidRPr="00BD377B" w:rsidRDefault="00C066DB" w:rsidP="00C066DB">
      <w:pPr>
        <w:pStyle w:val="Heading1"/>
        <w:spacing w:before="0" w:after="0" w:line="240" w:lineRule="auto"/>
        <w:rPr>
          <w:rFonts w:asciiTheme="minorHAnsi" w:hAnsiTheme="minorHAnsi"/>
          <w:color w:val="auto"/>
          <w:sz w:val="22"/>
          <w:szCs w:val="22"/>
        </w:rPr>
      </w:pPr>
      <w:r w:rsidRPr="00BD377B">
        <w:rPr>
          <w:rFonts w:asciiTheme="minorHAnsi" w:hAnsiTheme="minorHAnsi"/>
          <w:color w:val="auto"/>
          <w:sz w:val="22"/>
          <w:szCs w:val="22"/>
        </w:rPr>
        <w:t>TRANSFORMATION RATES IN LABORATORY STUDIES</w:t>
      </w:r>
    </w:p>
    <w:p w14:paraId="386435C6" w14:textId="77777777" w:rsidR="00C066DB" w:rsidRPr="00BD377B" w:rsidRDefault="00C066DB" w:rsidP="00C066DB">
      <w:pPr>
        <w:spacing w:after="0" w:line="240" w:lineRule="auto"/>
        <w:ind w:left="1440"/>
        <w:contextualSpacing/>
        <w:rPr>
          <w:rFonts w:asciiTheme="minorHAnsi" w:hAnsiTheme="minorHAnsi" w:cs="Times New Roman"/>
          <w:color w:val="auto"/>
        </w:rPr>
      </w:pPr>
    </w:p>
    <w:p w14:paraId="776FBA41" w14:textId="4E19BD09" w:rsidR="00C066DB" w:rsidRPr="00BD377B" w:rsidRDefault="00C066DB" w:rsidP="00C066DB">
      <w:pPr>
        <w:pStyle w:val="Heading2"/>
        <w:numPr>
          <w:ilvl w:val="2"/>
          <w:numId w:val="8"/>
        </w:numPr>
        <w:spacing w:before="0" w:after="0"/>
        <w:rPr>
          <w:rFonts w:asciiTheme="minorHAnsi" w:hAnsiTheme="minorHAnsi"/>
          <w:color w:val="auto"/>
          <w:sz w:val="22"/>
          <w:szCs w:val="22"/>
        </w:rPr>
      </w:pPr>
      <w:r w:rsidRPr="00BD377B">
        <w:rPr>
          <w:rFonts w:asciiTheme="minorHAnsi" w:hAnsiTheme="minorHAnsi"/>
          <w:color w:val="auto"/>
          <w:sz w:val="22"/>
          <w:szCs w:val="22"/>
        </w:rPr>
        <w:t>Hydrolysis</w:t>
      </w:r>
      <w:r w:rsidR="00062364" w:rsidRPr="00BD377B">
        <w:rPr>
          <w:rFonts w:asciiTheme="minorHAnsi" w:hAnsiTheme="minorHAnsi"/>
          <w:color w:val="auto"/>
          <w:sz w:val="22"/>
          <w:szCs w:val="22"/>
        </w:rPr>
        <w:t xml:space="preserve"> and Photolysis</w:t>
      </w:r>
    </w:p>
    <w:p w14:paraId="64EB42D7" w14:textId="77777777" w:rsidR="008F0DB9" w:rsidRPr="00175B1D" w:rsidRDefault="008F0DB9">
      <w:pPr>
        <w:spacing w:after="0" w:line="240" w:lineRule="auto"/>
        <w:rPr>
          <w:rFonts w:asciiTheme="minorHAnsi" w:hAnsiTheme="minorHAnsi"/>
        </w:rPr>
      </w:pPr>
    </w:p>
    <w:p w14:paraId="30702EA3" w14:textId="0A66627F" w:rsidR="008F0DB9" w:rsidRPr="00175B1D" w:rsidRDefault="001970CB">
      <w:pPr>
        <w:spacing w:after="0" w:line="240" w:lineRule="auto"/>
        <w:rPr>
          <w:rFonts w:asciiTheme="minorHAnsi" w:hAnsiTheme="minorHAnsi"/>
        </w:rPr>
      </w:pPr>
      <w:r w:rsidRPr="00175B1D">
        <w:rPr>
          <w:rFonts w:asciiTheme="minorHAnsi" w:eastAsia="Times New Roman" w:hAnsiTheme="minorHAnsi" w:cs="Times New Roman"/>
        </w:rPr>
        <w:t xml:space="preserve">As stated above, hydrolysis rates of malathion vary dramatically with pH with half-lives ranging from 107 days in an acidic environment at pH 5 and 0.5 days in an alkaline environment at pH 9 (MRID 40941201). Malaoxon hydrolysis rates are more rapid, but also vary dramatically with </w:t>
      </w:r>
      <w:proofErr w:type="spellStart"/>
      <w:r w:rsidRPr="00175B1D">
        <w:rPr>
          <w:rFonts w:asciiTheme="minorHAnsi" w:eastAsia="Times New Roman" w:hAnsiTheme="minorHAnsi" w:cs="Times New Roman"/>
        </w:rPr>
        <w:t>pH.</w:t>
      </w:r>
      <w:proofErr w:type="spellEnd"/>
      <w:r w:rsidRPr="00175B1D">
        <w:rPr>
          <w:rFonts w:asciiTheme="minorHAnsi" w:eastAsia="Times New Roman" w:hAnsiTheme="minorHAnsi" w:cs="Times New Roman"/>
        </w:rPr>
        <w:t xml:space="preserve"> </w:t>
      </w:r>
      <w:r w:rsidR="00F473BA">
        <w:rPr>
          <w:rFonts w:asciiTheme="minorHAnsi" w:eastAsia="Times New Roman" w:hAnsiTheme="minorHAnsi" w:cs="Times New Roman"/>
        </w:rPr>
        <w:t xml:space="preserve"> </w:t>
      </w:r>
      <w:proofErr w:type="spellStart"/>
      <w:r w:rsidRPr="00175B1D">
        <w:rPr>
          <w:rFonts w:asciiTheme="minorHAnsi" w:eastAsia="Times New Roman" w:hAnsiTheme="minorHAnsi" w:cs="Times New Roman"/>
        </w:rPr>
        <w:t>Malaoxon’s</w:t>
      </w:r>
      <w:proofErr w:type="spellEnd"/>
      <w:r w:rsidRPr="00175B1D">
        <w:rPr>
          <w:rFonts w:asciiTheme="minorHAnsi" w:eastAsia="Times New Roman" w:hAnsiTheme="minorHAnsi" w:cs="Times New Roman"/>
        </w:rPr>
        <w:t xml:space="preserve"> </w:t>
      </w:r>
      <w:proofErr w:type="spellStart"/>
      <w:r w:rsidRPr="00175B1D">
        <w:rPr>
          <w:rFonts w:asciiTheme="minorHAnsi" w:eastAsia="Times New Roman" w:hAnsiTheme="minorHAnsi" w:cs="Times New Roman"/>
        </w:rPr>
        <w:t>half life</w:t>
      </w:r>
      <w:proofErr w:type="spellEnd"/>
      <w:r w:rsidRPr="00175B1D">
        <w:rPr>
          <w:rFonts w:asciiTheme="minorHAnsi" w:eastAsia="Times New Roman" w:hAnsiTheme="minorHAnsi" w:cs="Times New Roman"/>
        </w:rPr>
        <w:t xml:space="preserve"> is 32 days at pH 5 and 0.16 days at pH 9 (MRID 46396601).</w:t>
      </w:r>
    </w:p>
    <w:p w14:paraId="2B5567FB" w14:textId="77777777" w:rsidR="000E4AD7" w:rsidRPr="00175B1D" w:rsidRDefault="000E4AD7">
      <w:pPr>
        <w:spacing w:after="0" w:line="240" w:lineRule="auto"/>
        <w:rPr>
          <w:rFonts w:asciiTheme="minorHAnsi" w:hAnsiTheme="minorHAnsi"/>
        </w:rPr>
      </w:pPr>
    </w:p>
    <w:p w14:paraId="0682DDAE" w14:textId="65F6C218" w:rsidR="000E4AD7" w:rsidRPr="00BD377B" w:rsidRDefault="000E4AD7">
      <w:pPr>
        <w:spacing w:after="0" w:line="240" w:lineRule="auto"/>
        <w:rPr>
          <w:rFonts w:asciiTheme="minorHAnsi" w:hAnsiTheme="minorHAnsi"/>
          <w:color w:val="auto"/>
        </w:rPr>
      </w:pPr>
      <w:r w:rsidRPr="00175B1D">
        <w:rPr>
          <w:rFonts w:asciiTheme="minorHAnsi" w:eastAsia="Times New Roman" w:hAnsiTheme="minorHAnsi" w:cs="Times New Roman"/>
        </w:rPr>
        <w:t xml:space="preserve">Though hydrolysis is the most dominant route of abiotic degradation, photolysis </w:t>
      </w:r>
      <w:r w:rsidR="00610E26" w:rsidRPr="00175B1D">
        <w:rPr>
          <w:rFonts w:asciiTheme="minorHAnsi" w:eastAsia="Times New Roman" w:hAnsiTheme="minorHAnsi" w:cs="Times New Roman"/>
        </w:rPr>
        <w:t xml:space="preserve">can also occur and can transform </w:t>
      </w:r>
      <w:proofErr w:type="gramStart"/>
      <w:r w:rsidR="00610E26" w:rsidRPr="00175B1D">
        <w:rPr>
          <w:rFonts w:asciiTheme="minorHAnsi" w:eastAsia="Times New Roman" w:hAnsiTheme="minorHAnsi" w:cs="Times New Roman"/>
        </w:rPr>
        <w:t>malathion</w:t>
      </w:r>
      <w:proofErr w:type="gramEnd"/>
      <w:r w:rsidR="00610E26" w:rsidRPr="00175B1D">
        <w:rPr>
          <w:rFonts w:asciiTheme="minorHAnsi" w:eastAsia="Times New Roman" w:hAnsiTheme="minorHAnsi" w:cs="Times New Roman"/>
        </w:rPr>
        <w:t xml:space="preserve"> to malaoxon.</w:t>
      </w:r>
      <w:r w:rsidRPr="00175B1D">
        <w:rPr>
          <w:rFonts w:asciiTheme="minorHAnsi" w:eastAsia="Times New Roman" w:hAnsiTheme="minorHAnsi" w:cs="Times New Roman"/>
        </w:rPr>
        <w:t xml:space="preserve"> </w:t>
      </w:r>
      <w:r w:rsidR="00610E26" w:rsidRPr="00175B1D">
        <w:rPr>
          <w:rFonts w:asciiTheme="minorHAnsi" w:eastAsia="Times New Roman" w:hAnsiTheme="minorHAnsi" w:cs="Times New Roman"/>
        </w:rPr>
        <w:t xml:space="preserve">Malathion degrades to soil photolysis with a half-life of </w:t>
      </w:r>
      <w:r w:rsidR="009A765C" w:rsidRPr="00175B1D">
        <w:rPr>
          <w:rFonts w:asciiTheme="minorHAnsi" w:eastAsia="Times New Roman" w:hAnsiTheme="minorHAnsi" w:cs="Times New Roman"/>
        </w:rPr>
        <w:t xml:space="preserve">at least </w:t>
      </w:r>
      <w:r w:rsidR="00610E26" w:rsidRPr="00175B1D">
        <w:rPr>
          <w:rFonts w:asciiTheme="minorHAnsi" w:eastAsia="Times New Roman" w:hAnsiTheme="minorHAnsi" w:cs="Times New Roman"/>
        </w:rPr>
        <w:t>173 days</w:t>
      </w:r>
      <w:r w:rsidR="009A765C" w:rsidRPr="00175B1D">
        <w:rPr>
          <w:rFonts w:asciiTheme="minorHAnsi" w:eastAsia="Times New Roman" w:hAnsiTheme="minorHAnsi" w:cs="Times New Roman"/>
        </w:rPr>
        <w:t xml:space="preserve"> as dark controls indicate volatilization and soil degradation may have been occurring as well</w:t>
      </w:r>
      <w:r w:rsidR="00610E26" w:rsidRPr="00175B1D">
        <w:rPr>
          <w:rFonts w:asciiTheme="minorHAnsi" w:eastAsia="Times New Roman" w:hAnsiTheme="minorHAnsi" w:cs="Times New Roman"/>
        </w:rPr>
        <w:t xml:space="preserve"> (MRID </w:t>
      </w:r>
      <w:r w:rsidR="00610E26" w:rsidRPr="00175B1D">
        <w:rPr>
          <w:rFonts w:asciiTheme="minorHAnsi" w:hAnsiTheme="minorHAnsi"/>
        </w:rPr>
        <w:t xml:space="preserve">41695501).  </w:t>
      </w:r>
      <w:proofErr w:type="spellStart"/>
      <w:r w:rsidRPr="00175B1D">
        <w:rPr>
          <w:rFonts w:asciiTheme="minorHAnsi" w:eastAsia="Times New Roman" w:hAnsiTheme="minorHAnsi" w:cs="Times New Roman"/>
        </w:rPr>
        <w:t>Petreas</w:t>
      </w:r>
      <w:proofErr w:type="spellEnd"/>
      <w:r w:rsidRPr="00175B1D">
        <w:rPr>
          <w:rFonts w:asciiTheme="minorHAnsi" w:eastAsia="Times New Roman" w:hAnsiTheme="minorHAnsi" w:cs="Times New Roman"/>
        </w:rPr>
        <w:t xml:space="preserve"> </w:t>
      </w:r>
      <w:r w:rsidRPr="00175B1D">
        <w:rPr>
          <w:rFonts w:asciiTheme="minorHAnsi" w:eastAsia="Times New Roman" w:hAnsiTheme="minorHAnsi" w:cs="Times New Roman"/>
          <w:i/>
        </w:rPr>
        <w:t>et al</w:t>
      </w:r>
      <w:r w:rsidRPr="00175B1D">
        <w:rPr>
          <w:rFonts w:asciiTheme="minorHAnsi" w:eastAsia="Times New Roman" w:hAnsiTheme="minorHAnsi" w:cs="Times New Roman"/>
        </w:rPr>
        <w:t xml:space="preserve"> (1992) addresses the dissipation of a </w:t>
      </w:r>
      <w:proofErr w:type="gramStart"/>
      <w:r w:rsidRPr="00175B1D">
        <w:rPr>
          <w:rFonts w:asciiTheme="minorHAnsi" w:eastAsia="Times New Roman" w:hAnsiTheme="minorHAnsi" w:cs="Times New Roman"/>
        </w:rPr>
        <w:t>malathion</w:t>
      </w:r>
      <w:proofErr w:type="gramEnd"/>
      <w:r w:rsidRPr="00175B1D">
        <w:rPr>
          <w:rFonts w:asciiTheme="minorHAnsi" w:eastAsia="Times New Roman" w:hAnsiTheme="minorHAnsi" w:cs="Times New Roman"/>
        </w:rPr>
        <w:t xml:space="preserve"> aerial spray and transformation products on teflon and filter paper and resulting volatilization.  Dissipation was most likely to occur primarily through photolysis.  Dissipation was most rapid on filter paper (DT</w:t>
      </w:r>
      <w:r w:rsidRPr="00175B1D">
        <w:rPr>
          <w:rFonts w:asciiTheme="minorHAnsi" w:eastAsia="Times New Roman" w:hAnsiTheme="minorHAnsi" w:cs="Times New Roman"/>
          <w:vertAlign w:val="subscript"/>
        </w:rPr>
        <w:t>50</w:t>
      </w:r>
      <w:r w:rsidRPr="00175B1D">
        <w:rPr>
          <w:rFonts w:asciiTheme="minorHAnsi" w:eastAsia="Times New Roman" w:hAnsiTheme="minorHAnsi" w:cs="Times New Roman"/>
        </w:rPr>
        <w:t xml:space="preserve"> = 39 hours) and longest on </w:t>
      </w:r>
      <w:proofErr w:type="gramStart"/>
      <w:r w:rsidRPr="00175B1D">
        <w:rPr>
          <w:rFonts w:asciiTheme="minorHAnsi" w:eastAsia="Times New Roman" w:hAnsiTheme="minorHAnsi" w:cs="Times New Roman"/>
        </w:rPr>
        <w:t>teflon</w:t>
      </w:r>
      <w:proofErr w:type="gramEnd"/>
      <w:r w:rsidRPr="00175B1D">
        <w:rPr>
          <w:rFonts w:asciiTheme="minorHAnsi" w:eastAsia="Times New Roman" w:hAnsiTheme="minorHAnsi" w:cs="Times New Roman"/>
        </w:rPr>
        <w:t xml:space="preserve"> (DT</w:t>
      </w:r>
      <w:r w:rsidRPr="00175B1D">
        <w:rPr>
          <w:rFonts w:asciiTheme="minorHAnsi" w:eastAsia="Times New Roman" w:hAnsiTheme="minorHAnsi" w:cs="Times New Roman"/>
          <w:vertAlign w:val="subscript"/>
        </w:rPr>
        <w:t>50</w:t>
      </w:r>
      <w:r w:rsidRPr="00175B1D">
        <w:rPr>
          <w:rFonts w:asciiTheme="minorHAnsi" w:eastAsia="Times New Roman" w:hAnsiTheme="minorHAnsi" w:cs="Times New Roman"/>
        </w:rPr>
        <w:t xml:space="preserve"> = 92 days) with malaoxon concentrations increasing over time on all surfaces.  Nine days after application, malaoxon concentrations had increased to 10% to 20% of the concentration of original </w:t>
      </w:r>
      <w:proofErr w:type="gramStart"/>
      <w:r w:rsidRPr="00175B1D">
        <w:rPr>
          <w:rFonts w:asciiTheme="minorHAnsi" w:eastAsia="Times New Roman" w:hAnsiTheme="minorHAnsi" w:cs="Times New Roman"/>
        </w:rPr>
        <w:t>malathion</w:t>
      </w:r>
      <w:proofErr w:type="gramEnd"/>
      <w:r w:rsidRPr="00175B1D">
        <w:rPr>
          <w:rFonts w:asciiTheme="minorHAnsi" w:eastAsia="Times New Roman" w:hAnsiTheme="minorHAnsi" w:cs="Times New Roman"/>
        </w:rPr>
        <w:t xml:space="preserve"> deposition.  Malaoxon air concentrations were at their maximum </w:t>
      </w:r>
      <w:r w:rsidRPr="00175B1D">
        <w:rPr>
          <w:rFonts w:asciiTheme="minorHAnsi" w:eastAsia="Times New Roman" w:hAnsiTheme="minorHAnsi" w:cs="Times New Roman"/>
        </w:rPr>
        <w:lastRenderedPageBreak/>
        <w:t>between 24 and 48 hours after application an</w:t>
      </w:r>
      <w:r w:rsidRPr="00BD377B">
        <w:rPr>
          <w:rFonts w:asciiTheme="minorHAnsi" w:eastAsia="Times New Roman" w:hAnsiTheme="minorHAnsi" w:cs="Times New Roman"/>
          <w:color w:val="auto"/>
        </w:rPr>
        <w:t xml:space="preserve">d </w:t>
      </w:r>
      <w:proofErr w:type="gramStart"/>
      <w:r w:rsidRPr="00BD377B">
        <w:rPr>
          <w:rFonts w:asciiTheme="minorHAnsi" w:eastAsia="Times New Roman" w:hAnsiTheme="minorHAnsi" w:cs="Times New Roman"/>
          <w:color w:val="auto"/>
        </w:rPr>
        <w:t>malathion</w:t>
      </w:r>
      <w:proofErr w:type="gramEnd"/>
      <w:r w:rsidRPr="00BD377B">
        <w:rPr>
          <w:rFonts w:asciiTheme="minorHAnsi" w:eastAsia="Times New Roman" w:hAnsiTheme="minorHAnsi" w:cs="Times New Roman"/>
          <w:color w:val="auto"/>
        </w:rPr>
        <w:t xml:space="preserve"> and malaoxon were still detectable in air at the end of the 10 day study.</w:t>
      </w:r>
    </w:p>
    <w:p w14:paraId="5BCDF16B" w14:textId="77777777" w:rsidR="000E4AD7" w:rsidRPr="00BD377B" w:rsidRDefault="000E4AD7">
      <w:pPr>
        <w:spacing w:after="0" w:line="240" w:lineRule="auto"/>
        <w:rPr>
          <w:rFonts w:asciiTheme="minorHAnsi" w:hAnsiTheme="minorHAnsi"/>
          <w:color w:val="auto"/>
        </w:rPr>
      </w:pPr>
    </w:p>
    <w:p w14:paraId="3B57E4A7" w14:textId="38327D44" w:rsidR="00220963" w:rsidRPr="00BD377B" w:rsidRDefault="001970CB" w:rsidP="00220963">
      <w:pPr>
        <w:pStyle w:val="Heading2"/>
        <w:numPr>
          <w:ilvl w:val="2"/>
          <w:numId w:val="23"/>
        </w:numPr>
        <w:spacing w:before="0" w:after="0" w:line="240" w:lineRule="auto"/>
        <w:rPr>
          <w:rFonts w:asciiTheme="minorHAnsi" w:hAnsiTheme="minorHAnsi"/>
          <w:color w:val="auto"/>
          <w:sz w:val="22"/>
          <w:szCs w:val="22"/>
        </w:rPr>
      </w:pPr>
      <w:r w:rsidRPr="00BD377B">
        <w:rPr>
          <w:rFonts w:asciiTheme="minorHAnsi" w:hAnsiTheme="minorHAnsi"/>
          <w:color w:val="auto"/>
          <w:sz w:val="22"/>
          <w:szCs w:val="22"/>
        </w:rPr>
        <w:t xml:space="preserve">Aerobic soil metabolism: </w:t>
      </w:r>
    </w:p>
    <w:p w14:paraId="792D9534" w14:textId="77777777" w:rsidR="008F0DB9" w:rsidRPr="00BD377B" w:rsidRDefault="008F0DB9">
      <w:pPr>
        <w:spacing w:after="0" w:line="240" w:lineRule="auto"/>
        <w:rPr>
          <w:rFonts w:asciiTheme="minorHAnsi" w:hAnsiTheme="minorHAnsi"/>
          <w:color w:val="auto"/>
        </w:rPr>
      </w:pPr>
    </w:p>
    <w:p w14:paraId="64C1F11C" w14:textId="151C1BFB" w:rsidR="008F0DB9" w:rsidRPr="00BD377B" w:rsidRDefault="001970CB">
      <w:pPr>
        <w:spacing w:after="0" w:line="240" w:lineRule="auto"/>
        <w:rPr>
          <w:rFonts w:asciiTheme="minorHAnsi" w:hAnsiTheme="minorHAnsi"/>
          <w:color w:val="auto"/>
        </w:rPr>
      </w:pPr>
      <w:r w:rsidRPr="00BD377B">
        <w:rPr>
          <w:rFonts w:asciiTheme="minorHAnsi" w:eastAsia="Times New Roman" w:hAnsiTheme="minorHAnsi" w:cs="Times New Roman"/>
          <w:color w:val="auto"/>
        </w:rPr>
        <w:t xml:space="preserve">Malathion metabolizes readily in moist, </w:t>
      </w:r>
      <w:proofErr w:type="spellStart"/>
      <w:r w:rsidRPr="00BD377B">
        <w:rPr>
          <w:rFonts w:asciiTheme="minorHAnsi" w:eastAsia="Times New Roman" w:hAnsiTheme="minorHAnsi" w:cs="Times New Roman"/>
          <w:color w:val="auto"/>
        </w:rPr>
        <w:t>microbially</w:t>
      </w:r>
      <w:proofErr w:type="spellEnd"/>
      <w:r w:rsidRPr="00BD377B">
        <w:rPr>
          <w:rFonts w:asciiTheme="minorHAnsi" w:eastAsia="Times New Roman" w:hAnsiTheme="minorHAnsi" w:cs="Times New Roman"/>
          <w:color w:val="auto"/>
        </w:rPr>
        <w:t xml:space="preserve"> active soils to </w:t>
      </w:r>
      <w:proofErr w:type="gramStart"/>
      <w:r w:rsidRPr="00BD377B">
        <w:rPr>
          <w:rFonts w:asciiTheme="minorHAnsi" w:eastAsia="Times New Roman" w:hAnsiTheme="minorHAnsi" w:cs="Times New Roman"/>
          <w:color w:val="auto"/>
        </w:rPr>
        <w:t>malathion</w:t>
      </w:r>
      <w:proofErr w:type="gramEnd"/>
      <w:r w:rsidRPr="00BD377B">
        <w:rPr>
          <w:rFonts w:asciiTheme="minorHAnsi" w:eastAsia="Times New Roman" w:hAnsiTheme="minorHAnsi" w:cs="Times New Roman"/>
          <w:color w:val="auto"/>
        </w:rPr>
        <w:t xml:space="preserve"> dicarboxylic and monocarboxylic acids.  Aerobic soil metabolism of </w:t>
      </w:r>
      <w:proofErr w:type="gramStart"/>
      <w:r w:rsidRPr="00BD377B">
        <w:rPr>
          <w:rFonts w:asciiTheme="minorHAnsi" w:eastAsia="Times New Roman" w:hAnsiTheme="minorHAnsi" w:cs="Times New Roman"/>
          <w:color w:val="auto"/>
        </w:rPr>
        <w:t>malathion</w:t>
      </w:r>
      <w:proofErr w:type="gramEnd"/>
      <w:r w:rsidRPr="00BD377B">
        <w:rPr>
          <w:rFonts w:asciiTheme="minorHAnsi" w:eastAsia="Times New Roman" w:hAnsiTheme="minorHAnsi" w:cs="Times New Roman"/>
          <w:color w:val="auto"/>
        </w:rPr>
        <w:t xml:space="preserve"> is the only route of degradation that appears to result in a faster degradation rate than alkaline hydrolysis. In the aerobic soil metabolism registrant submitted studies, half-lives are biphasic with short initial half-lives of less than a day for the first ~48 hours; followed by longer half-lives of &gt;10 days. In the first registrant submitted study, </w:t>
      </w:r>
      <w:proofErr w:type="gramStart"/>
      <w:r w:rsidRPr="00BD377B">
        <w:rPr>
          <w:rFonts w:asciiTheme="minorHAnsi" w:eastAsia="Times New Roman" w:hAnsiTheme="minorHAnsi" w:cs="Times New Roman"/>
          <w:color w:val="auto"/>
        </w:rPr>
        <w:t>malathion</w:t>
      </w:r>
      <w:proofErr w:type="gramEnd"/>
      <w:r w:rsidRPr="00BD377B">
        <w:rPr>
          <w:rFonts w:asciiTheme="minorHAnsi" w:eastAsia="Times New Roman" w:hAnsiTheme="minorHAnsi" w:cs="Times New Roman"/>
          <w:color w:val="auto"/>
        </w:rPr>
        <w:t xml:space="preserve"> initially degraded with a calculated half-life of ~0.2 days (based on the first 48 hours of study data) and subsequently degraded with a half-life of ~24 days (based on the study data from 48 hours to study termination at 92 days). This study was conducted using loam soil at a neutral pH of 6.1, incubated in the dark at 22 ± 2</w:t>
      </w:r>
      <w:r w:rsidRPr="00BD377B">
        <w:rPr>
          <w:rFonts w:asciiTheme="minorHAnsi" w:eastAsia="Times New Roman" w:hAnsiTheme="minorHAnsi" w:cs="Times New Roman"/>
          <w:color w:val="auto"/>
          <w:vertAlign w:val="superscript"/>
        </w:rPr>
        <w:t>o</w:t>
      </w:r>
      <w:r w:rsidRPr="00BD377B">
        <w:rPr>
          <w:rFonts w:asciiTheme="minorHAnsi" w:eastAsia="Times New Roman" w:hAnsiTheme="minorHAnsi" w:cs="Times New Roman"/>
          <w:color w:val="auto"/>
        </w:rPr>
        <w:t xml:space="preserve">C and hydrated to 75% of field capacity. A complementary experiment was conducted to determine the degradation rate of </w:t>
      </w:r>
      <w:proofErr w:type="gramStart"/>
      <w:r w:rsidRPr="00BD377B">
        <w:rPr>
          <w:rFonts w:asciiTheme="minorHAnsi" w:eastAsia="Times New Roman" w:hAnsiTheme="minorHAnsi" w:cs="Times New Roman"/>
          <w:color w:val="auto"/>
        </w:rPr>
        <w:t>malathion</w:t>
      </w:r>
      <w:proofErr w:type="gramEnd"/>
      <w:r w:rsidRPr="00BD377B">
        <w:rPr>
          <w:rFonts w:asciiTheme="minorHAnsi" w:eastAsia="Times New Roman" w:hAnsiTheme="minorHAnsi" w:cs="Times New Roman"/>
          <w:color w:val="auto"/>
        </w:rPr>
        <w:t xml:space="preserve"> in sterile soil. At 4 days post-treatment, malathion comprised close to 98</w:t>
      </w:r>
      <w:proofErr w:type="gramStart"/>
      <w:r w:rsidRPr="00BD377B">
        <w:rPr>
          <w:rFonts w:asciiTheme="minorHAnsi" w:eastAsia="Times New Roman" w:hAnsiTheme="minorHAnsi" w:cs="Times New Roman"/>
          <w:color w:val="auto"/>
        </w:rPr>
        <w:t>%  of</w:t>
      </w:r>
      <w:proofErr w:type="gramEnd"/>
      <w:r w:rsidRPr="00BD377B">
        <w:rPr>
          <w:rFonts w:asciiTheme="minorHAnsi" w:eastAsia="Times New Roman" w:hAnsiTheme="minorHAnsi" w:cs="Times New Roman"/>
          <w:color w:val="auto"/>
        </w:rPr>
        <w:t xml:space="preserve"> the extractable radioactivity in sterile soil. The difference between half-lives of the sterile and non-sterile treatments indicates that microorganisms are important in the rapid degradation of </w:t>
      </w:r>
      <w:proofErr w:type="gramStart"/>
      <w:r w:rsidRPr="00BD377B">
        <w:rPr>
          <w:rFonts w:asciiTheme="minorHAnsi" w:eastAsia="Times New Roman" w:hAnsiTheme="minorHAnsi" w:cs="Times New Roman"/>
          <w:color w:val="auto"/>
        </w:rPr>
        <w:t>malathion</w:t>
      </w:r>
      <w:proofErr w:type="gramEnd"/>
      <w:r w:rsidRPr="00BD377B">
        <w:rPr>
          <w:rFonts w:asciiTheme="minorHAnsi" w:eastAsia="Times New Roman" w:hAnsiTheme="minorHAnsi" w:cs="Times New Roman"/>
          <w:color w:val="auto"/>
        </w:rPr>
        <w:t xml:space="preserve"> in soil under aerobic conditions. Numerous degradates or impurities were identified in the soil extracts and are identified as follows as a percent of applied radioactivity: dicarboxylic acid of </w:t>
      </w:r>
      <w:proofErr w:type="gramStart"/>
      <w:r w:rsidRPr="00BD377B">
        <w:rPr>
          <w:rFonts w:asciiTheme="minorHAnsi" w:eastAsia="Times New Roman" w:hAnsiTheme="minorHAnsi" w:cs="Times New Roman"/>
          <w:color w:val="auto"/>
        </w:rPr>
        <w:t>malathion</w:t>
      </w:r>
      <w:proofErr w:type="gramEnd"/>
      <w:r w:rsidRPr="00BD377B">
        <w:rPr>
          <w:rFonts w:asciiTheme="minorHAnsi" w:eastAsia="Times New Roman" w:hAnsiTheme="minorHAnsi" w:cs="Times New Roman"/>
          <w:color w:val="auto"/>
        </w:rPr>
        <w:t xml:space="preserve"> (18.7 - 36.7%), the β-monocarboxylic acid of malathion (2.8 - 7.3%), the α-monocarboxylic acid of malathion (1.9 - 2.5%), and malaoxon (0.6 - 1.8%). The presence of malaoxon at the beginning of this study and its decline over the study duration suggests that it occurs as an impurity rather than as </w:t>
      </w:r>
      <w:proofErr w:type="gramStart"/>
      <w:r w:rsidRPr="00BD377B">
        <w:rPr>
          <w:rFonts w:asciiTheme="minorHAnsi" w:eastAsia="Times New Roman" w:hAnsiTheme="minorHAnsi" w:cs="Times New Roman"/>
          <w:color w:val="auto"/>
        </w:rPr>
        <w:t>a degradate</w:t>
      </w:r>
      <w:proofErr w:type="gramEnd"/>
      <w:r w:rsidRPr="00BD377B">
        <w:rPr>
          <w:rFonts w:asciiTheme="minorHAnsi" w:eastAsia="Times New Roman" w:hAnsiTheme="minorHAnsi" w:cs="Times New Roman"/>
          <w:color w:val="auto"/>
        </w:rPr>
        <w:t xml:space="preserve"> (MRIDs 41721701 and 43166301).  Malathion persistence under aerobic soil conditions has been examined in several open literature studies. Reported half-life values (from field and laboratory studies) vary from hours to 11 days. Persistence decreases with increasing microbial activity, moisture, and high </w:t>
      </w:r>
      <w:proofErr w:type="spellStart"/>
      <w:r w:rsidRPr="00BD377B">
        <w:rPr>
          <w:rFonts w:asciiTheme="minorHAnsi" w:eastAsia="Times New Roman" w:hAnsiTheme="minorHAnsi" w:cs="Times New Roman"/>
          <w:color w:val="auto"/>
        </w:rPr>
        <w:t>pH.</w:t>
      </w:r>
      <w:proofErr w:type="spellEnd"/>
      <w:r w:rsidRPr="00BD377B">
        <w:rPr>
          <w:rFonts w:asciiTheme="minorHAnsi" w:eastAsia="Times New Roman" w:hAnsiTheme="minorHAnsi" w:cs="Times New Roman"/>
          <w:color w:val="auto"/>
        </w:rPr>
        <w:t xml:space="preserve">  Though malaoxon does not readily form from </w:t>
      </w:r>
      <w:proofErr w:type="gramStart"/>
      <w:r w:rsidRPr="00BD377B">
        <w:rPr>
          <w:rFonts w:asciiTheme="minorHAnsi" w:eastAsia="Times New Roman" w:hAnsiTheme="minorHAnsi" w:cs="Times New Roman"/>
          <w:color w:val="auto"/>
        </w:rPr>
        <w:t>malathion</w:t>
      </w:r>
      <w:proofErr w:type="gramEnd"/>
      <w:r w:rsidRPr="00BD377B">
        <w:rPr>
          <w:rFonts w:asciiTheme="minorHAnsi" w:eastAsia="Times New Roman" w:hAnsiTheme="minorHAnsi" w:cs="Times New Roman"/>
          <w:color w:val="auto"/>
        </w:rPr>
        <w:t xml:space="preserve"> through aerobic soil metabolism, when malaoxon is formed, metabolism is an important route of dissipation.  Aerobic soil metabolism rates for malaoxon on four </w:t>
      </w:r>
      <w:proofErr w:type="gramStart"/>
      <w:r w:rsidRPr="00BD377B">
        <w:rPr>
          <w:rFonts w:asciiTheme="minorHAnsi" w:eastAsia="Times New Roman" w:hAnsiTheme="minorHAnsi" w:cs="Times New Roman"/>
          <w:color w:val="auto"/>
        </w:rPr>
        <w:t>soils(</w:t>
      </w:r>
      <w:proofErr w:type="gramEnd"/>
      <w:r w:rsidRPr="00BD377B">
        <w:rPr>
          <w:rFonts w:asciiTheme="minorHAnsi" w:eastAsia="Times New Roman" w:hAnsiTheme="minorHAnsi" w:cs="Times New Roman"/>
          <w:color w:val="auto"/>
        </w:rPr>
        <w:t xml:space="preserve">two sandy loams, a loamy sand, and a loam) are less than one day, similar to parent malathion (MRID 48903601).  </w:t>
      </w:r>
    </w:p>
    <w:p w14:paraId="7F4BBDDF" w14:textId="77777777" w:rsidR="008F0DB9" w:rsidRPr="00BD377B" w:rsidRDefault="008F0DB9">
      <w:pPr>
        <w:spacing w:after="0" w:line="240" w:lineRule="auto"/>
        <w:rPr>
          <w:rFonts w:asciiTheme="minorHAnsi" w:hAnsiTheme="minorHAnsi"/>
          <w:color w:val="auto"/>
        </w:rPr>
      </w:pPr>
    </w:p>
    <w:p w14:paraId="17C01A23" w14:textId="76B5E097" w:rsidR="008F0DB9" w:rsidRPr="00BD377B" w:rsidRDefault="000F4D05" w:rsidP="000F4D05">
      <w:pPr>
        <w:pStyle w:val="Heading2"/>
        <w:numPr>
          <w:ilvl w:val="2"/>
          <w:numId w:val="10"/>
        </w:numPr>
        <w:spacing w:before="0" w:after="0" w:line="240" w:lineRule="auto"/>
        <w:rPr>
          <w:rFonts w:asciiTheme="minorHAnsi" w:hAnsiTheme="minorHAnsi"/>
          <w:color w:val="auto"/>
          <w:sz w:val="22"/>
          <w:szCs w:val="22"/>
        </w:rPr>
      </w:pPr>
      <w:r w:rsidRPr="00BD377B">
        <w:rPr>
          <w:rFonts w:asciiTheme="minorHAnsi" w:hAnsiTheme="minorHAnsi"/>
          <w:color w:val="auto"/>
          <w:sz w:val="22"/>
          <w:szCs w:val="22"/>
        </w:rPr>
        <w:t>Aerobic Aquatic Metabolism</w:t>
      </w:r>
    </w:p>
    <w:p w14:paraId="3FB76996" w14:textId="77777777" w:rsidR="008F0DB9" w:rsidRPr="00BD377B" w:rsidRDefault="008F0DB9">
      <w:pPr>
        <w:spacing w:after="0" w:line="240" w:lineRule="auto"/>
        <w:rPr>
          <w:rFonts w:asciiTheme="minorHAnsi" w:hAnsiTheme="minorHAnsi"/>
          <w:color w:val="auto"/>
        </w:rPr>
      </w:pPr>
    </w:p>
    <w:p w14:paraId="045BCE5A" w14:textId="703606EE" w:rsidR="00A76DA7" w:rsidRPr="00BD377B" w:rsidRDefault="001970CB" w:rsidP="00A76DA7">
      <w:pPr>
        <w:autoSpaceDE w:val="0"/>
        <w:autoSpaceDN w:val="0"/>
        <w:rPr>
          <w:rFonts w:asciiTheme="minorHAnsi" w:hAnsiTheme="minorHAnsi"/>
          <w:color w:val="auto"/>
        </w:rPr>
      </w:pPr>
      <w:r w:rsidRPr="00BD377B">
        <w:rPr>
          <w:rFonts w:asciiTheme="minorHAnsi" w:eastAsia="Times New Roman" w:hAnsiTheme="minorHAnsi" w:cs="Times New Roman"/>
          <w:color w:val="auto"/>
        </w:rPr>
        <w:t xml:space="preserve">Estimated half-lives range from 0.3 day to 3.4 days across five water-sediment systems, one of which is from a registrant submitted study (MRID 42271601).  Water phase pH ranged from 5.14 to 8.1 and, consistent with </w:t>
      </w:r>
      <w:proofErr w:type="gramStart"/>
      <w:r w:rsidRPr="00BD377B">
        <w:rPr>
          <w:rFonts w:asciiTheme="minorHAnsi" w:eastAsia="Times New Roman" w:hAnsiTheme="minorHAnsi" w:cs="Times New Roman"/>
          <w:color w:val="auto"/>
        </w:rPr>
        <w:t>malathion’s</w:t>
      </w:r>
      <w:proofErr w:type="gramEnd"/>
      <w:r w:rsidRPr="00BD377B">
        <w:rPr>
          <w:rFonts w:asciiTheme="minorHAnsi" w:eastAsia="Times New Roman" w:hAnsiTheme="minorHAnsi" w:cs="Times New Roman"/>
          <w:color w:val="auto"/>
        </w:rPr>
        <w:t xml:space="preserve"> hydrolysis behavior, most rapid degradation was observed in the test system with the most alkaline conditions.  Major degradates in water and soil were similar: mono- and dicarboxylic acids of </w:t>
      </w:r>
      <w:proofErr w:type="gramStart"/>
      <w:r w:rsidRPr="00BD377B">
        <w:rPr>
          <w:rFonts w:asciiTheme="minorHAnsi" w:eastAsia="Times New Roman" w:hAnsiTheme="minorHAnsi" w:cs="Times New Roman"/>
          <w:color w:val="auto"/>
        </w:rPr>
        <w:t>malathion</w:t>
      </w:r>
      <w:proofErr w:type="gramEnd"/>
      <w:r w:rsidRPr="00BD377B">
        <w:rPr>
          <w:rFonts w:asciiTheme="minorHAnsi" w:eastAsia="Times New Roman" w:hAnsiTheme="minorHAnsi" w:cs="Times New Roman"/>
          <w:color w:val="auto"/>
        </w:rPr>
        <w:t xml:space="preserve">, demethyl monoacid and demethyl diacid, while in sediment no demethyl diacid was detected. Malaoxon was analyzed in the registrant submitted study but was not detected.  The EFED calculated half-life for </w:t>
      </w:r>
      <w:proofErr w:type="gramStart"/>
      <w:r w:rsidRPr="00BD377B">
        <w:rPr>
          <w:rFonts w:asciiTheme="minorHAnsi" w:eastAsia="Times New Roman" w:hAnsiTheme="minorHAnsi" w:cs="Times New Roman"/>
          <w:color w:val="auto"/>
        </w:rPr>
        <w:t>malathion</w:t>
      </w:r>
      <w:proofErr w:type="gramEnd"/>
      <w:r w:rsidRPr="00BD377B">
        <w:rPr>
          <w:rFonts w:asciiTheme="minorHAnsi" w:eastAsia="Times New Roman" w:hAnsiTheme="minorHAnsi" w:cs="Times New Roman"/>
          <w:color w:val="auto"/>
        </w:rPr>
        <w:t xml:space="preserve"> monocarboxylic acid was 3 days.  Many open literature studies have been conducted on the fate and persistence of </w:t>
      </w:r>
      <w:proofErr w:type="gramStart"/>
      <w:r w:rsidRPr="00BD377B">
        <w:rPr>
          <w:rFonts w:asciiTheme="minorHAnsi" w:eastAsia="Times New Roman" w:hAnsiTheme="minorHAnsi" w:cs="Times New Roman"/>
          <w:color w:val="auto"/>
        </w:rPr>
        <w:t>malathion</w:t>
      </w:r>
      <w:proofErr w:type="gramEnd"/>
      <w:r w:rsidRPr="00BD377B">
        <w:rPr>
          <w:rFonts w:asciiTheme="minorHAnsi" w:eastAsia="Times New Roman" w:hAnsiTheme="minorHAnsi" w:cs="Times New Roman"/>
          <w:color w:val="auto"/>
        </w:rPr>
        <w:t xml:space="preserve"> in the aquatic environment. Reported degradation rates vary and are likely to be significantly increased by biological metabolism and </w:t>
      </w:r>
      <w:proofErr w:type="spellStart"/>
      <w:r w:rsidRPr="00BD377B">
        <w:rPr>
          <w:rFonts w:asciiTheme="minorHAnsi" w:eastAsia="Times New Roman" w:hAnsiTheme="minorHAnsi" w:cs="Times New Roman"/>
          <w:color w:val="auto"/>
        </w:rPr>
        <w:t>pH.</w:t>
      </w:r>
      <w:proofErr w:type="spellEnd"/>
      <w:r w:rsidRPr="00BD377B">
        <w:rPr>
          <w:rFonts w:asciiTheme="minorHAnsi" w:eastAsia="Times New Roman" w:hAnsiTheme="minorHAnsi" w:cs="Times New Roman"/>
          <w:color w:val="auto"/>
        </w:rPr>
        <w:t xml:space="preserve">  Eichelberger and Lichtenberg (1971) found 75% and 90% degradation in river water in one and two weeks, respectively. Guerrant </w:t>
      </w:r>
      <w:r w:rsidRPr="00BD377B">
        <w:rPr>
          <w:rFonts w:asciiTheme="minorHAnsi" w:eastAsia="Times New Roman" w:hAnsiTheme="minorHAnsi" w:cs="Times New Roman"/>
          <w:i/>
          <w:color w:val="auto"/>
        </w:rPr>
        <w:t xml:space="preserve">et al </w:t>
      </w:r>
      <w:r w:rsidRPr="00BD377B">
        <w:rPr>
          <w:rFonts w:asciiTheme="minorHAnsi" w:eastAsia="Times New Roman" w:hAnsiTheme="minorHAnsi" w:cs="Times New Roman"/>
          <w:color w:val="auto"/>
        </w:rPr>
        <w:t xml:space="preserve">(1970) found </w:t>
      </w:r>
      <w:proofErr w:type="gramStart"/>
      <w:r w:rsidRPr="00BD377B">
        <w:rPr>
          <w:rFonts w:asciiTheme="minorHAnsi" w:eastAsia="Times New Roman" w:hAnsiTheme="minorHAnsi" w:cs="Times New Roman"/>
          <w:color w:val="auto"/>
        </w:rPr>
        <w:t>malathion</w:t>
      </w:r>
      <w:proofErr w:type="gramEnd"/>
      <w:r w:rsidRPr="00BD377B">
        <w:rPr>
          <w:rFonts w:asciiTheme="minorHAnsi" w:eastAsia="Times New Roman" w:hAnsiTheme="minorHAnsi" w:cs="Times New Roman"/>
          <w:color w:val="auto"/>
        </w:rPr>
        <w:t xml:space="preserve"> half lives in pond, lake, river and other natural waters varied from 0.5 to 10 days and was dependent on </w:t>
      </w:r>
      <w:proofErr w:type="spellStart"/>
      <w:r w:rsidRPr="00BD377B">
        <w:rPr>
          <w:rFonts w:asciiTheme="minorHAnsi" w:eastAsia="Times New Roman" w:hAnsiTheme="minorHAnsi" w:cs="Times New Roman"/>
          <w:color w:val="auto"/>
        </w:rPr>
        <w:t>pH.</w:t>
      </w:r>
      <w:proofErr w:type="spellEnd"/>
      <w:r w:rsidRPr="00BD377B">
        <w:rPr>
          <w:rFonts w:asciiTheme="minorHAnsi" w:eastAsia="Times New Roman" w:hAnsiTheme="minorHAnsi" w:cs="Times New Roman"/>
          <w:color w:val="auto"/>
        </w:rPr>
        <w:t xml:space="preserve"> Other studies are summarized in </w:t>
      </w:r>
      <w:proofErr w:type="spellStart"/>
      <w:r w:rsidRPr="00BD377B">
        <w:rPr>
          <w:rFonts w:asciiTheme="minorHAnsi" w:eastAsia="Times New Roman" w:hAnsiTheme="minorHAnsi" w:cs="Times New Roman"/>
          <w:color w:val="auto"/>
        </w:rPr>
        <w:t>Mulla</w:t>
      </w:r>
      <w:proofErr w:type="spellEnd"/>
      <w:r w:rsidRPr="00BD377B">
        <w:rPr>
          <w:rFonts w:asciiTheme="minorHAnsi" w:eastAsia="Times New Roman" w:hAnsiTheme="minorHAnsi" w:cs="Times New Roman"/>
          <w:color w:val="auto"/>
        </w:rPr>
        <w:t xml:space="preserve"> </w:t>
      </w:r>
      <w:r w:rsidRPr="00BD377B">
        <w:rPr>
          <w:rFonts w:asciiTheme="minorHAnsi" w:eastAsia="Times New Roman" w:hAnsiTheme="minorHAnsi" w:cs="Times New Roman"/>
          <w:i/>
          <w:color w:val="auto"/>
        </w:rPr>
        <w:t xml:space="preserve">et al </w:t>
      </w:r>
      <w:r w:rsidRPr="00BD377B">
        <w:rPr>
          <w:rFonts w:asciiTheme="minorHAnsi" w:eastAsia="Times New Roman" w:hAnsiTheme="minorHAnsi" w:cs="Times New Roman"/>
          <w:color w:val="auto"/>
        </w:rPr>
        <w:t xml:space="preserve">(1981) and Howard (1991). NAWQA monitoring shows detections of </w:t>
      </w:r>
      <w:proofErr w:type="gramStart"/>
      <w:r w:rsidRPr="00BD377B">
        <w:rPr>
          <w:rFonts w:asciiTheme="minorHAnsi" w:eastAsia="Times New Roman" w:hAnsiTheme="minorHAnsi" w:cs="Times New Roman"/>
          <w:color w:val="auto"/>
        </w:rPr>
        <w:t>malathion</w:t>
      </w:r>
      <w:proofErr w:type="gramEnd"/>
      <w:r w:rsidRPr="00BD377B">
        <w:rPr>
          <w:rFonts w:asciiTheme="minorHAnsi" w:eastAsia="Times New Roman" w:hAnsiTheme="minorHAnsi" w:cs="Times New Roman"/>
          <w:color w:val="auto"/>
        </w:rPr>
        <w:t xml:space="preserve"> in large rural and urban streams.  Aerobic aquatic metabolism rates and degradates of malaoxon are similar to </w:t>
      </w:r>
      <w:proofErr w:type="gramStart"/>
      <w:r w:rsidRPr="00BD377B">
        <w:rPr>
          <w:rFonts w:asciiTheme="minorHAnsi" w:eastAsia="Times New Roman" w:hAnsiTheme="minorHAnsi" w:cs="Times New Roman"/>
          <w:color w:val="auto"/>
        </w:rPr>
        <w:t>malathion</w:t>
      </w:r>
      <w:proofErr w:type="gramEnd"/>
      <w:r w:rsidRPr="00BD377B">
        <w:rPr>
          <w:rFonts w:asciiTheme="minorHAnsi" w:eastAsia="Times New Roman" w:hAnsiTheme="minorHAnsi" w:cs="Times New Roman"/>
          <w:color w:val="auto"/>
        </w:rPr>
        <w:t xml:space="preserve">.  Total system half-lives ranged from 0.8 to 6 days at water-phase </w:t>
      </w:r>
      <w:proofErr w:type="spellStart"/>
      <w:proofErr w:type="gramStart"/>
      <w:r w:rsidRPr="00BD377B">
        <w:rPr>
          <w:rFonts w:asciiTheme="minorHAnsi" w:eastAsia="Times New Roman" w:hAnsiTheme="minorHAnsi" w:cs="Times New Roman"/>
          <w:color w:val="auto"/>
        </w:rPr>
        <w:t>pHs</w:t>
      </w:r>
      <w:proofErr w:type="spellEnd"/>
      <w:proofErr w:type="gramEnd"/>
      <w:r w:rsidRPr="00BD377B">
        <w:rPr>
          <w:rFonts w:asciiTheme="minorHAnsi" w:eastAsia="Times New Roman" w:hAnsiTheme="minorHAnsi" w:cs="Times New Roman"/>
          <w:color w:val="auto"/>
        </w:rPr>
        <w:t xml:space="preserve"> </w:t>
      </w:r>
      <w:r w:rsidRPr="00BD377B">
        <w:rPr>
          <w:rFonts w:asciiTheme="minorHAnsi" w:eastAsia="Times New Roman" w:hAnsiTheme="minorHAnsi" w:cs="Times New Roman"/>
          <w:color w:val="auto"/>
        </w:rPr>
        <w:lastRenderedPageBreak/>
        <w:t xml:space="preserve">ranging from 5.3 to 8.4. Major degradates included α/β-monoacid malaoxon and monoethyl maleate (MRID 48508601).  </w:t>
      </w:r>
      <w:proofErr w:type="spellStart"/>
      <w:r w:rsidR="00A76DA7" w:rsidRPr="00BD377B">
        <w:rPr>
          <w:rFonts w:asciiTheme="minorHAnsi" w:hAnsiTheme="minorHAnsi"/>
          <w:color w:val="auto"/>
        </w:rPr>
        <w:t>Bourquin</w:t>
      </w:r>
      <w:proofErr w:type="spellEnd"/>
      <w:r w:rsidR="00A76DA7" w:rsidRPr="00BD377B">
        <w:rPr>
          <w:rFonts w:asciiTheme="minorHAnsi" w:hAnsiTheme="minorHAnsi"/>
          <w:color w:val="auto"/>
        </w:rPr>
        <w:t xml:space="preserve"> (USEPA </w:t>
      </w:r>
      <w:proofErr w:type="spellStart"/>
      <w:r w:rsidR="00A76DA7" w:rsidRPr="00BD377B">
        <w:rPr>
          <w:rFonts w:asciiTheme="minorHAnsi" w:hAnsiTheme="minorHAnsi"/>
          <w:color w:val="auto"/>
        </w:rPr>
        <w:t>Gulfbreeze</w:t>
      </w:r>
      <w:proofErr w:type="spellEnd"/>
      <w:r w:rsidR="00A76DA7" w:rsidRPr="00BD377B">
        <w:rPr>
          <w:rFonts w:asciiTheme="minorHAnsi" w:hAnsiTheme="minorHAnsi"/>
          <w:color w:val="auto"/>
        </w:rPr>
        <w:t xml:space="preserve"> Laboratory, 1975) examined the microbial interaction with </w:t>
      </w:r>
      <w:proofErr w:type="gramStart"/>
      <w:r w:rsidR="00A76DA7" w:rsidRPr="00BD377B">
        <w:rPr>
          <w:rFonts w:asciiTheme="minorHAnsi" w:hAnsiTheme="minorHAnsi"/>
          <w:color w:val="auto"/>
        </w:rPr>
        <w:t>malathion</w:t>
      </w:r>
      <w:proofErr w:type="gramEnd"/>
      <w:r w:rsidR="00A76DA7" w:rsidRPr="00BD377B">
        <w:rPr>
          <w:rFonts w:asciiTheme="minorHAnsi" w:hAnsiTheme="minorHAnsi"/>
          <w:color w:val="auto"/>
        </w:rPr>
        <w:t xml:space="preserve"> in artificial saltmarsh ecosystems. Natural bacteria samples from uncontaminated marsh were added along with 10 ml of sea water and 10 gm of sediment to 250 ml flasks. 10 mg. aliquots of </w:t>
      </w:r>
      <w:proofErr w:type="gramStart"/>
      <w:r w:rsidR="00A76DA7" w:rsidRPr="00BD377B">
        <w:rPr>
          <w:rFonts w:asciiTheme="minorHAnsi" w:hAnsiTheme="minorHAnsi"/>
          <w:color w:val="auto"/>
        </w:rPr>
        <w:t>malathion</w:t>
      </w:r>
      <w:proofErr w:type="gramEnd"/>
      <w:r w:rsidR="00A76DA7" w:rsidRPr="00BD377B">
        <w:rPr>
          <w:rFonts w:asciiTheme="minorHAnsi" w:hAnsiTheme="minorHAnsi"/>
          <w:color w:val="auto"/>
        </w:rPr>
        <w:t xml:space="preserve"> in acetone were added every 7 days. Cultures were analyzed for </w:t>
      </w:r>
      <w:proofErr w:type="gramStart"/>
      <w:r w:rsidR="00A76DA7" w:rsidRPr="00BD377B">
        <w:rPr>
          <w:rFonts w:asciiTheme="minorHAnsi" w:hAnsiTheme="minorHAnsi"/>
          <w:color w:val="auto"/>
        </w:rPr>
        <w:t>malathion</w:t>
      </w:r>
      <w:proofErr w:type="gramEnd"/>
      <w:r w:rsidR="00A76DA7" w:rsidRPr="00BD377B">
        <w:rPr>
          <w:rFonts w:asciiTheme="minorHAnsi" w:hAnsiTheme="minorHAnsi"/>
          <w:color w:val="auto"/>
        </w:rPr>
        <w:t xml:space="preserve"> levels and compared to control vial residue levels. Increased salinity sped up the degradation process of the parent compound. However, malaoxon levels remained constant.  Monocarboxylic acid and dicarboxylic acid levels increased. Conclusion was that chemical and microbiological processes will act to degrade the levels of parent </w:t>
      </w:r>
      <w:proofErr w:type="gramStart"/>
      <w:r w:rsidR="00A76DA7" w:rsidRPr="00BD377B">
        <w:rPr>
          <w:rFonts w:asciiTheme="minorHAnsi" w:hAnsiTheme="minorHAnsi"/>
          <w:color w:val="auto"/>
        </w:rPr>
        <w:t>malathion</w:t>
      </w:r>
      <w:proofErr w:type="gramEnd"/>
      <w:r w:rsidR="00A76DA7" w:rsidRPr="00BD377B">
        <w:rPr>
          <w:rFonts w:asciiTheme="minorHAnsi" w:hAnsiTheme="minorHAnsi"/>
          <w:color w:val="auto"/>
        </w:rPr>
        <w:t xml:space="preserve"> in saltmarsh environments.</w:t>
      </w:r>
    </w:p>
    <w:p w14:paraId="7A5A7428" w14:textId="77777777" w:rsidR="008F0DB9" w:rsidRPr="00BD377B" w:rsidRDefault="008F0DB9">
      <w:pPr>
        <w:spacing w:after="0" w:line="240" w:lineRule="auto"/>
        <w:rPr>
          <w:rFonts w:asciiTheme="minorHAnsi" w:hAnsiTheme="minorHAnsi"/>
          <w:color w:val="auto"/>
        </w:rPr>
      </w:pPr>
    </w:p>
    <w:p w14:paraId="7B272C79" w14:textId="77777777" w:rsidR="008F0DB9" w:rsidRPr="00BD377B" w:rsidRDefault="008F0DB9">
      <w:pPr>
        <w:spacing w:after="0" w:line="240" w:lineRule="auto"/>
        <w:rPr>
          <w:rFonts w:asciiTheme="minorHAnsi" w:hAnsiTheme="minorHAnsi"/>
          <w:color w:val="auto"/>
        </w:rPr>
      </w:pPr>
    </w:p>
    <w:p w14:paraId="28E2073C" w14:textId="44DC1D34" w:rsidR="008F0DB9" w:rsidRPr="00BD377B" w:rsidRDefault="001970CB" w:rsidP="005D355F">
      <w:pPr>
        <w:pStyle w:val="Heading2"/>
        <w:numPr>
          <w:ilvl w:val="2"/>
          <w:numId w:val="10"/>
        </w:numPr>
        <w:spacing w:before="0" w:after="0" w:line="240" w:lineRule="auto"/>
        <w:rPr>
          <w:rFonts w:asciiTheme="minorHAnsi" w:hAnsiTheme="minorHAnsi"/>
          <w:color w:val="auto"/>
          <w:sz w:val="22"/>
          <w:szCs w:val="22"/>
        </w:rPr>
      </w:pPr>
      <w:r w:rsidRPr="00BD377B">
        <w:rPr>
          <w:rFonts w:asciiTheme="minorHAnsi" w:hAnsiTheme="minorHAnsi"/>
          <w:color w:val="auto"/>
          <w:sz w:val="22"/>
          <w:szCs w:val="22"/>
        </w:rPr>
        <w:t>Anaerobic Aquatic Met</w:t>
      </w:r>
      <w:r w:rsidR="000F4D05" w:rsidRPr="00BD377B">
        <w:rPr>
          <w:rFonts w:asciiTheme="minorHAnsi" w:hAnsiTheme="minorHAnsi"/>
          <w:color w:val="auto"/>
          <w:sz w:val="22"/>
          <w:szCs w:val="22"/>
        </w:rPr>
        <w:t>abolism</w:t>
      </w:r>
    </w:p>
    <w:p w14:paraId="023C4438" w14:textId="77777777" w:rsidR="008F0DB9" w:rsidRPr="00BD377B" w:rsidRDefault="008F0DB9">
      <w:pPr>
        <w:spacing w:after="0" w:line="240" w:lineRule="auto"/>
        <w:rPr>
          <w:rFonts w:asciiTheme="minorHAnsi" w:hAnsiTheme="minorHAnsi" w:cs="Times New Roman"/>
          <w:color w:val="auto"/>
        </w:rPr>
      </w:pPr>
    </w:p>
    <w:p w14:paraId="5D11CD64" w14:textId="4FE723C0" w:rsidR="008F0DB9" w:rsidRPr="00BD377B" w:rsidRDefault="001970CB">
      <w:pPr>
        <w:spacing w:after="0" w:line="240" w:lineRule="auto"/>
        <w:rPr>
          <w:rFonts w:asciiTheme="minorHAnsi" w:eastAsia="Times New Roman" w:hAnsiTheme="minorHAnsi" w:cs="Times New Roman"/>
          <w:color w:val="auto"/>
        </w:rPr>
      </w:pPr>
      <w:r w:rsidRPr="00BD377B">
        <w:rPr>
          <w:rFonts w:asciiTheme="minorHAnsi" w:eastAsia="Times New Roman" w:hAnsiTheme="minorHAnsi" w:cs="Times New Roman"/>
          <w:color w:val="auto"/>
        </w:rPr>
        <w:t xml:space="preserve">In the registrant submitted anaerobic aquatic metabolism study, MRID 42216301, </w:t>
      </w:r>
      <w:r w:rsidR="00DE3B21">
        <w:rPr>
          <w:rFonts w:asciiTheme="minorHAnsi" w:eastAsia="Times New Roman" w:hAnsiTheme="minorHAnsi" w:cs="Times New Roman"/>
          <w:color w:val="auto"/>
        </w:rPr>
        <w:t>radiolabeled</w:t>
      </w:r>
      <w:r w:rsidRPr="00BD377B">
        <w:rPr>
          <w:rFonts w:asciiTheme="minorHAnsi" w:eastAsia="Times New Roman" w:hAnsiTheme="minorHAnsi" w:cs="Times New Roman"/>
          <w:color w:val="auto"/>
        </w:rPr>
        <w:t xml:space="preserve"> and technical grade malathion added to a sandy loam soil degraded with a half-life of approximately 2.5 days in sediment (pH 7.8) and water (pH 8.7). Hydrolysis was probably the main route of degradation since the pH was in the range which favors hydrolysis. Although most of the residues remained in the water phase (less than 20% of the applied radioactivity was associated with the sediment at any sampling interval), the degradation products were similar in both sediment and water phases. The degradation products at maximum concentrations in the water phase were the monocarboxylic acid of </w:t>
      </w:r>
      <w:proofErr w:type="gramStart"/>
      <w:r w:rsidRPr="00BD377B">
        <w:rPr>
          <w:rFonts w:asciiTheme="minorHAnsi" w:eastAsia="Times New Roman" w:hAnsiTheme="minorHAnsi" w:cs="Times New Roman"/>
          <w:color w:val="auto"/>
        </w:rPr>
        <w:t>malathion</w:t>
      </w:r>
      <w:proofErr w:type="gramEnd"/>
      <w:r w:rsidRPr="00BD377B">
        <w:rPr>
          <w:rFonts w:asciiTheme="minorHAnsi" w:eastAsia="Times New Roman" w:hAnsiTheme="minorHAnsi" w:cs="Times New Roman"/>
          <w:color w:val="auto"/>
        </w:rPr>
        <w:t xml:space="preserve"> (MCA, 28% at Day 4), dimethyl monocarboxylic acid (21% at Day 7), dicarboxylic acid (21 % at Day 14) and the dimethyl dicarboxylic acid metabolite (39% at Day 45). The degradation products at maximum concentrations in the sediment were the monocarboxylic acid of </w:t>
      </w:r>
      <w:proofErr w:type="gramStart"/>
      <w:r w:rsidRPr="00BD377B">
        <w:rPr>
          <w:rFonts w:asciiTheme="minorHAnsi" w:eastAsia="Times New Roman" w:hAnsiTheme="minorHAnsi" w:cs="Times New Roman"/>
          <w:color w:val="auto"/>
        </w:rPr>
        <w:t>malathion</w:t>
      </w:r>
      <w:proofErr w:type="gramEnd"/>
      <w:r w:rsidRPr="00BD377B">
        <w:rPr>
          <w:rFonts w:asciiTheme="minorHAnsi" w:eastAsia="Times New Roman" w:hAnsiTheme="minorHAnsi" w:cs="Times New Roman"/>
          <w:color w:val="auto"/>
        </w:rPr>
        <w:t xml:space="preserve"> (4.5% at 6 hours), demethyl monocarboxylic acid (8.1% at Day 45), and dicarboxylic acid (5.2% at Day 4). The EFED calculated half-life for </w:t>
      </w:r>
      <w:proofErr w:type="gramStart"/>
      <w:r w:rsidRPr="00BD377B">
        <w:rPr>
          <w:rFonts w:asciiTheme="minorHAnsi" w:eastAsia="Times New Roman" w:hAnsiTheme="minorHAnsi" w:cs="Times New Roman"/>
          <w:color w:val="auto"/>
        </w:rPr>
        <w:t>malathion</w:t>
      </w:r>
      <w:proofErr w:type="gramEnd"/>
      <w:r w:rsidRPr="00BD377B">
        <w:rPr>
          <w:rFonts w:asciiTheme="minorHAnsi" w:eastAsia="Times New Roman" w:hAnsiTheme="minorHAnsi" w:cs="Times New Roman"/>
          <w:color w:val="auto"/>
        </w:rPr>
        <w:t xml:space="preserve"> monocarboxylic acid was 11 days</w:t>
      </w:r>
      <w:r w:rsidR="00536163" w:rsidRPr="00BD377B">
        <w:rPr>
          <w:rFonts w:asciiTheme="minorHAnsi" w:eastAsia="Times New Roman" w:hAnsiTheme="minorHAnsi" w:cs="Times New Roman"/>
          <w:color w:val="auto"/>
        </w:rPr>
        <w:t>.</w:t>
      </w:r>
    </w:p>
    <w:p w14:paraId="4F109852" w14:textId="77777777" w:rsidR="00536163" w:rsidRPr="00BD377B" w:rsidRDefault="00536163">
      <w:pPr>
        <w:spacing w:after="0" w:line="240" w:lineRule="auto"/>
        <w:rPr>
          <w:rFonts w:asciiTheme="minorHAnsi" w:eastAsia="Times New Roman" w:hAnsiTheme="minorHAnsi" w:cs="Times New Roman"/>
          <w:color w:val="auto"/>
        </w:rPr>
      </w:pPr>
    </w:p>
    <w:p w14:paraId="23AF1A0C" w14:textId="54144A20" w:rsidR="00536163" w:rsidRPr="00BD377B" w:rsidRDefault="00536163" w:rsidP="00536163">
      <w:pPr>
        <w:pStyle w:val="Heading2"/>
        <w:numPr>
          <w:ilvl w:val="2"/>
          <w:numId w:val="20"/>
        </w:numPr>
        <w:spacing w:before="0" w:after="0" w:line="240" w:lineRule="auto"/>
        <w:rPr>
          <w:rFonts w:asciiTheme="minorHAnsi" w:hAnsiTheme="minorHAnsi"/>
          <w:color w:val="auto"/>
          <w:sz w:val="22"/>
          <w:szCs w:val="22"/>
        </w:rPr>
      </w:pPr>
      <w:r w:rsidRPr="00BD377B">
        <w:rPr>
          <w:rFonts w:asciiTheme="minorHAnsi" w:hAnsiTheme="minorHAnsi"/>
          <w:color w:val="auto"/>
          <w:sz w:val="22"/>
          <w:szCs w:val="22"/>
        </w:rPr>
        <w:t>Laboratory volatility</w:t>
      </w:r>
    </w:p>
    <w:p w14:paraId="0F870B77" w14:textId="77777777" w:rsidR="00536163" w:rsidRPr="00BD377B" w:rsidRDefault="00536163" w:rsidP="00536163">
      <w:pPr>
        <w:spacing w:after="0" w:line="240" w:lineRule="auto"/>
        <w:rPr>
          <w:rFonts w:asciiTheme="minorHAnsi" w:hAnsiTheme="minorHAnsi" w:cs="Times New Roman"/>
          <w:color w:val="auto"/>
        </w:rPr>
      </w:pPr>
    </w:p>
    <w:p w14:paraId="4ACF842F" w14:textId="77777777" w:rsidR="00536163" w:rsidRPr="00BD377B" w:rsidRDefault="00536163" w:rsidP="00536163">
      <w:pPr>
        <w:spacing w:after="0" w:line="240" w:lineRule="auto"/>
        <w:rPr>
          <w:rFonts w:asciiTheme="minorHAnsi" w:hAnsiTheme="minorHAnsi" w:cs="Times New Roman"/>
          <w:color w:val="auto"/>
        </w:rPr>
      </w:pPr>
      <w:r w:rsidRPr="00BD377B">
        <w:rPr>
          <w:rFonts w:asciiTheme="minorHAnsi" w:eastAsia="Times New Roman" w:hAnsiTheme="minorHAnsi" w:cs="Times New Roman"/>
          <w:color w:val="auto"/>
        </w:rPr>
        <w:t xml:space="preserve">Three different </w:t>
      </w:r>
      <w:proofErr w:type="gramStart"/>
      <w:r w:rsidRPr="00BD377B">
        <w:rPr>
          <w:rFonts w:asciiTheme="minorHAnsi" w:eastAsia="Times New Roman" w:hAnsiTheme="minorHAnsi" w:cs="Times New Roman"/>
          <w:color w:val="auto"/>
        </w:rPr>
        <w:t>malathion</w:t>
      </w:r>
      <w:proofErr w:type="gramEnd"/>
      <w:r w:rsidRPr="00BD377B">
        <w:rPr>
          <w:rFonts w:asciiTheme="minorHAnsi" w:eastAsia="Times New Roman" w:hAnsiTheme="minorHAnsi" w:cs="Times New Roman"/>
          <w:color w:val="auto"/>
        </w:rPr>
        <w:t xml:space="preserve"> formulations [Ready To Use (RTU), Ultra Low Volume (ULV), and Emulsifiable Concentrate (EC)] added to a silt loam soil did not undergo any appreciable volatilization, when measured under different soil moisture regimes or air flow rates. No more than 5.1% of the applied radioactivity volatilized during the 16 days of the study (MRID 42015201).</w:t>
      </w:r>
    </w:p>
    <w:p w14:paraId="0F016640" w14:textId="7FC136DF" w:rsidR="008F0DB9" w:rsidRPr="00BD377B" w:rsidRDefault="008F0DB9">
      <w:pPr>
        <w:spacing w:after="0" w:line="240" w:lineRule="auto"/>
        <w:rPr>
          <w:rFonts w:asciiTheme="minorHAnsi" w:hAnsiTheme="minorHAnsi" w:cs="Times New Roman"/>
          <w:color w:val="auto"/>
        </w:rPr>
      </w:pPr>
    </w:p>
    <w:p w14:paraId="43BC6577" w14:textId="4E38456D" w:rsidR="008F0DB9" w:rsidRPr="00BD377B" w:rsidRDefault="000F4D05" w:rsidP="000F4D05">
      <w:pPr>
        <w:pStyle w:val="Heading1"/>
        <w:spacing w:before="0" w:after="0"/>
        <w:rPr>
          <w:rFonts w:asciiTheme="minorHAnsi" w:hAnsiTheme="minorHAnsi"/>
          <w:color w:val="auto"/>
          <w:sz w:val="22"/>
          <w:szCs w:val="22"/>
        </w:rPr>
      </w:pPr>
      <w:r w:rsidRPr="00BD377B">
        <w:rPr>
          <w:rFonts w:asciiTheme="minorHAnsi" w:hAnsiTheme="minorHAnsi"/>
          <w:color w:val="auto"/>
          <w:sz w:val="22"/>
          <w:szCs w:val="22"/>
        </w:rPr>
        <w:t>Leaching/adsorption/desorption</w:t>
      </w:r>
    </w:p>
    <w:p w14:paraId="2D8D5342" w14:textId="77777777" w:rsidR="008F0DB9" w:rsidRPr="00BD377B" w:rsidRDefault="008F0DB9">
      <w:pPr>
        <w:spacing w:after="0" w:line="240" w:lineRule="auto"/>
        <w:rPr>
          <w:rFonts w:asciiTheme="minorHAnsi" w:hAnsiTheme="minorHAnsi" w:cs="Times New Roman"/>
          <w:color w:val="auto"/>
        </w:rPr>
      </w:pPr>
    </w:p>
    <w:p w14:paraId="21BFDA54" w14:textId="2804EFCF" w:rsidR="008F0DB9" w:rsidRPr="00BD377B" w:rsidRDefault="001970CB">
      <w:pPr>
        <w:spacing w:after="0" w:line="240" w:lineRule="auto"/>
        <w:rPr>
          <w:rFonts w:asciiTheme="minorHAnsi" w:hAnsiTheme="minorHAnsi" w:cs="Times New Roman"/>
          <w:color w:val="auto"/>
        </w:rPr>
      </w:pPr>
      <w:r w:rsidRPr="00BD377B">
        <w:rPr>
          <w:rFonts w:asciiTheme="minorHAnsi" w:eastAsia="Arial Unicode MS" w:hAnsiTheme="minorHAnsi" w:cs="Times New Roman"/>
          <w:color w:val="auto"/>
        </w:rPr>
        <w:t xml:space="preserve">The FAO classifies </w:t>
      </w:r>
      <w:proofErr w:type="gramStart"/>
      <w:r w:rsidRPr="00BD377B">
        <w:rPr>
          <w:rFonts w:asciiTheme="minorHAnsi" w:eastAsia="Arial Unicode MS" w:hAnsiTheme="minorHAnsi" w:cs="Times New Roman"/>
          <w:color w:val="auto"/>
        </w:rPr>
        <w:t>malathion</w:t>
      </w:r>
      <w:proofErr w:type="gramEnd"/>
      <w:r w:rsidRPr="00BD377B">
        <w:rPr>
          <w:rFonts w:asciiTheme="minorHAnsi" w:eastAsia="Arial Unicode MS" w:hAnsiTheme="minorHAnsi" w:cs="Times New Roman"/>
          <w:color w:val="auto"/>
        </w:rPr>
        <w:t xml:space="preserve"> as moderately mobile. It is unlikely to reach ground water except in vulnerable soils with low organic-carbon content and/or the presence of shallow ground water. The short soil persistence of </w:t>
      </w:r>
      <w:proofErr w:type="gramStart"/>
      <w:r w:rsidRPr="00BD377B">
        <w:rPr>
          <w:rFonts w:asciiTheme="minorHAnsi" w:eastAsia="Arial Unicode MS" w:hAnsiTheme="minorHAnsi" w:cs="Times New Roman"/>
          <w:color w:val="auto"/>
        </w:rPr>
        <w:t>malathion</w:t>
      </w:r>
      <w:proofErr w:type="gramEnd"/>
      <w:r w:rsidRPr="00BD377B">
        <w:rPr>
          <w:rFonts w:asciiTheme="minorHAnsi" w:eastAsia="Arial Unicode MS" w:hAnsiTheme="minorHAnsi" w:cs="Times New Roman"/>
          <w:color w:val="auto"/>
        </w:rPr>
        <w:t xml:space="preserve">, with metabolic half-lives less than one day, reduces the risk of leaching to ground water; however, it has been detected in ground water in three states (USEPA 1992). Based on batch equilibrium (adsorption/desorption) studies, unaged </w:t>
      </w:r>
      <w:r w:rsidR="00DE3B21">
        <w:rPr>
          <w:rFonts w:asciiTheme="minorHAnsi" w:eastAsia="Arial Unicode MS" w:hAnsiTheme="minorHAnsi" w:cs="Times New Roman"/>
          <w:color w:val="auto"/>
        </w:rPr>
        <w:t>radiolabeled</w:t>
      </w:r>
      <w:r w:rsidRPr="00BD377B">
        <w:rPr>
          <w:rFonts w:asciiTheme="minorHAnsi" w:eastAsia="Arial Unicode MS" w:hAnsiTheme="minorHAnsi" w:cs="Times New Roman"/>
          <w:color w:val="auto"/>
        </w:rPr>
        <w:t xml:space="preserve"> malathion was determined to be moderately mobile in sandy loam, sand, loam, and silt loam soils, with </w:t>
      </w:r>
      <w:proofErr w:type="spellStart"/>
      <w:r w:rsidRPr="00BD377B">
        <w:rPr>
          <w:rFonts w:asciiTheme="minorHAnsi" w:eastAsia="Arial Unicode MS" w:hAnsiTheme="minorHAnsi" w:cs="Times New Roman"/>
          <w:color w:val="auto"/>
        </w:rPr>
        <w:t>Freundlich</w:t>
      </w:r>
      <w:proofErr w:type="spellEnd"/>
      <w:r w:rsidRPr="00BD377B">
        <w:rPr>
          <w:rFonts w:asciiTheme="minorHAnsi" w:eastAsia="Arial Unicode MS" w:hAnsiTheme="minorHAnsi" w:cs="Times New Roman"/>
          <w:color w:val="auto"/>
        </w:rPr>
        <w:t xml:space="preserve"> </w:t>
      </w:r>
      <w:proofErr w:type="spellStart"/>
      <w:r w:rsidRPr="00BD377B">
        <w:rPr>
          <w:rFonts w:asciiTheme="minorHAnsi" w:eastAsia="Arial Unicode MS" w:hAnsiTheme="minorHAnsi" w:cs="Times New Roman"/>
          <w:color w:val="auto"/>
        </w:rPr>
        <w:t>Kads</w:t>
      </w:r>
      <w:proofErr w:type="spellEnd"/>
      <w:r w:rsidRPr="00BD377B">
        <w:rPr>
          <w:rFonts w:asciiTheme="minorHAnsi" w:eastAsia="Arial Unicode MS" w:hAnsiTheme="minorHAnsi" w:cs="Times New Roman"/>
          <w:color w:val="auto"/>
        </w:rPr>
        <w:t xml:space="preserve"> values of 0.83 - 2.47 L/kg and Koc values from 151-308 L/kg. Adsorption was correlated with organic carbon content. Values for 1/n for </w:t>
      </w:r>
      <w:proofErr w:type="spellStart"/>
      <w:r w:rsidRPr="00BD377B">
        <w:rPr>
          <w:rFonts w:asciiTheme="minorHAnsi" w:eastAsia="Arial Unicode MS" w:hAnsiTheme="minorHAnsi" w:cs="Times New Roman"/>
          <w:color w:val="auto"/>
        </w:rPr>
        <w:t>Kads</w:t>
      </w:r>
      <w:proofErr w:type="spellEnd"/>
      <w:r w:rsidRPr="00BD377B">
        <w:rPr>
          <w:rFonts w:asciiTheme="minorHAnsi" w:eastAsia="Arial Unicode MS" w:hAnsiTheme="minorHAnsi" w:cs="Times New Roman"/>
          <w:color w:val="auto"/>
        </w:rPr>
        <w:t xml:space="preserve"> were clustered in the range of 0.904 - 0.978 (MRID 41345201). Malaoxon was not detected in any leachate or soil extracts in concentrations ≥0.12% (≥6 </w:t>
      </w:r>
      <w:proofErr w:type="spellStart"/>
      <w:r w:rsidRPr="00BD377B">
        <w:rPr>
          <w:rFonts w:asciiTheme="minorHAnsi" w:eastAsia="Arial Unicode MS" w:hAnsiTheme="minorHAnsi" w:cs="Times New Roman"/>
          <w:color w:val="auto"/>
        </w:rPr>
        <w:t>μg</w:t>
      </w:r>
      <w:proofErr w:type="spellEnd"/>
      <w:r w:rsidRPr="00BD377B">
        <w:rPr>
          <w:rFonts w:asciiTheme="minorHAnsi" w:eastAsia="Arial Unicode MS" w:hAnsiTheme="minorHAnsi" w:cs="Times New Roman"/>
          <w:color w:val="auto"/>
        </w:rPr>
        <w:t xml:space="preserve">/L) of applied radioactivity (MRID 43868601, 41345201, 43166301).  Mobility of malaoxon is indistinguishable from </w:t>
      </w:r>
      <w:proofErr w:type="gramStart"/>
      <w:r w:rsidRPr="00BD377B">
        <w:rPr>
          <w:rFonts w:asciiTheme="minorHAnsi" w:eastAsia="Arial Unicode MS" w:hAnsiTheme="minorHAnsi" w:cs="Times New Roman"/>
          <w:color w:val="auto"/>
        </w:rPr>
        <w:t>malathion</w:t>
      </w:r>
      <w:proofErr w:type="gramEnd"/>
      <w:r w:rsidRPr="00BD377B">
        <w:rPr>
          <w:rFonts w:asciiTheme="minorHAnsi" w:eastAsia="Arial Unicode MS" w:hAnsiTheme="minorHAnsi" w:cs="Times New Roman"/>
          <w:color w:val="auto"/>
        </w:rPr>
        <w:t xml:space="preserve"> as </w:t>
      </w:r>
      <w:proofErr w:type="spellStart"/>
      <w:r w:rsidRPr="00BD377B">
        <w:rPr>
          <w:rFonts w:asciiTheme="minorHAnsi" w:eastAsia="Arial Unicode MS" w:hAnsiTheme="minorHAnsi" w:cs="Times New Roman"/>
          <w:color w:val="auto"/>
        </w:rPr>
        <w:t>Kads</w:t>
      </w:r>
      <w:proofErr w:type="spellEnd"/>
      <w:r w:rsidRPr="00BD377B">
        <w:rPr>
          <w:rFonts w:asciiTheme="minorHAnsi" w:eastAsia="Arial Unicode MS" w:hAnsiTheme="minorHAnsi" w:cs="Times New Roman"/>
          <w:color w:val="auto"/>
        </w:rPr>
        <w:t xml:space="preserve"> values range from 0.66 – 3.27 mL/g and Koc values range from 81 – 327 mL/g </w:t>
      </w:r>
      <w:proofErr w:type="spellStart"/>
      <w:r w:rsidRPr="00BD377B">
        <w:rPr>
          <w:rFonts w:asciiTheme="minorHAnsi" w:eastAsia="Arial Unicode MS" w:hAnsiTheme="minorHAnsi" w:cs="Times New Roman"/>
          <w:color w:val="auto"/>
        </w:rPr>
        <w:lastRenderedPageBreak/>
        <w:t>o.c</w:t>
      </w:r>
      <w:proofErr w:type="spellEnd"/>
      <w:r w:rsidRPr="00BD377B">
        <w:rPr>
          <w:rFonts w:asciiTheme="minorHAnsi" w:eastAsia="Arial Unicode MS" w:hAnsiTheme="minorHAnsi" w:cs="Times New Roman"/>
          <w:color w:val="auto"/>
        </w:rPr>
        <w:t xml:space="preserve">. (MRID 48571804).  Other degradates are significantly more mobile as malathion dicarboxylic acid </w:t>
      </w:r>
      <w:proofErr w:type="spellStart"/>
      <w:r w:rsidRPr="00BD377B">
        <w:rPr>
          <w:rFonts w:asciiTheme="minorHAnsi" w:eastAsia="Arial Unicode MS" w:hAnsiTheme="minorHAnsi" w:cs="Times New Roman"/>
          <w:color w:val="auto"/>
        </w:rPr>
        <w:t>Kads</w:t>
      </w:r>
      <w:proofErr w:type="spellEnd"/>
      <w:r w:rsidRPr="00BD377B">
        <w:rPr>
          <w:rFonts w:asciiTheme="minorHAnsi" w:eastAsia="Arial Unicode MS" w:hAnsiTheme="minorHAnsi" w:cs="Times New Roman"/>
          <w:color w:val="auto"/>
        </w:rPr>
        <w:t xml:space="preserve"> values range from 0.05 – 0.98 mL/g and Koc values range from 7 – 76 mL/g </w:t>
      </w:r>
      <w:proofErr w:type="spellStart"/>
      <w:r w:rsidRPr="00BD377B">
        <w:rPr>
          <w:rFonts w:asciiTheme="minorHAnsi" w:eastAsia="Arial Unicode MS" w:hAnsiTheme="minorHAnsi" w:cs="Times New Roman"/>
          <w:color w:val="auto"/>
        </w:rPr>
        <w:t>o.c</w:t>
      </w:r>
      <w:proofErr w:type="spellEnd"/>
      <w:r w:rsidRPr="00BD377B">
        <w:rPr>
          <w:rFonts w:asciiTheme="minorHAnsi" w:eastAsia="Arial Unicode MS" w:hAnsiTheme="minorHAnsi" w:cs="Times New Roman"/>
          <w:color w:val="auto"/>
        </w:rPr>
        <w:t xml:space="preserve">. (MRID 48944501).  Malathion monocarboxylic acid rapidly degrades in soil to </w:t>
      </w:r>
      <w:proofErr w:type="gramStart"/>
      <w:r w:rsidRPr="00BD377B">
        <w:rPr>
          <w:rFonts w:asciiTheme="minorHAnsi" w:eastAsia="Arial Unicode MS" w:hAnsiTheme="minorHAnsi" w:cs="Times New Roman"/>
          <w:color w:val="auto"/>
        </w:rPr>
        <w:t>malathion</w:t>
      </w:r>
      <w:proofErr w:type="gramEnd"/>
      <w:r w:rsidRPr="00BD377B">
        <w:rPr>
          <w:rFonts w:asciiTheme="minorHAnsi" w:eastAsia="Arial Unicode MS" w:hAnsiTheme="minorHAnsi" w:cs="Times New Roman"/>
          <w:color w:val="auto"/>
        </w:rPr>
        <w:t xml:space="preserve"> dicarboxylic acid and can be presumed to have similar mobility to its degradation product during its presence (MRID 48944502).</w:t>
      </w:r>
    </w:p>
    <w:p w14:paraId="582789B4" w14:textId="77777777" w:rsidR="008F0DB9" w:rsidRPr="00BD377B" w:rsidRDefault="008F0DB9">
      <w:pPr>
        <w:spacing w:after="0" w:line="240" w:lineRule="auto"/>
        <w:rPr>
          <w:rFonts w:asciiTheme="minorHAnsi" w:hAnsiTheme="minorHAnsi" w:cs="Times New Roman"/>
          <w:color w:val="auto"/>
        </w:rPr>
      </w:pPr>
    </w:p>
    <w:p w14:paraId="53CEDB52" w14:textId="2B8409DF" w:rsidR="005D355F" w:rsidRPr="00BD377B" w:rsidRDefault="005D355F" w:rsidP="0098305D">
      <w:pPr>
        <w:pStyle w:val="Heading1"/>
        <w:spacing w:before="0" w:after="0" w:line="240" w:lineRule="auto"/>
        <w:rPr>
          <w:rFonts w:asciiTheme="minorHAnsi" w:hAnsiTheme="minorHAnsi"/>
          <w:color w:val="auto"/>
          <w:sz w:val="22"/>
          <w:szCs w:val="22"/>
        </w:rPr>
      </w:pPr>
      <w:r w:rsidRPr="00BD377B">
        <w:rPr>
          <w:rFonts w:asciiTheme="minorHAnsi" w:hAnsiTheme="minorHAnsi"/>
          <w:color w:val="auto"/>
          <w:sz w:val="22"/>
          <w:szCs w:val="22"/>
        </w:rPr>
        <w:t>Field Studies</w:t>
      </w:r>
    </w:p>
    <w:p w14:paraId="2A64DF00" w14:textId="77777777" w:rsidR="0098305D" w:rsidRPr="00BD377B" w:rsidRDefault="0098305D" w:rsidP="0098305D">
      <w:pPr>
        <w:spacing w:after="0" w:line="240" w:lineRule="auto"/>
        <w:rPr>
          <w:rFonts w:asciiTheme="minorHAnsi" w:hAnsiTheme="minorHAnsi"/>
          <w:color w:val="auto"/>
        </w:rPr>
      </w:pPr>
    </w:p>
    <w:p w14:paraId="125233F4" w14:textId="77777777" w:rsidR="0098305D" w:rsidRPr="00BD377B" w:rsidRDefault="0098305D" w:rsidP="0098305D">
      <w:pPr>
        <w:pStyle w:val="ListParagraph"/>
        <w:keepNext/>
        <w:keepLines/>
        <w:numPr>
          <w:ilvl w:val="0"/>
          <w:numId w:val="17"/>
        </w:numPr>
        <w:spacing w:after="0" w:line="240" w:lineRule="auto"/>
        <w:contextualSpacing w:val="0"/>
        <w:outlineLvl w:val="1"/>
        <w:rPr>
          <w:rFonts w:asciiTheme="minorHAnsi" w:hAnsiTheme="minorHAnsi"/>
          <w:b/>
          <w:vanish/>
          <w:color w:val="auto"/>
        </w:rPr>
      </w:pPr>
    </w:p>
    <w:p w14:paraId="6E9B88E6" w14:textId="77777777" w:rsidR="0098305D" w:rsidRPr="00BD377B" w:rsidRDefault="0098305D" w:rsidP="0098305D">
      <w:pPr>
        <w:pStyle w:val="ListParagraph"/>
        <w:keepNext/>
        <w:keepLines/>
        <w:numPr>
          <w:ilvl w:val="1"/>
          <w:numId w:val="17"/>
        </w:numPr>
        <w:spacing w:after="0" w:line="240" w:lineRule="auto"/>
        <w:contextualSpacing w:val="0"/>
        <w:outlineLvl w:val="1"/>
        <w:rPr>
          <w:rFonts w:asciiTheme="minorHAnsi" w:hAnsiTheme="minorHAnsi"/>
          <w:b/>
          <w:vanish/>
          <w:color w:val="auto"/>
        </w:rPr>
      </w:pPr>
    </w:p>
    <w:p w14:paraId="29DA2FC3" w14:textId="77777777" w:rsidR="0098305D" w:rsidRPr="00BD377B" w:rsidRDefault="0098305D" w:rsidP="0098305D">
      <w:pPr>
        <w:pStyle w:val="ListParagraph"/>
        <w:keepNext/>
        <w:keepLines/>
        <w:numPr>
          <w:ilvl w:val="1"/>
          <w:numId w:val="17"/>
        </w:numPr>
        <w:spacing w:after="0" w:line="240" w:lineRule="auto"/>
        <w:contextualSpacing w:val="0"/>
        <w:outlineLvl w:val="1"/>
        <w:rPr>
          <w:rFonts w:asciiTheme="minorHAnsi" w:hAnsiTheme="minorHAnsi"/>
          <w:b/>
          <w:vanish/>
          <w:color w:val="auto"/>
        </w:rPr>
      </w:pPr>
    </w:p>
    <w:p w14:paraId="35DBE6E6" w14:textId="77777777" w:rsidR="0098305D" w:rsidRPr="00BD377B" w:rsidRDefault="0098305D" w:rsidP="0098305D">
      <w:pPr>
        <w:pStyle w:val="ListParagraph"/>
        <w:keepNext/>
        <w:keepLines/>
        <w:numPr>
          <w:ilvl w:val="1"/>
          <w:numId w:val="17"/>
        </w:numPr>
        <w:spacing w:after="0" w:line="240" w:lineRule="auto"/>
        <w:contextualSpacing w:val="0"/>
        <w:outlineLvl w:val="1"/>
        <w:rPr>
          <w:rFonts w:asciiTheme="minorHAnsi" w:hAnsiTheme="minorHAnsi"/>
          <w:b/>
          <w:vanish/>
          <w:color w:val="auto"/>
        </w:rPr>
      </w:pPr>
    </w:p>
    <w:p w14:paraId="1D7C2295" w14:textId="32670948" w:rsidR="005D355F" w:rsidRPr="00BD377B" w:rsidRDefault="005D355F" w:rsidP="00536163">
      <w:pPr>
        <w:pStyle w:val="Heading2"/>
        <w:numPr>
          <w:ilvl w:val="2"/>
          <w:numId w:val="21"/>
        </w:numPr>
        <w:spacing w:before="0" w:after="0" w:line="240" w:lineRule="auto"/>
        <w:rPr>
          <w:rFonts w:asciiTheme="minorHAnsi" w:hAnsiTheme="minorHAnsi"/>
          <w:color w:val="auto"/>
          <w:sz w:val="22"/>
          <w:szCs w:val="22"/>
        </w:rPr>
      </w:pPr>
      <w:r w:rsidRPr="00BD377B">
        <w:rPr>
          <w:rFonts w:asciiTheme="minorHAnsi" w:hAnsiTheme="minorHAnsi"/>
          <w:color w:val="auto"/>
          <w:sz w:val="22"/>
          <w:szCs w:val="22"/>
        </w:rPr>
        <w:t>Terrestrial field dissipation</w:t>
      </w:r>
    </w:p>
    <w:p w14:paraId="3E4772EA" w14:textId="77777777" w:rsidR="005D355F" w:rsidRPr="00BD377B" w:rsidRDefault="005D355F" w:rsidP="005D355F">
      <w:pPr>
        <w:spacing w:after="0" w:line="240" w:lineRule="auto"/>
        <w:rPr>
          <w:rFonts w:asciiTheme="minorHAnsi" w:hAnsiTheme="minorHAnsi" w:cs="Times New Roman"/>
          <w:color w:val="auto"/>
        </w:rPr>
      </w:pPr>
    </w:p>
    <w:p w14:paraId="56104B1B" w14:textId="33776E90" w:rsidR="005D355F" w:rsidRPr="00175B1D" w:rsidRDefault="005D355F" w:rsidP="005D355F">
      <w:pPr>
        <w:spacing w:after="0" w:line="240" w:lineRule="auto"/>
        <w:rPr>
          <w:rFonts w:asciiTheme="minorHAnsi" w:hAnsiTheme="minorHAnsi" w:cs="Times New Roman"/>
        </w:rPr>
      </w:pPr>
      <w:r w:rsidRPr="00BD377B">
        <w:rPr>
          <w:rFonts w:asciiTheme="minorHAnsi" w:eastAsia="Arial Unicode MS" w:hAnsiTheme="minorHAnsi" w:cs="Times New Roman"/>
          <w:color w:val="auto"/>
        </w:rPr>
        <w:t xml:space="preserve">Data from open literature and registrant-submitted field dissipation studies indicate that </w:t>
      </w:r>
      <w:proofErr w:type="gramStart"/>
      <w:r w:rsidRPr="00BD377B">
        <w:rPr>
          <w:rFonts w:asciiTheme="minorHAnsi" w:eastAsia="Arial Unicode MS" w:hAnsiTheme="minorHAnsi" w:cs="Times New Roman"/>
          <w:color w:val="auto"/>
        </w:rPr>
        <w:t>malathion</w:t>
      </w:r>
      <w:proofErr w:type="gramEnd"/>
      <w:r w:rsidRPr="00BD377B">
        <w:rPr>
          <w:rFonts w:asciiTheme="minorHAnsi" w:eastAsia="Arial Unicode MS" w:hAnsiTheme="minorHAnsi" w:cs="Times New Roman"/>
          <w:color w:val="auto"/>
        </w:rPr>
        <w:t xml:space="preserve"> dissipates rapidly when applied in the field. In a registrant submitted field dissipation study using a rate of 1.16 lbs </w:t>
      </w:r>
      <w:proofErr w:type="spellStart"/>
      <w:r w:rsidRPr="00BD377B">
        <w:rPr>
          <w:rFonts w:asciiTheme="minorHAnsi" w:eastAsia="Arial Unicode MS" w:hAnsiTheme="minorHAnsi" w:cs="Times New Roman"/>
          <w:color w:val="auto"/>
        </w:rPr>
        <w:t>ai</w:t>
      </w:r>
      <w:proofErr w:type="spellEnd"/>
      <w:r w:rsidRPr="00BD377B">
        <w:rPr>
          <w:rFonts w:asciiTheme="minorHAnsi" w:eastAsia="Arial Unicode MS" w:hAnsiTheme="minorHAnsi" w:cs="Times New Roman"/>
          <w:color w:val="auto"/>
        </w:rPr>
        <w:t xml:space="preserve">/A applied weekly, malathion or malaoxon residues were detected at ≤10 </w:t>
      </w:r>
      <w:proofErr w:type="spellStart"/>
      <w:r w:rsidRPr="00BD377B">
        <w:rPr>
          <w:rFonts w:asciiTheme="minorHAnsi" w:eastAsia="Arial Unicode MS" w:hAnsiTheme="minorHAnsi" w:cs="Times New Roman"/>
          <w:color w:val="auto"/>
        </w:rPr>
        <w:t>μg</w:t>
      </w:r>
      <w:proofErr w:type="spellEnd"/>
      <w:r w:rsidRPr="00BD377B">
        <w:rPr>
          <w:rFonts w:asciiTheme="minorHAnsi" w:eastAsia="Arial Unicode MS" w:hAnsiTheme="minorHAnsi" w:cs="Times New Roman"/>
          <w:color w:val="auto"/>
        </w:rPr>
        <w:t xml:space="preserve">/kg in the 0-6" layer in cotton/bare ground sites in GA immediately after application and 1, 3, and 7 days after the last application.  </w:t>
      </w:r>
      <w:r w:rsidR="009558DF" w:rsidRPr="00BD377B">
        <w:rPr>
          <w:rFonts w:asciiTheme="minorHAnsi" w:eastAsia="Arial Unicode MS" w:hAnsiTheme="minorHAnsi" w:cs="Times New Roman"/>
          <w:color w:val="auto"/>
        </w:rPr>
        <w:t xml:space="preserve">The application rates used are reflective of currently registered application rates.  </w:t>
      </w:r>
      <w:r w:rsidRPr="00BD377B">
        <w:rPr>
          <w:rFonts w:asciiTheme="minorHAnsi" w:eastAsia="Arial Unicode MS" w:hAnsiTheme="minorHAnsi" w:cs="Times New Roman"/>
          <w:color w:val="auto"/>
        </w:rPr>
        <w:t xml:space="preserve">Due to the sampling depth it is not possible to determine how much </w:t>
      </w:r>
      <w:proofErr w:type="gramStart"/>
      <w:r w:rsidRPr="00BD377B">
        <w:rPr>
          <w:rFonts w:asciiTheme="minorHAnsi" w:eastAsia="Arial Unicode MS" w:hAnsiTheme="minorHAnsi" w:cs="Times New Roman"/>
          <w:color w:val="auto"/>
        </w:rPr>
        <w:t>malathion</w:t>
      </w:r>
      <w:proofErr w:type="gramEnd"/>
      <w:r w:rsidRPr="00BD377B">
        <w:rPr>
          <w:rFonts w:asciiTheme="minorHAnsi" w:eastAsia="Arial Unicode MS" w:hAnsiTheme="minorHAnsi" w:cs="Times New Roman"/>
          <w:color w:val="auto"/>
        </w:rPr>
        <w:t xml:space="preserve"> remained at the soil surface relative to that which moved through the first six inches. Residues detected in the plots in the 6-12" layer after the 2nd, 3rd, 4th, and 5th treatments averaged 35, 37, 5.6, and 9.4 </w:t>
      </w:r>
      <w:proofErr w:type="spellStart"/>
      <w:r w:rsidRPr="00BD377B">
        <w:rPr>
          <w:rFonts w:asciiTheme="minorHAnsi" w:eastAsia="Arial Unicode MS" w:hAnsiTheme="minorHAnsi" w:cs="Times New Roman"/>
          <w:color w:val="auto"/>
        </w:rPr>
        <w:t>μg</w:t>
      </w:r>
      <w:proofErr w:type="spellEnd"/>
      <w:r w:rsidRPr="00BD377B">
        <w:rPr>
          <w:rFonts w:asciiTheme="minorHAnsi" w:eastAsia="Arial Unicode MS" w:hAnsiTheme="minorHAnsi" w:cs="Times New Roman"/>
          <w:color w:val="auto"/>
        </w:rPr>
        <w:t xml:space="preserve">/kg, respectively. Malathion was detected in the 12-18 inch soil depth at 16 </w:t>
      </w:r>
      <w:proofErr w:type="spellStart"/>
      <w:r w:rsidRPr="00BD377B">
        <w:rPr>
          <w:rFonts w:asciiTheme="minorHAnsi" w:eastAsia="Arial Unicode MS" w:hAnsiTheme="minorHAnsi" w:cs="Times New Roman"/>
          <w:color w:val="auto"/>
        </w:rPr>
        <w:t>μg</w:t>
      </w:r>
      <w:proofErr w:type="spellEnd"/>
      <w:r w:rsidRPr="00BD377B">
        <w:rPr>
          <w:rFonts w:asciiTheme="minorHAnsi" w:eastAsia="Arial Unicode MS" w:hAnsiTheme="minorHAnsi" w:cs="Times New Roman"/>
          <w:color w:val="auto"/>
        </w:rPr>
        <w:t xml:space="preserve">/kg in one replicate soil sample; however, the detection was attributed to contamination. The detection of malathion below six inches along with the low </w:t>
      </w:r>
      <w:proofErr w:type="spellStart"/>
      <w:r w:rsidRPr="00BD377B">
        <w:rPr>
          <w:rFonts w:asciiTheme="minorHAnsi" w:eastAsia="Arial Unicode MS" w:hAnsiTheme="minorHAnsi" w:cs="Times New Roman"/>
          <w:color w:val="auto"/>
        </w:rPr>
        <w:t>Kd</w:t>
      </w:r>
      <w:proofErr w:type="spellEnd"/>
      <w:r w:rsidRPr="00BD377B">
        <w:rPr>
          <w:rFonts w:asciiTheme="minorHAnsi" w:eastAsia="Arial Unicode MS" w:hAnsiTheme="minorHAnsi" w:cs="Times New Roman"/>
          <w:color w:val="auto"/>
        </w:rPr>
        <w:t xml:space="preserve"> values reported for malathion make it feasible that leaching below 12 inches may have occurred in the field dissipation studies. The terrestrial field dissipation half-life could not be determined due to the rapid dissipation of </w:t>
      </w:r>
      <w:proofErr w:type="gramStart"/>
      <w:r w:rsidRPr="00BD377B">
        <w:rPr>
          <w:rFonts w:asciiTheme="minorHAnsi" w:eastAsia="Arial Unicode MS" w:hAnsiTheme="minorHAnsi" w:cs="Times New Roman"/>
          <w:color w:val="auto"/>
        </w:rPr>
        <w:t>malathion</w:t>
      </w:r>
      <w:proofErr w:type="gramEnd"/>
      <w:r w:rsidRPr="00BD377B">
        <w:rPr>
          <w:rFonts w:asciiTheme="minorHAnsi" w:eastAsia="Arial Unicode MS" w:hAnsiTheme="minorHAnsi" w:cs="Times New Roman"/>
          <w:color w:val="auto"/>
        </w:rPr>
        <w:t xml:space="preserve">, although it is probably &lt;1 day (MRID 41748901, 43042401, 43166301). In a field dissipation study located in California, </w:t>
      </w:r>
      <w:proofErr w:type="gramStart"/>
      <w:r w:rsidRPr="00BD377B">
        <w:rPr>
          <w:rFonts w:asciiTheme="minorHAnsi" w:eastAsia="Arial Unicode MS" w:hAnsiTheme="minorHAnsi" w:cs="Times New Roman"/>
          <w:color w:val="auto"/>
        </w:rPr>
        <w:t>malathion</w:t>
      </w:r>
      <w:proofErr w:type="gramEnd"/>
      <w:r w:rsidRPr="00BD377B">
        <w:rPr>
          <w:rFonts w:asciiTheme="minorHAnsi" w:eastAsia="Arial Unicode MS" w:hAnsiTheme="minorHAnsi" w:cs="Times New Roman"/>
          <w:color w:val="auto"/>
        </w:rPr>
        <w:t xml:space="preserve"> was applied at a maximum rate of 1.16 lbs </w:t>
      </w:r>
      <w:proofErr w:type="spellStart"/>
      <w:r w:rsidRPr="00BD377B">
        <w:rPr>
          <w:rFonts w:asciiTheme="minorHAnsi" w:eastAsia="Arial Unicode MS" w:hAnsiTheme="minorHAnsi" w:cs="Times New Roman"/>
          <w:color w:val="auto"/>
        </w:rPr>
        <w:t>ai</w:t>
      </w:r>
      <w:proofErr w:type="spellEnd"/>
      <w:r w:rsidRPr="00BD377B">
        <w:rPr>
          <w:rFonts w:asciiTheme="minorHAnsi" w:eastAsia="Arial Unicode MS" w:hAnsiTheme="minorHAnsi" w:cs="Times New Roman"/>
          <w:color w:val="auto"/>
        </w:rPr>
        <w:t xml:space="preserve">/A once a week for 6 weeks. The resulting dissipation half-life was &lt;0.2 days. In certain instances, </w:t>
      </w:r>
      <w:proofErr w:type="gramStart"/>
      <w:r w:rsidRPr="00BD377B">
        <w:rPr>
          <w:rFonts w:asciiTheme="minorHAnsi" w:eastAsia="Arial Unicode MS" w:hAnsiTheme="minorHAnsi" w:cs="Times New Roman"/>
          <w:color w:val="auto"/>
        </w:rPr>
        <w:t>malathion</w:t>
      </w:r>
      <w:proofErr w:type="gramEnd"/>
      <w:r w:rsidRPr="00BD377B">
        <w:rPr>
          <w:rFonts w:asciiTheme="minorHAnsi" w:eastAsia="Arial Unicode MS" w:hAnsiTheme="minorHAnsi" w:cs="Times New Roman"/>
          <w:color w:val="auto"/>
        </w:rPr>
        <w:t xml:space="preserve"> was detected below the 12 inch soil depth. No degradates were detected (MRID 41727701, 43042402, 43166301).  Malathion dissipation on hard surfaces varies from 0.1 to 2.2 days on concrete to 5.6 to 13 days on sand as seen in </w:t>
      </w:r>
      <w:r w:rsidR="006B0110" w:rsidRPr="00175B1D">
        <w:rPr>
          <w:rFonts w:asciiTheme="minorHAnsi" w:eastAsia="Times New Roman" w:hAnsiTheme="minorHAnsi" w:cs="Times New Roman"/>
          <w:b/>
        </w:rPr>
        <w:t xml:space="preserve">Table </w:t>
      </w:r>
      <w:r w:rsidR="00C3411D">
        <w:rPr>
          <w:rFonts w:asciiTheme="minorHAnsi" w:eastAsia="Times New Roman" w:hAnsiTheme="minorHAnsi" w:cs="Times New Roman"/>
          <w:b/>
        </w:rPr>
        <w:t>B 3-1.</w:t>
      </w:r>
      <w:r w:rsidR="006B0110">
        <w:rPr>
          <w:rFonts w:asciiTheme="minorHAnsi" w:eastAsia="Times New Roman" w:hAnsiTheme="minorHAnsi" w:cs="Times New Roman"/>
          <w:b/>
        </w:rPr>
        <w:t>1</w:t>
      </w:r>
      <w:r w:rsidRPr="00BD377B">
        <w:rPr>
          <w:rFonts w:asciiTheme="minorHAnsi" w:eastAsia="Arial Unicode MS" w:hAnsiTheme="minorHAnsi" w:cs="Times New Roman"/>
          <w:color w:val="auto"/>
        </w:rPr>
        <w:t xml:space="preserve">.  Appreciable malaoxon formation relative to </w:t>
      </w:r>
      <w:proofErr w:type="gramStart"/>
      <w:r w:rsidRPr="00BD377B">
        <w:rPr>
          <w:rFonts w:asciiTheme="minorHAnsi" w:eastAsia="Arial Unicode MS" w:hAnsiTheme="minorHAnsi" w:cs="Times New Roman"/>
          <w:color w:val="auto"/>
        </w:rPr>
        <w:t>malathion</w:t>
      </w:r>
      <w:proofErr w:type="gramEnd"/>
      <w:r w:rsidRPr="00BD377B">
        <w:rPr>
          <w:rFonts w:asciiTheme="minorHAnsi" w:eastAsia="Arial Unicode MS" w:hAnsiTheme="minorHAnsi" w:cs="Times New Roman"/>
          <w:color w:val="auto"/>
        </w:rPr>
        <w:t xml:space="preserve"> concentrations occurred on sand (6%) and dry soil (10%).  Residues of malaoxon on steel, concrete, and plastic were very low or nondetectable (MRID 48626701).  Degradation of </w:t>
      </w:r>
      <w:proofErr w:type="gramStart"/>
      <w:r w:rsidRPr="00BD377B">
        <w:rPr>
          <w:rFonts w:asciiTheme="minorHAnsi" w:eastAsia="Arial Unicode MS" w:hAnsiTheme="minorHAnsi" w:cs="Times New Roman"/>
          <w:color w:val="auto"/>
        </w:rPr>
        <w:t>malathion</w:t>
      </w:r>
      <w:proofErr w:type="gramEnd"/>
      <w:r w:rsidRPr="00BD377B">
        <w:rPr>
          <w:rFonts w:asciiTheme="minorHAnsi" w:eastAsia="Arial Unicode MS" w:hAnsiTheme="minorHAnsi" w:cs="Times New Roman"/>
          <w:color w:val="auto"/>
        </w:rPr>
        <w:t xml:space="preserve"> increased over subsequent applications on sand and soil, likely due to microbial activity, but application order appears to have little to no effect on steel, concrete, and plastic and increased formation of malaoxon was not observed.</w:t>
      </w:r>
    </w:p>
    <w:p w14:paraId="4A1E2B51" w14:textId="77777777" w:rsidR="005D355F" w:rsidRPr="00175B1D" w:rsidRDefault="005D355F" w:rsidP="005D355F">
      <w:pPr>
        <w:spacing w:after="0" w:line="240" w:lineRule="auto"/>
        <w:rPr>
          <w:rFonts w:asciiTheme="minorHAnsi" w:hAnsiTheme="minorHAnsi"/>
        </w:rPr>
      </w:pPr>
    </w:p>
    <w:p w14:paraId="34E2B17B" w14:textId="00C28015" w:rsidR="005D355F" w:rsidRPr="00175B1D" w:rsidRDefault="005D355F" w:rsidP="005D355F">
      <w:pPr>
        <w:spacing w:after="0" w:line="240" w:lineRule="auto"/>
        <w:rPr>
          <w:rFonts w:asciiTheme="minorHAnsi" w:hAnsiTheme="minorHAnsi"/>
        </w:rPr>
      </w:pPr>
      <w:r w:rsidRPr="00175B1D">
        <w:rPr>
          <w:rFonts w:asciiTheme="minorHAnsi" w:eastAsia="Times New Roman" w:hAnsiTheme="minorHAnsi" w:cs="Times New Roman"/>
          <w:b/>
        </w:rPr>
        <w:t xml:space="preserve">Table </w:t>
      </w:r>
      <w:r w:rsidR="006B0110">
        <w:rPr>
          <w:rFonts w:asciiTheme="minorHAnsi" w:eastAsia="Times New Roman" w:hAnsiTheme="minorHAnsi" w:cs="Times New Roman"/>
          <w:b/>
        </w:rPr>
        <w:t xml:space="preserve">B </w:t>
      </w:r>
      <w:r w:rsidR="00C3411D">
        <w:rPr>
          <w:rFonts w:asciiTheme="minorHAnsi" w:eastAsia="Times New Roman" w:hAnsiTheme="minorHAnsi" w:cs="Times New Roman"/>
          <w:b/>
        </w:rPr>
        <w:t>3-1.</w:t>
      </w:r>
      <w:r w:rsidR="006B0110">
        <w:rPr>
          <w:rFonts w:asciiTheme="minorHAnsi" w:eastAsia="Times New Roman" w:hAnsiTheme="minorHAnsi" w:cs="Times New Roman"/>
          <w:b/>
        </w:rPr>
        <w:t>1</w:t>
      </w:r>
      <w:r w:rsidRPr="00175B1D">
        <w:rPr>
          <w:rFonts w:asciiTheme="minorHAnsi" w:eastAsia="Times New Roman" w:hAnsiTheme="minorHAnsi" w:cs="Times New Roman"/>
          <w:b/>
        </w:rPr>
        <w:t xml:space="preserve">.  Half-lives of </w:t>
      </w:r>
      <w:proofErr w:type="gramStart"/>
      <w:r w:rsidRPr="00175B1D">
        <w:rPr>
          <w:rFonts w:asciiTheme="minorHAnsi" w:eastAsia="Times New Roman" w:hAnsiTheme="minorHAnsi" w:cs="Times New Roman"/>
          <w:b/>
        </w:rPr>
        <w:t>malathion</w:t>
      </w:r>
      <w:proofErr w:type="gramEnd"/>
      <w:r w:rsidRPr="00175B1D">
        <w:rPr>
          <w:rFonts w:asciiTheme="minorHAnsi" w:eastAsia="Times New Roman" w:hAnsiTheme="minorHAnsi" w:cs="Times New Roman"/>
          <w:b/>
        </w:rPr>
        <w:t xml:space="preserve"> on hard surfaces (MRID 48626701)</w:t>
      </w:r>
    </w:p>
    <w:tbl>
      <w:tblPr>
        <w:tblStyle w:val="a0"/>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5"/>
        <w:gridCol w:w="2340"/>
        <w:gridCol w:w="1710"/>
        <w:gridCol w:w="3150"/>
      </w:tblGrid>
      <w:tr w:rsidR="005D355F" w:rsidRPr="00175B1D" w14:paraId="1FF61F52" w14:textId="77777777" w:rsidTr="0098305D">
        <w:trPr>
          <w:jc w:val="center"/>
        </w:trPr>
        <w:tc>
          <w:tcPr>
            <w:tcW w:w="1165" w:type="dxa"/>
          </w:tcPr>
          <w:p w14:paraId="77BF84E3" w14:textId="77777777" w:rsidR="005D355F" w:rsidRPr="00175B1D" w:rsidRDefault="005D355F" w:rsidP="00B14B07">
            <w:pPr>
              <w:rPr>
                <w:rFonts w:asciiTheme="minorHAnsi" w:hAnsiTheme="minorHAnsi"/>
                <w:b/>
              </w:rPr>
            </w:pPr>
            <w:r w:rsidRPr="00175B1D">
              <w:rPr>
                <w:rFonts w:asciiTheme="minorHAnsi" w:eastAsia="Times New Roman" w:hAnsiTheme="minorHAnsi" w:cs="Times New Roman"/>
                <w:b/>
              </w:rPr>
              <w:t>Media</w:t>
            </w:r>
          </w:p>
        </w:tc>
        <w:tc>
          <w:tcPr>
            <w:tcW w:w="2340" w:type="dxa"/>
          </w:tcPr>
          <w:p w14:paraId="0959FB12" w14:textId="77777777" w:rsidR="005D355F" w:rsidRPr="00175B1D" w:rsidRDefault="005D355F" w:rsidP="00B14B07">
            <w:pPr>
              <w:rPr>
                <w:rFonts w:asciiTheme="minorHAnsi" w:hAnsiTheme="minorHAnsi"/>
                <w:b/>
              </w:rPr>
            </w:pPr>
            <w:r w:rsidRPr="00175B1D">
              <w:rPr>
                <w:rFonts w:asciiTheme="minorHAnsi" w:eastAsia="Times New Roman" w:hAnsiTheme="minorHAnsi" w:cs="Times New Roman"/>
                <w:b/>
              </w:rPr>
              <w:t>Application Number</w:t>
            </w:r>
          </w:p>
        </w:tc>
        <w:tc>
          <w:tcPr>
            <w:tcW w:w="1710" w:type="dxa"/>
          </w:tcPr>
          <w:p w14:paraId="5C0185BA" w14:textId="77777777" w:rsidR="005D355F" w:rsidRPr="00175B1D" w:rsidRDefault="005D355F" w:rsidP="00B14B07">
            <w:pPr>
              <w:rPr>
                <w:rFonts w:asciiTheme="minorHAnsi" w:hAnsiTheme="minorHAnsi"/>
                <w:b/>
              </w:rPr>
            </w:pPr>
            <w:r w:rsidRPr="00175B1D">
              <w:rPr>
                <w:rFonts w:asciiTheme="minorHAnsi" w:eastAsia="Times New Roman" w:hAnsiTheme="minorHAnsi" w:cs="Times New Roman"/>
                <w:b/>
              </w:rPr>
              <w:t>Half-life (days)</w:t>
            </w:r>
          </w:p>
        </w:tc>
        <w:tc>
          <w:tcPr>
            <w:tcW w:w="3150" w:type="dxa"/>
          </w:tcPr>
          <w:p w14:paraId="41742682" w14:textId="77777777" w:rsidR="005D355F" w:rsidRPr="00175B1D" w:rsidRDefault="005D355F" w:rsidP="00B14B07">
            <w:pPr>
              <w:rPr>
                <w:rFonts w:asciiTheme="minorHAnsi" w:hAnsiTheme="minorHAnsi"/>
                <w:b/>
              </w:rPr>
            </w:pPr>
            <w:r w:rsidRPr="00175B1D">
              <w:rPr>
                <w:rFonts w:asciiTheme="minorHAnsi" w:eastAsia="Times New Roman" w:hAnsiTheme="minorHAnsi" w:cs="Times New Roman"/>
                <w:b/>
              </w:rPr>
              <w:t>Regression Model of Best Fit</w:t>
            </w:r>
          </w:p>
        </w:tc>
      </w:tr>
      <w:tr w:rsidR="005D355F" w:rsidRPr="00175B1D" w14:paraId="388FD66C" w14:textId="77777777" w:rsidTr="0098305D">
        <w:trPr>
          <w:jc w:val="center"/>
        </w:trPr>
        <w:tc>
          <w:tcPr>
            <w:tcW w:w="1165" w:type="dxa"/>
            <w:vMerge w:val="restart"/>
          </w:tcPr>
          <w:p w14:paraId="401C5B50" w14:textId="77777777" w:rsidR="005D355F" w:rsidRPr="00175B1D" w:rsidRDefault="005D355F" w:rsidP="00B14B07">
            <w:pPr>
              <w:rPr>
                <w:rFonts w:asciiTheme="minorHAnsi" w:hAnsiTheme="minorHAnsi"/>
              </w:rPr>
            </w:pPr>
            <w:r w:rsidRPr="00175B1D">
              <w:rPr>
                <w:rFonts w:asciiTheme="minorHAnsi" w:eastAsia="Times New Roman" w:hAnsiTheme="minorHAnsi" w:cs="Times New Roman"/>
              </w:rPr>
              <w:t>Sand</w:t>
            </w:r>
          </w:p>
        </w:tc>
        <w:tc>
          <w:tcPr>
            <w:tcW w:w="2340" w:type="dxa"/>
          </w:tcPr>
          <w:p w14:paraId="1AE7F3B1"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1</w:t>
            </w:r>
          </w:p>
        </w:tc>
        <w:tc>
          <w:tcPr>
            <w:tcW w:w="1710" w:type="dxa"/>
          </w:tcPr>
          <w:p w14:paraId="4F7C88CB"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13</w:t>
            </w:r>
          </w:p>
        </w:tc>
        <w:tc>
          <w:tcPr>
            <w:tcW w:w="3150" w:type="dxa"/>
          </w:tcPr>
          <w:p w14:paraId="7798B620"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SFO</w:t>
            </w:r>
          </w:p>
        </w:tc>
      </w:tr>
      <w:tr w:rsidR="005D355F" w:rsidRPr="00175B1D" w14:paraId="6EAA7BA4" w14:textId="77777777" w:rsidTr="0098305D">
        <w:trPr>
          <w:jc w:val="center"/>
        </w:trPr>
        <w:tc>
          <w:tcPr>
            <w:tcW w:w="1165" w:type="dxa"/>
            <w:vMerge/>
          </w:tcPr>
          <w:p w14:paraId="0121BD30" w14:textId="77777777" w:rsidR="005D355F" w:rsidRPr="00175B1D" w:rsidRDefault="005D355F" w:rsidP="00B14B07">
            <w:pPr>
              <w:rPr>
                <w:rFonts w:asciiTheme="minorHAnsi" w:hAnsiTheme="minorHAnsi"/>
              </w:rPr>
            </w:pPr>
          </w:p>
        </w:tc>
        <w:tc>
          <w:tcPr>
            <w:tcW w:w="2340" w:type="dxa"/>
          </w:tcPr>
          <w:p w14:paraId="066386A6"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2</w:t>
            </w:r>
          </w:p>
        </w:tc>
        <w:tc>
          <w:tcPr>
            <w:tcW w:w="1710" w:type="dxa"/>
          </w:tcPr>
          <w:p w14:paraId="3331483A"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7.7</w:t>
            </w:r>
          </w:p>
        </w:tc>
        <w:tc>
          <w:tcPr>
            <w:tcW w:w="3150" w:type="dxa"/>
          </w:tcPr>
          <w:p w14:paraId="04ACA7B5"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SFO</w:t>
            </w:r>
          </w:p>
        </w:tc>
      </w:tr>
      <w:tr w:rsidR="005D355F" w:rsidRPr="00175B1D" w14:paraId="4CDE4974" w14:textId="77777777" w:rsidTr="0098305D">
        <w:trPr>
          <w:jc w:val="center"/>
        </w:trPr>
        <w:tc>
          <w:tcPr>
            <w:tcW w:w="1165" w:type="dxa"/>
            <w:vMerge/>
          </w:tcPr>
          <w:p w14:paraId="1D564392" w14:textId="77777777" w:rsidR="005D355F" w:rsidRPr="00175B1D" w:rsidRDefault="005D355F" w:rsidP="00B14B07">
            <w:pPr>
              <w:rPr>
                <w:rFonts w:asciiTheme="minorHAnsi" w:hAnsiTheme="minorHAnsi"/>
              </w:rPr>
            </w:pPr>
          </w:p>
        </w:tc>
        <w:tc>
          <w:tcPr>
            <w:tcW w:w="2340" w:type="dxa"/>
          </w:tcPr>
          <w:p w14:paraId="116AF303"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3</w:t>
            </w:r>
          </w:p>
        </w:tc>
        <w:tc>
          <w:tcPr>
            <w:tcW w:w="1710" w:type="dxa"/>
          </w:tcPr>
          <w:p w14:paraId="4EF96BB1"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5.6</w:t>
            </w:r>
          </w:p>
        </w:tc>
        <w:tc>
          <w:tcPr>
            <w:tcW w:w="3150" w:type="dxa"/>
          </w:tcPr>
          <w:p w14:paraId="51A54894"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IORE</w:t>
            </w:r>
          </w:p>
        </w:tc>
      </w:tr>
      <w:tr w:rsidR="005D355F" w:rsidRPr="00175B1D" w14:paraId="7A2E0638" w14:textId="77777777" w:rsidTr="0098305D">
        <w:trPr>
          <w:jc w:val="center"/>
        </w:trPr>
        <w:tc>
          <w:tcPr>
            <w:tcW w:w="1165" w:type="dxa"/>
            <w:vMerge w:val="restart"/>
          </w:tcPr>
          <w:p w14:paraId="06B4D25E" w14:textId="77777777" w:rsidR="005D355F" w:rsidRPr="00175B1D" w:rsidRDefault="005D355F" w:rsidP="00B14B07">
            <w:pPr>
              <w:rPr>
                <w:rFonts w:asciiTheme="minorHAnsi" w:hAnsiTheme="minorHAnsi"/>
              </w:rPr>
            </w:pPr>
            <w:r w:rsidRPr="00175B1D">
              <w:rPr>
                <w:rFonts w:asciiTheme="minorHAnsi" w:eastAsia="Times New Roman" w:hAnsiTheme="minorHAnsi" w:cs="Times New Roman"/>
              </w:rPr>
              <w:t>Soil</w:t>
            </w:r>
          </w:p>
        </w:tc>
        <w:tc>
          <w:tcPr>
            <w:tcW w:w="2340" w:type="dxa"/>
          </w:tcPr>
          <w:p w14:paraId="61F710DA"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1</w:t>
            </w:r>
          </w:p>
        </w:tc>
        <w:tc>
          <w:tcPr>
            <w:tcW w:w="1710" w:type="dxa"/>
          </w:tcPr>
          <w:p w14:paraId="5E4E5795"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4</w:t>
            </w:r>
          </w:p>
        </w:tc>
        <w:tc>
          <w:tcPr>
            <w:tcW w:w="3150" w:type="dxa"/>
          </w:tcPr>
          <w:p w14:paraId="7E82C78A"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SFO</w:t>
            </w:r>
          </w:p>
        </w:tc>
      </w:tr>
      <w:tr w:rsidR="005D355F" w:rsidRPr="00175B1D" w14:paraId="3A1D1891" w14:textId="77777777" w:rsidTr="0098305D">
        <w:trPr>
          <w:jc w:val="center"/>
        </w:trPr>
        <w:tc>
          <w:tcPr>
            <w:tcW w:w="1165" w:type="dxa"/>
            <w:vMerge/>
          </w:tcPr>
          <w:p w14:paraId="52B193BE" w14:textId="77777777" w:rsidR="005D355F" w:rsidRPr="00175B1D" w:rsidRDefault="005D355F" w:rsidP="00B14B07">
            <w:pPr>
              <w:rPr>
                <w:rFonts w:asciiTheme="minorHAnsi" w:hAnsiTheme="minorHAnsi"/>
              </w:rPr>
            </w:pPr>
          </w:p>
        </w:tc>
        <w:tc>
          <w:tcPr>
            <w:tcW w:w="2340" w:type="dxa"/>
          </w:tcPr>
          <w:p w14:paraId="017DD48B"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2</w:t>
            </w:r>
          </w:p>
        </w:tc>
        <w:tc>
          <w:tcPr>
            <w:tcW w:w="1710" w:type="dxa"/>
          </w:tcPr>
          <w:p w14:paraId="534F76EB"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3.3</w:t>
            </w:r>
          </w:p>
        </w:tc>
        <w:tc>
          <w:tcPr>
            <w:tcW w:w="3150" w:type="dxa"/>
          </w:tcPr>
          <w:p w14:paraId="2A91E579"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SFO</w:t>
            </w:r>
          </w:p>
        </w:tc>
      </w:tr>
      <w:tr w:rsidR="005D355F" w:rsidRPr="00175B1D" w14:paraId="7A11AD1F" w14:textId="77777777" w:rsidTr="0098305D">
        <w:trPr>
          <w:jc w:val="center"/>
        </w:trPr>
        <w:tc>
          <w:tcPr>
            <w:tcW w:w="1165" w:type="dxa"/>
            <w:vMerge/>
          </w:tcPr>
          <w:p w14:paraId="094442B4" w14:textId="77777777" w:rsidR="005D355F" w:rsidRPr="00175B1D" w:rsidRDefault="005D355F" w:rsidP="00B14B07">
            <w:pPr>
              <w:rPr>
                <w:rFonts w:asciiTheme="minorHAnsi" w:hAnsiTheme="minorHAnsi"/>
              </w:rPr>
            </w:pPr>
          </w:p>
        </w:tc>
        <w:tc>
          <w:tcPr>
            <w:tcW w:w="2340" w:type="dxa"/>
          </w:tcPr>
          <w:p w14:paraId="1ABFA692"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3</w:t>
            </w:r>
          </w:p>
        </w:tc>
        <w:tc>
          <w:tcPr>
            <w:tcW w:w="1710" w:type="dxa"/>
          </w:tcPr>
          <w:p w14:paraId="4565E4D6"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2.9</w:t>
            </w:r>
          </w:p>
        </w:tc>
        <w:tc>
          <w:tcPr>
            <w:tcW w:w="3150" w:type="dxa"/>
          </w:tcPr>
          <w:p w14:paraId="7108CF9D"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IORE</w:t>
            </w:r>
          </w:p>
        </w:tc>
      </w:tr>
      <w:tr w:rsidR="005D355F" w:rsidRPr="00175B1D" w14:paraId="7C64BF0D" w14:textId="77777777" w:rsidTr="0098305D">
        <w:trPr>
          <w:jc w:val="center"/>
        </w:trPr>
        <w:tc>
          <w:tcPr>
            <w:tcW w:w="1165" w:type="dxa"/>
            <w:vMerge w:val="restart"/>
          </w:tcPr>
          <w:p w14:paraId="132B7E78" w14:textId="77777777" w:rsidR="005D355F" w:rsidRPr="00175B1D" w:rsidRDefault="005D355F" w:rsidP="00B14B07">
            <w:pPr>
              <w:rPr>
                <w:rFonts w:asciiTheme="minorHAnsi" w:hAnsiTheme="minorHAnsi"/>
              </w:rPr>
            </w:pPr>
            <w:r w:rsidRPr="00175B1D">
              <w:rPr>
                <w:rFonts w:asciiTheme="minorHAnsi" w:eastAsia="Times New Roman" w:hAnsiTheme="minorHAnsi" w:cs="Times New Roman"/>
              </w:rPr>
              <w:t>Steel</w:t>
            </w:r>
          </w:p>
        </w:tc>
        <w:tc>
          <w:tcPr>
            <w:tcW w:w="2340" w:type="dxa"/>
          </w:tcPr>
          <w:p w14:paraId="069F6CFB"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1</w:t>
            </w:r>
          </w:p>
        </w:tc>
        <w:tc>
          <w:tcPr>
            <w:tcW w:w="1710" w:type="dxa"/>
          </w:tcPr>
          <w:p w14:paraId="2D24932E"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1.5</w:t>
            </w:r>
          </w:p>
        </w:tc>
        <w:tc>
          <w:tcPr>
            <w:tcW w:w="3150" w:type="dxa"/>
          </w:tcPr>
          <w:p w14:paraId="6F2F15D0"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SFO</w:t>
            </w:r>
          </w:p>
        </w:tc>
      </w:tr>
      <w:tr w:rsidR="005D355F" w:rsidRPr="00175B1D" w14:paraId="4077F2C8" w14:textId="77777777" w:rsidTr="0098305D">
        <w:trPr>
          <w:jc w:val="center"/>
        </w:trPr>
        <w:tc>
          <w:tcPr>
            <w:tcW w:w="1165" w:type="dxa"/>
            <w:vMerge/>
          </w:tcPr>
          <w:p w14:paraId="4002448B" w14:textId="77777777" w:rsidR="005D355F" w:rsidRPr="00175B1D" w:rsidRDefault="005D355F" w:rsidP="00B14B07">
            <w:pPr>
              <w:rPr>
                <w:rFonts w:asciiTheme="minorHAnsi" w:hAnsiTheme="minorHAnsi"/>
              </w:rPr>
            </w:pPr>
          </w:p>
        </w:tc>
        <w:tc>
          <w:tcPr>
            <w:tcW w:w="2340" w:type="dxa"/>
          </w:tcPr>
          <w:p w14:paraId="320C54D9"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2</w:t>
            </w:r>
          </w:p>
        </w:tc>
        <w:tc>
          <w:tcPr>
            <w:tcW w:w="1710" w:type="dxa"/>
          </w:tcPr>
          <w:p w14:paraId="1E1FE632"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3.9</w:t>
            </w:r>
          </w:p>
        </w:tc>
        <w:tc>
          <w:tcPr>
            <w:tcW w:w="3150" w:type="dxa"/>
          </w:tcPr>
          <w:p w14:paraId="48CECC14"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SFO</w:t>
            </w:r>
          </w:p>
        </w:tc>
      </w:tr>
      <w:tr w:rsidR="005D355F" w:rsidRPr="00175B1D" w14:paraId="536198E6" w14:textId="77777777" w:rsidTr="0098305D">
        <w:trPr>
          <w:jc w:val="center"/>
        </w:trPr>
        <w:tc>
          <w:tcPr>
            <w:tcW w:w="1165" w:type="dxa"/>
            <w:vMerge/>
          </w:tcPr>
          <w:p w14:paraId="54A9C27D" w14:textId="77777777" w:rsidR="005D355F" w:rsidRPr="00175B1D" w:rsidRDefault="005D355F" w:rsidP="00B14B07">
            <w:pPr>
              <w:rPr>
                <w:rFonts w:asciiTheme="minorHAnsi" w:hAnsiTheme="minorHAnsi"/>
              </w:rPr>
            </w:pPr>
          </w:p>
        </w:tc>
        <w:tc>
          <w:tcPr>
            <w:tcW w:w="2340" w:type="dxa"/>
          </w:tcPr>
          <w:p w14:paraId="0F971B77"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3</w:t>
            </w:r>
          </w:p>
        </w:tc>
        <w:tc>
          <w:tcPr>
            <w:tcW w:w="1710" w:type="dxa"/>
          </w:tcPr>
          <w:p w14:paraId="330566D8"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2.6</w:t>
            </w:r>
          </w:p>
        </w:tc>
        <w:tc>
          <w:tcPr>
            <w:tcW w:w="3150" w:type="dxa"/>
          </w:tcPr>
          <w:p w14:paraId="7147324D"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SFO</w:t>
            </w:r>
          </w:p>
        </w:tc>
      </w:tr>
      <w:tr w:rsidR="005D355F" w:rsidRPr="00175B1D" w14:paraId="47F363F6" w14:textId="77777777" w:rsidTr="0098305D">
        <w:trPr>
          <w:jc w:val="center"/>
        </w:trPr>
        <w:tc>
          <w:tcPr>
            <w:tcW w:w="1165" w:type="dxa"/>
            <w:vMerge w:val="restart"/>
          </w:tcPr>
          <w:p w14:paraId="6233A32B" w14:textId="77777777" w:rsidR="005D355F" w:rsidRPr="00175B1D" w:rsidRDefault="005D355F" w:rsidP="00B14B07">
            <w:pPr>
              <w:rPr>
                <w:rFonts w:asciiTheme="minorHAnsi" w:hAnsiTheme="minorHAnsi"/>
              </w:rPr>
            </w:pPr>
            <w:r w:rsidRPr="00175B1D">
              <w:rPr>
                <w:rFonts w:asciiTheme="minorHAnsi" w:eastAsia="Times New Roman" w:hAnsiTheme="minorHAnsi" w:cs="Times New Roman"/>
              </w:rPr>
              <w:t>Concrete</w:t>
            </w:r>
          </w:p>
        </w:tc>
        <w:tc>
          <w:tcPr>
            <w:tcW w:w="2340" w:type="dxa"/>
          </w:tcPr>
          <w:p w14:paraId="72078CDF"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1</w:t>
            </w:r>
          </w:p>
        </w:tc>
        <w:tc>
          <w:tcPr>
            <w:tcW w:w="1710" w:type="dxa"/>
          </w:tcPr>
          <w:p w14:paraId="26B44891"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0.1</w:t>
            </w:r>
          </w:p>
        </w:tc>
        <w:tc>
          <w:tcPr>
            <w:tcW w:w="3150" w:type="dxa"/>
          </w:tcPr>
          <w:p w14:paraId="6D509866"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SFO</w:t>
            </w:r>
          </w:p>
        </w:tc>
      </w:tr>
      <w:tr w:rsidR="005D355F" w:rsidRPr="00175B1D" w14:paraId="5562E6B0" w14:textId="77777777" w:rsidTr="0098305D">
        <w:trPr>
          <w:jc w:val="center"/>
        </w:trPr>
        <w:tc>
          <w:tcPr>
            <w:tcW w:w="1165" w:type="dxa"/>
            <w:vMerge/>
          </w:tcPr>
          <w:p w14:paraId="5F4EA537" w14:textId="77777777" w:rsidR="005D355F" w:rsidRPr="00175B1D" w:rsidRDefault="005D355F" w:rsidP="00B14B07">
            <w:pPr>
              <w:rPr>
                <w:rFonts w:asciiTheme="minorHAnsi" w:hAnsiTheme="minorHAnsi"/>
              </w:rPr>
            </w:pPr>
          </w:p>
        </w:tc>
        <w:tc>
          <w:tcPr>
            <w:tcW w:w="2340" w:type="dxa"/>
          </w:tcPr>
          <w:p w14:paraId="67250871"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2</w:t>
            </w:r>
          </w:p>
        </w:tc>
        <w:tc>
          <w:tcPr>
            <w:tcW w:w="1710" w:type="dxa"/>
          </w:tcPr>
          <w:p w14:paraId="12C1D29C"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0.1</w:t>
            </w:r>
          </w:p>
        </w:tc>
        <w:tc>
          <w:tcPr>
            <w:tcW w:w="3150" w:type="dxa"/>
          </w:tcPr>
          <w:p w14:paraId="30B9724E"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IORE</w:t>
            </w:r>
          </w:p>
        </w:tc>
      </w:tr>
      <w:tr w:rsidR="005D355F" w:rsidRPr="00175B1D" w14:paraId="10F80382" w14:textId="77777777" w:rsidTr="0098305D">
        <w:trPr>
          <w:jc w:val="center"/>
        </w:trPr>
        <w:tc>
          <w:tcPr>
            <w:tcW w:w="1165" w:type="dxa"/>
            <w:vMerge/>
          </w:tcPr>
          <w:p w14:paraId="4E38CB4C" w14:textId="77777777" w:rsidR="005D355F" w:rsidRPr="00175B1D" w:rsidRDefault="005D355F" w:rsidP="00B14B07">
            <w:pPr>
              <w:rPr>
                <w:rFonts w:asciiTheme="minorHAnsi" w:hAnsiTheme="minorHAnsi"/>
              </w:rPr>
            </w:pPr>
          </w:p>
        </w:tc>
        <w:tc>
          <w:tcPr>
            <w:tcW w:w="2340" w:type="dxa"/>
          </w:tcPr>
          <w:p w14:paraId="73DC08E2"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3</w:t>
            </w:r>
          </w:p>
        </w:tc>
        <w:tc>
          <w:tcPr>
            <w:tcW w:w="1710" w:type="dxa"/>
          </w:tcPr>
          <w:p w14:paraId="5B4DC3FB"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2.2</w:t>
            </w:r>
          </w:p>
        </w:tc>
        <w:tc>
          <w:tcPr>
            <w:tcW w:w="3150" w:type="dxa"/>
          </w:tcPr>
          <w:p w14:paraId="51645404"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SFO</w:t>
            </w:r>
          </w:p>
        </w:tc>
      </w:tr>
      <w:tr w:rsidR="005D355F" w:rsidRPr="00175B1D" w14:paraId="659D9330" w14:textId="77777777" w:rsidTr="0098305D">
        <w:trPr>
          <w:jc w:val="center"/>
        </w:trPr>
        <w:tc>
          <w:tcPr>
            <w:tcW w:w="1165" w:type="dxa"/>
            <w:vMerge w:val="restart"/>
          </w:tcPr>
          <w:p w14:paraId="15AB54D7" w14:textId="77777777" w:rsidR="005D355F" w:rsidRPr="00175B1D" w:rsidRDefault="005D355F" w:rsidP="00B14B07">
            <w:pPr>
              <w:rPr>
                <w:rFonts w:asciiTheme="minorHAnsi" w:hAnsiTheme="minorHAnsi"/>
              </w:rPr>
            </w:pPr>
            <w:r w:rsidRPr="00175B1D">
              <w:rPr>
                <w:rFonts w:asciiTheme="minorHAnsi" w:eastAsia="Times New Roman" w:hAnsiTheme="minorHAnsi" w:cs="Times New Roman"/>
              </w:rPr>
              <w:lastRenderedPageBreak/>
              <w:t>Plastic</w:t>
            </w:r>
          </w:p>
        </w:tc>
        <w:tc>
          <w:tcPr>
            <w:tcW w:w="2340" w:type="dxa"/>
          </w:tcPr>
          <w:p w14:paraId="68E281F0"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1</w:t>
            </w:r>
          </w:p>
        </w:tc>
        <w:tc>
          <w:tcPr>
            <w:tcW w:w="1710" w:type="dxa"/>
          </w:tcPr>
          <w:p w14:paraId="549FB91D"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0.4</w:t>
            </w:r>
          </w:p>
        </w:tc>
        <w:tc>
          <w:tcPr>
            <w:tcW w:w="3150" w:type="dxa"/>
          </w:tcPr>
          <w:p w14:paraId="0E8D8114"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SFO</w:t>
            </w:r>
          </w:p>
        </w:tc>
      </w:tr>
      <w:tr w:rsidR="005D355F" w:rsidRPr="00175B1D" w14:paraId="194D959A" w14:textId="77777777" w:rsidTr="0098305D">
        <w:trPr>
          <w:jc w:val="center"/>
        </w:trPr>
        <w:tc>
          <w:tcPr>
            <w:tcW w:w="1165" w:type="dxa"/>
            <w:vMerge/>
          </w:tcPr>
          <w:p w14:paraId="692477BE" w14:textId="77777777" w:rsidR="005D355F" w:rsidRPr="00175B1D" w:rsidRDefault="005D355F" w:rsidP="00B14B07">
            <w:pPr>
              <w:rPr>
                <w:rFonts w:asciiTheme="minorHAnsi" w:hAnsiTheme="minorHAnsi"/>
              </w:rPr>
            </w:pPr>
          </w:p>
        </w:tc>
        <w:tc>
          <w:tcPr>
            <w:tcW w:w="2340" w:type="dxa"/>
          </w:tcPr>
          <w:p w14:paraId="3712B606"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2</w:t>
            </w:r>
          </w:p>
        </w:tc>
        <w:tc>
          <w:tcPr>
            <w:tcW w:w="1710" w:type="dxa"/>
          </w:tcPr>
          <w:p w14:paraId="63DDE3A3"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0.4</w:t>
            </w:r>
          </w:p>
        </w:tc>
        <w:tc>
          <w:tcPr>
            <w:tcW w:w="3150" w:type="dxa"/>
          </w:tcPr>
          <w:p w14:paraId="5272CDCA"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SFO</w:t>
            </w:r>
          </w:p>
        </w:tc>
      </w:tr>
      <w:tr w:rsidR="005D355F" w:rsidRPr="00175B1D" w14:paraId="4FBE980C" w14:textId="77777777" w:rsidTr="0098305D">
        <w:trPr>
          <w:jc w:val="center"/>
        </w:trPr>
        <w:tc>
          <w:tcPr>
            <w:tcW w:w="1165" w:type="dxa"/>
            <w:vMerge/>
          </w:tcPr>
          <w:p w14:paraId="5070F8E8" w14:textId="77777777" w:rsidR="005D355F" w:rsidRPr="00175B1D" w:rsidRDefault="005D355F" w:rsidP="00B14B07">
            <w:pPr>
              <w:rPr>
                <w:rFonts w:asciiTheme="minorHAnsi" w:hAnsiTheme="minorHAnsi"/>
              </w:rPr>
            </w:pPr>
          </w:p>
        </w:tc>
        <w:tc>
          <w:tcPr>
            <w:tcW w:w="2340" w:type="dxa"/>
          </w:tcPr>
          <w:p w14:paraId="1909AC75"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3</w:t>
            </w:r>
          </w:p>
        </w:tc>
        <w:tc>
          <w:tcPr>
            <w:tcW w:w="1710" w:type="dxa"/>
          </w:tcPr>
          <w:p w14:paraId="2329C59E"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0.9</w:t>
            </w:r>
          </w:p>
        </w:tc>
        <w:tc>
          <w:tcPr>
            <w:tcW w:w="3150" w:type="dxa"/>
          </w:tcPr>
          <w:p w14:paraId="148F1252" w14:textId="77777777" w:rsidR="005D355F" w:rsidRPr="00175B1D" w:rsidRDefault="005D355F" w:rsidP="00B14B07">
            <w:pPr>
              <w:jc w:val="center"/>
              <w:rPr>
                <w:rFonts w:asciiTheme="minorHAnsi" w:hAnsiTheme="minorHAnsi"/>
              </w:rPr>
            </w:pPr>
            <w:r w:rsidRPr="00175B1D">
              <w:rPr>
                <w:rFonts w:asciiTheme="minorHAnsi" w:eastAsia="Times New Roman" w:hAnsiTheme="minorHAnsi" w:cs="Times New Roman"/>
              </w:rPr>
              <w:t>IORE</w:t>
            </w:r>
          </w:p>
        </w:tc>
      </w:tr>
    </w:tbl>
    <w:p w14:paraId="5DDBF068" w14:textId="77777777" w:rsidR="005D355F" w:rsidRPr="00175B1D" w:rsidRDefault="005D355F" w:rsidP="005D355F">
      <w:pPr>
        <w:spacing w:after="0" w:line="240" w:lineRule="auto"/>
        <w:rPr>
          <w:rFonts w:asciiTheme="minorHAnsi" w:hAnsiTheme="minorHAnsi"/>
        </w:rPr>
      </w:pPr>
    </w:p>
    <w:p w14:paraId="4E652D59" w14:textId="77777777" w:rsidR="005D355F" w:rsidRPr="00BD377B" w:rsidRDefault="005D355F" w:rsidP="005D355F">
      <w:pPr>
        <w:spacing w:after="0" w:line="240" w:lineRule="auto"/>
        <w:rPr>
          <w:rFonts w:asciiTheme="minorHAnsi" w:hAnsiTheme="minorHAnsi"/>
          <w:color w:val="auto"/>
        </w:rPr>
      </w:pPr>
      <w:r w:rsidRPr="00175B1D">
        <w:rPr>
          <w:rFonts w:asciiTheme="minorHAnsi" w:eastAsia="Times New Roman" w:hAnsiTheme="minorHAnsi" w:cs="Times New Roman"/>
        </w:rPr>
        <w:t xml:space="preserve">Two to three days post-treatment of </w:t>
      </w:r>
      <w:proofErr w:type="gramStart"/>
      <w:r w:rsidRPr="00175B1D">
        <w:rPr>
          <w:rFonts w:asciiTheme="minorHAnsi" w:eastAsia="Times New Roman" w:hAnsiTheme="minorHAnsi" w:cs="Times New Roman"/>
        </w:rPr>
        <w:t>malathion</w:t>
      </w:r>
      <w:proofErr w:type="gramEnd"/>
      <w:r w:rsidRPr="00175B1D">
        <w:rPr>
          <w:rFonts w:asciiTheme="minorHAnsi" w:eastAsia="Times New Roman" w:hAnsiTheme="minorHAnsi" w:cs="Times New Roman"/>
        </w:rPr>
        <w:t xml:space="preserve">, malaoxon residues were detected at 0.18 ppm on guava in Hawaii (MRID 44391501), and 0.20 ppm on succulent peas in California (MRID 44205901).  Malaoxon levels were &lt;0.01 ppm to 0.10 ppm within days after application on strawberries, blueberries, green onion, and </w:t>
      </w:r>
      <w:r w:rsidRPr="00BD377B">
        <w:rPr>
          <w:rFonts w:asciiTheme="minorHAnsi" w:eastAsia="Times New Roman" w:hAnsiTheme="minorHAnsi" w:cs="Times New Roman"/>
          <w:color w:val="auto"/>
        </w:rPr>
        <w:t xml:space="preserve">cottonseed (MRIDs 44094401, 43372601, 43383301, 43596601).  Over the same interval in the above studies, </w:t>
      </w:r>
      <w:proofErr w:type="gramStart"/>
      <w:r w:rsidRPr="00BD377B">
        <w:rPr>
          <w:rFonts w:asciiTheme="minorHAnsi" w:eastAsia="Times New Roman" w:hAnsiTheme="minorHAnsi" w:cs="Times New Roman"/>
          <w:color w:val="auto"/>
        </w:rPr>
        <w:t>malathion</w:t>
      </w:r>
      <w:proofErr w:type="gramEnd"/>
      <w:r w:rsidRPr="00BD377B">
        <w:rPr>
          <w:rFonts w:asciiTheme="minorHAnsi" w:eastAsia="Times New Roman" w:hAnsiTheme="minorHAnsi" w:cs="Times New Roman"/>
          <w:color w:val="auto"/>
        </w:rPr>
        <w:t xml:space="preserve"> residues ranged from 0.1 to 12 ppm.  Malaoxon formation likely occurs through photo-oxidation in these studies.  Open literature studies provide varying rates of terrestrial dissipation. </w:t>
      </w:r>
      <w:proofErr w:type="spellStart"/>
      <w:r w:rsidRPr="00BD377B">
        <w:rPr>
          <w:rFonts w:asciiTheme="minorHAnsi" w:eastAsia="Times New Roman" w:hAnsiTheme="minorHAnsi" w:cs="Times New Roman"/>
          <w:color w:val="auto"/>
        </w:rPr>
        <w:t>Mulla</w:t>
      </w:r>
      <w:proofErr w:type="spellEnd"/>
      <w:r w:rsidRPr="00BD377B">
        <w:rPr>
          <w:rFonts w:asciiTheme="minorHAnsi" w:eastAsia="Times New Roman" w:hAnsiTheme="minorHAnsi" w:cs="Times New Roman"/>
          <w:color w:val="auto"/>
        </w:rPr>
        <w:t xml:space="preserve"> </w:t>
      </w:r>
      <w:r w:rsidRPr="00BD377B">
        <w:rPr>
          <w:rFonts w:asciiTheme="minorHAnsi" w:eastAsia="Times New Roman" w:hAnsiTheme="minorHAnsi" w:cs="Times New Roman"/>
          <w:i/>
          <w:color w:val="auto"/>
        </w:rPr>
        <w:t xml:space="preserve">et al </w:t>
      </w:r>
      <w:r w:rsidRPr="00BD377B">
        <w:rPr>
          <w:rFonts w:asciiTheme="minorHAnsi" w:eastAsia="Times New Roman" w:hAnsiTheme="minorHAnsi" w:cs="Times New Roman"/>
          <w:color w:val="auto"/>
        </w:rPr>
        <w:t xml:space="preserve">(1981) summarizes degradation results from several field studies including: no residues after 6 months (Roberts </w:t>
      </w:r>
      <w:r w:rsidRPr="00BD377B">
        <w:rPr>
          <w:rFonts w:asciiTheme="minorHAnsi" w:eastAsia="Times New Roman" w:hAnsiTheme="minorHAnsi" w:cs="Times New Roman"/>
          <w:i/>
          <w:color w:val="auto"/>
        </w:rPr>
        <w:t>et al</w:t>
      </w:r>
      <w:r w:rsidRPr="00BD377B">
        <w:rPr>
          <w:rFonts w:asciiTheme="minorHAnsi" w:eastAsia="Times New Roman" w:hAnsiTheme="minorHAnsi" w:cs="Times New Roman"/>
          <w:color w:val="auto"/>
        </w:rPr>
        <w:t xml:space="preserve"> 1962), and 85% degradation in 3 days and 97% in 8 days (Lichtenstein and Schulz 1964). The fastest route of terrestrial field dissipation is generally accepted to be microbial degradation.</w:t>
      </w:r>
    </w:p>
    <w:p w14:paraId="1A898BDF" w14:textId="77777777" w:rsidR="005D355F" w:rsidRPr="00BD377B" w:rsidRDefault="005D355F" w:rsidP="005D355F">
      <w:pPr>
        <w:spacing w:after="0" w:line="240" w:lineRule="auto"/>
        <w:rPr>
          <w:rFonts w:asciiTheme="minorHAnsi" w:hAnsiTheme="minorHAnsi"/>
          <w:color w:val="auto"/>
        </w:rPr>
      </w:pPr>
    </w:p>
    <w:p w14:paraId="781BA6CA" w14:textId="77777777" w:rsidR="005D355F" w:rsidRPr="00BD377B" w:rsidRDefault="005D355F" w:rsidP="005D355F">
      <w:pPr>
        <w:pStyle w:val="ListParagraph"/>
        <w:keepNext/>
        <w:keepLines/>
        <w:numPr>
          <w:ilvl w:val="0"/>
          <w:numId w:val="13"/>
        </w:numPr>
        <w:spacing w:after="0" w:line="240" w:lineRule="auto"/>
        <w:contextualSpacing w:val="0"/>
        <w:outlineLvl w:val="1"/>
        <w:rPr>
          <w:rFonts w:asciiTheme="minorHAnsi" w:hAnsiTheme="minorHAnsi"/>
          <w:b/>
          <w:vanish/>
          <w:color w:val="auto"/>
        </w:rPr>
      </w:pPr>
    </w:p>
    <w:p w14:paraId="76685E4E" w14:textId="77777777" w:rsidR="005D355F" w:rsidRPr="00BD377B" w:rsidRDefault="005D355F" w:rsidP="005D355F">
      <w:pPr>
        <w:pStyle w:val="ListParagraph"/>
        <w:keepNext/>
        <w:keepLines/>
        <w:numPr>
          <w:ilvl w:val="1"/>
          <w:numId w:val="13"/>
        </w:numPr>
        <w:spacing w:after="0" w:line="240" w:lineRule="auto"/>
        <w:contextualSpacing w:val="0"/>
        <w:outlineLvl w:val="1"/>
        <w:rPr>
          <w:rFonts w:asciiTheme="minorHAnsi" w:hAnsiTheme="minorHAnsi"/>
          <w:b/>
          <w:vanish/>
          <w:color w:val="auto"/>
        </w:rPr>
      </w:pPr>
    </w:p>
    <w:p w14:paraId="4197803A" w14:textId="77777777" w:rsidR="005D355F" w:rsidRPr="00BD377B" w:rsidRDefault="005D355F" w:rsidP="005D355F">
      <w:pPr>
        <w:pStyle w:val="ListParagraph"/>
        <w:keepNext/>
        <w:keepLines/>
        <w:numPr>
          <w:ilvl w:val="1"/>
          <w:numId w:val="13"/>
        </w:numPr>
        <w:spacing w:after="0" w:line="240" w:lineRule="auto"/>
        <w:contextualSpacing w:val="0"/>
        <w:outlineLvl w:val="1"/>
        <w:rPr>
          <w:rFonts w:asciiTheme="minorHAnsi" w:hAnsiTheme="minorHAnsi"/>
          <w:b/>
          <w:vanish/>
          <w:color w:val="auto"/>
        </w:rPr>
      </w:pPr>
    </w:p>
    <w:p w14:paraId="7CE70A57" w14:textId="77777777" w:rsidR="005D355F" w:rsidRPr="00BD377B" w:rsidRDefault="005D355F" w:rsidP="005D355F">
      <w:pPr>
        <w:pStyle w:val="ListParagraph"/>
        <w:keepNext/>
        <w:keepLines/>
        <w:numPr>
          <w:ilvl w:val="1"/>
          <w:numId w:val="13"/>
        </w:numPr>
        <w:spacing w:after="0" w:line="240" w:lineRule="auto"/>
        <w:contextualSpacing w:val="0"/>
        <w:outlineLvl w:val="1"/>
        <w:rPr>
          <w:rFonts w:asciiTheme="minorHAnsi" w:hAnsiTheme="minorHAnsi"/>
          <w:b/>
          <w:vanish/>
          <w:color w:val="auto"/>
        </w:rPr>
      </w:pPr>
    </w:p>
    <w:p w14:paraId="29C7AA01" w14:textId="6C1F03F0" w:rsidR="005D355F" w:rsidRPr="00BD377B" w:rsidRDefault="005D355F" w:rsidP="00536163">
      <w:pPr>
        <w:pStyle w:val="Heading2"/>
        <w:numPr>
          <w:ilvl w:val="2"/>
          <w:numId w:val="22"/>
        </w:numPr>
        <w:spacing w:before="0" w:after="0" w:line="240" w:lineRule="auto"/>
        <w:rPr>
          <w:rFonts w:asciiTheme="minorHAnsi" w:hAnsiTheme="minorHAnsi"/>
          <w:color w:val="auto"/>
          <w:sz w:val="22"/>
          <w:szCs w:val="22"/>
        </w:rPr>
      </w:pPr>
      <w:r w:rsidRPr="00BD377B">
        <w:rPr>
          <w:rFonts w:asciiTheme="minorHAnsi" w:hAnsiTheme="minorHAnsi"/>
          <w:color w:val="auto"/>
          <w:sz w:val="22"/>
          <w:szCs w:val="22"/>
        </w:rPr>
        <w:t>Aquatic field dissipation</w:t>
      </w:r>
    </w:p>
    <w:p w14:paraId="6BD1A07B" w14:textId="77777777" w:rsidR="005D355F" w:rsidRPr="00BD377B" w:rsidRDefault="005D355F" w:rsidP="005D355F">
      <w:pPr>
        <w:spacing w:after="0" w:line="240" w:lineRule="auto"/>
        <w:rPr>
          <w:rFonts w:asciiTheme="minorHAnsi" w:hAnsiTheme="minorHAnsi"/>
          <w:color w:val="auto"/>
        </w:rPr>
      </w:pPr>
    </w:p>
    <w:p w14:paraId="640690C2" w14:textId="77777777" w:rsidR="005D355F" w:rsidRPr="00BD377B" w:rsidRDefault="005D355F" w:rsidP="005D355F">
      <w:pPr>
        <w:spacing w:after="0" w:line="240" w:lineRule="auto"/>
        <w:rPr>
          <w:rFonts w:asciiTheme="minorHAnsi" w:hAnsiTheme="minorHAnsi"/>
          <w:color w:val="auto"/>
        </w:rPr>
      </w:pPr>
      <w:r w:rsidRPr="00BD377B">
        <w:rPr>
          <w:rFonts w:asciiTheme="minorHAnsi" w:eastAsia="Times New Roman" w:hAnsiTheme="minorHAnsi" w:cs="Times New Roman"/>
          <w:color w:val="auto"/>
        </w:rPr>
        <w:t xml:space="preserve">In the registrant aquatic field dissipation study located in Missouri, </w:t>
      </w:r>
      <w:proofErr w:type="gramStart"/>
      <w:r w:rsidRPr="00BD377B">
        <w:rPr>
          <w:rFonts w:asciiTheme="minorHAnsi" w:eastAsia="Times New Roman" w:hAnsiTheme="minorHAnsi" w:cs="Times New Roman"/>
          <w:color w:val="auto"/>
        </w:rPr>
        <w:t>malathion</w:t>
      </w:r>
      <w:proofErr w:type="gramEnd"/>
      <w:r w:rsidRPr="00BD377B">
        <w:rPr>
          <w:rFonts w:asciiTheme="minorHAnsi" w:eastAsia="Times New Roman" w:hAnsiTheme="minorHAnsi" w:cs="Times New Roman"/>
          <w:color w:val="auto"/>
        </w:rPr>
        <w:t xml:space="preserve"> was applied at a</w:t>
      </w:r>
    </w:p>
    <w:p w14:paraId="6AEC48E7" w14:textId="77777777" w:rsidR="005D355F" w:rsidRPr="00BD377B" w:rsidRDefault="005D355F" w:rsidP="005D355F">
      <w:pPr>
        <w:spacing w:after="0" w:line="240" w:lineRule="auto"/>
        <w:rPr>
          <w:rFonts w:asciiTheme="minorHAnsi" w:hAnsiTheme="minorHAnsi"/>
          <w:color w:val="auto"/>
        </w:rPr>
      </w:pPr>
      <w:proofErr w:type="gramStart"/>
      <w:r w:rsidRPr="00BD377B">
        <w:rPr>
          <w:rFonts w:asciiTheme="minorHAnsi" w:eastAsia="Times New Roman" w:hAnsiTheme="minorHAnsi" w:cs="Times New Roman"/>
          <w:color w:val="auto"/>
        </w:rPr>
        <w:t>maximum</w:t>
      </w:r>
      <w:proofErr w:type="gramEnd"/>
      <w:r w:rsidRPr="00BD377B">
        <w:rPr>
          <w:rFonts w:asciiTheme="minorHAnsi" w:eastAsia="Times New Roman" w:hAnsiTheme="minorHAnsi" w:cs="Times New Roman"/>
          <w:color w:val="auto"/>
        </w:rPr>
        <w:t xml:space="preserve"> rate of 0.58 lb </w:t>
      </w:r>
      <w:proofErr w:type="spellStart"/>
      <w:r w:rsidRPr="00BD377B">
        <w:rPr>
          <w:rFonts w:asciiTheme="minorHAnsi" w:eastAsia="Times New Roman" w:hAnsiTheme="minorHAnsi" w:cs="Times New Roman"/>
          <w:color w:val="auto"/>
        </w:rPr>
        <w:t>ai</w:t>
      </w:r>
      <w:proofErr w:type="spellEnd"/>
      <w:r w:rsidRPr="00BD377B">
        <w:rPr>
          <w:rFonts w:asciiTheme="minorHAnsi" w:eastAsia="Times New Roman" w:hAnsiTheme="minorHAnsi" w:cs="Times New Roman"/>
          <w:color w:val="auto"/>
        </w:rPr>
        <w:t>/A in three weekly applications to a flooded rice paddy (soil pH 6.1,</w:t>
      </w:r>
    </w:p>
    <w:p w14:paraId="1A24124C" w14:textId="77777777" w:rsidR="0098305D" w:rsidRPr="00BD377B" w:rsidRDefault="005D355F" w:rsidP="005D355F">
      <w:pPr>
        <w:spacing w:after="0" w:line="240" w:lineRule="auto"/>
        <w:rPr>
          <w:rFonts w:asciiTheme="minorHAnsi" w:eastAsia="Times New Roman" w:hAnsiTheme="minorHAnsi" w:cs="Times New Roman"/>
          <w:color w:val="auto"/>
        </w:rPr>
      </w:pPr>
      <w:proofErr w:type="gramStart"/>
      <w:r w:rsidRPr="00BD377B">
        <w:rPr>
          <w:rFonts w:asciiTheme="minorHAnsi" w:eastAsia="Times New Roman" w:hAnsiTheme="minorHAnsi" w:cs="Times New Roman"/>
          <w:color w:val="auto"/>
        </w:rPr>
        <w:t>water</w:t>
      </w:r>
      <w:proofErr w:type="gramEnd"/>
      <w:r w:rsidRPr="00BD377B">
        <w:rPr>
          <w:rFonts w:asciiTheme="minorHAnsi" w:eastAsia="Times New Roman" w:hAnsiTheme="minorHAnsi" w:cs="Times New Roman"/>
          <w:color w:val="auto"/>
        </w:rPr>
        <w:t xml:space="preserve"> pH not stated). Samples were collected prior to the subsequent weekly application and tested for </w:t>
      </w:r>
      <w:proofErr w:type="gramStart"/>
      <w:r w:rsidRPr="00BD377B">
        <w:rPr>
          <w:rFonts w:asciiTheme="minorHAnsi" w:eastAsia="Times New Roman" w:hAnsiTheme="minorHAnsi" w:cs="Times New Roman"/>
          <w:color w:val="auto"/>
        </w:rPr>
        <w:t>malathion</w:t>
      </w:r>
      <w:proofErr w:type="gramEnd"/>
      <w:r w:rsidRPr="00BD377B">
        <w:rPr>
          <w:rFonts w:asciiTheme="minorHAnsi" w:eastAsia="Times New Roman" w:hAnsiTheme="minorHAnsi" w:cs="Times New Roman"/>
          <w:color w:val="auto"/>
        </w:rPr>
        <w:t xml:space="preserve"> and malaoxon.  Malathion residues detected in water samples collected after the first and</w:t>
      </w:r>
      <w:r w:rsidRPr="00BD377B">
        <w:rPr>
          <w:rFonts w:asciiTheme="minorHAnsi" w:hAnsiTheme="minorHAnsi"/>
          <w:color w:val="auto"/>
        </w:rPr>
        <w:t xml:space="preserve"> </w:t>
      </w:r>
      <w:r w:rsidRPr="00BD377B">
        <w:rPr>
          <w:rFonts w:asciiTheme="minorHAnsi" w:eastAsia="Times New Roman" w:hAnsiTheme="minorHAnsi" w:cs="Times New Roman"/>
          <w:color w:val="auto"/>
        </w:rPr>
        <w:t xml:space="preserve">second application dissipated to below the detection limit (10 </w:t>
      </w:r>
      <w:proofErr w:type="spellStart"/>
      <w:r w:rsidRPr="00BD377B">
        <w:rPr>
          <w:rFonts w:asciiTheme="minorHAnsi" w:eastAsia="Times New Roman" w:hAnsiTheme="minorHAnsi" w:cs="Times New Roman"/>
          <w:color w:val="auto"/>
        </w:rPr>
        <w:t>μg</w:t>
      </w:r>
      <w:proofErr w:type="spellEnd"/>
      <w:r w:rsidRPr="00BD377B">
        <w:rPr>
          <w:rFonts w:asciiTheme="minorHAnsi" w:eastAsia="Times New Roman" w:hAnsiTheme="minorHAnsi" w:cs="Times New Roman"/>
          <w:color w:val="auto"/>
        </w:rPr>
        <w:t>/L) in samples taken prior to the</w:t>
      </w:r>
      <w:r w:rsidRPr="00BD377B">
        <w:rPr>
          <w:rFonts w:asciiTheme="minorHAnsi" w:hAnsiTheme="minorHAnsi"/>
          <w:color w:val="auto"/>
        </w:rPr>
        <w:t xml:space="preserve"> </w:t>
      </w:r>
      <w:r w:rsidRPr="00BD377B">
        <w:rPr>
          <w:rFonts w:asciiTheme="minorHAnsi" w:eastAsia="Times New Roman" w:hAnsiTheme="minorHAnsi" w:cs="Times New Roman"/>
          <w:color w:val="auto"/>
        </w:rPr>
        <w:t>second and third applications. In water samples collected one day after the last application,</w:t>
      </w:r>
      <w:r w:rsidRPr="00BD377B">
        <w:rPr>
          <w:rFonts w:asciiTheme="minorHAnsi" w:hAnsiTheme="minorHAnsi"/>
          <w:color w:val="auto"/>
        </w:rPr>
        <w:t xml:space="preserve"> </w:t>
      </w:r>
      <w:proofErr w:type="gramStart"/>
      <w:r w:rsidRPr="00BD377B">
        <w:rPr>
          <w:rFonts w:asciiTheme="minorHAnsi" w:eastAsia="Times New Roman" w:hAnsiTheme="minorHAnsi" w:cs="Times New Roman"/>
          <w:color w:val="auto"/>
        </w:rPr>
        <w:t>malathion</w:t>
      </w:r>
      <w:proofErr w:type="gramEnd"/>
      <w:r w:rsidRPr="00BD377B">
        <w:rPr>
          <w:rFonts w:asciiTheme="minorHAnsi" w:eastAsia="Times New Roman" w:hAnsiTheme="minorHAnsi" w:cs="Times New Roman"/>
          <w:color w:val="auto"/>
        </w:rPr>
        <w:t xml:space="preserve"> concentrations averaged 17 </w:t>
      </w:r>
      <w:proofErr w:type="spellStart"/>
      <w:r w:rsidRPr="00BD377B">
        <w:rPr>
          <w:rFonts w:asciiTheme="minorHAnsi" w:eastAsia="Times New Roman" w:hAnsiTheme="minorHAnsi" w:cs="Times New Roman"/>
          <w:color w:val="auto"/>
        </w:rPr>
        <w:t>μg</w:t>
      </w:r>
      <w:proofErr w:type="spellEnd"/>
      <w:r w:rsidRPr="00BD377B">
        <w:rPr>
          <w:rFonts w:asciiTheme="minorHAnsi" w:eastAsia="Times New Roman" w:hAnsiTheme="minorHAnsi" w:cs="Times New Roman"/>
          <w:color w:val="auto"/>
        </w:rPr>
        <w:t xml:space="preserve">/L and had decreased to 10 </w:t>
      </w:r>
      <w:proofErr w:type="spellStart"/>
      <w:r w:rsidRPr="00BD377B">
        <w:rPr>
          <w:rFonts w:asciiTheme="minorHAnsi" w:eastAsia="Times New Roman" w:hAnsiTheme="minorHAnsi" w:cs="Times New Roman"/>
          <w:color w:val="auto"/>
        </w:rPr>
        <w:t>μg</w:t>
      </w:r>
      <w:proofErr w:type="spellEnd"/>
      <w:r w:rsidRPr="00BD377B">
        <w:rPr>
          <w:rFonts w:asciiTheme="minorHAnsi" w:eastAsia="Times New Roman" w:hAnsiTheme="minorHAnsi" w:cs="Times New Roman"/>
          <w:color w:val="auto"/>
        </w:rPr>
        <w:t>/L by the second</w:t>
      </w:r>
      <w:r w:rsidRPr="00BD377B">
        <w:rPr>
          <w:rFonts w:asciiTheme="minorHAnsi" w:hAnsiTheme="minorHAnsi"/>
          <w:color w:val="auto"/>
        </w:rPr>
        <w:t xml:space="preserve"> </w:t>
      </w:r>
      <w:r w:rsidRPr="00BD377B">
        <w:rPr>
          <w:rFonts w:asciiTheme="minorHAnsi" w:eastAsia="Times New Roman" w:hAnsiTheme="minorHAnsi" w:cs="Times New Roman"/>
          <w:color w:val="auto"/>
        </w:rPr>
        <w:t xml:space="preserve">sampling day. Malaoxon residues were &lt;10 </w:t>
      </w:r>
      <w:proofErr w:type="spellStart"/>
      <w:r w:rsidRPr="00BD377B">
        <w:rPr>
          <w:rFonts w:asciiTheme="minorHAnsi" w:eastAsia="Times New Roman" w:hAnsiTheme="minorHAnsi" w:cs="Times New Roman"/>
          <w:color w:val="auto"/>
        </w:rPr>
        <w:t>μg</w:t>
      </w:r>
      <w:proofErr w:type="spellEnd"/>
      <w:r w:rsidRPr="00BD377B">
        <w:rPr>
          <w:rFonts w:asciiTheme="minorHAnsi" w:eastAsia="Times New Roman" w:hAnsiTheme="minorHAnsi" w:cs="Times New Roman"/>
          <w:color w:val="auto"/>
        </w:rPr>
        <w:t xml:space="preserve">/L at all sampling dates. The data indicate a very rapid dissipation of </w:t>
      </w:r>
      <w:proofErr w:type="gramStart"/>
      <w:r w:rsidRPr="00BD377B">
        <w:rPr>
          <w:rFonts w:asciiTheme="minorHAnsi" w:eastAsia="Times New Roman" w:hAnsiTheme="minorHAnsi" w:cs="Times New Roman"/>
          <w:color w:val="auto"/>
        </w:rPr>
        <w:t>malathion</w:t>
      </w:r>
      <w:proofErr w:type="gramEnd"/>
      <w:r w:rsidRPr="00BD377B">
        <w:rPr>
          <w:rFonts w:asciiTheme="minorHAnsi" w:eastAsia="Times New Roman" w:hAnsiTheme="minorHAnsi" w:cs="Times New Roman"/>
          <w:color w:val="auto"/>
        </w:rPr>
        <w:t xml:space="preserve"> in water, with a likely half-life less than one day. An accurate half-life could not be determined because of the rapid dissipation and high detection limit (MRID 42058402, 43166301).</w:t>
      </w:r>
    </w:p>
    <w:p w14:paraId="257C3341" w14:textId="74DEBB28" w:rsidR="005D355F" w:rsidRPr="00BD377B" w:rsidRDefault="005D355F" w:rsidP="005D355F">
      <w:pPr>
        <w:spacing w:after="0" w:line="240" w:lineRule="auto"/>
        <w:rPr>
          <w:rFonts w:asciiTheme="minorHAnsi" w:hAnsiTheme="minorHAnsi"/>
          <w:color w:val="auto"/>
        </w:rPr>
      </w:pPr>
      <w:r w:rsidRPr="00BD377B">
        <w:rPr>
          <w:rFonts w:asciiTheme="minorHAnsi" w:eastAsia="Times New Roman" w:hAnsiTheme="minorHAnsi" w:cs="Times New Roman"/>
          <w:color w:val="auto"/>
        </w:rPr>
        <w:t xml:space="preserve"> </w:t>
      </w:r>
    </w:p>
    <w:p w14:paraId="7DAEAEDF" w14:textId="77777777" w:rsidR="0098305D" w:rsidRPr="00BD377B" w:rsidRDefault="0098305D" w:rsidP="0098305D">
      <w:pPr>
        <w:pStyle w:val="ListParagraph"/>
        <w:keepNext/>
        <w:keepLines/>
        <w:numPr>
          <w:ilvl w:val="0"/>
          <w:numId w:val="18"/>
        </w:numPr>
        <w:spacing w:before="360" w:after="80"/>
        <w:contextualSpacing w:val="0"/>
        <w:outlineLvl w:val="1"/>
        <w:rPr>
          <w:rFonts w:asciiTheme="minorHAnsi" w:hAnsiTheme="minorHAnsi"/>
          <w:b/>
          <w:vanish/>
          <w:color w:val="auto"/>
        </w:rPr>
      </w:pPr>
    </w:p>
    <w:p w14:paraId="526B4F97" w14:textId="77777777" w:rsidR="0098305D" w:rsidRPr="00BD377B" w:rsidRDefault="0098305D" w:rsidP="0098305D">
      <w:pPr>
        <w:pStyle w:val="ListParagraph"/>
        <w:keepNext/>
        <w:keepLines/>
        <w:numPr>
          <w:ilvl w:val="1"/>
          <w:numId w:val="18"/>
        </w:numPr>
        <w:spacing w:before="360" w:after="80"/>
        <w:contextualSpacing w:val="0"/>
        <w:outlineLvl w:val="1"/>
        <w:rPr>
          <w:rFonts w:asciiTheme="minorHAnsi" w:hAnsiTheme="minorHAnsi"/>
          <w:b/>
          <w:vanish/>
          <w:color w:val="auto"/>
        </w:rPr>
      </w:pPr>
    </w:p>
    <w:p w14:paraId="1D27E6EA" w14:textId="77777777" w:rsidR="0098305D" w:rsidRPr="00BD377B" w:rsidRDefault="0098305D" w:rsidP="0098305D">
      <w:pPr>
        <w:pStyle w:val="ListParagraph"/>
        <w:keepNext/>
        <w:keepLines/>
        <w:numPr>
          <w:ilvl w:val="1"/>
          <w:numId w:val="18"/>
        </w:numPr>
        <w:spacing w:before="360" w:after="80"/>
        <w:contextualSpacing w:val="0"/>
        <w:outlineLvl w:val="1"/>
        <w:rPr>
          <w:rFonts w:asciiTheme="minorHAnsi" w:hAnsiTheme="minorHAnsi"/>
          <w:b/>
          <w:vanish/>
          <w:color w:val="auto"/>
        </w:rPr>
      </w:pPr>
    </w:p>
    <w:p w14:paraId="07B2D9B4" w14:textId="77777777" w:rsidR="0098305D" w:rsidRPr="00BD377B" w:rsidRDefault="0098305D" w:rsidP="0098305D">
      <w:pPr>
        <w:pStyle w:val="ListParagraph"/>
        <w:keepNext/>
        <w:keepLines/>
        <w:numPr>
          <w:ilvl w:val="1"/>
          <w:numId w:val="18"/>
        </w:numPr>
        <w:spacing w:before="360" w:after="80"/>
        <w:contextualSpacing w:val="0"/>
        <w:outlineLvl w:val="1"/>
        <w:rPr>
          <w:rFonts w:asciiTheme="minorHAnsi" w:hAnsiTheme="minorHAnsi"/>
          <w:b/>
          <w:vanish/>
          <w:color w:val="auto"/>
        </w:rPr>
      </w:pPr>
    </w:p>
    <w:p w14:paraId="28C712FD" w14:textId="1ED25FD3" w:rsidR="005D355F" w:rsidRPr="00BD377B" w:rsidRDefault="0098305D" w:rsidP="0098305D">
      <w:pPr>
        <w:pStyle w:val="Heading2"/>
        <w:numPr>
          <w:ilvl w:val="2"/>
          <w:numId w:val="18"/>
        </w:numPr>
        <w:spacing w:before="0" w:after="0" w:line="240" w:lineRule="auto"/>
        <w:rPr>
          <w:rFonts w:asciiTheme="minorHAnsi" w:hAnsiTheme="minorHAnsi"/>
          <w:color w:val="auto"/>
          <w:sz w:val="22"/>
          <w:szCs w:val="22"/>
        </w:rPr>
      </w:pPr>
      <w:r w:rsidRPr="00BD377B">
        <w:rPr>
          <w:rFonts w:asciiTheme="minorHAnsi" w:hAnsiTheme="minorHAnsi"/>
          <w:color w:val="auto"/>
          <w:sz w:val="22"/>
          <w:szCs w:val="22"/>
        </w:rPr>
        <w:t>Spray Drift</w:t>
      </w:r>
    </w:p>
    <w:p w14:paraId="78304D99" w14:textId="77777777" w:rsidR="005D355F" w:rsidRPr="00BD377B" w:rsidRDefault="005D355F" w:rsidP="005D355F">
      <w:pPr>
        <w:spacing w:after="0" w:line="240" w:lineRule="auto"/>
        <w:rPr>
          <w:rFonts w:asciiTheme="minorHAnsi" w:hAnsiTheme="minorHAnsi"/>
          <w:color w:val="auto"/>
        </w:rPr>
      </w:pPr>
    </w:p>
    <w:p w14:paraId="701DD0AE" w14:textId="77777777" w:rsidR="005D355F" w:rsidRPr="00BD377B" w:rsidRDefault="005D355F" w:rsidP="005D355F">
      <w:pPr>
        <w:spacing w:after="0" w:line="240" w:lineRule="auto"/>
        <w:rPr>
          <w:rFonts w:asciiTheme="minorHAnsi" w:hAnsiTheme="minorHAnsi"/>
          <w:color w:val="auto"/>
        </w:rPr>
      </w:pPr>
      <w:r w:rsidRPr="00BD377B">
        <w:rPr>
          <w:rFonts w:asciiTheme="minorHAnsi" w:eastAsia="Times New Roman" w:hAnsiTheme="minorHAnsi" w:cs="Times New Roman"/>
          <w:color w:val="auto"/>
        </w:rPr>
        <w:t xml:space="preserve">A half-acre pond surrounded by cotton fields with a 25 foot buffer was monitored for </w:t>
      </w:r>
      <w:proofErr w:type="gramStart"/>
      <w:r w:rsidRPr="00BD377B">
        <w:rPr>
          <w:rFonts w:asciiTheme="minorHAnsi" w:eastAsia="Times New Roman" w:hAnsiTheme="minorHAnsi" w:cs="Times New Roman"/>
          <w:color w:val="auto"/>
        </w:rPr>
        <w:t>malathion</w:t>
      </w:r>
      <w:proofErr w:type="gramEnd"/>
      <w:r w:rsidRPr="00BD377B">
        <w:rPr>
          <w:rFonts w:asciiTheme="minorHAnsi" w:eastAsia="Times New Roman" w:hAnsiTheme="minorHAnsi" w:cs="Times New Roman"/>
          <w:color w:val="auto"/>
        </w:rPr>
        <w:t xml:space="preserve"> as part of the Boll Weevil Eradication Program (BWEP) (USDA 1993). Pesticide drift was determined to be the most important mechanism of contamination of the pond. Residue levels in the pond were lower before treatment (&lt;0.1-0.44 µg/L) and higher immediately after </w:t>
      </w:r>
      <w:proofErr w:type="gramStart"/>
      <w:r w:rsidRPr="00BD377B">
        <w:rPr>
          <w:rFonts w:asciiTheme="minorHAnsi" w:eastAsia="Times New Roman" w:hAnsiTheme="minorHAnsi" w:cs="Times New Roman"/>
          <w:color w:val="auto"/>
        </w:rPr>
        <w:t>malathion</w:t>
      </w:r>
      <w:proofErr w:type="gramEnd"/>
      <w:r w:rsidRPr="00BD377B">
        <w:rPr>
          <w:rFonts w:asciiTheme="minorHAnsi" w:eastAsia="Times New Roman" w:hAnsiTheme="minorHAnsi" w:cs="Times New Roman"/>
          <w:color w:val="auto"/>
        </w:rPr>
        <w:t xml:space="preserve"> application (&lt;0.33-91.4 µg/L). In most cases </w:t>
      </w:r>
      <w:proofErr w:type="gramStart"/>
      <w:r w:rsidRPr="00BD377B">
        <w:rPr>
          <w:rFonts w:asciiTheme="minorHAnsi" w:eastAsia="Times New Roman" w:hAnsiTheme="minorHAnsi" w:cs="Times New Roman"/>
          <w:color w:val="auto"/>
        </w:rPr>
        <w:t>malathion</w:t>
      </w:r>
      <w:proofErr w:type="gramEnd"/>
      <w:r w:rsidRPr="00BD377B">
        <w:rPr>
          <w:rFonts w:asciiTheme="minorHAnsi" w:eastAsia="Times New Roman" w:hAnsiTheme="minorHAnsi" w:cs="Times New Roman"/>
          <w:color w:val="auto"/>
        </w:rPr>
        <w:t xml:space="preserve"> in the pond degraded to &lt;0.33 µg/L within 7 days. Runoff was only a minor contributor of residue to the pond but only two rainfalls occurred during the sampling period.  Other natural bodies of water within treatment areas, but not intentionally receiving direct spray, showed no levels of malathion &gt;0.0154 ppb from 3 to 27 days after applications ceased (USDA 1995).  BWEP also assessed spray drift contributions to moving water bodies. Wide buffer strips (125-700 feet) with high vegetation appeared to reduce </w:t>
      </w:r>
      <w:proofErr w:type="gramStart"/>
      <w:r w:rsidRPr="00BD377B">
        <w:rPr>
          <w:rFonts w:asciiTheme="minorHAnsi" w:eastAsia="Times New Roman" w:hAnsiTheme="minorHAnsi" w:cs="Times New Roman"/>
          <w:color w:val="auto"/>
        </w:rPr>
        <w:t>malathion</w:t>
      </w:r>
      <w:proofErr w:type="gramEnd"/>
      <w:r w:rsidRPr="00BD377B">
        <w:rPr>
          <w:rFonts w:asciiTheme="minorHAnsi" w:eastAsia="Times New Roman" w:hAnsiTheme="minorHAnsi" w:cs="Times New Roman"/>
          <w:color w:val="auto"/>
        </w:rPr>
        <w:t xml:space="preserve"> drift to sensitive areas to levels below detection while narrower and lower buffer afforded less protection. With</w:t>
      </w:r>
      <w:r w:rsidRPr="00BD377B">
        <w:rPr>
          <w:rFonts w:asciiTheme="minorHAnsi" w:hAnsiTheme="minorHAnsi"/>
          <w:color w:val="auto"/>
        </w:rPr>
        <w:t xml:space="preserve"> </w:t>
      </w:r>
      <w:r w:rsidRPr="00BD377B">
        <w:rPr>
          <w:rFonts w:asciiTheme="minorHAnsi" w:eastAsia="Times New Roman" w:hAnsiTheme="minorHAnsi" w:cs="Times New Roman"/>
          <w:color w:val="auto"/>
        </w:rPr>
        <w:t xml:space="preserve">aerial applications, 8 of 19 applications lead to higher aquatic </w:t>
      </w:r>
      <w:proofErr w:type="gramStart"/>
      <w:r w:rsidRPr="00BD377B">
        <w:rPr>
          <w:rFonts w:asciiTheme="minorHAnsi" w:eastAsia="Times New Roman" w:hAnsiTheme="minorHAnsi" w:cs="Times New Roman"/>
          <w:color w:val="auto"/>
        </w:rPr>
        <w:t>malathion</w:t>
      </w:r>
      <w:proofErr w:type="gramEnd"/>
      <w:r w:rsidRPr="00BD377B">
        <w:rPr>
          <w:rFonts w:asciiTheme="minorHAnsi" w:eastAsia="Times New Roman" w:hAnsiTheme="minorHAnsi" w:cs="Times New Roman"/>
          <w:color w:val="auto"/>
        </w:rPr>
        <w:t xml:space="preserve"> concentrations, whereas only 1 of 10 ground applications resulted in higher malathion levels. Of the 71 applications for which stream concentrations were measured, the three highest detections were 86.9 ppb, 11.4 ppb, and 10.9 ppb.  Aerial applications are more prone to drift than ground applications. Malathion levels in the streams, rivers, and canals increased after nearby treatments and then decreased rapidly. The lower concentrations measured over time are likely due to dilution and in-stream degradation.</w:t>
      </w:r>
    </w:p>
    <w:p w14:paraId="23D0D4B0" w14:textId="77777777" w:rsidR="005D355F" w:rsidRPr="00BD377B" w:rsidRDefault="005D355F">
      <w:pPr>
        <w:spacing w:after="0" w:line="240" w:lineRule="auto"/>
        <w:rPr>
          <w:rFonts w:asciiTheme="minorHAnsi" w:hAnsiTheme="minorHAnsi" w:cs="Times New Roman"/>
          <w:color w:val="auto"/>
        </w:rPr>
      </w:pPr>
    </w:p>
    <w:p w14:paraId="65D1F4D2" w14:textId="77777777" w:rsidR="00536163" w:rsidRPr="00BD377B" w:rsidRDefault="00536163" w:rsidP="00536163">
      <w:pPr>
        <w:pStyle w:val="ListParagraph"/>
        <w:numPr>
          <w:ilvl w:val="1"/>
          <w:numId w:val="19"/>
        </w:numPr>
        <w:spacing w:after="0" w:line="240" w:lineRule="auto"/>
        <w:rPr>
          <w:rFonts w:asciiTheme="minorHAnsi" w:hAnsiTheme="minorHAnsi" w:cs="Times New Roman"/>
          <w:b/>
          <w:caps/>
          <w:color w:val="auto"/>
        </w:rPr>
      </w:pPr>
      <w:r w:rsidRPr="00BD377B">
        <w:rPr>
          <w:rFonts w:asciiTheme="minorHAnsi" w:hAnsiTheme="minorHAnsi" w:cs="Times New Roman"/>
          <w:b/>
          <w:caps/>
          <w:color w:val="auto"/>
        </w:rPr>
        <w:lastRenderedPageBreak/>
        <w:t>Bioconcentration Factor</w:t>
      </w:r>
    </w:p>
    <w:p w14:paraId="6A6A9370" w14:textId="77777777" w:rsidR="00843BAA" w:rsidRPr="00BD377B" w:rsidRDefault="00843BAA" w:rsidP="00843BAA">
      <w:pPr>
        <w:pStyle w:val="ListParagraph"/>
        <w:spacing w:after="0" w:line="240" w:lineRule="auto"/>
        <w:rPr>
          <w:rFonts w:asciiTheme="minorHAnsi" w:hAnsiTheme="minorHAnsi" w:cs="Times New Roman"/>
          <w:b/>
          <w:caps/>
          <w:color w:val="auto"/>
        </w:rPr>
      </w:pPr>
    </w:p>
    <w:p w14:paraId="5650793C" w14:textId="77777777" w:rsidR="001454C2" w:rsidRPr="001454C2" w:rsidRDefault="001454C2" w:rsidP="001454C2">
      <w:pPr>
        <w:pStyle w:val="ListParagraph"/>
        <w:spacing w:after="0" w:line="240" w:lineRule="auto"/>
        <w:rPr>
          <w:rFonts w:asciiTheme="minorHAnsi" w:hAnsiTheme="minorHAnsi" w:cs="Times New Roman"/>
          <w:color w:val="auto"/>
        </w:rPr>
      </w:pPr>
    </w:p>
    <w:p w14:paraId="6847C511" w14:textId="77777777" w:rsidR="001454C2" w:rsidRPr="001454C2" w:rsidRDefault="001454C2" w:rsidP="001454C2">
      <w:pPr>
        <w:pStyle w:val="ListParagraph"/>
        <w:spacing w:after="0" w:line="240" w:lineRule="auto"/>
        <w:rPr>
          <w:rFonts w:asciiTheme="minorHAnsi" w:hAnsiTheme="minorHAnsi" w:cs="Times New Roman"/>
          <w:color w:val="auto"/>
        </w:rPr>
      </w:pPr>
    </w:p>
    <w:p w14:paraId="2FC736BC" w14:textId="77777777" w:rsidR="0085120F" w:rsidRPr="0085120F" w:rsidRDefault="0085120F" w:rsidP="0085120F">
      <w:pPr>
        <w:rPr>
          <w:rFonts w:asciiTheme="minorHAnsi" w:hAnsiTheme="minorHAnsi" w:cs="Times New Roman"/>
        </w:rPr>
      </w:pPr>
      <w:r w:rsidRPr="0085120F">
        <w:rPr>
          <w:rFonts w:asciiTheme="minorHAnsi" w:hAnsiTheme="minorHAnsi" w:cs="Times New Roman"/>
        </w:rPr>
        <w:t>Available octanol-water partition coefficients (K</w:t>
      </w:r>
      <w:r w:rsidRPr="0085120F">
        <w:rPr>
          <w:rFonts w:asciiTheme="minorHAnsi" w:hAnsiTheme="minorHAnsi" w:cs="Times New Roman"/>
          <w:vertAlign w:val="subscript"/>
        </w:rPr>
        <w:t>ow</w:t>
      </w:r>
      <w:r w:rsidRPr="0085120F">
        <w:rPr>
          <w:rFonts w:asciiTheme="minorHAnsi" w:hAnsiTheme="minorHAnsi" w:cs="Times New Roman"/>
        </w:rPr>
        <w:t xml:space="preserve">) for </w:t>
      </w:r>
      <w:proofErr w:type="gramStart"/>
      <w:r w:rsidRPr="0085120F">
        <w:rPr>
          <w:rFonts w:asciiTheme="minorHAnsi" w:hAnsiTheme="minorHAnsi" w:cs="Times New Roman"/>
        </w:rPr>
        <w:t>malathion</w:t>
      </w:r>
      <w:proofErr w:type="gramEnd"/>
      <w:r w:rsidRPr="0085120F">
        <w:rPr>
          <w:rFonts w:asciiTheme="minorHAnsi" w:hAnsiTheme="minorHAnsi" w:cs="Times New Roman"/>
        </w:rPr>
        <w:t xml:space="preserve"> range from log K</w:t>
      </w:r>
      <w:r w:rsidRPr="0085120F">
        <w:rPr>
          <w:rFonts w:asciiTheme="minorHAnsi" w:hAnsiTheme="minorHAnsi" w:cs="Times New Roman"/>
          <w:vertAlign w:val="subscript"/>
        </w:rPr>
        <w:t>ow</w:t>
      </w:r>
      <w:r w:rsidRPr="0085120F">
        <w:rPr>
          <w:rFonts w:asciiTheme="minorHAnsi" w:hAnsiTheme="minorHAnsi" w:cs="Times New Roman"/>
        </w:rPr>
        <w:t xml:space="preserve"> 2.3-3.3. As the K</w:t>
      </w:r>
      <w:r w:rsidRPr="0085120F">
        <w:rPr>
          <w:rFonts w:asciiTheme="minorHAnsi" w:hAnsiTheme="minorHAnsi" w:cs="Times New Roman"/>
          <w:vertAlign w:val="subscript"/>
        </w:rPr>
        <w:t>ow</w:t>
      </w:r>
      <w:r w:rsidRPr="0085120F">
        <w:rPr>
          <w:rFonts w:asciiTheme="minorHAnsi" w:hAnsiTheme="minorHAnsi" w:cs="Times New Roman"/>
        </w:rPr>
        <w:t xml:space="preserve"> was ≥3, a fish bioconcentration study with </w:t>
      </w:r>
      <w:proofErr w:type="gramStart"/>
      <w:r w:rsidRPr="0085120F">
        <w:rPr>
          <w:rFonts w:asciiTheme="minorHAnsi" w:hAnsiTheme="minorHAnsi" w:cs="Times New Roman"/>
        </w:rPr>
        <w:t>malathion</w:t>
      </w:r>
      <w:proofErr w:type="gramEnd"/>
      <w:r w:rsidRPr="0085120F">
        <w:rPr>
          <w:rFonts w:asciiTheme="minorHAnsi" w:hAnsiTheme="minorHAnsi" w:cs="Times New Roman"/>
        </w:rPr>
        <w:t xml:space="preserve"> was submitted.  For fish, a registrant-submitted study (MRID 43106401, 43106402, 43340301) showed that </w:t>
      </w:r>
      <w:proofErr w:type="spellStart"/>
      <w:r w:rsidRPr="0085120F">
        <w:rPr>
          <w:rFonts w:asciiTheme="minorHAnsi" w:hAnsiTheme="minorHAnsi" w:cs="Times New Roman"/>
        </w:rPr>
        <w:t>radiolabelled</w:t>
      </w:r>
      <w:proofErr w:type="spellEnd"/>
      <w:r w:rsidRPr="0085120F">
        <w:rPr>
          <w:rFonts w:asciiTheme="minorHAnsi" w:hAnsiTheme="minorHAnsi" w:cs="Times New Roman"/>
        </w:rPr>
        <w:t xml:space="preserve"> </w:t>
      </w:r>
      <w:proofErr w:type="gramStart"/>
      <w:r w:rsidRPr="0085120F">
        <w:rPr>
          <w:rFonts w:asciiTheme="minorHAnsi" w:hAnsiTheme="minorHAnsi" w:cs="Times New Roman"/>
        </w:rPr>
        <w:t>malathion</w:t>
      </w:r>
      <w:proofErr w:type="gramEnd"/>
      <w:r w:rsidRPr="0085120F">
        <w:rPr>
          <w:rFonts w:asciiTheme="minorHAnsi" w:hAnsiTheme="minorHAnsi" w:cs="Times New Roman"/>
        </w:rPr>
        <w:t xml:space="preserve"> residues did not significantly accumulate in bluegill sunfish exposed to 0.99 </w:t>
      </w:r>
      <w:proofErr w:type="spellStart"/>
      <w:r w:rsidRPr="0085120F">
        <w:rPr>
          <w:rFonts w:asciiTheme="minorHAnsi" w:hAnsiTheme="minorHAnsi" w:cs="Times New Roman"/>
        </w:rPr>
        <w:t>μg</w:t>
      </w:r>
      <w:proofErr w:type="spellEnd"/>
      <w:r w:rsidRPr="0085120F">
        <w:rPr>
          <w:rFonts w:asciiTheme="minorHAnsi" w:hAnsiTheme="minorHAnsi" w:cs="Times New Roman"/>
        </w:rPr>
        <w:t xml:space="preserve">/L </w:t>
      </w:r>
      <w:proofErr w:type="spellStart"/>
      <w:r w:rsidRPr="0085120F">
        <w:rPr>
          <w:rFonts w:asciiTheme="minorHAnsi" w:hAnsiTheme="minorHAnsi" w:cs="Times New Roman"/>
        </w:rPr>
        <w:t>radiolabelled</w:t>
      </w:r>
      <w:proofErr w:type="spellEnd"/>
      <w:r w:rsidRPr="0085120F">
        <w:rPr>
          <w:rFonts w:asciiTheme="minorHAnsi" w:hAnsiTheme="minorHAnsi" w:cs="Times New Roman"/>
        </w:rPr>
        <w:t xml:space="preserve"> malathion in a flow-through system for 28 days. Average concentrations of </w:t>
      </w:r>
      <w:proofErr w:type="gramStart"/>
      <w:r w:rsidRPr="0085120F">
        <w:rPr>
          <w:rFonts w:asciiTheme="minorHAnsi" w:hAnsiTheme="minorHAnsi" w:cs="Times New Roman"/>
        </w:rPr>
        <w:t>malathion</w:t>
      </w:r>
      <w:proofErr w:type="gramEnd"/>
      <w:r w:rsidRPr="0085120F">
        <w:rPr>
          <w:rFonts w:asciiTheme="minorHAnsi" w:hAnsiTheme="minorHAnsi" w:cs="Times New Roman"/>
        </w:rPr>
        <w:t xml:space="preserve"> were 3.9 to 18 </w:t>
      </w:r>
      <w:proofErr w:type="spellStart"/>
      <w:r w:rsidRPr="0085120F">
        <w:rPr>
          <w:rFonts w:asciiTheme="minorHAnsi" w:hAnsiTheme="minorHAnsi" w:cs="Times New Roman"/>
        </w:rPr>
        <w:t>μg</w:t>
      </w:r>
      <w:proofErr w:type="spellEnd"/>
      <w:r w:rsidRPr="0085120F">
        <w:rPr>
          <w:rFonts w:asciiTheme="minorHAnsi" w:hAnsiTheme="minorHAnsi" w:cs="Times New Roman"/>
        </w:rPr>
        <w:t xml:space="preserve">/kg in the edible portions of fish, 21 to 130 </w:t>
      </w:r>
      <w:proofErr w:type="spellStart"/>
      <w:r w:rsidRPr="0085120F">
        <w:rPr>
          <w:rFonts w:asciiTheme="minorHAnsi" w:hAnsiTheme="minorHAnsi" w:cs="Times New Roman"/>
        </w:rPr>
        <w:t>μg</w:t>
      </w:r>
      <w:proofErr w:type="spellEnd"/>
      <w:r w:rsidRPr="0085120F">
        <w:rPr>
          <w:rFonts w:asciiTheme="minorHAnsi" w:hAnsiTheme="minorHAnsi" w:cs="Times New Roman"/>
        </w:rPr>
        <w:t xml:space="preserve">/kg for whole fish, and 34 to 200 </w:t>
      </w:r>
      <w:proofErr w:type="spellStart"/>
      <w:r w:rsidRPr="0085120F">
        <w:rPr>
          <w:rFonts w:asciiTheme="minorHAnsi" w:hAnsiTheme="minorHAnsi" w:cs="Times New Roman"/>
        </w:rPr>
        <w:t>μg</w:t>
      </w:r>
      <w:proofErr w:type="spellEnd"/>
      <w:r w:rsidRPr="0085120F">
        <w:rPr>
          <w:rFonts w:asciiTheme="minorHAnsi" w:hAnsiTheme="minorHAnsi" w:cs="Times New Roman"/>
        </w:rPr>
        <w:t xml:space="preserve">/kg in the non-edible tissue. </w:t>
      </w:r>
      <w:proofErr w:type="spellStart"/>
      <w:r w:rsidRPr="0085120F">
        <w:rPr>
          <w:rFonts w:asciiTheme="minorHAnsi" w:hAnsiTheme="minorHAnsi" w:cs="Times New Roman"/>
        </w:rPr>
        <w:t>Radiolabelled</w:t>
      </w:r>
      <w:proofErr w:type="spellEnd"/>
      <w:r w:rsidRPr="0085120F">
        <w:rPr>
          <w:rFonts w:asciiTheme="minorHAnsi" w:hAnsiTheme="minorHAnsi" w:cs="Times New Roman"/>
        </w:rPr>
        <w:t xml:space="preserve"> </w:t>
      </w:r>
      <w:proofErr w:type="gramStart"/>
      <w:r w:rsidRPr="0085120F">
        <w:rPr>
          <w:rFonts w:asciiTheme="minorHAnsi" w:hAnsiTheme="minorHAnsi" w:cs="Times New Roman"/>
        </w:rPr>
        <w:t>malathion</w:t>
      </w:r>
      <w:proofErr w:type="gramEnd"/>
      <w:r w:rsidRPr="0085120F">
        <w:rPr>
          <w:rFonts w:asciiTheme="minorHAnsi" w:hAnsiTheme="minorHAnsi" w:cs="Times New Roman"/>
        </w:rPr>
        <w:t xml:space="preserve"> residue equivalents in the edible fish tissue during depuration ranged from 18 </w:t>
      </w:r>
      <w:proofErr w:type="spellStart"/>
      <w:r w:rsidRPr="0085120F">
        <w:rPr>
          <w:rFonts w:asciiTheme="minorHAnsi" w:hAnsiTheme="minorHAnsi" w:cs="Times New Roman"/>
        </w:rPr>
        <w:t>μg</w:t>
      </w:r>
      <w:proofErr w:type="spellEnd"/>
      <w:r w:rsidRPr="0085120F">
        <w:rPr>
          <w:rFonts w:asciiTheme="minorHAnsi" w:hAnsiTheme="minorHAnsi" w:cs="Times New Roman"/>
        </w:rPr>
        <w:t xml:space="preserve">/kg at the start to 4.8 </w:t>
      </w:r>
      <w:proofErr w:type="spellStart"/>
      <w:r w:rsidRPr="0085120F">
        <w:rPr>
          <w:rFonts w:asciiTheme="minorHAnsi" w:hAnsiTheme="minorHAnsi" w:cs="Times New Roman"/>
        </w:rPr>
        <w:t>μg</w:t>
      </w:r>
      <w:proofErr w:type="spellEnd"/>
      <w:r w:rsidRPr="0085120F">
        <w:rPr>
          <w:rFonts w:asciiTheme="minorHAnsi" w:hAnsiTheme="minorHAnsi" w:cs="Times New Roman"/>
        </w:rPr>
        <w:t xml:space="preserve">/kg by day 14. Whole fish concentrations decreased from 110 to 4.5 </w:t>
      </w:r>
      <w:proofErr w:type="spellStart"/>
      <w:r w:rsidRPr="0085120F">
        <w:rPr>
          <w:rFonts w:asciiTheme="minorHAnsi" w:hAnsiTheme="minorHAnsi" w:cs="Times New Roman"/>
        </w:rPr>
        <w:t>μg</w:t>
      </w:r>
      <w:proofErr w:type="spellEnd"/>
      <w:r w:rsidRPr="0085120F">
        <w:rPr>
          <w:rFonts w:asciiTheme="minorHAnsi" w:hAnsiTheme="minorHAnsi" w:cs="Times New Roman"/>
        </w:rPr>
        <w:t xml:space="preserve">/kg and non-edible fish concentrations decreased from 150 to 5.8 </w:t>
      </w:r>
      <w:proofErr w:type="spellStart"/>
      <w:r w:rsidRPr="0085120F">
        <w:rPr>
          <w:rFonts w:asciiTheme="minorHAnsi" w:hAnsiTheme="minorHAnsi" w:cs="Times New Roman"/>
        </w:rPr>
        <w:t>μg</w:t>
      </w:r>
      <w:proofErr w:type="spellEnd"/>
      <w:r w:rsidRPr="0085120F">
        <w:rPr>
          <w:rFonts w:asciiTheme="minorHAnsi" w:hAnsiTheme="minorHAnsi" w:cs="Times New Roman"/>
        </w:rPr>
        <w:t xml:space="preserve">/kg after day 14. Approximately 73, 96, and 96% of the radioactivity depurated by day 28 from the edible, whole, and non-edible portions of fish, respectively. The only residue detected in fish tissue at &gt;10% of total radioactive residues (TRR) was </w:t>
      </w:r>
      <w:proofErr w:type="gramStart"/>
      <w:r w:rsidRPr="0085120F">
        <w:rPr>
          <w:rFonts w:asciiTheme="minorHAnsi" w:hAnsiTheme="minorHAnsi" w:cs="Times New Roman"/>
        </w:rPr>
        <w:t>malathion</w:t>
      </w:r>
      <w:proofErr w:type="gramEnd"/>
      <w:r w:rsidRPr="0085120F">
        <w:rPr>
          <w:rFonts w:asciiTheme="minorHAnsi" w:hAnsiTheme="minorHAnsi" w:cs="Times New Roman"/>
        </w:rPr>
        <w:t xml:space="preserve"> monocarboxylic acid (MCA) in concentrations of 33.3-35.9% (44.8-61.2 </w:t>
      </w:r>
      <w:proofErr w:type="spellStart"/>
      <w:r w:rsidRPr="0085120F">
        <w:rPr>
          <w:rFonts w:asciiTheme="minorHAnsi" w:hAnsiTheme="minorHAnsi" w:cs="Times New Roman"/>
        </w:rPr>
        <w:t>μg</w:t>
      </w:r>
      <w:proofErr w:type="spellEnd"/>
      <w:r w:rsidRPr="0085120F">
        <w:rPr>
          <w:rFonts w:asciiTheme="minorHAnsi" w:hAnsiTheme="minorHAnsi" w:cs="Times New Roman"/>
        </w:rPr>
        <w:t xml:space="preserve">/kg) of TRR. Up to 22 other components were present in levels of 0.1 to 5.7% (0.1 to 7.7 </w:t>
      </w:r>
      <w:proofErr w:type="spellStart"/>
      <w:r w:rsidRPr="0085120F">
        <w:rPr>
          <w:rFonts w:asciiTheme="minorHAnsi" w:hAnsiTheme="minorHAnsi" w:cs="Times New Roman"/>
        </w:rPr>
        <w:t>μg</w:t>
      </w:r>
      <w:proofErr w:type="spellEnd"/>
      <w:r w:rsidRPr="0085120F">
        <w:rPr>
          <w:rFonts w:asciiTheme="minorHAnsi" w:hAnsiTheme="minorHAnsi" w:cs="Times New Roman"/>
        </w:rPr>
        <w:t xml:space="preserve">/kg) including </w:t>
      </w:r>
      <w:proofErr w:type="gramStart"/>
      <w:r w:rsidRPr="0085120F">
        <w:rPr>
          <w:rFonts w:asciiTheme="minorHAnsi" w:hAnsiTheme="minorHAnsi" w:cs="Times New Roman"/>
        </w:rPr>
        <w:t>malathion</w:t>
      </w:r>
      <w:proofErr w:type="gramEnd"/>
      <w:r w:rsidRPr="0085120F">
        <w:rPr>
          <w:rFonts w:asciiTheme="minorHAnsi" w:hAnsiTheme="minorHAnsi" w:cs="Times New Roman"/>
        </w:rPr>
        <w:t xml:space="preserve"> dicarboxylic acid (DCA), malaoxon, </w:t>
      </w:r>
      <w:proofErr w:type="spellStart"/>
      <w:r w:rsidRPr="0085120F">
        <w:rPr>
          <w:rFonts w:asciiTheme="minorHAnsi" w:hAnsiTheme="minorHAnsi" w:cs="Times New Roman"/>
        </w:rPr>
        <w:t>desmethyl</w:t>
      </w:r>
      <w:proofErr w:type="spellEnd"/>
      <w:r w:rsidRPr="0085120F">
        <w:rPr>
          <w:rFonts w:asciiTheme="minorHAnsi" w:hAnsiTheme="minorHAnsi" w:cs="Times New Roman"/>
        </w:rPr>
        <w:t xml:space="preserve"> malathion, </w:t>
      </w:r>
      <w:proofErr w:type="spellStart"/>
      <w:r w:rsidRPr="0085120F">
        <w:rPr>
          <w:rFonts w:asciiTheme="minorHAnsi" w:hAnsiTheme="minorHAnsi" w:cs="Times New Roman"/>
        </w:rPr>
        <w:t>monoethylfumarate</w:t>
      </w:r>
      <w:proofErr w:type="spellEnd"/>
      <w:r w:rsidRPr="0085120F">
        <w:rPr>
          <w:rFonts w:asciiTheme="minorHAnsi" w:hAnsiTheme="minorHAnsi" w:cs="Times New Roman"/>
        </w:rPr>
        <w:t xml:space="preserve">, and oxalacetic acid. Malaoxon was present in concentrations ≤2.7 </w:t>
      </w:r>
      <w:proofErr w:type="spellStart"/>
      <w:r w:rsidRPr="0085120F">
        <w:rPr>
          <w:rFonts w:asciiTheme="minorHAnsi" w:hAnsiTheme="minorHAnsi" w:cs="Times New Roman"/>
        </w:rPr>
        <w:t>μg</w:t>
      </w:r>
      <w:proofErr w:type="spellEnd"/>
      <w:r w:rsidRPr="0085120F">
        <w:rPr>
          <w:rFonts w:asciiTheme="minorHAnsi" w:hAnsiTheme="minorHAnsi" w:cs="Times New Roman"/>
        </w:rPr>
        <w:t xml:space="preserve">/kg; while parent </w:t>
      </w:r>
      <w:proofErr w:type="gramStart"/>
      <w:r w:rsidRPr="0085120F">
        <w:rPr>
          <w:rFonts w:asciiTheme="minorHAnsi" w:hAnsiTheme="minorHAnsi" w:cs="Times New Roman"/>
        </w:rPr>
        <w:t>malathion</w:t>
      </w:r>
      <w:proofErr w:type="gramEnd"/>
      <w:r w:rsidRPr="0085120F">
        <w:rPr>
          <w:rFonts w:asciiTheme="minorHAnsi" w:hAnsiTheme="minorHAnsi" w:cs="Times New Roman"/>
        </w:rPr>
        <w:t xml:space="preserve"> was present in concentrations of 0.2 </w:t>
      </w:r>
      <w:proofErr w:type="spellStart"/>
      <w:r w:rsidRPr="0085120F">
        <w:rPr>
          <w:rFonts w:asciiTheme="minorHAnsi" w:hAnsiTheme="minorHAnsi" w:cs="Times New Roman"/>
        </w:rPr>
        <w:t>μg</w:t>
      </w:r>
      <w:proofErr w:type="spellEnd"/>
      <w:r w:rsidRPr="0085120F">
        <w:rPr>
          <w:rFonts w:asciiTheme="minorHAnsi" w:hAnsiTheme="minorHAnsi" w:cs="Times New Roman"/>
        </w:rPr>
        <w:t xml:space="preserve">/kg at the end of the depuration period. Bioconcentration factors (BCFs) were calculated using the average </w:t>
      </w:r>
      <w:proofErr w:type="gramStart"/>
      <w:r w:rsidRPr="0085120F">
        <w:rPr>
          <w:rFonts w:asciiTheme="minorHAnsi" w:hAnsiTheme="minorHAnsi" w:cs="Times New Roman"/>
        </w:rPr>
        <w:t>malathion</w:t>
      </w:r>
      <w:proofErr w:type="gramEnd"/>
      <w:r w:rsidRPr="0085120F">
        <w:rPr>
          <w:rFonts w:asciiTheme="minorHAnsi" w:hAnsiTheme="minorHAnsi" w:cs="Times New Roman"/>
        </w:rPr>
        <w:t xml:space="preserve"> tissue concentration divided by the water concentration; often BCFs are reported unit less, but they are sometimes reported as L/kg-wet weight. Maximum BCFs, as a function of total radioactive residues present, ranged from 4.2 to 18, 23 to 135, and 37 to 204 for the edible, whole fish, and non-edible portions of fish, respectively; the maximum BCF value for whole fish, based on malathion concentrations, was 131 (130 µg/kg ÷ 0.99 µg/L).  Additionally, in the laboratory study by Kanazawa (1975, (ECOTOX #2164), freshwater fish (</w:t>
      </w:r>
      <w:r w:rsidRPr="0085120F">
        <w:rPr>
          <w:rFonts w:asciiTheme="minorHAnsi" w:hAnsiTheme="minorHAnsi" w:cs="Times New Roman"/>
          <w:i/>
        </w:rPr>
        <w:t>Pseudorasbora parva</w:t>
      </w:r>
      <w:r w:rsidRPr="0085120F">
        <w:rPr>
          <w:rFonts w:asciiTheme="minorHAnsi" w:hAnsiTheme="minorHAnsi" w:cs="Times New Roman"/>
        </w:rPr>
        <w:t xml:space="preserve">), were exposed to an initial concentration of 1.2 ppm </w:t>
      </w:r>
      <w:proofErr w:type="gramStart"/>
      <w:r w:rsidRPr="0085120F">
        <w:rPr>
          <w:rFonts w:asciiTheme="minorHAnsi" w:hAnsiTheme="minorHAnsi" w:cs="Times New Roman"/>
        </w:rPr>
        <w:t>malathion</w:t>
      </w:r>
      <w:proofErr w:type="gramEnd"/>
      <w:r w:rsidRPr="0085120F">
        <w:rPr>
          <w:rFonts w:asciiTheme="minorHAnsi" w:hAnsiTheme="minorHAnsi" w:cs="Times New Roman"/>
        </w:rPr>
        <w:t xml:space="preserve"> and tissue concentrations decreased to 0.001 ppm after 7 days.  After three days, a BCF value of 2 was reported. In another laboratory study by Walsh and </w:t>
      </w:r>
      <w:proofErr w:type="spellStart"/>
      <w:r w:rsidRPr="0085120F">
        <w:rPr>
          <w:rFonts w:asciiTheme="minorHAnsi" w:hAnsiTheme="minorHAnsi" w:cs="Times New Roman"/>
        </w:rPr>
        <w:t>Ribelin</w:t>
      </w:r>
      <w:proofErr w:type="spellEnd"/>
      <w:r w:rsidRPr="0085120F">
        <w:rPr>
          <w:rFonts w:asciiTheme="minorHAnsi" w:hAnsiTheme="minorHAnsi" w:cs="Times New Roman"/>
        </w:rPr>
        <w:t xml:space="preserve"> (1975), both male and female coho salmon (</w:t>
      </w:r>
      <w:proofErr w:type="spellStart"/>
      <w:r w:rsidRPr="0085120F">
        <w:rPr>
          <w:rFonts w:asciiTheme="minorHAnsi" w:hAnsiTheme="minorHAnsi" w:cs="Times New Roman"/>
          <w:i/>
        </w:rPr>
        <w:t>Oncorhynchuss</w:t>
      </w:r>
      <w:proofErr w:type="spellEnd"/>
      <w:r w:rsidRPr="0085120F">
        <w:rPr>
          <w:rFonts w:asciiTheme="minorHAnsi" w:hAnsiTheme="minorHAnsi" w:cs="Times New Roman"/>
          <w:i/>
        </w:rPr>
        <w:t xml:space="preserve"> kisutch</w:t>
      </w:r>
      <w:r w:rsidRPr="0085120F">
        <w:rPr>
          <w:rFonts w:asciiTheme="minorHAnsi" w:hAnsiTheme="minorHAnsi" w:cs="Times New Roman"/>
        </w:rPr>
        <w:t>) and lake trout (</w:t>
      </w:r>
      <w:r w:rsidRPr="0085120F">
        <w:rPr>
          <w:rFonts w:asciiTheme="minorHAnsi" w:hAnsiTheme="minorHAnsi" w:cs="Times New Roman"/>
          <w:i/>
        </w:rPr>
        <w:t>Salvelinus namaycush</w:t>
      </w:r>
      <w:r w:rsidRPr="0085120F">
        <w:rPr>
          <w:rFonts w:asciiTheme="minorHAnsi" w:hAnsiTheme="minorHAnsi" w:cs="Times New Roman"/>
        </w:rPr>
        <w:t xml:space="preserve">) were exposed to malathion until death occurred or was imminent (up to 30 days) after which a necropsy was performed and approximately half of the fish was frozen and subsequently analyzed for pesticide residues.  According to the study, the concentration of </w:t>
      </w:r>
      <w:proofErr w:type="gramStart"/>
      <w:r w:rsidRPr="0085120F">
        <w:rPr>
          <w:rFonts w:asciiTheme="minorHAnsi" w:hAnsiTheme="minorHAnsi" w:cs="Times New Roman"/>
        </w:rPr>
        <w:t>malathion</w:t>
      </w:r>
      <w:proofErr w:type="gramEnd"/>
      <w:r w:rsidRPr="0085120F">
        <w:rPr>
          <w:rFonts w:asciiTheme="minorHAnsi" w:hAnsiTheme="minorHAnsi" w:cs="Times New Roman"/>
        </w:rPr>
        <w:t xml:space="preserve"> at test termination was 0.178 ppm (however, the exposure concentration of malathion may have increased over the test duration from 0.06 to 0.178 ppm). Tissue concentrations in coho salmon and lake trout were reported as 1.31 and 5.22 ppm, respectively, resulting in test termination BCF values of 29.3 and 7.36, respectively.  </w:t>
      </w:r>
    </w:p>
    <w:p w14:paraId="088B9980" w14:textId="77777777" w:rsidR="0085120F" w:rsidRPr="0085120F" w:rsidRDefault="0085120F" w:rsidP="0085120F">
      <w:pPr>
        <w:rPr>
          <w:rFonts w:asciiTheme="minorHAnsi" w:hAnsiTheme="minorHAnsi" w:cs="Times New Roman"/>
        </w:rPr>
      </w:pPr>
      <w:r w:rsidRPr="0085120F">
        <w:rPr>
          <w:rFonts w:asciiTheme="minorHAnsi" w:hAnsiTheme="minorHAnsi" w:cs="Times New Roman"/>
        </w:rPr>
        <w:t xml:space="preserve">For aquatic invertebrates, </w:t>
      </w:r>
      <w:proofErr w:type="gramStart"/>
      <w:r w:rsidRPr="0085120F">
        <w:rPr>
          <w:rFonts w:asciiTheme="minorHAnsi" w:hAnsiTheme="minorHAnsi" w:cs="Times New Roman"/>
        </w:rPr>
        <w:t>malathion</w:t>
      </w:r>
      <w:proofErr w:type="gramEnd"/>
      <w:r w:rsidRPr="0085120F">
        <w:rPr>
          <w:rFonts w:asciiTheme="minorHAnsi" w:hAnsiTheme="minorHAnsi" w:cs="Times New Roman"/>
        </w:rPr>
        <w:t xml:space="preserve"> concentrations in water and shrimp tissue after aerial application to a saline marsh in Texas were examined in Conte and Parker, 1975. Juvenile brown (</w:t>
      </w:r>
      <w:r w:rsidRPr="0085120F">
        <w:rPr>
          <w:rFonts w:asciiTheme="minorHAnsi" w:hAnsiTheme="minorHAnsi" w:cs="Times New Roman"/>
          <w:i/>
        </w:rPr>
        <w:t>Penaeus aztecus</w:t>
      </w:r>
      <w:r w:rsidRPr="0085120F">
        <w:rPr>
          <w:rFonts w:asciiTheme="minorHAnsi" w:hAnsiTheme="minorHAnsi" w:cs="Times New Roman"/>
        </w:rPr>
        <w:t xml:space="preserve"> Ives) and white (</w:t>
      </w:r>
      <w:r w:rsidRPr="0085120F">
        <w:rPr>
          <w:rFonts w:asciiTheme="minorHAnsi" w:hAnsiTheme="minorHAnsi" w:cs="Times New Roman"/>
          <w:i/>
        </w:rPr>
        <w:t>P. setiferus</w:t>
      </w:r>
      <w:r w:rsidRPr="0085120F">
        <w:rPr>
          <w:rFonts w:asciiTheme="minorHAnsi" w:hAnsiTheme="minorHAnsi" w:cs="Times New Roman"/>
        </w:rPr>
        <w:t xml:space="preserve">) shrimp, kept in cages, were exposed to technical grade malathion (with no carrier), after which malathion concentrations in the water as well as in both dead and live shrimp were monitored for either up to 24 or 48 hours. Measured </w:t>
      </w:r>
      <w:proofErr w:type="gramStart"/>
      <w:r w:rsidRPr="0085120F">
        <w:rPr>
          <w:rFonts w:asciiTheme="minorHAnsi" w:hAnsiTheme="minorHAnsi" w:cs="Times New Roman"/>
        </w:rPr>
        <w:t>malathion</w:t>
      </w:r>
      <w:proofErr w:type="gramEnd"/>
      <w:r w:rsidRPr="0085120F">
        <w:rPr>
          <w:rFonts w:asciiTheme="minorHAnsi" w:hAnsiTheme="minorHAnsi" w:cs="Times New Roman"/>
        </w:rPr>
        <w:t xml:space="preserve"> concentrations in water were sampled during the 24 or 48-hour monitoring period and ranged from 0.8 – 3.20 ppb with concentrations generally reducing over time.  Shrimp mortality in the treated areas ranged from 4% up to 72% (based on reported mortality in individual cages). Malathion concentrations in shrimp tissue (from abdominal </w:t>
      </w:r>
      <w:r w:rsidRPr="0085120F">
        <w:rPr>
          <w:rFonts w:asciiTheme="minorHAnsi" w:hAnsiTheme="minorHAnsi" w:cs="Times New Roman"/>
        </w:rPr>
        <w:lastRenderedPageBreak/>
        <w:t xml:space="preserve">muscle) sampled at the same time points as the water were reported to range from 300 to 2,700 ppb (0.3 to 2.7 ppm). Malathion was not found in the water or shrimp tissue at the control site, and there was no observed mortality. In the laboratory study by </w:t>
      </w:r>
      <w:proofErr w:type="spellStart"/>
      <w:r w:rsidRPr="0085120F">
        <w:rPr>
          <w:rFonts w:asciiTheme="minorHAnsi" w:hAnsiTheme="minorHAnsi" w:cs="Times New Roman"/>
        </w:rPr>
        <w:t>Ashauer</w:t>
      </w:r>
      <w:proofErr w:type="spellEnd"/>
      <w:r w:rsidRPr="0085120F">
        <w:rPr>
          <w:rFonts w:asciiTheme="minorHAnsi" w:hAnsiTheme="minorHAnsi" w:cs="Times New Roman"/>
        </w:rPr>
        <w:t xml:space="preserve"> </w:t>
      </w:r>
      <w:r w:rsidRPr="0085120F">
        <w:rPr>
          <w:rFonts w:asciiTheme="minorHAnsi" w:hAnsiTheme="minorHAnsi" w:cs="Times New Roman"/>
          <w:i/>
        </w:rPr>
        <w:t>et al</w:t>
      </w:r>
      <w:r w:rsidRPr="0085120F">
        <w:rPr>
          <w:rFonts w:asciiTheme="minorHAnsi" w:hAnsiTheme="minorHAnsi" w:cs="Times New Roman"/>
        </w:rPr>
        <w:t xml:space="preserve">. 2012 (ECOTOX# 160013, 153560), the freshwater amphipod, </w:t>
      </w:r>
      <w:r w:rsidRPr="0085120F">
        <w:rPr>
          <w:rFonts w:asciiTheme="minorHAnsi" w:hAnsiTheme="minorHAnsi" w:cs="Times New Roman"/>
          <w:i/>
        </w:rPr>
        <w:t>Gammarus pulex</w:t>
      </w:r>
      <w:r w:rsidRPr="0085120F">
        <w:rPr>
          <w:rFonts w:asciiTheme="minorHAnsi" w:hAnsiTheme="minorHAnsi" w:cs="Times New Roman"/>
        </w:rPr>
        <w:t xml:space="preserve">, was exposed to </w:t>
      </w:r>
      <w:proofErr w:type="gramStart"/>
      <w:r w:rsidRPr="0085120F">
        <w:rPr>
          <w:rFonts w:asciiTheme="minorHAnsi" w:hAnsiTheme="minorHAnsi" w:cs="Times New Roman"/>
        </w:rPr>
        <w:t>malathion</w:t>
      </w:r>
      <w:proofErr w:type="gramEnd"/>
      <w:r w:rsidRPr="0085120F">
        <w:rPr>
          <w:rFonts w:asciiTheme="minorHAnsi" w:hAnsiTheme="minorHAnsi" w:cs="Times New Roman"/>
        </w:rPr>
        <w:t xml:space="preserve"> via water for 24 hours with a six day depuration phase. Both parent </w:t>
      </w:r>
      <w:proofErr w:type="gramStart"/>
      <w:r w:rsidRPr="0085120F">
        <w:rPr>
          <w:rFonts w:asciiTheme="minorHAnsi" w:hAnsiTheme="minorHAnsi" w:cs="Times New Roman"/>
        </w:rPr>
        <w:t>malathion</w:t>
      </w:r>
      <w:proofErr w:type="gramEnd"/>
      <w:r w:rsidRPr="0085120F">
        <w:rPr>
          <w:rFonts w:asciiTheme="minorHAnsi" w:hAnsiTheme="minorHAnsi" w:cs="Times New Roman"/>
        </w:rPr>
        <w:t xml:space="preserve"> as well as metabolites (including the oxon) were measured.  The reported 24-hr BAF (bioaccumulation factor) was 3 and included residues for </w:t>
      </w:r>
      <w:proofErr w:type="gramStart"/>
      <w:r w:rsidRPr="0085120F">
        <w:rPr>
          <w:rFonts w:asciiTheme="minorHAnsi" w:hAnsiTheme="minorHAnsi" w:cs="Times New Roman"/>
        </w:rPr>
        <w:t>malathion</w:t>
      </w:r>
      <w:proofErr w:type="gramEnd"/>
      <w:r w:rsidRPr="0085120F">
        <w:rPr>
          <w:rFonts w:asciiTheme="minorHAnsi" w:hAnsiTheme="minorHAnsi" w:cs="Times New Roman"/>
        </w:rPr>
        <w:t xml:space="preserve"> and malaoxon.  Finally, uptake of </w:t>
      </w:r>
      <w:proofErr w:type="gramStart"/>
      <w:r w:rsidRPr="0085120F">
        <w:rPr>
          <w:rFonts w:asciiTheme="minorHAnsi" w:hAnsiTheme="minorHAnsi" w:cs="Times New Roman"/>
        </w:rPr>
        <w:t>malathion</w:t>
      </w:r>
      <w:proofErr w:type="gramEnd"/>
      <w:r w:rsidRPr="0085120F">
        <w:rPr>
          <w:rFonts w:asciiTheme="minorHAnsi" w:hAnsiTheme="minorHAnsi" w:cs="Times New Roman"/>
        </w:rPr>
        <w:t xml:space="preserve"> was examined in freshwater plants including the parrot feather (</w:t>
      </w:r>
      <w:r w:rsidRPr="0085120F">
        <w:rPr>
          <w:rFonts w:asciiTheme="minorHAnsi" w:hAnsiTheme="minorHAnsi" w:cs="Times New Roman"/>
          <w:i/>
        </w:rPr>
        <w:t>Myriophyllum aquaticum</w:t>
      </w:r>
      <w:r w:rsidRPr="0085120F">
        <w:rPr>
          <w:rFonts w:asciiTheme="minorHAnsi" w:hAnsiTheme="minorHAnsi" w:cs="Times New Roman"/>
        </w:rPr>
        <w:t>), duckweed (</w:t>
      </w:r>
      <w:r w:rsidRPr="0085120F">
        <w:rPr>
          <w:rFonts w:asciiTheme="minorHAnsi" w:hAnsiTheme="minorHAnsi" w:cs="Times New Roman"/>
          <w:i/>
        </w:rPr>
        <w:t xml:space="preserve">Spirodela </w:t>
      </w:r>
      <w:proofErr w:type="spellStart"/>
      <w:r w:rsidRPr="0085120F">
        <w:rPr>
          <w:rFonts w:asciiTheme="minorHAnsi" w:hAnsiTheme="minorHAnsi" w:cs="Times New Roman"/>
          <w:i/>
        </w:rPr>
        <w:t>oligorrhiza</w:t>
      </w:r>
      <w:proofErr w:type="spellEnd"/>
      <w:r w:rsidRPr="0085120F">
        <w:rPr>
          <w:rFonts w:asciiTheme="minorHAnsi" w:hAnsiTheme="minorHAnsi" w:cs="Times New Roman"/>
          <w:i/>
        </w:rPr>
        <w:t xml:space="preserve"> L</w:t>
      </w:r>
      <w:r w:rsidRPr="0085120F">
        <w:rPr>
          <w:rFonts w:asciiTheme="minorHAnsi" w:hAnsiTheme="minorHAnsi" w:cs="Times New Roman"/>
        </w:rPr>
        <w:t>.) and elodea (</w:t>
      </w:r>
      <w:r w:rsidRPr="0085120F">
        <w:rPr>
          <w:rFonts w:asciiTheme="minorHAnsi" w:hAnsiTheme="minorHAnsi" w:cs="Times New Roman"/>
          <w:i/>
        </w:rPr>
        <w:t>Elodea Canadensis</w:t>
      </w:r>
      <w:r w:rsidRPr="0085120F">
        <w:rPr>
          <w:rFonts w:asciiTheme="minorHAnsi" w:hAnsiTheme="minorHAnsi" w:cs="Times New Roman"/>
        </w:rPr>
        <w:t xml:space="preserve">) (Gao </w:t>
      </w:r>
      <w:r w:rsidRPr="0085120F">
        <w:rPr>
          <w:rFonts w:asciiTheme="minorHAnsi" w:hAnsiTheme="minorHAnsi" w:cs="Times New Roman"/>
          <w:i/>
        </w:rPr>
        <w:t>et al.</w:t>
      </w:r>
      <w:r w:rsidRPr="0085120F">
        <w:rPr>
          <w:rFonts w:asciiTheme="minorHAnsi" w:hAnsiTheme="minorHAnsi" w:cs="Times New Roman"/>
        </w:rPr>
        <w:t xml:space="preserve"> 2000; ECOTOX# 68281).  The plants were exposed to analytical grade (&gt;99%) </w:t>
      </w:r>
      <w:proofErr w:type="gramStart"/>
      <w:r w:rsidRPr="0085120F">
        <w:rPr>
          <w:rFonts w:asciiTheme="minorHAnsi" w:hAnsiTheme="minorHAnsi" w:cs="Times New Roman"/>
        </w:rPr>
        <w:t>malathion</w:t>
      </w:r>
      <w:proofErr w:type="gramEnd"/>
      <w:r w:rsidRPr="0085120F">
        <w:rPr>
          <w:rFonts w:asciiTheme="minorHAnsi" w:hAnsiTheme="minorHAnsi" w:cs="Times New Roman"/>
        </w:rPr>
        <w:t xml:space="preserve"> in water for eight days after which residues were measured. The reported 8-d BCF values were 3.0, 23 and 1.2 for the parrot feather, duckweed, and elodea, respectively.</w:t>
      </w:r>
    </w:p>
    <w:p w14:paraId="6E8C76C0" w14:textId="77777777" w:rsidR="0085120F" w:rsidRPr="0085120F" w:rsidRDefault="0085120F" w:rsidP="0085120F">
      <w:pPr>
        <w:rPr>
          <w:rFonts w:asciiTheme="minorHAnsi" w:hAnsiTheme="minorHAnsi" w:cs="Times New Roman"/>
        </w:rPr>
      </w:pPr>
      <w:r w:rsidRPr="0085120F">
        <w:rPr>
          <w:rFonts w:asciiTheme="minorHAnsi" w:hAnsiTheme="minorHAnsi" w:cs="Times New Roman"/>
        </w:rPr>
        <w:t xml:space="preserve">The studies discussed above were considered when determining the bioconcentration/bioaccumulation input parameter for calculating </w:t>
      </w:r>
      <w:proofErr w:type="gramStart"/>
      <w:r w:rsidRPr="0085120F">
        <w:rPr>
          <w:rFonts w:asciiTheme="minorHAnsi" w:hAnsiTheme="minorHAnsi" w:cs="Times New Roman"/>
        </w:rPr>
        <w:t>malathion</w:t>
      </w:r>
      <w:proofErr w:type="gramEnd"/>
      <w:r w:rsidRPr="0085120F">
        <w:rPr>
          <w:rFonts w:asciiTheme="minorHAnsi" w:hAnsiTheme="minorHAnsi" w:cs="Times New Roman"/>
        </w:rPr>
        <w:t xml:space="preserve"> residues in aquatic organisms for evaluating risk (via aquatic prey items) to aquatic-dependent terrestrial animals.  Laboratory studies with fish report BCF values for whole fish, edible and non-edible portions from 2-204.  In the registrant-submitted fish study, the whole fish BCF is 131, based on </w:t>
      </w:r>
      <w:proofErr w:type="gramStart"/>
      <w:r w:rsidRPr="0085120F">
        <w:rPr>
          <w:rFonts w:asciiTheme="minorHAnsi" w:hAnsiTheme="minorHAnsi" w:cs="Times New Roman"/>
        </w:rPr>
        <w:t>malathion</w:t>
      </w:r>
      <w:proofErr w:type="gramEnd"/>
      <w:r w:rsidRPr="0085120F">
        <w:rPr>
          <w:rFonts w:asciiTheme="minorHAnsi" w:hAnsiTheme="minorHAnsi" w:cs="Times New Roman"/>
        </w:rPr>
        <w:t xml:space="preserve"> concentrations. The maximum reported whole fish BCF value (which was from registrant-submitted study) is 135 which is based on total radioactivity. In the other available studies, the exposure concentrations degraded over time (Kanazawa, 1975, E2164) or residue samples were sometimes measured in dead fish for which fish were cut in half and analyzed (Walsh and </w:t>
      </w:r>
      <w:proofErr w:type="spellStart"/>
      <w:r w:rsidRPr="0085120F">
        <w:rPr>
          <w:rFonts w:asciiTheme="minorHAnsi" w:hAnsiTheme="minorHAnsi" w:cs="Times New Roman"/>
        </w:rPr>
        <w:t>Ribelin</w:t>
      </w:r>
      <w:proofErr w:type="spellEnd"/>
      <w:r w:rsidRPr="0085120F">
        <w:rPr>
          <w:rFonts w:asciiTheme="minorHAnsi" w:hAnsiTheme="minorHAnsi" w:cs="Times New Roman"/>
        </w:rPr>
        <w:t xml:space="preserve"> (as cited in The Pathology of Fishes 1975)).  </w:t>
      </w:r>
    </w:p>
    <w:p w14:paraId="1DB486E2" w14:textId="77777777" w:rsidR="0085120F" w:rsidRPr="0085120F" w:rsidRDefault="0085120F" w:rsidP="0085120F">
      <w:pPr>
        <w:rPr>
          <w:rFonts w:asciiTheme="minorHAnsi" w:hAnsiTheme="minorHAnsi" w:cs="Times New Roman"/>
        </w:rPr>
      </w:pPr>
      <w:r w:rsidRPr="0085120F">
        <w:rPr>
          <w:rFonts w:asciiTheme="minorHAnsi" w:hAnsiTheme="minorHAnsi" w:cs="Times New Roman"/>
        </w:rPr>
        <w:t>The KABAM (</w:t>
      </w:r>
      <w:r w:rsidRPr="0085120F">
        <w:t xml:space="preserve">Kow (based) Aquatic </w:t>
      </w:r>
      <w:proofErr w:type="spellStart"/>
      <w:r w:rsidRPr="0085120F">
        <w:t>BioAccumulation</w:t>
      </w:r>
      <w:proofErr w:type="spellEnd"/>
      <w:r w:rsidRPr="0085120F">
        <w:t xml:space="preserve"> Model</w:t>
      </w:r>
      <w:r w:rsidRPr="0085120F">
        <w:rPr>
          <w:rFonts w:asciiTheme="minorHAnsi" w:hAnsiTheme="minorHAnsi" w:cs="Times New Roman"/>
        </w:rPr>
        <w:t xml:space="preserve">)-estimated time to steady-state (based on log Kow of 3.3) for </w:t>
      </w:r>
      <w:proofErr w:type="gramStart"/>
      <w:r w:rsidRPr="0085120F">
        <w:rPr>
          <w:rFonts w:asciiTheme="minorHAnsi" w:hAnsiTheme="minorHAnsi" w:cs="Times New Roman"/>
        </w:rPr>
        <w:t>malathion</w:t>
      </w:r>
      <w:proofErr w:type="gramEnd"/>
      <w:r w:rsidRPr="0085120F">
        <w:rPr>
          <w:rFonts w:asciiTheme="minorHAnsi" w:hAnsiTheme="minorHAnsi" w:cs="Times New Roman"/>
        </w:rPr>
        <w:t xml:space="preserve"> is 3 days. KABAM-derived BCFs for fish, based on log Kow of 2.3 and 3.3, are 11-12 and 92-97, respectively.  These estimates are based on the assumption that </w:t>
      </w:r>
      <w:proofErr w:type="gramStart"/>
      <w:r w:rsidRPr="0085120F">
        <w:rPr>
          <w:rFonts w:asciiTheme="minorHAnsi" w:hAnsiTheme="minorHAnsi" w:cs="Times New Roman"/>
        </w:rPr>
        <w:t>malathion</w:t>
      </w:r>
      <w:proofErr w:type="gramEnd"/>
      <w:r w:rsidRPr="0085120F">
        <w:rPr>
          <w:rFonts w:asciiTheme="minorHAnsi" w:hAnsiTheme="minorHAnsi" w:cs="Times New Roman"/>
        </w:rPr>
        <w:t xml:space="preserve"> is not metabolized by fish for which information is available to indicate malathion is metabolized and excreted by animals (MRID 41367701).  Considering both the empirical and estimated BCF data for fish, the whole fish BCF value of 131 from the registrant submitted study will be used to estimate malathion concentrations in fish because exposure was constant and residues were characterized and conducted using live fish.   </w:t>
      </w:r>
    </w:p>
    <w:p w14:paraId="31A74B91" w14:textId="77777777" w:rsidR="0085120F" w:rsidRPr="0085120F" w:rsidRDefault="0085120F" w:rsidP="0085120F">
      <w:pPr>
        <w:rPr>
          <w:rFonts w:asciiTheme="minorHAnsi" w:hAnsiTheme="minorHAnsi" w:cs="Times New Roman"/>
        </w:rPr>
      </w:pPr>
      <w:r w:rsidRPr="0085120F">
        <w:rPr>
          <w:rFonts w:asciiTheme="minorHAnsi" w:hAnsiTheme="minorHAnsi" w:cs="Times New Roman"/>
        </w:rPr>
        <w:t xml:space="preserve">For aquatic invertebrates, water-column exposure BCF/ and BAF values were available for shrimp and amphipods.   In the field study with shrimp (Conte and Parker, 1975), </w:t>
      </w:r>
      <w:proofErr w:type="gramStart"/>
      <w:r w:rsidRPr="0085120F">
        <w:rPr>
          <w:rFonts w:asciiTheme="minorHAnsi" w:hAnsiTheme="minorHAnsi" w:cs="Times New Roman"/>
        </w:rPr>
        <w:t>malathion</w:t>
      </w:r>
      <w:proofErr w:type="gramEnd"/>
      <w:r w:rsidRPr="0085120F">
        <w:rPr>
          <w:rFonts w:asciiTheme="minorHAnsi" w:hAnsiTheme="minorHAnsi" w:cs="Times New Roman"/>
        </w:rPr>
        <w:t xml:space="preserve"> concentrations in tissue and water were measured at various intervals over a 24 or 48 hour period after an aerial application. In this study, based on reported residues of up to 4 live shrimp, BCF values were approaching 400 after 1 hour of exposure and up to and over 1000 by 3 or 9 hours, with a maximum BCF of around 1600 after 24 hours exposure. BCF values of this magnitude and this quickly after exposure are not anticipated based on data from other studies and estimated values for other aquatic organisms  In the amphipod study, the 24-hr BAF value (which was comprised of residues for both malathion and malaoxon) was 3 (</w:t>
      </w:r>
      <w:proofErr w:type="spellStart"/>
      <w:r w:rsidRPr="0085120F">
        <w:rPr>
          <w:rFonts w:asciiTheme="minorHAnsi" w:hAnsiTheme="minorHAnsi" w:cs="Times New Roman"/>
        </w:rPr>
        <w:t>Ashauer</w:t>
      </w:r>
      <w:proofErr w:type="spellEnd"/>
      <w:r w:rsidRPr="0085120F">
        <w:rPr>
          <w:rFonts w:asciiTheme="minorHAnsi" w:hAnsiTheme="minorHAnsi" w:cs="Times New Roman"/>
        </w:rPr>
        <w:t xml:space="preserve"> </w:t>
      </w:r>
      <w:r w:rsidRPr="0085120F">
        <w:rPr>
          <w:rFonts w:asciiTheme="minorHAnsi" w:hAnsiTheme="minorHAnsi" w:cs="Times New Roman"/>
          <w:i/>
        </w:rPr>
        <w:t>et al.</w:t>
      </w:r>
      <w:r w:rsidRPr="0085120F">
        <w:rPr>
          <w:rFonts w:asciiTheme="minorHAnsi" w:hAnsiTheme="minorHAnsi" w:cs="Times New Roman"/>
        </w:rPr>
        <w:t xml:space="preserve"> 2012). Given that exposure in the amphipod study was only for 24-hours, residues may not have reached steady-state based on the estimated time to steady-state of 3 days.  In a study evaluating uptake in snails exposed to malathion- treated sediment, the reported BCF values were approximately 5-50 (Martinez-</w:t>
      </w:r>
      <w:proofErr w:type="spellStart"/>
      <w:r w:rsidRPr="0085120F">
        <w:rPr>
          <w:rFonts w:asciiTheme="minorHAnsi" w:hAnsiTheme="minorHAnsi" w:cs="Times New Roman"/>
        </w:rPr>
        <w:t>Tabche</w:t>
      </w:r>
      <w:proofErr w:type="spellEnd"/>
      <w:r w:rsidRPr="0085120F">
        <w:rPr>
          <w:rFonts w:asciiTheme="minorHAnsi" w:hAnsiTheme="minorHAnsi" w:cs="Times New Roman"/>
        </w:rPr>
        <w:t xml:space="preserve"> et al. 2002, E67329).  However, in another figure in this study reporting measured concentrations in snails and sediment, it appears the highest BCF would be about 5 and not 50.  The KABAM estimated BCF values for aquatic invertebrates range from 6-9 and 48-72, based on Kow values of 2.3 and 3.3, respectively. While the KABAM estimate may not consider metabolism rates, given </w:t>
      </w:r>
      <w:r w:rsidRPr="0085120F">
        <w:rPr>
          <w:rFonts w:asciiTheme="minorHAnsi" w:hAnsiTheme="minorHAnsi" w:cs="Times New Roman"/>
        </w:rPr>
        <w:lastRenderedPageBreak/>
        <w:t xml:space="preserve">the uncertainties in the empirical data, the upper end estimate of 72 will be used to estimate concentrations in aquatic invertebrates.  </w:t>
      </w:r>
    </w:p>
    <w:p w14:paraId="7A0ACDBE" w14:textId="77777777" w:rsidR="0085120F" w:rsidRPr="0085120F" w:rsidRDefault="0085120F" w:rsidP="0085120F">
      <w:pPr>
        <w:rPr>
          <w:rFonts w:asciiTheme="minorHAnsi" w:hAnsiTheme="minorHAnsi" w:cs="Times New Roman"/>
        </w:rPr>
      </w:pPr>
      <w:r w:rsidRPr="0085120F">
        <w:rPr>
          <w:rFonts w:asciiTheme="minorHAnsi" w:hAnsiTheme="minorHAnsi" w:cs="Times New Roman"/>
        </w:rPr>
        <w:t xml:space="preserve">For aquatic plants, there was one study which evaluated residues in three plant species after 8 days of exposure with reported BCF values of 1.2-23. The KABAM estimated BCF value is 12 and 97, based on Kow values of 2.3 and 3.3, respectively, for aquatic plants (phytoplankton). The 8-day exposure is greater than the time to reach steady-state and the highest reported BCF value of 23 will be used to estimate residues in aquatic plants. </w:t>
      </w:r>
    </w:p>
    <w:p w14:paraId="0B83EA96" w14:textId="77777777" w:rsidR="0085120F" w:rsidRPr="0085120F" w:rsidRDefault="0085120F" w:rsidP="0085120F">
      <w:pPr>
        <w:rPr>
          <w:rFonts w:asciiTheme="minorHAnsi" w:hAnsiTheme="minorHAnsi" w:cs="Times New Roman"/>
        </w:rPr>
      </w:pPr>
      <w:r w:rsidRPr="0085120F">
        <w:rPr>
          <w:rFonts w:asciiTheme="minorHAnsi" w:hAnsiTheme="minorHAnsi" w:cs="Times New Roman"/>
        </w:rPr>
        <w:t xml:space="preserve">Several studies related to bioaccumulation of </w:t>
      </w:r>
      <w:proofErr w:type="gramStart"/>
      <w:r w:rsidRPr="0085120F">
        <w:rPr>
          <w:rFonts w:asciiTheme="minorHAnsi" w:hAnsiTheme="minorHAnsi" w:cs="Times New Roman"/>
        </w:rPr>
        <w:t>malathion</w:t>
      </w:r>
      <w:proofErr w:type="gramEnd"/>
      <w:r w:rsidRPr="0085120F">
        <w:rPr>
          <w:rFonts w:asciiTheme="minorHAnsi" w:hAnsiTheme="minorHAnsi" w:cs="Times New Roman"/>
        </w:rPr>
        <w:t xml:space="preserve"> that were identified using ECOTOX are not included in this analysis (Table A.10). Reasons for exclusion included the following: </w:t>
      </w:r>
    </w:p>
    <w:p w14:paraId="5ECB3A02" w14:textId="77777777" w:rsidR="0085120F" w:rsidRPr="0085120F" w:rsidRDefault="0085120F" w:rsidP="0085120F">
      <w:pPr>
        <w:numPr>
          <w:ilvl w:val="0"/>
          <w:numId w:val="24"/>
        </w:numPr>
        <w:contextualSpacing/>
        <w:rPr>
          <w:rFonts w:asciiTheme="minorHAnsi" w:hAnsiTheme="minorHAnsi" w:cs="Times New Roman"/>
        </w:rPr>
      </w:pPr>
      <w:r w:rsidRPr="0085120F">
        <w:rPr>
          <w:rFonts w:asciiTheme="minorHAnsi" w:hAnsiTheme="minorHAnsi" w:cs="Times New Roman"/>
        </w:rPr>
        <w:t>Studies that reported BCFs or BAFs that were not whole organism (e.g., tissues or organs);</w:t>
      </w:r>
    </w:p>
    <w:p w14:paraId="357D3D70" w14:textId="77777777" w:rsidR="0085120F" w:rsidRPr="0085120F" w:rsidRDefault="0085120F" w:rsidP="0085120F">
      <w:pPr>
        <w:numPr>
          <w:ilvl w:val="0"/>
          <w:numId w:val="24"/>
        </w:numPr>
        <w:contextualSpacing/>
        <w:rPr>
          <w:rFonts w:asciiTheme="minorHAnsi" w:hAnsiTheme="minorHAnsi" w:cs="Times New Roman"/>
        </w:rPr>
      </w:pPr>
      <w:r w:rsidRPr="0085120F">
        <w:rPr>
          <w:rFonts w:asciiTheme="minorHAnsi" w:hAnsiTheme="minorHAnsi" w:cs="Times New Roman"/>
        </w:rPr>
        <w:t>Studies that were based on total radioactive residues, and did not distinguish between malathion and degradates that are not residues of concern;</w:t>
      </w:r>
    </w:p>
    <w:p w14:paraId="20AABBF2" w14:textId="77777777" w:rsidR="0085120F" w:rsidRPr="0085120F" w:rsidRDefault="0085120F" w:rsidP="0085120F">
      <w:pPr>
        <w:numPr>
          <w:ilvl w:val="0"/>
          <w:numId w:val="24"/>
        </w:numPr>
        <w:contextualSpacing/>
        <w:rPr>
          <w:rFonts w:asciiTheme="minorHAnsi" w:hAnsiTheme="minorHAnsi" w:cs="Times New Roman"/>
        </w:rPr>
      </w:pPr>
      <w:r w:rsidRPr="0085120F">
        <w:rPr>
          <w:rFonts w:asciiTheme="minorHAnsi" w:hAnsiTheme="minorHAnsi" w:cs="Times New Roman"/>
        </w:rPr>
        <w:t xml:space="preserve">Exposures to non-aquatic organisms (e.g., soil-exposure to earthworms). </w:t>
      </w:r>
    </w:p>
    <w:p w14:paraId="50F8E69D" w14:textId="77777777" w:rsidR="0085120F" w:rsidRPr="0085120F" w:rsidRDefault="0085120F" w:rsidP="0085120F">
      <w:pPr>
        <w:keepNext/>
        <w:spacing w:before="240" w:after="60"/>
        <w:rPr>
          <w:rFonts w:asciiTheme="minorHAnsi" w:hAnsiTheme="minorHAnsi" w:cs="Times New Roman"/>
        </w:rPr>
      </w:pPr>
      <w:r w:rsidRPr="0085120F">
        <w:rPr>
          <w:rFonts w:asciiTheme="minorHAnsi" w:hAnsiTheme="minorHAnsi" w:cs="Times New Roman"/>
        </w:rPr>
        <w:t>Table A.10.  Studies in ECOTOX that were excluded from bioconcentration analysis</w:t>
      </w:r>
    </w:p>
    <w:tbl>
      <w:tblPr>
        <w:tblStyle w:val="SignatureTable1"/>
        <w:tblW w:w="0" w:type="auto"/>
        <w:tblLook w:val="04A0" w:firstRow="1" w:lastRow="0" w:firstColumn="1" w:lastColumn="0" w:noHBand="0" w:noVBand="1"/>
      </w:tblPr>
      <w:tblGrid>
        <w:gridCol w:w="6745"/>
        <w:gridCol w:w="1440"/>
        <w:gridCol w:w="1165"/>
      </w:tblGrid>
      <w:tr w:rsidR="0085120F" w:rsidRPr="0085120F" w14:paraId="529D2872" w14:textId="77777777" w:rsidTr="00882F2E">
        <w:tc>
          <w:tcPr>
            <w:tcW w:w="6745" w:type="dxa"/>
          </w:tcPr>
          <w:p w14:paraId="77B3FB9C" w14:textId="77777777" w:rsidR="0085120F" w:rsidRPr="0085120F" w:rsidRDefault="0085120F" w:rsidP="0085120F">
            <w:pPr>
              <w:rPr>
                <w:rFonts w:asciiTheme="minorHAnsi" w:eastAsia="Calibri" w:hAnsiTheme="minorHAnsi" w:cs="Calibri"/>
                <w:color w:val="000000"/>
                <w:sz w:val="22"/>
                <w:szCs w:val="22"/>
              </w:rPr>
            </w:pPr>
            <w:r w:rsidRPr="0085120F">
              <w:rPr>
                <w:rFonts w:asciiTheme="minorHAnsi" w:eastAsia="Calibri" w:hAnsiTheme="minorHAnsi" w:cs="Calibri"/>
                <w:color w:val="000000"/>
                <w:sz w:val="22"/>
                <w:szCs w:val="22"/>
              </w:rPr>
              <w:t>Citation</w:t>
            </w:r>
          </w:p>
        </w:tc>
        <w:tc>
          <w:tcPr>
            <w:tcW w:w="1440" w:type="dxa"/>
          </w:tcPr>
          <w:p w14:paraId="4EC88310" w14:textId="77777777" w:rsidR="0085120F" w:rsidRPr="0085120F" w:rsidRDefault="0085120F" w:rsidP="0085120F">
            <w:pPr>
              <w:rPr>
                <w:rFonts w:asciiTheme="minorHAnsi" w:eastAsia="Calibri" w:hAnsiTheme="minorHAnsi" w:cs="Calibri"/>
                <w:color w:val="000000"/>
                <w:sz w:val="22"/>
                <w:szCs w:val="22"/>
              </w:rPr>
            </w:pPr>
            <w:r w:rsidRPr="0085120F">
              <w:rPr>
                <w:rFonts w:asciiTheme="minorHAnsi" w:eastAsia="Calibri" w:hAnsiTheme="minorHAnsi" w:cs="Calibri"/>
                <w:color w:val="000000"/>
                <w:sz w:val="22"/>
                <w:szCs w:val="22"/>
              </w:rPr>
              <w:t>ECOTOX #</w:t>
            </w:r>
          </w:p>
        </w:tc>
        <w:tc>
          <w:tcPr>
            <w:tcW w:w="1165" w:type="dxa"/>
          </w:tcPr>
          <w:p w14:paraId="7D58CC28" w14:textId="77777777" w:rsidR="0085120F" w:rsidRPr="0085120F" w:rsidRDefault="0085120F" w:rsidP="0085120F">
            <w:pPr>
              <w:rPr>
                <w:rFonts w:asciiTheme="minorHAnsi" w:eastAsia="Calibri" w:hAnsiTheme="minorHAnsi" w:cs="Calibri"/>
                <w:color w:val="000000"/>
                <w:sz w:val="22"/>
                <w:szCs w:val="22"/>
              </w:rPr>
            </w:pPr>
            <w:r w:rsidRPr="0085120F">
              <w:rPr>
                <w:rFonts w:asciiTheme="minorHAnsi" w:eastAsia="Calibri" w:hAnsiTheme="minorHAnsi" w:cs="Calibri"/>
                <w:color w:val="000000"/>
                <w:sz w:val="22"/>
                <w:szCs w:val="22"/>
              </w:rPr>
              <w:t>Reason for exclusion</w:t>
            </w:r>
          </w:p>
        </w:tc>
      </w:tr>
      <w:tr w:rsidR="0085120F" w:rsidRPr="0085120F" w14:paraId="61711ADB" w14:textId="77777777" w:rsidTr="00882F2E">
        <w:tc>
          <w:tcPr>
            <w:tcW w:w="6745" w:type="dxa"/>
          </w:tcPr>
          <w:p w14:paraId="72257873" w14:textId="77777777" w:rsidR="0085120F" w:rsidRPr="0085120F" w:rsidRDefault="0085120F" w:rsidP="0085120F">
            <w:pPr>
              <w:rPr>
                <w:rFonts w:asciiTheme="minorHAnsi" w:eastAsia="Calibri" w:hAnsiTheme="minorHAnsi" w:cs="Calibri"/>
                <w:color w:val="000000"/>
                <w:sz w:val="22"/>
                <w:szCs w:val="22"/>
              </w:rPr>
            </w:pPr>
            <w:proofErr w:type="spellStart"/>
            <w:r w:rsidRPr="0085120F">
              <w:rPr>
                <w:rFonts w:asciiTheme="minorHAnsi" w:eastAsia="Calibri" w:hAnsiTheme="minorHAnsi" w:cs="Calibri"/>
                <w:color w:val="000000"/>
                <w:sz w:val="22"/>
                <w:szCs w:val="22"/>
              </w:rPr>
              <w:t>Belluck</w:t>
            </w:r>
            <w:proofErr w:type="spellEnd"/>
            <w:r w:rsidRPr="0085120F">
              <w:rPr>
                <w:rFonts w:asciiTheme="minorHAnsi" w:eastAsia="Calibri" w:hAnsiTheme="minorHAnsi" w:cs="Calibri"/>
                <w:color w:val="000000"/>
                <w:sz w:val="22"/>
                <w:szCs w:val="22"/>
              </w:rPr>
              <w:t xml:space="preserve"> </w:t>
            </w:r>
            <w:proofErr w:type="spellStart"/>
            <w:r w:rsidRPr="0085120F">
              <w:rPr>
                <w:rFonts w:asciiTheme="minorHAnsi" w:eastAsia="Calibri" w:hAnsiTheme="minorHAnsi" w:cs="Calibri"/>
                <w:color w:val="000000"/>
                <w:sz w:val="22"/>
                <w:szCs w:val="22"/>
              </w:rPr>
              <w:t>D</w:t>
            </w:r>
            <w:proofErr w:type="gramStart"/>
            <w:r w:rsidRPr="0085120F">
              <w:rPr>
                <w:rFonts w:asciiTheme="minorHAnsi" w:eastAsia="Calibri" w:hAnsiTheme="minorHAnsi" w:cs="Calibri"/>
                <w:color w:val="000000"/>
                <w:sz w:val="22"/>
                <w:szCs w:val="22"/>
              </w:rPr>
              <w:t>;Felsot</w:t>
            </w:r>
            <w:proofErr w:type="spellEnd"/>
            <w:proofErr w:type="gramEnd"/>
            <w:r w:rsidRPr="0085120F">
              <w:rPr>
                <w:rFonts w:asciiTheme="minorHAnsi" w:eastAsia="Calibri" w:hAnsiTheme="minorHAnsi" w:cs="Calibri"/>
                <w:color w:val="000000"/>
                <w:sz w:val="22"/>
                <w:szCs w:val="22"/>
              </w:rPr>
              <w:t xml:space="preserve"> A. 1981. Bioconcentration of Pesticides by Egg Masses of the Caddisfly, Triaenodes tardus Milne. Bull. Environ. </w:t>
            </w:r>
            <w:proofErr w:type="spellStart"/>
            <w:r w:rsidRPr="0085120F">
              <w:rPr>
                <w:rFonts w:asciiTheme="minorHAnsi" w:eastAsia="Calibri" w:hAnsiTheme="minorHAnsi" w:cs="Calibri"/>
                <w:color w:val="000000"/>
                <w:sz w:val="22"/>
                <w:szCs w:val="22"/>
              </w:rPr>
              <w:t>Contam</w:t>
            </w:r>
            <w:proofErr w:type="spellEnd"/>
            <w:r w:rsidRPr="0085120F">
              <w:rPr>
                <w:rFonts w:asciiTheme="minorHAnsi" w:eastAsia="Calibri" w:hAnsiTheme="minorHAnsi" w:cs="Calibri"/>
                <w:color w:val="000000"/>
                <w:sz w:val="22"/>
                <w:szCs w:val="22"/>
              </w:rPr>
              <w:t>. Toxicol. 26: 299-306</w:t>
            </w:r>
          </w:p>
        </w:tc>
        <w:tc>
          <w:tcPr>
            <w:tcW w:w="1440" w:type="dxa"/>
          </w:tcPr>
          <w:p w14:paraId="228AC838" w14:textId="77777777" w:rsidR="0085120F" w:rsidRPr="0085120F" w:rsidRDefault="0085120F" w:rsidP="0085120F">
            <w:pPr>
              <w:rPr>
                <w:rFonts w:asciiTheme="minorHAnsi" w:eastAsia="Calibri" w:hAnsiTheme="minorHAnsi" w:cs="Calibri"/>
                <w:color w:val="000000"/>
                <w:sz w:val="22"/>
                <w:szCs w:val="22"/>
              </w:rPr>
            </w:pPr>
            <w:r w:rsidRPr="0085120F">
              <w:rPr>
                <w:rFonts w:asciiTheme="minorHAnsi" w:eastAsia="Calibri" w:hAnsiTheme="minorHAnsi" w:cs="Calibri"/>
                <w:color w:val="000000"/>
                <w:sz w:val="22"/>
                <w:szCs w:val="22"/>
              </w:rPr>
              <w:t>2340</w:t>
            </w:r>
          </w:p>
        </w:tc>
        <w:tc>
          <w:tcPr>
            <w:tcW w:w="1165" w:type="dxa"/>
          </w:tcPr>
          <w:p w14:paraId="412FCA4F" w14:textId="77777777" w:rsidR="0085120F" w:rsidRPr="0085120F" w:rsidRDefault="0085120F" w:rsidP="0085120F">
            <w:pPr>
              <w:rPr>
                <w:rFonts w:asciiTheme="minorHAnsi" w:eastAsia="Calibri" w:hAnsiTheme="minorHAnsi" w:cs="Calibri"/>
                <w:color w:val="000000"/>
                <w:sz w:val="22"/>
                <w:szCs w:val="22"/>
              </w:rPr>
            </w:pPr>
            <w:r w:rsidRPr="0085120F">
              <w:rPr>
                <w:rFonts w:asciiTheme="minorHAnsi" w:eastAsia="Calibri" w:hAnsiTheme="minorHAnsi" w:cs="Calibri"/>
                <w:color w:val="000000"/>
                <w:sz w:val="22"/>
                <w:szCs w:val="22"/>
              </w:rPr>
              <w:t>2</w:t>
            </w:r>
          </w:p>
        </w:tc>
      </w:tr>
      <w:tr w:rsidR="0085120F" w:rsidRPr="0085120F" w14:paraId="12175953" w14:textId="77777777" w:rsidTr="00882F2E">
        <w:tc>
          <w:tcPr>
            <w:tcW w:w="6745" w:type="dxa"/>
          </w:tcPr>
          <w:p w14:paraId="4B201B73" w14:textId="77777777" w:rsidR="0085120F" w:rsidRPr="0085120F" w:rsidRDefault="0085120F" w:rsidP="0085120F">
            <w:pPr>
              <w:rPr>
                <w:rFonts w:asciiTheme="minorHAnsi" w:eastAsia="Calibri" w:hAnsiTheme="minorHAnsi" w:cs="Calibri"/>
                <w:color w:val="000000"/>
                <w:sz w:val="22"/>
                <w:szCs w:val="22"/>
              </w:rPr>
            </w:pPr>
            <w:r w:rsidRPr="0085120F">
              <w:rPr>
                <w:rFonts w:asciiTheme="minorHAnsi" w:eastAsia="Calibri" w:hAnsiTheme="minorHAnsi" w:cs="Calibri"/>
                <w:color w:val="000000"/>
                <w:sz w:val="22"/>
                <w:szCs w:val="22"/>
              </w:rPr>
              <w:t xml:space="preserve">Hassan </w:t>
            </w:r>
            <w:proofErr w:type="spellStart"/>
            <w:r w:rsidRPr="0085120F">
              <w:rPr>
                <w:rFonts w:asciiTheme="minorHAnsi" w:eastAsia="Calibri" w:hAnsiTheme="minorHAnsi" w:cs="Calibri"/>
                <w:color w:val="000000"/>
                <w:sz w:val="22"/>
                <w:szCs w:val="22"/>
              </w:rPr>
              <w:t>IM</w:t>
            </w:r>
            <w:proofErr w:type="gramStart"/>
            <w:r w:rsidRPr="0085120F">
              <w:rPr>
                <w:rFonts w:asciiTheme="minorHAnsi" w:eastAsia="Calibri" w:hAnsiTheme="minorHAnsi" w:cs="Calibri"/>
                <w:color w:val="000000"/>
                <w:sz w:val="22"/>
                <w:szCs w:val="22"/>
              </w:rPr>
              <w:t>;Abdallah</w:t>
            </w:r>
            <w:proofErr w:type="spellEnd"/>
            <w:proofErr w:type="gramEnd"/>
            <w:r w:rsidRPr="0085120F">
              <w:rPr>
                <w:rFonts w:asciiTheme="minorHAnsi" w:eastAsia="Calibri" w:hAnsiTheme="minorHAnsi" w:cs="Calibri"/>
                <w:color w:val="000000"/>
                <w:sz w:val="22"/>
                <w:szCs w:val="22"/>
              </w:rPr>
              <w:t xml:space="preserve"> </w:t>
            </w:r>
            <w:proofErr w:type="spellStart"/>
            <w:r w:rsidRPr="0085120F">
              <w:rPr>
                <w:rFonts w:asciiTheme="minorHAnsi" w:eastAsia="Calibri" w:hAnsiTheme="minorHAnsi" w:cs="Calibri"/>
                <w:color w:val="000000"/>
                <w:sz w:val="22"/>
                <w:szCs w:val="22"/>
              </w:rPr>
              <w:t>MA;Naguib</w:t>
            </w:r>
            <w:proofErr w:type="spellEnd"/>
            <w:r w:rsidRPr="0085120F">
              <w:rPr>
                <w:rFonts w:asciiTheme="minorHAnsi" w:eastAsia="Calibri" w:hAnsiTheme="minorHAnsi" w:cs="Calibri"/>
                <w:color w:val="000000"/>
                <w:sz w:val="22"/>
                <w:szCs w:val="22"/>
              </w:rPr>
              <w:t xml:space="preserve"> </w:t>
            </w:r>
            <w:proofErr w:type="spellStart"/>
            <w:r w:rsidRPr="0085120F">
              <w:rPr>
                <w:rFonts w:asciiTheme="minorHAnsi" w:eastAsia="Calibri" w:hAnsiTheme="minorHAnsi" w:cs="Calibri"/>
                <w:color w:val="000000"/>
                <w:sz w:val="22"/>
                <w:szCs w:val="22"/>
              </w:rPr>
              <w:t>MM;Abou</w:t>
            </w:r>
            <w:proofErr w:type="spellEnd"/>
            <w:r w:rsidRPr="0085120F">
              <w:rPr>
                <w:rFonts w:asciiTheme="minorHAnsi" w:eastAsia="Calibri" w:hAnsiTheme="minorHAnsi" w:cs="Calibri"/>
                <w:color w:val="000000"/>
                <w:sz w:val="22"/>
                <w:szCs w:val="22"/>
              </w:rPr>
              <w:t xml:space="preserve"> Donia MA. 1993. Toxicity, Distribution, Accumulation and Cooking Loss of Malathion in Tissues of Tilapia and Common Carp Fishes. </w:t>
            </w:r>
            <w:proofErr w:type="spellStart"/>
            <w:r w:rsidRPr="0085120F">
              <w:rPr>
                <w:rFonts w:asciiTheme="minorHAnsi" w:eastAsia="Calibri" w:hAnsiTheme="minorHAnsi" w:cs="Calibri"/>
                <w:color w:val="000000"/>
                <w:sz w:val="22"/>
                <w:szCs w:val="22"/>
              </w:rPr>
              <w:t>Grasas</w:t>
            </w:r>
            <w:proofErr w:type="spellEnd"/>
            <w:r w:rsidRPr="0085120F">
              <w:rPr>
                <w:rFonts w:asciiTheme="minorHAnsi" w:eastAsia="Calibri" w:hAnsiTheme="minorHAnsi" w:cs="Calibri"/>
                <w:color w:val="000000"/>
                <w:sz w:val="22"/>
                <w:szCs w:val="22"/>
              </w:rPr>
              <w:t xml:space="preserve"> </w:t>
            </w:r>
            <w:proofErr w:type="spellStart"/>
            <w:r w:rsidRPr="0085120F">
              <w:rPr>
                <w:rFonts w:asciiTheme="minorHAnsi" w:eastAsia="Calibri" w:hAnsiTheme="minorHAnsi" w:cs="Calibri"/>
                <w:color w:val="000000"/>
                <w:sz w:val="22"/>
                <w:szCs w:val="22"/>
              </w:rPr>
              <w:t>Aceites</w:t>
            </w:r>
            <w:proofErr w:type="spellEnd"/>
            <w:r w:rsidRPr="0085120F">
              <w:rPr>
                <w:rFonts w:asciiTheme="minorHAnsi" w:eastAsia="Calibri" w:hAnsiTheme="minorHAnsi" w:cs="Calibri"/>
                <w:color w:val="000000"/>
                <w:sz w:val="22"/>
                <w:szCs w:val="22"/>
              </w:rPr>
              <w:t xml:space="preserve"> 44(6): 339-344</w:t>
            </w:r>
          </w:p>
        </w:tc>
        <w:tc>
          <w:tcPr>
            <w:tcW w:w="1440" w:type="dxa"/>
          </w:tcPr>
          <w:p w14:paraId="29C9E717" w14:textId="77777777" w:rsidR="0085120F" w:rsidRPr="0085120F" w:rsidRDefault="0085120F" w:rsidP="0085120F">
            <w:pPr>
              <w:rPr>
                <w:rFonts w:asciiTheme="minorHAnsi" w:eastAsia="Calibri" w:hAnsiTheme="minorHAnsi" w:cs="Calibri"/>
                <w:color w:val="000000"/>
                <w:sz w:val="22"/>
                <w:szCs w:val="22"/>
              </w:rPr>
            </w:pPr>
            <w:r w:rsidRPr="0085120F">
              <w:rPr>
                <w:rFonts w:asciiTheme="minorHAnsi" w:eastAsia="Calibri" w:hAnsiTheme="minorHAnsi" w:cs="Calibri"/>
                <w:color w:val="000000"/>
                <w:sz w:val="22"/>
                <w:szCs w:val="22"/>
              </w:rPr>
              <w:t>89874</w:t>
            </w:r>
          </w:p>
        </w:tc>
        <w:tc>
          <w:tcPr>
            <w:tcW w:w="1165" w:type="dxa"/>
          </w:tcPr>
          <w:p w14:paraId="41B32ECE" w14:textId="77777777" w:rsidR="0085120F" w:rsidRPr="0085120F" w:rsidRDefault="0085120F" w:rsidP="0085120F">
            <w:pPr>
              <w:rPr>
                <w:rFonts w:asciiTheme="minorHAnsi" w:eastAsia="Calibri" w:hAnsiTheme="minorHAnsi" w:cs="Calibri"/>
                <w:color w:val="000000"/>
                <w:sz w:val="22"/>
                <w:szCs w:val="22"/>
              </w:rPr>
            </w:pPr>
            <w:r w:rsidRPr="0085120F">
              <w:rPr>
                <w:rFonts w:asciiTheme="minorHAnsi" w:eastAsia="Calibri" w:hAnsiTheme="minorHAnsi" w:cs="Calibri"/>
                <w:color w:val="000000"/>
                <w:sz w:val="22"/>
                <w:szCs w:val="22"/>
              </w:rPr>
              <w:t>1</w:t>
            </w:r>
          </w:p>
        </w:tc>
      </w:tr>
      <w:tr w:rsidR="0085120F" w:rsidRPr="0085120F" w14:paraId="560D80C5" w14:textId="77777777" w:rsidTr="00882F2E">
        <w:tc>
          <w:tcPr>
            <w:tcW w:w="6745" w:type="dxa"/>
          </w:tcPr>
          <w:p w14:paraId="24CA7961" w14:textId="77777777" w:rsidR="0085120F" w:rsidRPr="0085120F" w:rsidRDefault="0085120F" w:rsidP="0085120F">
            <w:pPr>
              <w:rPr>
                <w:rFonts w:asciiTheme="minorHAnsi" w:eastAsia="Calibri" w:hAnsiTheme="minorHAnsi" w:cs="Calibri"/>
                <w:color w:val="000000"/>
                <w:sz w:val="22"/>
                <w:szCs w:val="22"/>
              </w:rPr>
            </w:pPr>
            <w:r w:rsidRPr="0085120F">
              <w:rPr>
                <w:rFonts w:asciiTheme="minorHAnsi" w:eastAsia="Calibri" w:hAnsiTheme="minorHAnsi" w:cs="Calibri"/>
                <w:color w:val="000000"/>
                <w:sz w:val="22"/>
                <w:szCs w:val="22"/>
              </w:rPr>
              <w:t xml:space="preserve">Henson-Ramsey </w:t>
            </w:r>
            <w:proofErr w:type="spellStart"/>
            <w:r w:rsidRPr="0085120F">
              <w:rPr>
                <w:rFonts w:asciiTheme="minorHAnsi" w:eastAsia="Calibri" w:hAnsiTheme="minorHAnsi" w:cs="Calibri"/>
                <w:color w:val="000000"/>
                <w:sz w:val="22"/>
                <w:szCs w:val="22"/>
              </w:rPr>
              <w:t>H</w:t>
            </w:r>
            <w:proofErr w:type="gramStart"/>
            <w:r w:rsidRPr="0085120F">
              <w:rPr>
                <w:rFonts w:asciiTheme="minorHAnsi" w:eastAsia="Calibri" w:hAnsiTheme="minorHAnsi" w:cs="Calibri"/>
                <w:color w:val="000000"/>
                <w:sz w:val="22"/>
                <w:szCs w:val="22"/>
              </w:rPr>
              <w:t>;Kennedy</w:t>
            </w:r>
            <w:proofErr w:type="gramEnd"/>
            <w:r w:rsidRPr="0085120F">
              <w:rPr>
                <w:rFonts w:asciiTheme="minorHAnsi" w:eastAsia="Calibri" w:hAnsiTheme="minorHAnsi" w:cs="Calibri"/>
                <w:color w:val="000000"/>
                <w:sz w:val="22"/>
                <w:szCs w:val="22"/>
              </w:rPr>
              <w:t>-Stoskopf</w:t>
            </w:r>
            <w:proofErr w:type="spellEnd"/>
            <w:r w:rsidRPr="0085120F">
              <w:rPr>
                <w:rFonts w:asciiTheme="minorHAnsi" w:eastAsia="Calibri" w:hAnsiTheme="minorHAnsi" w:cs="Calibri"/>
                <w:color w:val="000000"/>
                <w:sz w:val="22"/>
                <w:szCs w:val="22"/>
              </w:rPr>
              <w:t xml:space="preserve"> </w:t>
            </w:r>
            <w:proofErr w:type="spellStart"/>
            <w:r w:rsidRPr="0085120F">
              <w:rPr>
                <w:rFonts w:asciiTheme="minorHAnsi" w:eastAsia="Calibri" w:hAnsiTheme="minorHAnsi" w:cs="Calibri"/>
                <w:color w:val="000000"/>
                <w:sz w:val="22"/>
                <w:szCs w:val="22"/>
              </w:rPr>
              <w:t>S;Levine</w:t>
            </w:r>
            <w:proofErr w:type="spellEnd"/>
            <w:r w:rsidRPr="0085120F">
              <w:rPr>
                <w:rFonts w:asciiTheme="minorHAnsi" w:eastAsia="Calibri" w:hAnsiTheme="minorHAnsi" w:cs="Calibri"/>
                <w:color w:val="000000"/>
                <w:sz w:val="22"/>
                <w:szCs w:val="22"/>
              </w:rPr>
              <w:t xml:space="preserve"> </w:t>
            </w:r>
            <w:proofErr w:type="spellStart"/>
            <w:r w:rsidRPr="0085120F">
              <w:rPr>
                <w:rFonts w:asciiTheme="minorHAnsi" w:eastAsia="Calibri" w:hAnsiTheme="minorHAnsi" w:cs="Calibri"/>
                <w:color w:val="000000"/>
                <w:sz w:val="22"/>
                <w:szCs w:val="22"/>
              </w:rPr>
              <w:t>JF;Taylor</w:t>
            </w:r>
            <w:proofErr w:type="spellEnd"/>
            <w:r w:rsidRPr="0085120F">
              <w:rPr>
                <w:rFonts w:asciiTheme="minorHAnsi" w:eastAsia="Calibri" w:hAnsiTheme="minorHAnsi" w:cs="Calibri"/>
                <w:color w:val="000000"/>
                <w:sz w:val="22"/>
                <w:szCs w:val="22"/>
              </w:rPr>
              <w:t xml:space="preserve"> </w:t>
            </w:r>
            <w:proofErr w:type="spellStart"/>
            <w:r w:rsidRPr="0085120F">
              <w:rPr>
                <w:rFonts w:asciiTheme="minorHAnsi" w:eastAsia="Calibri" w:hAnsiTheme="minorHAnsi" w:cs="Calibri"/>
                <w:color w:val="000000"/>
                <w:sz w:val="22"/>
                <w:szCs w:val="22"/>
              </w:rPr>
              <w:t>SK;Shea</w:t>
            </w:r>
            <w:proofErr w:type="spellEnd"/>
            <w:r w:rsidRPr="0085120F">
              <w:rPr>
                <w:rFonts w:asciiTheme="minorHAnsi" w:eastAsia="Calibri" w:hAnsiTheme="minorHAnsi" w:cs="Calibri"/>
                <w:color w:val="000000"/>
                <w:sz w:val="22"/>
                <w:szCs w:val="22"/>
              </w:rPr>
              <w:t xml:space="preserve"> </w:t>
            </w:r>
            <w:proofErr w:type="spellStart"/>
            <w:r w:rsidRPr="0085120F">
              <w:rPr>
                <w:rFonts w:asciiTheme="minorHAnsi" w:eastAsia="Calibri" w:hAnsiTheme="minorHAnsi" w:cs="Calibri"/>
                <w:color w:val="000000"/>
                <w:sz w:val="22"/>
                <w:szCs w:val="22"/>
              </w:rPr>
              <w:t>D;Stoskopf</w:t>
            </w:r>
            <w:proofErr w:type="spellEnd"/>
            <w:r w:rsidRPr="0085120F">
              <w:rPr>
                <w:rFonts w:asciiTheme="minorHAnsi" w:eastAsia="Calibri" w:hAnsiTheme="minorHAnsi" w:cs="Calibri"/>
                <w:color w:val="000000"/>
                <w:sz w:val="22"/>
                <w:szCs w:val="22"/>
              </w:rPr>
              <w:t xml:space="preserve"> MK. 2008. Acute Toxicity and Tissue Distributions of Malathion in Ambystoma tigrinum. Arch. Environ. </w:t>
            </w:r>
            <w:proofErr w:type="spellStart"/>
            <w:r w:rsidRPr="0085120F">
              <w:rPr>
                <w:rFonts w:asciiTheme="minorHAnsi" w:eastAsia="Calibri" w:hAnsiTheme="minorHAnsi" w:cs="Calibri"/>
                <w:color w:val="000000"/>
                <w:sz w:val="22"/>
                <w:szCs w:val="22"/>
              </w:rPr>
              <w:t>Contam</w:t>
            </w:r>
            <w:proofErr w:type="spellEnd"/>
            <w:r w:rsidRPr="0085120F">
              <w:rPr>
                <w:rFonts w:asciiTheme="minorHAnsi" w:eastAsia="Calibri" w:hAnsiTheme="minorHAnsi" w:cs="Calibri"/>
                <w:color w:val="000000"/>
                <w:sz w:val="22"/>
                <w:szCs w:val="22"/>
              </w:rPr>
              <w:t>. Toxicol. 55: 481-487</w:t>
            </w:r>
          </w:p>
        </w:tc>
        <w:tc>
          <w:tcPr>
            <w:tcW w:w="1440" w:type="dxa"/>
          </w:tcPr>
          <w:p w14:paraId="069F48DF" w14:textId="77777777" w:rsidR="0085120F" w:rsidRPr="0085120F" w:rsidRDefault="0085120F" w:rsidP="0085120F">
            <w:pPr>
              <w:rPr>
                <w:rFonts w:asciiTheme="minorHAnsi" w:eastAsia="Calibri" w:hAnsiTheme="minorHAnsi" w:cs="Calibri"/>
                <w:color w:val="000000"/>
                <w:sz w:val="22"/>
                <w:szCs w:val="22"/>
              </w:rPr>
            </w:pPr>
            <w:r w:rsidRPr="0085120F">
              <w:rPr>
                <w:rFonts w:asciiTheme="minorHAnsi" w:eastAsia="Calibri" w:hAnsiTheme="minorHAnsi" w:cs="Calibri"/>
                <w:color w:val="000000"/>
                <w:sz w:val="22"/>
                <w:szCs w:val="22"/>
              </w:rPr>
              <w:t>104557</w:t>
            </w:r>
          </w:p>
        </w:tc>
        <w:tc>
          <w:tcPr>
            <w:tcW w:w="1165" w:type="dxa"/>
          </w:tcPr>
          <w:p w14:paraId="27BB4331" w14:textId="77777777" w:rsidR="0085120F" w:rsidRPr="0085120F" w:rsidRDefault="0085120F" w:rsidP="0085120F">
            <w:pPr>
              <w:rPr>
                <w:rFonts w:asciiTheme="minorHAnsi" w:eastAsia="Calibri" w:hAnsiTheme="minorHAnsi" w:cs="Calibri"/>
                <w:color w:val="000000"/>
                <w:sz w:val="22"/>
                <w:szCs w:val="22"/>
              </w:rPr>
            </w:pPr>
            <w:r w:rsidRPr="0085120F">
              <w:rPr>
                <w:rFonts w:asciiTheme="minorHAnsi" w:eastAsia="Calibri" w:hAnsiTheme="minorHAnsi" w:cs="Calibri"/>
                <w:color w:val="000000"/>
                <w:sz w:val="22"/>
                <w:szCs w:val="22"/>
              </w:rPr>
              <w:t>3</w:t>
            </w:r>
          </w:p>
        </w:tc>
      </w:tr>
      <w:tr w:rsidR="0085120F" w:rsidRPr="0085120F" w14:paraId="61E282D8" w14:textId="77777777" w:rsidTr="00882F2E">
        <w:tc>
          <w:tcPr>
            <w:tcW w:w="6745" w:type="dxa"/>
          </w:tcPr>
          <w:p w14:paraId="5F11FAD4" w14:textId="77777777" w:rsidR="0085120F" w:rsidRPr="0085120F" w:rsidRDefault="0085120F" w:rsidP="0085120F">
            <w:pPr>
              <w:rPr>
                <w:rFonts w:asciiTheme="minorHAnsi" w:eastAsia="Calibri" w:hAnsiTheme="minorHAnsi" w:cs="Calibri"/>
                <w:color w:val="000000"/>
                <w:sz w:val="22"/>
                <w:szCs w:val="22"/>
              </w:rPr>
            </w:pPr>
            <w:r w:rsidRPr="0085120F">
              <w:rPr>
                <w:rFonts w:asciiTheme="minorHAnsi" w:eastAsia="Calibri" w:hAnsiTheme="minorHAnsi" w:cs="Calibri"/>
                <w:color w:val="000000"/>
                <w:sz w:val="22"/>
                <w:szCs w:val="22"/>
              </w:rPr>
              <w:t xml:space="preserve">Henson-Ramsey </w:t>
            </w:r>
            <w:proofErr w:type="spellStart"/>
            <w:r w:rsidRPr="0085120F">
              <w:rPr>
                <w:rFonts w:asciiTheme="minorHAnsi" w:eastAsia="Calibri" w:hAnsiTheme="minorHAnsi" w:cs="Calibri"/>
                <w:color w:val="000000"/>
                <w:sz w:val="22"/>
                <w:szCs w:val="22"/>
              </w:rPr>
              <w:t>H</w:t>
            </w:r>
            <w:proofErr w:type="gramStart"/>
            <w:r w:rsidRPr="0085120F">
              <w:rPr>
                <w:rFonts w:asciiTheme="minorHAnsi" w:eastAsia="Calibri" w:hAnsiTheme="minorHAnsi" w:cs="Calibri"/>
                <w:color w:val="000000"/>
                <w:sz w:val="22"/>
                <w:szCs w:val="22"/>
              </w:rPr>
              <w:t>;Levine</w:t>
            </w:r>
            <w:proofErr w:type="spellEnd"/>
            <w:proofErr w:type="gramEnd"/>
            <w:r w:rsidRPr="0085120F">
              <w:rPr>
                <w:rFonts w:asciiTheme="minorHAnsi" w:eastAsia="Calibri" w:hAnsiTheme="minorHAnsi" w:cs="Calibri"/>
                <w:color w:val="000000"/>
                <w:sz w:val="22"/>
                <w:szCs w:val="22"/>
              </w:rPr>
              <w:t xml:space="preserve"> </w:t>
            </w:r>
            <w:proofErr w:type="spellStart"/>
            <w:r w:rsidRPr="0085120F">
              <w:rPr>
                <w:rFonts w:asciiTheme="minorHAnsi" w:eastAsia="Calibri" w:hAnsiTheme="minorHAnsi" w:cs="Calibri"/>
                <w:color w:val="000000"/>
                <w:sz w:val="22"/>
                <w:szCs w:val="22"/>
              </w:rPr>
              <w:t>J;Kennedy-Stoskopf</w:t>
            </w:r>
            <w:proofErr w:type="spellEnd"/>
            <w:r w:rsidRPr="0085120F">
              <w:rPr>
                <w:rFonts w:asciiTheme="minorHAnsi" w:eastAsia="Calibri" w:hAnsiTheme="minorHAnsi" w:cs="Calibri"/>
                <w:color w:val="000000"/>
                <w:sz w:val="22"/>
                <w:szCs w:val="22"/>
              </w:rPr>
              <w:t xml:space="preserve"> </w:t>
            </w:r>
            <w:proofErr w:type="spellStart"/>
            <w:r w:rsidRPr="0085120F">
              <w:rPr>
                <w:rFonts w:asciiTheme="minorHAnsi" w:eastAsia="Calibri" w:hAnsiTheme="minorHAnsi" w:cs="Calibri"/>
                <w:color w:val="000000"/>
                <w:sz w:val="22"/>
                <w:szCs w:val="22"/>
              </w:rPr>
              <w:t>S;Taylor</w:t>
            </w:r>
            <w:proofErr w:type="spellEnd"/>
            <w:r w:rsidRPr="0085120F">
              <w:rPr>
                <w:rFonts w:asciiTheme="minorHAnsi" w:eastAsia="Calibri" w:hAnsiTheme="minorHAnsi" w:cs="Calibri"/>
                <w:color w:val="000000"/>
                <w:sz w:val="22"/>
                <w:szCs w:val="22"/>
              </w:rPr>
              <w:t xml:space="preserve"> </w:t>
            </w:r>
            <w:proofErr w:type="spellStart"/>
            <w:r w:rsidRPr="0085120F">
              <w:rPr>
                <w:rFonts w:asciiTheme="minorHAnsi" w:eastAsia="Calibri" w:hAnsiTheme="minorHAnsi" w:cs="Calibri"/>
                <w:color w:val="000000"/>
                <w:sz w:val="22"/>
                <w:szCs w:val="22"/>
              </w:rPr>
              <w:t>SK;Shea</w:t>
            </w:r>
            <w:proofErr w:type="spellEnd"/>
            <w:r w:rsidRPr="0085120F">
              <w:rPr>
                <w:rFonts w:asciiTheme="minorHAnsi" w:eastAsia="Calibri" w:hAnsiTheme="minorHAnsi" w:cs="Calibri"/>
                <w:color w:val="000000"/>
                <w:sz w:val="22"/>
                <w:szCs w:val="22"/>
              </w:rPr>
              <w:t xml:space="preserve"> </w:t>
            </w:r>
            <w:proofErr w:type="spellStart"/>
            <w:r w:rsidRPr="0085120F">
              <w:rPr>
                <w:rFonts w:asciiTheme="minorHAnsi" w:eastAsia="Calibri" w:hAnsiTheme="minorHAnsi" w:cs="Calibri"/>
                <w:color w:val="000000"/>
                <w:sz w:val="22"/>
                <w:szCs w:val="22"/>
              </w:rPr>
              <w:t>D;Stoskopf</w:t>
            </w:r>
            <w:proofErr w:type="spellEnd"/>
            <w:r w:rsidRPr="0085120F">
              <w:rPr>
                <w:rFonts w:asciiTheme="minorHAnsi" w:eastAsia="Calibri" w:hAnsiTheme="minorHAnsi" w:cs="Calibri"/>
                <w:color w:val="000000"/>
                <w:sz w:val="22"/>
                <w:szCs w:val="22"/>
              </w:rPr>
              <w:t xml:space="preserve"> MK. 2007. Development of a Dynamic Pharmacokinetic Model to Estimate Bioconcentration of Xenobiotics in Earthworms. Environ. Model. Assess. 14(3): 411-418</w:t>
            </w:r>
          </w:p>
        </w:tc>
        <w:tc>
          <w:tcPr>
            <w:tcW w:w="1440" w:type="dxa"/>
          </w:tcPr>
          <w:p w14:paraId="4FD07B1F" w14:textId="77777777" w:rsidR="0085120F" w:rsidRPr="0085120F" w:rsidRDefault="0085120F" w:rsidP="0085120F">
            <w:pPr>
              <w:rPr>
                <w:rFonts w:asciiTheme="minorHAnsi" w:eastAsia="Calibri" w:hAnsiTheme="minorHAnsi" w:cs="Calibri"/>
                <w:color w:val="000000"/>
                <w:sz w:val="22"/>
                <w:szCs w:val="22"/>
              </w:rPr>
            </w:pPr>
            <w:r w:rsidRPr="0085120F">
              <w:rPr>
                <w:rFonts w:asciiTheme="minorHAnsi" w:eastAsia="Calibri" w:hAnsiTheme="minorHAnsi" w:cs="Calibri"/>
                <w:color w:val="000000"/>
                <w:sz w:val="22"/>
                <w:szCs w:val="22"/>
              </w:rPr>
              <w:t>121165</w:t>
            </w:r>
          </w:p>
        </w:tc>
        <w:tc>
          <w:tcPr>
            <w:tcW w:w="1165" w:type="dxa"/>
          </w:tcPr>
          <w:p w14:paraId="0C102184" w14:textId="77777777" w:rsidR="0085120F" w:rsidRPr="0085120F" w:rsidRDefault="0085120F" w:rsidP="0085120F">
            <w:pPr>
              <w:rPr>
                <w:rFonts w:asciiTheme="minorHAnsi" w:eastAsia="Calibri" w:hAnsiTheme="minorHAnsi" w:cs="Calibri"/>
                <w:color w:val="000000"/>
                <w:sz w:val="22"/>
                <w:szCs w:val="22"/>
              </w:rPr>
            </w:pPr>
            <w:r w:rsidRPr="0085120F">
              <w:rPr>
                <w:rFonts w:asciiTheme="minorHAnsi" w:eastAsia="Calibri" w:hAnsiTheme="minorHAnsi" w:cs="Calibri"/>
                <w:color w:val="000000"/>
                <w:sz w:val="22"/>
                <w:szCs w:val="22"/>
              </w:rPr>
              <w:t>3</w:t>
            </w:r>
          </w:p>
        </w:tc>
      </w:tr>
      <w:tr w:rsidR="0085120F" w:rsidRPr="0085120F" w14:paraId="56C1D2CB" w14:textId="77777777" w:rsidTr="00882F2E">
        <w:tc>
          <w:tcPr>
            <w:tcW w:w="6745" w:type="dxa"/>
          </w:tcPr>
          <w:p w14:paraId="49C273A8" w14:textId="77777777" w:rsidR="0085120F" w:rsidRPr="0085120F" w:rsidRDefault="0085120F" w:rsidP="0085120F">
            <w:pPr>
              <w:rPr>
                <w:rFonts w:asciiTheme="minorHAnsi" w:eastAsia="Calibri" w:hAnsiTheme="minorHAnsi" w:cs="Calibri"/>
                <w:color w:val="000000"/>
                <w:sz w:val="22"/>
                <w:szCs w:val="22"/>
              </w:rPr>
            </w:pPr>
            <w:r w:rsidRPr="0085120F">
              <w:rPr>
                <w:rFonts w:asciiTheme="minorHAnsi" w:eastAsia="Calibri" w:hAnsiTheme="minorHAnsi" w:cs="Calibri"/>
                <w:color w:val="000000"/>
                <w:sz w:val="22"/>
                <w:szCs w:val="22"/>
              </w:rPr>
              <w:t xml:space="preserve">Henson-Ramsey </w:t>
            </w:r>
            <w:proofErr w:type="spellStart"/>
            <w:r w:rsidRPr="0085120F">
              <w:rPr>
                <w:rFonts w:asciiTheme="minorHAnsi" w:eastAsia="Calibri" w:hAnsiTheme="minorHAnsi" w:cs="Calibri"/>
                <w:color w:val="000000"/>
                <w:sz w:val="22"/>
                <w:szCs w:val="22"/>
              </w:rPr>
              <w:t>H</w:t>
            </w:r>
            <w:proofErr w:type="gramStart"/>
            <w:r w:rsidRPr="0085120F">
              <w:rPr>
                <w:rFonts w:asciiTheme="minorHAnsi" w:eastAsia="Calibri" w:hAnsiTheme="minorHAnsi" w:cs="Calibri"/>
                <w:color w:val="000000"/>
                <w:sz w:val="22"/>
                <w:szCs w:val="22"/>
              </w:rPr>
              <w:t>;Shea</w:t>
            </w:r>
            <w:proofErr w:type="spellEnd"/>
            <w:proofErr w:type="gramEnd"/>
            <w:r w:rsidRPr="0085120F">
              <w:rPr>
                <w:rFonts w:asciiTheme="minorHAnsi" w:eastAsia="Calibri" w:hAnsiTheme="minorHAnsi" w:cs="Calibri"/>
                <w:color w:val="000000"/>
                <w:sz w:val="22"/>
                <w:szCs w:val="22"/>
              </w:rPr>
              <w:t xml:space="preserve"> </w:t>
            </w:r>
            <w:proofErr w:type="spellStart"/>
            <w:r w:rsidRPr="0085120F">
              <w:rPr>
                <w:rFonts w:asciiTheme="minorHAnsi" w:eastAsia="Calibri" w:hAnsiTheme="minorHAnsi" w:cs="Calibri"/>
                <w:color w:val="000000"/>
                <w:sz w:val="22"/>
                <w:szCs w:val="22"/>
              </w:rPr>
              <w:t>D;Levine</w:t>
            </w:r>
            <w:proofErr w:type="spellEnd"/>
            <w:r w:rsidRPr="0085120F">
              <w:rPr>
                <w:rFonts w:asciiTheme="minorHAnsi" w:eastAsia="Calibri" w:hAnsiTheme="minorHAnsi" w:cs="Calibri"/>
                <w:color w:val="000000"/>
                <w:sz w:val="22"/>
                <w:szCs w:val="22"/>
              </w:rPr>
              <w:t xml:space="preserve"> </w:t>
            </w:r>
            <w:proofErr w:type="spellStart"/>
            <w:r w:rsidRPr="0085120F">
              <w:rPr>
                <w:rFonts w:asciiTheme="minorHAnsi" w:eastAsia="Calibri" w:hAnsiTheme="minorHAnsi" w:cs="Calibri"/>
                <w:color w:val="000000"/>
                <w:sz w:val="22"/>
                <w:szCs w:val="22"/>
              </w:rPr>
              <w:t>JF;Kennedy-Stoskopf</w:t>
            </w:r>
            <w:proofErr w:type="spellEnd"/>
            <w:r w:rsidRPr="0085120F">
              <w:rPr>
                <w:rFonts w:asciiTheme="minorHAnsi" w:eastAsia="Calibri" w:hAnsiTheme="minorHAnsi" w:cs="Calibri"/>
                <w:color w:val="000000"/>
                <w:sz w:val="22"/>
                <w:szCs w:val="22"/>
              </w:rPr>
              <w:t xml:space="preserve"> </w:t>
            </w:r>
            <w:proofErr w:type="spellStart"/>
            <w:r w:rsidRPr="0085120F">
              <w:rPr>
                <w:rFonts w:asciiTheme="minorHAnsi" w:eastAsia="Calibri" w:hAnsiTheme="minorHAnsi" w:cs="Calibri"/>
                <w:color w:val="000000"/>
                <w:sz w:val="22"/>
                <w:szCs w:val="22"/>
              </w:rPr>
              <w:t>S;Taylor</w:t>
            </w:r>
            <w:proofErr w:type="spellEnd"/>
            <w:r w:rsidRPr="0085120F">
              <w:rPr>
                <w:rFonts w:asciiTheme="minorHAnsi" w:eastAsia="Calibri" w:hAnsiTheme="minorHAnsi" w:cs="Calibri"/>
                <w:color w:val="000000"/>
                <w:sz w:val="22"/>
                <w:szCs w:val="22"/>
              </w:rPr>
              <w:t xml:space="preserve"> </w:t>
            </w:r>
            <w:proofErr w:type="spellStart"/>
            <w:r w:rsidRPr="0085120F">
              <w:rPr>
                <w:rFonts w:asciiTheme="minorHAnsi" w:eastAsia="Calibri" w:hAnsiTheme="minorHAnsi" w:cs="Calibri"/>
                <w:color w:val="000000"/>
                <w:sz w:val="22"/>
                <w:szCs w:val="22"/>
              </w:rPr>
              <w:t>SK;Stoskopf</w:t>
            </w:r>
            <w:proofErr w:type="spellEnd"/>
            <w:r w:rsidRPr="0085120F">
              <w:rPr>
                <w:rFonts w:asciiTheme="minorHAnsi" w:eastAsia="Calibri" w:hAnsiTheme="minorHAnsi" w:cs="Calibri"/>
                <w:color w:val="000000"/>
                <w:sz w:val="22"/>
                <w:szCs w:val="22"/>
              </w:rPr>
              <w:t xml:space="preserve"> MK. 2008. Assessment of the Effect of Varying Soil Organic Matter Content on the Bioavailability of Malathion to the Common Nightcrawler, Lumbricus terrestris L. Bull. Environ. </w:t>
            </w:r>
            <w:proofErr w:type="spellStart"/>
            <w:r w:rsidRPr="0085120F">
              <w:rPr>
                <w:rFonts w:asciiTheme="minorHAnsi" w:eastAsia="Calibri" w:hAnsiTheme="minorHAnsi" w:cs="Calibri"/>
                <w:color w:val="000000"/>
                <w:sz w:val="22"/>
                <w:szCs w:val="22"/>
              </w:rPr>
              <w:t>Contam</w:t>
            </w:r>
            <w:proofErr w:type="spellEnd"/>
            <w:r w:rsidRPr="0085120F">
              <w:rPr>
                <w:rFonts w:asciiTheme="minorHAnsi" w:eastAsia="Calibri" w:hAnsiTheme="minorHAnsi" w:cs="Calibri"/>
                <w:color w:val="000000"/>
                <w:sz w:val="22"/>
                <w:szCs w:val="22"/>
              </w:rPr>
              <w:t>. Toxicol. 80(3): 220-224</w:t>
            </w:r>
          </w:p>
        </w:tc>
        <w:tc>
          <w:tcPr>
            <w:tcW w:w="1440" w:type="dxa"/>
          </w:tcPr>
          <w:p w14:paraId="43DBD00B" w14:textId="77777777" w:rsidR="0085120F" w:rsidRPr="0085120F" w:rsidRDefault="0085120F" w:rsidP="0085120F">
            <w:pPr>
              <w:rPr>
                <w:rFonts w:asciiTheme="minorHAnsi" w:eastAsia="Calibri" w:hAnsiTheme="minorHAnsi" w:cs="Calibri"/>
                <w:color w:val="000000"/>
                <w:sz w:val="22"/>
                <w:szCs w:val="22"/>
              </w:rPr>
            </w:pPr>
            <w:r w:rsidRPr="0085120F">
              <w:rPr>
                <w:rFonts w:asciiTheme="minorHAnsi" w:eastAsia="Calibri" w:hAnsiTheme="minorHAnsi" w:cs="Calibri"/>
                <w:color w:val="000000"/>
                <w:sz w:val="22"/>
                <w:szCs w:val="22"/>
              </w:rPr>
              <w:t>104629</w:t>
            </w:r>
          </w:p>
        </w:tc>
        <w:tc>
          <w:tcPr>
            <w:tcW w:w="1165" w:type="dxa"/>
          </w:tcPr>
          <w:p w14:paraId="62C911EE" w14:textId="77777777" w:rsidR="0085120F" w:rsidRPr="0085120F" w:rsidRDefault="0085120F" w:rsidP="0085120F">
            <w:pPr>
              <w:rPr>
                <w:rFonts w:asciiTheme="minorHAnsi" w:eastAsia="Calibri" w:hAnsiTheme="minorHAnsi" w:cs="Calibri"/>
                <w:color w:val="000000"/>
                <w:sz w:val="22"/>
                <w:szCs w:val="22"/>
              </w:rPr>
            </w:pPr>
            <w:r w:rsidRPr="0085120F">
              <w:rPr>
                <w:rFonts w:asciiTheme="minorHAnsi" w:eastAsia="Calibri" w:hAnsiTheme="minorHAnsi" w:cs="Calibri"/>
                <w:color w:val="000000"/>
                <w:sz w:val="22"/>
                <w:szCs w:val="22"/>
              </w:rPr>
              <w:t>3</w:t>
            </w:r>
          </w:p>
        </w:tc>
      </w:tr>
    </w:tbl>
    <w:p w14:paraId="64C08ED5" w14:textId="77777777" w:rsidR="0085120F" w:rsidRPr="0085120F" w:rsidRDefault="0085120F" w:rsidP="0085120F">
      <w:pPr>
        <w:rPr>
          <w:rFonts w:asciiTheme="minorHAnsi" w:hAnsiTheme="minorHAnsi" w:cs="Times New Roman"/>
        </w:rPr>
      </w:pPr>
    </w:p>
    <w:p w14:paraId="2D64D118" w14:textId="77777777" w:rsidR="00843BAA" w:rsidRPr="00BD377B" w:rsidRDefault="00843BAA" w:rsidP="00843BAA">
      <w:pPr>
        <w:pStyle w:val="ListParagraph"/>
        <w:spacing w:after="0" w:line="240" w:lineRule="auto"/>
        <w:rPr>
          <w:rFonts w:asciiTheme="minorHAnsi" w:hAnsiTheme="minorHAnsi" w:cs="Times New Roman"/>
          <w:b/>
          <w:caps/>
          <w:color w:val="auto"/>
        </w:rPr>
      </w:pPr>
    </w:p>
    <w:p w14:paraId="57C9840F" w14:textId="1FD83164" w:rsidR="00843BAA" w:rsidRPr="00BD377B" w:rsidRDefault="00843BAA" w:rsidP="00536163">
      <w:pPr>
        <w:pStyle w:val="ListParagraph"/>
        <w:numPr>
          <w:ilvl w:val="1"/>
          <w:numId w:val="19"/>
        </w:numPr>
        <w:spacing w:after="0" w:line="240" w:lineRule="auto"/>
        <w:rPr>
          <w:rFonts w:asciiTheme="minorHAnsi" w:hAnsiTheme="minorHAnsi" w:cs="Times New Roman"/>
          <w:b/>
          <w:caps/>
          <w:color w:val="auto"/>
        </w:rPr>
      </w:pPr>
      <w:r w:rsidRPr="00BD377B">
        <w:rPr>
          <w:rFonts w:asciiTheme="minorHAnsi" w:hAnsiTheme="minorHAnsi" w:cs="Times New Roman"/>
          <w:b/>
          <w:caps/>
          <w:color w:val="auto"/>
        </w:rPr>
        <w:t>References</w:t>
      </w:r>
    </w:p>
    <w:p w14:paraId="00371F4D" w14:textId="77777777" w:rsidR="008F0DB9" w:rsidRPr="00175B1D" w:rsidRDefault="008F0DB9">
      <w:pPr>
        <w:spacing w:after="0" w:line="240" w:lineRule="auto"/>
        <w:rPr>
          <w:rFonts w:asciiTheme="minorHAnsi" w:hAnsiTheme="minorHAnsi" w:cs="Times New Roman"/>
          <w:sz w:val="24"/>
          <w:szCs w:val="24"/>
        </w:rPr>
      </w:pPr>
    </w:p>
    <w:p w14:paraId="70872935" w14:textId="77777777" w:rsidR="00843BAA" w:rsidRPr="00175B1D" w:rsidRDefault="00843BAA" w:rsidP="00843BAA">
      <w:pPr>
        <w:spacing w:after="0"/>
        <w:rPr>
          <w:rFonts w:asciiTheme="minorHAnsi" w:hAnsiTheme="minorHAnsi" w:cs="Times New Roman"/>
        </w:rPr>
      </w:pPr>
      <w:proofErr w:type="spellStart"/>
      <w:r w:rsidRPr="00175B1D">
        <w:rPr>
          <w:rFonts w:asciiTheme="minorHAnsi" w:hAnsiTheme="minorHAnsi" w:cs="Times New Roman"/>
        </w:rPr>
        <w:t>Ashauer</w:t>
      </w:r>
      <w:proofErr w:type="spellEnd"/>
      <w:r w:rsidRPr="00175B1D">
        <w:rPr>
          <w:rFonts w:asciiTheme="minorHAnsi" w:hAnsiTheme="minorHAnsi" w:cs="Times New Roman"/>
        </w:rPr>
        <w:t xml:space="preserve">, R., A. </w:t>
      </w:r>
      <w:proofErr w:type="spellStart"/>
      <w:r w:rsidRPr="00175B1D">
        <w:rPr>
          <w:rFonts w:asciiTheme="minorHAnsi" w:hAnsiTheme="minorHAnsi" w:cs="Times New Roman"/>
        </w:rPr>
        <w:t>Hintermeister</w:t>
      </w:r>
      <w:proofErr w:type="spellEnd"/>
      <w:r w:rsidRPr="00175B1D">
        <w:rPr>
          <w:rFonts w:asciiTheme="minorHAnsi" w:hAnsiTheme="minorHAnsi" w:cs="Times New Roman"/>
        </w:rPr>
        <w:t xml:space="preserve">, I. O’Connor, M. </w:t>
      </w:r>
      <w:proofErr w:type="spellStart"/>
      <w:r w:rsidRPr="00175B1D">
        <w:rPr>
          <w:rFonts w:asciiTheme="minorHAnsi" w:hAnsiTheme="minorHAnsi" w:cs="Times New Roman"/>
        </w:rPr>
        <w:t>Elumelu</w:t>
      </w:r>
      <w:proofErr w:type="spellEnd"/>
      <w:r w:rsidRPr="00175B1D">
        <w:rPr>
          <w:rFonts w:asciiTheme="minorHAnsi" w:hAnsiTheme="minorHAnsi" w:cs="Times New Roman"/>
        </w:rPr>
        <w:t>, J. Hollender, and B. I. Escher.  2012.</w:t>
      </w:r>
    </w:p>
    <w:p w14:paraId="0C44D350" w14:textId="77777777" w:rsidR="00843BAA" w:rsidRPr="00175B1D" w:rsidRDefault="00843BAA" w:rsidP="00843BAA">
      <w:pPr>
        <w:spacing w:after="0"/>
        <w:ind w:firstLine="720"/>
        <w:rPr>
          <w:rFonts w:asciiTheme="minorHAnsi" w:hAnsiTheme="minorHAnsi" w:cs="Times New Roman"/>
        </w:rPr>
      </w:pPr>
      <w:r w:rsidRPr="00175B1D">
        <w:rPr>
          <w:rFonts w:asciiTheme="minorHAnsi" w:hAnsiTheme="minorHAnsi" w:cs="Times New Roman"/>
        </w:rPr>
        <w:t>Significance of xenobiotic metabolism for bioaccumulation kinetics of organic chemicals</w:t>
      </w:r>
    </w:p>
    <w:p w14:paraId="476B5DAF" w14:textId="77777777" w:rsidR="00843BAA" w:rsidRPr="00175B1D" w:rsidRDefault="00843BAA" w:rsidP="00843BAA">
      <w:pPr>
        <w:spacing w:after="0"/>
        <w:ind w:firstLine="720"/>
        <w:rPr>
          <w:rFonts w:asciiTheme="minorHAnsi" w:hAnsiTheme="minorHAnsi" w:cs="Times New Roman"/>
        </w:rPr>
      </w:pPr>
      <w:proofErr w:type="gramStart"/>
      <w:r w:rsidRPr="00175B1D">
        <w:rPr>
          <w:rFonts w:asciiTheme="minorHAnsi" w:hAnsiTheme="minorHAnsi" w:cs="Times New Roman"/>
        </w:rPr>
        <w:t>in</w:t>
      </w:r>
      <w:proofErr w:type="gramEnd"/>
      <w:r w:rsidRPr="00175B1D">
        <w:rPr>
          <w:rFonts w:asciiTheme="minorHAnsi" w:hAnsiTheme="minorHAnsi" w:cs="Times New Roman"/>
        </w:rPr>
        <w:t xml:space="preserve"> </w:t>
      </w:r>
      <w:r w:rsidRPr="00175B1D">
        <w:rPr>
          <w:rFonts w:asciiTheme="minorHAnsi" w:hAnsiTheme="minorHAnsi" w:cs="Times New Roman"/>
          <w:i/>
        </w:rPr>
        <w:t>Gammarus pulex</w:t>
      </w:r>
      <w:r w:rsidRPr="00175B1D">
        <w:rPr>
          <w:rFonts w:asciiTheme="minorHAnsi" w:hAnsiTheme="minorHAnsi" w:cs="Times New Roman"/>
        </w:rPr>
        <w:t>. Environ. Sci. Technol. 46: 3498-3508.</w:t>
      </w:r>
    </w:p>
    <w:p w14:paraId="7CF5D032" w14:textId="77777777" w:rsidR="00843BAA" w:rsidRPr="00175B1D" w:rsidRDefault="00843BAA" w:rsidP="00843BAA">
      <w:pPr>
        <w:spacing w:after="0" w:line="240" w:lineRule="auto"/>
        <w:rPr>
          <w:rFonts w:asciiTheme="minorHAnsi" w:hAnsiTheme="minorHAnsi"/>
        </w:rPr>
      </w:pPr>
      <w:proofErr w:type="spellStart"/>
      <w:r w:rsidRPr="00175B1D">
        <w:rPr>
          <w:rFonts w:asciiTheme="minorHAnsi" w:eastAsia="Times New Roman" w:hAnsiTheme="minorHAnsi" w:cs="Times New Roman"/>
        </w:rPr>
        <w:lastRenderedPageBreak/>
        <w:t>Bourquin</w:t>
      </w:r>
      <w:proofErr w:type="spellEnd"/>
      <w:r w:rsidRPr="00175B1D">
        <w:rPr>
          <w:rFonts w:asciiTheme="minorHAnsi" w:eastAsia="Times New Roman" w:hAnsiTheme="minorHAnsi" w:cs="Times New Roman"/>
        </w:rPr>
        <w:t xml:space="preserve">, A.W. (1977). Effects of </w:t>
      </w:r>
      <w:proofErr w:type="gramStart"/>
      <w:r w:rsidRPr="00175B1D">
        <w:rPr>
          <w:rFonts w:asciiTheme="minorHAnsi" w:eastAsia="Times New Roman" w:hAnsiTheme="minorHAnsi" w:cs="Times New Roman"/>
        </w:rPr>
        <w:t>malathion</w:t>
      </w:r>
      <w:proofErr w:type="gramEnd"/>
      <w:r w:rsidRPr="00175B1D">
        <w:rPr>
          <w:rFonts w:asciiTheme="minorHAnsi" w:eastAsia="Times New Roman" w:hAnsiTheme="minorHAnsi" w:cs="Times New Roman"/>
        </w:rPr>
        <w:t xml:space="preserve"> on microorganisms of an artificial salt-marsh</w:t>
      </w:r>
    </w:p>
    <w:p w14:paraId="7D411542" w14:textId="77777777" w:rsidR="00843BAA" w:rsidRPr="00175B1D" w:rsidRDefault="00843BAA" w:rsidP="00843BAA">
      <w:pPr>
        <w:spacing w:after="0" w:line="240" w:lineRule="auto"/>
        <w:ind w:firstLine="720"/>
        <w:rPr>
          <w:rFonts w:asciiTheme="minorHAnsi" w:hAnsiTheme="minorHAnsi"/>
        </w:rPr>
      </w:pPr>
      <w:proofErr w:type="gramStart"/>
      <w:r w:rsidRPr="00175B1D">
        <w:rPr>
          <w:rFonts w:asciiTheme="minorHAnsi" w:eastAsia="Times New Roman" w:hAnsiTheme="minorHAnsi" w:cs="Times New Roman"/>
        </w:rPr>
        <w:t>environment</w:t>
      </w:r>
      <w:proofErr w:type="gramEnd"/>
      <w:r w:rsidRPr="00175B1D">
        <w:rPr>
          <w:rFonts w:asciiTheme="minorHAnsi" w:eastAsia="Times New Roman" w:hAnsiTheme="minorHAnsi" w:cs="Times New Roman"/>
        </w:rPr>
        <w:t xml:space="preserve">. </w:t>
      </w:r>
      <w:r w:rsidRPr="00175B1D">
        <w:rPr>
          <w:rFonts w:asciiTheme="minorHAnsi" w:eastAsia="Times New Roman" w:hAnsiTheme="minorHAnsi" w:cs="Times New Roman"/>
          <w:i/>
        </w:rPr>
        <w:t xml:space="preserve">J. Environ. Qual. </w:t>
      </w:r>
      <w:r w:rsidRPr="00175B1D">
        <w:rPr>
          <w:rFonts w:asciiTheme="minorHAnsi" w:eastAsia="Times New Roman" w:hAnsiTheme="minorHAnsi" w:cs="Times New Roman"/>
        </w:rPr>
        <w:t>4. 373-378.</w:t>
      </w:r>
    </w:p>
    <w:p w14:paraId="2539C5E6" w14:textId="77777777" w:rsidR="00843BAA" w:rsidRPr="00175B1D" w:rsidRDefault="00843BAA" w:rsidP="00843BAA">
      <w:pPr>
        <w:spacing w:after="0"/>
        <w:rPr>
          <w:rFonts w:asciiTheme="minorHAnsi" w:hAnsiTheme="minorHAnsi" w:cs="Times New Roman"/>
        </w:rPr>
      </w:pPr>
      <w:r w:rsidRPr="00175B1D">
        <w:rPr>
          <w:rFonts w:asciiTheme="minorHAnsi" w:hAnsiTheme="minorHAnsi" w:cs="Times New Roman"/>
        </w:rPr>
        <w:t xml:space="preserve">Conte. F.S. and J.C. Parker.  1975.  Effects of aerially-applied </w:t>
      </w:r>
      <w:proofErr w:type="gramStart"/>
      <w:r w:rsidRPr="00175B1D">
        <w:rPr>
          <w:rFonts w:asciiTheme="minorHAnsi" w:hAnsiTheme="minorHAnsi" w:cs="Times New Roman"/>
        </w:rPr>
        <w:t>malathion</w:t>
      </w:r>
      <w:proofErr w:type="gramEnd"/>
      <w:r w:rsidRPr="00175B1D">
        <w:rPr>
          <w:rFonts w:asciiTheme="minorHAnsi" w:hAnsiTheme="minorHAnsi" w:cs="Times New Roman"/>
        </w:rPr>
        <w:t xml:space="preserve"> on juvenile brown and</w:t>
      </w:r>
    </w:p>
    <w:p w14:paraId="3469E039" w14:textId="77777777" w:rsidR="00843BAA" w:rsidRPr="00175B1D" w:rsidRDefault="00843BAA" w:rsidP="00843BAA">
      <w:pPr>
        <w:spacing w:after="0"/>
        <w:ind w:firstLine="720"/>
        <w:rPr>
          <w:rFonts w:asciiTheme="minorHAnsi" w:hAnsiTheme="minorHAnsi" w:cs="Times New Roman"/>
        </w:rPr>
      </w:pPr>
      <w:proofErr w:type="gramStart"/>
      <w:r w:rsidRPr="00175B1D">
        <w:rPr>
          <w:rFonts w:asciiTheme="minorHAnsi" w:hAnsiTheme="minorHAnsi" w:cs="Times New Roman"/>
        </w:rPr>
        <w:t>white</w:t>
      </w:r>
      <w:proofErr w:type="gramEnd"/>
      <w:r w:rsidRPr="00175B1D">
        <w:rPr>
          <w:rFonts w:asciiTheme="minorHAnsi" w:hAnsiTheme="minorHAnsi" w:cs="Times New Roman"/>
        </w:rPr>
        <w:t xml:space="preserve"> shrimp Penaeus aztecus and P. setiferus.  Transactions of the American Fisheries</w:t>
      </w:r>
    </w:p>
    <w:p w14:paraId="5CCBB21D" w14:textId="77777777" w:rsidR="00843BAA" w:rsidRPr="00175B1D" w:rsidRDefault="00843BAA" w:rsidP="00843BAA">
      <w:pPr>
        <w:spacing w:after="0"/>
        <w:ind w:firstLine="720"/>
        <w:rPr>
          <w:rFonts w:asciiTheme="minorHAnsi" w:hAnsiTheme="minorHAnsi" w:cs="Times New Roman"/>
        </w:rPr>
      </w:pPr>
      <w:r w:rsidRPr="00175B1D">
        <w:rPr>
          <w:rFonts w:asciiTheme="minorHAnsi" w:hAnsiTheme="minorHAnsi" w:cs="Times New Roman"/>
        </w:rPr>
        <w:t>Society. 104(4): 793-799.</w:t>
      </w:r>
    </w:p>
    <w:p w14:paraId="0D7CE059" w14:textId="77777777" w:rsidR="00843BAA" w:rsidRPr="00175B1D" w:rsidRDefault="00843BAA" w:rsidP="00843BAA">
      <w:pPr>
        <w:spacing w:after="0" w:line="240" w:lineRule="auto"/>
        <w:rPr>
          <w:rFonts w:asciiTheme="minorHAnsi" w:eastAsia="Times New Roman" w:hAnsiTheme="minorHAnsi" w:cs="Times New Roman"/>
          <w:color w:val="auto"/>
        </w:rPr>
      </w:pPr>
      <w:r w:rsidRPr="00175B1D">
        <w:rPr>
          <w:rFonts w:asciiTheme="minorHAnsi" w:eastAsia="Times New Roman" w:hAnsiTheme="minorHAnsi" w:cs="Times New Roman"/>
          <w:color w:val="auto"/>
        </w:rPr>
        <w:t>Eichelberger, J.W; J.J. Lichtenberg.  1971. Persistence of pesticides in river water.  Environ. Sci.</w:t>
      </w:r>
    </w:p>
    <w:p w14:paraId="0AB779B2" w14:textId="77777777" w:rsidR="00843BAA" w:rsidRPr="00175B1D" w:rsidRDefault="00843BAA" w:rsidP="00843BAA">
      <w:pPr>
        <w:spacing w:after="0" w:line="240" w:lineRule="auto"/>
        <w:ind w:firstLine="720"/>
        <w:rPr>
          <w:rFonts w:asciiTheme="minorHAnsi" w:eastAsia="Times New Roman" w:hAnsiTheme="minorHAnsi" w:cs="Times New Roman"/>
          <w:color w:val="auto"/>
        </w:rPr>
      </w:pPr>
      <w:r w:rsidRPr="00175B1D">
        <w:rPr>
          <w:rFonts w:asciiTheme="minorHAnsi" w:eastAsia="Times New Roman" w:hAnsiTheme="minorHAnsi" w:cs="Times New Roman"/>
          <w:color w:val="auto"/>
        </w:rPr>
        <w:t>Tech., 5, pp. 541–544</w:t>
      </w:r>
    </w:p>
    <w:p w14:paraId="77B52438" w14:textId="77777777" w:rsidR="00843BAA" w:rsidRPr="00175B1D" w:rsidRDefault="00843BAA" w:rsidP="00843BAA">
      <w:pPr>
        <w:spacing w:after="0" w:line="240" w:lineRule="auto"/>
        <w:rPr>
          <w:rFonts w:asciiTheme="minorHAnsi" w:hAnsiTheme="minorHAnsi" w:cs="Times New Roman"/>
        </w:rPr>
      </w:pPr>
      <w:r w:rsidRPr="00175B1D">
        <w:rPr>
          <w:rFonts w:asciiTheme="minorHAnsi" w:eastAsia="Times New Roman" w:hAnsiTheme="minorHAnsi" w:cs="Times New Roman"/>
        </w:rPr>
        <w:t xml:space="preserve">Fellers, G. M., McConnell, L. L., Pratt, D., &amp; </w:t>
      </w:r>
      <w:proofErr w:type="spellStart"/>
      <w:r w:rsidRPr="00175B1D">
        <w:rPr>
          <w:rFonts w:asciiTheme="minorHAnsi" w:eastAsia="Times New Roman" w:hAnsiTheme="minorHAnsi" w:cs="Times New Roman"/>
        </w:rPr>
        <w:t>Datta</w:t>
      </w:r>
      <w:proofErr w:type="spellEnd"/>
      <w:r w:rsidRPr="00175B1D">
        <w:rPr>
          <w:rFonts w:asciiTheme="minorHAnsi" w:eastAsia="Times New Roman" w:hAnsiTheme="minorHAnsi" w:cs="Times New Roman"/>
        </w:rPr>
        <w:t>, S. 2004. Pesticides in Mountain Yellow-</w:t>
      </w:r>
    </w:p>
    <w:p w14:paraId="7B3B6FA0" w14:textId="77777777" w:rsidR="00843BAA" w:rsidRPr="00175B1D" w:rsidRDefault="00843BAA" w:rsidP="00843BAA">
      <w:pPr>
        <w:spacing w:after="0" w:line="240" w:lineRule="auto"/>
        <w:ind w:firstLine="720"/>
        <w:rPr>
          <w:rFonts w:asciiTheme="minorHAnsi" w:hAnsiTheme="minorHAnsi" w:cs="Times New Roman"/>
        </w:rPr>
      </w:pPr>
      <w:r w:rsidRPr="00175B1D">
        <w:rPr>
          <w:rFonts w:asciiTheme="minorHAnsi" w:eastAsia="Times New Roman" w:hAnsiTheme="minorHAnsi" w:cs="Times New Roman"/>
        </w:rPr>
        <w:t>Legged Frogs (</w:t>
      </w:r>
      <w:r w:rsidRPr="00175B1D">
        <w:rPr>
          <w:rFonts w:asciiTheme="minorHAnsi" w:eastAsia="Times New Roman" w:hAnsiTheme="minorHAnsi" w:cs="Times New Roman"/>
          <w:i/>
        </w:rPr>
        <w:t>Rana Mucosa</w:t>
      </w:r>
      <w:r w:rsidRPr="00175B1D">
        <w:rPr>
          <w:rFonts w:asciiTheme="minorHAnsi" w:eastAsia="Times New Roman" w:hAnsiTheme="minorHAnsi" w:cs="Times New Roman"/>
        </w:rPr>
        <w:t>) from the Sierra Nevada Mountains of California.</w:t>
      </w:r>
    </w:p>
    <w:p w14:paraId="323653EC" w14:textId="77777777" w:rsidR="00843BAA" w:rsidRPr="00175B1D" w:rsidRDefault="00843BAA" w:rsidP="00843BAA">
      <w:pPr>
        <w:spacing w:after="0" w:line="240" w:lineRule="auto"/>
        <w:ind w:firstLine="720"/>
        <w:rPr>
          <w:rFonts w:asciiTheme="minorHAnsi" w:eastAsia="Times New Roman" w:hAnsiTheme="minorHAnsi" w:cs="Times New Roman"/>
        </w:rPr>
      </w:pPr>
      <w:r w:rsidRPr="00175B1D">
        <w:rPr>
          <w:rFonts w:asciiTheme="minorHAnsi" w:eastAsia="Times New Roman" w:hAnsiTheme="minorHAnsi" w:cs="Times New Roman"/>
          <w:i/>
        </w:rPr>
        <w:t xml:space="preserve">Environmental Toxicology and Chemistry. </w:t>
      </w:r>
      <w:r w:rsidRPr="00175B1D">
        <w:rPr>
          <w:rFonts w:asciiTheme="minorHAnsi" w:eastAsia="Times New Roman" w:hAnsiTheme="minorHAnsi" w:cs="Times New Roman"/>
        </w:rPr>
        <w:t>23(9), 2170-2177.</w:t>
      </w:r>
    </w:p>
    <w:p w14:paraId="17718E14" w14:textId="77777777" w:rsidR="00843BAA" w:rsidRPr="00175B1D" w:rsidRDefault="00843BAA" w:rsidP="00843BAA">
      <w:pPr>
        <w:spacing w:after="0"/>
        <w:rPr>
          <w:rFonts w:asciiTheme="minorHAnsi" w:hAnsiTheme="minorHAnsi" w:cs="Times New Roman"/>
        </w:rPr>
      </w:pPr>
      <w:proofErr w:type="gramStart"/>
      <w:r w:rsidRPr="00175B1D">
        <w:rPr>
          <w:rFonts w:asciiTheme="minorHAnsi" w:hAnsiTheme="minorHAnsi" w:cs="Times New Roman"/>
        </w:rPr>
        <w:t>Gao</w:t>
      </w:r>
      <w:proofErr w:type="gramEnd"/>
      <w:r w:rsidRPr="00175B1D">
        <w:rPr>
          <w:rFonts w:asciiTheme="minorHAnsi" w:hAnsiTheme="minorHAnsi" w:cs="Times New Roman"/>
        </w:rPr>
        <w:t xml:space="preserve">, J., A. W. Garrison, C. </w:t>
      </w:r>
      <w:proofErr w:type="spellStart"/>
      <w:r w:rsidRPr="00175B1D">
        <w:rPr>
          <w:rFonts w:asciiTheme="minorHAnsi" w:hAnsiTheme="minorHAnsi" w:cs="Times New Roman"/>
        </w:rPr>
        <w:t>Hoehamer</w:t>
      </w:r>
      <w:proofErr w:type="spellEnd"/>
      <w:r w:rsidRPr="00175B1D">
        <w:rPr>
          <w:rFonts w:asciiTheme="minorHAnsi" w:hAnsiTheme="minorHAnsi" w:cs="Times New Roman"/>
        </w:rPr>
        <w:t>, C.S. Mazur and N.L. Wolfe.  2000. Uptake and</w:t>
      </w:r>
    </w:p>
    <w:p w14:paraId="7A6459F9" w14:textId="77777777" w:rsidR="00843BAA" w:rsidRPr="00175B1D" w:rsidRDefault="00843BAA" w:rsidP="00843BAA">
      <w:pPr>
        <w:spacing w:after="0"/>
        <w:ind w:firstLine="720"/>
        <w:rPr>
          <w:rFonts w:asciiTheme="minorHAnsi" w:hAnsiTheme="minorHAnsi" w:cs="Times New Roman"/>
        </w:rPr>
      </w:pPr>
      <w:proofErr w:type="spellStart"/>
      <w:proofErr w:type="gramStart"/>
      <w:r w:rsidRPr="00175B1D">
        <w:rPr>
          <w:rFonts w:asciiTheme="minorHAnsi" w:hAnsiTheme="minorHAnsi" w:cs="Times New Roman"/>
        </w:rPr>
        <w:t>phytotransformation</w:t>
      </w:r>
      <w:proofErr w:type="spellEnd"/>
      <w:proofErr w:type="gramEnd"/>
      <w:r w:rsidRPr="00175B1D">
        <w:rPr>
          <w:rFonts w:asciiTheme="minorHAnsi" w:hAnsiTheme="minorHAnsi" w:cs="Times New Roman"/>
        </w:rPr>
        <w:t xml:space="preserve"> of organophosphorus pesticides by </w:t>
      </w:r>
      <w:proofErr w:type="spellStart"/>
      <w:r w:rsidRPr="00175B1D">
        <w:rPr>
          <w:rFonts w:asciiTheme="minorHAnsi" w:hAnsiTheme="minorHAnsi" w:cs="Times New Roman"/>
        </w:rPr>
        <w:t>axenically</w:t>
      </w:r>
      <w:proofErr w:type="spellEnd"/>
      <w:r w:rsidRPr="00175B1D">
        <w:rPr>
          <w:rFonts w:asciiTheme="minorHAnsi" w:hAnsiTheme="minorHAnsi" w:cs="Times New Roman"/>
        </w:rPr>
        <w:t xml:space="preserve"> cultivated aquatic</w:t>
      </w:r>
    </w:p>
    <w:p w14:paraId="76DC94F3" w14:textId="77777777" w:rsidR="00843BAA" w:rsidRPr="00175B1D" w:rsidRDefault="00843BAA" w:rsidP="00843BAA">
      <w:pPr>
        <w:spacing w:after="0"/>
        <w:ind w:firstLine="720"/>
        <w:rPr>
          <w:rFonts w:asciiTheme="minorHAnsi" w:hAnsiTheme="minorHAnsi" w:cs="Times New Roman"/>
        </w:rPr>
      </w:pPr>
      <w:proofErr w:type="gramStart"/>
      <w:r w:rsidRPr="00175B1D">
        <w:rPr>
          <w:rFonts w:asciiTheme="minorHAnsi" w:hAnsiTheme="minorHAnsi" w:cs="Times New Roman"/>
        </w:rPr>
        <w:t>plants</w:t>
      </w:r>
      <w:proofErr w:type="gramEnd"/>
      <w:r w:rsidRPr="00175B1D">
        <w:rPr>
          <w:rFonts w:asciiTheme="minorHAnsi" w:hAnsiTheme="minorHAnsi" w:cs="Times New Roman"/>
        </w:rPr>
        <w:t>.  J. Agric. Food Chem. 48: 6114-6120.</w:t>
      </w:r>
    </w:p>
    <w:p w14:paraId="074B12E9" w14:textId="77777777" w:rsidR="00843BAA" w:rsidRPr="00175B1D" w:rsidRDefault="00843BAA" w:rsidP="00843BAA">
      <w:pPr>
        <w:spacing w:after="0" w:line="240" w:lineRule="auto"/>
        <w:rPr>
          <w:rStyle w:val="citation"/>
          <w:rFonts w:asciiTheme="minorHAnsi" w:hAnsiTheme="minorHAnsi" w:cs="Times New Roman"/>
        </w:rPr>
      </w:pPr>
      <w:r w:rsidRPr="00175B1D">
        <w:rPr>
          <w:rStyle w:val="citation"/>
          <w:rFonts w:asciiTheme="minorHAnsi" w:hAnsiTheme="minorHAnsi" w:cs="Times New Roman"/>
        </w:rPr>
        <w:t>Guerrant GO, Fetzer LE, Jr, Miles JW. Pesticide residues in Hale County, Texas, before and</w:t>
      </w:r>
    </w:p>
    <w:p w14:paraId="66212605" w14:textId="77777777" w:rsidR="00843BAA" w:rsidRPr="00175B1D" w:rsidRDefault="00843BAA" w:rsidP="00843BAA">
      <w:pPr>
        <w:spacing w:after="0" w:line="240" w:lineRule="auto"/>
        <w:ind w:firstLine="720"/>
        <w:rPr>
          <w:rStyle w:val="citation"/>
          <w:rFonts w:asciiTheme="minorHAnsi" w:hAnsiTheme="minorHAnsi" w:cs="Times New Roman"/>
        </w:rPr>
      </w:pPr>
      <w:proofErr w:type="gramStart"/>
      <w:r w:rsidRPr="00175B1D">
        <w:rPr>
          <w:rStyle w:val="citation"/>
          <w:rFonts w:asciiTheme="minorHAnsi" w:hAnsiTheme="minorHAnsi" w:cs="Times New Roman"/>
        </w:rPr>
        <w:t>after</w:t>
      </w:r>
      <w:proofErr w:type="gramEnd"/>
      <w:r w:rsidRPr="00175B1D">
        <w:rPr>
          <w:rStyle w:val="citation"/>
          <w:rFonts w:asciiTheme="minorHAnsi" w:hAnsiTheme="minorHAnsi" w:cs="Times New Roman"/>
        </w:rPr>
        <w:t xml:space="preserve"> ultra-low volume aerial application of malathion. </w:t>
      </w:r>
      <w:proofErr w:type="spellStart"/>
      <w:r w:rsidRPr="00175B1D">
        <w:rPr>
          <w:rStyle w:val="ref-journal"/>
          <w:rFonts w:asciiTheme="minorHAnsi" w:hAnsiTheme="minorHAnsi" w:cs="Times New Roman"/>
        </w:rPr>
        <w:t>Pestic</w:t>
      </w:r>
      <w:proofErr w:type="spellEnd"/>
      <w:r w:rsidRPr="00175B1D">
        <w:rPr>
          <w:rStyle w:val="ref-journal"/>
          <w:rFonts w:asciiTheme="minorHAnsi" w:hAnsiTheme="minorHAnsi" w:cs="Times New Roman"/>
        </w:rPr>
        <w:t xml:space="preserve"> </w:t>
      </w:r>
      <w:proofErr w:type="spellStart"/>
      <w:r w:rsidRPr="00175B1D">
        <w:rPr>
          <w:rStyle w:val="ref-journal"/>
          <w:rFonts w:asciiTheme="minorHAnsi" w:hAnsiTheme="minorHAnsi" w:cs="Times New Roman"/>
        </w:rPr>
        <w:t>Monit</w:t>
      </w:r>
      <w:proofErr w:type="spellEnd"/>
      <w:r w:rsidRPr="00175B1D">
        <w:rPr>
          <w:rStyle w:val="ref-journal"/>
          <w:rFonts w:asciiTheme="minorHAnsi" w:hAnsiTheme="minorHAnsi" w:cs="Times New Roman"/>
        </w:rPr>
        <w:t xml:space="preserve"> J. </w:t>
      </w:r>
      <w:r w:rsidRPr="00175B1D">
        <w:rPr>
          <w:rStyle w:val="citation"/>
          <w:rFonts w:asciiTheme="minorHAnsi" w:hAnsiTheme="minorHAnsi" w:cs="Times New Roman"/>
        </w:rPr>
        <w:t>1970 Jun</w:t>
      </w:r>
      <w:proofErr w:type="gramStart"/>
      <w:r w:rsidRPr="00175B1D">
        <w:rPr>
          <w:rStyle w:val="citation"/>
          <w:rFonts w:asciiTheme="minorHAnsi" w:hAnsiTheme="minorHAnsi" w:cs="Times New Roman"/>
        </w:rPr>
        <w:t>;</w:t>
      </w:r>
      <w:r w:rsidRPr="00175B1D">
        <w:rPr>
          <w:rStyle w:val="ref-vol"/>
          <w:rFonts w:asciiTheme="minorHAnsi" w:hAnsiTheme="minorHAnsi" w:cs="Times New Roman"/>
        </w:rPr>
        <w:t>4</w:t>
      </w:r>
      <w:proofErr w:type="gramEnd"/>
      <w:r w:rsidRPr="00175B1D">
        <w:rPr>
          <w:rStyle w:val="citation"/>
          <w:rFonts w:asciiTheme="minorHAnsi" w:hAnsiTheme="minorHAnsi" w:cs="Times New Roman"/>
        </w:rPr>
        <w:t>(1):14</w:t>
      </w:r>
    </w:p>
    <w:p w14:paraId="20BC828F" w14:textId="77777777" w:rsidR="00843BAA" w:rsidRPr="00175B1D" w:rsidRDefault="00843BAA" w:rsidP="00843BAA">
      <w:pPr>
        <w:spacing w:after="0" w:line="240" w:lineRule="auto"/>
        <w:ind w:left="720"/>
        <w:rPr>
          <w:rFonts w:asciiTheme="minorHAnsi" w:hAnsiTheme="minorHAnsi" w:cs="Times New Roman"/>
        </w:rPr>
      </w:pPr>
      <w:r w:rsidRPr="00175B1D">
        <w:rPr>
          <w:rStyle w:val="citation"/>
          <w:rFonts w:asciiTheme="minorHAnsi" w:hAnsiTheme="minorHAnsi" w:cs="Times New Roman"/>
        </w:rPr>
        <w:t>20.</w:t>
      </w:r>
    </w:p>
    <w:p w14:paraId="7AE95B46" w14:textId="77777777" w:rsidR="00843BAA" w:rsidRPr="00175B1D" w:rsidRDefault="00843BAA" w:rsidP="00843BAA">
      <w:pPr>
        <w:spacing w:after="0" w:line="240" w:lineRule="auto"/>
        <w:rPr>
          <w:rFonts w:asciiTheme="minorHAnsi" w:hAnsiTheme="minorHAnsi" w:cs="Times New Roman"/>
        </w:rPr>
      </w:pPr>
      <w:r w:rsidRPr="00175B1D">
        <w:rPr>
          <w:rFonts w:asciiTheme="minorHAnsi" w:eastAsia="Times New Roman" w:hAnsiTheme="minorHAnsi" w:cs="Times New Roman"/>
        </w:rPr>
        <w:t xml:space="preserve">Howard, P.H. 1991. </w:t>
      </w:r>
      <w:r w:rsidRPr="00175B1D">
        <w:rPr>
          <w:rFonts w:asciiTheme="minorHAnsi" w:eastAsia="Times New Roman" w:hAnsiTheme="minorHAnsi" w:cs="Times New Roman"/>
          <w:i/>
        </w:rPr>
        <w:t>Handbook of Environmental Fate and Exposure Data for Organic</w:t>
      </w:r>
    </w:p>
    <w:p w14:paraId="655F7687" w14:textId="77777777" w:rsidR="00843BAA" w:rsidRPr="00175B1D" w:rsidRDefault="00843BAA" w:rsidP="00843BAA">
      <w:pPr>
        <w:spacing w:after="0" w:line="240" w:lineRule="auto"/>
        <w:ind w:firstLine="720"/>
        <w:rPr>
          <w:rFonts w:asciiTheme="minorHAnsi" w:eastAsia="Times New Roman" w:hAnsiTheme="minorHAnsi" w:cs="Times New Roman"/>
        </w:rPr>
      </w:pPr>
      <w:r w:rsidRPr="00175B1D">
        <w:rPr>
          <w:rFonts w:asciiTheme="minorHAnsi" w:eastAsia="Times New Roman" w:hAnsiTheme="minorHAnsi" w:cs="Times New Roman"/>
          <w:i/>
        </w:rPr>
        <w:t xml:space="preserve">Chemicals </w:t>
      </w:r>
      <w:r w:rsidRPr="00175B1D">
        <w:rPr>
          <w:rFonts w:asciiTheme="minorHAnsi" w:eastAsia="Times New Roman" w:hAnsiTheme="minorHAnsi" w:cs="Times New Roman"/>
        </w:rPr>
        <w:t>Volume 3. Lewis Publishers. Chelsea Michigan.</w:t>
      </w:r>
    </w:p>
    <w:p w14:paraId="1A52FAAD" w14:textId="77777777" w:rsidR="00843BAA" w:rsidRPr="00175B1D" w:rsidRDefault="00843BAA" w:rsidP="00843BAA">
      <w:pPr>
        <w:spacing w:after="0"/>
        <w:rPr>
          <w:rFonts w:asciiTheme="minorHAnsi" w:hAnsiTheme="minorHAnsi" w:cs="Times New Roman"/>
        </w:rPr>
      </w:pPr>
      <w:r w:rsidRPr="00175B1D">
        <w:rPr>
          <w:rFonts w:asciiTheme="minorHAnsi" w:hAnsiTheme="minorHAnsi" w:cs="Times New Roman"/>
        </w:rPr>
        <w:t>Kanazawa. J. 1975. Uptake and excretion of organophosphorus and carbamate insecticides by</w:t>
      </w:r>
    </w:p>
    <w:p w14:paraId="7C678C52" w14:textId="77777777" w:rsidR="00843BAA" w:rsidRPr="00175B1D" w:rsidRDefault="00843BAA" w:rsidP="00843BAA">
      <w:pPr>
        <w:spacing w:after="0"/>
        <w:ind w:firstLine="720"/>
        <w:rPr>
          <w:rFonts w:asciiTheme="minorHAnsi" w:hAnsiTheme="minorHAnsi" w:cs="Times New Roman"/>
        </w:rPr>
      </w:pPr>
      <w:proofErr w:type="gramStart"/>
      <w:r w:rsidRPr="00175B1D">
        <w:rPr>
          <w:rFonts w:asciiTheme="minorHAnsi" w:hAnsiTheme="minorHAnsi" w:cs="Times New Roman"/>
        </w:rPr>
        <w:t>fresh</w:t>
      </w:r>
      <w:proofErr w:type="gramEnd"/>
      <w:r w:rsidRPr="00175B1D">
        <w:rPr>
          <w:rFonts w:asciiTheme="minorHAnsi" w:hAnsiTheme="minorHAnsi" w:cs="Times New Roman"/>
        </w:rPr>
        <w:t xml:space="preserve"> water fish, </w:t>
      </w:r>
      <w:proofErr w:type="spellStart"/>
      <w:r w:rsidRPr="00175B1D">
        <w:rPr>
          <w:rFonts w:asciiTheme="minorHAnsi" w:hAnsiTheme="minorHAnsi" w:cs="Times New Roman"/>
        </w:rPr>
        <w:t>motsugo</w:t>
      </w:r>
      <w:proofErr w:type="spellEnd"/>
      <w:r w:rsidRPr="00175B1D">
        <w:rPr>
          <w:rFonts w:asciiTheme="minorHAnsi" w:hAnsiTheme="minorHAnsi" w:cs="Times New Roman"/>
        </w:rPr>
        <w:t xml:space="preserve">, </w:t>
      </w:r>
      <w:r w:rsidRPr="00175B1D">
        <w:rPr>
          <w:rFonts w:asciiTheme="minorHAnsi" w:hAnsiTheme="minorHAnsi" w:cs="Times New Roman"/>
          <w:i/>
        </w:rPr>
        <w:t>Pseudorasbora parva</w:t>
      </w:r>
      <w:r w:rsidRPr="00175B1D">
        <w:rPr>
          <w:rFonts w:asciiTheme="minorHAnsi" w:hAnsiTheme="minorHAnsi" w:cs="Times New Roman"/>
        </w:rPr>
        <w:t xml:space="preserve">. Bull. Environ. </w:t>
      </w:r>
      <w:proofErr w:type="spellStart"/>
      <w:r w:rsidRPr="00175B1D">
        <w:rPr>
          <w:rFonts w:asciiTheme="minorHAnsi" w:hAnsiTheme="minorHAnsi" w:cs="Times New Roman"/>
        </w:rPr>
        <w:t>Contam</w:t>
      </w:r>
      <w:proofErr w:type="spellEnd"/>
      <w:r w:rsidRPr="00175B1D">
        <w:rPr>
          <w:rFonts w:asciiTheme="minorHAnsi" w:hAnsiTheme="minorHAnsi" w:cs="Times New Roman"/>
        </w:rPr>
        <w:t>. Toxicol. 14(3):</w:t>
      </w:r>
    </w:p>
    <w:p w14:paraId="2B7F1EF3" w14:textId="77777777" w:rsidR="00843BAA" w:rsidRPr="00175B1D" w:rsidRDefault="00843BAA" w:rsidP="00843BAA">
      <w:pPr>
        <w:spacing w:after="0"/>
        <w:ind w:firstLine="720"/>
        <w:rPr>
          <w:rFonts w:asciiTheme="minorHAnsi" w:hAnsiTheme="minorHAnsi" w:cs="Times New Roman"/>
        </w:rPr>
      </w:pPr>
      <w:r w:rsidRPr="00175B1D">
        <w:rPr>
          <w:rFonts w:asciiTheme="minorHAnsi" w:hAnsiTheme="minorHAnsi" w:cs="Times New Roman"/>
        </w:rPr>
        <w:t>346-352.</w:t>
      </w:r>
    </w:p>
    <w:p w14:paraId="46D31F2D" w14:textId="77777777" w:rsidR="00843BAA" w:rsidRPr="00175B1D" w:rsidRDefault="00843BAA" w:rsidP="00843BAA">
      <w:pPr>
        <w:spacing w:after="0" w:line="240" w:lineRule="auto"/>
        <w:rPr>
          <w:rFonts w:asciiTheme="minorHAnsi" w:hAnsiTheme="minorHAnsi"/>
        </w:rPr>
      </w:pPr>
      <w:proofErr w:type="spellStart"/>
      <w:r w:rsidRPr="00175B1D">
        <w:rPr>
          <w:rFonts w:asciiTheme="minorHAnsi" w:eastAsia="Times New Roman" w:hAnsiTheme="minorHAnsi" w:cs="Times New Roman"/>
        </w:rPr>
        <w:t>LeNoir</w:t>
      </w:r>
      <w:proofErr w:type="spellEnd"/>
      <w:r w:rsidRPr="00175B1D">
        <w:rPr>
          <w:rFonts w:asciiTheme="minorHAnsi" w:eastAsia="Times New Roman" w:hAnsiTheme="minorHAnsi" w:cs="Times New Roman"/>
        </w:rPr>
        <w:t xml:space="preserve">, J. S., McConnell, L. L., Fellers, G. M., Cahill, T. M., &amp; </w:t>
      </w:r>
      <w:proofErr w:type="spellStart"/>
      <w:r w:rsidRPr="00175B1D">
        <w:rPr>
          <w:rFonts w:asciiTheme="minorHAnsi" w:eastAsia="Times New Roman" w:hAnsiTheme="minorHAnsi" w:cs="Times New Roman"/>
        </w:rPr>
        <w:t>Seiber</w:t>
      </w:r>
      <w:proofErr w:type="spellEnd"/>
      <w:r w:rsidRPr="00175B1D">
        <w:rPr>
          <w:rFonts w:asciiTheme="minorHAnsi" w:eastAsia="Times New Roman" w:hAnsiTheme="minorHAnsi" w:cs="Times New Roman"/>
        </w:rPr>
        <w:t>, J. N. 1999. Summertime</w:t>
      </w:r>
    </w:p>
    <w:p w14:paraId="2C5FE574" w14:textId="77777777" w:rsidR="00843BAA" w:rsidRPr="00175B1D" w:rsidRDefault="00843BAA" w:rsidP="00843BAA">
      <w:pPr>
        <w:spacing w:after="0" w:line="240" w:lineRule="auto"/>
        <w:ind w:firstLine="720"/>
        <w:rPr>
          <w:rFonts w:asciiTheme="minorHAnsi" w:hAnsiTheme="minorHAnsi"/>
        </w:rPr>
      </w:pPr>
      <w:r w:rsidRPr="00175B1D">
        <w:rPr>
          <w:rFonts w:asciiTheme="minorHAnsi" w:eastAsia="Times New Roman" w:hAnsiTheme="minorHAnsi" w:cs="Times New Roman"/>
        </w:rPr>
        <w:t>Transport of Current-use pesticides from California’s Central Valley to the Sierra</w:t>
      </w:r>
    </w:p>
    <w:p w14:paraId="75F26064" w14:textId="77777777" w:rsidR="00843BAA" w:rsidRPr="00175B1D" w:rsidRDefault="00843BAA" w:rsidP="00843BAA">
      <w:pPr>
        <w:spacing w:after="0" w:line="240" w:lineRule="auto"/>
        <w:ind w:firstLine="720"/>
        <w:rPr>
          <w:rFonts w:asciiTheme="minorHAnsi" w:eastAsia="Times New Roman" w:hAnsiTheme="minorHAnsi" w:cs="Times New Roman"/>
        </w:rPr>
      </w:pPr>
      <w:r w:rsidRPr="00175B1D">
        <w:rPr>
          <w:rFonts w:asciiTheme="minorHAnsi" w:eastAsia="Times New Roman" w:hAnsiTheme="minorHAnsi" w:cs="Times New Roman"/>
        </w:rPr>
        <w:t>Nevada.</w:t>
      </w:r>
    </w:p>
    <w:p w14:paraId="496C4C38" w14:textId="5AB4E75E" w:rsidR="0085120F" w:rsidRDefault="0085120F" w:rsidP="0085120F">
      <w:pPr>
        <w:spacing w:after="0" w:line="240" w:lineRule="auto"/>
        <w:ind w:left="720" w:hanging="720"/>
        <w:rPr>
          <w:rFonts w:asciiTheme="minorHAnsi" w:eastAsia="Times New Roman" w:hAnsiTheme="minorHAnsi" w:cs="Times New Roman"/>
        </w:rPr>
      </w:pPr>
      <w:r>
        <w:rPr>
          <w:rFonts w:asciiTheme="minorHAnsi" w:hAnsiTheme="minorHAnsi" w:cs="Times New Roman"/>
        </w:rPr>
        <w:t>Martinez-</w:t>
      </w:r>
      <w:proofErr w:type="spellStart"/>
      <w:r>
        <w:rPr>
          <w:rFonts w:asciiTheme="minorHAnsi" w:hAnsiTheme="minorHAnsi" w:cs="Times New Roman"/>
        </w:rPr>
        <w:t>Tabche</w:t>
      </w:r>
      <w:proofErr w:type="spellEnd"/>
      <w:r>
        <w:rPr>
          <w:rFonts w:asciiTheme="minorHAnsi" w:hAnsiTheme="minorHAnsi" w:cs="Times New Roman"/>
        </w:rPr>
        <w:t xml:space="preserve">, L., M. M. </w:t>
      </w:r>
      <w:proofErr w:type="spellStart"/>
      <w:r>
        <w:rPr>
          <w:rFonts w:asciiTheme="minorHAnsi" w:hAnsiTheme="minorHAnsi" w:cs="Times New Roman"/>
        </w:rPr>
        <w:t>Galar</w:t>
      </w:r>
      <w:proofErr w:type="spellEnd"/>
      <w:r>
        <w:rPr>
          <w:rFonts w:asciiTheme="minorHAnsi" w:hAnsiTheme="minorHAnsi" w:cs="Times New Roman"/>
        </w:rPr>
        <w:t xml:space="preserve">, H. E. Olvera, R. A. </w:t>
      </w:r>
      <w:proofErr w:type="spellStart"/>
      <w:r>
        <w:rPr>
          <w:rFonts w:asciiTheme="minorHAnsi" w:hAnsiTheme="minorHAnsi" w:cs="Times New Roman"/>
        </w:rPr>
        <w:t>Chehue</w:t>
      </w:r>
      <w:proofErr w:type="spellEnd"/>
      <w:r>
        <w:rPr>
          <w:rFonts w:asciiTheme="minorHAnsi" w:hAnsiTheme="minorHAnsi" w:cs="Times New Roman"/>
        </w:rPr>
        <w:t>, E. L. Lopez, L. Gomez-</w:t>
      </w:r>
      <w:proofErr w:type="spellStart"/>
      <w:r>
        <w:rPr>
          <w:rFonts w:asciiTheme="minorHAnsi" w:hAnsiTheme="minorHAnsi" w:cs="Times New Roman"/>
        </w:rPr>
        <w:t>Olivan</w:t>
      </w:r>
      <w:proofErr w:type="spellEnd"/>
      <w:r>
        <w:rPr>
          <w:rFonts w:asciiTheme="minorHAnsi" w:hAnsiTheme="minorHAnsi" w:cs="Times New Roman"/>
        </w:rPr>
        <w:t xml:space="preserve">, and O. T. Sierra. 2002. Toxic effect and bioavailability of </w:t>
      </w:r>
      <w:proofErr w:type="gramStart"/>
      <w:r>
        <w:rPr>
          <w:rFonts w:asciiTheme="minorHAnsi" w:hAnsiTheme="minorHAnsi" w:cs="Times New Roman"/>
        </w:rPr>
        <w:t>malathion</w:t>
      </w:r>
      <w:proofErr w:type="gramEnd"/>
      <w:r>
        <w:rPr>
          <w:rFonts w:asciiTheme="minorHAnsi" w:hAnsiTheme="minorHAnsi" w:cs="Times New Roman"/>
        </w:rPr>
        <w:t xml:space="preserve"> spiked in natural sediments from the Ignacio Ramirez dam on the snail </w:t>
      </w:r>
      <w:r w:rsidRPr="003F463A">
        <w:rPr>
          <w:rFonts w:asciiTheme="minorHAnsi" w:hAnsiTheme="minorHAnsi" w:cs="Times New Roman"/>
          <w:i/>
        </w:rPr>
        <w:t>Stagnicola</w:t>
      </w:r>
      <w:r>
        <w:rPr>
          <w:rFonts w:asciiTheme="minorHAnsi" w:hAnsiTheme="minorHAnsi" w:cs="Times New Roman"/>
        </w:rPr>
        <w:t xml:space="preserve"> sp. </w:t>
      </w:r>
      <w:proofErr w:type="spellStart"/>
      <w:r>
        <w:rPr>
          <w:rFonts w:asciiTheme="minorHAnsi" w:hAnsiTheme="minorHAnsi" w:cs="Times New Roman"/>
        </w:rPr>
        <w:t>Ecotox</w:t>
      </w:r>
      <w:proofErr w:type="spellEnd"/>
      <w:r>
        <w:rPr>
          <w:rFonts w:asciiTheme="minorHAnsi" w:hAnsiTheme="minorHAnsi" w:cs="Times New Roman"/>
        </w:rPr>
        <w:t xml:space="preserve">. Environ. </w:t>
      </w:r>
      <w:proofErr w:type="spellStart"/>
      <w:r>
        <w:rPr>
          <w:rFonts w:asciiTheme="minorHAnsi" w:hAnsiTheme="minorHAnsi" w:cs="Times New Roman"/>
        </w:rPr>
        <w:t>Saf</w:t>
      </w:r>
      <w:proofErr w:type="spellEnd"/>
      <w:r>
        <w:rPr>
          <w:rFonts w:asciiTheme="minorHAnsi" w:hAnsiTheme="minorHAnsi" w:cs="Times New Roman"/>
        </w:rPr>
        <w:t>. 54: 232-237.</w:t>
      </w:r>
    </w:p>
    <w:p w14:paraId="56304F8A" w14:textId="77777777" w:rsidR="00843BAA" w:rsidRPr="00175B1D" w:rsidRDefault="00843BAA" w:rsidP="00843BAA">
      <w:pPr>
        <w:spacing w:after="0" w:line="240" w:lineRule="auto"/>
        <w:rPr>
          <w:rFonts w:asciiTheme="minorHAnsi" w:hAnsiTheme="minorHAnsi"/>
        </w:rPr>
      </w:pPr>
      <w:r w:rsidRPr="00175B1D">
        <w:rPr>
          <w:rFonts w:asciiTheme="minorHAnsi" w:eastAsia="Times New Roman" w:hAnsiTheme="minorHAnsi" w:cs="Times New Roman"/>
        </w:rPr>
        <w:t xml:space="preserve">McConnell, L. L., </w:t>
      </w:r>
      <w:proofErr w:type="spellStart"/>
      <w:r w:rsidRPr="00175B1D">
        <w:rPr>
          <w:rFonts w:asciiTheme="minorHAnsi" w:eastAsia="Times New Roman" w:hAnsiTheme="minorHAnsi" w:cs="Times New Roman"/>
        </w:rPr>
        <w:t>LeNoir</w:t>
      </w:r>
      <w:proofErr w:type="spellEnd"/>
      <w:r w:rsidRPr="00175B1D">
        <w:rPr>
          <w:rFonts w:asciiTheme="minorHAnsi" w:eastAsia="Times New Roman" w:hAnsiTheme="minorHAnsi" w:cs="Times New Roman"/>
        </w:rPr>
        <w:t xml:space="preserve">, J. S., </w:t>
      </w:r>
      <w:proofErr w:type="spellStart"/>
      <w:r w:rsidRPr="00175B1D">
        <w:rPr>
          <w:rFonts w:asciiTheme="minorHAnsi" w:eastAsia="Times New Roman" w:hAnsiTheme="minorHAnsi" w:cs="Times New Roman"/>
        </w:rPr>
        <w:t>Datta</w:t>
      </w:r>
      <w:proofErr w:type="spellEnd"/>
      <w:r w:rsidRPr="00175B1D">
        <w:rPr>
          <w:rFonts w:asciiTheme="minorHAnsi" w:eastAsia="Times New Roman" w:hAnsiTheme="minorHAnsi" w:cs="Times New Roman"/>
        </w:rPr>
        <w:t xml:space="preserve">, S., &amp; </w:t>
      </w:r>
      <w:proofErr w:type="spellStart"/>
      <w:r w:rsidRPr="00175B1D">
        <w:rPr>
          <w:rFonts w:asciiTheme="minorHAnsi" w:eastAsia="Times New Roman" w:hAnsiTheme="minorHAnsi" w:cs="Times New Roman"/>
        </w:rPr>
        <w:t>Seiber</w:t>
      </w:r>
      <w:proofErr w:type="spellEnd"/>
      <w:r w:rsidRPr="00175B1D">
        <w:rPr>
          <w:rFonts w:asciiTheme="minorHAnsi" w:eastAsia="Times New Roman" w:hAnsiTheme="minorHAnsi" w:cs="Times New Roman"/>
        </w:rPr>
        <w:t>, J. N. 1998. Wet deposition of current-use</w:t>
      </w:r>
    </w:p>
    <w:p w14:paraId="1668417E" w14:textId="77777777" w:rsidR="00843BAA" w:rsidRPr="00175B1D" w:rsidRDefault="00843BAA" w:rsidP="00843BAA">
      <w:pPr>
        <w:spacing w:after="0" w:line="240" w:lineRule="auto"/>
        <w:ind w:firstLine="720"/>
        <w:rPr>
          <w:rFonts w:asciiTheme="minorHAnsi" w:hAnsiTheme="minorHAnsi"/>
        </w:rPr>
      </w:pPr>
      <w:proofErr w:type="gramStart"/>
      <w:r w:rsidRPr="00175B1D">
        <w:rPr>
          <w:rFonts w:asciiTheme="minorHAnsi" w:eastAsia="Times New Roman" w:hAnsiTheme="minorHAnsi" w:cs="Times New Roman"/>
        </w:rPr>
        <w:t>pesticides</w:t>
      </w:r>
      <w:proofErr w:type="gramEnd"/>
      <w:r w:rsidRPr="00175B1D">
        <w:rPr>
          <w:rFonts w:asciiTheme="minorHAnsi" w:eastAsia="Times New Roman" w:hAnsiTheme="minorHAnsi" w:cs="Times New Roman"/>
        </w:rPr>
        <w:t xml:space="preserve"> in the Sierra Nevada mountain range, California, USA. </w:t>
      </w:r>
      <w:r w:rsidRPr="00175B1D">
        <w:rPr>
          <w:rFonts w:asciiTheme="minorHAnsi" w:eastAsia="Times New Roman" w:hAnsiTheme="minorHAnsi" w:cs="Times New Roman"/>
          <w:i/>
        </w:rPr>
        <w:t>Environmental</w:t>
      </w:r>
    </w:p>
    <w:p w14:paraId="38A548E1" w14:textId="77777777" w:rsidR="00843BAA" w:rsidRPr="00175B1D" w:rsidRDefault="00843BAA" w:rsidP="00843BAA">
      <w:pPr>
        <w:spacing w:after="0" w:line="240" w:lineRule="auto"/>
        <w:ind w:firstLine="720"/>
        <w:rPr>
          <w:rFonts w:asciiTheme="minorHAnsi" w:hAnsiTheme="minorHAnsi"/>
        </w:rPr>
      </w:pPr>
      <w:r w:rsidRPr="00175B1D">
        <w:rPr>
          <w:rFonts w:asciiTheme="minorHAnsi" w:eastAsia="Times New Roman" w:hAnsiTheme="minorHAnsi" w:cs="Times New Roman"/>
          <w:i/>
        </w:rPr>
        <w:t>Toxicology and Chemistry, 17</w:t>
      </w:r>
      <w:r w:rsidRPr="00175B1D">
        <w:rPr>
          <w:rFonts w:asciiTheme="minorHAnsi" w:eastAsia="Times New Roman" w:hAnsiTheme="minorHAnsi" w:cs="Times New Roman"/>
        </w:rPr>
        <w:t>(10), 1908-1916.</w:t>
      </w:r>
    </w:p>
    <w:p w14:paraId="1A732C1B" w14:textId="77777777" w:rsidR="00843BAA" w:rsidRPr="00175B1D" w:rsidRDefault="00843BAA" w:rsidP="00843BAA">
      <w:pPr>
        <w:spacing w:after="0" w:line="240" w:lineRule="auto"/>
        <w:rPr>
          <w:rFonts w:asciiTheme="minorHAnsi" w:hAnsiTheme="minorHAnsi"/>
        </w:rPr>
      </w:pPr>
      <w:proofErr w:type="spellStart"/>
      <w:r w:rsidRPr="00175B1D">
        <w:rPr>
          <w:rFonts w:asciiTheme="minorHAnsi" w:eastAsia="Times New Roman" w:hAnsiTheme="minorHAnsi" w:cs="Times New Roman"/>
        </w:rPr>
        <w:t>Mulla</w:t>
      </w:r>
      <w:proofErr w:type="spellEnd"/>
      <w:r w:rsidRPr="00175B1D">
        <w:rPr>
          <w:rFonts w:asciiTheme="minorHAnsi" w:eastAsia="Times New Roman" w:hAnsiTheme="minorHAnsi" w:cs="Times New Roman"/>
        </w:rPr>
        <w:t xml:space="preserve">, M.S., </w:t>
      </w:r>
      <w:proofErr w:type="spellStart"/>
      <w:r w:rsidRPr="00175B1D">
        <w:rPr>
          <w:rFonts w:asciiTheme="minorHAnsi" w:eastAsia="Times New Roman" w:hAnsiTheme="minorHAnsi" w:cs="Times New Roman"/>
        </w:rPr>
        <w:t>Mian</w:t>
      </w:r>
      <w:proofErr w:type="spellEnd"/>
      <w:r w:rsidRPr="00175B1D">
        <w:rPr>
          <w:rFonts w:asciiTheme="minorHAnsi" w:eastAsia="Times New Roman" w:hAnsiTheme="minorHAnsi" w:cs="Times New Roman"/>
        </w:rPr>
        <w:t>, L.S., and Kawecki, J.A. 1981. “Distribution, transport, and fate of the</w:t>
      </w:r>
    </w:p>
    <w:p w14:paraId="4F6FD416" w14:textId="77777777" w:rsidR="00843BAA" w:rsidRPr="00175B1D" w:rsidRDefault="00843BAA" w:rsidP="00843BAA">
      <w:pPr>
        <w:spacing w:after="0" w:line="240" w:lineRule="auto"/>
        <w:ind w:firstLine="720"/>
        <w:rPr>
          <w:rFonts w:asciiTheme="minorHAnsi" w:hAnsiTheme="minorHAnsi"/>
        </w:rPr>
      </w:pPr>
      <w:proofErr w:type="gramStart"/>
      <w:r w:rsidRPr="00175B1D">
        <w:rPr>
          <w:rFonts w:asciiTheme="minorHAnsi" w:eastAsia="Times New Roman" w:hAnsiTheme="minorHAnsi" w:cs="Times New Roman"/>
        </w:rPr>
        <w:t>insecticides</w:t>
      </w:r>
      <w:proofErr w:type="gramEnd"/>
      <w:r w:rsidRPr="00175B1D">
        <w:rPr>
          <w:rFonts w:asciiTheme="minorHAnsi" w:eastAsia="Times New Roman" w:hAnsiTheme="minorHAnsi" w:cs="Times New Roman"/>
        </w:rPr>
        <w:t xml:space="preserve"> malathion and parathion in the environment” in </w:t>
      </w:r>
      <w:r w:rsidRPr="00175B1D">
        <w:rPr>
          <w:rFonts w:asciiTheme="minorHAnsi" w:eastAsia="Times New Roman" w:hAnsiTheme="minorHAnsi" w:cs="Times New Roman"/>
          <w:i/>
        </w:rPr>
        <w:t xml:space="preserve">Residue Reviews </w:t>
      </w:r>
      <w:r w:rsidRPr="00175B1D">
        <w:rPr>
          <w:rFonts w:asciiTheme="minorHAnsi" w:eastAsia="Times New Roman" w:hAnsiTheme="minorHAnsi" w:cs="Times New Roman"/>
        </w:rPr>
        <w:t>volume 81.</w:t>
      </w:r>
    </w:p>
    <w:p w14:paraId="10282663" w14:textId="77777777" w:rsidR="00843BAA" w:rsidRPr="00175B1D" w:rsidRDefault="00843BAA" w:rsidP="00843BAA">
      <w:pPr>
        <w:spacing w:after="0" w:line="240" w:lineRule="auto"/>
        <w:ind w:firstLine="720"/>
        <w:rPr>
          <w:rFonts w:asciiTheme="minorHAnsi" w:eastAsia="Times New Roman" w:hAnsiTheme="minorHAnsi" w:cs="Times New Roman"/>
        </w:rPr>
      </w:pPr>
      <w:r w:rsidRPr="00175B1D">
        <w:rPr>
          <w:rFonts w:asciiTheme="minorHAnsi" w:eastAsia="Times New Roman" w:hAnsiTheme="minorHAnsi" w:cs="Times New Roman"/>
        </w:rPr>
        <w:t>Gunther, F.A. and Gunther, J.D. eds., Springer-</w:t>
      </w:r>
      <w:proofErr w:type="spellStart"/>
      <w:r w:rsidRPr="00175B1D">
        <w:rPr>
          <w:rFonts w:asciiTheme="minorHAnsi" w:eastAsia="Times New Roman" w:hAnsiTheme="minorHAnsi" w:cs="Times New Roman"/>
        </w:rPr>
        <w:t>Verlag</w:t>
      </w:r>
      <w:proofErr w:type="spellEnd"/>
      <w:r w:rsidRPr="00175B1D">
        <w:rPr>
          <w:rFonts w:asciiTheme="minorHAnsi" w:eastAsia="Times New Roman" w:hAnsiTheme="minorHAnsi" w:cs="Times New Roman"/>
        </w:rPr>
        <w:t xml:space="preserve"> New York.</w:t>
      </w:r>
    </w:p>
    <w:p w14:paraId="5487AF91" w14:textId="77777777" w:rsidR="000E406D" w:rsidRPr="00175B1D" w:rsidRDefault="000E406D" w:rsidP="00843BAA">
      <w:pPr>
        <w:spacing w:after="0" w:line="240" w:lineRule="auto"/>
        <w:rPr>
          <w:rFonts w:asciiTheme="minorHAnsi" w:eastAsia="Times New Roman" w:hAnsiTheme="minorHAnsi" w:cs="Times New Roman"/>
        </w:rPr>
      </w:pPr>
      <w:proofErr w:type="spellStart"/>
      <w:r w:rsidRPr="00175B1D">
        <w:rPr>
          <w:rFonts w:asciiTheme="minorHAnsi" w:eastAsia="Times New Roman" w:hAnsiTheme="minorHAnsi" w:cs="Times New Roman"/>
        </w:rPr>
        <w:t>Petreas</w:t>
      </w:r>
      <w:proofErr w:type="spellEnd"/>
      <w:r w:rsidRPr="00175B1D">
        <w:rPr>
          <w:rFonts w:asciiTheme="minorHAnsi" w:eastAsia="Times New Roman" w:hAnsiTheme="minorHAnsi" w:cs="Times New Roman"/>
        </w:rPr>
        <w:t xml:space="preserve">, </w:t>
      </w:r>
      <w:proofErr w:type="spellStart"/>
      <w:r w:rsidRPr="00175B1D">
        <w:rPr>
          <w:rFonts w:asciiTheme="minorHAnsi" w:eastAsia="Times New Roman" w:hAnsiTheme="minorHAnsi" w:cs="Times New Roman"/>
        </w:rPr>
        <w:t>Myrto</w:t>
      </w:r>
      <w:proofErr w:type="spellEnd"/>
      <w:r w:rsidRPr="00175B1D">
        <w:rPr>
          <w:rFonts w:asciiTheme="minorHAnsi" w:eastAsia="Times New Roman" w:hAnsiTheme="minorHAnsi" w:cs="Times New Roman"/>
        </w:rPr>
        <w:t xml:space="preserve">; </w:t>
      </w:r>
      <w:r w:rsidRPr="00175B1D">
        <w:rPr>
          <w:rFonts w:asciiTheme="minorHAnsi" w:eastAsia="Times New Roman" w:hAnsiTheme="minorHAnsi" w:cs="Times New Roman"/>
          <w:i/>
        </w:rPr>
        <w:t>et al</w:t>
      </w:r>
      <w:r w:rsidRPr="00175B1D">
        <w:rPr>
          <w:rFonts w:asciiTheme="minorHAnsi" w:eastAsia="Times New Roman" w:hAnsiTheme="minorHAnsi" w:cs="Times New Roman"/>
        </w:rPr>
        <w:t>. 1992.  Environmental Monitoring for Malathion and co-products following</w:t>
      </w:r>
    </w:p>
    <w:p w14:paraId="2D7B934B" w14:textId="77777777" w:rsidR="000E406D" w:rsidRPr="00175B1D" w:rsidRDefault="000E406D" w:rsidP="000E406D">
      <w:pPr>
        <w:spacing w:after="0" w:line="240" w:lineRule="auto"/>
        <w:ind w:firstLine="720"/>
        <w:rPr>
          <w:rFonts w:asciiTheme="minorHAnsi" w:eastAsia="Times New Roman" w:hAnsiTheme="minorHAnsi" w:cs="Times New Roman"/>
        </w:rPr>
      </w:pPr>
      <w:proofErr w:type="gramStart"/>
      <w:r w:rsidRPr="00175B1D">
        <w:rPr>
          <w:rFonts w:asciiTheme="minorHAnsi" w:eastAsia="Times New Roman" w:hAnsiTheme="minorHAnsi" w:cs="Times New Roman"/>
        </w:rPr>
        <w:t>aerial</w:t>
      </w:r>
      <w:proofErr w:type="gramEnd"/>
      <w:r w:rsidRPr="00175B1D">
        <w:rPr>
          <w:rFonts w:asciiTheme="minorHAnsi" w:eastAsia="Times New Roman" w:hAnsiTheme="minorHAnsi" w:cs="Times New Roman"/>
        </w:rPr>
        <w:t xml:space="preserve"> application in an urban area.  Division of Environmental Chemistry.  American</w:t>
      </w:r>
    </w:p>
    <w:p w14:paraId="6F5567FF" w14:textId="78CE6907" w:rsidR="00843BAA" w:rsidRPr="00175B1D" w:rsidRDefault="000E406D" w:rsidP="000E406D">
      <w:pPr>
        <w:spacing w:after="0" w:line="240" w:lineRule="auto"/>
        <w:ind w:firstLine="720"/>
        <w:rPr>
          <w:rFonts w:asciiTheme="minorHAnsi" w:hAnsiTheme="minorHAnsi"/>
        </w:rPr>
      </w:pPr>
      <w:r w:rsidRPr="00175B1D">
        <w:rPr>
          <w:rFonts w:asciiTheme="minorHAnsi" w:eastAsia="Times New Roman" w:hAnsiTheme="minorHAnsi" w:cs="Times New Roman"/>
        </w:rPr>
        <w:t>Chemical Society.  April 5-10, 1992.</w:t>
      </w:r>
    </w:p>
    <w:p w14:paraId="3A839F24" w14:textId="77777777" w:rsidR="00843BAA" w:rsidRPr="00175B1D" w:rsidRDefault="00843BAA" w:rsidP="00843BAA">
      <w:pPr>
        <w:spacing w:after="0" w:line="240" w:lineRule="auto"/>
        <w:rPr>
          <w:rFonts w:asciiTheme="minorHAnsi" w:hAnsiTheme="minorHAnsi"/>
        </w:rPr>
      </w:pPr>
      <w:r w:rsidRPr="00175B1D">
        <w:rPr>
          <w:rFonts w:asciiTheme="minorHAnsi" w:eastAsia="Times New Roman" w:hAnsiTheme="minorHAnsi" w:cs="Times New Roman"/>
        </w:rPr>
        <w:t>Sparling, D. W., Fellers, G. M., &amp; McConnell, L. L. 2001. Pesticides and amphibian population</w:t>
      </w:r>
    </w:p>
    <w:p w14:paraId="667D0B82" w14:textId="77777777" w:rsidR="00843BAA" w:rsidRDefault="00843BAA" w:rsidP="00843BAA">
      <w:pPr>
        <w:spacing w:after="0" w:line="240" w:lineRule="auto"/>
        <w:ind w:firstLine="720"/>
        <w:rPr>
          <w:rFonts w:asciiTheme="minorHAnsi" w:eastAsia="Times New Roman" w:hAnsiTheme="minorHAnsi" w:cs="Times New Roman"/>
        </w:rPr>
      </w:pPr>
      <w:proofErr w:type="gramStart"/>
      <w:r w:rsidRPr="00175B1D">
        <w:rPr>
          <w:rFonts w:asciiTheme="minorHAnsi" w:eastAsia="Times New Roman" w:hAnsiTheme="minorHAnsi" w:cs="Times New Roman"/>
        </w:rPr>
        <w:t>declines</w:t>
      </w:r>
      <w:proofErr w:type="gramEnd"/>
      <w:r w:rsidRPr="00175B1D">
        <w:rPr>
          <w:rFonts w:asciiTheme="minorHAnsi" w:eastAsia="Times New Roman" w:hAnsiTheme="minorHAnsi" w:cs="Times New Roman"/>
        </w:rPr>
        <w:t xml:space="preserve"> in California, USA. Environ. Toxicol. </w:t>
      </w:r>
      <w:proofErr w:type="gramStart"/>
      <w:r w:rsidRPr="00175B1D">
        <w:rPr>
          <w:rFonts w:asciiTheme="minorHAnsi" w:eastAsia="Times New Roman" w:hAnsiTheme="minorHAnsi" w:cs="Times New Roman"/>
        </w:rPr>
        <w:t>and</w:t>
      </w:r>
      <w:proofErr w:type="gramEnd"/>
      <w:r w:rsidRPr="00175B1D">
        <w:rPr>
          <w:rFonts w:asciiTheme="minorHAnsi" w:eastAsia="Times New Roman" w:hAnsiTheme="minorHAnsi" w:cs="Times New Roman"/>
        </w:rPr>
        <w:t xml:space="preserve"> Chem., 20(7), 1591-1595.</w:t>
      </w:r>
    </w:p>
    <w:p w14:paraId="662F557D" w14:textId="0693C858" w:rsidR="00843BAA" w:rsidRDefault="00843BAA" w:rsidP="00843BAA">
      <w:pPr>
        <w:spacing w:after="0" w:line="240" w:lineRule="auto"/>
        <w:rPr>
          <w:rFonts w:asciiTheme="minorHAnsi" w:eastAsia="Times New Roman" w:hAnsiTheme="minorHAnsi" w:cs="Times New Roman"/>
        </w:rPr>
      </w:pPr>
      <w:r w:rsidRPr="00175B1D">
        <w:rPr>
          <w:rFonts w:asciiTheme="minorHAnsi" w:eastAsia="Times New Roman" w:hAnsiTheme="minorHAnsi" w:cs="Times New Roman"/>
        </w:rPr>
        <w:t xml:space="preserve">USDA 1993 </w:t>
      </w:r>
      <w:r w:rsidR="003C7E88" w:rsidRPr="00175B1D">
        <w:rPr>
          <w:rFonts w:asciiTheme="minorHAnsi" w:eastAsia="Times New Roman" w:hAnsiTheme="minorHAnsi" w:cs="Times New Roman"/>
        </w:rPr>
        <w:t xml:space="preserve">Boll Weevil </w:t>
      </w:r>
      <w:proofErr w:type="spellStart"/>
      <w:r w:rsidR="003C7E88" w:rsidRPr="00175B1D">
        <w:rPr>
          <w:rFonts w:asciiTheme="minorHAnsi" w:eastAsia="Times New Roman" w:hAnsiTheme="minorHAnsi" w:cs="Times New Roman"/>
        </w:rPr>
        <w:t>Erradication</w:t>
      </w:r>
      <w:proofErr w:type="spellEnd"/>
      <w:r w:rsidR="003C7E88" w:rsidRPr="00175B1D">
        <w:rPr>
          <w:rFonts w:asciiTheme="minorHAnsi" w:eastAsia="Times New Roman" w:hAnsiTheme="minorHAnsi" w:cs="Times New Roman"/>
        </w:rPr>
        <w:t xml:space="preserve"> Program Environmental Monitoring report</w:t>
      </w:r>
    </w:p>
    <w:p w14:paraId="4B837023" w14:textId="77777777" w:rsidR="003C7E88" w:rsidRDefault="00843BAA" w:rsidP="00843BAA">
      <w:pPr>
        <w:spacing w:after="0" w:line="240" w:lineRule="auto"/>
        <w:rPr>
          <w:rFonts w:asciiTheme="minorHAnsi" w:eastAsia="Times New Roman" w:hAnsiTheme="minorHAnsi" w:cs="Times New Roman"/>
        </w:rPr>
      </w:pPr>
      <w:r w:rsidRPr="00175B1D">
        <w:rPr>
          <w:rFonts w:asciiTheme="minorHAnsi" w:eastAsia="Times New Roman" w:hAnsiTheme="minorHAnsi" w:cs="Times New Roman"/>
        </w:rPr>
        <w:t xml:space="preserve">USDA 1995 </w:t>
      </w:r>
      <w:r w:rsidR="003C7E88" w:rsidRPr="00175B1D">
        <w:rPr>
          <w:rFonts w:asciiTheme="minorHAnsi" w:eastAsia="Times New Roman" w:hAnsiTheme="minorHAnsi" w:cs="Times New Roman"/>
        </w:rPr>
        <w:t xml:space="preserve">Boll Weevil </w:t>
      </w:r>
      <w:proofErr w:type="spellStart"/>
      <w:r w:rsidR="003C7E88" w:rsidRPr="00175B1D">
        <w:rPr>
          <w:rFonts w:asciiTheme="minorHAnsi" w:eastAsia="Times New Roman" w:hAnsiTheme="minorHAnsi" w:cs="Times New Roman"/>
        </w:rPr>
        <w:t>Erradication</w:t>
      </w:r>
      <w:proofErr w:type="spellEnd"/>
      <w:r w:rsidR="003C7E88" w:rsidRPr="00175B1D">
        <w:rPr>
          <w:rFonts w:asciiTheme="minorHAnsi" w:eastAsia="Times New Roman" w:hAnsiTheme="minorHAnsi" w:cs="Times New Roman"/>
        </w:rPr>
        <w:t xml:space="preserve"> Program Environmental Monitoring report </w:t>
      </w:r>
    </w:p>
    <w:p w14:paraId="761F50D6" w14:textId="0C71D18C" w:rsidR="00843BAA" w:rsidRPr="00175B1D" w:rsidRDefault="00843BAA" w:rsidP="00843BAA">
      <w:pPr>
        <w:spacing w:after="0" w:line="240" w:lineRule="auto"/>
        <w:rPr>
          <w:rFonts w:asciiTheme="minorHAnsi" w:hAnsiTheme="minorHAnsi"/>
        </w:rPr>
      </w:pPr>
      <w:r w:rsidRPr="00175B1D">
        <w:rPr>
          <w:rFonts w:asciiTheme="minorHAnsi" w:eastAsia="Times New Roman" w:hAnsiTheme="minorHAnsi" w:cs="Times New Roman"/>
        </w:rPr>
        <w:t>USEPA 1992. Pesticides in Ground Water Database - A Compilation of Monitoring</w:t>
      </w:r>
    </w:p>
    <w:p w14:paraId="2A6D2757" w14:textId="77777777" w:rsidR="00843BAA" w:rsidRPr="00175B1D" w:rsidRDefault="00843BAA" w:rsidP="00843BAA">
      <w:pPr>
        <w:spacing w:after="0" w:line="240" w:lineRule="auto"/>
        <w:ind w:firstLine="720"/>
        <w:rPr>
          <w:rFonts w:asciiTheme="minorHAnsi" w:hAnsiTheme="minorHAnsi"/>
        </w:rPr>
      </w:pPr>
      <w:r w:rsidRPr="00175B1D">
        <w:rPr>
          <w:rFonts w:asciiTheme="minorHAnsi" w:eastAsia="Times New Roman" w:hAnsiTheme="minorHAnsi" w:cs="Times New Roman"/>
        </w:rPr>
        <w:t>Studies</w:t>
      </w:r>
      <w:proofErr w:type="gramStart"/>
      <w:r w:rsidRPr="00175B1D">
        <w:rPr>
          <w:rFonts w:asciiTheme="minorHAnsi" w:eastAsia="Times New Roman" w:hAnsiTheme="minorHAnsi" w:cs="Times New Roman"/>
        </w:rPr>
        <w:t>:1971</w:t>
      </w:r>
      <w:proofErr w:type="gramEnd"/>
      <w:r w:rsidRPr="00175B1D">
        <w:rPr>
          <w:rFonts w:asciiTheme="minorHAnsi" w:eastAsia="Times New Roman" w:hAnsiTheme="minorHAnsi" w:cs="Times New Roman"/>
        </w:rPr>
        <w:t>- 1991. Office of Prevention, Pesticides, and Toxic Substances, EPA 734-</w:t>
      </w:r>
    </w:p>
    <w:p w14:paraId="388B095A" w14:textId="77777777" w:rsidR="00843BAA" w:rsidRPr="00175B1D" w:rsidRDefault="00843BAA" w:rsidP="00843BAA">
      <w:pPr>
        <w:spacing w:after="0" w:line="240" w:lineRule="auto"/>
        <w:ind w:firstLine="720"/>
        <w:rPr>
          <w:rFonts w:asciiTheme="minorHAnsi" w:hAnsiTheme="minorHAnsi"/>
        </w:rPr>
      </w:pPr>
      <w:r w:rsidRPr="00175B1D">
        <w:rPr>
          <w:rFonts w:asciiTheme="minorHAnsi" w:eastAsia="Times New Roman" w:hAnsiTheme="minorHAnsi" w:cs="Times New Roman"/>
        </w:rPr>
        <w:t>12-92-001.</w:t>
      </w:r>
    </w:p>
    <w:p w14:paraId="48F285E1" w14:textId="77777777" w:rsidR="00843BAA" w:rsidRPr="00175B1D" w:rsidRDefault="00843BAA" w:rsidP="00843BAA">
      <w:pPr>
        <w:spacing w:after="0" w:line="240" w:lineRule="auto"/>
        <w:rPr>
          <w:rFonts w:asciiTheme="minorHAnsi" w:hAnsiTheme="minorHAnsi"/>
        </w:rPr>
      </w:pPr>
      <w:r w:rsidRPr="00175B1D">
        <w:rPr>
          <w:rFonts w:asciiTheme="minorHAnsi" w:eastAsia="Times New Roman" w:hAnsiTheme="minorHAnsi" w:cs="Times New Roman"/>
        </w:rPr>
        <w:t>USEPA. 2006. Reregistration Eligibility Decision for Malathion: Case No. 0248. Office of</w:t>
      </w:r>
    </w:p>
    <w:p w14:paraId="1B06EDD2" w14:textId="77777777" w:rsidR="00843BAA" w:rsidRPr="00175B1D" w:rsidRDefault="00843BAA" w:rsidP="00843BAA">
      <w:pPr>
        <w:spacing w:after="0" w:line="240" w:lineRule="auto"/>
        <w:ind w:firstLine="720"/>
        <w:rPr>
          <w:rFonts w:asciiTheme="minorHAnsi" w:hAnsiTheme="minorHAnsi"/>
        </w:rPr>
      </w:pPr>
      <w:r w:rsidRPr="00175B1D">
        <w:rPr>
          <w:rFonts w:asciiTheme="minorHAnsi" w:eastAsia="Times New Roman" w:hAnsiTheme="minorHAnsi" w:cs="Times New Roman"/>
        </w:rPr>
        <w:t>Prevention, Pesticides, and Toxic Substances. Office of Pesticide Programs. Washington,</w:t>
      </w:r>
    </w:p>
    <w:p w14:paraId="73DE4609" w14:textId="77777777" w:rsidR="00843BAA" w:rsidRPr="00175B1D" w:rsidRDefault="00843BAA" w:rsidP="00843BAA">
      <w:pPr>
        <w:spacing w:after="0" w:line="240" w:lineRule="auto"/>
        <w:ind w:firstLine="720"/>
        <w:rPr>
          <w:rFonts w:asciiTheme="minorHAnsi" w:hAnsiTheme="minorHAnsi"/>
        </w:rPr>
      </w:pPr>
      <w:r w:rsidRPr="00175B1D">
        <w:rPr>
          <w:rFonts w:asciiTheme="minorHAnsi" w:eastAsia="Times New Roman" w:hAnsiTheme="minorHAnsi" w:cs="Times New Roman"/>
        </w:rPr>
        <w:t>D.C. EPA 738-R-06-030. pp 188.</w:t>
      </w:r>
    </w:p>
    <w:p w14:paraId="3131C2AD" w14:textId="77777777" w:rsidR="00843BAA" w:rsidRPr="00175B1D" w:rsidRDefault="00843BAA" w:rsidP="00843BAA">
      <w:pPr>
        <w:spacing w:after="0" w:line="240" w:lineRule="auto"/>
        <w:rPr>
          <w:rFonts w:asciiTheme="minorHAnsi" w:hAnsiTheme="minorHAnsi"/>
        </w:rPr>
      </w:pPr>
      <w:r w:rsidRPr="00175B1D">
        <w:rPr>
          <w:rFonts w:asciiTheme="minorHAnsi" w:eastAsia="Times New Roman" w:hAnsiTheme="minorHAnsi" w:cs="Times New Roman"/>
        </w:rPr>
        <w:t>USEPA, 2010. 2008 Science Advisory Panel Meeting Follow Up: Assessment of the</w:t>
      </w:r>
    </w:p>
    <w:p w14:paraId="5D0646FB" w14:textId="77777777" w:rsidR="00843BAA" w:rsidRPr="00175B1D" w:rsidRDefault="00843BAA" w:rsidP="00843BAA">
      <w:pPr>
        <w:spacing w:after="0" w:line="240" w:lineRule="auto"/>
        <w:ind w:left="720"/>
        <w:rPr>
          <w:rFonts w:asciiTheme="minorHAnsi" w:eastAsia="Times New Roman" w:hAnsiTheme="minorHAnsi" w:cs="Times New Roman"/>
        </w:rPr>
      </w:pPr>
      <w:r w:rsidRPr="00175B1D">
        <w:rPr>
          <w:rFonts w:asciiTheme="minorHAnsi" w:eastAsia="Times New Roman" w:hAnsiTheme="minorHAnsi" w:cs="Times New Roman"/>
        </w:rPr>
        <w:lastRenderedPageBreak/>
        <w:t>Bioaccumulation and Long-Range Transport Potential (LRTP) and of Pentachloronitrobenzene (PCNB) and Associated Ecological Risks. March 22, 2010.  Office of Pesticide Programs. Environmental Fate and Effects Division. DP Barcode 291271</w:t>
      </w:r>
    </w:p>
    <w:p w14:paraId="2FF05012" w14:textId="77777777" w:rsidR="00843BAA" w:rsidRPr="00175B1D" w:rsidRDefault="00843BAA" w:rsidP="00843BAA">
      <w:pPr>
        <w:spacing w:after="0" w:line="240" w:lineRule="auto"/>
        <w:ind w:left="720" w:hanging="720"/>
        <w:rPr>
          <w:rFonts w:asciiTheme="minorHAnsi" w:eastAsia="Times New Roman" w:hAnsiTheme="minorHAnsi" w:cs="Times New Roman"/>
        </w:rPr>
      </w:pPr>
      <w:r w:rsidRPr="00175B1D">
        <w:rPr>
          <w:rFonts w:asciiTheme="minorHAnsi" w:hAnsiTheme="minorHAnsi" w:cs="Times New Roman"/>
        </w:rPr>
        <w:t xml:space="preserve">Walsh A.H. and W.E. pp 515-541 in </w:t>
      </w:r>
      <w:proofErr w:type="gramStart"/>
      <w:r w:rsidRPr="00175B1D">
        <w:rPr>
          <w:rFonts w:asciiTheme="minorHAnsi" w:hAnsiTheme="minorHAnsi" w:cs="Times New Roman"/>
        </w:rPr>
        <w:t>The</w:t>
      </w:r>
      <w:proofErr w:type="gramEnd"/>
      <w:r w:rsidRPr="00175B1D">
        <w:rPr>
          <w:rFonts w:asciiTheme="minorHAnsi" w:hAnsiTheme="minorHAnsi" w:cs="Times New Roman"/>
        </w:rPr>
        <w:t xml:space="preserve"> pathology of fishes.  </w:t>
      </w:r>
      <w:proofErr w:type="spellStart"/>
      <w:r w:rsidRPr="00175B1D">
        <w:rPr>
          <w:rFonts w:asciiTheme="minorHAnsi" w:hAnsiTheme="minorHAnsi" w:cs="Times New Roman"/>
        </w:rPr>
        <w:t>Ribelin</w:t>
      </w:r>
      <w:proofErr w:type="spellEnd"/>
      <w:r w:rsidRPr="00175B1D">
        <w:rPr>
          <w:rFonts w:asciiTheme="minorHAnsi" w:hAnsiTheme="minorHAnsi" w:cs="Times New Roman"/>
        </w:rPr>
        <w:t xml:space="preserve">. W.E. and G. </w:t>
      </w:r>
      <w:proofErr w:type="spellStart"/>
      <w:r w:rsidRPr="00175B1D">
        <w:rPr>
          <w:rFonts w:asciiTheme="minorHAnsi" w:hAnsiTheme="minorHAnsi" w:cs="Times New Roman"/>
        </w:rPr>
        <w:t>Migaki</w:t>
      </w:r>
      <w:proofErr w:type="spellEnd"/>
      <w:r w:rsidRPr="00175B1D">
        <w:rPr>
          <w:rFonts w:asciiTheme="minorHAnsi" w:hAnsiTheme="minorHAnsi" w:cs="Times New Roman"/>
        </w:rPr>
        <w:t>. Eds.</w:t>
      </w:r>
      <w:r w:rsidRPr="00175B1D">
        <w:rPr>
          <w:rFonts w:asciiTheme="minorHAnsi" w:eastAsia="Times New Roman" w:hAnsiTheme="minorHAnsi" w:cs="Times New Roman"/>
        </w:rPr>
        <w:t xml:space="preserve"> </w:t>
      </w:r>
      <w:r w:rsidRPr="00175B1D">
        <w:rPr>
          <w:rFonts w:asciiTheme="minorHAnsi" w:hAnsiTheme="minorHAnsi" w:cs="Times New Roman"/>
        </w:rPr>
        <w:t xml:space="preserve">University of Wisconsin Press, Madison. WI (1975).  </w:t>
      </w:r>
    </w:p>
    <w:p w14:paraId="1F30B341" w14:textId="77777777" w:rsidR="00843BAA" w:rsidRPr="00175B1D" w:rsidRDefault="00843BAA">
      <w:pPr>
        <w:spacing w:after="0" w:line="240" w:lineRule="auto"/>
        <w:rPr>
          <w:rFonts w:asciiTheme="minorHAnsi" w:hAnsiTheme="minorHAnsi" w:cs="Times New Roman"/>
        </w:rPr>
      </w:pPr>
    </w:p>
    <w:sectPr w:rsidR="00843BAA" w:rsidRPr="00175B1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9CCAB" w14:textId="77777777" w:rsidR="00DE3B21" w:rsidRDefault="00DE3B21" w:rsidP="00DE3B21">
      <w:pPr>
        <w:spacing w:after="0" w:line="240" w:lineRule="auto"/>
      </w:pPr>
      <w:r>
        <w:separator/>
      </w:r>
    </w:p>
  </w:endnote>
  <w:endnote w:type="continuationSeparator" w:id="0">
    <w:p w14:paraId="2DF41886" w14:textId="77777777" w:rsidR="00DE3B21" w:rsidRDefault="00DE3B21" w:rsidP="00DE3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741EB" w14:textId="5018FAEA" w:rsidR="00DE3B21" w:rsidRDefault="00DE3B21" w:rsidP="00DE3B21">
    <w:pPr>
      <w:pStyle w:val="Footer"/>
      <w:jc w:val="center"/>
    </w:pPr>
    <w:r>
      <w:t>B1 (FC)-</w:t>
    </w:r>
    <w:sdt>
      <w:sdtPr>
        <w:id w:val="-146972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267BA">
          <w:rPr>
            <w:noProof/>
          </w:rPr>
          <w:t>11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4D877" w14:textId="77777777" w:rsidR="00DE3B21" w:rsidRDefault="00DE3B21" w:rsidP="00DE3B21">
      <w:pPr>
        <w:spacing w:after="0" w:line="240" w:lineRule="auto"/>
      </w:pPr>
      <w:r>
        <w:separator/>
      </w:r>
    </w:p>
  </w:footnote>
  <w:footnote w:type="continuationSeparator" w:id="0">
    <w:p w14:paraId="2D389AFD" w14:textId="77777777" w:rsidR="00DE3B21" w:rsidRDefault="00DE3B21" w:rsidP="00DE3B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ECA"/>
    <w:multiLevelType w:val="multilevel"/>
    <w:tmpl w:val="EF20223A"/>
    <w:lvl w:ilvl="0">
      <w:start w:val="1"/>
      <w:numFmt w:val="upperLetter"/>
      <w:lvlText w:val="%1."/>
      <w:lvlJc w:val="left"/>
      <w:pPr>
        <w:ind w:left="0" w:firstLine="0"/>
      </w:pPr>
      <w:rPr>
        <w:rFonts w:hint="default"/>
      </w:rPr>
    </w:lvl>
    <w:lvl w:ilvl="1">
      <w:start w:val="1"/>
      <w:numFmt w:val="decimal"/>
      <w:lvlText w:val="%1.%2."/>
      <w:lvlJc w:val="left"/>
      <w:pPr>
        <w:ind w:left="360" w:firstLine="0"/>
      </w:pPr>
      <w:rPr>
        <w:rFonts w:hint="default"/>
      </w:rPr>
    </w:lvl>
    <w:lvl w:ilvl="2">
      <w:start w:val="3"/>
      <w:numFmt w:val="decimal"/>
      <w:lvlText w:val="%1.%2.%3"/>
      <w:lvlJc w:val="left"/>
      <w:pPr>
        <w:ind w:left="720" w:firstLine="0"/>
      </w:pPr>
      <w:rPr>
        <w:rFonts w:hint="default"/>
      </w:rPr>
    </w:lvl>
    <w:lvl w:ilvl="3">
      <w:start w:val="1"/>
      <w:numFmt w:val="decimal"/>
      <w:lvlText w:val="%1.%2.%3.%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righ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right"/>
      <w:pPr>
        <w:ind w:left="2880" w:firstLine="0"/>
      </w:pPr>
      <w:rPr>
        <w:rFonts w:hint="default"/>
      </w:rPr>
    </w:lvl>
  </w:abstractNum>
  <w:abstractNum w:abstractNumId="1" w15:restartNumberingAfterBreak="0">
    <w:nsid w:val="037B356C"/>
    <w:multiLevelType w:val="multilevel"/>
    <w:tmpl w:val="EF20223A"/>
    <w:lvl w:ilvl="0">
      <w:start w:val="1"/>
      <w:numFmt w:val="upperLetter"/>
      <w:lvlText w:val="%1."/>
      <w:lvlJc w:val="left"/>
      <w:pPr>
        <w:ind w:left="0" w:firstLine="0"/>
      </w:pPr>
      <w:rPr>
        <w:rFonts w:hint="default"/>
      </w:rPr>
    </w:lvl>
    <w:lvl w:ilvl="1">
      <w:start w:val="1"/>
      <w:numFmt w:val="decimal"/>
      <w:lvlText w:val="%1.%2."/>
      <w:lvlJc w:val="left"/>
      <w:pPr>
        <w:ind w:left="360" w:firstLine="0"/>
      </w:pPr>
      <w:rPr>
        <w:rFonts w:hint="default"/>
      </w:rPr>
    </w:lvl>
    <w:lvl w:ilvl="2">
      <w:start w:val="3"/>
      <w:numFmt w:val="decimal"/>
      <w:lvlText w:val="%1.%2.%3"/>
      <w:lvlJc w:val="left"/>
      <w:pPr>
        <w:ind w:left="720" w:firstLine="0"/>
      </w:pPr>
      <w:rPr>
        <w:rFonts w:hint="default"/>
      </w:rPr>
    </w:lvl>
    <w:lvl w:ilvl="3">
      <w:start w:val="1"/>
      <w:numFmt w:val="decimal"/>
      <w:lvlText w:val="%1.%2.%3.%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righ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right"/>
      <w:pPr>
        <w:ind w:left="2880" w:firstLine="0"/>
      </w:pPr>
      <w:rPr>
        <w:rFonts w:hint="default"/>
      </w:rPr>
    </w:lvl>
  </w:abstractNum>
  <w:abstractNum w:abstractNumId="2" w15:restartNumberingAfterBreak="0">
    <w:nsid w:val="0C5C5745"/>
    <w:multiLevelType w:val="multilevel"/>
    <w:tmpl w:val="F9C0E474"/>
    <w:lvl w:ilvl="0">
      <w:start w:val="1"/>
      <w:numFmt w:val="upperLetter"/>
      <w:lvlText w:val="%1."/>
      <w:lvlJc w:val="left"/>
      <w:pPr>
        <w:ind w:left="0" w:firstLine="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2131BCE"/>
    <w:multiLevelType w:val="hybridMultilevel"/>
    <w:tmpl w:val="A746BA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40364"/>
    <w:multiLevelType w:val="multilevel"/>
    <w:tmpl w:val="B25A9770"/>
    <w:lvl w:ilvl="0">
      <w:start w:val="1"/>
      <w:numFmt w:val="upperLetter"/>
      <w:lvlText w:val="%1."/>
      <w:lvlJc w:val="left"/>
      <w:pPr>
        <w:ind w:left="0" w:firstLine="0"/>
      </w:pPr>
      <w:rPr>
        <w:rFonts w:hint="default"/>
      </w:rPr>
    </w:lvl>
    <w:lvl w:ilvl="1">
      <w:start w:val="3"/>
      <w:numFmt w:val="decimal"/>
      <w:lvlText w:val="%1.%2."/>
      <w:lvlJc w:val="left"/>
      <w:pPr>
        <w:ind w:left="360" w:firstLine="0"/>
      </w:pPr>
      <w:rPr>
        <w:rFonts w:hint="default"/>
      </w:rPr>
    </w:lvl>
    <w:lvl w:ilvl="2">
      <w:start w:val="1"/>
      <w:numFmt w:val="decimal"/>
      <w:lvlText w:val="%1.%2.%3"/>
      <w:lvlJc w:val="left"/>
      <w:pPr>
        <w:ind w:left="720" w:firstLine="0"/>
      </w:pPr>
      <w:rPr>
        <w:rFonts w:hint="default"/>
      </w:rPr>
    </w:lvl>
    <w:lvl w:ilvl="3">
      <w:start w:val="1"/>
      <w:numFmt w:val="decimal"/>
      <w:lvlText w:val="%1.%2.%3.%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righ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right"/>
      <w:pPr>
        <w:ind w:left="2880" w:firstLine="0"/>
      </w:pPr>
      <w:rPr>
        <w:rFonts w:hint="default"/>
      </w:rPr>
    </w:lvl>
  </w:abstractNum>
  <w:abstractNum w:abstractNumId="5" w15:restartNumberingAfterBreak="0">
    <w:nsid w:val="296C44F3"/>
    <w:multiLevelType w:val="multilevel"/>
    <w:tmpl w:val="2EEC69E6"/>
    <w:lvl w:ilvl="0">
      <w:start w:val="1"/>
      <w:numFmt w:val="upperLetter"/>
      <w:lvlText w:val="%1."/>
      <w:lvlJc w:val="left"/>
      <w:pPr>
        <w:ind w:left="0" w:firstLine="0"/>
      </w:pPr>
      <w:rPr>
        <w:rFonts w:hint="default"/>
      </w:rPr>
    </w:lvl>
    <w:lvl w:ilvl="1">
      <w:start w:val="1"/>
      <w:numFmt w:val="decimal"/>
      <w:lvlText w:val="%1.%2."/>
      <w:lvlJc w:val="left"/>
      <w:pPr>
        <w:ind w:left="720" w:hanging="360"/>
      </w:pPr>
      <w:rPr>
        <w:rFonts w:hint="default"/>
      </w:rPr>
    </w:lvl>
    <w:lvl w:ilvl="2">
      <w:start w:val="5"/>
      <w:numFmt w:val="decimal"/>
      <w:lvlText w:val="%1.%2.%3."/>
      <w:lvlJc w:val="left"/>
      <w:pPr>
        <w:ind w:left="144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DE1544A"/>
    <w:multiLevelType w:val="multilevel"/>
    <w:tmpl w:val="E6980CF2"/>
    <w:numStyleLink w:val="Style1"/>
  </w:abstractNum>
  <w:abstractNum w:abstractNumId="7" w15:restartNumberingAfterBreak="0">
    <w:nsid w:val="41A47930"/>
    <w:multiLevelType w:val="multilevel"/>
    <w:tmpl w:val="F1782F0C"/>
    <w:lvl w:ilvl="0">
      <w:start w:val="1"/>
      <w:numFmt w:val="upperLetter"/>
      <w:lvlText w:val="%1."/>
      <w:lvlJc w:val="left"/>
      <w:pPr>
        <w:ind w:left="0" w:firstLine="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5121317"/>
    <w:multiLevelType w:val="multilevel"/>
    <w:tmpl w:val="E6980CF2"/>
    <w:styleLink w:val="Style1"/>
    <w:lvl w:ilvl="0">
      <w:start w:val="1"/>
      <w:numFmt w:val="upperLetter"/>
      <w:lvlText w:val="%1."/>
      <w:lvlJc w:val="left"/>
      <w:pPr>
        <w:ind w:left="0" w:firstLine="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B583952"/>
    <w:multiLevelType w:val="multilevel"/>
    <w:tmpl w:val="7C961160"/>
    <w:lvl w:ilvl="0">
      <w:start w:val="1"/>
      <w:numFmt w:val="upperLetter"/>
      <w:lvlText w:val="%1."/>
      <w:lvlJc w:val="left"/>
      <w:pPr>
        <w:ind w:left="0" w:firstLine="0"/>
      </w:pPr>
      <w:rPr>
        <w:rFonts w:hint="default"/>
      </w:rPr>
    </w:lvl>
    <w:lvl w:ilvl="1">
      <w:start w:val="1"/>
      <w:numFmt w:val="decimal"/>
      <w:lvlText w:val="%1.%2."/>
      <w:lvlJc w:val="left"/>
      <w:pPr>
        <w:ind w:left="720" w:hanging="360"/>
      </w:pPr>
      <w:rPr>
        <w:rFonts w:hint="default"/>
      </w:rPr>
    </w:lvl>
    <w:lvl w:ilvl="2">
      <w:start w:val="3"/>
      <w:numFmt w:val="decimal"/>
      <w:lvlText w:val="%1.%2.%3."/>
      <w:lvlJc w:val="left"/>
      <w:pPr>
        <w:ind w:left="144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F7D340F"/>
    <w:multiLevelType w:val="multilevel"/>
    <w:tmpl w:val="E6980CF2"/>
    <w:numStyleLink w:val="Style1"/>
  </w:abstractNum>
  <w:abstractNum w:abstractNumId="11" w15:restartNumberingAfterBreak="0">
    <w:nsid w:val="51B60B63"/>
    <w:multiLevelType w:val="multilevel"/>
    <w:tmpl w:val="80DABEAC"/>
    <w:lvl w:ilvl="0">
      <w:start w:val="1"/>
      <w:numFmt w:val="upperLetter"/>
      <w:lvlText w:val="%1."/>
      <w:lvlJc w:val="left"/>
      <w:pPr>
        <w:ind w:left="0" w:firstLine="0"/>
      </w:pPr>
      <w:rPr>
        <w:rFonts w:hint="default"/>
      </w:rPr>
    </w:lvl>
    <w:lvl w:ilvl="1">
      <w:start w:val="1"/>
      <w:numFmt w:val="decimal"/>
      <w:lvlText w:val="%1.%2."/>
      <w:lvlJc w:val="left"/>
      <w:pPr>
        <w:ind w:left="720" w:hanging="3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D432A36"/>
    <w:multiLevelType w:val="multilevel"/>
    <w:tmpl w:val="1C2076D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61582B00"/>
    <w:multiLevelType w:val="multilevel"/>
    <w:tmpl w:val="F9C0E474"/>
    <w:lvl w:ilvl="0">
      <w:start w:val="1"/>
      <w:numFmt w:val="upperLetter"/>
      <w:lvlText w:val="%1."/>
      <w:lvlJc w:val="left"/>
      <w:pPr>
        <w:ind w:left="0" w:firstLine="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197306C"/>
    <w:multiLevelType w:val="multilevel"/>
    <w:tmpl w:val="F9C0E474"/>
    <w:lvl w:ilvl="0">
      <w:start w:val="1"/>
      <w:numFmt w:val="upperLetter"/>
      <w:lvlText w:val="%1."/>
      <w:lvlJc w:val="left"/>
      <w:pPr>
        <w:ind w:left="0" w:firstLine="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2354EBF"/>
    <w:multiLevelType w:val="multilevel"/>
    <w:tmpl w:val="80DABEAC"/>
    <w:lvl w:ilvl="0">
      <w:start w:val="1"/>
      <w:numFmt w:val="upperLetter"/>
      <w:lvlText w:val="%1."/>
      <w:lvlJc w:val="left"/>
      <w:pPr>
        <w:ind w:left="0" w:firstLine="0"/>
      </w:pPr>
      <w:rPr>
        <w:rFonts w:hint="default"/>
      </w:rPr>
    </w:lvl>
    <w:lvl w:ilvl="1">
      <w:start w:val="1"/>
      <w:numFmt w:val="decimal"/>
      <w:lvlText w:val="%1.%2."/>
      <w:lvlJc w:val="left"/>
      <w:pPr>
        <w:ind w:left="720" w:hanging="3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90A7B3F"/>
    <w:multiLevelType w:val="multilevel"/>
    <w:tmpl w:val="500C59F8"/>
    <w:lvl w:ilvl="0">
      <w:start w:val="1"/>
      <w:numFmt w:val="upperLetter"/>
      <w:lvlText w:val="%1."/>
      <w:lvlJc w:val="left"/>
      <w:pPr>
        <w:ind w:left="0" w:firstLine="0"/>
      </w:pPr>
      <w:rPr>
        <w:rFonts w:hint="default"/>
      </w:rPr>
    </w:lvl>
    <w:lvl w:ilvl="1">
      <w:start w:val="3"/>
      <w:numFmt w:val="decimal"/>
      <w:lvlText w:val="%1.%2."/>
      <w:lvlJc w:val="left"/>
      <w:pPr>
        <w:ind w:left="720" w:hanging="360"/>
      </w:pPr>
      <w:rPr>
        <w:rFonts w:hint="default"/>
      </w:rPr>
    </w:lvl>
    <w:lvl w:ilvl="2">
      <w:start w:val="2"/>
      <w:numFmt w:val="decimal"/>
      <w:lvlText w:val="%1.%2.%3."/>
      <w:lvlJc w:val="left"/>
      <w:pPr>
        <w:ind w:left="144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BC836AB"/>
    <w:multiLevelType w:val="multilevel"/>
    <w:tmpl w:val="25F22530"/>
    <w:lvl w:ilvl="0">
      <w:start w:val="1"/>
      <w:numFmt w:val="upperLetter"/>
      <w:lvlText w:val="%1."/>
      <w:lvlJc w:val="left"/>
      <w:pPr>
        <w:ind w:left="0" w:firstLine="0"/>
      </w:pPr>
      <w:rPr>
        <w:rFonts w:hint="default"/>
      </w:rPr>
    </w:lvl>
    <w:lvl w:ilvl="1">
      <w:start w:val="1"/>
      <w:numFmt w:val="decimal"/>
      <w:lvlText w:val="%1.%2."/>
      <w:lvlJc w:val="left"/>
      <w:pPr>
        <w:ind w:left="720" w:hanging="360"/>
      </w:pPr>
      <w:rPr>
        <w:rFonts w:hint="default"/>
      </w:rPr>
    </w:lvl>
    <w:lvl w:ilvl="2">
      <w:start w:val="3"/>
      <w:numFmt w:val="decimal"/>
      <w:lvlText w:val="%1.%2.%3."/>
      <w:lvlJc w:val="left"/>
      <w:pPr>
        <w:ind w:left="144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CC87F3B"/>
    <w:multiLevelType w:val="multilevel"/>
    <w:tmpl w:val="20C694DA"/>
    <w:lvl w:ilvl="0">
      <w:start w:val="1"/>
      <w:numFmt w:val="upperLetter"/>
      <w:lvlText w:val="%1."/>
      <w:lvlJc w:val="left"/>
      <w:pPr>
        <w:ind w:left="0" w:firstLine="0"/>
      </w:pPr>
      <w:rPr>
        <w:rFonts w:hint="default"/>
      </w:rPr>
    </w:lvl>
    <w:lvl w:ilvl="1">
      <w:start w:val="1"/>
      <w:numFmt w:val="decimal"/>
      <w:lvlText w:val="%1.%2."/>
      <w:lvlJc w:val="left"/>
      <w:pPr>
        <w:ind w:left="720" w:hanging="3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EA74214"/>
    <w:multiLevelType w:val="multilevel"/>
    <w:tmpl w:val="25F22530"/>
    <w:lvl w:ilvl="0">
      <w:start w:val="1"/>
      <w:numFmt w:val="upperLetter"/>
      <w:lvlText w:val="%1."/>
      <w:lvlJc w:val="left"/>
      <w:pPr>
        <w:ind w:left="0" w:firstLine="0"/>
      </w:pPr>
      <w:rPr>
        <w:rFonts w:hint="default"/>
      </w:rPr>
    </w:lvl>
    <w:lvl w:ilvl="1">
      <w:start w:val="1"/>
      <w:numFmt w:val="decimal"/>
      <w:lvlText w:val="%1.%2."/>
      <w:lvlJc w:val="left"/>
      <w:pPr>
        <w:ind w:left="720" w:hanging="360"/>
      </w:pPr>
      <w:rPr>
        <w:rFonts w:hint="default"/>
      </w:rPr>
    </w:lvl>
    <w:lvl w:ilvl="2">
      <w:start w:val="3"/>
      <w:numFmt w:val="decimal"/>
      <w:lvlText w:val="%1.%2.%3."/>
      <w:lvlJc w:val="left"/>
      <w:pPr>
        <w:ind w:left="144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2963F03"/>
    <w:multiLevelType w:val="hybridMultilevel"/>
    <w:tmpl w:val="1012F122"/>
    <w:lvl w:ilvl="0" w:tplc="19A4267C">
      <w:start w:val="1"/>
      <w:numFmt w:val="decimal"/>
      <w:pStyle w:val="Heading1"/>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1B05A9"/>
    <w:multiLevelType w:val="multilevel"/>
    <w:tmpl w:val="EF20223A"/>
    <w:lvl w:ilvl="0">
      <w:start w:val="1"/>
      <w:numFmt w:val="upperLetter"/>
      <w:lvlText w:val="%1."/>
      <w:lvlJc w:val="left"/>
      <w:pPr>
        <w:ind w:left="0" w:firstLine="0"/>
      </w:pPr>
      <w:rPr>
        <w:rFonts w:hint="default"/>
      </w:rPr>
    </w:lvl>
    <w:lvl w:ilvl="1">
      <w:start w:val="1"/>
      <w:numFmt w:val="decimal"/>
      <w:lvlText w:val="%1.%2."/>
      <w:lvlJc w:val="left"/>
      <w:pPr>
        <w:ind w:left="360" w:firstLine="0"/>
      </w:pPr>
      <w:rPr>
        <w:rFonts w:hint="default"/>
      </w:rPr>
    </w:lvl>
    <w:lvl w:ilvl="2">
      <w:start w:val="3"/>
      <w:numFmt w:val="decimal"/>
      <w:lvlText w:val="%1.%2.%3"/>
      <w:lvlJc w:val="left"/>
      <w:pPr>
        <w:ind w:left="720" w:firstLine="0"/>
      </w:pPr>
      <w:rPr>
        <w:rFonts w:hint="default"/>
      </w:rPr>
    </w:lvl>
    <w:lvl w:ilvl="3">
      <w:start w:val="1"/>
      <w:numFmt w:val="decimal"/>
      <w:lvlText w:val="%1.%2.%3.%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righ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right"/>
      <w:pPr>
        <w:ind w:left="2880" w:firstLine="0"/>
      </w:pPr>
      <w:rPr>
        <w:rFonts w:hint="default"/>
      </w:rPr>
    </w:lvl>
  </w:abstractNum>
  <w:abstractNum w:abstractNumId="22" w15:restartNumberingAfterBreak="0">
    <w:nsid w:val="78EE1AED"/>
    <w:multiLevelType w:val="multilevel"/>
    <w:tmpl w:val="AA8673AC"/>
    <w:lvl w:ilvl="0">
      <w:start w:val="1"/>
      <w:numFmt w:val="upperLetter"/>
      <w:lvlText w:val="%1."/>
      <w:lvlJc w:val="left"/>
      <w:pPr>
        <w:ind w:left="0" w:firstLine="0"/>
      </w:pPr>
      <w:rPr>
        <w:rFonts w:hint="default"/>
      </w:rPr>
    </w:lvl>
    <w:lvl w:ilvl="1">
      <w:start w:val="1"/>
      <w:numFmt w:val="decimal"/>
      <w:lvlText w:val="%1.%2."/>
      <w:lvlJc w:val="left"/>
      <w:pPr>
        <w:ind w:left="720" w:hanging="360"/>
      </w:pPr>
      <w:rPr>
        <w:rFonts w:hint="default"/>
      </w:rPr>
    </w:lvl>
    <w:lvl w:ilvl="2">
      <w:start w:val="3"/>
      <w:numFmt w:val="decimal"/>
      <w:lvlText w:val="%1.%2.%3."/>
      <w:lvlJc w:val="left"/>
      <w:pPr>
        <w:ind w:left="144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D9764C3"/>
    <w:multiLevelType w:val="multilevel"/>
    <w:tmpl w:val="E6888DCC"/>
    <w:lvl w:ilvl="0">
      <w:start w:val="1"/>
      <w:numFmt w:val="upperLetter"/>
      <w:lvlText w:val="%1."/>
      <w:lvlJc w:val="left"/>
      <w:pPr>
        <w:ind w:left="0" w:firstLine="0"/>
      </w:pPr>
      <w:rPr>
        <w:rFonts w:hint="default"/>
      </w:rPr>
    </w:lvl>
    <w:lvl w:ilvl="1">
      <w:start w:val="1"/>
      <w:numFmt w:val="decimal"/>
      <w:lvlText w:val="%1.%2."/>
      <w:lvlJc w:val="left"/>
      <w:pPr>
        <w:ind w:left="720" w:hanging="360"/>
      </w:pPr>
      <w:rPr>
        <w:rFonts w:hint="default"/>
      </w:rPr>
    </w:lvl>
    <w:lvl w:ilvl="2">
      <w:start w:val="3"/>
      <w:numFmt w:val="decimal"/>
      <w:lvlText w:val="%1.%2.%3."/>
      <w:lvlJc w:val="left"/>
      <w:pPr>
        <w:ind w:left="144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2"/>
  </w:num>
  <w:num w:numId="2">
    <w:abstractNumId w:val="2"/>
  </w:num>
  <w:num w:numId="3">
    <w:abstractNumId w:val="8"/>
  </w:num>
  <w:num w:numId="4">
    <w:abstractNumId w:val="10"/>
  </w:num>
  <w:num w:numId="5">
    <w:abstractNumId w:val="6"/>
  </w:num>
  <w:num w:numId="6">
    <w:abstractNumId w:val="20"/>
  </w:num>
  <w:num w:numId="7">
    <w:abstractNumId w:val="13"/>
  </w:num>
  <w:num w:numId="8">
    <w:abstractNumId w:val="14"/>
  </w:num>
  <w:num w:numId="9">
    <w:abstractNumId w:val="15"/>
  </w:num>
  <w:num w:numId="10">
    <w:abstractNumId w:val="23"/>
  </w:num>
  <w:num w:numId="11">
    <w:abstractNumId w:val="9"/>
  </w:num>
  <w:num w:numId="12">
    <w:abstractNumId w:val="19"/>
  </w:num>
  <w:num w:numId="13">
    <w:abstractNumId w:val="22"/>
  </w:num>
  <w:num w:numId="14">
    <w:abstractNumId w:val="17"/>
  </w:num>
  <w:num w:numId="15">
    <w:abstractNumId w:val="18"/>
  </w:num>
  <w:num w:numId="16">
    <w:abstractNumId w:val="21"/>
  </w:num>
  <w:num w:numId="17">
    <w:abstractNumId w:val="1"/>
  </w:num>
  <w:num w:numId="18">
    <w:abstractNumId w:val="0"/>
  </w:num>
  <w:num w:numId="19">
    <w:abstractNumId w:val="7"/>
  </w:num>
  <w:num w:numId="20">
    <w:abstractNumId w:val="5"/>
  </w:num>
  <w:num w:numId="21">
    <w:abstractNumId w:val="4"/>
  </w:num>
  <w:num w:numId="22">
    <w:abstractNumId w:val="16"/>
  </w:num>
  <w:num w:numId="23">
    <w:abstractNumId w:val="1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DB9"/>
    <w:rsid w:val="00010A06"/>
    <w:rsid w:val="00013853"/>
    <w:rsid w:val="00062364"/>
    <w:rsid w:val="000E406D"/>
    <w:rsid w:val="000E4AD7"/>
    <w:rsid w:val="000F4D05"/>
    <w:rsid w:val="001454C2"/>
    <w:rsid w:val="0015534F"/>
    <w:rsid w:val="00155C17"/>
    <w:rsid w:val="00175B1D"/>
    <w:rsid w:val="001970CB"/>
    <w:rsid w:val="001A2B6D"/>
    <w:rsid w:val="001D15AA"/>
    <w:rsid w:val="00210E91"/>
    <w:rsid w:val="00220963"/>
    <w:rsid w:val="00266125"/>
    <w:rsid w:val="003305ED"/>
    <w:rsid w:val="003A36B0"/>
    <w:rsid w:val="003C5DFC"/>
    <w:rsid w:val="003C7E88"/>
    <w:rsid w:val="004815E4"/>
    <w:rsid w:val="0048597F"/>
    <w:rsid w:val="004B51F3"/>
    <w:rsid w:val="0052579A"/>
    <w:rsid w:val="00536163"/>
    <w:rsid w:val="005C7FA6"/>
    <w:rsid w:val="005D355F"/>
    <w:rsid w:val="00610E26"/>
    <w:rsid w:val="00640E2D"/>
    <w:rsid w:val="006B0110"/>
    <w:rsid w:val="006C03AD"/>
    <w:rsid w:val="006F6FAB"/>
    <w:rsid w:val="00724E19"/>
    <w:rsid w:val="007A1315"/>
    <w:rsid w:val="007A536E"/>
    <w:rsid w:val="007D301C"/>
    <w:rsid w:val="00830888"/>
    <w:rsid w:val="00843BAA"/>
    <w:rsid w:val="0085120F"/>
    <w:rsid w:val="008B1911"/>
    <w:rsid w:val="008D6489"/>
    <w:rsid w:val="008F0DB9"/>
    <w:rsid w:val="00924ED2"/>
    <w:rsid w:val="00927088"/>
    <w:rsid w:val="00950877"/>
    <w:rsid w:val="009558DF"/>
    <w:rsid w:val="0098305D"/>
    <w:rsid w:val="009A765C"/>
    <w:rsid w:val="00A76DA7"/>
    <w:rsid w:val="00B759D5"/>
    <w:rsid w:val="00BD0607"/>
    <w:rsid w:val="00BD377B"/>
    <w:rsid w:val="00C066DB"/>
    <w:rsid w:val="00C31471"/>
    <w:rsid w:val="00C3411D"/>
    <w:rsid w:val="00DE3B21"/>
    <w:rsid w:val="00E267BA"/>
    <w:rsid w:val="00EC51CC"/>
    <w:rsid w:val="00EC54DB"/>
    <w:rsid w:val="00F2709B"/>
    <w:rsid w:val="00F330CD"/>
    <w:rsid w:val="00F473BA"/>
    <w:rsid w:val="00F47D25"/>
    <w:rsid w:val="00FD5FD7"/>
    <w:rsid w:val="00FE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2CC6"/>
  <w15:docId w15:val="{D36EE9B9-F0D4-44FE-A664-8ED4637E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rsid w:val="00536163"/>
    <w:pPr>
      <w:keepNext/>
      <w:keepLines/>
      <w:numPr>
        <w:numId w:val="6"/>
      </w:numPr>
      <w:spacing w:before="480" w:after="120"/>
      <w:outlineLvl w:val="0"/>
    </w:pPr>
    <w:rPr>
      <w:rFonts w:ascii="Times New Roman" w:hAnsi="Times New Roman"/>
      <w:b/>
      <w:caps/>
      <w:color w:val="0070C0"/>
      <w:sz w:val="24"/>
      <w:szCs w:val="48"/>
    </w:rPr>
  </w:style>
  <w:style w:type="paragraph" w:styleId="Heading2">
    <w:name w:val="heading 2"/>
    <w:basedOn w:val="Normal"/>
    <w:next w:val="Normal"/>
    <w:rsid w:val="0098305D"/>
    <w:pPr>
      <w:keepNext/>
      <w:keepLines/>
      <w:spacing w:before="360" w:after="80"/>
      <w:outlineLvl w:val="1"/>
    </w:pPr>
    <w:rPr>
      <w:rFonts w:ascii="Times New Roman" w:hAnsi="Times New Roman"/>
      <w:b/>
      <w:color w:val="0070C0"/>
      <w:sz w:val="24"/>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qFormat/>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97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0C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8597F"/>
    <w:rPr>
      <w:b/>
      <w:bCs/>
    </w:rPr>
  </w:style>
  <w:style w:type="character" w:customStyle="1" w:styleId="CommentSubjectChar">
    <w:name w:val="Comment Subject Char"/>
    <w:basedOn w:val="CommentTextChar"/>
    <w:link w:val="CommentSubject"/>
    <w:uiPriority w:val="99"/>
    <w:semiHidden/>
    <w:rsid w:val="0048597F"/>
    <w:rPr>
      <w:b/>
      <w:bCs/>
      <w:sz w:val="20"/>
      <w:szCs w:val="20"/>
    </w:rPr>
  </w:style>
  <w:style w:type="paragraph" w:styleId="NormalWeb">
    <w:name w:val="Normal (Web)"/>
    <w:basedOn w:val="Normal"/>
    <w:uiPriority w:val="99"/>
    <w:semiHidden/>
    <w:unhideWhenUsed/>
    <w:rsid w:val="0048597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itation">
    <w:name w:val="citation"/>
    <w:basedOn w:val="DefaultParagraphFont"/>
    <w:rsid w:val="0048597F"/>
  </w:style>
  <w:style w:type="character" w:customStyle="1" w:styleId="ref-journal">
    <w:name w:val="ref-journal"/>
    <w:basedOn w:val="DefaultParagraphFont"/>
    <w:rsid w:val="0048597F"/>
  </w:style>
  <w:style w:type="character" w:customStyle="1" w:styleId="ref-vol">
    <w:name w:val="ref-vol"/>
    <w:basedOn w:val="DefaultParagraphFont"/>
    <w:rsid w:val="0048597F"/>
  </w:style>
  <w:style w:type="character" w:styleId="Hyperlink">
    <w:name w:val="Hyperlink"/>
    <w:basedOn w:val="DefaultParagraphFont"/>
    <w:uiPriority w:val="99"/>
    <w:semiHidden/>
    <w:unhideWhenUsed/>
    <w:rsid w:val="0048597F"/>
    <w:rPr>
      <w:color w:val="0000FF"/>
      <w:u w:val="single"/>
    </w:rPr>
  </w:style>
  <w:style w:type="character" w:styleId="PlaceholderText">
    <w:name w:val="Placeholder Text"/>
    <w:basedOn w:val="DefaultParagraphFont"/>
    <w:uiPriority w:val="99"/>
    <w:semiHidden/>
    <w:rsid w:val="00927088"/>
    <w:rPr>
      <w:color w:val="808080"/>
    </w:rPr>
  </w:style>
  <w:style w:type="paragraph" w:customStyle="1" w:styleId="Default">
    <w:name w:val="Default"/>
    <w:rsid w:val="00724E19"/>
    <w:pPr>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C066DB"/>
    <w:pPr>
      <w:ind w:left="720"/>
      <w:contextualSpacing/>
    </w:pPr>
  </w:style>
  <w:style w:type="numbering" w:customStyle="1" w:styleId="Style1">
    <w:name w:val="Style1"/>
    <w:uiPriority w:val="99"/>
    <w:rsid w:val="00C066DB"/>
    <w:pPr>
      <w:numPr>
        <w:numId w:val="3"/>
      </w:numPr>
    </w:pPr>
  </w:style>
  <w:style w:type="paragraph" w:styleId="Header">
    <w:name w:val="header"/>
    <w:basedOn w:val="Normal"/>
    <w:link w:val="HeaderChar"/>
    <w:uiPriority w:val="99"/>
    <w:unhideWhenUsed/>
    <w:rsid w:val="00DE3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B21"/>
  </w:style>
  <w:style w:type="paragraph" w:styleId="Footer">
    <w:name w:val="footer"/>
    <w:basedOn w:val="Normal"/>
    <w:link w:val="FooterChar"/>
    <w:uiPriority w:val="99"/>
    <w:unhideWhenUsed/>
    <w:rsid w:val="00DE3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B21"/>
  </w:style>
  <w:style w:type="table" w:styleId="TableGrid">
    <w:name w:val="Table Grid"/>
    <w:basedOn w:val="TableNormal"/>
    <w:uiPriority w:val="39"/>
    <w:rsid w:val="00145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gnatureTable1">
    <w:name w:val="Signature Table1"/>
    <w:basedOn w:val="TableNormal"/>
    <w:next w:val="TableGrid"/>
    <w:uiPriority w:val="39"/>
    <w:rsid w:val="0085120F"/>
    <w:pPr>
      <w:spacing w:after="0" w:line="240" w:lineRule="auto"/>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14398">
      <w:bodyDiv w:val="1"/>
      <w:marLeft w:val="0"/>
      <w:marRight w:val="0"/>
      <w:marTop w:val="0"/>
      <w:marBottom w:val="0"/>
      <w:divBdr>
        <w:top w:val="none" w:sz="0" w:space="0" w:color="auto"/>
        <w:left w:val="none" w:sz="0" w:space="0" w:color="auto"/>
        <w:bottom w:val="none" w:sz="0" w:space="0" w:color="auto"/>
        <w:right w:val="none" w:sz="0" w:space="0" w:color="auto"/>
      </w:divBdr>
    </w:div>
    <w:div w:id="1052265250">
      <w:bodyDiv w:val="1"/>
      <w:marLeft w:val="0"/>
      <w:marRight w:val="0"/>
      <w:marTop w:val="0"/>
      <w:marBottom w:val="0"/>
      <w:divBdr>
        <w:top w:val="none" w:sz="0" w:space="0" w:color="auto"/>
        <w:left w:val="none" w:sz="0" w:space="0" w:color="auto"/>
        <w:bottom w:val="none" w:sz="0" w:space="0" w:color="auto"/>
        <w:right w:val="none" w:sz="0" w:space="0" w:color="auto"/>
      </w:divBdr>
    </w:div>
    <w:div w:id="1309433653">
      <w:bodyDiv w:val="1"/>
      <w:marLeft w:val="0"/>
      <w:marRight w:val="0"/>
      <w:marTop w:val="0"/>
      <w:marBottom w:val="0"/>
      <w:divBdr>
        <w:top w:val="none" w:sz="0" w:space="0" w:color="auto"/>
        <w:left w:val="none" w:sz="0" w:space="0" w:color="auto"/>
        <w:bottom w:val="none" w:sz="0" w:space="0" w:color="auto"/>
        <w:right w:val="none" w:sz="0" w:space="0" w:color="auto"/>
      </w:divBdr>
    </w:div>
    <w:div w:id="1979993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8C34A-DF42-4CFA-9061-6D34062E8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4914</Words>
  <Characters>28016</Characters>
  <Application>Microsoft Office Word</Application>
  <DocSecurity>2</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Panger, Melissa</dc:creator>
  <cp:lastModifiedBy>Riley, Elizabeth</cp:lastModifiedBy>
  <cp:revision>3</cp:revision>
  <dcterms:created xsi:type="dcterms:W3CDTF">2016-03-09T18:27:00Z</dcterms:created>
  <dcterms:modified xsi:type="dcterms:W3CDTF">2016-03-24T16:51:00Z</dcterms:modified>
</cp:coreProperties>
</file>