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9802" w14:textId="73AF5810" w:rsidR="00CC664F" w:rsidRDefault="00A0790B" w:rsidP="00CC664F">
      <w:pPr>
        <w:rPr>
          <w:b/>
          <w:color w:val="4472C4" w:themeColor="accent5"/>
          <w:sz w:val="32"/>
          <w:szCs w:val="32"/>
        </w:rPr>
      </w:pPr>
      <w:r>
        <w:rPr>
          <w:b/>
          <w:color w:val="4472C4" w:themeColor="accent5"/>
          <w:sz w:val="32"/>
          <w:szCs w:val="32"/>
        </w:rPr>
        <w:t>Glyphosate</w:t>
      </w:r>
      <w:r w:rsidR="00CC664F" w:rsidRPr="00D279F4">
        <w:rPr>
          <w:b/>
          <w:color w:val="4472C4" w:themeColor="accent5"/>
          <w:sz w:val="32"/>
          <w:szCs w:val="32"/>
        </w:rPr>
        <w:t xml:space="preserve"> Executive Summary for </w:t>
      </w:r>
      <w:r w:rsidR="00F41F3A">
        <w:rPr>
          <w:b/>
          <w:color w:val="4472C4" w:themeColor="accent5"/>
          <w:sz w:val="32"/>
          <w:szCs w:val="32"/>
        </w:rPr>
        <w:t xml:space="preserve">Draft </w:t>
      </w:r>
      <w:r w:rsidR="00B01EBB">
        <w:rPr>
          <w:b/>
          <w:color w:val="4472C4" w:themeColor="accent5"/>
          <w:sz w:val="32"/>
          <w:szCs w:val="32"/>
        </w:rPr>
        <w:t>Biological Evaluation</w:t>
      </w:r>
    </w:p>
    <w:p w14:paraId="7768384A" w14:textId="77777777" w:rsidR="00330467" w:rsidRDefault="00330467"/>
    <w:p w14:paraId="400042D2" w14:textId="2EFF4254" w:rsidR="008322C6" w:rsidRDefault="00330467" w:rsidP="575D139D">
      <w:r>
        <w:t>T</w:t>
      </w:r>
      <w:r w:rsidRPr="00330467">
        <w:t xml:space="preserve">his </w:t>
      </w:r>
      <w:r w:rsidR="005B5236">
        <w:t xml:space="preserve">Biological Evaluation </w:t>
      </w:r>
      <w:r w:rsidR="000F2DC8">
        <w:t xml:space="preserve">(BE) </w:t>
      </w:r>
      <w:r w:rsidR="005B5236">
        <w:t>assesses</w:t>
      </w:r>
      <w:r w:rsidRPr="00330467">
        <w:t xml:space="preserve"> </w:t>
      </w:r>
      <w:r w:rsidR="008322C6">
        <w:t>potential risks that</w:t>
      </w:r>
      <w:r w:rsidR="008322C6" w:rsidRPr="00330467">
        <w:t xml:space="preserve"> </w:t>
      </w:r>
      <w:r w:rsidRPr="00330467">
        <w:t xml:space="preserve">registered uses of </w:t>
      </w:r>
      <w:r w:rsidR="00A0790B">
        <w:t>glyphosate</w:t>
      </w:r>
      <w:r w:rsidR="00DF03C3">
        <w:t xml:space="preserve"> (</w:t>
      </w:r>
      <w:r w:rsidR="00A0790B" w:rsidRPr="00FC2D3C">
        <w:t>PC Codes: 417300, 103601, 103604, 103607, 103608, 103613, 103605</w:t>
      </w:r>
      <w:r w:rsidRPr="00A02B04">
        <w:t xml:space="preserve">) </w:t>
      </w:r>
      <w:r w:rsidR="0026396F" w:rsidRPr="00A02B04">
        <w:t xml:space="preserve">may </w:t>
      </w:r>
      <w:r w:rsidR="008322C6" w:rsidRPr="00A02B04">
        <w:t>pose</w:t>
      </w:r>
      <w:r w:rsidR="000F2DC8" w:rsidRPr="00A02B04">
        <w:t xml:space="preserve"> </w:t>
      </w:r>
      <w:r w:rsidRPr="00A02B04">
        <w:t xml:space="preserve">to </w:t>
      </w:r>
      <w:r w:rsidR="000F2DC8" w:rsidRPr="00A02B04">
        <w:t xml:space="preserve">an individual of a </w:t>
      </w:r>
      <w:r w:rsidR="00FF367E" w:rsidRPr="00A02B04">
        <w:t xml:space="preserve">listed </w:t>
      </w:r>
      <w:r w:rsidRPr="00A02B04">
        <w:t>species or designated critical habitat</w:t>
      </w:r>
      <w:r w:rsidR="007166BF" w:rsidRPr="00A02B04">
        <w:t xml:space="preserve">. </w:t>
      </w:r>
      <w:r w:rsidR="0082687E" w:rsidRPr="00A02B04">
        <w:t xml:space="preserve">The federal action </w:t>
      </w:r>
      <w:r w:rsidR="0026396F" w:rsidRPr="00A02B04">
        <w:t>considere</w:t>
      </w:r>
      <w:r w:rsidR="0026396F">
        <w:t>d in this BE is the</w:t>
      </w:r>
      <w:r w:rsidR="0082687E">
        <w:t xml:space="preserve"> Registration Review for </w:t>
      </w:r>
      <w:r w:rsidR="00A0790B">
        <w:t>glyphosate</w:t>
      </w:r>
      <w:r w:rsidR="0026396F">
        <w:t>, which</w:t>
      </w:r>
      <w:r w:rsidR="0082687E">
        <w:t xml:space="preserve"> </w:t>
      </w:r>
      <w:r w:rsidR="0082687E" w:rsidRPr="001561C2">
        <w:t xml:space="preserve">encompasses the </w:t>
      </w:r>
      <w:r w:rsidR="0082687E">
        <w:t xml:space="preserve">review of all the </w:t>
      </w:r>
      <w:r w:rsidR="0082687E" w:rsidRPr="001561C2">
        <w:t>regist</w:t>
      </w:r>
      <w:r w:rsidR="0082687E">
        <w:t>ered</w:t>
      </w:r>
      <w:r w:rsidR="0082687E" w:rsidRPr="001561C2">
        <w:t xml:space="preserve"> uses</w:t>
      </w:r>
      <w:r w:rsidR="0082687E">
        <w:t xml:space="preserve">, and the approved </w:t>
      </w:r>
      <w:r w:rsidR="0082687E" w:rsidRPr="001561C2">
        <w:t>product labels</w:t>
      </w:r>
      <w:r w:rsidR="0082687E">
        <w:t xml:space="preserve"> for </w:t>
      </w:r>
      <w:r w:rsidR="0082687E" w:rsidRPr="001561C2">
        <w:t xml:space="preserve">all pesticide products containing </w:t>
      </w:r>
      <w:r w:rsidR="00A0790B">
        <w:t>glyphosate</w:t>
      </w:r>
      <w:r w:rsidR="0082687E" w:rsidRPr="001561C2">
        <w:t>.</w:t>
      </w:r>
    </w:p>
    <w:p w14:paraId="3CE683EE" w14:textId="77777777" w:rsidR="008322C6" w:rsidRDefault="008322C6" w:rsidP="575D139D"/>
    <w:p w14:paraId="557F5699" w14:textId="1844CDF3" w:rsidR="00EB33B0" w:rsidRDefault="000707E4" w:rsidP="575D139D">
      <w:pPr>
        <w:rPr>
          <w:rStyle w:val="eop"/>
        </w:rPr>
      </w:pPr>
      <w:r>
        <w:rPr>
          <w:rStyle w:val="eop"/>
        </w:rPr>
        <w:t>The term “l</w:t>
      </w:r>
      <w:r w:rsidR="00FF367E" w:rsidRPr="575D139D">
        <w:rPr>
          <w:rStyle w:val="eop"/>
        </w:rPr>
        <w:t>isted species</w:t>
      </w:r>
      <w:r>
        <w:rPr>
          <w:rStyle w:val="eop"/>
        </w:rPr>
        <w:t>”</w:t>
      </w:r>
      <w:r w:rsidR="00FF367E" w:rsidRPr="575D139D">
        <w:rPr>
          <w:rStyle w:val="eop"/>
        </w:rPr>
        <w:t xml:space="preserve"> include</w:t>
      </w:r>
      <w:r>
        <w:rPr>
          <w:rStyle w:val="eop"/>
        </w:rPr>
        <w:t>s</w:t>
      </w:r>
      <w:r w:rsidR="00FF367E" w:rsidRPr="575D139D">
        <w:rPr>
          <w:rStyle w:val="eop"/>
        </w:rPr>
        <w:t xml:space="preserve"> those that are federally listed as endangered and threatened, as well as those that are proposed and candidates for listing and experimental populations. </w:t>
      </w:r>
      <w:r w:rsidR="00EB33B0" w:rsidRPr="575D139D">
        <w:t xml:space="preserve">The methods employed in this BE follow the </w:t>
      </w:r>
      <w:r w:rsidR="00EB33B0" w:rsidRPr="575D139D">
        <w:rPr>
          <w:rStyle w:val="normaltextrun"/>
        </w:rPr>
        <w:t>Revised Method</w:t>
      </w:r>
      <w:r w:rsidR="00EB33B0" w:rsidRPr="575D139D">
        <w:rPr>
          <w:rStyle w:val="eop"/>
        </w:rPr>
        <w:t> </w:t>
      </w:r>
      <w:r w:rsidR="00EB33B0" w:rsidRPr="575D139D">
        <w:rPr>
          <w:rStyle w:val="normaltextrun"/>
        </w:rPr>
        <w:t>for National Level Listed Species Biological Evaluations of Conventional Pesticides</w:t>
      </w:r>
      <w:r w:rsidR="00EB33B0" w:rsidRPr="575D139D">
        <w:rPr>
          <w:rStyle w:val="eop"/>
        </w:rPr>
        <w:t> (referred to as the “Revised Method”)</w:t>
      </w:r>
      <w:r w:rsidR="00EB33B0" w:rsidRPr="575D139D">
        <w:rPr>
          <w:rStyle w:val="FootnoteReference"/>
        </w:rPr>
        <w:footnoteReference w:id="2"/>
      </w:r>
      <w:r w:rsidR="00EB33B0" w:rsidRPr="575D139D">
        <w:rPr>
          <w:rStyle w:val="eop"/>
        </w:rPr>
        <w:t>.</w:t>
      </w:r>
      <w:r w:rsidR="00EB33B0" w:rsidRPr="00EB33B0">
        <w:t xml:space="preserve"> </w:t>
      </w:r>
      <w:r w:rsidR="00EB33B0">
        <w:t xml:space="preserve">The </w:t>
      </w:r>
      <w:r w:rsidR="0026396F">
        <w:t>R</w:t>
      </w:r>
      <w:r w:rsidR="00EB33B0">
        <w:t xml:space="preserve">evised </w:t>
      </w:r>
      <w:r w:rsidR="0026396F">
        <w:t>M</w:t>
      </w:r>
      <w:r w:rsidR="00EB33B0">
        <w:t xml:space="preserve">ethod incorporates </w:t>
      </w:r>
      <w:r w:rsidR="009D27B5">
        <w:t xml:space="preserve">input </w:t>
      </w:r>
      <w:r w:rsidR="00EB33B0">
        <w:t>from the public, US Fish and Wildlife Service</w:t>
      </w:r>
      <w:r w:rsidR="00A70773">
        <w:t xml:space="preserve"> (FWS)</w:t>
      </w:r>
      <w:r w:rsidR="00EB33B0">
        <w:t xml:space="preserve">, National Marine Fisheries Service </w:t>
      </w:r>
      <w:r w:rsidR="00A70773">
        <w:t xml:space="preserve">(NMFS) </w:t>
      </w:r>
      <w:r w:rsidR="00EB33B0">
        <w:t>and US Department of Agriculture</w:t>
      </w:r>
      <w:r w:rsidR="00A70773">
        <w:t xml:space="preserve"> (USDA)</w:t>
      </w:r>
      <w:r w:rsidR="00EB33B0">
        <w:t>.</w:t>
      </w:r>
    </w:p>
    <w:p w14:paraId="00F34A55" w14:textId="4BB9BE6C" w:rsidR="00CD3692" w:rsidRDefault="00CD3692" w:rsidP="00CD3692"/>
    <w:p w14:paraId="7550FD08" w14:textId="1EE1FC40" w:rsidR="007505C3" w:rsidRDefault="0082687E" w:rsidP="00CE1C66">
      <w:pPr>
        <w:rPr>
          <w:rFonts w:eastAsiaTheme="minorEastAsia"/>
        </w:rPr>
      </w:pPr>
      <w:r w:rsidRPr="001561C2">
        <w:rPr>
          <w:rStyle w:val="eop"/>
          <w:rFonts w:cstheme="minorHAnsi"/>
        </w:rPr>
        <w:t xml:space="preserve">As described in the </w:t>
      </w:r>
      <w:r>
        <w:rPr>
          <w:rStyle w:val="eop"/>
          <w:rFonts w:cstheme="minorHAnsi"/>
        </w:rPr>
        <w:t>R</w:t>
      </w:r>
      <w:r w:rsidRPr="001561C2">
        <w:rPr>
          <w:rStyle w:val="eop"/>
          <w:rFonts w:cstheme="minorHAnsi"/>
        </w:rPr>
        <w:t xml:space="preserve">evised </w:t>
      </w:r>
      <w:r>
        <w:rPr>
          <w:rStyle w:val="eop"/>
          <w:rFonts w:cstheme="minorHAnsi"/>
        </w:rPr>
        <w:t>M</w:t>
      </w:r>
      <w:r w:rsidRPr="001561C2">
        <w:rPr>
          <w:rStyle w:val="eop"/>
          <w:rFonts w:cstheme="minorHAnsi"/>
        </w:rPr>
        <w:t xml:space="preserve">ethod, </w:t>
      </w:r>
      <w:r w:rsidR="009174AE">
        <w:rPr>
          <w:rStyle w:val="eop"/>
          <w:rFonts w:cstheme="minorHAnsi"/>
        </w:rPr>
        <w:t xml:space="preserve">EPA’s development of this </w:t>
      </w:r>
      <w:r w:rsidR="0026396F">
        <w:rPr>
          <w:rStyle w:val="eop"/>
          <w:rFonts w:cstheme="minorHAnsi"/>
        </w:rPr>
        <w:t>BE includes two steps.</w:t>
      </w:r>
      <w:r w:rsidRPr="001561C2">
        <w:rPr>
          <w:rStyle w:val="eop"/>
          <w:rFonts w:cstheme="minorHAnsi"/>
        </w:rPr>
        <w:t xml:space="preserve"> </w:t>
      </w:r>
      <w:r w:rsidR="0026396F">
        <w:rPr>
          <w:rStyle w:val="eop"/>
          <w:rFonts w:cstheme="minorHAnsi"/>
        </w:rPr>
        <w:t>The BE includes an evaluation of</w:t>
      </w:r>
      <w:r w:rsidRPr="001561C2">
        <w:rPr>
          <w:rFonts w:eastAsiaTheme="minorEastAsia"/>
        </w:rPr>
        <w:t xml:space="preserve"> whether an individual of a listed species is reasonably expected to be exposed to a pesticide</w:t>
      </w:r>
      <w:r w:rsidR="009174AE">
        <w:rPr>
          <w:rFonts w:eastAsiaTheme="minorEastAsia"/>
        </w:rPr>
        <w:t xml:space="preserve"> at a level that results in a discernable effect</w:t>
      </w:r>
      <w:r w:rsidRPr="001561C2">
        <w:rPr>
          <w:rFonts w:eastAsiaTheme="minorEastAsia"/>
        </w:rPr>
        <w:t xml:space="preserv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A0790B">
        <w:rPr>
          <w:rFonts w:eastAsiaTheme="minorEastAsia"/>
        </w:rPr>
        <w:t>glyphosate</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w:t>
      </w:r>
      <w:r w:rsidR="0026396F">
        <w:rPr>
          <w:rFonts w:eastAsiaTheme="minorEastAsia"/>
        </w:rPr>
        <w:t>F</w:t>
      </w:r>
      <w:r w:rsidRPr="001561C2">
        <w:rPr>
          <w:rFonts w:eastAsiaTheme="minorEastAsia"/>
        </w:rPr>
        <w:t xml:space="preserve">or those species and critical habitats with MA determinations, </w:t>
      </w:r>
      <w:r w:rsidR="0026396F">
        <w:rPr>
          <w:rFonts w:eastAsiaTheme="minorEastAsia"/>
        </w:rPr>
        <w:t xml:space="preserve">in Step 2, </w:t>
      </w:r>
      <w:r w:rsidRPr="001561C2">
        <w:rPr>
          <w:rFonts w:eastAsiaTheme="minorEastAsia"/>
        </w:rPr>
        <w:t xml:space="preserve">EPA will determine if </w:t>
      </w:r>
      <w:r w:rsidR="00A0790B">
        <w:rPr>
          <w:rFonts w:eastAsiaTheme="minorEastAsia"/>
        </w:rPr>
        <w:t>glyphosate</w:t>
      </w:r>
      <w:r w:rsidRPr="001561C2">
        <w:rPr>
          <w:rFonts w:eastAsiaTheme="minorEastAsia"/>
        </w:rPr>
        <w:t xml:space="preserve"> is Not Likely to Adversely Affect (NLAA) or Likely to Adversely Affect (LAA) each individual species or critical habitat. 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sidR="0026396F">
        <w:rPr>
          <w:rFonts w:eastAsiaTheme="minorEastAsia"/>
        </w:rPr>
        <w:t xml:space="preserve"> document</w:t>
      </w:r>
      <w:r w:rsidRPr="001561C2">
        <w:rPr>
          <w:rFonts w:eastAsiaTheme="minorEastAsia"/>
        </w:rPr>
        <w:t>.</w:t>
      </w:r>
    </w:p>
    <w:p w14:paraId="5E96EBC7" w14:textId="77777777" w:rsidR="00445B71" w:rsidRDefault="00445B71" w:rsidP="00CE1C66">
      <w:pPr>
        <w:rPr>
          <w:rFonts w:eastAsiaTheme="minorEastAsia"/>
        </w:rPr>
      </w:pPr>
    </w:p>
    <w:p w14:paraId="52A4FB41" w14:textId="77777777" w:rsidR="00C76A8B" w:rsidRDefault="00C76A8B" w:rsidP="00CE1C66"/>
    <w:p w14:paraId="008EC454" w14:textId="1B76560B" w:rsidR="000470DD" w:rsidRPr="00D15DE7" w:rsidRDefault="00641ABE" w:rsidP="0045224D">
      <w:pPr>
        <w:pStyle w:val="Heading1"/>
      </w:pPr>
      <w:r w:rsidRPr="00E06F80">
        <w:t>General Information</w:t>
      </w:r>
    </w:p>
    <w:p w14:paraId="2486265E" w14:textId="77777777" w:rsidR="00D15DE7" w:rsidRDefault="00D15DE7" w:rsidP="0045224D">
      <w:pPr>
        <w:rPr>
          <w:rFonts w:cstheme="minorHAnsi"/>
        </w:rPr>
      </w:pPr>
    </w:p>
    <w:p w14:paraId="050DD26A" w14:textId="290ACE1F" w:rsidR="00F97DA2" w:rsidRPr="004F5B7D" w:rsidRDefault="00A0790B" w:rsidP="78A3B47B">
      <w:r w:rsidRPr="78A3B47B">
        <w:t>Glyphosate</w:t>
      </w:r>
      <w:r w:rsidR="00A02B04" w:rsidRPr="78A3B47B">
        <w:t xml:space="preserve"> is </w:t>
      </w:r>
      <w:r w:rsidR="009D0AE4" w:rsidRPr="78A3B47B">
        <w:t xml:space="preserve">one of </w:t>
      </w:r>
      <w:r w:rsidR="00A02B04" w:rsidRPr="00F3442C">
        <w:t>the most widely</w:t>
      </w:r>
      <w:r w:rsidR="00A02B04">
        <w:t xml:space="preserve"> used herbicide</w:t>
      </w:r>
      <w:r w:rsidR="009D0AE4">
        <w:t>s</w:t>
      </w:r>
      <w:r w:rsidR="00A02B04">
        <w:t xml:space="preserve"> in North America</w:t>
      </w:r>
      <w:r w:rsidR="00A02B04" w:rsidRPr="78A3B47B">
        <w:t>.</w:t>
      </w:r>
      <w:r w:rsidR="002E4092" w:rsidRPr="78A3B47B">
        <w:rPr>
          <w:lang w:val="en-CA"/>
        </w:rPr>
        <w:t xml:space="preserve"> Glyphosate belongs</w:t>
      </w:r>
      <w:r w:rsidR="002E4092">
        <w:t xml:space="preserve"> to the phosphono amino acid class of herbicides and is a foliar, non-selective, systemic herbicide widely used to control weeds in agricultural crops and non-agricultural sites. </w:t>
      </w:r>
      <w:r w:rsidR="004F5B7D">
        <w:t xml:space="preserve">Glyphosate inhibits an enzyme on the shikimate pathway that is essential for the biosynthesis of some aromatic amino acids in algae, higher plants, bacteria and fungi. Inhibition of this enzyme leads to cell death. </w:t>
      </w:r>
      <w:r w:rsidR="009D0AE4">
        <w:t>Glyphosate is used on a wide variety of agricultural food and feed crops, non-food/feed crops, for plantation/silviculture uses, and for nursery/greenhouse use.  Important non-agricultural uses include applications for noxious and invasive weed control in aquatic systems, pastures/rangelands, public lands, forestry, and rights-of-way applications. Glyphosate is also used for general weed</w:t>
      </w:r>
      <w:r w:rsidR="009D0AE4" w:rsidRPr="78A3B47B">
        <w:rPr>
          <w:rFonts w:eastAsia="Times New Roman"/>
        </w:rPr>
        <w:t xml:space="preserve"> </w:t>
      </w:r>
      <w:r w:rsidR="009D0AE4">
        <w:t>control or for lawn replacement/renovation in commercial, industrial, and residential areas (by homeowners, landscaping operators, etc.)</w:t>
      </w:r>
      <w:r w:rsidR="008079BF">
        <w:t xml:space="preserve">. </w:t>
      </w:r>
      <w:r w:rsidR="004F5B7D" w:rsidRPr="446212B1">
        <w:rPr>
          <w:rFonts w:ascii="Calibri" w:eastAsia="Calibri" w:hAnsi="Calibri" w:cs="Calibri"/>
          <w:color w:val="000000"/>
          <w:lang w:val="en-CA"/>
        </w:rPr>
        <w:fldChar w:fldCharType="begin"/>
      </w:r>
      <w:r w:rsidR="004F5B7D" w:rsidRPr="446212B1">
        <w:rPr>
          <w:lang w:val="en-CA"/>
        </w:rPr>
        <w:instrText xml:space="preserve"> SEQ CHAPTER \h \r 1</w:instrText>
      </w:r>
      <w:r w:rsidR="004F5B7D" w:rsidRPr="446212B1">
        <w:rPr>
          <w:rFonts w:ascii="Calibri" w:eastAsia="Calibri" w:hAnsi="Calibri" w:cs="Calibri"/>
          <w:color w:val="000000"/>
          <w:lang w:val="en-CA"/>
        </w:rPr>
        <w:fldChar w:fldCharType="end"/>
      </w:r>
    </w:p>
    <w:p w14:paraId="0CB636CD" w14:textId="77777777" w:rsidR="00F97DA2" w:rsidRDefault="00F97DA2" w:rsidP="78A3B47B"/>
    <w:p w14:paraId="21882C27" w14:textId="2A58C175" w:rsidR="00F97DA2" w:rsidRDefault="779B53C2" w:rsidP="78A3B47B">
      <w:pPr>
        <w:rPr>
          <w:highlight w:val="yellow"/>
        </w:rPr>
      </w:pPr>
      <w:r w:rsidRPr="78A3B47B">
        <w:rPr>
          <w:rFonts w:ascii="Calibri" w:eastAsia="Calibri" w:hAnsi="Calibri" w:cs="Calibri"/>
        </w:rPr>
        <w:t xml:space="preserve">This BE </w:t>
      </w:r>
      <w:proofErr w:type="gramStart"/>
      <w:r w:rsidRPr="78A3B47B">
        <w:rPr>
          <w:rFonts w:ascii="Calibri" w:eastAsia="Calibri" w:hAnsi="Calibri" w:cs="Calibri"/>
        </w:rPr>
        <w:t>assesses</w:t>
      </w:r>
      <w:proofErr w:type="gramEnd"/>
      <w:r w:rsidRPr="78A3B47B">
        <w:rPr>
          <w:rFonts w:ascii="Calibri" w:eastAsia="Calibri" w:hAnsi="Calibri" w:cs="Calibri"/>
        </w:rPr>
        <w:t xml:space="preserve"> all currently registered labels. The label data used in this assessment were derived from the label/use information compiled by the Joint Glyphosate Task Force (JGTF) and submitted to the Agency to provide further clarification on the label use patterns. </w:t>
      </w:r>
      <w:r w:rsidRPr="00D50421">
        <w:rPr>
          <w:rFonts w:ascii="Calibri" w:eastAsia="Calibri" w:hAnsi="Calibri" w:cs="Calibri"/>
          <w:b/>
          <w:bCs/>
        </w:rPr>
        <w:t>APPENDIX 1-2</w:t>
      </w:r>
      <w:r w:rsidRPr="78A3B47B">
        <w:rPr>
          <w:rFonts w:ascii="Calibri" w:eastAsia="Calibri" w:hAnsi="Calibri" w:cs="Calibri"/>
        </w:rPr>
        <w:t xml:space="preserve"> provides the use </w:t>
      </w:r>
      <w:r w:rsidRPr="78A3B47B">
        <w:rPr>
          <w:rFonts w:ascii="Calibri" w:eastAsia="Calibri" w:hAnsi="Calibri" w:cs="Calibri"/>
        </w:rPr>
        <w:lastRenderedPageBreak/>
        <w:t>information as further</w:t>
      </w:r>
      <w:r w:rsidRPr="00D50421">
        <w:rPr>
          <w:rFonts w:ascii="Calibri" w:eastAsia="Calibri" w:hAnsi="Calibri" w:cs="Calibri"/>
        </w:rPr>
        <w:t xml:space="preserve"> refined b</w:t>
      </w:r>
      <w:r w:rsidRPr="78A3B47B">
        <w:rPr>
          <w:rFonts w:ascii="Calibri" w:eastAsia="Calibri" w:hAnsi="Calibri" w:cs="Calibri"/>
        </w:rPr>
        <w:t>y EPA, summarizing details relevant for modeling the maximum use patterns.</w:t>
      </w:r>
      <w:r w:rsidRPr="00D50421">
        <w:rPr>
          <w:rFonts w:ascii="Calibri" w:eastAsia="Calibri" w:hAnsi="Calibri" w:cs="Calibri"/>
          <w:b/>
          <w:bCs/>
        </w:rPr>
        <w:t xml:space="preserve"> APPENDICES 1-2</w:t>
      </w:r>
      <w:r w:rsidRPr="78A3B47B">
        <w:rPr>
          <w:rFonts w:ascii="Calibri" w:eastAsia="Calibri" w:hAnsi="Calibri" w:cs="Calibri"/>
        </w:rPr>
        <w:t xml:space="preserve"> and </w:t>
      </w:r>
      <w:r w:rsidRPr="00D50421">
        <w:rPr>
          <w:rFonts w:ascii="Calibri" w:eastAsia="Calibri" w:hAnsi="Calibri" w:cs="Calibri"/>
          <w:b/>
          <w:bCs/>
        </w:rPr>
        <w:t>3-1</w:t>
      </w:r>
      <w:r w:rsidRPr="78A3B47B">
        <w:rPr>
          <w:rFonts w:ascii="Calibri" w:eastAsia="Calibri" w:hAnsi="Calibri" w:cs="Calibri"/>
        </w:rPr>
        <w:t xml:space="preserve"> provide additional details on how these uses were modeled.</w:t>
      </w:r>
    </w:p>
    <w:p w14:paraId="4384A2D4" w14:textId="63ADAE67" w:rsidR="00F97DA2" w:rsidRDefault="00F97DA2" w:rsidP="78A3B47B"/>
    <w:p w14:paraId="7F5FC229" w14:textId="21F62730" w:rsidR="00F97DA2" w:rsidRDefault="00460F1E" w:rsidP="78A3B47B">
      <w:pPr>
        <w:rPr>
          <w:highlight w:val="yellow"/>
        </w:rPr>
      </w:pPr>
      <w:r>
        <w:t>Glyphosate is formulated as water-dispersible granules (WG) (80% active ingredient), emulsifiable concentrate (EC) (13.4% - 36.5% active ingredient), water-dispersible liquids (L) (5% - 14.6% active ingredient), ready to use (RTU) (0.81% active ingredient), and soluble concentrate/solid (SC/S) (95.2% - 96.7% active ingredient). Application equipment includes aircraft and various ground equipment. Application is via band treatment, broadcast, crack and crevice treatment, directed spray, edging treatment, ground spray, high volume spray (dilute), low volume spray (concentrate), perimeter treatment, soil broadcast treatment, spot treatment, spray, strip treatment, stump treatment, and wipe-on/wiper treatment. Single application rates are up to 8 pounds active ingredient (as acid equivalents)/acre (</w:t>
      </w:r>
      <w:proofErr w:type="spellStart"/>
      <w:r>
        <w:t>lb</w:t>
      </w:r>
      <w:proofErr w:type="spellEnd"/>
      <w:r>
        <w:t xml:space="preserve"> </w:t>
      </w:r>
      <w:proofErr w:type="spellStart"/>
      <w:r>
        <w:t>a.e.</w:t>
      </w:r>
      <w:proofErr w:type="spellEnd"/>
      <w:r>
        <w:t xml:space="preserve">/A) but are generally 1.55 </w:t>
      </w:r>
      <w:proofErr w:type="spellStart"/>
      <w:r>
        <w:t>lb</w:t>
      </w:r>
      <w:proofErr w:type="spellEnd"/>
      <w:r>
        <w:t xml:space="preserve"> </w:t>
      </w:r>
      <w:proofErr w:type="spellStart"/>
      <w:r>
        <w:t>a.e.</w:t>
      </w:r>
      <w:proofErr w:type="spellEnd"/>
      <w:r>
        <w:t xml:space="preserve">/A for aerial applications and 3.75 </w:t>
      </w:r>
      <w:proofErr w:type="spellStart"/>
      <w:r>
        <w:t>lb</w:t>
      </w:r>
      <w:proofErr w:type="spellEnd"/>
      <w:r>
        <w:t xml:space="preserve"> </w:t>
      </w:r>
      <w:proofErr w:type="spellStart"/>
      <w:r>
        <w:t>a.e.</w:t>
      </w:r>
      <w:proofErr w:type="spellEnd"/>
      <w:r>
        <w:t xml:space="preserve">/A for ground application. Maximum combined annual application rates are up to generally 6 to 8 </w:t>
      </w:r>
      <w:proofErr w:type="spellStart"/>
      <w:r>
        <w:t>lbs</w:t>
      </w:r>
      <w:proofErr w:type="spellEnd"/>
      <w:r>
        <w:t xml:space="preserve"> </w:t>
      </w:r>
      <w:proofErr w:type="spellStart"/>
      <w:r>
        <w:t>a.e.</w:t>
      </w:r>
      <w:proofErr w:type="spellEnd"/>
      <w:r>
        <w:t xml:space="preserve">/A. For some non-agricultural uses, the single application rates were calculated at rates up to 40 </w:t>
      </w:r>
      <w:proofErr w:type="spellStart"/>
      <w:r>
        <w:t>lbs</w:t>
      </w:r>
      <w:proofErr w:type="spellEnd"/>
      <w:r>
        <w:t xml:space="preserve"> </w:t>
      </w:r>
      <w:proofErr w:type="spellStart"/>
      <w:r>
        <w:t>a.e.</w:t>
      </w:r>
      <w:proofErr w:type="spellEnd"/>
      <w:r>
        <w:t xml:space="preserve">/A. These higher rates of 40 </w:t>
      </w:r>
      <w:proofErr w:type="spellStart"/>
      <w:r>
        <w:t>lbs</w:t>
      </w:r>
      <w:proofErr w:type="spellEnd"/>
      <w:r>
        <w:t xml:space="preserve"> </w:t>
      </w:r>
      <w:proofErr w:type="spellStart"/>
      <w:r>
        <w:t>a.e.</w:t>
      </w:r>
      <w:proofErr w:type="spellEnd"/>
      <w:r>
        <w:t>/A are calculated by extrapolating up from a smaller area as is expressed on the label (</w:t>
      </w:r>
      <w:r w:rsidRPr="78A3B47B">
        <w:rPr>
          <w:i/>
          <w:iCs/>
        </w:rPr>
        <w:t xml:space="preserve">e.g., </w:t>
      </w:r>
      <w:r>
        <w:t xml:space="preserve">rate expressed per 150 sq. feet instead of per acre). These rates are interpreted to be relevant for a wide variety of non-crop areas where total vegetation control is desired.  In the absence of a pound </w:t>
      </w:r>
      <w:proofErr w:type="spellStart"/>
      <w:r>
        <w:t>a.e</w:t>
      </w:r>
      <w:proofErr w:type="spellEnd"/>
      <w:r>
        <w:t xml:space="preserve">/acre rate, these calculated rates were selected for modelling and it is noted that this is an area that may lead to refinement should the labels be revised in the future. </w:t>
      </w:r>
    </w:p>
    <w:p w14:paraId="4AB690B8" w14:textId="28F7474A" w:rsidR="78A3B47B" w:rsidRDefault="78A3B47B"/>
    <w:p w14:paraId="03444C95" w14:textId="61C2F0B6" w:rsidR="0061209B" w:rsidRPr="00F3442C" w:rsidRDefault="00F97DA2" w:rsidP="0045224D">
      <w:r>
        <w:t>Between 2013 and 2018, the national annual total agricultural usage averaged approximately 280 million pounds of glyphosate whereas the average total treated acreage was 285 million. During this time frame, the crops with the most usage in terms of annual average total pounds of active ingredient applied were soybeans (114 million lbs), corn (90 million lbs), and cotton (20 million lbs). The crops with the most usage in terms of total treated acreage were the same with 114, 93 and 19 million acres treated for soybeans, corn and cotton, respectively</w:t>
      </w:r>
      <w:r w:rsidR="00466923">
        <w:t xml:space="preserve">. </w:t>
      </w:r>
      <w:r w:rsidR="00FD352D">
        <w:rPr>
          <w:rStyle w:val="normaltextrun"/>
          <w:rFonts w:ascii="Calibri" w:hAnsi="Calibri" w:cs="Calibri"/>
          <w:color w:val="000000"/>
          <w:bdr w:val="none" w:sz="0" w:space="0" w:color="auto" w:frame="1"/>
        </w:rPr>
        <w:t>Over 21 million pounds of glyphosate are applied to non-agricultural sites annually</w:t>
      </w:r>
      <w:r w:rsidR="00D21938">
        <w:rPr>
          <w:rStyle w:val="normaltextrun"/>
          <w:rFonts w:ascii="Calibri" w:hAnsi="Calibri" w:cs="Calibri"/>
          <w:color w:val="000000"/>
          <w:bdr w:val="none" w:sz="0" w:space="0" w:color="auto" w:frame="1"/>
        </w:rPr>
        <w:t xml:space="preserve"> </w:t>
      </w:r>
      <w:r w:rsidRPr="00F3442C">
        <w:t>(</w:t>
      </w:r>
      <w:r w:rsidRPr="00F3442C">
        <w:rPr>
          <w:b/>
          <w:bCs/>
        </w:rPr>
        <w:t>APPENDIX 1-4</w:t>
      </w:r>
      <w:r w:rsidRPr="00F3442C">
        <w:t xml:space="preserve">). </w:t>
      </w:r>
    </w:p>
    <w:p w14:paraId="3423110B" w14:textId="77777777" w:rsidR="00C2703F" w:rsidRDefault="00C2703F" w:rsidP="00C2703F">
      <w:pPr>
        <w:pStyle w:val="NoSpacing"/>
      </w:pPr>
    </w:p>
    <w:p w14:paraId="0743EB19" w14:textId="1B67FE49" w:rsidR="00C157C7" w:rsidRDefault="000470DD" w:rsidP="00C2703F">
      <w:r w:rsidRPr="00D64951">
        <w:t xml:space="preserve">The major transport routes off the treated area for </w:t>
      </w:r>
      <w:r>
        <w:t>glyphosate</w:t>
      </w:r>
      <w:r w:rsidRPr="00D64951">
        <w:t xml:space="preserve"> include runoff and spray drift.</w:t>
      </w:r>
      <w:r>
        <w:t xml:space="preserve"> </w:t>
      </w:r>
      <w:r>
        <w:rPr>
          <w:rFonts w:cstheme="minorHAnsi"/>
        </w:rPr>
        <w:t>Glyphosate</w:t>
      </w:r>
      <w:r w:rsidRPr="001C0E49">
        <w:rPr>
          <w:rFonts w:cstheme="minorHAnsi"/>
        </w:rPr>
        <w:t xml:space="preserve"> has a high solubility, low octanol-water partitioning coefficient, low vapor pressure, and low Henry’s </w:t>
      </w:r>
      <w:r w:rsidR="00585018">
        <w:rPr>
          <w:rFonts w:cstheme="minorHAnsi"/>
        </w:rPr>
        <w:t xml:space="preserve">Law </w:t>
      </w:r>
      <w:r w:rsidRPr="001C0E49">
        <w:rPr>
          <w:rFonts w:cstheme="minorHAnsi"/>
        </w:rPr>
        <w:t xml:space="preserve">Constant. These data suggest that </w:t>
      </w:r>
      <w:r>
        <w:rPr>
          <w:rFonts w:cstheme="minorHAnsi"/>
        </w:rPr>
        <w:t>glyphosate</w:t>
      </w:r>
      <w:r w:rsidRPr="001C0E49">
        <w:rPr>
          <w:rFonts w:cstheme="minorHAnsi"/>
        </w:rPr>
        <w:t xml:space="preserve"> has a low potential for volatilization and bioaccumulation. </w:t>
      </w:r>
      <w:r w:rsidRPr="007009E2">
        <w:rPr>
          <w:rFonts w:cstheme="minorHAnsi"/>
        </w:rPr>
        <w:t xml:space="preserve">It is assumed that the glyphosate salts dissociate rapidly to form glyphosate acid and the counter ion. </w:t>
      </w:r>
      <w:r w:rsidRPr="001C0E49">
        <w:rPr>
          <w:rFonts w:cstheme="minorHAnsi"/>
        </w:rPr>
        <w:t xml:space="preserve">The main routes of dissipation are microbial degradation under aerobic </w:t>
      </w:r>
      <w:r w:rsidRPr="00BB1F6B">
        <w:rPr>
          <w:rFonts w:cstheme="minorHAnsi"/>
        </w:rPr>
        <w:t xml:space="preserve">conditions, </w:t>
      </w:r>
      <w:r>
        <w:rPr>
          <w:rFonts w:cstheme="minorHAnsi"/>
        </w:rPr>
        <w:t xml:space="preserve">and </w:t>
      </w:r>
      <w:r w:rsidRPr="00BB1F6B">
        <w:rPr>
          <w:rFonts w:cstheme="minorHAnsi"/>
        </w:rPr>
        <w:t xml:space="preserve">runoff. Glyphosate is expected to reach surface water primarily through spray drift; however, transport in runoff may also occur primarily via sorption </w:t>
      </w:r>
      <w:r>
        <w:rPr>
          <w:rFonts w:cstheme="minorHAnsi"/>
        </w:rPr>
        <w:t xml:space="preserve">of glyphosate-metal complexes </w:t>
      </w:r>
      <w:r w:rsidRPr="00BB1F6B">
        <w:rPr>
          <w:rFonts w:cstheme="minorHAnsi"/>
        </w:rPr>
        <w:t xml:space="preserve">to eroded </w:t>
      </w:r>
      <w:r w:rsidR="001C387E">
        <w:rPr>
          <w:rFonts w:cstheme="minorHAnsi"/>
        </w:rPr>
        <w:t>soil</w:t>
      </w:r>
      <w:r w:rsidRPr="00BB1F6B">
        <w:rPr>
          <w:rFonts w:cstheme="minorHAnsi"/>
        </w:rPr>
        <w:t xml:space="preserve">. The highest concentrations of glyphosate in surface water are in urban environments and in the vicinity of local use areas. </w:t>
      </w:r>
      <w:r w:rsidRPr="00BE105A">
        <w:t xml:space="preserve">Additional details on the fate of </w:t>
      </w:r>
      <w:r>
        <w:t>glyphosate</w:t>
      </w:r>
      <w:r w:rsidRPr="00BE105A">
        <w:t xml:space="preserve"> are provided in </w:t>
      </w:r>
      <w:r w:rsidRPr="00BE105A">
        <w:rPr>
          <w:b/>
        </w:rPr>
        <w:t>Chapter 3</w:t>
      </w:r>
      <w:r w:rsidRPr="00BE105A">
        <w:t xml:space="preserve"> of the Biological Evaluation.</w:t>
      </w:r>
    </w:p>
    <w:p w14:paraId="78183A16" w14:textId="77777777" w:rsidR="008D3F6A" w:rsidRDefault="008D3F6A" w:rsidP="00C2703F"/>
    <w:p w14:paraId="246C7FD1" w14:textId="1FC9CEC4" w:rsidR="008D3F6A" w:rsidRDefault="008D3F6A" w:rsidP="008D3F6A">
      <w:pPr>
        <w:pStyle w:val="NoSpacing"/>
      </w:pPr>
      <w:r w:rsidRPr="00397FC8">
        <w:t xml:space="preserve">Glyphosate is an acid which can be associated with different counter cations to form salts. </w:t>
      </w:r>
      <w:r w:rsidR="00CE643E">
        <w:t>These different salts</w:t>
      </w:r>
      <w:r w:rsidR="0040084F">
        <w:t>, which</w:t>
      </w:r>
      <w:r w:rsidR="00CE643E">
        <w:t xml:space="preserve"> have separate registrations, </w:t>
      </w:r>
      <w:r w:rsidR="0040084F">
        <w:t>are included in this assessment</w:t>
      </w:r>
      <w:r w:rsidR="00CE643E">
        <w:t>.</w:t>
      </w:r>
      <w:r w:rsidR="00A87C73">
        <w:t xml:space="preserve"> </w:t>
      </w:r>
      <w:r w:rsidRPr="00397FC8">
        <w:t xml:space="preserve"> For comparison purposes, in this assessment, each salt is considered in terms of its “glyphosate equivalent,” (acid equivalent; ae) as determined by multiplying the glyphosate salt endpoint value by the acid equivalence ratio (the ratio of the molecular weight of N-(phosphonomethyl)glycine to the molecular weight of the salt). For the assessment, both application rates and the toxicity endpoint values are expressed as acid equivalents.</w:t>
      </w:r>
    </w:p>
    <w:p w14:paraId="349227A7" w14:textId="77777777" w:rsidR="004F5B7D" w:rsidRPr="00A0790B" w:rsidRDefault="004F5B7D" w:rsidP="00B01CB2">
      <w:pPr>
        <w:rPr>
          <w:rFonts w:ascii="Calibri" w:eastAsia="Calibri" w:hAnsi="Calibri" w:cs="Calibri"/>
          <w:color w:val="000000"/>
          <w:highlight w:val="yellow"/>
        </w:rPr>
      </w:pPr>
    </w:p>
    <w:p w14:paraId="471B6AA6" w14:textId="0E9960D2" w:rsidR="00B01CB2" w:rsidRDefault="00B01CB2" w:rsidP="00B01CB2">
      <w:r>
        <w:t>Technical g</w:t>
      </w:r>
      <w:r w:rsidRPr="000470DD">
        <w:t>lyphosate is</w:t>
      </w:r>
      <w:r w:rsidR="003E55A5">
        <w:t xml:space="preserve"> practically non-toxic to terrestrial and aquatic animals</w:t>
      </w:r>
      <w:r w:rsidRPr="000470DD">
        <w:t xml:space="preserve"> on an acute exposure basis. </w:t>
      </w:r>
      <w:r w:rsidR="003E55A5" w:rsidRPr="00921990">
        <w:t xml:space="preserve">Toxicity studies, particularly acute aquatic toxicity studies, show that </w:t>
      </w:r>
      <w:r w:rsidR="001F2E23">
        <w:t xml:space="preserve">while some </w:t>
      </w:r>
      <w:r w:rsidR="002C07E5">
        <w:t xml:space="preserve">formulated </w:t>
      </w:r>
      <w:r w:rsidR="002C07E5">
        <w:lastRenderedPageBreak/>
        <w:t>products</w:t>
      </w:r>
      <w:r w:rsidR="001F2E23">
        <w:t xml:space="preserve"> are less toxic than glyphosate active ingredient alone, </w:t>
      </w:r>
      <w:r w:rsidR="00B436BE">
        <w:t>other</w:t>
      </w:r>
      <w:r w:rsidR="002C07E5">
        <w:t>s</w:t>
      </w:r>
      <w:r w:rsidR="001F2E23">
        <w:t xml:space="preserve"> </w:t>
      </w:r>
      <w:r w:rsidR="003E55A5" w:rsidRPr="00921990">
        <w:t xml:space="preserve">can be </w:t>
      </w:r>
      <w:r w:rsidR="003E55A5">
        <w:t xml:space="preserve">up to 2 orders of magnitude more </w:t>
      </w:r>
      <w:r w:rsidR="003E55A5" w:rsidRPr="00921990">
        <w:t>toxic</w:t>
      </w:r>
      <w:r w:rsidR="003E55A5">
        <w:t xml:space="preserve">. Formulated glyphosate is moderately </w:t>
      </w:r>
      <w:r w:rsidR="008607F5">
        <w:t xml:space="preserve">to highly toxic to fish, highly to very highly toxic to aquatic invertebrates, moderately toxic to mammals, and slightly toxic to birds on an acute exposure basis. </w:t>
      </w:r>
      <w:r w:rsidRPr="008607F5">
        <w:t xml:space="preserve">In both terrestrial and aquatic animals, </w:t>
      </w:r>
      <w:r w:rsidR="003E55A5" w:rsidRPr="008607F5">
        <w:t>technical</w:t>
      </w:r>
      <w:r w:rsidR="008607F5" w:rsidRPr="008607F5">
        <w:t xml:space="preserve"> and formulated</w:t>
      </w:r>
      <w:r w:rsidR="003E55A5" w:rsidRPr="008607F5">
        <w:t xml:space="preserve"> </w:t>
      </w:r>
      <w:r w:rsidRPr="008607F5">
        <w:t xml:space="preserve">glyphosate demonstrate a variety of growth and reproductive effects at a range of chronic exposure concentrations. Glyphosate has demonstrated adverse effects on growth to both vascular and non-vascular aquatic plants as well as terrestrial plants. There </w:t>
      </w:r>
      <w:r w:rsidR="004406B5">
        <w:t>have been over 1,000</w:t>
      </w:r>
      <w:r w:rsidR="004406B5" w:rsidRPr="008607F5">
        <w:t xml:space="preserve"> </w:t>
      </w:r>
      <w:r w:rsidRPr="008607F5">
        <w:t xml:space="preserve">reported ecological incidents involving glyphosate use for birds, fish, terrestrial invertebrates, and terrestrial plants. More details on the available toxicity data and incident reports are provided in </w:t>
      </w:r>
      <w:r w:rsidRPr="008607F5">
        <w:rPr>
          <w:b/>
          <w:bCs/>
        </w:rPr>
        <w:t>Chapter 2</w:t>
      </w:r>
      <w:r w:rsidRPr="008607F5">
        <w:t>.</w:t>
      </w:r>
    </w:p>
    <w:p w14:paraId="2D23FE94" w14:textId="77777777" w:rsidR="00D21938" w:rsidRDefault="00D21938" w:rsidP="00B01CB2"/>
    <w:p w14:paraId="451D8CB4" w14:textId="77777777" w:rsidR="005721BD" w:rsidRPr="0045224D" w:rsidRDefault="005721BD" w:rsidP="0045224D">
      <w:pPr>
        <w:rPr>
          <w:rFonts w:ascii="Calibri" w:eastAsia="Calibri" w:hAnsi="Calibri" w:cs="Calibri"/>
          <w:color w:val="000000"/>
        </w:rPr>
      </w:pPr>
    </w:p>
    <w:p w14:paraId="48B45DA5" w14:textId="207019F9" w:rsidR="00E91586" w:rsidRPr="00033DB4" w:rsidRDefault="00E91586" w:rsidP="0098319A">
      <w:pPr>
        <w:pStyle w:val="Heading1"/>
      </w:pPr>
      <w:r w:rsidRPr="00033DB4">
        <w:t xml:space="preserve">Exposure </w:t>
      </w:r>
      <w:r w:rsidR="00033DB4">
        <w:t>Methods</w:t>
      </w:r>
    </w:p>
    <w:p w14:paraId="54ABB624" w14:textId="77777777" w:rsidR="00E91586" w:rsidRPr="00507E9A" w:rsidRDefault="00E91586" w:rsidP="0045224D"/>
    <w:p w14:paraId="4938168C" w14:textId="7C16F3EF" w:rsidR="00C633D9" w:rsidRDefault="004D0F93" w:rsidP="0045224D">
      <w:r w:rsidRPr="00994F37">
        <w:t xml:space="preserve">Exposure </w:t>
      </w:r>
      <w:r w:rsidR="00607C24" w:rsidRPr="00994F37">
        <w:t xml:space="preserve">estimates </w:t>
      </w:r>
      <w:r w:rsidRPr="00994F37">
        <w:t xml:space="preserve">are based primarily on fate and transport model results. </w:t>
      </w:r>
      <w:r w:rsidR="00525490" w:rsidRPr="00994F37">
        <w:rPr>
          <w:rFonts w:cs="Times New Roman"/>
        </w:rPr>
        <w:t xml:space="preserve">Aquatic exposures (surface water and benthic sediment pore water) are quantitatively estimated for representative </w:t>
      </w:r>
      <w:r w:rsidR="00A0790B">
        <w:rPr>
          <w:rFonts w:cs="Times New Roman"/>
        </w:rPr>
        <w:t>glyphosate</w:t>
      </w:r>
      <w:r w:rsidR="00525490" w:rsidRPr="00994F37">
        <w:rPr>
          <w:rFonts w:cs="Times New Roman"/>
        </w:rPr>
        <w:t xml:space="preserve"> uses in specific geographic regions within generic habitats (referred to as bins) using the </w:t>
      </w:r>
      <w:r w:rsidR="00525490" w:rsidRPr="00994F37">
        <w:t>Pesticide Root Zone Model (PRZM5) and the Variable Volume Water Model (VVWM)</w:t>
      </w:r>
      <w:r w:rsidR="00525490" w:rsidRPr="00994F37">
        <w:rPr>
          <w:rStyle w:val="FootnoteReference"/>
        </w:rPr>
        <w:footnoteReference w:id="3"/>
      </w:r>
      <w:r w:rsidR="00525490" w:rsidRPr="00994F37">
        <w:t xml:space="preserve"> in the Pesticides in Water Calculator (PWC). Aquatic exposure results for the bin(s) most appropriate for the species and/or critical habitat </w:t>
      </w:r>
      <w:r w:rsidR="00607C24" w:rsidRPr="00994F37">
        <w:t xml:space="preserve">are discussed in </w:t>
      </w:r>
      <w:r w:rsidR="00525490" w:rsidRPr="00994F37">
        <w:rPr>
          <w:b/>
        </w:rPr>
        <w:t>Chapter 3</w:t>
      </w:r>
      <w:r w:rsidR="00525490" w:rsidRPr="00994F37">
        <w:t>. </w:t>
      </w:r>
      <w:r w:rsidR="00F53333" w:rsidRPr="00994F37">
        <w:t xml:space="preserve">Also discussed in </w:t>
      </w:r>
      <w:r w:rsidR="00F53333" w:rsidRPr="00994F37">
        <w:rPr>
          <w:b/>
          <w:bCs/>
        </w:rPr>
        <w:t>Chapter 3</w:t>
      </w:r>
      <w:r w:rsidR="00F53333" w:rsidRPr="00994F37">
        <w:t xml:space="preserve"> are available water monitoring data for </w:t>
      </w:r>
      <w:r w:rsidR="00A0790B">
        <w:t>glyphosate</w:t>
      </w:r>
      <w:r w:rsidR="00F53333" w:rsidRPr="00994F37">
        <w:t xml:space="preserve">. </w:t>
      </w:r>
      <w:r w:rsidR="00303775" w:rsidRPr="00994F37">
        <w:t>For terrestrial exposures, existing models [</w:t>
      </w:r>
      <w:r w:rsidR="008204F8">
        <w:rPr>
          <w:i/>
        </w:rPr>
        <w:t>i.e.</w:t>
      </w:r>
      <w:r w:rsidR="00303775" w:rsidRPr="00994F37">
        <w:t xml:space="preserve">, </w:t>
      </w:r>
      <w:proofErr w:type="spellStart"/>
      <w:r w:rsidR="00303775" w:rsidRPr="00994F37">
        <w:t>AgDRIFT</w:t>
      </w:r>
      <w:proofErr w:type="spellEnd"/>
      <w:r w:rsidR="00303775" w:rsidRPr="00994F37">
        <w:t xml:space="preserve">, earthworm fugacity model, Terrestrial </w:t>
      </w:r>
      <w:proofErr w:type="spellStart"/>
      <w:r w:rsidR="00303775" w:rsidRPr="00994F37">
        <w:t>Herpetofaunal</w:t>
      </w:r>
      <w:proofErr w:type="spellEnd"/>
      <w:r w:rsidR="00303775" w:rsidRPr="00994F37">
        <w:t xml:space="preserve"> Exposure Residue Program Simulation (T-HERPS), Terrestrial Residue Exposure model (T-REX) and portions of the Terrestrial Investigation Model (TIM)] were combined and modified into a single tool that is referred to as the </w:t>
      </w:r>
      <w:proofErr w:type="spellStart"/>
      <w:r w:rsidR="00303775" w:rsidRPr="00994F37">
        <w:t>MAGTool</w:t>
      </w:r>
      <w:proofErr w:type="spellEnd"/>
      <w:r w:rsidR="00303775" w:rsidRPr="00994F37">
        <w:t xml:space="preserve"> (</w:t>
      </w:r>
      <w:r w:rsidR="00303775" w:rsidRPr="00994F37">
        <w:rPr>
          <w:b/>
        </w:rPr>
        <w:t>Chapter 4</w:t>
      </w:r>
      <w:r w:rsidR="00303775" w:rsidRPr="00994F37">
        <w:t>).</w:t>
      </w:r>
      <w:r w:rsidR="00303775" w:rsidRPr="000C6A3E">
        <w:t xml:space="preserve"> </w:t>
      </w:r>
      <w:r w:rsidR="00C932E3">
        <w:t>This assessment replaces EPA’s TerrPlant model with the Plant Assessment Tool (PAT), the latter is a more refined exposure model for terrestrial, wetland and aquatic plants.</w:t>
      </w:r>
    </w:p>
    <w:p w14:paraId="1799170E" w14:textId="77777777" w:rsidR="00445B71" w:rsidRDefault="00445B71" w:rsidP="0045224D"/>
    <w:p w14:paraId="6C08764A" w14:textId="77777777" w:rsidR="00DC04D5" w:rsidRDefault="00DC04D5" w:rsidP="0045224D"/>
    <w:p w14:paraId="04280AA5" w14:textId="312B87B5" w:rsidR="00CF1313" w:rsidRDefault="00033DB4" w:rsidP="0098319A">
      <w:pPr>
        <w:pStyle w:val="Heading1"/>
      </w:pPr>
      <w:r w:rsidRPr="00F84F72">
        <w:t>O</w:t>
      </w:r>
      <w:r w:rsidR="00C633D9" w:rsidRPr="00F84F72">
        <w:t xml:space="preserve">verlap </w:t>
      </w:r>
      <w:r w:rsidRPr="00F84F72">
        <w:t>A</w:t>
      </w:r>
      <w:r w:rsidR="00C633D9" w:rsidRPr="00F84F72">
        <w:t>nalys</w:t>
      </w:r>
      <w:r w:rsidRPr="00F84F72">
        <w:t>e</w:t>
      </w:r>
      <w:r w:rsidR="00C633D9" w:rsidRPr="00F84F72">
        <w:t>s</w:t>
      </w:r>
    </w:p>
    <w:p w14:paraId="5ABFACB4" w14:textId="77777777" w:rsidR="00607C24" w:rsidRDefault="00607C24"/>
    <w:p w14:paraId="6C8C40D5" w14:textId="43F36737" w:rsidR="0016247A" w:rsidRDefault="007667F0" w:rsidP="0016247A">
      <w:r w:rsidRPr="000C6A3E">
        <w:t xml:space="preserve">Step 1 of the </w:t>
      </w:r>
      <w:r w:rsidR="00A70773">
        <w:t>BE</w:t>
      </w:r>
      <w:r w:rsidRPr="000C6A3E">
        <w:t xml:space="preserve"> </w:t>
      </w:r>
      <w:r w:rsidR="00C340DE">
        <w:t>involves</w:t>
      </w:r>
      <w:r w:rsidRPr="000C6A3E">
        <w:t xml:space="preserve"> an analysis of the potential overlap of the action area and individual species ranges </w:t>
      </w:r>
      <w:r w:rsidR="00F02672">
        <w:t>and</w:t>
      </w:r>
      <w:r w:rsidR="00F02672" w:rsidRPr="000C6A3E">
        <w:t xml:space="preserve"> </w:t>
      </w:r>
      <w:r w:rsidRPr="000C6A3E">
        <w:t xml:space="preserve">critical habitat. The action area was derived in ArcGIS 10.7 by combining the data layers representative of </w:t>
      </w:r>
      <w:r w:rsidR="00A0790B">
        <w:t>glyphosate</w:t>
      </w:r>
      <w:r w:rsidRPr="000C6A3E">
        <w:t xml:space="preserve"> </w:t>
      </w:r>
      <w:r w:rsidR="00D45B2B">
        <w:t xml:space="preserve">potential </w:t>
      </w:r>
      <w:r w:rsidRPr="000C6A3E">
        <w:t>uses</w:t>
      </w:r>
      <w:r w:rsidR="00D45B2B">
        <w:t xml:space="preserve"> plus off-site transport. Due to the broad extent of the potential use</w:t>
      </w:r>
      <w:r w:rsidR="00A028B8">
        <w:t>s</w:t>
      </w:r>
      <w:r w:rsidR="00D45B2B">
        <w:t xml:space="preserve"> the action area has a minimal off-site transport zone</w:t>
      </w:r>
      <w:r w:rsidR="00A028B8">
        <w:t>, almost all area is captured as potential use</w:t>
      </w:r>
      <w:r w:rsidR="00D45B2B">
        <w:t xml:space="preserve">. For this reason, a separate ‘drift layer’ was derived by combining just the off-site transport zone across potential uses </w:t>
      </w:r>
      <w:r w:rsidRPr="000C6A3E">
        <w:t xml:space="preserve">then buffering </w:t>
      </w:r>
      <w:r w:rsidR="00D45B2B">
        <w:t>it</w:t>
      </w:r>
      <w:r w:rsidR="00D45B2B" w:rsidRPr="000C6A3E">
        <w:t xml:space="preserve"> </w:t>
      </w:r>
      <w:r w:rsidRPr="000C6A3E">
        <w:t xml:space="preserve">out to the off-site transport distance estimated using the </w:t>
      </w:r>
      <w:proofErr w:type="spellStart"/>
      <w:r w:rsidRPr="000C6A3E">
        <w:t>AgDRIFT</w:t>
      </w:r>
      <w:proofErr w:type="spellEnd"/>
      <w:r w:rsidRPr="000C6A3E">
        <w:t xml:space="preserve"> model (</w:t>
      </w:r>
      <w:r w:rsidRPr="00BE2F82">
        <w:rPr>
          <w:b/>
        </w:rPr>
        <w:t>A</w:t>
      </w:r>
      <w:r w:rsidR="00ED0D37">
        <w:rPr>
          <w:b/>
        </w:rPr>
        <w:t>PPENDIX</w:t>
      </w:r>
      <w:r w:rsidRPr="00BE2F82">
        <w:rPr>
          <w:b/>
        </w:rPr>
        <w:t xml:space="preserve"> 1-6</w:t>
      </w:r>
      <w:r w:rsidRPr="000C6A3E">
        <w:t>). The overlaps of action area and individual species</w:t>
      </w:r>
      <w:r w:rsidR="002C5413">
        <w:t>’</w:t>
      </w:r>
      <w:r w:rsidRPr="000C6A3E">
        <w:t xml:space="preserve"> ranges or critical habitats were calculated. This analysis used spatial data of species’ ranges and habitats from the</w:t>
      </w:r>
      <w:r w:rsidR="008D3F6A">
        <w:t xml:space="preserve"> Fish and Wildlife Service</w:t>
      </w:r>
      <w:r w:rsidRPr="000C6A3E">
        <w:t xml:space="preserve"> </w:t>
      </w:r>
      <w:r w:rsidR="008D3F6A">
        <w:t>(</w:t>
      </w:r>
      <w:r w:rsidRPr="000C6A3E">
        <w:t>FWS</w:t>
      </w:r>
      <w:r w:rsidR="008D3F6A">
        <w:t>)</w:t>
      </w:r>
      <w:r w:rsidRPr="000C6A3E">
        <w:t xml:space="preserve"> and</w:t>
      </w:r>
      <w:r w:rsidR="008D3F6A">
        <w:t xml:space="preserve"> National Marine Fisheries Service</w:t>
      </w:r>
      <w:r w:rsidRPr="000C6A3E">
        <w:t xml:space="preserve"> </w:t>
      </w:r>
      <w:r w:rsidR="008D3F6A">
        <w:t>(</w:t>
      </w:r>
      <w:r w:rsidRPr="000C6A3E">
        <w:t>NMFS</w:t>
      </w:r>
      <w:r w:rsidR="008D3F6A">
        <w:t>)</w:t>
      </w:r>
      <w:r w:rsidRPr="000C6A3E">
        <w:t>. In the contiguous United States</w:t>
      </w:r>
      <w:r w:rsidR="00B04AA7">
        <w:t xml:space="preserve"> (</w:t>
      </w:r>
      <w:proofErr w:type="spellStart"/>
      <w:r w:rsidR="00B04AA7">
        <w:t>ConUS</w:t>
      </w:r>
      <w:proofErr w:type="spellEnd"/>
      <w:r w:rsidR="00B04AA7">
        <w:t>)</w:t>
      </w:r>
      <w:r w:rsidRPr="000C6A3E">
        <w:t>, agricultural potential use sites are represented using the USDA Crop Data Layer (CDL) (</w:t>
      </w:r>
      <w:r w:rsidRPr="002F0ED3">
        <w:rPr>
          <w:b/>
        </w:rPr>
        <w:t>A</w:t>
      </w:r>
      <w:r w:rsidR="00ED0D37">
        <w:rPr>
          <w:b/>
        </w:rPr>
        <w:t>PPENDIX</w:t>
      </w:r>
      <w:r w:rsidRPr="002F0ED3">
        <w:rPr>
          <w:b/>
        </w:rPr>
        <w:t xml:space="preserve"> 1-</w:t>
      </w:r>
      <w:r w:rsidR="00A028B8">
        <w:rPr>
          <w:b/>
        </w:rPr>
        <w:t>6</w:t>
      </w:r>
      <w:r w:rsidRPr="000C6A3E">
        <w:t xml:space="preserve">). </w:t>
      </w:r>
      <w:r w:rsidR="0016247A" w:rsidRPr="000C6A3E">
        <w:t>Other data sources are used to represent agricultural areas in states and US territories outside of the contiguous United States, for which the CDL is not available. All species or critical habitats with some overlap of the action area and their range or designated critical habitat, or with some overlap on species that the listed species depends on (</w:t>
      </w:r>
      <w:r w:rsidR="0016247A" w:rsidRPr="000C6A3E">
        <w:rPr>
          <w:b/>
        </w:rPr>
        <w:t>Chapter 4</w:t>
      </w:r>
      <w:r w:rsidR="0016247A" w:rsidRPr="000C6A3E">
        <w:t xml:space="preserve">) </w:t>
      </w:r>
      <w:r w:rsidR="0016247A">
        <w:t>are</w:t>
      </w:r>
      <w:r w:rsidR="0016247A" w:rsidRPr="000C6A3E">
        <w:t xml:space="preserve"> assessed in the </w:t>
      </w:r>
      <w:proofErr w:type="spellStart"/>
      <w:r w:rsidR="0016247A" w:rsidRPr="000C6A3E">
        <w:t>MAGTool</w:t>
      </w:r>
      <w:proofErr w:type="spellEnd"/>
      <w:r w:rsidR="0016247A" w:rsidRPr="000C6A3E">
        <w:t xml:space="preserve"> to make LAA/NLAA determinations.</w:t>
      </w:r>
    </w:p>
    <w:p w14:paraId="3C6AFD12" w14:textId="77777777" w:rsidR="00DC04D5" w:rsidRDefault="00DC04D5" w:rsidP="0098319A"/>
    <w:p w14:paraId="54323EAA" w14:textId="40EA8A5F" w:rsidR="00C633D9" w:rsidRPr="00033DB4" w:rsidRDefault="00033DB4" w:rsidP="005E3D9A">
      <w:pPr>
        <w:pStyle w:val="Heading1"/>
      </w:pPr>
      <w:r>
        <w:lastRenderedPageBreak/>
        <w:t>Effects Determinations</w:t>
      </w:r>
      <w:bookmarkStart w:id="0" w:name="_GoBack"/>
      <w:bookmarkEnd w:id="0"/>
    </w:p>
    <w:p w14:paraId="4AA96D1A" w14:textId="77777777" w:rsidR="00AD0553" w:rsidRDefault="00AD0553" w:rsidP="00631002"/>
    <w:p w14:paraId="4F84B477" w14:textId="6B2D79E0" w:rsidR="00631002" w:rsidRDefault="00631002" w:rsidP="00631002">
      <w:pPr>
        <w:rPr>
          <w:b/>
          <w:bCs/>
        </w:rPr>
      </w:pPr>
      <w:r>
        <w:t>This BE makes effects determinations (NE, NLAA or LAA) for</w:t>
      </w:r>
      <w:r w:rsidRPr="008F32E8">
        <w:t xml:space="preserve"> </w:t>
      </w:r>
      <w:r w:rsidRPr="007400FE">
        <w:t>17</w:t>
      </w:r>
      <w:r>
        <w:t>95</w:t>
      </w:r>
      <w:r w:rsidRPr="008F32E8">
        <w:t xml:space="preserve"> listed species, and </w:t>
      </w:r>
      <w:r w:rsidRPr="007400FE">
        <w:t>7</w:t>
      </w:r>
      <w:r>
        <w:t>92</w:t>
      </w:r>
      <w:r w:rsidRPr="008F32E8">
        <w:t xml:space="preserve"> designated</w:t>
      </w:r>
      <w:r>
        <w:t xml:space="preserve"> critical habitats. For each species and designated critical habitat, the effects determination is based on th</w:t>
      </w:r>
      <w:r w:rsidRPr="000C2F82">
        <w:t xml:space="preserve">e methodology detailed in Chapter 1 </w:t>
      </w:r>
      <w:r w:rsidR="003A5FA6">
        <w:t xml:space="preserve">of this BE </w:t>
      </w:r>
      <w:r w:rsidRPr="000C2F82">
        <w:t>and the Revised Method document</w:t>
      </w:r>
      <w:r w:rsidRPr="000C2F82">
        <w:rPr>
          <w:rStyle w:val="FootnoteReference"/>
        </w:rPr>
        <w:footnoteReference w:id="4"/>
      </w:r>
      <w:r w:rsidRPr="000C2F82">
        <w:t>.</w:t>
      </w:r>
      <w:r w:rsidR="00C31041" w:rsidRPr="00C31041">
        <w:rPr>
          <w:rFonts w:eastAsia="Calibri" w:cs="Calibri"/>
        </w:rPr>
        <w:t xml:space="preserve"> </w:t>
      </w:r>
      <w:r w:rsidR="00C31041">
        <w:rPr>
          <w:rFonts w:eastAsia="Calibri" w:cs="Calibri"/>
        </w:rPr>
        <w:t>No NE determinations were made f</w:t>
      </w:r>
      <w:r w:rsidR="00C31041" w:rsidRPr="006B648C">
        <w:rPr>
          <w:rFonts w:eastAsia="Calibri" w:cs="Calibri"/>
        </w:rPr>
        <w:t xml:space="preserve">or </w:t>
      </w:r>
      <w:r w:rsidR="00C31041">
        <w:rPr>
          <w:rFonts w:eastAsia="Calibri" w:cs="Calibri"/>
        </w:rPr>
        <w:t xml:space="preserve">any </w:t>
      </w:r>
      <w:r w:rsidR="00C31041" w:rsidRPr="006B648C">
        <w:rPr>
          <w:rFonts w:eastAsia="Calibri" w:cs="Calibri"/>
        </w:rPr>
        <w:t xml:space="preserve">species </w:t>
      </w:r>
      <w:r w:rsidR="00C31041">
        <w:rPr>
          <w:rFonts w:eastAsia="Calibri" w:cs="Calibri"/>
        </w:rPr>
        <w:t>or</w:t>
      </w:r>
      <w:r w:rsidR="00C31041" w:rsidRPr="006B648C">
        <w:rPr>
          <w:rFonts w:eastAsia="Calibri" w:cs="Calibri"/>
        </w:rPr>
        <w:t xml:space="preserve"> designated critical habitats</w:t>
      </w:r>
      <w:r w:rsidR="00C31041">
        <w:rPr>
          <w:rFonts w:eastAsia="Calibri" w:cs="Calibri"/>
        </w:rPr>
        <w:t>; therefore, all species received a MA determination.</w:t>
      </w:r>
      <w:r w:rsidR="00C31041" w:rsidRPr="00CB56A0">
        <w:t xml:space="preserve"> </w:t>
      </w:r>
      <w:r w:rsidRPr="000C2F82">
        <w:t xml:space="preserve"> All species and critical habitats with a MA determination progressed to the Step 2 analysis where an NLAA or LAA determination is made</w:t>
      </w:r>
      <w:bookmarkStart w:id="1" w:name="_Hlk57015010"/>
      <w:r w:rsidRPr="000C2F82">
        <w:t xml:space="preserve">. </w:t>
      </w:r>
      <w:r w:rsidR="00073359">
        <w:rPr>
          <w:rFonts w:eastAsia="Times New Roman"/>
        </w:rPr>
        <w:t>NLAA determinations were made for 119 species and 33 species’ critical habitat and LAA determinations were made for 1676 species and 759 critical habitats</w:t>
      </w:r>
      <w:r w:rsidR="00C31041">
        <w:rPr>
          <w:rFonts w:eastAsia="Calibri" w:cs="Calibri"/>
        </w:rPr>
        <w:t xml:space="preserve">. </w:t>
      </w:r>
      <w:bookmarkEnd w:id="1"/>
      <w:r w:rsidR="00BC793B">
        <w:rPr>
          <w:rFonts w:eastAsia="Calibri" w:cs="Calibri"/>
        </w:rPr>
        <w:t xml:space="preserve">Most NLAA determinations were based on a qualitative analysis of species, based on factors such as being presumed extinct or having incomplete exposure pathways. </w:t>
      </w:r>
      <w:r w:rsidRPr="000C2F82">
        <w:t xml:space="preserve">Specific species determinations are provided in </w:t>
      </w:r>
      <w:r w:rsidRPr="000C2F82">
        <w:rPr>
          <w:b/>
          <w:bCs/>
        </w:rPr>
        <w:t>APPENDIX 4-1.</w:t>
      </w:r>
    </w:p>
    <w:p w14:paraId="116792A5" w14:textId="361BD1AC" w:rsidR="00C31041" w:rsidRDefault="00C31041" w:rsidP="00631002">
      <w:pPr>
        <w:rPr>
          <w:b/>
          <w:bCs/>
        </w:rPr>
      </w:pPr>
    </w:p>
    <w:p w14:paraId="448F0C00" w14:textId="049C14F6" w:rsidR="00DC04D5" w:rsidRDefault="00310F57" w:rsidP="00310F57">
      <w:r w:rsidRPr="000C6A3E">
        <w:t xml:space="preserve">The </w:t>
      </w:r>
      <w:proofErr w:type="spellStart"/>
      <w:r w:rsidRPr="000C6A3E">
        <w:t>MAGTool</w:t>
      </w:r>
      <w:proofErr w:type="spellEnd"/>
      <w:r w:rsidRPr="000C6A3E">
        <w:t xml:space="preserve"> </w:t>
      </w:r>
      <w:r w:rsidR="00BE2F82">
        <w:t>estimates the number of individuals of a listed species that are potentially affected, incorporating the degree of overlap of a species range with potential use sites and associated usage data for a chemical (and associated of</w:t>
      </w:r>
      <w:r w:rsidR="00D10797">
        <w:t>f-</w:t>
      </w:r>
      <w:r w:rsidR="00BE2F82">
        <w:t xml:space="preserve">site transport areas) into the </w:t>
      </w:r>
      <w:proofErr w:type="gramStart"/>
      <w:r w:rsidR="00BE2F82">
        <w:t>effects</w:t>
      </w:r>
      <w:proofErr w:type="gramEnd"/>
      <w:r w:rsidR="00BE2F82">
        <w:t xml:space="preserve"> determinations.</w:t>
      </w:r>
      <w:r w:rsidRPr="000C6A3E">
        <w:t xml:space="preserve"> Using the toxicity endpoints for each </w:t>
      </w:r>
      <w:r w:rsidR="00D10797" w:rsidRPr="000C6A3E">
        <w:t>tax</w:t>
      </w:r>
      <w:r w:rsidR="00D10797">
        <w:t>on</w:t>
      </w:r>
      <w:r w:rsidR="00D10797" w:rsidRPr="000C6A3E">
        <w:t xml:space="preserve"> </w:t>
      </w:r>
      <w:r w:rsidRPr="000C6A3E">
        <w:t>(</w:t>
      </w:r>
      <w:r w:rsidRPr="000C6A3E">
        <w:rPr>
          <w:b/>
        </w:rPr>
        <w:t>Chapter 2</w:t>
      </w:r>
      <w:r w:rsidRPr="000C6A3E">
        <w:t>),</w:t>
      </w:r>
      <w:r w:rsidR="00E53606">
        <w:t xml:space="preserve"> the</w:t>
      </w:r>
      <w:r w:rsidRPr="000C6A3E">
        <w:t xml:space="preserve"> </w:t>
      </w:r>
      <w:proofErr w:type="spellStart"/>
      <w:r w:rsidRPr="000C6A3E">
        <w:t>MAGTool</w:t>
      </w:r>
      <w:proofErr w:type="spellEnd"/>
      <w:r w:rsidRPr="000C6A3E">
        <w:t xml:space="preserve"> utilizes probabilistic methods to assess </w:t>
      </w:r>
      <w:r w:rsidR="002E4092">
        <w:t>the likelihood that</w:t>
      </w:r>
      <w:r w:rsidRPr="000C6A3E">
        <w:t xml:space="preserve"> </w:t>
      </w:r>
      <w:r w:rsidR="00A0790B">
        <w:t>glyphosate</w:t>
      </w:r>
      <w:r w:rsidRPr="000C6A3E">
        <w:t xml:space="preserve"> will adversely affect </w:t>
      </w:r>
      <w:r w:rsidR="00BE2F82">
        <w:t>an individual of a given</w:t>
      </w:r>
      <w:r w:rsidR="00C340DE">
        <w:t xml:space="preserve"> </w:t>
      </w:r>
      <w:r w:rsidRPr="000C6A3E">
        <w:t xml:space="preserve">species. </w:t>
      </w:r>
      <w:r w:rsidR="00266071" w:rsidRPr="000C6A3E">
        <w:t>To help determine the potential for risk, the MAGtool incorporates many of E</w:t>
      </w:r>
      <w:r w:rsidR="00266071">
        <w:t>PA</w:t>
      </w:r>
      <w:r w:rsidR="00266071" w:rsidRPr="000C6A3E">
        <w:t xml:space="preserve">’s standard </w:t>
      </w:r>
      <w:r w:rsidR="00266071">
        <w:t xml:space="preserve">pesticide </w:t>
      </w:r>
      <w:r w:rsidR="00266071" w:rsidRPr="000C6A3E">
        <w:t>exposure models to estimate exposures to listed species and their</w:t>
      </w:r>
      <w:r w:rsidR="00266071">
        <w:t xml:space="preserve"> </w:t>
      </w:r>
      <w:r w:rsidR="002E4092">
        <w:t>prey, pollination, habitat, and dispersal</w:t>
      </w:r>
      <w:r w:rsidR="008D3F6A">
        <w:t xml:space="preserve"> vectors</w:t>
      </w:r>
      <w:r w:rsidR="002E4092" w:rsidRPr="00FD644E">
        <w:t xml:space="preserve"> </w:t>
      </w:r>
      <w:r w:rsidR="002E4092">
        <w:t>(</w:t>
      </w:r>
      <w:r w:rsidR="002E4092" w:rsidRPr="00FD644E">
        <w:t>PPHD</w:t>
      </w:r>
      <w:r w:rsidR="002E4092">
        <w:t>)</w:t>
      </w:r>
      <w:r w:rsidR="00266071" w:rsidRPr="000C6A3E">
        <w:t xml:space="preserve">. </w:t>
      </w:r>
      <w:r w:rsidRPr="000C6A3E">
        <w:t xml:space="preserve"> Details on the individual </w:t>
      </w:r>
      <w:proofErr w:type="gramStart"/>
      <w:r w:rsidRPr="000C6A3E">
        <w:t>effects</w:t>
      </w:r>
      <w:proofErr w:type="gramEnd"/>
      <w:r w:rsidRPr="000C6A3E">
        <w:t xml:space="preserve"> determinations are found in </w:t>
      </w:r>
      <w:r w:rsidRPr="00BE2F82">
        <w:rPr>
          <w:b/>
        </w:rPr>
        <w:t>A</w:t>
      </w:r>
      <w:r w:rsidR="00ED0D37">
        <w:rPr>
          <w:b/>
        </w:rPr>
        <w:t>PPENDIX</w:t>
      </w:r>
      <w:r w:rsidRPr="00BE2F82">
        <w:rPr>
          <w:b/>
        </w:rPr>
        <w:t xml:space="preserve"> 4-</w:t>
      </w:r>
      <w:r w:rsidR="00AB7C89" w:rsidRPr="00AB7C89">
        <w:rPr>
          <w:b/>
        </w:rPr>
        <w:t>1</w:t>
      </w:r>
      <w:r w:rsidRPr="000C6A3E">
        <w:t xml:space="preserve">. </w:t>
      </w:r>
      <w:r w:rsidR="00266071" w:rsidRPr="000C6A3E">
        <w:t xml:space="preserve">If the model estimates are not considered representative of the exposure of the species (due to an inconsistency in the exposure model and assessed species’ habitat), a qualitative analysis </w:t>
      </w:r>
      <w:r w:rsidR="00266071">
        <w:t>is</w:t>
      </w:r>
      <w:r w:rsidR="00266071" w:rsidRPr="000C6A3E">
        <w:t xml:space="preserve"> conducted. In those cases, EPA make</w:t>
      </w:r>
      <w:r w:rsidR="00266071">
        <w:t>s</w:t>
      </w:r>
      <w:r w:rsidR="00266071" w:rsidRPr="000C6A3E">
        <w:t xml:space="preserve"> either a LAA or a NLAA determination based on a qualitative weight of evidence.</w:t>
      </w:r>
      <w:r w:rsidR="00266071">
        <w:t xml:space="preserve"> </w:t>
      </w:r>
      <w:r w:rsidR="00C85ED0">
        <w:t>For each LAA determination, t</w:t>
      </w:r>
      <w:r w:rsidRPr="000C6A3E">
        <w:t>his assessment employs three categories (</w:t>
      </w:r>
      <w:r w:rsidRPr="000C6A3E">
        <w:rPr>
          <w:i/>
        </w:rPr>
        <w:t>i.e.,</w:t>
      </w:r>
      <w:r w:rsidRPr="000C6A3E">
        <w:t xml:space="preserve"> strongest, moderate and weakest) to </w:t>
      </w:r>
      <w:r w:rsidR="00006AE3">
        <w:t>characterize</w:t>
      </w:r>
      <w:r w:rsidR="00006AE3" w:rsidRPr="000C6A3E">
        <w:t xml:space="preserve"> </w:t>
      </w:r>
      <w:r w:rsidRPr="000C6A3E">
        <w:t xml:space="preserve">the </w:t>
      </w:r>
      <w:r w:rsidR="00C85ED0">
        <w:t>strength</w:t>
      </w:r>
      <w:r w:rsidR="00C85ED0" w:rsidRPr="000C6A3E">
        <w:t xml:space="preserve"> </w:t>
      </w:r>
      <w:r w:rsidR="00C85ED0">
        <w:t>of</w:t>
      </w:r>
      <w:r w:rsidRPr="000C6A3E">
        <w:t xml:space="preserve"> the weight of evidence. </w:t>
      </w:r>
      <w:r w:rsidR="00FD644E">
        <w:t>E</w:t>
      </w:r>
      <w:r w:rsidR="00FD644E" w:rsidRPr="00FD644E">
        <w:t xml:space="preserve">ach species or critical habitat was assigned a weak, moderate or strong evidence in the LAA determination based on multiple factors, including: the impact of using less conservative assumptions in the analysis, the quality of the species range or usage data, impacts to both the species and PPHD as opposed to only one, the presence of reported incidents involving the species taxa or PPHD taxa, the presence of monitoring data that exceeds endpoints, exposure only due to spray drift and the likelihood of drift into a species habitat (e.g., if the species inhabits forests). </w:t>
      </w:r>
    </w:p>
    <w:p w14:paraId="1134CF2E" w14:textId="1ECC4D55" w:rsidR="007655CF" w:rsidRPr="007B79A6" w:rsidRDefault="006E289F" w:rsidP="0090266C">
      <w:r w:rsidRPr="00DC04D5">
        <w:t xml:space="preserve"> </w:t>
      </w:r>
      <w:r w:rsidR="003873C0" w:rsidRPr="00DC04D5">
        <w:t xml:space="preserve"> </w:t>
      </w:r>
    </w:p>
    <w:p w14:paraId="541CA436" w14:textId="2DF9BFA7" w:rsidR="006544B5" w:rsidRDefault="000C2F82" w:rsidP="00FA3E72">
      <w:r>
        <w:t xml:space="preserve">Of the LAA determinations, </w:t>
      </w:r>
      <w:r w:rsidR="00631002">
        <w:t>the majority (</w:t>
      </w:r>
      <w:r w:rsidR="00C31041">
        <w:t>9</w:t>
      </w:r>
      <w:r w:rsidR="00BC793B">
        <w:t>6</w:t>
      </w:r>
      <w:r>
        <w:t xml:space="preserve">% </w:t>
      </w:r>
      <w:r w:rsidR="00631002">
        <w:t xml:space="preserve">of species and </w:t>
      </w:r>
      <w:r w:rsidR="00C31041">
        <w:t>97</w:t>
      </w:r>
      <w:r w:rsidR="00631002">
        <w:t>% of critical habitats)</w:t>
      </w:r>
      <w:r>
        <w:t xml:space="preserve"> were considered to have moderate evidence</w:t>
      </w:r>
      <w:r w:rsidR="003177C9">
        <w:t xml:space="preserve">. </w:t>
      </w:r>
      <w:bookmarkStart w:id="2" w:name="_Hlk57013924"/>
      <w:proofErr w:type="gramStart"/>
      <w:r w:rsidR="00BC793B">
        <w:t>The majority of</w:t>
      </w:r>
      <w:proofErr w:type="gramEnd"/>
      <w:r w:rsidR="00BC793B">
        <w:t xml:space="preserve"> the moderate evidence designations were based on non-agricultural uses being the main risk drivers and the lack of availability and uncertainty in usage data associated with these use sites.</w:t>
      </w:r>
      <w:r w:rsidR="00BC793B" w:rsidRPr="00BC793B" w:rsidDel="00BC793B">
        <w:t xml:space="preserve"> </w:t>
      </w:r>
      <w:bookmarkEnd w:id="2"/>
      <w:r w:rsidR="003177C9" w:rsidRPr="00BC793B">
        <w:t xml:space="preserve">Strongest evidence was found for </w:t>
      </w:r>
      <w:r w:rsidR="00C31041" w:rsidRPr="00BC793B">
        <w:t>&lt;1</w:t>
      </w:r>
      <w:r w:rsidR="003177C9" w:rsidRPr="00BC793B">
        <w:t xml:space="preserve">% of species and </w:t>
      </w:r>
      <w:r w:rsidR="00BC793B">
        <w:t>&lt;</w:t>
      </w:r>
      <w:r w:rsidR="00C31041" w:rsidRPr="00BC793B">
        <w:t>1</w:t>
      </w:r>
      <w:r w:rsidR="003177C9" w:rsidRPr="00BC793B">
        <w:t>% of critical habitat LAA determinations.</w:t>
      </w:r>
      <w:r w:rsidRPr="00BC793B">
        <w:t xml:space="preserve"> </w:t>
      </w:r>
      <w:r w:rsidR="003177C9" w:rsidRPr="00BC793B">
        <w:t xml:space="preserve">Weakest evidence was found for </w:t>
      </w:r>
      <w:r w:rsidR="00BC793B">
        <w:t>4</w:t>
      </w:r>
      <w:r w:rsidRPr="00BC793B">
        <w:t xml:space="preserve">% </w:t>
      </w:r>
      <w:r w:rsidR="003177C9" w:rsidRPr="00BC793B">
        <w:t xml:space="preserve">of species and </w:t>
      </w:r>
      <w:r w:rsidR="00BC793B">
        <w:t>3</w:t>
      </w:r>
      <w:r w:rsidR="003177C9" w:rsidRPr="00BC793B">
        <w:t>% of critical habitat LAA determinations.</w:t>
      </w:r>
      <w:r w:rsidR="00BC793B" w:rsidRPr="00BC793B">
        <w:t xml:space="preserve"> </w:t>
      </w:r>
      <w:r>
        <w:t xml:space="preserve"> </w:t>
      </w:r>
    </w:p>
    <w:p w14:paraId="17B4DAD4" w14:textId="77777777" w:rsidR="006544B5" w:rsidRDefault="006544B5" w:rsidP="00FA3E72"/>
    <w:p w14:paraId="2E81FB16" w14:textId="5A5CE44D" w:rsidR="00FA3E72" w:rsidRDefault="00C31041" w:rsidP="00FA3E72">
      <w:r>
        <w:t>Non-agricultural UDLs, including Non-cultivated, Open Space Developed, Right of Way, Forest Trees and Developed</w:t>
      </w:r>
      <w:r w:rsidR="000C2F82">
        <w:t xml:space="preserve"> were the use sites most frequently associated with</w:t>
      </w:r>
      <w:r w:rsidR="237360F0">
        <w:t xml:space="preserve"> predicted</w:t>
      </w:r>
      <w:r w:rsidR="000C2F82">
        <w:t xml:space="preserve"> impacts to species or critical habitats with LAA determinations</w:t>
      </w:r>
      <w:r w:rsidR="00637D92">
        <w:t>,</w:t>
      </w:r>
      <w:r w:rsidR="00637D92" w:rsidRPr="00637D92">
        <w:t xml:space="preserve"> </w:t>
      </w:r>
      <w:r w:rsidR="00637D92">
        <w:t>although numerous other non-agricultural and agricultural UDLS may also impact species</w:t>
      </w:r>
      <w:r w:rsidR="000C2F82">
        <w:t>.</w:t>
      </w:r>
      <w:r w:rsidR="00631002">
        <w:t xml:space="preserve"> </w:t>
      </w:r>
      <w:r>
        <w:t>The Aquatic Herbicide UDL</w:t>
      </w:r>
      <w:r w:rsidR="00CF48EB">
        <w:t>, which</w:t>
      </w:r>
      <w:r>
        <w:t xml:space="preserve"> has overlap with all aquatic species ranges and</w:t>
      </w:r>
      <w:r w:rsidR="00653ADF">
        <w:t xml:space="preserve"> critical habitats</w:t>
      </w:r>
      <w:r w:rsidR="00CF48EB">
        <w:t>,</w:t>
      </w:r>
      <w:r>
        <w:t xml:space="preserve"> is also anticipated to have</w:t>
      </w:r>
      <w:r w:rsidR="00653ADF">
        <w:t xml:space="preserve"> potential </w:t>
      </w:r>
      <w:r>
        <w:t>impacts</w:t>
      </w:r>
      <w:r w:rsidR="0056475E">
        <w:t xml:space="preserve"> on </w:t>
      </w:r>
      <w:r w:rsidR="00816821">
        <w:t xml:space="preserve">aquatic </w:t>
      </w:r>
      <w:r w:rsidR="0056475E">
        <w:t xml:space="preserve">species for which a LAA </w:t>
      </w:r>
      <w:r w:rsidR="0056475E">
        <w:lastRenderedPageBreak/>
        <w:t>determination was made</w:t>
      </w:r>
      <w:r>
        <w:t xml:space="preserve">. </w:t>
      </w:r>
      <w:r w:rsidR="003625CA" w:rsidRPr="003625CA">
        <w:t xml:space="preserve"> </w:t>
      </w:r>
      <w:r w:rsidR="003625CA">
        <w:t xml:space="preserve">LAA determinations were made for species across all taxa. </w:t>
      </w:r>
      <w:r w:rsidR="00743F08" w:rsidRPr="446212B1">
        <w:rPr>
          <w:i/>
          <w:iCs/>
        </w:rPr>
        <w:t xml:space="preserve"> </w:t>
      </w:r>
      <w:r w:rsidR="00743F08">
        <w:t xml:space="preserve">For certain species, there were uncertainties in the </w:t>
      </w:r>
      <w:r w:rsidR="00A0790B">
        <w:t>glyphosate</w:t>
      </w:r>
      <w:r w:rsidR="002C401D">
        <w:t xml:space="preserve"> </w:t>
      </w:r>
      <w:r w:rsidR="00743F08">
        <w:t>effects determinations based on the resolution of spatial data</w:t>
      </w:r>
      <w:r w:rsidR="00A028B8">
        <w:t>. For species and critical habitats there were uncertainties</w:t>
      </w:r>
      <w:r w:rsidR="006544B5">
        <w:t xml:space="preserve"> in the</w:t>
      </w:r>
      <w:r w:rsidR="00A028B8">
        <w:t xml:space="preserve"> </w:t>
      </w:r>
      <w:r w:rsidR="00743F08">
        <w:t xml:space="preserve">resolution of usage data and the threshold for assessing impacts on PPHD (detailed in </w:t>
      </w:r>
      <w:r w:rsidR="00743F08" w:rsidRPr="446212B1">
        <w:rPr>
          <w:b/>
          <w:bCs/>
        </w:rPr>
        <w:t>Chapter 4</w:t>
      </w:r>
      <w:r w:rsidR="00743F08">
        <w:t>).</w:t>
      </w:r>
      <w:r w:rsidR="00743F08" w:rsidRPr="446212B1">
        <w:rPr>
          <w:i/>
          <w:iCs/>
        </w:rPr>
        <w:t xml:space="preserve"> </w:t>
      </w:r>
      <w:r w:rsidR="00C85ED0" w:rsidRPr="00AD0553">
        <w:t xml:space="preserve">Tables </w:t>
      </w:r>
      <w:r w:rsidR="009A5892" w:rsidRPr="00AD0553">
        <w:t>1 and</w:t>
      </w:r>
      <w:r w:rsidR="007E6AE0" w:rsidRPr="00AD0553">
        <w:t xml:space="preserve"> 2 </w:t>
      </w:r>
      <w:r w:rsidR="00C85ED0" w:rsidRPr="00AD0553">
        <w:t>summarize the NE, NLAA and LAA determinations for species and critical habitats.</w:t>
      </w:r>
      <w:r w:rsidR="00D1256E" w:rsidRPr="00AD0553">
        <w:t xml:space="preserve">  Table 3</w:t>
      </w:r>
      <w:r w:rsidR="00D1256E">
        <w:t xml:space="preserve"> summarizes the </w:t>
      </w:r>
      <w:r w:rsidR="00F06B22">
        <w:t>strength of evidence classifications for the</w:t>
      </w:r>
      <w:r w:rsidR="00D1256E">
        <w:t xml:space="preserve"> LAA determinations</w:t>
      </w:r>
      <w:r w:rsidR="00F06B22">
        <w:t>.</w:t>
      </w:r>
    </w:p>
    <w:p w14:paraId="354E98E2" w14:textId="3075026D" w:rsidR="00867F6F" w:rsidRDefault="00867F6F" w:rsidP="00FA3E72"/>
    <w:p w14:paraId="7182A354" w14:textId="6B53D57A" w:rsidR="00B408AC" w:rsidRPr="000903AD" w:rsidRDefault="00B408AC" w:rsidP="00B408AC">
      <w:pPr>
        <w:keepNext/>
        <w:rPr>
          <w:b/>
        </w:rPr>
      </w:pPr>
      <w:r w:rsidRPr="000903AD">
        <w:rPr>
          <w:b/>
        </w:rPr>
        <w:t>T</w:t>
      </w:r>
      <w:r>
        <w:rPr>
          <w:b/>
        </w:rPr>
        <w:t>able</w:t>
      </w:r>
      <w:r w:rsidRPr="000903AD">
        <w:rPr>
          <w:b/>
        </w:rPr>
        <w:t xml:space="preserve"> </w:t>
      </w:r>
      <w:r>
        <w:rPr>
          <w:b/>
        </w:rPr>
        <w:t>1</w:t>
      </w:r>
      <w:r w:rsidRPr="000903AD">
        <w:rPr>
          <w:b/>
        </w:rPr>
        <w:t xml:space="preserve">. Summary of Species Effects Determinations for </w:t>
      </w:r>
      <w:r w:rsidR="00A0790B">
        <w:rPr>
          <w:b/>
        </w:rPr>
        <w:t>Glyphosate</w:t>
      </w:r>
      <w:r w:rsidRPr="000903AD">
        <w:rPr>
          <w:b/>
        </w:rPr>
        <w:t xml:space="preserve"> (Counts by Taxon).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834"/>
        <w:gridCol w:w="980"/>
        <w:gridCol w:w="2064"/>
        <w:gridCol w:w="2250"/>
        <w:gridCol w:w="720"/>
      </w:tblGrid>
      <w:tr w:rsidR="00B408AC" w:rsidRPr="0016247A" w14:paraId="1BEB081C" w14:textId="77777777" w:rsidTr="00A87C73">
        <w:trPr>
          <w:trHeight w:val="315"/>
        </w:trPr>
        <w:tc>
          <w:tcPr>
            <w:tcW w:w="1787" w:type="dxa"/>
            <w:vMerge w:val="restart"/>
            <w:shd w:val="clear" w:color="auto" w:fill="E7E6E6" w:themeFill="background2"/>
            <w:noWrap/>
            <w:vAlign w:val="center"/>
            <w:hideMark/>
          </w:tcPr>
          <w:p w14:paraId="3BC0C46D" w14:textId="77777777" w:rsidR="00B408AC" w:rsidRPr="002E4092" w:rsidRDefault="00B408AC" w:rsidP="00A87C73">
            <w:pPr>
              <w:keepNext/>
              <w:jc w:val="center"/>
              <w:rPr>
                <w:rFonts w:ascii="Calibri" w:hAnsi="Calibri"/>
                <w:b/>
                <w:sz w:val="20"/>
              </w:rPr>
            </w:pPr>
            <w:r w:rsidRPr="002E4092">
              <w:rPr>
                <w:rFonts w:ascii="Calibri" w:hAnsi="Calibri"/>
                <w:b/>
                <w:sz w:val="20"/>
              </w:rPr>
              <w:t>Taxon</w:t>
            </w:r>
          </w:p>
        </w:tc>
        <w:tc>
          <w:tcPr>
            <w:tcW w:w="1814" w:type="dxa"/>
            <w:gridSpan w:val="2"/>
            <w:shd w:val="clear" w:color="auto" w:fill="E7E6E6" w:themeFill="background2"/>
            <w:vAlign w:val="center"/>
            <w:hideMark/>
          </w:tcPr>
          <w:p w14:paraId="6D3C6DA0" w14:textId="77777777" w:rsidR="00B408AC" w:rsidRPr="002E4092" w:rsidRDefault="00B408AC" w:rsidP="00A87C73">
            <w:pPr>
              <w:keepNext/>
              <w:jc w:val="center"/>
              <w:rPr>
                <w:rFonts w:ascii="Calibri" w:hAnsi="Calibri"/>
                <w:b/>
                <w:sz w:val="20"/>
              </w:rPr>
            </w:pPr>
            <w:r w:rsidRPr="002E4092">
              <w:rPr>
                <w:rFonts w:ascii="Calibri" w:hAnsi="Calibri"/>
                <w:b/>
                <w:sz w:val="20"/>
              </w:rPr>
              <w:t>Step 1 Effects Determinations</w:t>
            </w:r>
          </w:p>
        </w:tc>
        <w:tc>
          <w:tcPr>
            <w:tcW w:w="4314" w:type="dxa"/>
            <w:gridSpan w:val="2"/>
            <w:shd w:val="clear" w:color="auto" w:fill="E7E6E6" w:themeFill="background2"/>
            <w:noWrap/>
            <w:vAlign w:val="center"/>
            <w:hideMark/>
          </w:tcPr>
          <w:p w14:paraId="42467FC5" w14:textId="77777777" w:rsidR="00B408AC" w:rsidRPr="002E4092" w:rsidRDefault="00B408AC" w:rsidP="00A87C73">
            <w:pPr>
              <w:keepNext/>
              <w:jc w:val="center"/>
              <w:rPr>
                <w:rFonts w:ascii="Calibri" w:hAnsi="Calibri"/>
                <w:b/>
                <w:sz w:val="20"/>
              </w:rPr>
            </w:pPr>
            <w:r w:rsidRPr="002E4092">
              <w:rPr>
                <w:rFonts w:ascii="Calibri" w:hAnsi="Calibri"/>
                <w:b/>
                <w:sz w:val="20"/>
              </w:rPr>
              <w:t>Step 2 Effects Determinations</w:t>
            </w:r>
          </w:p>
        </w:tc>
        <w:tc>
          <w:tcPr>
            <w:tcW w:w="720" w:type="dxa"/>
            <w:vMerge w:val="restart"/>
            <w:shd w:val="clear" w:color="auto" w:fill="E7E6E6" w:themeFill="background2"/>
            <w:noWrap/>
            <w:vAlign w:val="center"/>
            <w:hideMark/>
          </w:tcPr>
          <w:p w14:paraId="25A09118" w14:textId="77777777" w:rsidR="00B408AC" w:rsidRPr="0016247A" w:rsidRDefault="00B408AC" w:rsidP="00A87C73">
            <w:pPr>
              <w:keepNext/>
              <w:jc w:val="center"/>
              <w:rPr>
                <w:rFonts w:ascii="Calibri" w:hAnsi="Calibri"/>
                <w:b/>
                <w:sz w:val="20"/>
                <w:highlight w:val="yellow"/>
              </w:rPr>
            </w:pPr>
            <w:r w:rsidRPr="002E4092">
              <w:rPr>
                <w:rFonts w:ascii="Calibri" w:hAnsi="Calibri"/>
                <w:b/>
                <w:sz w:val="20"/>
              </w:rPr>
              <w:t>Totals</w:t>
            </w:r>
          </w:p>
        </w:tc>
      </w:tr>
      <w:tr w:rsidR="00B408AC" w:rsidRPr="0016247A" w14:paraId="1B4C7835" w14:textId="77777777" w:rsidTr="00A87C73">
        <w:trPr>
          <w:trHeight w:val="665"/>
        </w:trPr>
        <w:tc>
          <w:tcPr>
            <w:tcW w:w="1787" w:type="dxa"/>
            <w:vMerge/>
            <w:vAlign w:val="center"/>
            <w:hideMark/>
          </w:tcPr>
          <w:p w14:paraId="22A2CB1A" w14:textId="77777777" w:rsidR="00B408AC" w:rsidRPr="002E4092" w:rsidRDefault="00B408AC" w:rsidP="00A87C73">
            <w:pPr>
              <w:keepNext/>
              <w:rPr>
                <w:rFonts w:ascii="Calibri" w:hAnsi="Calibri"/>
                <w:b/>
                <w:sz w:val="20"/>
              </w:rPr>
            </w:pPr>
          </w:p>
        </w:tc>
        <w:tc>
          <w:tcPr>
            <w:tcW w:w="834" w:type="dxa"/>
            <w:shd w:val="clear" w:color="auto" w:fill="E7E6E6" w:themeFill="background2"/>
            <w:vAlign w:val="center"/>
            <w:hideMark/>
          </w:tcPr>
          <w:p w14:paraId="5A566F5F" w14:textId="77777777" w:rsidR="00B408AC" w:rsidRPr="002E4092" w:rsidRDefault="00B408AC" w:rsidP="00A87C73">
            <w:pPr>
              <w:keepNext/>
              <w:jc w:val="center"/>
              <w:rPr>
                <w:rFonts w:ascii="Calibri" w:hAnsi="Calibri"/>
                <w:b/>
                <w:sz w:val="20"/>
              </w:rPr>
            </w:pPr>
            <w:r w:rsidRPr="002E4092">
              <w:rPr>
                <w:rFonts w:cstheme="minorHAnsi"/>
                <w:b/>
                <w:sz w:val="20"/>
              </w:rPr>
              <w:t>No Effect</w:t>
            </w:r>
          </w:p>
        </w:tc>
        <w:tc>
          <w:tcPr>
            <w:tcW w:w="980" w:type="dxa"/>
            <w:shd w:val="clear" w:color="auto" w:fill="E7E6E6" w:themeFill="background2"/>
            <w:vAlign w:val="center"/>
            <w:hideMark/>
          </w:tcPr>
          <w:p w14:paraId="40FB81ED" w14:textId="77777777" w:rsidR="00B408AC" w:rsidRPr="002E4092" w:rsidRDefault="00B408AC" w:rsidP="00A87C73">
            <w:pPr>
              <w:keepNext/>
              <w:jc w:val="center"/>
              <w:rPr>
                <w:rFonts w:ascii="Calibri" w:hAnsi="Calibri"/>
                <w:b/>
                <w:sz w:val="20"/>
              </w:rPr>
            </w:pPr>
            <w:r w:rsidRPr="002E4092">
              <w:rPr>
                <w:rFonts w:cstheme="minorHAnsi"/>
                <w:b/>
                <w:sz w:val="20"/>
              </w:rPr>
              <w:t>May Affect</w:t>
            </w:r>
          </w:p>
        </w:tc>
        <w:tc>
          <w:tcPr>
            <w:tcW w:w="2064" w:type="dxa"/>
            <w:shd w:val="clear" w:color="auto" w:fill="E7E6E6" w:themeFill="background2"/>
            <w:noWrap/>
            <w:vAlign w:val="center"/>
            <w:hideMark/>
          </w:tcPr>
          <w:p w14:paraId="0BB448F4" w14:textId="77777777" w:rsidR="00B408AC" w:rsidRPr="002E4092" w:rsidRDefault="00B408AC" w:rsidP="00A87C73">
            <w:pPr>
              <w:keepNext/>
              <w:jc w:val="center"/>
              <w:rPr>
                <w:rFonts w:ascii="Calibri" w:hAnsi="Calibri"/>
                <w:b/>
                <w:sz w:val="20"/>
              </w:rPr>
            </w:pPr>
            <w:r w:rsidRPr="002E4092">
              <w:rPr>
                <w:rFonts w:cstheme="minorHAnsi"/>
                <w:b/>
                <w:sz w:val="20"/>
              </w:rPr>
              <w:t>Not Likely to Adversely Affect</w:t>
            </w:r>
          </w:p>
        </w:tc>
        <w:tc>
          <w:tcPr>
            <w:tcW w:w="2250" w:type="dxa"/>
            <w:shd w:val="clear" w:color="auto" w:fill="E7E6E6" w:themeFill="background2"/>
            <w:noWrap/>
            <w:vAlign w:val="center"/>
            <w:hideMark/>
          </w:tcPr>
          <w:p w14:paraId="1E5F62AE" w14:textId="77777777" w:rsidR="00B408AC" w:rsidRPr="002E4092" w:rsidRDefault="00B408AC" w:rsidP="00A87C73">
            <w:pPr>
              <w:keepNext/>
              <w:jc w:val="center"/>
              <w:rPr>
                <w:rFonts w:ascii="Calibri" w:hAnsi="Calibri"/>
                <w:b/>
                <w:sz w:val="20"/>
              </w:rPr>
            </w:pPr>
            <w:r w:rsidRPr="002E4092">
              <w:rPr>
                <w:rFonts w:cstheme="minorHAnsi"/>
                <w:b/>
                <w:sz w:val="20"/>
              </w:rPr>
              <w:t>Likely to Adversely Affect</w:t>
            </w:r>
          </w:p>
        </w:tc>
        <w:tc>
          <w:tcPr>
            <w:tcW w:w="720" w:type="dxa"/>
            <w:vMerge/>
            <w:vAlign w:val="center"/>
            <w:hideMark/>
          </w:tcPr>
          <w:p w14:paraId="4C595CDD" w14:textId="77777777" w:rsidR="00B408AC" w:rsidRPr="0016247A" w:rsidRDefault="00B408AC" w:rsidP="00A87C73">
            <w:pPr>
              <w:keepNext/>
              <w:rPr>
                <w:rFonts w:ascii="Calibri" w:hAnsi="Calibri"/>
                <w:b/>
                <w:sz w:val="20"/>
                <w:highlight w:val="yellow"/>
              </w:rPr>
            </w:pPr>
          </w:p>
        </w:tc>
      </w:tr>
      <w:tr w:rsidR="00BC793B" w:rsidRPr="0016247A" w14:paraId="6E834B6C" w14:textId="77777777" w:rsidTr="00AD0553">
        <w:trPr>
          <w:trHeight w:val="315"/>
        </w:trPr>
        <w:tc>
          <w:tcPr>
            <w:tcW w:w="1787" w:type="dxa"/>
            <w:shd w:val="clear" w:color="auto" w:fill="auto"/>
            <w:noWrap/>
            <w:vAlign w:val="center"/>
            <w:hideMark/>
          </w:tcPr>
          <w:p w14:paraId="5FAC4EA3" w14:textId="0C04AC82" w:rsidR="00BC793B" w:rsidRPr="002E4092" w:rsidRDefault="00BC793B" w:rsidP="00BC793B">
            <w:pPr>
              <w:keepNext/>
              <w:rPr>
                <w:rFonts w:cstheme="minorHAnsi"/>
                <w:sz w:val="20"/>
              </w:rPr>
            </w:pPr>
            <w:r w:rsidRPr="0049683E">
              <w:rPr>
                <w:rFonts w:ascii="Calibri" w:hAnsi="Calibri" w:cs="Calibri"/>
                <w:sz w:val="20"/>
              </w:rPr>
              <w:t>Mammals</w:t>
            </w:r>
          </w:p>
        </w:tc>
        <w:tc>
          <w:tcPr>
            <w:tcW w:w="834" w:type="dxa"/>
            <w:shd w:val="clear" w:color="auto" w:fill="auto"/>
            <w:vAlign w:val="center"/>
            <w:hideMark/>
          </w:tcPr>
          <w:p w14:paraId="7051A4B2" w14:textId="755615E9" w:rsidR="00BC793B" w:rsidRPr="0016247A" w:rsidRDefault="00BC793B" w:rsidP="00BC793B">
            <w:pPr>
              <w:keepNext/>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07282692" w14:textId="70074569" w:rsidR="00BC793B" w:rsidRPr="0016247A" w:rsidRDefault="00BC793B" w:rsidP="00BC793B">
            <w:pPr>
              <w:keepNext/>
              <w:jc w:val="center"/>
              <w:rPr>
                <w:rFonts w:cstheme="minorHAnsi"/>
                <w:sz w:val="20"/>
                <w:highlight w:val="yellow"/>
              </w:rPr>
            </w:pPr>
            <w:r w:rsidRPr="0049683E">
              <w:rPr>
                <w:rFonts w:ascii="Calibri" w:hAnsi="Calibri" w:cs="Calibri"/>
                <w:sz w:val="20"/>
              </w:rPr>
              <w:t>99</w:t>
            </w:r>
          </w:p>
        </w:tc>
        <w:tc>
          <w:tcPr>
            <w:tcW w:w="2064" w:type="dxa"/>
            <w:shd w:val="clear" w:color="auto" w:fill="auto"/>
            <w:noWrap/>
            <w:vAlign w:val="center"/>
            <w:hideMark/>
          </w:tcPr>
          <w:p w14:paraId="2A5C63B7" w14:textId="02810CFB" w:rsidR="00BC793B" w:rsidRPr="0016247A" w:rsidRDefault="00BC793B" w:rsidP="00BC793B">
            <w:pPr>
              <w:keepNext/>
              <w:jc w:val="center"/>
              <w:rPr>
                <w:rFonts w:cstheme="minorHAnsi"/>
                <w:sz w:val="20"/>
                <w:highlight w:val="yellow"/>
              </w:rPr>
            </w:pPr>
            <w:r w:rsidRPr="0049683E">
              <w:rPr>
                <w:rFonts w:ascii="Calibri" w:hAnsi="Calibri" w:cs="Calibri"/>
                <w:sz w:val="20"/>
              </w:rPr>
              <w:t>24</w:t>
            </w:r>
          </w:p>
        </w:tc>
        <w:tc>
          <w:tcPr>
            <w:tcW w:w="2250" w:type="dxa"/>
            <w:shd w:val="clear" w:color="auto" w:fill="auto"/>
            <w:noWrap/>
            <w:vAlign w:val="center"/>
            <w:hideMark/>
          </w:tcPr>
          <w:p w14:paraId="356A318F" w14:textId="24BB09BC" w:rsidR="00BC793B" w:rsidRPr="0016247A" w:rsidRDefault="00BC793B" w:rsidP="00BC793B">
            <w:pPr>
              <w:keepNext/>
              <w:jc w:val="center"/>
              <w:rPr>
                <w:rFonts w:cstheme="minorHAnsi"/>
                <w:sz w:val="20"/>
                <w:highlight w:val="yellow"/>
              </w:rPr>
            </w:pPr>
            <w:r w:rsidRPr="0049683E">
              <w:rPr>
                <w:rFonts w:ascii="Calibri" w:hAnsi="Calibri" w:cs="Calibri"/>
                <w:sz w:val="20"/>
              </w:rPr>
              <w:t>75</w:t>
            </w:r>
          </w:p>
        </w:tc>
        <w:tc>
          <w:tcPr>
            <w:tcW w:w="720" w:type="dxa"/>
            <w:shd w:val="clear" w:color="auto" w:fill="auto"/>
            <w:noWrap/>
            <w:vAlign w:val="center"/>
          </w:tcPr>
          <w:p w14:paraId="45FBF8C4" w14:textId="32201D9D" w:rsidR="00BC793B" w:rsidRPr="0016247A" w:rsidRDefault="00BC793B" w:rsidP="00BC793B">
            <w:pPr>
              <w:keepNext/>
              <w:jc w:val="center"/>
              <w:rPr>
                <w:rFonts w:cstheme="minorHAnsi"/>
                <w:sz w:val="20"/>
                <w:highlight w:val="yellow"/>
              </w:rPr>
            </w:pPr>
            <w:r w:rsidRPr="0049683E">
              <w:rPr>
                <w:rFonts w:ascii="Calibri" w:hAnsi="Calibri" w:cs="Calibri"/>
                <w:sz w:val="20"/>
              </w:rPr>
              <w:t>99</w:t>
            </w:r>
          </w:p>
        </w:tc>
      </w:tr>
      <w:tr w:rsidR="00BC793B" w:rsidRPr="0016247A" w14:paraId="78E5DC46" w14:textId="77777777" w:rsidTr="00AD0553">
        <w:trPr>
          <w:trHeight w:val="315"/>
        </w:trPr>
        <w:tc>
          <w:tcPr>
            <w:tcW w:w="1787" w:type="dxa"/>
            <w:shd w:val="clear" w:color="auto" w:fill="auto"/>
            <w:noWrap/>
            <w:vAlign w:val="center"/>
            <w:hideMark/>
          </w:tcPr>
          <w:p w14:paraId="3DF14E5E" w14:textId="102594FC" w:rsidR="00BC793B" w:rsidRPr="002E4092" w:rsidRDefault="00BC793B" w:rsidP="00BC793B">
            <w:pPr>
              <w:rPr>
                <w:rFonts w:cstheme="minorHAnsi"/>
                <w:sz w:val="20"/>
              </w:rPr>
            </w:pPr>
            <w:r w:rsidRPr="0049683E">
              <w:rPr>
                <w:rFonts w:ascii="Calibri" w:hAnsi="Calibri" w:cs="Calibri"/>
                <w:sz w:val="20"/>
              </w:rPr>
              <w:t>Birds</w:t>
            </w:r>
          </w:p>
        </w:tc>
        <w:tc>
          <w:tcPr>
            <w:tcW w:w="834" w:type="dxa"/>
            <w:shd w:val="clear" w:color="auto" w:fill="auto"/>
            <w:vAlign w:val="center"/>
            <w:hideMark/>
          </w:tcPr>
          <w:p w14:paraId="6D5847C9" w14:textId="504578B3"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6EC6C97A" w14:textId="332ED6BD" w:rsidR="00BC793B" w:rsidRPr="0016247A" w:rsidRDefault="00BC793B" w:rsidP="00BC793B">
            <w:pPr>
              <w:jc w:val="center"/>
              <w:rPr>
                <w:rFonts w:cstheme="minorHAnsi"/>
                <w:sz w:val="20"/>
                <w:highlight w:val="yellow"/>
              </w:rPr>
            </w:pPr>
            <w:r w:rsidRPr="0049683E">
              <w:rPr>
                <w:rFonts w:ascii="Calibri" w:hAnsi="Calibri" w:cs="Calibri"/>
                <w:sz w:val="20"/>
              </w:rPr>
              <w:t>108</w:t>
            </w:r>
          </w:p>
        </w:tc>
        <w:tc>
          <w:tcPr>
            <w:tcW w:w="2064" w:type="dxa"/>
            <w:shd w:val="clear" w:color="auto" w:fill="auto"/>
            <w:noWrap/>
            <w:vAlign w:val="center"/>
            <w:hideMark/>
          </w:tcPr>
          <w:p w14:paraId="5B2C370B" w14:textId="7F5BF078" w:rsidR="00BC793B" w:rsidRPr="0016247A" w:rsidRDefault="00BC793B" w:rsidP="00BC793B">
            <w:pPr>
              <w:jc w:val="center"/>
              <w:rPr>
                <w:rFonts w:cstheme="minorHAnsi"/>
                <w:sz w:val="20"/>
                <w:highlight w:val="yellow"/>
              </w:rPr>
            </w:pPr>
            <w:r w:rsidRPr="0049683E">
              <w:rPr>
                <w:rFonts w:ascii="Calibri" w:hAnsi="Calibri" w:cs="Calibri"/>
                <w:sz w:val="20"/>
              </w:rPr>
              <w:t>20</w:t>
            </w:r>
          </w:p>
        </w:tc>
        <w:tc>
          <w:tcPr>
            <w:tcW w:w="2250" w:type="dxa"/>
            <w:shd w:val="clear" w:color="auto" w:fill="auto"/>
            <w:noWrap/>
            <w:vAlign w:val="center"/>
            <w:hideMark/>
          </w:tcPr>
          <w:p w14:paraId="4A488639" w14:textId="7ADDA795" w:rsidR="00BC793B" w:rsidRPr="0016247A" w:rsidRDefault="00BC793B" w:rsidP="00BC793B">
            <w:pPr>
              <w:jc w:val="center"/>
              <w:rPr>
                <w:rFonts w:cstheme="minorHAnsi"/>
                <w:sz w:val="20"/>
                <w:highlight w:val="yellow"/>
              </w:rPr>
            </w:pPr>
            <w:r w:rsidRPr="0049683E">
              <w:rPr>
                <w:rFonts w:ascii="Calibri" w:hAnsi="Calibri" w:cs="Calibri"/>
                <w:sz w:val="20"/>
              </w:rPr>
              <w:t>88</w:t>
            </w:r>
          </w:p>
        </w:tc>
        <w:tc>
          <w:tcPr>
            <w:tcW w:w="720" w:type="dxa"/>
            <w:shd w:val="clear" w:color="auto" w:fill="auto"/>
            <w:noWrap/>
            <w:vAlign w:val="center"/>
          </w:tcPr>
          <w:p w14:paraId="5B5221C1" w14:textId="68DFE70A" w:rsidR="00BC793B" w:rsidRPr="0016247A" w:rsidRDefault="00BC793B" w:rsidP="00BC793B">
            <w:pPr>
              <w:jc w:val="center"/>
              <w:rPr>
                <w:rFonts w:cstheme="minorHAnsi"/>
                <w:sz w:val="20"/>
                <w:highlight w:val="yellow"/>
              </w:rPr>
            </w:pPr>
            <w:r w:rsidRPr="0049683E">
              <w:rPr>
                <w:rFonts w:ascii="Calibri" w:hAnsi="Calibri" w:cs="Calibri"/>
                <w:sz w:val="20"/>
              </w:rPr>
              <w:t>108</w:t>
            </w:r>
          </w:p>
        </w:tc>
      </w:tr>
      <w:tr w:rsidR="00BC793B" w:rsidRPr="0016247A" w14:paraId="54A4C76E" w14:textId="77777777" w:rsidTr="00AD0553">
        <w:trPr>
          <w:trHeight w:val="315"/>
        </w:trPr>
        <w:tc>
          <w:tcPr>
            <w:tcW w:w="1787" w:type="dxa"/>
            <w:shd w:val="clear" w:color="auto" w:fill="auto"/>
            <w:noWrap/>
            <w:vAlign w:val="center"/>
            <w:hideMark/>
          </w:tcPr>
          <w:p w14:paraId="2540709A" w14:textId="0F52C297" w:rsidR="00BC793B" w:rsidRPr="002E4092" w:rsidRDefault="00BC793B" w:rsidP="00BC793B">
            <w:pPr>
              <w:rPr>
                <w:rFonts w:cstheme="minorHAnsi"/>
                <w:sz w:val="20"/>
              </w:rPr>
            </w:pPr>
            <w:r w:rsidRPr="0049683E">
              <w:rPr>
                <w:rFonts w:ascii="Calibri" w:hAnsi="Calibri" w:cs="Calibri"/>
                <w:sz w:val="20"/>
              </w:rPr>
              <w:t>Amphibians</w:t>
            </w:r>
          </w:p>
        </w:tc>
        <w:tc>
          <w:tcPr>
            <w:tcW w:w="834" w:type="dxa"/>
            <w:shd w:val="clear" w:color="auto" w:fill="auto"/>
            <w:vAlign w:val="center"/>
            <w:hideMark/>
          </w:tcPr>
          <w:p w14:paraId="342C917F" w14:textId="137631BF"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2CD68EE7" w14:textId="3405B694" w:rsidR="00BC793B" w:rsidRPr="0016247A" w:rsidRDefault="00BC793B" w:rsidP="00BC793B">
            <w:pPr>
              <w:jc w:val="center"/>
              <w:rPr>
                <w:rFonts w:cstheme="minorHAnsi"/>
                <w:sz w:val="20"/>
                <w:highlight w:val="yellow"/>
              </w:rPr>
            </w:pPr>
            <w:r w:rsidRPr="0049683E">
              <w:rPr>
                <w:rFonts w:ascii="Calibri" w:hAnsi="Calibri" w:cs="Calibri"/>
                <w:sz w:val="20"/>
              </w:rPr>
              <w:t>36</w:t>
            </w:r>
          </w:p>
        </w:tc>
        <w:tc>
          <w:tcPr>
            <w:tcW w:w="2064" w:type="dxa"/>
            <w:shd w:val="clear" w:color="auto" w:fill="auto"/>
            <w:noWrap/>
            <w:vAlign w:val="center"/>
            <w:hideMark/>
          </w:tcPr>
          <w:p w14:paraId="3E34FE9F" w14:textId="03BBBD3E"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2250" w:type="dxa"/>
            <w:shd w:val="clear" w:color="auto" w:fill="auto"/>
            <w:noWrap/>
            <w:vAlign w:val="center"/>
            <w:hideMark/>
          </w:tcPr>
          <w:p w14:paraId="1218F746" w14:textId="42D96F39" w:rsidR="00BC793B" w:rsidRPr="0016247A" w:rsidRDefault="00BC793B" w:rsidP="00BC793B">
            <w:pPr>
              <w:jc w:val="center"/>
              <w:rPr>
                <w:rFonts w:cstheme="minorHAnsi"/>
                <w:sz w:val="20"/>
                <w:highlight w:val="yellow"/>
              </w:rPr>
            </w:pPr>
            <w:r w:rsidRPr="0049683E">
              <w:rPr>
                <w:rFonts w:ascii="Calibri" w:hAnsi="Calibri" w:cs="Calibri"/>
                <w:sz w:val="20"/>
              </w:rPr>
              <w:t>36</w:t>
            </w:r>
          </w:p>
        </w:tc>
        <w:tc>
          <w:tcPr>
            <w:tcW w:w="720" w:type="dxa"/>
            <w:shd w:val="clear" w:color="auto" w:fill="auto"/>
            <w:noWrap/>
            <w:vAlign w:val="center"/>
          </w:tcPr>
          <w:p w14:paraId="62D30647" w14:textId="725C13AF" w:rsidR="00BC793B" w:rsidRPr="0016247A" w:rsidRDefault="00BC793B" w:rsidP="00BC793B">
            <w:pPr>
              <w:jc w:val="center"/>
              <w:rPr>
                <w:rFonts w:cstheme="minorHAnsi"/>
                <w:sz w:val="20"/>
                <w:highlight w:val="yellow"/>
              </w:rPr>
            </w:pPr>
            <w:r w:rsidRPr="0049683E">
              <w:rPr>
                <w:rFonts w:ascii="Calibri" w:hAnsi="Calibri" w:cs="Calibri"/>
                <w:sz w:val="20"/>
              </w:rPr>
              <w:t>36</w:t>
            </w:r>
          </w:p>
        </w:tc>
      </w:tr>
      <w:tr w:rsidR="00BC793B" w:rsidRPr="0016247A" w14:paraId="03ADADF4" w14:textId="77777777" w:rsidTr="00AD0553">
        <w:trPr>
          <w:trHeight w:val="315"/>
        </w:trPr>
        <w:tc>
          <w:tcPr>
            <w:tcW w:w="1787" w:type="dxa"/>
            <w:shd w:val="clear" w:color="auto" w:fill="auto"/>
            <w:noWrap/>
            <w:vAlign w:val="center"/>
            <w:hideMark/>
          </w:tcPr>
          <w:p w14:paraId="5083A78B" w14:textId="3CB0BE5A" w:rsidR="00BC793B" w:rsidRPr="002E4092" w:rsidRDefault="00BC793B" w:rsidP="00BC793B">
            <w:pPr>
              <w:rPr>
                <w:rFonts w:cstheme="minorHAnsi"/>
                <w:sz w:val="20"/>
              </w:rPr>
            </w:pPr>
            <w:r w:rsidRPr="0049683E">
              <w:rPr>
                <w:rFonts w:ascii="Calibri" w:hAnsi="Calibri" w:cs="Calibri"/>
                <w:sz w:val="20"/>
              </w:rPr>
              <w:t>Reptiles</w:t>
            </w:r>
          </w:p>
        </w:tc>
        <w:tc>
          <w:tcPr>
            <w:tcW w:w="834" w:type="dxa"/>
            <w:shd w:val="clear" w:color="auto" w:fill="auto"/>
            <w:vAlign w:val="center"/>
            <w:hideMark/>
          </w:tcPr>
          <w:p w14:paraId="65BF5E81" w14:textId="3E4E8A4D"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799960FD" w14:textId="6CFEC87C" w:rsidR="00BC793B" w:rsidRPr="0016247A" w:rsidRDefault="00BC793B" w:rsidP="00BC793B">
            <w:pPr>
              <w:jc w:val="center"/>
              <w:rPr>
                <w:rFonts w:cstheme="minorHAnsi"/>
                <w:sz w:val="20"/>
                <w:highlight w:val="yellow"/>
              </w:rPr>
            </w:pPr>
            <w:r w:rsidRPr="0049683E">
              <w:rPr>
                <w:rFonts w:ascii="Calibri" w:hAnsi="Calibri" w:cs="Calibri"/>
                <w:sz w:val="20"/>
              </w:rPr>
              <w:t>47</w:t>
            </w:r>
          </w:p>
        </w:tc>
        <w:tc>
          <w:tcPr>
            <w:tcW w:w="2064" w:type="dxa"/>
            <w:shd w:val="clear" w:color="auto" w:fill="auto"/>
            <w:noWrap/>
            <w:vAlign w:val="center"/>
            <w:hideMark/>
          </w:tcPr>
          <w:p w14:paraId="0C2AB9DB" w14:textId="0A32BFA8" w:rsidR="00BC793B" w:rsidRPr="0016247A" w:rsidRDefault="00BC793B" w:rsidP="00BC793B">
            <w:pPr>
              <w:jc w:val="center"/>
              <w:rPr>
                <w:rFonts w:cstheme="minorHAnsi"/>
                <w:sz w:val="20"/>
                <w:highlight w:val="yellow"/>
              </w:rPr>
            </w:pPr>
            <w:r w:rsidRPr="0049683E">
              <w:rPr>
                <w:rFonts w:ascii="Calibri" w:hAnsi="Calibri" w:cs="Calibri"/>
                <w:sz w:val="20"/>
              </w:rPr>
              <w:t>14</w:t>
            </w:r>
          </w:p>
        </w:tc>
        <w:tc>
          <w:tcPr>
            <w:tcW w:w="2250" w:type="dxa"/>
            <w:shd w:val="clear" w:color="auto" w:fill="auto"/>
            <w:noWrap/>
            <w:vAlign w:val="center"/>
            <w:hideMark/>
          </w:tcPr>
          <w:p w14:paraId="5E28C86B" w14:textId="0EDE5C58" w:rsidR="00BC793B" w:rsidRPr="0016247A" w:rsidRDefault="00BC793B" w:rsidP="00BC793B">
            <w:pPr>
              <w:jc w:val="center"/>
              <w:rPr>
                <w:rFonts w:cstheme="minorHAnsi"/>
                <w:sz w:val="20"/>
                <w:highlight w:val="yellow"/>
              </w:rPr>
            </w:pPr>
            <w:r w:rsidRPr="0049683E">
              <w:rPr>
                <w:rFonts w:ascii="Calibri" w:hAnsi="Calibri" w:cs="Calibri"/>
                <w:sz w:val="20"/>
              </w:rPr>
              <w:t>33</w:t>
            </w:r>
          </w:p>
        </w:tc>
        <w:tc>
          <w:tcPr>
            <w:tcW w:w="720" w:type="dxa"/>
            <w:shd w:val="clear" w:color="auto" w:fill="auto"/>
            <w:noWrap/>
            <w:vAlign w:val="center"/>
          </w:tcPr>
          <w:p w14:paraId="5D9DA41C" w14:textId="4765E6D1" w:rsidR="00BC793B" w:rsidRPr="0016247A" w:rsidRDefault="00BC793B" w:rsidP="00BC793B">
            <w:pPr>
              <w:jc w:val="center"/>
              <w:rPr>
                <w:rFonts w:cstheme="minorHAnsi"/>
                <w:sz w:val="20"/>
                <w:highlight w:val="yellow"/>
              </w:rPr>
            </w:pPr>
            <w:r w:rsidRPr="0049683E">
              <w:rPr>
                <w:rFonts w:ascii="Calibri" w:hAnsi="Calibri" w:cs="Calibri"/>
                <w:sz w:val="20"/>
              </w:rPr>
              <w:t>47</w:t>
            </w:r>
          </w:p>
        </w:tc>
      </w:tr>
      <w:tr w:rsidR="00BC793B" w:rsidRPr="0016247A" w14:paraId="3651E8A5" w14:textId="77777777" w:rsidTr="00AD0553">
        <w:trPr>
          <w:trHeight w:val="315"/>
        </w:trPr>
        <w:tc>
          <w:tcPr>
            <w:tcW w:w="1787" w:type="dxa"/>
            <w:shd w:val="clear" w:color="auto" w:fill="auto"/>
            <w:noWrap/>
            <w:vAlign w:val="center"/>
            <w:hideMark/>
          </w:tcPr>
          <w:p w14:paraId="38F70CB5" w14:textId="6C4D8709" w:rsidR="00BC793B" w:rsidRPr="002E4092" w:rsidRDefault="00BC793B" w:rsidP="00BC793B">
            <w:pPr>
              <w:rPr>
                <w:rFonts w:cstheme="minorHAnsi"/>
                <w:sz w:val="20"/>
              </w:rPr>
            </w:pPr>
            <w:r w:rsidRPr="0049683E">
              <w:rPr>
                <w:rFonts w:ascii="Calibri" w:hAnsi="Calibri" w:cs="Calibri"/>
                <w:sz w:val="20"/>
              </w:rPr>
              <w:t>Fish</w:t>
            </w:r>
          </w:p>
        </w:tc>
        <w:tc>
          <w:tcPr>
            <w:tcW w:w="834" w:type="dxa"/>
            <w:shd w:val="clear" w:color="auto" w:fill="auto"/>
            <w:vAlign w:val="center"/>
            <w:hideMark/>
          </w:tcPr>
          <w:p w14:paraId="78AF55E4" w14:textId="0ED32A9B"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797EF95F" w14:textId="2EDA652C" w:rsidR="00BC793B" w:rsidRPr="0016247A" w:rsidRDefault="00BC793B" w:rsidP="00BC793B">
            <w:pPr>
              <w:jc w:val="center"/>
              <w:rPr>
                <w:rFonts w:cstheme="minorHAnsi"/>
                <w:sz w:val="20"/>
                <w:highlight w:val="yellow"/>
              </w:rPr>
            </w:pPr>
            <w:r w:rsidRPr="0049683E">
              <w:rPr>
                <w:rFonts w:ascii="Calibri" w:hAnsi="Calibri" w:cs="Calibri"/>
                <w:sz w:val="20"/>
              </w:rPr>
              <w:t>190</w:t>
            </w:r>
          </w:p>
        </w:tc>
        <w:tc>
          <w:tcPr>
            <w:tcW w:w="2064" w:type="dxa"/>
            <w:shd w:val="clear" w:color="auto" w:fill="auto"/>
            <w:noWrap/>
            <w:vAlign w:val="center"/>
            <w:hideMark/>
          </w:tcPr>
          <w:p w14:paraId="1731A0EF" w14:textId="32F62261" w:rsidR="00BC793B" w:rsidRPr="0016247A" w:rsidRDefault="00BC793B" w:rsidP="00BC793B">
            <w:pPr>
              <w:jc w:val="center"/>
              <w:rPr>
                <w:rFonts w:cstheme="minorHAnsi"/>
                <w:sz w:val="20"/>
                <w:highlight w:val="yellow"/>
              </w:rPr>
            </w:pPr>
            <w:r w:rsidRPr="0049683E">
              <w:rPr>
                <w:rFonts w:ascii="Calibri" w:hAnsi="Calibri" w:cs="Calibri"/>
                <w:sz w:val="20"/>
              </w:rPr>
              <w:t>11</w:t>
            </w:r>
          </w:p>
        </w:tc>
        <w:tc>
          <w:tcPr>
            <w:tcW w:w="2250" w:type="dxa"/>
            <w:shd w:val="clear" w:color="auto" w:fill="auto"/>
            <w:noWrap/>
            <w:vAlign w:val="center"/>
            <w:hideMark/>
          </w:tcPr>
          <w:p w14:paraId="65F7A832" w14:textId="1CE17C02" w:rsidR="00BC793B" w:rsidRPr="0016247A" w:rsidRDefault="00BC793B" w:rsidP="00BC793B">
            <w:pPr>
              <w:jc w:val="center"/>
              <w:rPr>
                <w:rFonts w:cstheme="minorHAnsi"/>
                <w:sz w:val="20"/>
                <w:highlight w:val="yellow"/>
              </w:rPr>
            </w:pPr>
            <w:r w:rsidRPr="0049683E">
              <w:rPr>
                <w:rFonts w:ascii="Calibri" w:hAnsi="Calibri" w:cs="Calibri"/>
                <w:sz w:val="20"/>
              </w:rPr>
              <w:t>179</w:t>
            </w:r>
          </w:p>
        </w:tc>
        <w:tc>
          <w:tcPr>
            <w:tcW w:w="720" w:type="dxa"/>
            <w:shd w:val="clear" w:color="auto" w:fill="auto"/>
            <w:noWrap/>
            <w:vAlign w:val="center"/>
          </w:tcPr>
          <w:p w14:paraId="68FC68EB" w14:textId="0A7489C0" w:rsidR="00BC793B" w:rsidRPr="0016247A" w:rsidRDefault="00BC793B" w:rsidP="00BC793B">
            <w:pPr>
              <w:jc w:val="center"/>
              <w:rPr>
                <w:rFonts w:cstheme="minorHAnsi"/>
                <w:sz w:val="20"/>
                <w:highlight w:val="yellow"/>
              </w:rPr>
            </w:pPr>
            <w:r w:rsidRPr="0049683E">
              <w:rPr>
                <w:rFonts w:ascii="Calibri" w:hAnsi="Calibri" w:cs="Calibri"/>
                <w:sz w:val="20"/>
              </w:rPr>
              <w:t>190</w:t>
            </w:r>
          </w:p>
        </w:tc>
      </w:tr>
      <w:tr w:rsidR="00BC793B" w:rsidRPr="0016247A" w14:paraId="3EECA65D" w14:textId="77777777" w:rsidTr="00AD0553">
        <w:trPr>
          <w:trHeight w:val="315"/>
        </w:trPr>
        <w:tc>
          <w:tcPr>
            <w:tcW w:w="1787" w:type="dxa"/>
            <w:shd w:val="clear" w:color="auto" w:fill="auto"/>
            <w:noWrap/>
            <w:vAlign w:val="center"/>
            <w:hideMark/>
          </w:tcPr>
          <w:p w14:paraId="7F56E3A5" w14:textId="17568205" w:rsidR="00BC793B" w:rsidRPr="002E4092" w:rsidRDefault="00BC793B" w:rsidP="00BC793B">
            <w:pPr>
              <w:rPr>
                <w:rFonts w:cstheme="minorHAnsi"/>
                <w:sz w:val="20"/>
              </w:rPr>
            </w:pPr>
            <w:r w:rsidRPr="0049683E">
              <w:rPr>
                <w:rFonts w:ascii="Calibri" w:hAnsi="Calibri" w:cs="Calibri"/>
                <w:sz w:val="20"/>
              </w:rPr>
              <w:t>Plants</w:t>
            </w:r>
          </w:p>
        </w:tc>
        <w:tc>
          <w:tcPr>
            <w:tcW w:w="834" w:type="dxa"/>
            <w:shd w:val="clear" w:color="auto" w:fill="auto"/>
            <w:vAlign w:val="center"/>
            <w:hideMark/>
          </w:tcPr>
          <w:p w14:paraId="43682BC0" w14:textId="1F430D47"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0E633381" w14:textId="2DAABFD6" w:rsidR="00BC793B" w:rsidRPr="0016247A" w:rsidRDefault="00BC793B" w:rsidP="00BC793B">
            <w:pPr>
              <w:jc w:val="center"/>
              <w:rPr>
                <w:rFonts w:cstheme="minorHAnsi"/>
                <w:sz w:val="20"/>
                <w:highlight w:val="yellow"/>
              </w:rPr>
            </w:pPr>
            <w:r w:rsidRPr="0049683E">
              <w:rPr>
                <w:rFonts w:ascii="Calibri" w:hAnsi="Calibri" w:cs="Calibri"/>
                <w:sz w:val="20"/>
              </w:rPr>
              <w:t>948</w:t>
            </w:r>
          </w:p>
        </w:tc>
        <w:tc>
          <w:tcPr>
            <w:tcW w:w="2064" w:type="dxa"/>
            <w:shd w:val="clear" w:color="auto" w:fill="auto"/>
            <w:noWrap/>
            <w:vAlign w:val="center"/>
            <w:hideMark/>
          </w:tcPr>
          <w:p w14:paraId="0EBB8BAC" w14:textId="0ED14E2B" w:rsidR="00BC793B" w:rsidRPr="0016247A" w:rsidRDefault="00BC793B" w:rsidP="00BC793B">
            <w:pPr>
              <w:jc w:val="center"/>
              <w:rPr>
                <w:rFonts w:cstheme="minorHAnsi"/>
                <w:sz w:val="20"/>
                <w:highlight w:val="yellow"/>
              </w:rPr>
            </w:pPr>
            <w:r w:rsidRPr="0049683E">
              <w:rPr>
                <w:rFonts w:ascii="Calibri" w:hAnsi="Calibri" w:cs="Calibri"/>
                <w:sz w:val="20"/>
              </w:rPr>
              <w:t>8</w:t>
            </w:r>
          </w:p>
        </w:tc>
        <w:tc>
          <w:tcPr>
            <w:tcW w:w="2250" w:type="dxa"/>
            <w:shd w:val="clear" w:color="auto" w:fill="auto"/>
            <w:noWrap/>
            <w:vAlign w:val="center"/>
            <w:hideMark/>
          </w:tcPr>
          <w:p w14:paraId="4BE9F49D" w14:textId="24D3AFB8" w:rsidR="00BC793B" w:rsidRPr="0016247A" w:rsidRDefault="00BC793B" w:rsidP="00BC793B">
            <w:pPr>
              <w:jc w:val="center"/>
              <w:rPr>
                <w:rFonts w:cstheme="minorHAnsi"/>
                <w:sz w:val="20"/>
                <w:highlight w:val="yellow"/>
              </w:rPr>
            </w:pPr>
            <w:r w:rsidRPr="0049683E">
              <w:rPr>
                <w:rFonts w:ascii="Calibri" w:hAnsi="Calibri" w:cs="Calibri"/>
                <w:sz w:val="20"/>
              </w:rPr>
              <w:t>940</w:t>
            </w:r>
          </w:p>
        </w:tc>
        <w:tc>
          <w:tcPr>
            <w:tcW w:w="720" w:type="dxa"/>
            <w:shd w:val="clear" w:color="auto" w:fill="auto"/>
            <w:noWrap/>
            <w:vAlign w:val="center"/>
          </w:tcPr>
          <w:p w14:paraId="695A0E8A" w14:textId="3A5D043B" w:rsidR="00BC793B" w:rsidRPr="0016247A" w:rsidRDefault="00BC793B" w:rsidP="00BC793B">
            <w:pPr>
              <w:jc w:val="center"/>
              <w:rPr>
                <w:rFonts w:cstheme="minorHAnsi"/>
                <w:sz w:val="20"/>
                <w:highlight w:val="yellow"/>
              </w:rPr>
            </w:pPr>
            <w:r w:rsidRPr="0049683E">
              <w:rPr>
                <w:rFonts w:ascii="Calibri" w:hAnsi="Calibri" w:cs="Calibri"/>
                <w:sz w:val="20"/>
              </w:rPr>
              <w:t>948</w:t>
            </w:r>
          </w:p>
        </w:tc>
      </w:tr>
      <w:tr w:rsidR="00BC793B" w:rsidRPr="0016247A" w14:paraId="3C74A138" w14:textId="77777777" w:rsidTr="00AD0553">
        <w:trPr>
          <w:trHeight w:val="315"/>
        </w:trPr>
        <w:tc>
          <w:tcPr>
            <w:tcW w:w="1787" w:type="dxa"/>
            <w:shd w:val="clear" w:color="auto" w:fill="auto"/>
            <w:noWrap/>
            <w:vAlign w:val="center"/>
            <w:hideMark/>
          </w:tcPr>
          <w:p w14:paraId="17B71CA6" w14:textId="26AAAF8D" w:rsidR="00BC793B" w:rsidRPr="002E4092" w:rsidRDefault="00BC793B" w:rsidP="00BC793B">
            <w:pPr>
              <w:rPr>
                <w:rFonts w:cstheme="minorHAnsi"/>
                <w:sz w:val="20"/>
              </w:rPr>
            </w:pPr>
            <w:r w:rsidRPr="0049683E">
              <w:rPr>
                <w:rFonts w:ascii="Calibri" w:hAnsi="Calibri" w:cs="Calibri"/>
                <w:sz w:val="20"/>
              </w:rPr>
              <w:t>Aquatic Invertebrates</w:t>
            </w:r>
          </w:p>
        </w:tc>
        <w:tc>
          <w:tcPr>
            <w:tcW w:w="834" w:type="dxa"/>
            <w:shd w:val="clear" w:color="auto" w:fill="auto"/>
            <w:vAlign w:val="center"/>
            <w:hideMark/>
          </w:tcPr>
          <w:p w14:paraId="66D2BE21" w14:textId="6D7EBFEB"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3DD4F02C" w14:textId="2FAB52E9" w:rsidR="00BC793B" w:rsidRPr="0016247A" w:rsidRDefault="00BC793B" w:rsidP="00BC793B">
            <w:pPr>
              <w:jc w:val="center"/>
              <w:rPr>
                <w:rFonts w:cstheme="minorHAnsi"/>
                <w:sz w:val="20"/>
                <w:highlight w:val="yellow"/>
              </w:rPr>
            </w:pPr>
            <w:r w:rsidRPr="0049683E">
              <w:rPr>
                <w:rFonts w:ascii="Calibri" w:hAnsi="Calibri" w:cs="Calibri"/>
                <w:sz w:val="20"/>
              </w:rPr>
              <w:t>207</w:t>
            </w:r>
          </w:p>
        </w:tc>
        <w:tc>
          <w:tcPr>
            <w:tcW w:w="2064" w:type="dxa"/>
            <w:shd w:val="clear" w:color="auto" w:fill="auto"/>
            <w:noWrap/>
            <w:vAlign w:val="center"/>
            <w:hideMark/>
          </w:tcPr>
          <w:p w14:paraId="2D0EAF50" w14:textId="2768B633" w:rsidR="00BC793B" w:rsidRPr="0016247A" w:rsidRDefault="00BC793B" w:rsidP="00BC793B">
            <w:pPr>
              <w:jc w:val="center"/>
              <w:rPr>
                <w:rFonts w:cstheme="minorHAnsi"/>
                <w:sz w:val="20"/>
                <w:highlight w:val="yellow"/>
              </w:rPr>
            </w:pPr>
            <w:r w:rsidRPr="0049683E">
              <w:rPr>
                <w:rFonts w:ascii="Calibri" w:hAnsi="Calibri" w:cs="Calibri"/>
                <w:sz w:val="20"/>
              </w:rPr>
              <w:t>22</w:t>
            </w:r>
          </w:p>
        </w:tc>
        <w:tc>
          <w:tcPr>
            <w:tcW w:w="2250" w:type="dxa"/>
            <w:shd w:val="clear" w:color="auto" w:fill="auto"/>
            <w:noWrap/>
            <w:vAlign w:val="center"/>
            <w:hideMark/>
          </w:tcPr>
          <w:p w14:paraId="2768560C" w14:textId="00F32C15" w:rsidR="00BC793B" w:rsidRPr="0016247A" w:rsidRDefault="00BC793B" w:rsidP="00BC793B">
            <w:pPr>
              <w:jc w:val="center"/>
              <w:rPr>
                <w:rFonts w:cstheme="minorHAnsi"/>
                <w:sz w:val="20"/>
                <w:highlight w:val="yellow"/>
              </w:rPr>
            </w:pPr>
            <w:r w:rsidRPr="0049683E">
              <w:rPr>
                <w:rFonts w:ascii="Calibri" w:hAnsi="Calibri" w:cs="Calibri"/>
                <w:sz w:val="20"/>
              </w:rPr>
              <w:t>185</w:t>
            </w:r>
          </w:p>
        </w:tc>
        <w:tc>
          <w:tcPr>
            <w:tcW w:w="720" w:type="dxa"/>
            <w:shd w:val="clear" w:color="auto" w:fill="auto"/>
            <w:noWrap/>
            <w:vAlign w:val="center"/>
          </w:tcPr>
          <w:p w14:paraId="68B9D6DC" w14:textId="62D4511A" w:rsidR="00BC793B" w:rsidRPr="0016247A" w:rsidRDefault="00BC793B" w:rsidP="00BC793B">
            <w:pPr>
              <w:jc w:val="center"/>
              <w:rPr>
                <w:rFonts w:cstheme="minorHAnsi"/>
                <w:sz w:val="20"/>
                <w:highlight w:val="yellow"/>
              </w:rPr>
            </w:pPr>
            <w:r w:rsidRPr="0049683E">
              <w:rPr>
                <w:rFonts w:ascii="Calibri" w:hAnsi="Calibri" w:cs="Calibri"/>
                <w:sz w:val="20"/>
              </w:rPr>
              <w:t>207</w:t>
            </w:r>
          </w:p>
        </w:tc>
      </w:tr>
      <w:tr w:rsidR="00BC793B" w:rsidRPr="0016247A" w14:paraId="35A1887C" w14:textId="77777777" w:rsidTr="00AD0553">
        <w:trPr>
          <w:trHeight w:val="315"/>
        </w:trPr>
        <w:tc>
          <w:tcPr>
            <w:tcW w:w="1787" w:type="dxa"/>
            <w:shd w:val="clear" w:color="auto" w:fill="auto"/>
            <w:noWrap/>
            <w:vAlign w:val="center"/>
            <w:hideMark/>
          </w:tcPr>
          <w:p w14:paraId="6159BF61" w14:textId="38619C1E" w:rsidR="00BC793B" w:rsidRPr="002E4092" w:rsidRDefault="00BC793B" w:rsidP="00BC793B">
            <w:pPr>
              <w:rPr>
                <w:rFonts w:cstheme="minorHAnsi"/>
                <w:sz w:val="20"/>
              </w:rPr>
            </w:pPr>
            <w:r w:rsidRPr="0049683E">
              <w:rPr>
                <w:rFonts w:ascii="Calibri" w:hAnsi="Calibri" w:cs="Calibri"/>
                <w:sz w:val="20"/>
              </w:rPr>
              <w:t>Terrestrial Invertebrates</w:t>
            </w:r>
          </w:p>
        </w:tc>
        <w:tc>
          <w:tcPr>
            <w:tcW w:w="834" w:type="dxa"/>
            <w:shd w:val="clear" w:color="auto" w:fill="auto"/>
            <w:vAlign w:val="center"/>
            <w:hideMark/>
          </w:tcPr>
          <w:p w14:paraId="4B0FC481" w14:textId="3930BC8B"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36F261A7" w14:textId="1C9B4285" w:rsidR="00BC793B" w:rsidRPr="0016247A" w:rsidRDefault="00BC793B" w:rsidP="00BC793B">
            <w:pPr>
              <w:jc w:val="center"/>
              <w:rPr>
                <w:rFonts w:cstheme="minorHAnsi"/>
                <w:sz w:val="20"/>
                <w:highlight w:val="yellow"/>
              </w:rPr>
            </w:pPr>
            <w:r w:rsidRPr="0049683E">
              <w:rPr>
                <w:rFonts w:ascii="Calibri" w:hAnsi="Calibri" w:cs="Calibri"/>
                <w:sz w:val="20"/>
              </w:rPr>
              <w:t>160</w:t>
            </w:r>
          </w:p>
        </w:tc>
        <w:tc>
          <w:tcPr>
            <w:tcW w:w="2064" w:type="dxa"/>
            <w:shd w:val="clear" w:color="auto" w:fill="auto"/>
            <w:noWrap/>
            <w:vAlign w:val="center"/>
            <w:hideMark/>
          </w:tcPr>
          <w:p w14:paraId="0B9926E0" w14:textId="237AF62D" w:rsidR="00BC793B" w:rsidRPr="0016247A" w:rsidRDefault="00BC793B" w:rsidP="00BC793B">
            <w:pPr>
              <w:jc w:val="center"/>
              <w:rPr>
                <w:rFonts w:cstheme="minorHAnsi"/>
                <w:sz w:val="20"/>
                <w:highlight w:val="yellow"/>
              </w:rPr>
            </w:pPr>
            <w:r w:rsidRPr="0049683E">
              <w:rPr>
                <w:rFonts w:ascii="Calibri" w:hAnsi="Calibri" w:cs="Calibri"/>
                <w:sz w:val="20"/>
              </w:rPr>
              <w:t>20</w:t>
            </w:r>
          </w:p>
        </w:tc>
        <w:tc>
          <w:tcPr>
            <w:tcW w:w="2250" w:type="dxa"/>
            <w:shd w:val="clear" w:color="auto" w:fill="auto"/>
            <w:noWrap/>
            <w:vAlign w:val="center"/>
            <w:hideMark/>
          </w:tcPr>
          <w:p w14:paraId="0D7525BC" w14:textId="041CC172" w:rsidR="00BC793B" w:rsidRPr="0016247A" w:rsidRDefault="00BC793B" w:rsidP="00BC793B">
            <w:pPr>
              <w:jc w:val="center"/>
              <w:rPr>
                <w:rFonts w:cstheme="minorHAnsi"/>
                <w:sz w:val="20"/>
                <w:highlight w:val="yellow"/>
              </w:rPr>
            </w:pPr>
            <w:r w:rsidRPr="0049683E">
              <w:rPr>
                <w:rFonts w:ascii="Calibri" w:hAnsi="Calibri" w:cs="Calibri"/>
                <w:sz w:val="20"/>
              </w:rPr>
              <w:t>140</w:t>
            </w:r>
          </w:p>
        </w:tc>
        <w:tc>
          <w:tcPr>
            <w:tcW w:w="720" w:type="dxa"/>
            <w:shd w:val="clear" w:color="auto" w:fill="auto"/>
            <w:noWrap/>
            <w:vAlign w:val="center"/>
          </w:tcPr>
          <w:p w14:paraId="62356646" w14:textId="53DB37D8" w:rsidR="00BC793B" w:rsidRPr="0016247A" w:rsidRDefault="00BC793B" w:rsidP="00BC793B">
            <w:pPr>
              <w:jc w:val="center"/>
              <w:rPr>
                <w:rFonts w:cstheme="minorHAnsi"/>
                <w:sz w:val="20"/>
                <w:highlight w:val="yellow"/>
              </w:rPr>
            </w:pPr>
            <w:r w:rsidRPr="0049683E">
              <w:rPr>
                <w:rFonts w:ascii="Calibri" w:hAnsi="Calibri" w:cs="Calibri"/>
                <w:sz w:val="20"/>
              </w:rPr>
              <w:t>160</w:t>
            </w:r>
          </w:p>
        </w:tc>
      </w:tr>
      <w:tr w:rsidR="00BC793B" w:rsidRPr="0016247A" w14:paraId="134DE155" w14:textId="77777777" w:rsidTr="00AD0553">
        <w:trPr>
          <w:trHeight w:val="315"/>
        </w:trPr>
        <w:tc>
          <w:tcPr>
            <w:tcW w:w="1787" w:type="dxa"/>
            <w:shd w:val="clear" w:color="000000" w:fill="D9D9D9"/>
            <w:noWrap/>
            <w:vAlign w:val="center"/>
            <w:hideMark/>
          </w:tcPr>
          <w:p w14:paraId="10FDDCF5" w14:textId="6BE7C8D4" w:rsidR="00BC793B" w:rsidRPr="002E4092" w:rsidRDefault="00BC793B" w:rsidP="00BC793B">
            <w:pPr>
              <w:rPr>
                <w:rFonts w:cstheme="minorHAnsi"/>
                <w:sz w:val="20"/>
              </w:rPr>
            </w:pPr>
            <w:r w:rsidRPr="0049683E">
              <w:rPr>
                <w:rFonts w:ascii="Calibri" w:hAnsi="Calibri" w:cs="Calibri"/>
                <w:sz w:val="20"/>
              </w:rPr>
              <w:t>Total</w:t>
            </w:r>
          </w:p>
        </w:tc>
        <w:tc>
          <w:tcPr>
            <w:tcW w:w="834" w:type="dxa"/>
            <w:shd w:val="clear" w:color="000000" w:fill="D9D9D9"/>
            <w:vAlign w:val="center"/>
          </w:tcPr>
          <w:p w14:paraId="761269A9" w14:textId="2F1850A5"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000000" w:fill="D9D9D9"/>
            <w:vAlign w:val="center"/>
          </w:tcPr>
          <w:p w14:paraId="3B6C5D40" w14:textId="25ADC527" w:rsidR="00BC793B" w:rsidRPr="0016247A" w:rsidRDefault="00BC793B" w:rsidP="00BC793B">
            <w:pPr>
              <w:jc w:val="center"/>
              <w:rPr>
                <w:rFonts w:cstheme="minorHAnsi"/>
                <w:sz w:val="20"/>
                <w:highlight w:val="yellow"/>
              </w:rPr>
            </w:pPr>
            <w:r w:rsidRPr="0049683E">
              <w:rPr>
                <w:rFonts w:ascii="Calibri" w:hAnsi="Calibri" w:cs="Calibri"/>
                <w:sz w:val="20"/>
              </w:rPr>
              <w:t>1795</w:t>
            </w:r>
          </w:p>
        </w:tc>
        <w:tc>
          <w:tcPr>
            <w:tcW w:w="2064" w:type="dxa"/>
            <w:shd w:val="clear" w:color="000000" w:fill="D9D9D9"/>
            <w:noWrap/>
            <w:vAlign w:val="center"/>
          </w:tcPr>
          <w:p w14:paraId="4742269C" w14:textId="10ABE658" w:rsidR="00BC793B" w:rsidRPr="0016247A" w:rsidRDefault="00BC793B" w:rsidP="00BC793B">
            <w:pPr>
              <w:jc w:val="center"/>
              <w:rPr>
                <w:rFonts w:cstheme="minorHAnsi"/>
                <w:sz w:val="20"/>
                <w:highlight w:val="yellow"/>
              </w:rPr>
            </w:pPr>
            <w:r w:rsidRPr="0049683E">
              <w:rPr>
                <w:rFonts w:ascii="Calibri" w:hAnsi="Calibri" w:cs="Calibri"/>
                <w:sz w:val="20"/>
              </w:rPr>
              <w:t>119</w:t>
            </w:r>
          </w:p>
        </w:tc>
        <w:tc>
          <w:tcPr>
            <w:tcW w:w="2250" w:type="dxa"/>
            <w:shd w:val="clear" w:color="000000" w:fill="D9D9D9"/>
            <w:noWrap/>
            <w:vAlign w:val="center"/>
          </w:tcPr>
          <w:p w14:paraId="4FCFF7A7" w14:textId="65561013" w:rsidR="00BC793B" w:rsidRPr="0016247A" w:rsidRDefault="00BC793B" w:rsidP="00BC793B">
            <w:pPr>
              <w:jc w:val="center"/>
              <w:rPr>
                <w:rFonts w:cstheme="minorHAnsi"/>
                <w:sz w:val="20"/>
                <w:highlight w:val="yellow"/>
              </w:rPr>
            </w:pPr>
            <w:r w:rsidRPr="0049683E">
              <w:rPr>
                <w:rFonts w:ascii="Calibri" w:hAnsi="Calibri" w:cs="Calibri"/>
                <w:sz w:val="20"/>
              </w:rPr>
              <w:t>1676</w:t>
            </w:r>
          </w:p>
        </w:tc>
        <w:tc>
          <w:tcPr>
            <w:tcW w:w="720" w:type="dxa"/>
            <w:shd w:val="clear" w:color="000000" w:fill="D9D9D9"/>
            <w:noWrap/>
            <w:vAlign w:val="center"/>
          </w:tcPr>
          <w:p w14:paraId="785C985B" w14:textId="5274391D" w:rsidR="00BC793B" w:rsidRPr="0016247A" w:rsidRDefault="00BC793B" w:rsidP="00BC793B">
            <w:pPr>
              <w:jc w:val="center"/>
              <w:rPr>
                <w:rFonts w:cstheme="minorHAnsi"/>
                <w:sz w:val="20"/>
                <w:highlight w:val="yellow"/>
              </w:rPr>
            </w:pPr>
            <w:r w:rsidRPr="0049683E">
              <w:rPr>
                <w:rFonts w:ascii="Calibri" w:hAnsi="Calibri" w:cs="Calibri"/>
                <w:sz w:val="20"/>
              </w:rPr>
              <w:t>1795</w:t>
            </w:r>
          </w:p>
        </w:tc>
      </w:tr>
      <w:tr w:rsidR="00BC793B" w:rsidRPr="00BF3100" w14:paraId="12728DAD" w14:textId="77777777" w:rsidTr="00AD0553">
        <w:trPr>
          <w:trHeight w:val="300"/>
        </w:trPr>
        <w:tc>
          <w:tcPr>
            <w:tcW w:w="1787" w:type="dxa"/>
            <w:shd w:val="clear" w:color="000000" w:fill="D9D9D9"/>
            <w:noWrap/>
            <w:vAlign w:val="center"/>
            <w:hideMark/>
          </w:tcPr>
          <w:p w14:paraId="2DCA408A" w14:textId="0EE2CDA6" w:rsidR="00BC793B" w:rsidRPr="002E4092" w:rsidRDefault="00BC793B" w:rsidP="00BC793B">
            <w:pPr>
              <w:rPr>
                <w:sz w:val="20"/>
              </w:rPr>
            </w:pPr>
            <w:r w:rsidRPr="0049683E">
              <w:rPr>
                <w:rFonts w:ascii="Calibri" w:hAnsi="Calibri" w:cs="Calibri"/>
                <w:sz w:val="20"/>
              </w:rPr>
              <w:t>Percent of total</w:t>
            </w:r>
          </w:p>
        </w:tc>
        <w:tc>
          <w:tcPr>
            <w:tcW w:w="834" w:type="dxa"/>
            <w:shd w:val="clear" w:color="000000" w:fill="D9D9D9"/>
            <w:noWrap/>
            <w:vAlign w:val="center"/>
          </w:tcPr>
          <w:p w14:paraId="431AACA0" w14:textId="1E519A60" w:rsidR="00BC793B" w:rsidRPr="0016247A" w:rsidRDefault="00BC793B" w:rsidP="00BC793B">
            <w:pPr>
              <w:jc w:val="center"/>
              <w:rPr>
                <w:sz w:val="20"/>
                <w:highlight w:val="yellow"/>
              </w:rPr>
            </w:pPr>
            <w:r w:rsidRPr="0049683E">
              <w:rPr>
                <w:rFonts w:ascii="Calibri" w:hAnsi="Calibri" w:cs="Calibri"/>
                <w:sz w:val="20"/>
              </w:rPr>
              <w:t>0%</w:t>
            </w:r>
          </w:p>
        </w:tc>
        <w:tc>
          <w:tcPr>
            <w:tcW w:w="980" w:type="dxa"/>
            <w:shd w:val="clear" w:color="000000" w:fill="D9D9D9"/>
            <w:noWrap/>
            <w:vAlign w:val="center"/>
          </w:tcPr>
          <w:p w14:paraId="715D3C55" w14:textId="6FA52C13" w:rsidR="00BC793B" w:rsidRPr="0016247A" w:rsidRDefault="00BC793B" w:rsidP="00BC793B">
            <w:pPr>
              <w:jc w:val="center"/>
              <w:rPr>
                <w:sz w:val="20"/>
                <w:highlight w:val="yellow"/>
              </w:rPr>
            </w:pPr>
            <w:r w:rsidRPr="0049683E">
              <w:rPr>
                <w:rFonts w:ascii="Calibri" w:hAnsi="Calibri" w:cs="Calibri"/>
                <w:sz w:val="20"/>
              </w:rPr>
              <w:t>100%</w:t>
            </w:r>
          </w:p>
        </w:tc>
        <w:tc>
          <w:tcPr>
            <w:tcW w:w="2064" w:type="dxa"/>
            <w:shd w:val="clear" w:color="000000" w:fill="D9D9D9"/>
            <w:noWrap/>
            <w:vAlign w:val="center"/>
          </w:tcPr>
          <w:p w14:paraId="20E06A4A" w14:textId="376827AA" w:rsidR="00BC793B" w:rsidRPr="0016247A" w:rsidRDefault="00BC793B" w:rsidP="00BC793B">
            <w:pPr>
              <w:jc w:val="center"/>
              <w:rPr>
                <w:sz w:val="20"/>
                <w:highlight w:val="yellow"/>
              </w:rPr>
            </w:pPr>
            <w:r w:rsidRPr="0049683E">
              <w:rPr>
                <w:rFonts w:ascii="Calibri" w:hAnsi="Calibri" w:cs="Calibri"/>
                <w:sz w:val="20"/>
              </w:rPr>
              <w:t>7%</w:t>
            </w:r>
          </w:p>
        </w:tc>
        <w:tc>
          <w:tcPr>
            <w:tcW w:w="2250" w:type="dxa"/>
            <w:shd w:val="clear" w:color="000000" w:fill="D9D9D9"/>
            <w:noWrap/>
            <w:vAlign w:val="center"/>
          </w:tcPr>
          <w:p w14:paraId="5C5A5174" w14:textId="24BD3EBC" w:rsidR="00BC793B" w:rsidRPr="0016247A" w:rsidRDefault="00BC793B" w:rsidP="00BC793B">
            <w:pPr>
              <w:jc w:val="center"/>
              <w:rPr>
                <w:sz w:val="20"/>
                <w:highlight w:val="yellow"/>
              </w:rPr>
            </w:pPr>
            <w:r w:rsidRPr="0049683E">
              <w:rPr>
                <w:rFonts w:ascii="Calibri" w:hAnsi="Calibri" w:cs="Calibri"/>
                <w:sz w:val="20"/>
              </w:rPr>
              <w:t>93%</w:t>
            </w:r>
          </w:p>
        </w:tc>
        <w:tc>
          <w:tcPr>
            <w:tcW w:w="720" w:type="dxa"/>
            <w:shd w:val="clear" w:color="000000" w:fill="D9D9D9"/>
            <w:noWrap/>
            <w:vAlign w:val="center"/>
            <w:hideMark/>
          </w:tcPr>
          <w:p w14:paraId="0FF3AE4E" w14:textId="5C5684A4" w:rsidR="00BC793B" w:rsidRPr="0016247A" w:rsidRDefault="00BC793B" w:rsidP="00BC793B">
            <w:pPr>
              <w:jc w:val="center"/>
              <w:rPr>
                <w:sz w:val="20"/>
                <w:highlight w:val="yellow"/>
              </w:rPr>
            </w:pPr>
            <w:r w:rsidRPr="0049683E">
              <w:rPr>
                <w:sz w:val="20"/>
              </w:rPr>
              <w:t> </w:t>
            </w:r>
          </w:p>
        </w:tc>
      </w:tr>
    </w:tbl>
    <w:p w14:paraId="4FB1E72F" w14:textId="71E25800" w:rsidR="00B408AC" w:rsidRDefault="00B408AC" w:rsidP="00B408AC">
      <w:pPr>
        <w:rPr>
          <w:b/>
        </w:rPr>
      </w:pPr>
    </w:p>
    <w:p w14:paraId="1356DA75" w14:textId="77777777" w:rsidR="008A4BA2" w:rsidRPr="003C3C6D" w:rsidRDefault="008A4BA2" w:rsidP="00B408AC">
      <w:pPr>
        <w:rPr>
          <w:b/>
        </w:rPr>
      </w:pPr>
    </w:p>
    <w:p w14:paraId="76FEDEE5" w14:textId="2C897F4A" w:rsidR="00B408AC" w:rsidRPr="003C3C6D" w:rsidRDefault="00B408AC" w:rsidP="00B408AC">
      <w:pPr>
        <w:rPr>
          <w:b/>
        </w:rPr>
      </w:pPr>
      <w:r w:rsidRPr="003C3C6D">
        <w:rPr>
          <w:b/>
        </w:rPr>
        <w:t>T</w:t>
      </w:r>
      <w:r>
        <w:rPr>
          <w:b/>
        </w:rPr>
        <w:t>able</w:t>
      </w:r>
      <w:r w:rsidRPr="003C3C6D">
        <w:rPr>
          <w:b/>
        </w:rPr>
        <w:t xml:space="preserve"> </w:t>
      </w:r>
      <w:r>
        <w:rPr>
          <w:b/>
        </w:rPr>
        <w:t>2.</w:t>
      </w:r>
      <w:r w:rsidRPr="003C3C6D">
        <w:rPr>
          <w:b/>
        </w:rPr>
        <w:t xml:space="preserve"> Summary of Critical Habitat Effects Determinations for </w:t>
      </w:r>
      <w:r w:rsidR="00A0790B">
        <w:rPr>
          <w:b/>
        </w:rPr>
        <w:t>Glyphosate</w:t>
      </w:r>
      <w:r w:rsidRPr="003C3C6D">
        <w:rPr>
          <w:b/>
        </w:rPr>
        <w:t xml:space="preserve"> (Counts by Taxon).</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B408AC" w:rsidRPr="0016247A" w14:paraId="797B2E54" w14:textId="77777777" w:rsidTr="00A87C73">
        <w:trPr>
          <w:trHeight w:val="315"/>
        </w:trPr>
        <w:tc>
          <w:tcPr>
            <w:tcW w:w="1610" w:type="dxa"/>
            <w:vMerge w:val="restart"/>
            <w:shd w:val="clear" w:color="auto" w:fill="E7E6E6" w:themeFill="background2"/>
            <w:noWrap/>
            <w:vAlign w:val="center"/>
            <w:hideMark/>
          </w:tcPr>
          <w:p w14:paraId="2AB9FBD1" w14:textId="77777777" w:rsidR="00B408AC" w:rsidRPr="002E4092" w:rsidRDefault="00B408AC" w:rsidP="00A87C73">
            <w:pPr>
              <w:jc w:val="center"/>
              <w:rPr>
                <w:rFonts w:cstheme="minorHAnsi"/>
                <w:b/>
                <w:sz w:val="20"/>
              </w:rPr>
            </w:pPr>
            <w:r w:rsidRPr="002E4092">
              <w:rPr>
                <w:rFonts w:cstheme="minorHAnsi"/>
                <w:b/>
                <w:sz w:val="20"/>
              </w:rPr>
              <w:t>Taxon</w:t>
            </w:r>
          </w:p>
        </w:tc>
        <w:tc>
          <w:tcPr>
            <w:tcW w:w="1921" w:type="dxa"/>
            <w:gridSpan w:val="2"/>
            <w:shd w:val="clear" w:color="auto" w:fill="E7E6E6" w:themeFill="background2"/>
            <w:vAlign w:val="center"/>
            <w:hideMark/>
          </w:tcPr>
          <w:p w14:paraId="3BFE47E2" w14:textId="77777777" w:rsidR="00B408AC" w:rsidRPr="002E4092" w:rsidRDefault="00B408AC" w:rsidP="00A87C73">
            <w:pPr>
              <w:jc w:val="center"/>
              <w:rPr>
                <w:rFonts w:cstheme="minorHAnsi"/>
                <w:b/>
                <w:sz w:val="20"/>
              </w:rPr>
            </w:pPr>
            <w:r w:rsidRPr="002E4092">
              <w:rPr>
                <w:rFonts w:cstheme="minorHAnsi"/>
                <w:b/>
                <w:sz w:val="20"/>
              </w:rPr>
              <w:t>Step 1 Effects Determinations</w:t>
            </w:r>
          </w:p>
        </w:tc>
        <w:tc>
          <w:tcPr>
            <w:tcW w:w="4246" w:type="dxa"/>
            <w:gridSpan w:val="2"/>
            <w:shd w:val="clear" w:color="auto" w:fill="E7E6E6" w:themeFill="background2"/>
            <w:noWrap/>
            <w:vAlign w:val="center"/>
            <w:hideMark/>
          </w:tcPr>
          <w:p w14:paraId="25188378" w14:textId="77777777" w:rsidR="00B408AC" w:rsidRPr="002E4092" w:rsidRDefault="00B408AC" w:rsidP="00A87C73">
            <w:pPr>
              <w:jc w:val="center"/>
              <w:rPr>
                <w:rFonts w:cstheme="minorHAnsi"/>
                <w:b/>
                <w:sz w:val="20"/>
              </w:rPr>
            </w:pPr>
            <w:r w:rsidRPr="002E4092">
              <w:rPr>
                <w:rFonts w:cstheme="minorHAnsi"/>
                <w:b/>
                <w:sz w:val="20"/>
              </w:rPr>
              <w:t>Step 2 Effects Determinations</w:t>
            </w:r>
          </w:p>
        </w:tc>
        <w:tc>
          <w:tcPr>
            <w:tcW w:w="952" w:type="dxa"/>
            <w:vMerge w:val="restart"/>
            <w:shd w:val="clear" w:color="auto" w:fill="E7E6E6" w:themeFill="background2"/>
            <w:noWrap/>
            <w:vAlign w:val="center"/>
            <w:hideMark/>
          </w:tcPr>
          <w:p w14:paraId="38784851" w14:textId="77777777" w:rsidR="00B408AC" w:rsidRPr="0016247A" w:rsidRDefault="00B408AC" w:rsidP="00A87C73">
            <w:pPr>
              <w:jc w:val="center"/>
              <w:rPr>
                <w:rFonts w:cstheme="minorHAnsi"/>
                <w:b/>
                <w:sz w:val="20"/>
                <w:highlight w:val="yellow"/>
              </w:rPr>
            </w:pPr>
            <w:r w:rsidRPr="002E4092">
              <w:rPr>
                <w:rFonts w:cstheme="minorHAnsi"/>
                <w:b/>
                <w:sz w:val="20"/>
              </w:rPr>
              <w:t>Totals</w:t>
            </w:r>
          </w:p>
        </w:tc>
      </w:tr>
      <w:tr w:rsidR="00B408AC" w:rsidRPr="0016247A" w14:paraId="1A593697" w14:textId="77777777" w:rsidTr="00A87C73">
        <w:trPr>
          <w:trHeight w:val="615"/>
        </w:trPr>
        <w:tc>
          <w:tcPr>
            <w:tcW w:w="1610" w:type="dxa"/>
            <w:vMerge/>
            <w:vAlign w:val="center"/>
            <w:hideMark/>
          </w:tcPr>
          <w:p w14:paraId="05AD43BB" w14:textId="77777777" w:rsidR="00B408AC" w:rsidRPr="002E4092" w:rsidRDefault="00B408AC" w:rsidP="00A87C73">
            <w:pPr>
              <w:rPr>
                <w:rFonts w:cstheme="minorHAnsi"/>
                <w:b/>
                <w:sz w:val="20"/>
              </w:rPr>
            </w:pPr>
          </w:p>
        </w:tc>
        <w:tc>
          <w:tcPr>
            <w:tcW w:w="995" w:type="dxa"/>
            <w:shd w:val="clear" w:color="auto" w:fill="E7E6E6" w:themeFill="background2"/>
            <w:vAlign w:val="center"/>
            <w:hideMark/>
          </w:tcPr>
          <w:p w14:paraId="630C101C" w14:textId="77777777" w:rsidR="00B408AC" w:rsidRPr="002E4092" w:rsidRDefault="00B408AC" w:rsidP="00A87C73">
            <w:pPr>
              <w:jc w:val="center"/>
              <w:rPr>
                <w:rFonts w:cstheme="minorHAnsi"/>
                <w:b/>
                <w:sz w:val="20"/>
              </w:rPr>
            </w:pPr>
            <w:r w:rsidRPr="002E4092">
              <w:rPr>
                <w:rFonts w:cstheme="minorHAnsi"/>
                <w:b/>
                <w:sz w:val="20"/>
              </w:rPr>
              <w:t>No Effect</w:t>
            </w:r>
          </w:p>
        </w:tc>
        <w:tc>
          <w:tcPr>
            <w:tcW w:w="926" w:type="dxa"/>
            <w:shd w:val="clear" w:color="auto" w:fill="E7E6E6" w:themeFill="background2"/>
            <w:vAlign w:val="center"/>
            <w:hideMark/>
          </w:tcPr>
          <w:p w14:paraId="60D2DE55" w14:textId="77777777" w:rsidR="00B408AC" w:rsidRPr="002E4092" w:rsidRDefault="00B408AC" w:rsidP="00A87C73">
            <w:pPr>
              <w:jc w:val="center"/>
              <w:rPr>
                <w:rFonts w:cstheme="minorHAnsi"/>
                <w:b/>
                <w:sz w:val="20"/>
              </w:rPr>
            </w:pPr>
            <w:r w:rsidRPr="002E4092">
              <w:rPr>
                <w:rFonts w:cstheme="minorHAnsi"/>
                <w:b/>
                <w:sz w:val="20"/>
              </w:rPr>
              <w:t>May Affect</w:t>
            </w:r>
          </w:p>
        </w:tc>
        <w:tc>
          <w:tcPr>
            <w:tcW w:w="2180" w:type="dxa"/>
            <w:shd w:val="clear" w:color="auto" w:fill="E7E6E6" w:themeFill="background2"/>
            <w:noWrap/>
            <w:vAlign w:val="center"/>
            <w:hideMark/>
          </w:tcPr>
          <w:p w14:paraId="14A84CC1" w14:textId="77777777" w:rsidR="00B408AC" w:rsidRPr="002E4092" w:rsidRDefault="00B408AC" w:rsidP="00A87C73">
            <w:pPr>
              <w:jc w:val="center"/>
              <w:rPr>
                <w:rFonts w:cstheme="minorHAnsi"/>
                <w:b/>
                <w:sz w:val="20"/>
              </w:rPr>
            </w:pPr>
            <w:r w:rsidRPr="002E4092">
              <w:rPr>
                <w:rFonts w:cstheme="minorHAnsi"/>
                <w:b/>
                <w:sz w:val="20"/>
              </w:rPr>
              <w:t>Not Likely to Adversely Affect</w:t>
            </w:r>
          </w:p>
        </w:tc>
        <w:tc>
          <w:tcPr>
            <w:tcW w:w="2066" w:type="dxa"/>
            <w:shd w:val="clear" w:color="auto" w:fill="E7E6E6" w:themeFill="background2"/>
            <w:noWrap/>
            <w:vAlign w:val="center"/>
            <w:hideMark/>
          </w:tcPr>
          <w:p w14:paraId="179554D8" w14:textId="77777777" w:rsidR="00B408AC" w:rsidRPr="002E4092" w:rsidRDefault="00B408AC" w:rsidP="00A87C73">
            <w:pPr>
              <w:jc w:val="center"/>
              <w:rPr>
                <w:rFonts w:cstheme="minorHAnsi"/>
                <w:b/>
                <w:sz w:val="20"/>
              </w:rPr>
            </w:pPr>
            <w:r w:rsidRPr="002E4092">
              <w:rPr>
                <w:rFonts w:cstheme="minorHAnsi"/>
                <w:b/>
                <w:sz w:val="20"/>
              </w:rPr>
              <w:t>Likely to Adversely Affect</w:t>
            </w:r>
          </w:p>
        </w:tc>
        <w:tc>
          <w:tcPr>
            <w:tcW w:w="952" w:type="dxa"/>
            <w:vMerge/>
            <w:vAlign w:val="center"/>
            <w:hideMark/>
          </w:tcPr>
          <w:p w14:paraId="56E495F2" w14:textId="77777777" w:rsidR="00B408AC" w:rsidRPr="0016247A" w:rsidRDefault="00B408AC" w:rsidP="00A87C73">
            <w:pPr>
              <w:rPr>
                <w:rFonts w:cstheme="minorHAnsi"/>
                <w:b/>
                <w:sz w:val="20"/>
                <w:highlight w:val="yellow"/>
              </w:rPr>
            </w:pPr>
          </w:p>
        </w:tc>
      </w:tr>
      <w:tr w:rsidR="00BC793B" w:rsidRPr="0016247A" w14:paraId="3E001567" w14:textId="77777777" w:rsidTr="00AD0553">
        <w:trPr>
          <w:trHeight w:val="315"/>
        </w:trPr>
        <w:tc>
          <w:tcPr>
            <w:tcW w:w="1610" w:type="dxa"/>
            <w:shd w:val="clear" w:color="auto" w:fill="auto"/>
            <w:noWrap/>
            <w:vAlign w:val="center"/>
            <w:hideMark/>
          </w:tcPr>
          <w:p w14:paraId="6B8FF1E1" w14:textId="0469B273" w:rsidR="00BC793B" w:rsidRPr="0016247A" w:rsidRDefault="00BC793B" w:rsidP="00BC793B">
            <w:pPr>
              <w:rPr>
                <w:rFonts w:cstheme="minorHAnsi"/>
                <w:sz w:val="20"/>
                <w:highlight w:val="yellow"/>
              </w:rPr>
            </w:pPr>
            <w:r w:rsidRPr="0049683E">
              <w:rPr>
                <w:rFonts w:ascii="Calibri" w:hAnsi="Calibri" w:cs="Calibri"/>
                <w:sz w:val="20"/>
              </w:rPr>
              <w:t>Mammals</w:t>
            </w:r>
          </w:p>
        </w:tc>
        <w:tc>
          <w:tcPr>
            <w:tcW w:w="995" w:type="dxa"/>
            <w:shd w:val="clear" w:color="auto" w:fill="auto"/>
            <w:vAlign w:val="center"/>
            <w:hideMark/>
          </w:tcPr>
          <w:p w14:paraId="0C3F3955" w14:textId="31B21CFD"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70871744" w14:textId="6A392B24" w:rsidR="00BC793B" w:rsidRPr="0016247A" w:rsidRDefault="00BC793B" w:rsidP="00BC793B">
            <w:pPr>
              <w:jc w:val="center"/>
              <w:rPr>
                <w:rFonts w:cstheme="minorHAnsi"/>
                <w:sz w:val="20"/>
                <w:highlight w:val="yellow"/>
              </w:rPr>
            </w:pPr>
            <w:r w:rsidRPr="0049683E">
              <w:rPr>
                <w:rFonts w:ascii="Calibri" w:hAnsi="Calibri" w:cs="Calibri"/>
                <w:sz w:val="20"/>
              </w:rPr>
              <w:t>33</w:t>
            </w:r>
          </w:p>
        </w:tc>
        <w:tc>
          <w:tcPr>
            <w:tcW w:w="2180" w:type="dxa"/>
            <w:shd w:val="clear" w:color="auto" w:fill="auto"/>
            <w:noWrap/>
            <w:vAlign w:val="center"/>
            <w:hideMark/>
          </w:tcPr>
          <w:p w14:paraId="09947E0C" w14:textId="579AA70D" w:rsidR="00BC793B" w:rsidRPr="0016247A" w:rsidRDefault="00BC793B" w:rsidP="00BC793B">
            <w:pPr>
              <w:jc w:val="center"/>
              <w:rPr>
                <w:rFonts w:cstheme="minorHAnsi"/>
                <w:sz w:val="20"/>
                <w:highlight w:val="yellow"/>
              </w:rPr>
            </w:pPr>
            <w:r w:rsidRPr="0049683E">
              <w:rPr>
                <w:rFonts w:ascii="Calibri" w:hAnsi="Calibri" w:cs="Calibri"/>
                <w:sz w:val="20"/>
              </w:rPr>
              <w:t>6</w:t>
            </w:r>
          </w:p>
        </w:tc>
        <w:tc>
          <w:tcPr>
            <w:tcW w:w="2066" w:type="dxa"/>
            <w:shd w:val="clear" w:color="auto" w:fill="auto"/>
            <w:noWrap/>
            <w:vAlign w:val="center"/>
            <w:hideMark/>
          </w:tcPr>
          <w:p w14:paraId="20B44D08" w14:textId="2FB0CA6D" w:rsidR="00BC793B" w:rsidRPr="0016247A" w:rsidRDefault="00BC793B" w:rsidP="00BC793B">
            <w:pPr>
              <w:jc w:val="center"/>
              <w:rPr>
                <w:rFonts w:cstheme="minorHAnsi"/>
                <w:sz w:val="20"/>
                <w:highlight w:val="yellow"/>
              </w:rPr>
            </w:pPr>
            <w:r w:rsidRPr="0049683E">
              <w:rPr>
                <w:rFonts w:ascii="Calibri" w:hAnsi="Calibri" w:cs="Calibri"/>
                <w:sz w:val="20"/>
              </w:rPr>
              <w:t>27</w:t>
            </w:r>
          </w:p>
        </w:tc>
        <w:tc>
          <w:tcPr>
            <w:tcW w:w="952" w:type="dxa"/>
            <w:shd w:val="clear" w:color="auto" w:fill="auto"/>
            <w:noWrap/>
            <w:vAlign w:val="center"/>
          </w:tcPr>
          <w:p w14:paraId="3FFBE800" w14:textId="75A8329C" w:rsidR="00BC793B" w:rsidRPr="0016247A" w:rsidRDefault="00BC793B" w:rsidP="00BC793B">
            <w:pPr>
              <w:jc w:val="center"/>
              <w:rPr>
                <w:rFonts w:cstheme="minorHAnsi"/>
                <w:sz w:val="20"/>
                <w:highlight w:val="yellow"/>
              </w:rPr>
            </w:pPr>
            <w:r w:rsidRPr="0049683E">
              <w:rPr>
                <w:rFonts w:ascii="Calibri" w:hAnsi="Calibri" w:cs="Calibri"/>
                <w:sz w:val="20"/>
              </w:rPr>
              <w:t>33</w:t>
            </w:r>
          </w:p>
        </w:tc>
      </w:tr>
      <w:tr w:rsidR="00BC793B" w:rsidRPr="0016247A" w14:paraId="170095B4" w14:textId="77777777" w:rsidTr="00AD0553">
        <w:trPr>
          <w:trHeight w:val="315"/>
        </w:trPr>
        <w:tc>
          <w:tcPr>
            <w:tcW w:w="1610" w:type="dxa"/>
            <w:shd w:val="clear" w:color="auto" w:fill="auto"/>
            <w:noWrap/>
            <w:vAlign w:val="center"/>
            <w:hideMark/>
          </w:tcPr>
          <w:p w14:paraId="2441DC3F" w14:textId="35CA514C" w:rsidR="00BC793B" w:rsidRPr="002E4092" w:rsidRDefault="00BC793B" w:rsidP="00BC793B">
            <w:pPr>
              <w:rPr>
                <w:rFonts w:cstheme="minorHAnsi"/>
                <w:sz w:val="20"/>
              </w:rPr>
            </w:pPr>
            <w:r w:rsidRPr="0049683E">
              <w:rPr>
                <w:rFonts w:ascii="Calibri" w:hAnsi="Calibri" w:cs="Calibri"/>
                <w:sz w:val="20"/>
              </w:rPr>
              <w:t>Birds</w:t>
            </w:r>
          </w:p>
        </w:tc>
        <w:tc>
          <w:tcPr>
            <w:tcW w:w="995" w:type="dxa"/>
            <w:shd w:val="clear" w:color="auto" w:fill="auto"/>
            <w:vAlign w:val="center"/>
            <w:hideMark/>
          </w:tcPr>
          <w:p w14:paraId="0DAB2FD6" w14:textId="1486F09E"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7B56DB23" w14:textId="2A859606" w:rsidR="00BC793B" w:rsidRPr="0016247A" w:rsidRDefault="00BC793B" w:rsidP="00BC793B">
            <w:pPr>
              <w:jc w:val="center"/>
              <w:rPr>
                <w:rFonts w:cstheme="minorHAnsi"/>
                <w:sz w:val="20"/>
                <w:highlight w:val="yellow"/>
              </w:rPr>
            </w:pPr>
            <w:r w:rsidRPr="0049683E">
              <w:rPr>
                <w:rFonts w:ascii="Calibri" w:hAnsi="Calibri" w:cs="Calibri"/>
                <w:sz w:val="20"/>
              </w:rPr>
              <w:t>31</w:t>
            </w:r>
          </w:p>
        </w:tc>
        <w:tc>
          <w:tcPr>
            <w:tcW w:w="2180" w:type="dxa"/>
            <w:shd w:val="clear" w:color="auto" w:fill="auto"/>
            <w:noWrap/>
            <w:vAlign w:val="center"/>
            <w:hideMark/>
          </w:tcPr>
          <w:p w14:paraId="4E21C8F9" w14:textId="6310DB4F" w:rsidR="00BC793B" w:rsidRPr="0016247A" w:rsidRDefault="00BC793B" w:rsidP="00BC793B">
            <w:pPr>
              <w:jc w:val="center"/>
              <w:rPr>
                <w:rFonts w:cstheme="minorHAnsi"/>
                <w:sz w:val="20"/>
                <w:highlight w:val="yellow"/>
              </w:rPr>
            </w:pPr>
            <w:r w:rsidRPr="0049683E">
              <w:rPr>
                <w:rFonts w:ascii="Calibri" w:hAnsi="Calibri" w:cs="Calibri"/>
                <w:sz w:val="20"/>
              </w:rPr>
              <w:t>1</w:t>
            </w:r>
          </w:p>
        </w:tc>
        <w:tc>
          <w:tcPr>
            <w:tcW w:w="2066" w:type="dxa"/>
            <w:shd w:val="clear" w:color="auto" w:fill="auto"/>
            <w:noWrap/>
            <w:vAlign w:val="center"/>
            <w:hideMark/>
          </w:tcPr>
          <w:p w14:paraId="0127CAA8" w14:textId="406B9188" w:rsidR="00BC793B" w:rsidRPr="0016247A" w:rsidRDefault="00BC793B" w:rsidP="00BC793B">
            <w:pPr>
              <w:jc w:val="center"/>
              <w:rPr>
                <w:rFonts w:cstheme="minorHAnsi"/>
                <w:sz w:val="20"/>
                <w:highlight w:val="yellow"/>
              </w:rPr>
            </w:pPr>
            <w:r w:rsidRPr="0049683E">
              <w:rPr>
                <w:rFonts w:ascii="Calibri" w:hAnsi="Calibri" w:cs="Calibri"/>
                <w:sz w:val="20"/>
              </w:rPr>
              <w:t>30</w:t>
            </w:r>
          </w:p>
        </w:tc>
        <w:tc>
          <w:tcPr>
            <w:tcW w:w="952" w:type="dxa"/>
            <w:shd w:val="clear" w:color="auto" w:fill="auto"/>
            <w:noWrap/>
            <w:vAlign w:val="center"/>
          </w:tcPr>
          <w:p w14:paraId="6E964C78" w14:textId="12C5A68D" w:rsidR="00BC793B" w:rsidRPr="0016247A" w:rsidRDefault="00BC793B" w:rsidP="00BC793B">
            <w:pPr>
              <w:jc w:val="center"/>
              <w:rPr>
                <w:rFonts w:cstheme="minorHAnsi"/>
                <w:sz w:val="20"/>
                <w:highlight w:val="yellow"/>
              </w:rPr>
            </w:pPr>
            <w:r w:rsidRPr="0049683E">
              <w:rPr>
                <w:rFonts w:ascii="Calibri" w:hAnsi="Calibri" w:cs="Calibri"/>
                <w:sz w:val="20"/>
              </w:rPr>
              <w:t>31</w:t>
            </w:r>
          </w:p>
        </w:tc>
      </w:tr>
      <w:tr w:rsidR="00BC793B" w:rsidRPr="0016247A" w14:paraId="4DAE033C" w14:textId="77777777" w:rsidTr="00AD0553">
        <w:trPr>
          <w:trHeight w:val="315"/>
        </w:trPr>
        <w:tc>
          <w:tcPr>
            <w:tcW w:w="1610" w:type="dxa"/>
            <w:shd w:val="clear" w:color="auto" w:fill="auto"/>
            <w:noWrap/>
            <w:vAlign w:val="center"/>
            <w:hideMark/>
          </w:tcPr>
          <w:p w14:paraId="0C7BCE05" w14:textId="027292FE" w:rsidR="00BC793B" w:rsidRPr="002E4092" w:rsidRDefault="00BC793B" w:rsidP="00BC793B">
            <w:pPr>
              <w:rPr>
                <w:rFonts w:cstheme="minorHAnsi"/>
                <w:sz w:val="20"/>
              </w:rPr>
            </w:pPr>
            <w:r w:rsidRPr="0049683E">
              <w:rPr>
                <w:rFonts w:ascii="Calibri" w:hAnsi="Calibri" w:cs="Calibri"/>
                <w:sz w:val="20"/>
              </w:rPr>
              <w:t>Amphibians</w:t>
            </w:r>
          </w:p>
        </w:tc>
        <w:tc>
          <w:tcPr>
            <w:tcW w:w="995" w:type="dxa"/>
            <w:shd w:val="clear" w:color="auto" w:fill="auto"/>
            <w:vAlign w:val="center"/>
            <w:hideMark/>
          </w:tcPr>
          <w:p w14:paraId="049B4F11" w14:textId="7373A5A1"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5534E9F5" w14:textId="1D2F1E00" w:rsidR="00BC793B" w:rsidRPr="0016247A" w:rsidRDefault="00BC793B" w:rsidP="00BC793B">
            <w:pPr>
              <w:jc w:val="center"/>
              <w:rPr>
                <w:rFonts w:cstheme="minorHAnsi"/>
                <w:sz w:val="20"/>
                <w:highlight w:val="yellow"/>
              </w:rPr>
            </w:pPr>
            <w:r w:rsidRPr="0049683E">
              <w:rPr>
                <w:rFonts w:ascii="Calibri" w:hAnsi="Calibri" w:cs="Calibri"/>
                <w:sz w:val="20"/>
              </w:rPr>
              <w:t>25</w:t>
            </w:r>
          </w:p>
        </w:tc>
        <w:tc>
          <w:tcPr>
            <w:tcW w:w="2180" w:type="dxa"/>
            <w:shd w:val="clear" w:color="auto" w:fill="auto"/>
            <w:noWrap/>
            <w:vAlign w:val="center"/>
            <w:hideMark/>
          </w:tcPr>
          <w:p w14:paraId="6A005157" w14:textId="69BCE919"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2066" w:type="dxa"/>
            <w:shd w:val="clear" w:color="auto" w:fill="auto"/>
            <w:noWrap/>
            <w:vAlign w:val="center"/>
            <w:hideMark/>
          </w:tcPr>
          <w:p w14:paraId="293D61AE" w14:textId="3E135665" w:rsidR="00BC793B" w:rsidRPr="0016247A" w:rsidRDefault="00BC793B" w:rsidP="00BC793B">
            <w:pPr>
              <w:jc w:val="center"/>
              <w:rPr>
                <w:rFonts w:cstheme="minorHAnsi"/>
                <w:sz w:val="20"/>
                <w:highlight w:val="yellow"/>
              </w:rPr>
            </w:pPr>
            <w:r w:rsidRPr="0049683E">
              <w:rPr>
                <w:rFonts w:ascii="Calibri" w:hAnsi="Calibri" w:cs="Calibri"/>
                <w:sz w:val="20"/>
              </w:rPr>
              <w:t>25</w:t>
            </w:r>
          </w:p>
        </w:tc>
        <w:tc>
          <w:tcPr>
            <w:tcW w:w="952" w:type="dxa"/>
            <w:shd w:val="clear" w:color="auto" w:fill="auto"/>
            <w:noWrap/>
            <w:vAlign w:val="center"/>
          </w:tcPr>
          <w:p w14:paraId="32D91958" w14:textId="47DC3689" w:rsidR="00BC793B" w:rsidRPr="0016247A" w:rsidRDefault="00BC793B" w:rsidP="00BC793B">
            <w:pPr>
              <w:jc w:val="center"/>
              <w:rPr>
                <w:rFonts w:cstheme="minorHAnsi"/>
                <w:sz w:val="20"/>
                <w:highlight w:val="yellow"/>
              </w:rPr>
            </w:pPr>
            <w:r w:rsidRPr="0049683E">
              <w:rPr>
                <w:rFonts w:ascii="Calibri" w:hAnsi="Calibri" w:cs="Calibri"/>
                <w:sz w:val="20"/>
              </w:rPr>
              <w:t>25</w:t>
            </w:r>
          </w:p>
        </w:tc>
      </w:tr>
      <w:tr w:rsidR="00BC793B" w:rsidRPr="0016247A" w14:paraId="1CB201B0" w14:textId="77777777" w:rsidTr="00AD0553">
        <w:trPr>
          <w:trHeight w:val="315"/>
        </w:trPr>
        <w:tc>
          <w:tcPr>
            <w:tcW w:w="1610" w:type="dxa"/>
            <w:shd w:val="clear" w:color="auto" w:fill="auto"/>
            <w:noWrap/>
            <w:vAlign w:val="center"/>
            <w:hideMark/>
          </w:tcPr>
          <w:p w14:paraId="27BEEC77" w14:textId="374054E2" w:rsidR="00BC793B" w:rsidRPr="002E4092" w:rsidRDefault="00BC793B" w:rsidP="00BC793B">
            <w:pPr>
              <w:rPr>
                <w:rFonts w:cstheme="minorHAnsi"/>
                <w:sz w:val="20"/>
              </w:rPr>
            </w:pPr>
            <w:r w:rsidRPr="0049683E">
              <w:rPr>
                <w:rFonts w:ascii="Calibri" w:hAnsi="Calibri" w:cs="Calibri"/>
                <w:sz w:val="20"/>
              </w:rPr>
              <w:t>Reptiles</w:t>
            </w:r>
          </w:p>
        </w:tc>
        <w:tc>
          <w:tcPr>
            <w:tcW w:w="995" w:type="dxa"/>
            <w:shd w:val="clear" w:color="auto" w:fill="auto"/>
            <w:vAlign w:val="center"/>
            <w:hideMark/>
          </w:tcPr>
          <w:p w14:paraId="628258A3" w14:textId="75FEBC8A"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3D8F4307" w14:textId="6D9EC217" w:rsidR="00BC793B" w:rsidRPr="0016247A" w:rsidRDefault="00BC793B" w:rsidP="00BC793B">
            <w:pPr>
              <w:jc w:val="center"/>
              <w:rPr>
                <w:rFonts w:cstheme="minorHAnsi"/>
                <w:sz w:val="20"/>
                <w:highlight w:val="yellow"/>
              </w:rPr>
            </w:pPr>
            <w:r w:rsidRPr="0049683E">
              <w:rPr>
                <w:rFonts w:ascii="Calibri" w:hAnsi="Calibri" w:cs="Calibri"/>
                <w:sz w:val="20"/>
              </w:rPr>
              <w:t>16</w:t>
            </w:r>
          </w:p>
        </w:tc>
        <w:tc>
          <w:tcPr>
            <w:tcW w:w="2180" w:type="dxa"/>
            <w:shd w:val="clear" w:color="auto" w:fill="auto"/>
            <w:noWrap/>
            <w:vAlign w:val="center"/>
            <w:hideMark/>
          </w:tcPr>
          <w:p w14:paraId="3C0B26E7" w14:textId="64C5A8D5" w:rsidR="00BC793B" w:rsidRPr="0016247A" w:rsidRDefault="00BC793B" w:rsidP="00BC793B">
            <w:pPr>
              <w:jc w:val="center"/>
              <w:rPr>
                <w:rFonts w:cstheme="minorHAnsi"/>
                <w:sz w:val="20"/>
                <w:highlight w:val="yellow"/>
              </w:rPr>
            </w:pPr>
            <w:r w:rsidRPr="0049683E">
              <w:rPr>
                <w:rFonts w:ascii="Calibri" w:hAnsi="Calibri" w:cs="Calibri"/>
                <w:sz w:val="20"/>
              </w:rPr>
              <w:t>6</w:t>
            </w:r>
          </w:p>
        </w:tc>
        <w:tc>
          <w:tcPr>
            <w:tcW w:w="2066" w:type="dxa"/>
            <w:shd w:val="clear" w:color="auto" w:fill="auto"/>
            <w:noWrap/>
            <w:vAlign w:val="center"/>
            <w:hideMark/>
          </w:tcPr>
          <w:p w14:paraId="12E05113" w14:textId="04FAA192" w:rsidR="00BC793B" w:rsidRPr="0016247A" w:rsidRDefault="00BC793B" w:rsidP="00BC793B">
            <w:pPr>
              <w:jc w:val="center"/>
              <w:rPr>
                <w:rFonts w:cstheme="minorHAnsi"/>
                <w:sz w:val="20"/>
                <w:highlight w:val="yellow"/>
              </w:rPr>
            </w:pPr>
            <w:r w:rsidRPr="0049683E">
              <w:rPr>
                <w:rFonts w:ascii="Calibri" w:hAnsi="Calibri" w:cs="Calibri"/>
                <w:sz w:val="20"/>
              </w:rPr>
              <w:t>10</w:t>
            </w:r>
          </w:p>
        </w:tc>
        <w:tc>
          <w:tcPr>
            <w:tcW w:w="952" w:type="dxa"/>
            <w:shd w:val="clear" w:color="auto" w:fill="auto"/>
            <w:noWrap/>
            <w:vAlign w:val="center"/>
          </w:tcPr>
          <w:p w14:paraId="4293019F" w14:textId="283F92C9" w:rsidR="00BC793B" w:rsidRPr="0016247A" w:rsidRDefault="00BC793B" w:rsidP="00BC793B">
            <w:pPr>
              <w:jc w:val="center"/>
              <w:rPr>
                <w:rFonts w:cstheme="minorHAnsi"/>
                <w:sz w:val="20"/>
                <w:highlight w:val="yellow"/>
              </w:rPr>
            </w:pPr>
            <w:r w:rsidRPr="0049683E">
              <w:rPr>
                <w:rFonts w:ascii="Calibri" w:hAnsi="Calibri" w:cs="Calibri"/>
                <w:sz w:val="20"/>
              </w:rPr>
              <w:t>16</w:t>
            </w:r>
          </w:p>
        </w:tc>
      </w:tr>
      <w:tr w:rsidR="00BC793B" w:rsidRPr="0016247A" w14:paraId="49152F21" w14:textId="77777777" w:rsidTr="00AD0553">
        <w:trPr>
          <w:trHeight w:val="315"/>
        </w:trPr>
        <w:tc>
          <w:tcPr>
            <w:tcW w:w="1610" w:type="dxa"/>
            <w:shd w:val="clear" w:color="auto" w:fill="auto"/>
            <w:noWrap/>
            <w:vAlign w:val="center"/>
            <w:hideMark/>
          </w:tcPr>
          <w:p w14:paraId="73F77701" w14:textId="4C0C401E" w:rsidR="00BC793B" w:rsidRPr="002E4092" w:rsidRDefault="00BC793B" w:rsidP="00BC793B">
            <w:pPr>
              <w:rPr>
                <w:rFonts w:cstheme="minorHAnsi"/>
                <w:sz w:val="20"/>
              </w:rPr>
            </w:pPr>
            <w:r w:rsidRPr="0049683E">
              <w:rPr>
                <w:rFonts w:ascii="Calibri" w:hAnsi="Calibri" w:cs="Calibri"/>
                <w:sz w:val="20"/>
              </w:rPr>
              <w:t>Fish</w:t>
            </w:r>
          </w:p>
        </w:tc>
        <w:tc>
          <w:tcPr>
            <w:tcW w:w="995" w:type="dxa"/>
            <w:shd w:val="clear" w:color="auto" w:fill="auto"/>
            <w:vAlign w:val="center"/>
            <w:hideMark/>
          </w:tcPr>
          <w:p w14:paraId="779D58CC" w14:textId="05E58B02"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6A6478A0" w14:textId="2850DA77" w:rsidR="00BC793B" w:rsidRPr="0016247A" w:rsidRDefault="00BC793B" w:rsidP="00BC793B">
            <w:pPr>
              <w:jc w:val="center"/>
              <w:rPr>
                <w:rFonts w:cstheme="minorHAnsi"/>
                <w:sz w:val="20"/>
                <w:highlight w:val="yellow"/>
              </w:rPr>
            </w:pPr>
            <w:r w:rsidRPr="0049683E">
              <w:rPr>
                <w:rFonts w:ascii="Calibri" w:hAnsi="Calibri" w:cs="Calibri"/>
                <w:sz w:val="20"/>
              </w:rPr>
              <w:t>107</w:t>
            </w:r>
          </w:p>
        </w:tc>
        <w:tc>
          <w:tcPr>
            <w:tcW w:w="2180" w:type="dxa"/>
            <w:shd w:val="clear" w:color="auto" w:fill="auto"/>
            <w:noWrap/>
            <w:vAlign w:val="center"/>
            <w:hideMark/>
          </w:tcPr>
          <w:p w14:paraId="2B748F55" w14:textId="7DC52D70" w:rsidR="00BC793B" w:rsidRPr="0016247A" w:rsidRDefault="00BC793B" w:rsidP="00BC793B">
            <w:pPr>
              <w:jc w:val="center"/>
              <w:rPr>
                <w:rFonts w:cstheme="minorHAnsi"/>
                <w:sz w:val="20"/>
                <w:highlight w:val="yellow"/>
              </w:rPr>
            </w:pPr>
            <w:r w:rsidRPr="0049683E">
              <w:rPr>
                <w:rFonts w:ascii="Calibri" w:hAnsi="Calibri" w:cs="Calibri"/>
                <w:sz w:val="20"/>
              </w:rPr>
              <w:t>2</w:t>
            </w:r>
          </w:p>
        </w:tc>
        <w:tc>
          <w:tcPr>
            <w:tcW w:w="2066" w:type="dxa"/>
            <w:shd w:val="clear" w:color="auto" w:fill="auto"/>
            <w:noWrap/>
            <w:vAlign w:val="center"/>
            <w:hideMark/>
          </w:tcPr>
          <w:p w14:paraId="31AB775D" w14:textId="44278BAE" w:rsidR="00BC793B" w:rsidRPr="0016247A" w:rsidRDefault="00BC793B" w:rsidP="00BC793B">
            <w:pPr>
              <w:jc w:val="center"/>
              <w:rPr>
                <w:rFonts w:cstheme="minorHAnsi"/>
                <w:sz w:val="20"/>
                <w:highlight w:val="yellow"/>
              </w:rPr>
            </w:pPr>
            <w:r w:rsidRPr="0049683E">
              <w:rPr>
                <w:rFonts w:ascii="Calibri" w:hAnsi="Calibri" w:cs="Calibri"/>
                <w:sz w:val="20"/>
              </w:rPr>
              <w:t>105</w:t>
            </w:r>
          </w:p>
        </w:tc>
        <w:tc>
          <w:tcPr>
            <w:tcW w:w="952" w:type="dxa"/>
            <w:shd w:val="clear" w:color="auto" w:fill="auto"/>
            <w:noWrap/>
            <w:vAlign w:val="center"/>
          </w:tcPr>
          <w:p w14:paraId="1A0EE934" w14:textId="2A3F928F" w:rsidR="00BC793B" w:rsidRPr="0016247A" w:rsidRDefault="00BC793B" w:rsidP="00BC793B">
            <w:pPr>
              <w:jc w:val="center"/>
              <w:rPr>
                <w:rFonts w:cstheme="minorHAnsi"/>
                <w:sz w:val="20"/>
                <w:highlight w:val="yellow"/>
              </w:rPr>
            </w:pPr>
            <w:r w:rsidRPr="0049683E">
              <w:rPr>
                <w:rFonts w:ascii="Calibri" w:hAnsi="Calibri" w:cs="Calibri"/>
                <w:sz w:val="20"/>
              </w:rPr>
              <w:t>107</w:t>
            </w:r>
          </w:p>
        </w:tc>
      </w:tr>
      <w:tr w:rsidR="00BC793B" w:rsidRPr="0016247A" w14:paraId="2433230C" w14:textId="77777777" w:rsidTr="00AD0553">
        <w:trPr>
          <w:trHeight w:val="315"/>
        </w:trPr>
        <w:tc>
          <w:tcPr>
            <w:tcW w:w="1610" w:type="dxa"/>
            <w:shd w:val="clear" w:color="auto" w:fill="auto"/>
            <w:noWrap/>
            <w:vAlign w:val="center"/>
            <w:hideMark/>
          </w:tcPr>
          <w:p w14:paraId="4CBDEA84" w14:textId="12F4058E" w:rsidR="00BC793B" w:rsidRPr="002E4092" w:rsidRDefault="00BC793B" w:rsidP="00BC793B">
            <w:pPr>
              <w:rPr>
                <w:rFonts w:cstheme="minorHAnsi"/>
                <w:sz w:val="20"/>
              </w:rPr>
            </w:pPr>
            <w:r w:rsidRPr="0049683E">
              <w:rPr>
                <w:rFonts w:ascii="Calibri" w:hAnsi="Calibri" w:cs="Calibri"/>
                <w:sz w:val="20"/>
              </w:rPr>
              <w:t>Plants</w:t>
            </w:r>
          </w:p>
        </w:tc>
        <w:tc>
          <w:tcPr>
            <w:tcW w:w="995" w:type="dxa"/>
            <w:shd w:val="clear" w:color="auto" w:fill="auto"/>
            <w:vAlign w:val="center"/>
            <w:hideMark/>
          </w:tcPr>
          <w:p w14:paraId="2CDAA884" w14:textId="44DB8007"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5B7F8C45" w14:textId="1F7C543F" w:rsidR="00BC793B" w:rsidRPr="0016247A" w:rsidRDefault="00BC793B" w:rsidP="00BC793B">
            <w:pPr>
              <w:jc w:val="center"/>
              <w:rPr>
                <w:rFonts w:cstheme="minorHAnsi"/>
                <w:sz w:val="20"/>
                <w:highlight w:val="yellow"/>
              </w:rPr>
            </w:pPr>
            <w:r w:rsidRPr="0049683E">
              <w:rPr>
                <w:rFonts w:ascii="Calibri" w:hAnsi="Calibri" w:cs="Calibri"/>
                <w:sz w:val="20"/>
              </w:rPr>
              <w:t>460</w:t>
            </w:r>
          </w:p>
        </w:tc>
        <w:tc>
          <w:tcPr>
            <w:tcW w:w="2180" w:type="dxa"/>
            <w:shd w:val="clear" w:color="auto" w:fill="auto"/>
            <w:noWrap/>
            <w:vAlign w:val="center"/>
            <w:hideMark/>
          </w:tcPr>
          <w:p w14:paraId="4735155F" w14:textId="6D3645E4" w:rsidR="00BC793B" w:rsidRPr="0016247A" w:rsidRDefault="00BC793B" w:rsidP="00BC793B">
            <w:pPr>
              <w:jc w:val="center"/>
              <w:rPr>
                <w:rFonts w:cstheme="minorHAnsi"/>
                <w:sz w:val="20"/>
                <w:highlight w:val="yellow"/>
              </w:rPr>
            </w:pPr>
            <w:r w:rsidRPr="0049683E">
              <w:rPr>
                <w:rFonts w:ascii="Calibri" w:hAnsi="Calibri" w:cs="Calibri"/>
                <w:sz w:val="20"/>
              </w:rPr>
              <w:t>4</w:t>
            </w:r>
          </w:p>
        </w:tc>
        <w:tc>
          <w:tcPr>
            <w:tcW w:w="2066" w:type="dxa"/>
            <w:shd w:val="clear" w:color="auto" w:fill="auto"/>
            <w:noWrap/>
            <w:vAlign w:val="center"/>
            <w:hideMark/>
          </w:tcPr>
          <w:p w14:paraId="5A81C357" w14:textId="43F5351F" w:rsidR="00BC793B" w:rsidRPr="0016247A" w:rsidRDefault="00BC793B" w:rsidP="00BC793B">
            <w:pPr>
              <w:jc w:val="center"/>
              <w:rPr>
                <w:rFonts w:cstheme="minorHAnsi"/>
                <w:sz w:val="20"/>
                <w:highlight w:val="yellow"/>
              </w:rPr>
            </w:pPr>
            <w:r w:rsidRPr="0049683E">
              <w:rPr>
                <w:rFonts w:ascii="Calibri" w:hAnsi="Calibri" w:cs="Calibri"/>
                <w:sz w:val="20"/>
              </w:rPr>
              <w:t>456</w:t>
            </w:r>
          </w:p>
        </w:tc>
        <w:tc>
          <w:tcPr>
            <w:tcW w:w="952" w:type="dxa"/>
            <w:shd w:val="clear" w:color="auto" w:fill="auto"/>
            <w:noWrap/>
            <w:vAlign w:val="center"/>
          </w:tcPr>
          <w:p w14:paraId="3F2FB4AD" w14:textId="7A96B877" w:rsidR="00BC793B" w:rsidRPr="0016247A" w:rsidRDefault="00BC793B" w:rsidP="00BC793B">
            <w:pPr>
              <w:jc w:val="center"/>
              <w:rPr>
                <w:rFonts w:cstheme="minorHAnsi"/>
                <w:sz w:val="20"/>
                <w:highlight w:val="yellow"/>
              </w:rPr>
            </w:pPr>
            <w:r w:rsidRPr="0049683E">
              <w:rPr>
                <w:rFonts w:ascii="Calibri" w:hAnsi="Calibri" w:cs="Calibri"/>
                <w:sz w:val="20"/>
              </w:rPr>
              <w:t>460</w:t>
            </w:r>
          </w:p>
        </w:tc>
      </w:tr>
      <w:tr w:rsidR="00BC793B" w:rsidRPr="0016247A" w14:paraId="3C1017B0" w14:textId="77777777" w:rsidTr="00AD0553">
        <w:trPr>
          <w:trHeight w:val="315"/>
        </w:trPr>
        <w:tc>
          <w:tcPr>
            <w:tcW w:w="1610" w:type="dxa"/>
            <w:shd w:val="clear" w:color="auto" w:fill="auto"/>
            <w:noWrap/>
            <w:vAlign w:val="center"/>
            <w:hideMark/>
          </w:tcPr>
          <w:p w14:paraId="58D440CD" w14:textId="54688C50" w:rsidR="00BC793B" w:rsidRPr="002E4092" w:rsidRDefault="00BC793B" w:rsidP="00BC793B">
            <w:pPr>
              <w:rPr>
                <w:rFonts w:cstheme="minorHAnsi"/>
                <w:sz w:val="20"/>
              </w:rPr>
            </w:pPr>
            <w:r w:rsidRPr="0049683E">
              <w:rPr>
                <w:rFonts w:ascii="Calibri" w:hAnsi="Calibri" w:cs="Calibri"/>
                <w:sz w:val="20"/>
              </w:rPr>
              <w:t>Aquatic Invertebrates</w:t>
            </w:r>
          </w:p>
        </w:tc>
        <w:tc>
          <w:tcPr>
            <w:tcW w:w="995" w:type="dxa"/>
            <w:shd w:val="clear" w:color="auto" w:fill="auto"/>
            <w:vAlign w:val="center"/>
            <w:hideMark/>
          </w:tcPr>
          <w:p w14:paraId="61C6D036" w14:textId="0DCCC0B0"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232E9C5C" w14:textId="07BCB77D" w:rsidR="00BC793B" w:rsidRPr="0016247A" w:rsidRDefault="00BC793B" w:rsidP="00BC793B">
            <w:pPr>
              <w:jc w:val="center"/>
              <w:rPr>
                <w:rFonts w:cstheme="minorHAnsi"/>
                <w:sz w:val="20"/>
                <w:highlight w:val="yellow"/>
              </w:rPr>
            </w:pPr>
            <w:r w:rsidRPr="0049683E">
              <w:rPr>
                <w:rFonts w:ascii="Calibri" w:hAnsi="Calibri" w:cs="Calibri"/>
                <w:sz w:val="20"/>
              </w:rPr>
              <w:t>71</w:t>
            </w:r>
          </w:p>
        </w:tc>
        <w:tc>
          <w:tcPr>
            <w:tcW w:w="2180" w:type="dxa"/>
            <w:shd w:val="clear" w:color="auto" w:fill="auto"/>
            <w:noWrap/>
            <w:vAlign w:val="center"/>
            <w:hideMark/>
          </w:tcPr>
          <w:p w14:paraId="4E3128BF" w14:textId="1128BBA1" w:rsidR="00BC793B" w:rsidRPr="0016247A" w:rsidRDefault="00BC793B" w:rsidP="00BC793B">
            <w:pPr>
              <w:jc w:val="center"/>
              <w:rPr>
                <w:rFonts w:cstheme="minorHAnsi"/>
                <w:sz w:val="20"/>
                <w:highlight w:val="yellow"/>
              </w:rPr>
            </w:pPr>
            <w:r w:rsidRPr="0049683E">
              <w:rPr>
                <w:rFonts w:ascii="Calibri" w:hAnsi="Calibri" w:cs="Calibri"/>
                <w:sz w:val="20"/>
              </w:rPr>
              <w:t>3</w:t>
            </w:r>
          </w:p>
        </w:tc>
        <w:tc>
          <w:tcPr>
            <w:tcW w:w="2066" w:type="dxa"/>
            <w:shd w:val="clear" w:color="auto" w:fill="auto"/>
            <w:noWrap/>
            <w:vAlign w:val="center"/>
            <w:hideMark/>
          </w:tcPr>
          <w:p w14:paraId="4EF5117C" w14:textId="02BFA370" w:rsidR="00BC793B" w:rsidRPr="0016247A" w:rsidRDefault="00BC793B" w:rsidP="00BC793B">
            <w:pPr>
              <w:jc w:val="center"/>
              <w:rPr>
                <w:rFonts w:cstheme="minorHAnsi"/>
                <w:sz w:val="20"/>
                <w:highlight w:val="yellow"/>
              </w:rPr>
            </w:pPr>
            <w:r w:rsidRPr="0049683E">
              <w:rPr>
                <w:rFonts w:ascii="Calibri" w:hAnsi="Calibri" w:cs="Calibri"/>
                <w:sz w:val="20"/>
              </w:rPr>
              <w:t>68</w:t>
            </w:r>
          </w:p>
        </w:tc>
        <w:tc>
          <w:tcPr>
            <w:tcW w:w="952" w:type="dxa"/>
            <w:shd w:val="clear" w:color="auto" w:fill="auto"/>
            <w:noWrap/>
            <w:vAlign w:val="center"/>
          </w:tcPr>
          <w:p w14:paraId="2AACA3AE" w14:textId="12EB875F" w:rsidR="00BC793B" w:rsidRPr="0016247A" w:rsidRDefault="00BC793B" w:rsidP="00BC793B">
            <w:pPr>
              <w:jc w:val="center"/>
              <w:rPr>
                <w:rFonts w:cstheme="minorHAnsi"/>
                <w:sz w:val="20"/>
                <w:highlight w:val="yellow"/>
              </w:rPr>
            </w:pPr>
            <w:r w:rsidRPr="0049683E">
              <w:rPr>
                <w:rFonts w:ascii="Calibri" w:hAnsi="Calibri" w:cs="Calibri"/>
                <w:sz w:val="20"/>
              </w:rPr>
              <w:t>71</w:t>
            </w:r>
          </w:p>
        </w:tc>
      </w:tr>
      <w:tr w:rsidR="00BC793B" w:rsidRPr="0016247A" w14:paraId="00150171" w14:textId="77777777" w:rsidTr="00AD0553">
        <w:trPr>
          <w:trHeight w:val="315"/>
        </w:trPr>
        <w:tc>
          <w:tcPr>
            <w:tcW w:w="1610" w:type="dxa"/>
            <w:shd w:val="clear" w:color="auto" w:fill="auto"/>
            <w:noWrap/>
            <w:vAlign w:val="center"/>
            <w:hideMark/>
          </w:tcPr>
          <w:p w14:paraId="50698DBC" w14:textId="6A2CD02F" w:rsidR="00BC793B" w:rsidRPr="002E4092" w:rsidRDefault="00BC793B" w:rsidP="00BC793B">
            <w:pPr>
              <w:rPr>
                <w:rFonts w:cstheme="minorHAnsi"/>
                <w:sz w:val="20"/>
              </w:rPr>
            </w:pPr>
            <w:r w:rsidRPr="0049683E">
              <w:rPr>
                <w:rFonts w:ascii="Calibri" w:hAnsi="Calibri" w:cs="Calibri"/>
                <w:sz w:val="20"/>
              </w:rPr>
              <w:t>Terrestrial Invertebrates</w:t>
            </w:r>
          </w:p>
        </w:tc>
        <w:tc>
          <w:tcPr>
            <w:tcW w:w="995" w:type="dxa"/>
            <w:shd w:val="clear" w:color="auto" w:fill="auto"/>
            <w:vAlign w:val="center"/>
            <w:hideMark/>
          </w:tcPr>
          <w:p w14:paraId="7C6F341E" w14:textId="09FAEFEC"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512F6666" w14:textId="080277DC" w:rsidR="00BC793B" w:rsidRPr="0016247A" w:rsidRDefault="00BC793B" w:rsidP="00BC793B">
            <w:pPr>
              <w:jc w:val="center"/>
              <w:rPr>
                <w:rFonts w:cstheme="minorHAnsi"/>
                <w:sz w:val="20"/>
                <w:highlight w:val="yellow"/>
              </w:rPr>
            </w:pPr>
            <w:r w:rsidRPr="0049683E">
              <w:rPr>
                <w:rFonts w:ascii="Calibri" w:hAnsi="Calibri" w:cs="Calibri"/>
                <w:sz w:val="20"/>
              </w:rPr>
              <w:t>49</w:t>
            </w:r>
          </w:p>
        </w:tc>
        <w:tc>
          <w:tcPr>
            <w:tcW w:w="2180" w:type="dxa"/>
            <w:shd w:val="clear" w:color="auto" w:fill="auto"/>
            <w:noWrap/>
            <w:vAlign w:val="center"/>
            <w:hideMark/>
          </w:tcPr>
          <w:p w14:paraId="22782881" w14:textId="299D092C" w:rsidR="00BC793B" w:rsidRPr="0016247A" w:rsidRDefault="00BC793B" w:rsidP="00BC793B">
            <w:pPr>
              <w:jc w:val="center"/>
              <w:rPr>
                <w:rFonts w:cstheme="minorHAnsi"/>
                <w:sz w:val="20"/>
                <w:highlight w:val="yellow"/>
              </w:rPr>
            </w:pPr>
            <w:r w:rsidRPr="0049683E">
              <w:rPr>
                <w:rFonts w:ascii="Calibri" w:hAnsi="Calibri" w:cs="Calibri"/>
                <w:sz w:val="20"/>
              </w:rPr>
              <w:t>11</w:t>
            </w:r>
          </w:p>
        </w:tc>
        <w:tc>
          <w:tcPr>
            <w:tcW w:w="2066" w:type="dxa"/>
            <w:shd w:val="clear" w:color="auto" w:fill="auto"/>
            <w:noWrap/>
            <w:vAlign w:val="center"/>
            <w:hideMark/>
          </w:tcPr>
          <w:p w14:paraId="76B6A158" w14:textId="25ABDD12" w:rsidR="00BC793B" w:rsidRPr="0016247A" w:rsidRDefault="00BC793B" w:rsidP="00BC793B">
            <w:pPr>
              <w:jc w:val="center"/>
              <w:rPr>
                <w:rFonts w:cstheme="minorHAnsi"/>
                <w:sz w:val="20"/>
                <w:highlight w:val="yellow"/>
              </w:rPr>
            </w:pPr>
            <w:r w:rsidRPr="0049683E">
              <w:rPr>
                <w:rFonts w:ascii="Calibri" w:hAnsi="Calibri" w:cs="Calibri"/>
                <w:sz w:val="20"/>
              </w:rPr>
              <w:t>38</w:t>
            </w:r>
          </w:p>
        </w:tc>
        <w:tc>
          <w:tcPr>
            <w:tcW w:w="952" w:type="dxa"/>
            <w:shd w:val="clear" w:color="auto" w:fill="auto"/>
            <w:noWrap/>
            <w:vAlign w:val="center"/>
          </w:tcPr>
          <w:p w14:paraId="5758ADEB" w14:textId="133BEE9C" w:rsidR="00BC793B" w:rsidRPr="0016247A" w:rsidRDefault="00BC793B" w:rsidP="00BC793B">
            <w:pPr>
              <w:jc w:val="center"/>
              <w:rPr>
                <w:rFonts w:cstheme="minorHAnsi"/>
                <w:sz w:val="20"/>
                <w:highlight w:val="yellow"/>
              </w:rPr>
            </w:pPr>
            <w:r w:rsidRPr="0049683E">
              <w:rPr>
                <w:rFonts w:ascii="Calibri" w:hAnsi="Calibri" w:cs="Calibri"/>
                <w:sz w:val="20"/>
              </w:rPr>
              <w:t>49</w:t>
            </w:r>
          </w:p>
        </w:tc>
      </w:tr>
      <w:tr w:rsidR="00BC793B" w:rsidRPr="0016247A" w14:paraId="2C429128" w14:textId="77777777" w:rsidTr="00AD0553">
        <w:trPr>
          <w:trHeight w:val="315"/>
        </w:trPr>
        <w:tc>
          <w:tcPr>
            <w:tcW w:w="1610" w:type="dxa"/>
            <w:shd w:val="clear" w:color="000000" w:fill="D9D9D9"/>
            <w:noWrap/>
            <w:vAlign w:val="center"/>
            <w:hideMark/>
          </w:tcPr>
          <w:p w14:paraId="40E50333" w14:textId="3D795F03" w:rsidR="00BC793B" w:rsidRPr="002E4092" w:rsidRDefault="00BC793B" w:rsidP="00BC793B">
            <w:pPr>
              <w:rPr>
                <w:rFonts w:cstheme="minorHAnsi"/>
                <w:sz w:val="20"/>
              </w:rPr>
            </w:pPr>
            <w:r w:rsidRPr="0049683E">
              <w:rPr>
                <w:rFonts w:ascii="Calibri" w:hAnsi="Calibri" w:cs="Calibri"/>
                <w:sz w:val="20"/>
              </w:rPr>
              <w:t>Total</w:t>
            </w:r>
          </w:p>
        </w:tc>
        <w:tc>
          <w:tcPr>
            <w:tcW w:w="995" w:type="dxa"/>
            <w:shd w:val="clear" w:color="000000" w:fill="D9D9D9"/>
            <w:vAlign w:val="center"/>
            <w:hideMark/>
          </w:tcPr>
          <w:p w14:paraId="2CB88961" w14:textId="2688487C"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000000" w:fill="D9D9D9"/>
            <w:vAlign w:val="center"/>
            <w:hideMark/>
          </w:tcPr>
          <w:p w14:paraId="3E7B2B26" w14:textId="309B9340" w:rsidR="00BC793B" w:rsidRPr="0016247A" w:rsidRDefault="00BC793B" w:rsidP="00BC793B">
            <w:pPr>
              <w:jc w:val="center"/>
              <w:rPr>
                <w:rFonts w:cstheme="minorHAnsi"/>
                <w:sz w:val="20"/>
                <w:highlight w:val="yellow"/>
              </w:rPr>
            </w:pPr>
            <w:r w:rsidRPr="0049683E">
              <w:rPr>
                <w:rFonts w:ascii="Calibri" w:hAnsi="Calibri" w:cs="Calibri"/>
                <w:sz w:val="20"/>
              </w:rPr>
              <w:t>792</w:t>
            </w:r>
          </w:p>
        </w:tc>
        <w:tc>
          <w:tcPr>
            <w:tcW w:w="2180" w:type="dxa"/>
            <w:shd w:val="clear" w:color="000000" w:fill="D9D9D9"/>
            <w:noWrap/>
            <w:vAlign w:val="center"/>
            <w:hideMark/>
          </w:tcPr>
          <w:p w14:paraId="163333A3" w14:textId="7646A315" w:rsidR="00BC793B" w:rsidRPr="0016247A" w:rsidRDefault="00BC793B" w:rsidP="00BC793B">
            <w:pPr>
              <w:jc w:val="center"/>
              <w:rPr>
                <w:rFonts w:cstheme="minorHAnsi"/>
                <w:sz w:val="20"/>
                <w:highlight w:val="yellow"/>
              </w:rPr>
            </w:pPr>
            <w:r w:rsidRPr="0049683E">
              <w:rPr>
                <w:rFonts w:ascii="Calibri" w:hAnsi="Calibri" w:cs="Calibri"/>
                <w:sz w:val="20"/>
              </w:rPr>
              <w:t>33</w:t>
            </w:r>
          </w:p>
        </w:tc>
        <w:tc>
          <w:tcPr>
            <w:tcW w:w="2066" w:type="dxa"/>
            <w:shd w:val="clear" w:color="000000" w:fill="D9D9D9"/>
            <w:noWrap/>
            <w:vAlign w:val="center"/>
            <w:hideMark/>
          </w:tcPr>
          <w:p w14:paraId="4550BE18" w14:textId="730DCEE3" w:rsidR="00BC793B" w:rsidRPr="0016247A" w:rsidRDefault="00BC793B" w:rsidP="00BC793B">
            <w:pPr>
              <w:jc w:val="center"/>
              <w:rPr>
                <w:rFonts w:cstheme="minorHAnsi"/>
                <w:sz w:val="20"/>
                <w:highlight w:val="yellow"/>
              </w:rPr>
            </w:pPr>
            <w:r w:rsidRPr="0049683E">
              <w:rPr>
                <w:rFonts w:ascii="Calibri" w:hAnsi="Calibri" w:cs="Calibri"/>
                <w:sz w:val="20"/>
              </w:rPr>
              <w:t>759</w:t>
            </w:r>
          </w:p>
        </w:tc>
        <w:tc>
          <w:tcPr>
            <w:tcW w:w="952" w:type="dxa"/>
            <w:shd w:val="clear" w:color="000000" w:fill="D9D9D9"/>
            <w:noWrap/>
            <w:vAlign w:val="center"/>
            <w:hideMark/>
          </w:tcPr>
          <w:p w14:paraId="45997C4E" w14:textId="2C166298" w:rsidR="00BC793B" w:rsidRPr="0016247A" w:rsidRDefault="00BC793B" w:rsidP="00BC793B">
            <w:pPr>
              <w:jc w:val="center"/>
              <w:rPr>
                <w:rFonts w:cstheme="minorHAnsi"/>
                <w:sz w:val="20"/>
                <w:highlight w:val="yellow"/>
              </w:rPr>
            </w:pPr>
            <w:r w:rsidRPr="0049683E">
              <w:rPr>
                <w:rFonts w:ascii="Calibri" w:hAnsi="Calibri" w:cs="Calibri"/>
                <w:sz w:val="20"/>
              </w:rPr>
              <w:t>792</w:t>
            </w:r>
          </w:p>
        </w:tc>
      </w:tr>
      <w:tr w:rsidR="00BC793B" w:rsidRPr="00BF3100" w14:paraId="2E242040" w14:textId="77777777" w:rsidTr="00AD0553">
        <w:trPr>
          <w:trHeight w:val="300"/>
        </w:trPr>
        <w:tc>
          <w:tcPr>
            <w:tcW w:w="1610" w:type="dxa"/>
            <w:shd w:val="clear" w:color="000000" w:fill="D9D9D9"/>
            <w:noWrap/>
            <w:vAlign w:val="center"/>
            <w:hideMark/>
          </w:tcPr>
          <w:p w14:paraId="10C776B0" w14:textId="01BF8C8A" w:rsidR="00BC793B" w:rsidRPr="002E4092" w:rsidRDefault="00BC793B" w:rsidP="00BC793B">
            <w:pPr>
              <w:rPr>
                <w:rFonts w:cstheme="minorHAnsi"/>
                <w:sz w:val="20"/>
              </w:rPr>
            </w:pPr>
            <w:r w:rsidRPr="0049683E">
              <w:rPr>
                <w:rFonts w:ascii="Calibri" w:hAnsi="Calibri" w:cs="Calibri"/>
                <w:sz w:val="20"/>
              </w:rPr>
              <w:t>Percent of total</w:t>
            </w:r>
          </w:p>
        </w:tc>
        <w:tc>
          <w:tcPr>
            <w:tcW w:w="995" w:type="dxa"/>
            <w:shd w:val="clear" w:color="000000" w:fill="D9D9D9"/>
            <w:noWrap/>
            <w:vAlign w:val="center"/>
            <w:hideMark/>
          </w:tcPr>
          <w:p w14:paraId="4F20F888" w14:textId="2A2BC72C"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000000" w:fill="D9D9D9"/>
            <w:noWrap/>
            <w:vAlign w:val="center"/>
            <w:hideMark/>
          </w:tcPr>
          <w:p w14:paraId="3EEB54E5" w14:textId="3A52A794" w:rsidR="00BC793B" w:rsidRPr="0016247A" w:rsidRDefault="00BC793B" w:rsidP="00BC793B">
            <w:pPr>
              <w:jc w:val="center"/>
              <w:rPr>
                <w:rFonts w:cstheme="minorHAnsi"/>
                <w:sz w:val="20"/>
                <w:highlight w:val="yellow"/>
              </w:rPr>
            </w:pPr>
            <w:r w:rsidRPr="0049683E">
              <w:rPr>
                <w:rFonts w:ascii="Calibri" w:hAnsi="Calibri" w:cs="Calibri"/>
                <w:sz w:val="20"/>
              </w:rPr>
              <w:t>100%</w:t>
            </w:r>
          </w:p>
        </w:tc>
        <w:tc>
          <w:tcPr>
            <w:tcW w:w="2180" w:type="dxa"/>
            <w:shd w:val="clear" w:color="000000" w:fill="D9D9D9"/>
            <w:noWrap/>
            <w:vAlign w:val="center"/>
            <w:hideMark/>
          </w:tcPr>
          <w:p w14:paraId="6524A6B6" w14:textId="0F4661F4" w:rsidR="00BC793B" w:rsidRPr="0016247A" w:rsidRDefault="00BC793B" w:rsidP="00BC793B">
            <w:pPr>
              <w:jc w:val="center"/>
              <w:rPr>
                <w:rFonts w:cstheme="minorHAnsi"/>
                <w:sz w:val="20"/>
                <w:highlight w:val="yellow"/>
              </w:rPr>
            </w:pPr>
            <w:r w:rsidRPr="0049683E">
              <w:rPr>
                <w:rFonts w:ascii="Calibri" w:hAnsi="Calibri" w:cs="Calibri"/>
                <w:sz w:val="20"/>
              </w:rPr>
              <w:t>4%</w:t>
            </w:r>
          </w:p>
        </w:tc>
        <w:tc>
          <w:tcPr>
            <w:tcW w:w="2066" w:type="dxa"/>
            <w:shd w:val="clear" w:color="000000" w:fill="D9D9D9"/>
            <w:noWrap/>
            <w:vAlign w:val="center"/>
            <w:hideMark/>
          </w:tcPr>
          <w:p w14:paraId="4A1C85EF" w14:textId="21DF4BB0" w:rsidR="00BC793B" w:rsidRPr="00FA3FAE" w:rsidRDefault="00BC793B" w:rsidP="00BC793B">
            <w:pPr>
              <w:jc w:val="center"/>
              <w:rPr>
                <w:rFonts w:cstheme="minorHAnsi"/>
                <w:sz w:val="20"/>
              </w:rPr>
            </w:pPr>
            <w:r w:rsidRPr="0049683E">
              <w:rPr>
                <w:rFonts w:ascii="Calibri" w:hAnsi="Calibri" w:cs="Calibri"/>
                <w:sz w:val="20"/>
              </w:rPr>
              <w:t>96%</w:t>
            </w:r>
          </w:p>
        </w:tc>
        <w:tc>
          <w:tcPr>
            <w:tcW w:w="952" w:type="dxa"/>
            <w:shd w:val="clear" w:color="000000" w:fill="D9D9D9"/>
            <w:noWrap/>
            <w:vAlign w:val="center"/>
            <w:hideMark/>
          </w:tcPr>
          <w:p w14:paraId="434AF84B" w14:textId="31AB4650" w:rsidR="00BC793B" w:rsidRPr="00FA3FAE" w:rsidRDefault="00BC793B" w:rsidP="00BC793B">
            <w:pPr>
              <w:jc w:val="center"/>
              <w:rPr>
                <w:rFonts w:cstheme="minorHAnsi"/>
                <w:sz w:val="20"/>
              </w:rPr>
            </w:pPr>
            <w:r w:rsidRPr="0049683E">
              <w:rPr>
                <w:sz w:val="20"/>
              </w:rPr>
              <w:t> </w:t>
            </w:r>
          </w:p>
        </w:tc>
      </w:tr>
    </w:tbl>
    <w:p w14:paraId="3AF60A45" w14:textId="77777777" w:rsidR="00B408AC" w:rsidRDefault="00B408AC" w:rsidP="00B408AC">
      <w:pPr>
        <w:rPr>
          <w:sz w:val="20"/>
        </w:rPr>
      </w:pPr>
    </w:p>
    <w:p w14:paraId="0BF4DCCD" w14:textId="77777777" w:rsidR="00B408AC" w:rsidRPr="00517D5C" w:rsidRDefault="00B408AC" w:rsidP="00B408AC">
      <w:pPr>
        <w:rPr>
          <w:sz w:val="20"/>
        </w:rPr>
      </w:pPr>
    </w:p>
    <w:p w14:paraId="55DD1A74" w14:textId="1FEDDA93" w:rsidR="00B408AC" w:rsidRDefault="00B408AC" w:rsidP="00B408AC">
      <w:pPr>
        <w:rPr>
          <w:noProof/>
          <w:sz w:val="20"/>
        </w:rPr>
      </w:pPr>
      <w:r w:rsidRPr="00110D58">
        <w:rPr>
          <w:b/>
        </w:rPr>
        <w:lastRenderedPageBreak/>
        <w:t>T</w:t>
      </w:r>
      <w:r>
        <w:rPr>
          <w:b/>
        </w:rPr>
        <w:t>able 3.</w:t>
      </w:r>
      <w:r w:rsidRPr="00110D58">
        <w:rPr>
          <w:b/>
        </w:rPr>
        <w:t xml:space="preserve"> </w:t>
      </w:r>
      <w:r>
        <w:rPr>
          <w:b/>
        </w:rPr>
        <w:t>Classification of LAA Determinations by Strength of Evidence.</w:t>
      </w:r>
    </w:p>
    <w:tbl>
      <w:tblPr>
        <w:tblStyle w:val="TableGrid"/>
        <w:tblW w:w="0" w:type="auto"/>
        <w:tblLook w:val="04A0" w:firstRow="1" w:lastRow="0" w:firstColumn="1" w:lastColumn="0" w:noHBand="0" w:noVBand="1"/>
      </w:tblPr>
      <w:tblGrid>
        <w:gridCol w:w="3020"/>
        <w:gridCol w:w="1655"/>
        <w:gridCol w:w="1497"/>
        <w:gridCol w:w="1484"/>
        <w:gridCol w:w="1694"/>
      </w:tblGrid>
      <w:tr w:rsidR="00B408AC" w:rsidRPr="0016247A" w14:paraId="2A59CC4A" w14:textId="77777777" w:rsidTr="00A87C73">
        <w:trPr>
          <w:trHeight w:val="300"/>
        </w:trPr>
        <w:tc>
          <w:tcPr>
            <w:tcW w:w="3020" w:type="dxa"/>
            <w:vMerge w:val="restart"/>
            <w:shd w:val="clear" w:color="auto" w:fill="E7E6E6" w:themeFill="background2"/>
            <w:noWrap/>
            <w:vAlign w:val="center"/>
          </w:tcPr>
          <w:p w14:paraId="1E4CAEF5" w14:textId="77777777" w:rsidR="00B408AC" w:rsidRPr="002E4092" w:rsidRDefault="00B408AC" w:rsidP="00A87C73">
            <w:pPr>
              <w:rPr>
                <w:b/>
                <w:sz w:val="20"/>
                <w:szCs w:val="20"/>
              </w:rPr>
            </w:pPr>
            <w:r w:rsidRPr="002E4092">
              <w:rPr>
                <w:b/>
                <w:sz w:val="20"/>
                <w:szCs w:val="20"/>
              </w:rPr>
              <w:t>Strength of LAA call</w:t>
            </w:r>
          </w:p>
        </w:tc>
        <w:tc>
          <w:tcPr>
            <w:tcW w:w="3152" w:type="dxa"/>
            <w:gridSpan w:val="2"/>
            <w:shd w:val="clear" w:color="auto" w:fill="E7E6E6" w:themeFill="background2"/>
            <w:noWrap/>
          </w:tcPr>
          <w:p w14:paraId="7EE0A62C" w14:textId="77777777" w:rsidR="00B408AC" w:rsidRPr="002E4092" w:rsidRDefault="00B408AC" w:rsidP="00A87C73">
            <w:pPr>
              <w:jc w:val="center"/>
              <w:rPr>
                <w:b/>
                <w:sz w:val="20"/>
                <w:szCs w:val="20"/>
              </w:rPr>
            </w:pPr>
            <w:r w:rsidRPr="002E4092">
              <w:rPr>
                <w:b/>
                <w:sz w:val="20"/>
                <w:szCs w:val="20"/>
              </w:rPr>
              <w:t>Species range</w:t>
            </w:r>
          </w:p>
        </w:tc>
        <w:tc>
          <w:tcPr>
            <w:tcW w:w="3178" w:type="dxa"/>
            <w:gridSpan w:val="2"/>
            <w:shd w:val="clear" w:color="auto" w:fill="E7E6E6" w:themeFill="background2"/>
          </w:tcPr>
          <w:p w14:paraId="0B53D688" w14:textId="77777777" w:rsidR="00B408AC" w:rsidRPr="002E4092" w:rsidRDefault="00B408AC" w:rsidP="00A87C73">
            <w:pPr>
              <w:jc w:val="center"/>
              <w:rPr>
                <w:b/>
                <w:sz w:val="20"/>
                <w:szCs w:val="20"/>
              </w:rPr>
            </w:pPr>
            <w:r w:rsidRPr="002E4092">
              <w:rPr>
                <w:b/>
                <w:sz w:val="20"/>
                <w:szCs w:val="20"/>
              </w:rPr>
              <w:t>Critical Habitat</w:t>
            </w:r>
          </w:p>
        </w:tc>
      </w:tr>
      <w:tr w:rsidR="00B408AC" w:rsidRPr="0016247A" w14:paraId="223832BA" w14:textId="77777777" w:rsidTr="00AD0553">
        <w:trPr>
          <w:trHeight w:val="300"/>
        </w:trPr>
        <w:tc>
          <w:tcPr>
            <w:tcW w:w="3020" w:type="dxa"/>
            <w:vMerge/>
            <w:shd w:val="clear" w:color="auto" w:fill="E7E6E6" w:themeFill="background2"/>
            <w:noWrap/>
          </w:tcPr>
          <w:p w14:paraId="51FF0527" w14:textId="77777777" w:rsidR="00B408AC" w:rsidRPr="002E4092" w:rsidRDefault="00B408AC" w:rsidP="00A87C73">
            <w:pPr>
              <w:rPr>
                <w:b/>
                <w:sz w:val="20"/>
                <w:szCs w:val="20"/>
              </w:rPr>
            </w:pPr>
          </w:p>
        </w:tc>
        <w:tc>
          <w:tcPr>
            <w:tcW w:w="1655" w:type="dxa"/>
            <w:shd w:val="clear" w:color="auto" w:fill="E7E6E6" w:themeFill="background2"/>
            <w:noWrap/>
          </w:tcPr>
          <w:p w14:paraId="3F7593F1" w14:textId="77777777" w:rsidR="00B408AC" w:rsidRPr="002E4092" w:rsidRDefault="00B408AC" w:rsidP="00A87C73">
            <w:pPr>
              <w:jc w:val="center"/>
              <w:rPr>
                <w:b/>
                <w:sz w:val="20"/>
                <w:szCs w:val="20"/>
              </w:rPr>
            </w:pPr>
            <w:r w:rsidRPr="002E4092">
              <w:rPr>
                <w:b/>
                <w:sz w:val="20"/>
                <w:szCs w:val="20"/>
              </w:rPr>
              <w:t>Number</w:t>
            </w:r>
          </w:p>
        </w:tc>
        <w:tc>
          <w:tcPr>
            <w:tcW w:w="1497" w:type="dxa"/>
            <w:shd w:val="clear" w:color="auto" w:fill="E7E6E6" w:themeFill="background2"/>
          </w:tcPr>
          <w:p w14:paraId="1CB9582C" w14:textId="77777777" w:rsidR="00B408AC" w:rsidRPr="002E4092" w:rsidRDefault="00B408AC" w:rsidP="00A87C73">
            <w:pPr>
              <w:jc w:val="center"/>
              <w:rPr>
                <w:b/>
                <w:sz w:val="20"/>
                <w:szCs w:val="20"/>
              </w:rPr>
            </w:pPr>
            <w:r w:rsidRPr="002E4092">
              <w:rPr>
                <w:b/>
                <w:sz w:val="20"/>
                <w:szCs w:val="20"/>
              </w:rPr>
              <w:t>% of LAA determinations</w:t>
            </w:r>
          </w:p>
        </w:tc>
        <w:tc>
          <w:tcPr>
            <w:tcW w:w="1484" w:type="dxa"/>
            <w:shd w:val="clear" w:color="auto" w:fill="E7E6E6" w:themeFill="background2"/>
          </w:tcPr>
          <w:p w14:paraId="0D785EBD" w14:textId="77777777" w:rsidR="00B408AC" w:rsidRPr="002E4092" w:rsidRDefault="00B408AC" w:rsidP="00A87C73">
            <w:pPr>
              <w:jc w:val="center"/>
              <w:rPr>
                <w:b/>
                <w:sz w:val="20"/>
                <w:szCs w:val="20"/>
              </w:rPr>
            </w:pPr>
            <w:r w:rsidRPr="002E4092">
              <w:rPr>
                <w:b/>
                <w:sz w:val="20"/>
                <w:szCs w:val="20"/>
              </w:rPr>
              <w:t>Number</w:t>
            </w:r>
          </w:p>
        </w:tc>
        <w:tc>
          <w:tcPr>
            <w:tcW w:w="1694" w:type="dxa"/>
            <w:shd w:val="clear" w:color="auto" w:fill="E7E6E6" w:themeFill="background2"/>
          </w:tcPr>
          <w:p w14:paraId="5DD72877" w14:textId="77777777" w:rsidR="00B408AC" w:rsidRPr="002E4092" w:rsidRDefault="00B408AC" w:rsidP="00A87C73">
            <w:pPr>
              <w:jc w:val="center"/>
              <w:rPr>
                <w:b/>
                <w:sz w:val="20"/>
                <w:szCs w:val="20"/>
              </w:rPr>
            </w:pPr>
            <w:r w:rsidRPr="002E4092">
              <w:rPr>
                <w:b/>
                <w:sz w:val="20"/>
                <w:szCs w:val="20"/>
              </w:rPr>
              <w:t>% of LAA determinations</w:t>
            </w:r>
          </w:p>
        </w:tc>
      </w:tr>
      <w:tr w:rsidR="00BC793B" w:rsidRPr="0016247A" w14:paraId="41B5800C" w14:textId="77777777" w:rsidTr="00AD0553">
        <w:trPr>
          <w:trHeight w:val="300"/>
        </w:trPr>
        <w:tc>
          <w:tcPr>
            <w:tcW w:w="3020" w:type="dxa"/>
            <w:shd w:val="clear" w:color="auto" w:fill="auto"/>
            <w:noWrap/>
            <w:vAlign w:val="center"/>
            <w:hideMark/>
          </w:tcPr>
          <w:p w14:paraId="60FEC6B6" w14:textId="77777777" w:rsidR="00BC793B" w:rsidRPr="002E4092" w:rsidRDefault="00BC793B" w:rsidP="00BC793B">
            <w:pPr>
              <w:rPr>
                <w:sz w:val="20"/>
                <w:szCs w:val="20"/>
              </w:rPr>
            </w:pPr>
            <w:r w:rsidRPr="002E4092">
              <w:rPr>
                <w:rFonts w:ascii="Calibri" w:hAnsi="Calibri" w:cs="Calibri"/>
                <w:sz w:val="20"/>
                <w:szCs w:val="20"/>
              </w:rPr>
              <w:t>Strongest evidence of LAA</w:t>
            </w:r>
          </w:p>
        </w:tc>
        <w:tc>
          <w:tcPr>
            <w:tcW w:w="1655" w:type="dxa"/>
            <w:shd w:val="clear" w:color="auto" w:fill="auto"/>
            <w:noWrap/>
            <w:vAlign w:val="center"/>
            <w:hideMark/>
          </w:tcPr>
          <w:p w14:paraId="291A165A" w14:textId="6B4B9BDB" w:rsidR="00BC793B" w:rsidRPr="0016247A" w:rsidRDefault="00BC793B" w:rsidP="00BC793B">
            <w:pPr>
              <w:jc w:val="center"/>
              <w:rPr>
                <w:sz w:val="20"/>
                <w:szCs w:val="20"/>
                <w:highlight w:val="yellow"/>
              </w:rPr>
            </w:pPr>
            <w:r>
              <w:rPr>
                <w:rFonts w:ascii="Calibri" w:hAnsi="Calibri" w:cs="Calibri"/>
                <w:sz w:val="20"/>
                <w:szCs w:val="20"/>
              </w:rPr>
              <w:t>1</w:t>
            </w:r>
          </w:p>
        </w:tc>
        <w:tc>
          <w:tcPr>
            <w:tcW w:w="1497" w:type="dxa"/>
            <w:shd w:val="clear" w:color="auto" w:fill="auto"/>
            <w:vAlign w:val="center"/>
          </w:tcPr>
          <w:p w14:paraId="68D83330" w14:textId="78CF568E" w:rsidR="00BC793B" w:rsidRPr="0016247A" w:rsidRDefault="00BC793B" w:rsidP="00BC793B">
            <w:pPr>
              <w:jc w:val="center"/>
              <w:rPr>
                <w:sz w:val="20"/>
                <w:szCs w:val="20"/>
                <w:highlight w:val="yellow"/>
              </w:rPr>
            </w:pPr>
            <w:r>
              <w:rPr>
                <w:rFonts w:ascii="Calibri" w:hAnsi="Calibri" w:cs="Calibri"/>
                <w:color w:val="000000"/>
                <w:sz w:val="20"/>
                <w:szCs w:val="20"/>
              </w:rPr>
              <w:t>&lt;1%</w:t>
            </w:r>
          </w:p>
        </w:tc>
        <w:tc>
          <w:tcPr>
            <w:tcW w:w="1484" w:type="dxa"/>
            <w:shd w:val="clear" w:color="auto" w:fill="auto"/>
            <w:vAlign w:val="center"/>
          </w:tcPr>
          <w:p w14:paraId="4930B6FE" w14:textId="22AE1C83" w:rsidR="00BC793B" w:rsidRPr="0016247A" w:rsidRDefault="00BC793B" w:rsidP="00BC793B">
            <w:pPr>
              <w:jc w:val="center"/>
              <w:rPr>
                <w:sz w:val="20"/>
                <w:szCs w:val="20"/>
                <w:highlight w:val="yellow"/>
              </w:rPr>
            </w:pPr>
            <w:r>
              <w:rPr>
                <w:rFonts w:ascii="Calibri" w:hAnsi="Calibri" w:cs="Calibri"/>
                <w:sz w:val="20"/>
                <w:szCs w:val="20"/>
              </w:rPr>
              <w:t>6</w:t>
            </w:r>
          </w:p>
        </w:tc>
        <w:tc>
          <w:tcPr>
            <w:tcW w:w="1694" w:type="dxa"/>
            <w:shd w:val="clear" w:color="auto" w:fill="auto"/>
            <w:vAlign w:val="center"/>
          </w:tcPr>
          <w:p w14:paraId="6CE90018" w14:textId="6D0B4C7D" w:rsidR="00BC793B" w:rsidRPr="0016247A" w:rsidRDefault="00BC793B" w:rsidP="00BC793B">
            <w:pPr>
              <w:jc w:val="center"/>
              <w:rPr>
                <w:sz w:val="20"/>
                <w:szCs w:val="20"/>
                <w:highlight w:val="yellow"/>
              </w:rPr>
            </w:pPr>
            <w:r>
              <w:rPr>
                <w:rFonts w:ascii="Calibri" w:hAnsi="Calibri" w:cs="Calibri"/>
                <w:color w:val="000000"/>
                <w:sz w:val="20"/>
                <w:szCs w:val="20"/>
              </w:rPr>
              <w:t>&lt;1%</w:t>
            </w:r>
          </w:p>
        </w:tc>
      </w:tr>
      <w:tr w:rsidR="00BC793B" w:rsidRPr="0016247A" w14:paraId="55806766" w14:textId="77777777" w:rsidTr="00AD0553">
        <w:trPr>
          <w:trHeight w:val="300"/>
        </w:trPr>
        <w:tc>
          <w:tcPr>
            <w:tcW w:w="3020" w:type="dxa"/>
            <w:shd w:val="clear" w:color="auto" w:fill="auto"/>
            <w:noWrap/>
            <w:vAlign w:val="center"/>
            <w:hideMark/>
          </w:tcPr>
          <w:p w14:paraId="6AFE126A" w14:textId="77777777" w:rsidR="00BC793B" w:rsidRPr="002E4092" w:rsidRDefault="00BC793B" w:rsidP="00BC793B">
            <w:pPr>
              <w:rPr>
                <w:sz w:val="20"/>
                <w:szCs w:val="20"/>
              </w:rPr>
            </w:pPr>
            <w:r w:rsidRPr="002E4092">
              <w:rPr>
                <w:rFonts w:ascii="Calibri" w:hAnsi="Calibri" w:cs="Calibri"/>
                <w:sz w:val="20"/>
                <w:szCs w:val="20"/>
              </w:rPr>
              <w:t>Moderate evidence of LAA</w:t>
            </w:r>
          </w:p>
        </w:tc>
        <w:tc>
          <w:tcPr>
            <w:tcW w:w="1655" w:type="dxa"/>
            <w:shd w:val="clear" w:color="auto" w:fill="auto"/>
            <w:noWrap/>
            <w:vAlign w:val="center"/>
            <w:hideMark/>
          </w:tcPr>
          <w:p w14:paraId="30156658" w14:textId="54C6CF70" w:rsidR="00BC793B" w:rsidRPr="0016247A" w:rsidRDefault="00BC793B" w:rsidP="00BC793B">
            <w:pPr>
              <w:jc w:val="center"/>
              <w:rPr>
                <w:sz w:val="20"/>
                <w:szCs w:val="20"/>
                <w:highlight w:val="yellow"/>
              </w:rPr>
            </w:pPr>
            <w:r>
              <w:rPr>
                <w:rFonts w:ascii="Calibri" w:hAnsi="Calibri" w:cs="Calibri"/>
                <w:sz w:val="20"/>
                <w:szCs w:val="20"/>
              </w:rPr>
              <w:t>1605</w:t>
            </w:r>
          </w:p>
        </w:tc>
        <w:tc>
          <w:tcPr>
            <w:tcW w:w="1497" w:type="dxa"/>
            <w:shd w:val="clear" w:color="auto" w:fill="auto"/>
            <w:vAlign w:val="center"/>
          </w:tcPr>
          <w:p w14:paraId="4003FEEF" w14:textId="2568F05C" w:rsidR="00BC793B" w:rsidRPr="0016247A" w:rsidRDefault="00BC793B" w:rsidP="00BC793B">
            <w:pPr>
              <w:jc w:val="center"/>
              <w:rPr>
                <w:sz w:val="20"/>
                <w:szCs w:val="20"/>
                <w:highlight w:val="yellow"/>
              </w:rPr>
            </w:pPr>
            <w:r>
              <w:rPr>
                <w:rFonts w:ascii="Calibri" w:hAnsi="Calibri" w:cs="Calibri"/>
                <w:color w:val="000000"/>
                <w:sz w:val="20"/>
                <w:szCs w:val="20"/>
              </w:rPr>
              <w:t>96%</w:t>
            </w:r>
          </w:p>
        </w:tc>
        <w:tc>
          <w:tcPr>
            <w:tcW w:w="1484" w:type="dxa"/>
            <w:shd w:val="clear" w:color="auto" w:fill="auto"/>
            <w:vAlign w:val="center"/>
          </w:tcPr>
          <w:p w14:paraId="7457DCCE" w14:textId="4E42FD44" w:rsidR="00BC793B" w:rsidRPr="0016247A" w:rsidRDefault="00BC793B" w:rsidP="00BC793B">
            <w:pPr>
              <w:jc w:val="center"/>
              <w:rPr>
                <w:sz w:val="20"/>
                <w:szCs w:val="20"/>
                <w:highlight w:val="yellow"/>
              </w:rPr>
            </w:pPr>
            <w:r>
              <w:rPr>
                <w:rFonts w:ascii="Calibri" w:hAnsi="Calibri" w:cs="Calibri"/>
                <w:sz w:val="20"/>
                <w:szCs w:val="20"/>
              </w:rPr>
              <w:t>733</w:t>
            </w:r>
          </w:p>
        </w:tc>
        <w:tc>
          <w:tcPr>
            <w:tcW w:w="1694" w:type="dxa"/>
            <w:shd w:val="clear" w:color="auto" w:fill="auto"/>
            <w:vAlign w:val="center"/>
          </w:tcPr>
          <w:p w14:paraId="69BEBDB3" w14:textId="07301AC0" w:rsidR="00BC793B" w:rsidRPr="0016247A" w:rsidRDefault="00BC793B" w:rsidP="00BC793B">
            <w:pPr>
              <w:jc w:val="center"/>
              <w:rPr>
                <w:sz w:val="20"/>
                <w:szCs w:val="20"/>
                <w:highlight w:val="yellow"/>
              </w:rPr>
            </w:pPr>
            <w:r>
              <w:rPr>
                <w:rFonts w:ascii="Calibri" w:hAnsi="Calibri" w:cs="Calibri"/>
                <w:color w:val="000000"/>
                <w:sz w:val="20"/>
                <w:szCs w:val="20"/>
              </w:rPr>
              <w:t>97%</w:t>
            </w:r>
          </w:p>
        </w:tc>
      </w:tr>
      <w:tr w:rsidR="00BC793B" w:rsidRPr="003C3E42" w14:paraId="50704EF0" w14:textId="77777777" w:rsidTr="00AD0553">
        <w:trPr>
          <w:trHeight w:val="300"/>
        </w:trPr>
        <w:tc>
          <w:tcPr>
            <w:tcW w:w="3020" w:type="dxa"/>
            <w:shd w:val="clear" w:color="auto" w:fill="auto"/>
            <w:noWrap/>
            <w:vAlign w:val="center"/>
          </w:tcPr>
          <w:p w14:paraId="3A0B990F" w14:textId="77777777" w:rsidR="00BC793B" w:rsidRPr="002E4092" w:rsidRDefault="00BC793B" w:rsidP="00BC793B">
            <w:pPr>
              <w:rPr>
                <w:sz w:val="20"/>
                <w:szCs w:val="20"/>
              </w:rPr>
            </w:pPr>
            <w:r w:rsidRPr="002E4092">
              <w:rPr>
                <w:rFonts w:ascii="Calibri" w:hAnsi="Calibri" w:cs="Calibri"/>
                <w:sz w:val="20"/>
                <w:szCs w:val="20"/>
              </w:rPr>
              <w:t>Weakest evidence of LAA</w:t>
            </w:r>
          </w:p>
        </w:tc>
        <w:tc>
          <w:tcPr>
            <w:tcW w:w="1655" w:type="dxa"/>
            <w:shd w:val="clear" w:color="auto" w:fill="auto"/>
            <w:noWrap/>
            <w:vAlign w:val="center"/>
          </w:tcPr>
          <w:p w14:paraId="69FBA897" w14:textId="309F8FE5" w:rsidR="00BC793B" w:rsidRPr="0016247A" w:rsidRDefault="00BC793B" w:rsidP="00BC793B">
            <w:pPr>
              <w:jc w:val="center"/>
              <w:rPr>
                <w:sz w:val="20"/>
                <w:szCs w:val="20"/>
                <w:highlight w:val="yellow"/>
              </w:rPr>
            </w:pPr>
            <w:r>
              <w:rPr>
                <w:rFonts w:ascii="Calibri" w:hAnsi="Calibri" w:cs="Calibri"/>
                <w:sz w:val="20"/>
                <w:szCs w:val="20"/>
              </w:rPr>
              <w:t>70</w:t>
            </w:r>
          </w:p>
        </w:tc>
        <w:tc>
          <w:tcPr>
            <w:tcW w:w="1497" w:type="dxa"/>
            <w:shd w:val="clear" w:color="auto" w:fill="auto"/>
            <w:vAlign w:val="center"/>
          </w:tcPr>
          <w:p w14:paraId="767FA861" w14:textId="275E5FB7" w:rsidR="00BC793B" w:rsidRPr="0016247A" w:rsidRDefault="00BC793B" w:rsidP="00BC793B">
            <w:pPr>
              <w:jc w:val="center"/>
              <w:rPr>
                <w:sz w:val="20"/>
                <w:szCs w:val="20"/>
                <w:highlight w:val="yellow"/>
              </w:rPr>
            </w:pPr>
            <w:r>
              <w:rPr>
                <w:rFonts w:ascii="Calibri" w:hAnsi="Calibri" w:cs="Calibri"/>
                <w:color w:val="000000"/>
                <w:sz w:val="20"/>
                <w:szCs w:val="20"/>
              </w:rPr>
              <w:t>4%</w:t>
            </w:r>
          </w:p>
        </w:tc>
        <w:tc>
          <w:tcPr>
            <w:tcW w:w="1484" w:type="dxa"/>
            <w:shd w:val="clear" w:color="auto" w:fill="auto"/>
            <w:vAlign w:val="center"/>
          </w:tcPr>
          <w:p w14:paraId="1A6B974A" w14:textId="692C2287" w:rsidR="00BC793B" w:rsidRPr="0016247A" w:rsidRDefault="00BC793B" w:rsidP="00BC793B">
            <w:pPr>
              <w:jc w:val="center"/>
              <w:rPr>
                <w:sz w:val="20"/>
                <w:szCs w:val="20"/>
                <w:highlight w:val="yellow"/>
              </w:rPr>
            </w:pPr>
            <w:r>
              <w:rPr>
                <w:rFonts w:ascii="Calibri" w:hAnsi="Calibri" w:cs="Calibri"/>
                <w:sz w:val="20"/>
                <w:szCs w:val="20"/>
              </w:rPr>
              <w:t>20</w:t>
            </w:r>
          </w:p>
        </w:tc>
        <w:tc>
          <w:tcPr>
            <w:tcW w:w="1694" w:type="dxa"/>
            <w:shd w:val="clear" w:color="auto" w:fill="auto"/>
            <w:vAlign w:val="center"/>
          </w:tcPr>
          <w:p w14:paraId="2C97A3B6" w14:textId="69FC36F5" w:rsidR="00BC793B" w:rsidRPr="00DE00CB" w:rsidRDefault="00BC793B" w:rsidP="00BC793B">
            <w:pPr>
              <w:jc w:val="center"/>
              <w:rPr>
                <w:sz w:val="20"/>
                <w:szCs w:val="20"/>
              </w:rPr>
            </w:pPr>
            <w:r>
              <w:rPr>
                <w:rFonts w:ascii="Calibri" w:hAnsi="Calibri" w:cs="Calibri"/>
                <w:color w:val="000000"/>
                <w:sz w:val="20"/>
                <w:szCs w:val="20"/>
              </w:rPr>
              <w:t>3%</w:t>
            </w:r>
          </w:p>
        </w:tc>
      </w:tr>
    </w:tbl>
    <w:p w14:paraId="7F913483" w14:textId="77777777" w:rsidR="00B408AC" w:rsidRDefault="00B408AC" w:rsidP="00B408AC">
      <w:pPr>
        <w:rPr>
          <w:noProof/>
          <w:sz w:val="20"/>
        </w:rPr>
      </w:pPr>
    </w:p>
    <w:p w14:paraId="1E8D93E5" w14:textId="040F3125" w:rsidR="00634B4C" w:rsidRPr="00634B4C" w:rsidRDefault="00634B4C" w:rsidP="00B408AC">
      <w:pPr>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98279C" w16cex:dateUtc="2020-11-12T21:37:06.934Z"/>
  <w16cex:commentExtensible w16cex:durableId="6FA5148F" w16cex:dateUtc="2020-11-18T21:47:13.0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EB87" w14:textId="77777777" w:rsidR="00273646" w:rsidRDefault="00273646" w:rsidP="00330467">
      <w:r>
        <w:separator/>
      </w:r>
    </w:p>
  </w:endnote>
  <w:endnote w:type="continuationSeparator" w:id="0">
    <w:p w14:paraId="2C29D621" w14:textId="77777777" w:rsidR="00273646" w:rsidRDefault="00273646" w:rsidP="00330467">
      <w:r>
        <w:continuationSeparator/>
      </w:r>
    </w:p>
  </w:endnote>
  <w:endnote w:type="continuationNotice" w:id="1">
    <w:p w14:paraId="4B74AB87" w14:textId="77777777" w:rsidR="00273646" w:rsidRDefault="00273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33621"/>
      <w:docPartObj>
        <w:docPartGallery w:val="Page Numbers (Bottom of Page)"/>
        <w:docPartUnique/>
      </w:docPartObj>
    </w:sdtPr>
    <w:sdtEndPr>
      <w:rPr>
        <w:noProof/>
      </w:rPr>
    </w:sdtEndPr>
    <w:sdtContent>
      <w:p w14:paraId="0AAFB633" w14:textId="5BE0AC89" w:rsidR="00273646" w:rsidRDefault="002736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273646" w:rsidRDefault="0027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9273" w14:textId="77777777" w:rsidR="00273646" w:rsidRDefault="00273646" w:rsidP="00330467">
      <w:r>
        <w:separator/>
      </w:r>
    </w:p>
  </w:footnote>
  <w:footnote w:type="continuationSeparator" w:id="0">
    <w:p w14:paraId="76FC62C5" w14:textId="77777777" w:rsidR="00273646" w:rsidRDefault="00273646" w:rsidP="00330467">
      <w:r>
        <w:continuationSeparator/>
      </w:r>
    </w:p>
  </w:footnote>
  <w:footnote w:type="continuationNotice" w:id="1">
    <w:p w14:paraId="27D21AD5" w14:textId="77777777" w:rsidR="00273646" w:rsidRDefault="00273646"/>
  </w:footnote>
  <w:footnote w:id="2">
    <w:p w14:paraId="409A593B" w14:textId="449C250A" w:rsidR="00273646" w:rsidRDefault="00273646" w:rsidP="00EB33B0">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5F0D0456" w14:textId="4FAC842D" w:rsidR="00273646" w:rsidRDefault="00273646"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2" w:history="1">
        <w:r w:rsidRPr="000C244B">
          <w:t>https://www.epa.gov/pesticide-science-and-assessing-pesticide-risks/models-pesticide-risk-assessment</w:t>
        </w:r>
      </w:hyperlink>
    </w:p>
  </w:footnote>
  <w:footnote w:id="4">
    <w:p w14:paraId="310C24D4" w14:textId="77777777" w:rsidR="00273646" w:rsidRDefault="00273646" w:rsidP="00631002">
      <w:pPr>
        <w:pStyle w:val="FootnoteText"/>
      </w:pPr>
      <w:r>
        <w:rPr>
          <w:rStyle w:val="FootnoteReference"/>
        </w:rPr>
        <w:footnoteRef/>
      </w:r>
      <w:r>
        <w:t xml:space="preserve"> Available at: </w:t>
      </w:r>
      <w:hyperlink r:id="rId3"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llWiKOZHKTy+CMT6853HzPhpRKVJgPeChnEBGWIukLHqpECdteGjgUWHwm00F0KKVHUZIbN6aMFme53cORVQYA==" w:salt="l/W9s8N/r5U47/Bb7kRTqg=="/>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6AE3"/>
    <w:rsid w:val="000072CB"/>
    <w:rsid w:val="0001757C"/>
    <w:rsid w:val="0002673C"/>
    <w:rsid w:val="000324E8"/>
    <w:rsid w:val="00033AAD"/>
    <w:rsid w:val="00033DB4"/>
    <w:rsid w:val="000347EF"/>
    <w:rsid w:val="000446F0"/>
    <w:rsid w:val="000470DD"/>
    <w:rsid w:val="000500CD"/>
    <w:rsid w:val="00052A71"/>
    <w:rsid w:val="000563AF"/>
    <w:rsid w:val="00065954"/>
    <w:rsid w:val="000677AA"/>
    <w:rsid w:val="000707E4"/>
    <w:rsid w:val="00073359"/>
    <w:rsid w:val="00073594"/>
    <w:rsid w:val="00074FBE"/>
    <w:rsid w:val="000807D9"/>
    <w:rsid w:val="000829C5"/>
    <w:rsid w:val="00083B6C"/>
    <w:rsid w:val="00084977"/>
    <w:rsid w:val="00084AB7"/>
    <w:rsid w:val="00086AA1"/>
    <w:rsid w:val="00092FF0"/>
    <w:rsid w:val="000A1407"/>
    <w:rsid w:val="000A4725"/>
    <w:rsid w:val="000A575F"/>
    <w:rsid w:val="000B334D"/>
    <w:rsid w:val="000B4CBE"/>
    <w:rsid w:val="000C244B"/>
    <w:rsid w:val="000C2F82"/>
    <w:rsid w:val="000C6A3E"/>
    <w:rsid w:val="000D2F44"/>
    <w:rsid w:val="000D4CAA"/>
    <w:rsid w:val="000D7D0E"/>
    <w:rsid w:val="000E309A"/>
    <w:rsid w:val="000E6928"/>
    <w:rsid w:val="000F2DC8"/>
    <w:rsid w:val="000F3AF7"/>
    <w:rsid w:val="000F4327"/>
    <w:rsid w:val="0010233C"/>
    <w:rsid w:val="00111382"/>
    <w:rsid w:val="00122436"/>
    <w:rsid w:val="00122E66"/>
    <w:rsid w:val="001232B3"/>
    <w:rsid w:val="00126F63"/>
    <w:rsid w:val="001311E9"/>
    <w:rsid w:val="0013472B"/>
    <w:rsid w:val="00134B79"/>
    <w:rsid w:val="0014269E"/>
    <w:rsid w:val="00143F04"/>
    <w:rsid w:val="001466FC"/>
    <w:rsid w:val="001521D1"/>
    <w:rsid w:val="00154BDA"/>
    <w:rsid w:val="00160A09"/>
    <w:rsid w:val="00160CD1"/>
    <w:rsid w:val="00161E12"/>
    <w:rsid w:val="0016247A"/>
    <w:rsid w:val="00171173"/>
    <w:rsid w:val="0017152A"/>
    <w:rsid w:val="00171E4D"/>
    <w:rsid w:val="001726C9"/>
    <w:rsid w:val="00174FFA"/>
    <w:rsid w:val="00186168"/>
    <w:rsid w:val="00190605"/>
    <w:rsid w:val="001926CA"/>
    <w:rsid w:val="00192708"/>
    <w:rsid w:val="001A3C45"/>
    <w:rsid w:val="001A40B9"/>
    <w:rsid w:val="001A4F5C"/>
    <w:rsid w:val="001B30FB"/>
    <w:rsid w:val="001C2986"/>
    <w:rsid w:val="001C3796"/>
    <w:rsid w:val="001C387E"/>
    <w:rsid w:val="001C4866"/>
    <w:rsid w:val="001C6B2E"/>
    <w:rsid w:val="001C75EE"/>
    <w:rsid w:val="001D451C"/>
    <w:rsid w:val="001D4536"/>
    <w:rsid w:val="001D4EB7"/>
    <w:rsid w:val="001D504C"/>
    <w:rsid w:val="001E5734"/>
    <w:rsid w:val="001F099E"/>
    <w:rsid w:val="001F2E23"/>
    <w:rsid w:val="001F3217"/>
    <w:rsid w:val="001F396E"/>
    <w:rsid w:val="00203368"/>
    <w:rsid w:val="00204662"/>
    <w:rsid w:val="00204D47"/>
    <w:rsid w:val="00206309"/>
    <w:rsid w:val="0020724D"/>
    <w:rsid w:val="00210CB1"/>
    <w:rsid w:val="002144C9"/>
    <w:rsid w:val="00217285"/>
    <w:rsid w:val="00217C00"/>
    <w:rsid w:val="0022083A"/>
    <w:rsid w:val="00225062"/>
    <w:rsid w:val="00226FE7"/>
    <w:rsid w:val="00242799"/>
    <w:rsid w:val="0025055B"/>
    <w:rsid w:val="00251B86"/>
    <w:rsid w:val="00253286"/>
    <w:rsid w:val="002636EB"/>
    <w:rsid w:val="0026396F"/>
    <w:rsid w:val="0026517A"/>
    <w:rsid w:val="00266071"/>
    <w:rsid w:val="00267E9F"/>
    <w:rsid w:val="002716A0"/>
    <w:rsid w:val="00273646"/>
    <w:rsid w:val="00274175"/>
    <w:rsid w:val="002825F5"/>
    <w:rsid w:val="00291476"/>
    <w:rsid w:val="002A59CB"/>
    <w:rsid w:val="002B275B"/>
    <w:rsid w:val="002B49A3"/>
    <w:rsid w:val="002B59D7"/>
    <w:rsid w:val="002C07E5"/>
    <w:rsid w:val="002C2ECC"/>
    <w:rsid w:val="002C401D"/>
    <w:rsid w:val="002C4CFD"/>
    <w:rsid w:val="002C5413"/>
    <w:rsid w:val="002D139E"/>
    <w:rsid w:val="002D2A52"/>
    <w:rsid w:val="002D7CF9"/>
    <w:rsid w:val="002E01CF"/>
    <w:rsid w:val="002E4092"/>
    <w:rsid w:val="002F0C39"/>
    <w:rsid w:val="002F0ED3"/>
    <w:rsid w:val="002F4C76"/>
    <w:rsid w:val="002F5578"/>
    <w:rsid w:val="002F6F7A"/>
    <w:rsid w:val="00303446"/>
    <w:rsid w:val="00303775"/>
    <w:rsid w:val="00303C39"/>
    <w:rsid w:val="00304D29"/>
    <w:rsid w:val="00310D68"/>
    <w:rsid w:val="00310F57"/>
    <w:rsid w:val="00312480"/>
    <w:rsid w:val="00312DD7"/>
    <w:rsid w:val="003177C9"/>
    <w:rsid w:val="00323F48"/>
    <w:rsid w:val="0033021F"/>
    <w:rsid w:val="00330467"/>
    <w:rsid w:val="00330580"/>
    <w:rsid w:val="003415BC"/>
    <w:rsid w:val="0035065E"/>
    <w:rsid w:val="0035147F"/>
    <w:rsid w:val="00351C75"/>
    <w:rsid w:val="0035312E"/>
    <w:rsid w:val="00353477"/>
    <w:rsid w:val="00354E8A"/>
    <w:rsid w:val="003625CA"/>
    <w:rsid w:val="00374D1B"/>
    <w:rsid w:val="003819F0"/>
    <w:rsid w:val="003873C0"/>
    <w:rsid w:val="00391D18"/>
    <w:rsid w:val="00393A4D"/>
    <w:rsid w:val="003A5FA6"/>
    <w:rsid w:val="003A6483"/>
    <w:rsid w:val="003B252C"/>
    <w:rsid w:val="003B2CCB"/>
    <w:rsid w:val="003B4B31"/>
    <w:rsid w:val="003B4B69"/>
    <w:rsid w:val="003B5F9B"/>
    <w:rsid w:val="003B6C80"/>
    <w:rsid w:val="003B6FF6"/>
    <w:rsid w:val="003C3423"/>
    <w:rsid w:val="003C6E81"/>
    <w:rsid w:val="003D3716"/>
    <w:rsid w:val="003D3A62"/>
    <w:rsid w:val="003D63A9"/>
    <w:rsid w:val="003D74AE"/>
    <w:rsid w:val="003E55A5"/>
    <w:rsid w:val="003F0BF1"/>
    <w:rsid w:val="003F60A7"/>
    <w:rsid w:val="003F770C"/>
    <w:rsid w:val="0040084F"/>
    <w:rsid w:val="00415354"/>
    <w:rsid w:val="00415D0E"/>
    <w:rsid w:val="00416CC9"/>
    <w:rsid w:val="00421756"/>
    <w:rsid w:val="00422A85"/>
    <w:rsid w:val="00424A3F"/>
    <w:rsid w:val="0043262D"/>
    <w:rsid w:val="00433D9E"/>
    <w:rsid w:val="004344EE"/>
    <w:rsid w:val="00437D68"/>
    <w:rsid w:val="004406B5"/>
    <w:rsid w:val="004406D6"/>
    <w:rsid w:val="00441872"/>
    <w:rsid w:val="00442D91"/>
    <w:rsid w:val="0044391F"/>
    <w:rsid w:val="00445B71"/>
    <w:rsid w:val="0045224D"/>
    <w:rsid w:val="00457E1B"/>
    <w:rsid w:val="00460F1E"/>
    <w:rsid w:val="00465462"/>
    <w:rsid w:val="00466923"/>
    <w:rsid w:val="004669A2"/>
    <w:rsid w:val="00467636"/>
    <w:rsid w:val="00467DA9"/>
    <w:rsid w:val="00467F27"/>
    <w:rsid w:val="00474A82"/>
    <w:rsid w:val="00474F88"/>
    <w:rsid w:val="00477FD7"/>
    <w:rsid w:val="00480C4A"/>
    <w:rsid w:val="00483026"/>
    <w:rsid w:val="004861E1"/>
    <w:rsid w:val="00486AA8"/>
    <w:rsid w:val="00487A73"/>
    <w:rsid w:val="004A40CE"/>
    <w:rsid w:val="004A7BBB"/>
    <w:rsid w:val="004B4A43"/>
    <w:rsid w:val="004B6CC4"/>
    <w:rsid w:val="004B7AC3"/>
    <w:rsid w:val="004C15A5"/>
    <w:rsid w:val="004C5C58"/>
    <w:rsid w:val="004C66F1"/>
    <w:rsid w:val="004D0F93"/>
    <w:rsid w:val="004D1BDC"/>
    <w:rsid w:val="004E026F"/>
    <w:rsid w:val="004E2E0F"/>
    <w:rsid w:val="004E3D6B"/>
    <w:rsid w:val="004F3CBE"/>
    <w:rsid w:val="004F5B7D"/>
    <w:rsid w:val="004F5CED"/>
    <w:rsid w:val="004F7FAF"/>
    <w:rsid w:val="00504FC6"/>
    <w:rsid w:val="00507E9A"/>
    <w:rsid w:val="005235EC"/>
    <w:rsid w:val="00525490"/>
    <w:rsid w:val="005267CA"/>
    <w:rsid w:val="00542D42"/>
    <w:rsid w:val="00545971"/>
    <w:rsid w:val="00546A2E"/>
    <w:rsid w:val="00546DD1"/>
    <w:rsid w:val="00550153"/>
    <w:rsid w:val="005556FD"/>
    <w:rsid w:val="00555EFB"/>
    <w:rsid w:val="005632D1"/>
    <w:rsid w:val="0056475E"/>
    <w:rsid w:val="005721BD"/>
    <w:rsid w:val="00574444"/>
    <w:rsid w:val="005760B5"/>
    <w:rsid w:val="005807A5"/>
    <w:rsid w:val="00580A2F"/>
    <w:rsid w:val="005837A9"/>
    <w:rsid w:val="00585018"/>
    <w:rsid w:val="005949FD"/>
    <w:rsid w:val="00596AC4"/>
    <w:rsid w:val="005A0539"/>
    <w:rsid w:val="005A2C5D"/>
    <w:rsid w:val="005A7E2E"/>
    <w:rsid w:val="005B5236"/>
    <w:rsid w:val="005B73D0"/>
    <w:rsid w:val="005C180C"/>
    <w:rsid w:val="005C4C21"/>
    <w:rsid w:val="005C5690"/>
    <w:rsid w:val="005D04D6"/>
    <w:rsid w:val="005D1BFA"/>
    <w:rsid w:val="005E3D9A"/>
    <w:rsid w:val="005E521C"/>
    <w:rsid w:val="005E53CB"/>
    <w:rsid w:val="006008C7"/>
    <w:rsid w:val="00607C24"/>
    <w:rsid w:val="0061209B"/>
    <w:rsid w:val="006123E4"/>
    <w:rsid w:val="00613A27"/>
    <w:rsid w:val="00614514"/>
    <w:rsid w:val="0061478A"/>
    <w:rsid w:val="006153F1"/>
    <w:rsid w:val="00615B53"/>
    <w:rsid w:val="00623D7B"/>
    <w:rsid w:val="00624D1B"/>
    <w:rsid w:val="00631002"/>
    <w:rsid w:val="00634B4C"/>
    <w:rsid w:val="00637D92"/>
    <w:rsid w:val="00641ABE"/>
    <w:rsid w:val="00645EC3"/>
    <w:rsid w:val="00653ADF"/>
    <w:rsid w:val="006544B5"/>
    <w:rsid w:val="006722F0"/>
    <w:rsid w:val="00672413"/>
    <w:rsid w:val="00673C2B"/>
    <w:rsid w:val="00674268"/>
    <w:rsid w:val="00675167"/>
    <w:rsid w:val="006837D9"/>
    <w:rsid w:val="00690822"/>
    <w:rsid w:val="006A2247"/>
    <w:rsid w:val="006A445C"/>
    <w:rsid w:val="006B2641"/>
    <w:rsid w:val="006B26A2"/>
    <w:rsid w:val="006B5C3A"/>
    <w:rsid w:val="006B7254"/>
    <w:rsid w:val="006C1B49"/>
    <w:rsid w:val="006D0523"/>
    <w:rsid w:val="006D607A"/>
    <w:rsid w:val="006D75E4"/>
    <w:rsid w:val="006E289F"/>
    <w:rsid w:val="006E464C"/>
    <w:rsid w:val="006F28F5"/>
    <w:rsid w:val="006F4EA6"/>
    <w:rsid w:val="006F62E6"/>
    <w:rsid w:val="00714D28"/>
    <w:rsid w:val="007166BF"/>
    <w:rsid w:val="00716C94"/>
    <w:rsid w:val="0071784E"/>
    <w:rsid w:val="007179AF"/>
    <w:rsid w:val="00717C3E"/>
    <w:rsid w:val="00720C1B"/>
    <w:rsid w:val="00722DCA"/>
    <w:rsid w:val="007256EF"/>
    <w:rsid w:val="00733A4C"/>
    <w:rsid w:val="007400FE"/>
    <w:rsid w:val="00743F08"/>
    <w:rsid w:val="007505C3"/>
    <w:rsid w:val="007527F8"/>
    <w:rsid w:val="00761978"/>
    <w:rsid w:val="007655CF"/>
    <w:rsid w:val="007667F0"/>
    <w:rsid w:val="007738C2"/>
    <w:rsid w:val="0077570A"/>
    <w:rsid w:val="00775F47"/>
    <w:rsid w:val="00783261"/>
    <w:rsid w:val="00783B1B"/>
    <w:rsid w:val="00784B2B"/>
    <w:rsid w:val="00785131"/>
    <w:rsid w:val="00791137"/>
    <w:rsid w:val="007917C1"/>
    <w:rsid w:val="007A47BE"/>
    <w:rsid w:val="007A6A83"/>
    <w:rsid w:val="007B16CA"/>
    <w:rsid w:val="007B590C"/>
    <w:rsid w:val="007B79A6"/>
    <w:rsid w:val="007B7CA3"/>
    <w:rsid w:val="007C0A56"/>
    <w:rsid w:val="007C0A6E"/>
    <w:rsid w:val="007C274A"/>
    <w:rsid w:val="007D6193"/>
    <w:rsid w:val="007E5095"/>
    <w:rsid w:val="007E6AE0"/>
    <w:rsid w:val="007E7809"/>
    <w:rsid w:val="007F332A"/>
    <w:rsid w:val="00802603"/>
    <w:rsid w:val="00804152"/>
    <w:rsid w:val="008079BF"/>
    <w:rsid w:val="00807C1C"/>
    <w:rsid w:val="00816821"/>
    <w:rsid w:val="008204F8"/>
    <w:rsid w:val="00822B4E"/>
    <w:rsid w:val="00824B8D"/>
    <w:rsid w:val="0082687E"/>
    <w:rsid w:val="008322C6"/>
    <w:rsid w:val="00836465"/>
    <w:rsid w:val="008409A0"/>
    <w:rsid w:val="00857BF5"/>
    <w:rsid w:val="008607F5"/>
    <w:rsid w:val="00861834"/>
    <w:rsid w:val="00867F6F"/>
    <w:rsid w:val="008722AF"/>
    <w:rsid w:val="00872545"/>
    <w:rsid w:val="00875818"/>
    <w:rsid w:val="00877954"/>
    <w:rsid w:val="00886C2F"/>
    <w:rsid w:val="00890ADD"/>
    <w:rsid w:val="00893971"/>
    <w:rsid w:val="00893E03"/>
    <w:rsid w:val="00896EBA"/>
    <w:rsid w:val="008A4BA2"/>
    <w:rsid w:val="008C01AA"/>
    <w:rsid w:val="008C5566"/>
    <w:rsid w:val="008D1C96"/>
    <w:rsid w:val="008D3F6A"/>
    <w:rsid w:val="008D449E"/>
    <w:rsid w:val="008F32E8"/>
    <w:rsid w:val="008F3EFA"/>
    <w:rsid w:val="008F4386"/>
    <w:rsid w:val="008F51AB"/>
    <w:rsid w:val="008F522B"/>
    <w:rsid w:val="0090266C"/>
    <w:rsid w:val="00916F11"/>
    <w:rsid w:val="009174AE"/>
    <w:rsid w:val="009231AB"/>
    <w:rsid w:val="00923AD3"/>
    <w:rsid w:val="00925B29"/>
    <w:rsid w:val="009269B6"/>
    <w:rsid w:val="00930D5F"/>
    <w:rsid w:val="009325C0"/>
    <w:rsid w:val="00932D15"/>
    <w:rsid w:val="009341F6"/>
    <w:rsid w:val="00937150"/>
    <w:rsid w:val="00943861"/>
    <w:rsid w:val="009630C0"/>
    <w:rsid w:val="00966889"/>
    <w:rsid w:val="00971428"/>
    <w:rsid w:val="00972637"/>
    <w:rsid w:val="009737F7"/>
    <w:rsid w:val="00982D77"/>
    <w:rsid w:val="0098319A"/>
    <w:rsid w:val="00992533"/>
    <w:rsid w:val="00994F37"/>
    <w:rsid w:val="0099729A"/>
    <w:rsid w:val="009A5892"/>
    <w:rsid w:val="009C04B2"/>
    <w:rsid w:val="009C68AE"/>
    <w:rsid w:val="009D0AE4"/>
    <w:rsid w:val="009D27B5"/>
    <w:rsid w:val="009D72A8"/>
    <w:rsid w:val="009E419B"/>
    <w:rsid w:val="009F23D5"/>
    <w:rsid w:val="00A00EE6"/>
    <w:rsid w:val="00A028B8"/>
    <w:rsid w:val="00A02B04"/>
    <w:rsid w:val="00A048A0"/>
    <w:rsid w:val="00A05EF2"/>
    <w:rsid w:val="00A06212"/>
    <w:rsid w:val="00A0790B"/>
    <w:rsid w:val="00A217A1"/>
    <w:rsid w:val="00A250EC"/>
    <w:rsid w:val="00A2710C"/>
    <w:rsid w:val="00A27315"/>
    <w:rsid w:val="00A309AC"/>
    <w:rsid w:val="00A34D82"/>
    <w:rsid w:val="00A4112C"/>
    <w:rsid w:val="00A47034"/>
    <w:rsid w:val="00A47677"/>
    <w:rsid w:val="00A52C4E"/>
    <w:rsid w:val="00A6266E"/>
    <w:rsid w:val="00A63BEF"/>
    <w:rsid w:val="00A64A60"/>
    <w:rsid w:val="00A64CC1"/>
    <w:rsid w:val="00A667A2"/>
    <w:rsid w:val="00A6786A"/>
    <w:rsid w:val="00A70773"/>
    <w:rsid w:val="00A80427"/>
    <w:rsid w:val="00A84162"/>
    <w:rsid w:val="00A87C73"/>
    <w:rsid w:val="00A9031B"/>
    <w:rsid w:val="00A918B9"/>
    <w:rsid w:val="00A953F6"/>
    <w:rsid w:val="00A95B31"/>
    <w:rsid w:val="00AA06FB"/>
    <w:rsid w:val="00AB5B88"/>
    <w:rsid w:val="00AB7C89"/>
    <w:rsid w:val="00AD0553"/>
    <w:rsid w:val="00AD4289"/>
    <w:rsid w:val="00AD4BC2"/>
    <w:rsid w:val="00AD5886"/>
    <w:rsid w:val="00AE15F1"/>
    <w:rsid w:val="00AE52D0"/>
    <w:rsid w:val="00AF4B48"/>
    <w:rsid w:val="00AF4EE9"/>
    <w:rsid w:val="00B001CB"/>
    <w:rsid w:val="00B00553"/>
    <w:rsid w:val="00B01CB2"/>
    <w:rsid w:val="00B01EBB"/>
    <w:rsid w:val="00B04AA7"/>
    <w:rsid w:val="00B14677"/>
    <w:rsid w:val="00B14E21"/>
    <w:rsid w:val="00B1575D"/>
    <w:rsid w:val="00B25DA0"/>
    <w:rsid w:val="00B32975"/>
    <w:rsid w:val="00B32F80"/>
    <w:rsid w:val="00B36A79"/>
    <w:rsid w:val="00B408AC"/>
    <w:rsid w:val="00B41EAE"/>
    <w:rsid w:val="00B436BE"/>
    <w:rsid w:val="00B732A0"/>
    <w:rsid w:val="00B77EA4"/>
    <w:rsid w:val="00B85C2A"/>
    <w:rsid w:val="00B91F3F"/>
    <w:rsid w:val="00B932FF"/>
    <w:rsid w:val="00BA5F89"/>
    <w:rsid w:val="00BB0C2D"/>
    <w:rsid w:val="00BB4937"/>
    <w:rsid w:val="00BB5F7C"/>
    <w:rsid w:val="00BC1486"/>
    <w:rsid w:val="00BC7456"/>
    <w:rsid w:val="00BC793B"/>
    <w:rsid w:val="00BC7AF6"/>
    <w:rsid w:val="00BD5C3E"/>
    <w:rsid w:val="00BD61C4"/>
    <w:rsid w:val="00BE2EE3"/>
    <w:rsid w:val="00BE2F82"/>
    <w:rsid w:val="00BE70F9"/>
    <w:rsid w:val="00BE7466"/>
    <w:rsid w:val="00BF577E"/>
    <w:rsid w:val="00C01C9E"/>
    <w:rsid w:val="00C01E44"/>
    <w:rsid w:val="00C056AC"/>
    <w:rsid w:val="00C06BE5"/>
    <w:rsid w:val="00C1079F"/>
    <w:rsid w:val="00C13650"/>
    <w:rsid w:val="00C157C7"/>
    <w:rsid w:val="00C17A63"/>
    <w:rsid w:val="00C20F1A"/>
    <w:rsid w:val="00C21087"/>
    <w:rsid w:val="00C22250"/>
    <w:rsid w:val="00C227C7"/>
    <w:rsid w:val="00C2703F"/>
    <w:rsid w:val="00C3016B"/>
    <w:rsid w:val="00C31041"/>
    <w:rsid w:val="00C33B53"/>
    <w:rsid w:val="00C340DE"/>
    <w:rsid w:val="00C40778"/>
    <w:rsid w:val="00C41195"/>
    <w:rsid w:val="00C41D89"/>
    <w:rsid w:val="00C5619C"/>
    <w:rsid w:val="00C57F9E"/>
    <w:rsid w:val="00C633D9"/>
    <w:rsid w:val="00C663E3"/>
    <w:rsid w:val="00C700FB"/>
    <w:rsid w:val="00C72EBE"/>
    <w:rsid w:val="00C74F6B"/>
    <w:rsid w:val="00C7543E"/>
    <w:rsid w:val="00C7566C"/>
    <w:rsid w:val="00C76A8B"/>
    <w:rsid w:val="00C8016A"/>
    <w:rsid w:val="00C8066C"/>
    <w:rsid w:val="00C823F4"/>
    <w:rsid w:val="00C852DC"/>
    <w:rsid w:val="00C85ED0"/>
    <w:rsid w:val="00C932E3"/>
    <w:rsid w:val="00C9564C"/>
    <w:rsid w:val="00CA023E"/>
    <w:rsid w:val="00CA3472"/>
    <w:rsid w:val="00CA4CDB"/>
    <w:rsid w:val="00CB23DA"/>
    <w:rsid w:val="00CC2634"/>
    <w:rsid w:val="00CC3277"/>
    <w:rsid w:val="00CC3B65"/>
    <w:rsid w:val="00CC664F"/>
    <w:rsid w:val="00CD3692"/>
    <w:rsid w:val="00CE0987"/>
    <w:rsid w:val="00CE1C66"/>
    <w:rsid w:val="00CE2FDF"/>
    <w:rsid w:val="00CE3D42"/>
    <w:rsid w:val="00CE643E"/>
    <w:rsid w:val="00CF1313"/>
    <w:rsid w:val="00CF21A2"/>
    <w:rsid w:val="00CF3F0F"/>
    <w:rsid w:val="00CF48EB"/>
    <w:rsid w:val="00D021E3"/>
    <w:rsid w:val="00D026F3"/>
    <w:rsid w:val="00D10797"/>
    <w:rsid w:val="00D1256E"/>
    <w:rsid w:val="00D12DB0"/>
    <w:rsid w:val="00D15940"/>
    <w:rsid w:val="00D15DE7"/>
    <w:rsid w:val="00D21938"/>
    <w:rsid w:val="00D23232"/>
    <w:rsid w:val="00D240AD"/>
    <w:rsid w:val="00D304BE"/>
    <w:rsid w:val="00D36912"/>
    <w:rsid w:val="00D40751"/>
    <w:rsid w:val="00D4557D"/>
    <w:rsid w:val="00D45B2B"/>
    <w:rsid w:val="00D467CD"/>
    <w:rsid w:val="00D50421"/>
    <w:rsid w:val="00D60E43"/>
    <w:rsid w:val="00D6321B"/>
    <w:rsid w:val="00D64F94"/>
    <w:rsid w:val="00D70B7B"/>
    <w:rsid w:val="00D71037"/>
    <w:rsid w:val="00D72DE9"/>
    <w:rsid w:val="00D768C5"/>
    <w:rsid w:val="00D8211E"/>
    <w:rsid w:val="00D827DC"/>
    <w:rsid w:val="00D853B2"/>
    <w:rsid w:val="00D8647A"/>
    <w:rsid w:val="00D93717"/>
    <w:rsid w:val="00DA6892"/>
    <w:rsid w:val="00DB0394"/>
    <w:rsid w:val="00DB5E5D"/>
    <w:rsid w:val="00DC04D5"/>
    <w:rsid w:val="00DD01A0"/>
    <w:rsid w:val="00DD4803"/>
    <w:rsid w:val="00DE01FB"/>
    <w:rsid w:val="00DE73D0"/>
    <w:rsid w:val="00DF03C3"/>
    <w:rsid w:val="00DF273A"/>
    <w:rsid w:val="00DF5435"/>
    <w:rsid w:val="00E0039A"/>
    <w:rsid w:val="00E06F80"/>
    <w:rsid w:val="00E11D84"/>
    <w:rsid w:val="00E16B87"/>
    <w:rsid w:val="00E21D0D"/>
    <w:rsid w:val="00E35815"/>
    <w:rsid w:val="00E53606"/>
    <w:rsid w:val="00E61DA7"/>
    <w:rsid w:val="00E64C9B"/>
    <w:rsid w:val="00E8546B"/>
    <w:rsid w:val="00E91586"/>
    <w:rsid w:val="00E94DD1"/>
    <w:rsid w:val="00EA463C"/>
    <w:rsid w:val="00EA65DD"/>
    <w:rsid w:val="00EB2B80"/>
    <w:rsid w:val="00EB33B0"/>
    <w:rsid w:val="00EB37E2"/>
    <w:rsid w:val="00EB4EC3"/>
    <w:rsid w:val="00EC74A5"/>
    <w:rsid w:val="00ED0D37"/>
    <w:rsid w:val="00ED2F94"/>
    <w:rsid w:val="00ED345A"/>
    <w:rsid w:val="00ED3BBB"/>
    <w:rsid w:val="00ED45B2"/>
    <w:rsid w:val="00ED538A"/>
    <w:rsid w:val="00ED79AF"/>
    <w:rsid w:val="00F02672"/>
    <w:rsid w:val="00F03042"/>
    <w:rsid w:val="00F06B22"/>
    <w:rsid w:val="00F3442C"/>
    <w:rsid w:val="00F36E89"/>
    <w:rsid w:val="00F41F3A"/>
    <w:rsid w:val="00F42297"/>
    <w:rsid w:val="00F45B82"/>
    <w:rsid w:val="00F47B1B"/>
    <w:rsid w:val="00F50985"/>
    <w:rsid w:val="00F53333"/>
    <w:rsid w:val="00F60E0D"/>
    <w:rsid w:val="00F67DCD"/>
    <w:rsid w:val="00F83E96"/>
    <w:rsid w:val="00F84F72"/>
    <w:rsid w:val="00F928BA"/>
    <w:rsid w:val="00F97AFB"/>
    <w:rsid w:val="00F97DA2"/>
    <w:rsid w:val="00FA3E72"/>
    <w:rsid w:val="00FA58A7"/>
    <w:rsid w:val="00FA7985"/>
    <w:rsid w:val="00FB02F3"/>
    <w:rsid w:val="00FC5424"/>
    <w:rsid w:val="00FC7AB0"/>
    <w:rsid w:val="00FD352D"/>
    <w:rsid w:val="00FD62B2"/>
    <w:rsid w:val="00FD644E"/>
    <w:rsid w:val="00FE10F3"/>
    <w:rsid w:val="00FE2D84"/>
    <w:rsid w:val="00FF367E"/>
    <w:rsid w:val="00FF56A7"/>
    <w:rsid w:val="0A6FB050"/>
    <w:rsid w:val="12E73EAD"/>
    <w:rsid w:val="13EB5016"/>
    <w:rsid w:val="19E4EA16"/>
    <w:rsid w:val="237360F0"/>
    <w:rsid w:val="2A13202A"/>
    <w:rsid w:val="2F32BC8C"/>
    <w:rsid w:val="30CAF642"/>
    <w:rsid w:val="312BAC6D"/>
    <w:rsid w:val="32C1BE9C"/>
    <w:rsid w:val="38BAB4F9"/>
    <w:rsid w:val="446212B1"/>
    <w:rsid w:val="47A47503"/>
    <w:rsid w:val="52088357"/>
    <w:rsid w:val="575D139D"/>
    <w:rsid w:val="5F2E670A"/>
    <w:rsid w:val="602DF85B"/>
    <w:rsid w:val="652B504D"/>
    <w:rsid w:val="779B53C2"/>
    <w:rsid w:val="78A3B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F75038"/>
  <w15:docId w15:val="{EF1229DC-E90C-4AEE-99BC-ECADD11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aliases w:val="Signature Table"/>
    <w:basedOn w:val="TableNormal"/>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unhideWhenUsed/>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semiHidden/>
    <w:unhideWhenUsed/>
    <w:rsid w:val="00672413"/>
    <w:rPr>
      <w:color w:val="605E5C"/>
      <w:shd w:val="clear" w:color="auto" w:fill="E1DFDD"/>
    </w:rPr>
  </w:style>
  <w:style w:type="paragraph" w:styleId="Revision">
    <w:name w:val="Revision"/>
    <w:hidden/>
    <w:uiPriority w:val="99"/>
    <w:semiHidden/>
    <w:rsid w:val="007B7CA3"/>
  </w:style>
  <w:style w:type="paragraph" w:styleId="NoSpacing">
    <w:name w:val="No Spacing"/>
    <w:uiPriority w:val="1"/>
    <w:qFormat/>
    <w:rsid w:val="000470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94e908f3a5224ae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dangered-species/revised-method-national-level-listed-species-biological-evaluations-conventional" TargetMode="External"/><Relationship Id="rId2" Type="http://schemas.openxmlformats.org/officeDocument/2006/relationships/hyperlink" Target="https://www.epa.gov/pesticide-science-and-assessing-pesticide-risks/models-pesticide-risk-assessment"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5291-ED1F-4B03-BE11-F0259FE6854C}">
  <ds:schemaRefs>
    <ds:schemaRef ds:uri="http://schemas.openxmlformats.org/package/2006/metadata/core-properties"/>
    <ds:schemaRef ds:uri="http://schemas.microsoft.com/office/2006/documentManagement/types"/>
    <ds:schemaRef ds:uri="http://schemas.microsoft.com/office/infopath/2007/PartnerControls"/>
    <ds:schemaRef ds:uri="1b69afd8-9bdb-481b-b26a-06cbd17fa30c"/>
    <ds:schemaRef ds:uri="http://purl.org/dc/elements/1.1/"/>
    <ds:schemaRef ds:uri="http://schemas.microsoft.com/office/2006/metadata/properties"/>
    <ds:schemaRef ds:uri="a5d1ca4e-0a3f-4119-b619-e20b93ebd1aa"/>
    <ds:schemaRef ds:uri="http://schemas.microsoft.com/sharepoint/v3/fields"/>
    <ds:schemaRef ds:uri="http://schemas.microsoft.com/sharepoint/v3"/>
    <ds:schemaRef ds:uri="http://schemas.microsoft.com/sharepoint.v3"/>
    <ds:schemaRef ds:uri="http://purl.org/dc/terms/"/>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9BDA0AC8-A93B-4888-AEB6-5BB9936A2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4.xml><?xml version="1.0" encoding="utf-8"?>
<ds:datastoreItem xmlns:ds="http://schemas.openxmlformats.org/officeDocument/2006/customXml" ds:itemID="{BE49C36F-FB7D-45C3-B76F-A96993AF2E94}">
  <ds:schemaRefs>
    <ds:schemaRef ds:uri="http://schemas.microsoft.com/sharepoint/v3/contenttype/forms"/>
  </ds:schemaRefs>
</ds:datastoreItem>
</file>

<file path=customXml/itemProps5.xml><?xml version="1.0" encoding="utf-8"?>
<ds:datastoreItem xmlns:ds="http://schemas.openxmlformats.org/officeDocument/2006/customXml" ds:itemID="{937B2132-1CBF-4F82-922A-A86BBCE8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2546</Words>
  <Characters>14516</Characters>
  <Application>Microsoft Office Word</Application>
  <DocSecurity>8</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Louie-Juzwiak, Rosanna</cp:lastModifiedBy>
  <cp:revision>2</cp:revision>
  <dcterms:created xsi:type="dcterms:W3CDTF">2020-11-23T16:40:00Z</dcterms:created>
  <dcterms:modified xsi:type="dcterms:W3CDTF">2020-11-23T16:40:00Z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