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A7839" w14:textId="6E9B6C16" w:rsidR="006A290E" w:rsidRPr="00440864" w:rsidRDefault="006A290E" w:rsidP="006A290E">
      <w:pPr>
        <w:rPr>
          <w:b/>
          <w:bCs/>
          <w:color w:val="2E74B5" w:themeColor="accent5" w:themeShade="BF"/>
          <w:sz w:val="32"/>
          <w:szCs w:val="32"/>
        </w:rPr>
      </w:pPr>
      <w:bookmarkStart w:id="0" w:name="_Toc31193294"/>
      <w:bookmarkStart w:id="1" w:name="_Toc31193349"/>
      <w:bookmarkStart w:id="2" w:name="_Toc31220268"/>
      <w:bookmarkEnd w:id="0"/>
      <w:bookmarkEnd w:id="1"/>
      <w:r w:rsidRPr="00440864">
        <w:rPr>
          <w:b/>
          <w:bCs/>
          <w:color w:val="2E74B5" w:themeColor="accent5" w:themeShade="BF"/>
          <w:sz w:val="32"/>
          <w:szCs w:val="32"/>
        </w:rPr>
        <w:t xml:space="preserve">Chapter 1 – </w:t>
      </w:r>
      <w:bookmarkStart w:id="3" w:name="_Hlk57091016"/>
      <w:r w:rsidRPr="00440864">
        <w:rPr>
          <w:b/>
          <w:bCs/>
          <w:color w:val="2E74B5" w:themeColor="accent5" w:themeShade="BF"/>
          <w:sz w:val="32"/>
          <w:szCs w:val="32"/>
        </w:rPr>
        <w:t xml:space="preserve">Draft </w:t>
      </w:r>
      <w:r w:rsidR="00CB05FA" w:rsidRPr="00440864">
        <w:rPr>
          <w:b/>
          <w:bCs/>
          <w:color w:val="2E74B5" w:themeColor="accent5" w:themeShade="BF"/>
          <w:sz w:val="32"/>
          <w:szCs w:val="32"/>
        </w:rPr>
        <w:t>Glyphosate</w:t>
      </w:r>
      <w:r w:rsidRPr="00440864">
        <w:rPr>
          <w:b/>
          <w:bCs/>
          <w:color w:val="2E74B5" w:themeColor="accent5" w:themeShade="BF"/>
          <w:sz w:val="32"/>
          <w:szCs w:val="32"/>
        </w:rPr>
        <w:t xml:space="preserve"> Problem Formulation</w:t>
      </w:r>
      <w:bookmarkEnd w:id="3"/>
    </w:p>
    <w:sdt>
      <w:sdtPr>
        <w:id w:val="-138042689"/>
        <w:docPartObj>
          <w:docPartGallery w:val="Table of Contents"/>
          <w:docPartUnique/>
        </w:docPartObj>
      </w:sdtPr>
      <w:sdtEndPr>
        <w:rPr>
          <w:b/>
          <w:bCs/>
          <w:noProof/>
        </w:rPr>
      </w:sdtEndPr>
      <w:sdtContent>
        <w:p w14:paraId="43B2CA7E" w14:textId="77777777" w:rsidR="006A290E" w:rsidRPr="00440864" w:rsidRDefault="006A290E" w:rsidP="006A290E">
          <w:pPr>
            <w:rPr>
              <w:color w:val="2E74B5" w:themeColor="accent5" w:themeShade="BF"/>
              <w:sz w:val="32"/>
              <w:szCs w:val="32"/>
            </w:rPr>
          </w:pPr>
          <w:r w:rsidRPr="00440864">
            <w:rPr>
              <w:color w:val="2E74B5" w:themeColor="accent5" w:themeShade="BF"/>
              <w:sz w:val="32"/>
              <w:szCs w:val="32"/>
            </w:rPr>
            <w:t>Contents</w:t>
          </w:r>
        </w:p>
        <w:p w14:paraId="11C80B68" w14:textId="443F91C6" w:rsidR="00F539F8" w:rsidRDefault="006A290E">
          <w:pPr>
            <w:pStyle w:val="TOC1"/>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56684050" w:history="1">
            <w:r w:rsidR="00F539F8" w:rsidRPr="00A273F9">
              <w:rPr>
                <w:rStyle w:val="Hyperlink"/>
                <w:noProof/>
              </w:rPr>
              <w:t>1</w:t>
            </w:r>
            <w:r w:rsidR="00F539F8">
              <w:rPr>
                <w:rFonts w:asciiTheme="minorHAnsi" w:eastAsiaTheme="minorEastAsia" w:hAnsiTheme="minorHAnsi" w:cstheme="minorBidi"/>
                <w:noProof/>
                <w:color w:val="auto"/>
              </w:rPr>
              <w:tab/>
            </w:r>
            <w:r w:rsidR="00F539F8" w:rsidRPr="00A273F9">
              <w:rPr>
                <w:rStyle w:val="Hyperlink"/>
                <w:noProof/>
              </w:rPr>
              <w:t>Introduction</w:t>
            </w:r>
            <w:r w:rsidR="00F539F8">
              <w:rPr>
                <w:noProof/>
                <w:webHidden/>
              </w:rPr>
              <w:tab/>
            </w:r>
            <w:r w:rsidR="00F539F8">
              <w:rPr>
                <w:noProof/>
                <w:webHidden/>
              </w:rPr>
              <w:fldChar w:fldCharType="begin"/>
            </w:r>
            <w:r w:rsidR="00F539F8">
              <w:rPr>
                <w:noProof/>
                <w:webHidden/>
              </w:rPr>
              <w:instrText xml:space="preserve"> PAGEREF _Toc56684050 \h </w:instrText>
            </w:r>
            <w:r w:rsidR="00F539F8">
              <w:rPr>
                <w:noProof/>
                <w:webHidden/>
              </w:rPr>
            </w:r>
            <w:r w:rsidR="00F539F8">
              <w:rPr>
                <w:noProof/>
                <w:webHidden/>
              </w:rPr>
              <w:fldChar w:fldCharType="separate"/>
            </w:r>
            <w:r w:rsidR="00520FAC">
              <w:rPr>
                <w:noProof/>
                <w:webHidden/>
              </w:rPr>
              <w:t>1</w:t>
            </w:r>
            <w:r w:rsidR="00F539F8">
              <w:rPr>
                <w:noProof/>
                <w:webHidden/>
              </w:rPr>
              <w:fldChar w:fldCharType="end"/>
            </w:r>
          </w:hyperlink>
        </w:p>
        <w:p w14:paraId="426A578B" w14:textId="0840FEA1" w:rsidR="00F539F8" w:rsidRDefault="00C53B28">
          <w:pPr>
            <w:pStyle w:val="TOC1"/>
            <w:rPr>
              <w:rFonts w:asciiTheme="minorHAnsi" w:eastAsiaTheme="minorEastAsia" w:hAnsiTheme="minorHAnsi" w:cstheme="minorBidi"/>
              <w:noProof/>
              <w:color w:val="auto"/>
            </w:rPr>
          </w:pPr>
          <w:hyperlink w:anchor="_Toc56684051" w:history="1">
            <w:r w:rsidR="00F539F8" w:rsidRPr="00A273F9">
              <w:rPr>
                <w:rStyle w:val="Hyperlink"/>
                <w:noProof/>
              </w:rPr>
              <w:t>2</w:t>
            </w:r>
            <w:r w:rsidR="00F539F8">
              <w:rPr>
                <w:rFonts w:asciiTheme="minorHAnsi" w:eastAsiaTheme="minorEastAsia" w:hAnsiTheme="minorHAnsi" w:cstheme="minorBidi"/>
                <w:noProof/>
                <w:color w:val="auto"/>
              </w:rPr>
              <w:tab/>
            </w:r>
            <w:r w:rsidR="00F539F8" w:rsidRPr="00A273F9">
              <w:rPr>
                <w:rStyle w:val="Hyperlink"/>
                <w:noProof/>
              </w:rPr>
              <w:t>Description of the Federal Action</w:t>
            </w:r>
            <w:r w:rsidR="00F539F8">
              <w:rPr>
                <w:noProof/>
                <w:webHidden/>
              </w:rPr>
              <w:tab/>
            </w:r>
            <w:r w:rsidR="00F539F8">
              <w:rPr>
                <w:noProof/>
                <w:webHidden/>
              </w:rPr>
              <w:fldChar w:fldCharType="begin"/>
            </w:r>
            <w:r w:rsidR="00F539F8">
              <w:rPr>
                <w:noProof/>
                <w:webHidden/>
              </w:rPr>
              <w:instrText xml:space="preserve"> PAGEREF _Toc56684051 \h </w:instrText>
            </w:r>
            <w:r w:rsidR="00F539F8">
              <w:rPr>
                <w:noProof/>
                <w:webHidden/>
              </w:rPr>
            </w:r>
            <w:r w:rsidR="00F539F8">
              <w:rPr>
                <w:noProof/>
                <w:webHidden/>
              </w:rPr>
              <w:fldChar w:fldCharType="separate"/>
            </w:r>
            <w:r w:rsidR="00520FAC">
              <w:rPr>
                <w:noProof/>
                <w:webHidden/>
              </w:rPr>
              <w:t>1</w:t>
            </w:r>
            <w:r w:rsidR="00F539F8">
              <w:rPr>
                <w:noProof/>
                <w:webHidden/>
              </w:rPr>
              <w:fldChar w:fldCharType="end"/>
            </w:r>
          </w:hyperlink>
        </w:p>
        <w:p w14:paraId="04AD4345" w14:textId="50D77DF1" w:rsidR="00F539F8" w:rsidRDefault="00C53B28">
          <w:pPr>
            <w:pStyle w:val="TOC1"/>
            <w:rPr>
              <w:rFonts w:asciiTheme="minorHAnsi" w:eastAsiaTheme="minorEastAsia" w:hAnsiTheme="minorHAnsi" w:cstheme="minorBidi"/>
              <w:noProof/>
              <w:color w:val="auto"/>
            </w:rPr>
          </w:pPr>
          <w:hyperlink w:anchor="_Toc56684052" w:history="1">
            <w:r w:rsidR="00F539F8" w:rsidRPr="00A273F9">
              <w:rPr>
                <w:rStyle w:val="Hyperlink"/>
                <w:noProof/>
              </w:rPr>
              <w:t>3</w:t>
            </w:r>
            <w:r w:rsidR="00F539F8">
              <w:rPr>
                <w:rFonts w:asciiTheme="minorHAnsi" w:eastAsiaTheme="minorEastAsia" w:hAnsiTheme="minorHAnsi" w:cstheme="minorBidi"/>
                <w:noProof/>
                <w:color w:val="auto"/>
              </w:rPr>
              <w:tab/>
            </w:r>
            <w:r w:rsidR="00F539F8" w:rsidRPr="00A273F9">
              <w:rPr>
                <w:rStyle w:val="Hyperlink"/>
                <w:noProof/>
              </w:rPr>
              <w:t>Mode and Mechanism of Action</w:t>
            </w:r>
            <w:r w:rsidR="00F539F8">
              <w:rPr>
                <w:noProof/>
                <w:webHidden/>
              </w:rPr>
              <w:tab/>
            </w:r>
            <w:r w:rsidR="00F539F8">
              <w:rPr>
                <w:noProof/>
                <w:webHidden/>
              </w:rPr>
              <w:fldChar w:fldCharType="begin"/>
            </w:r>
            <w:r w:rsidR="00F539F8">
              <w:rPr>
                <w:noProof/>
                <w:webHidden/>
              </w:rPr>
              <w:instrText xml:space="preserve"> PAGEREF _Toc56684052 \h </w:instrText>
            </w:r>
            <w:r w:rsidR="00F539F8">
              <w:rPr>
                <w:noProof/>
                <w:webHidden/>
              </w:rPr>
            </w:r>
            <w:r w:rsidR="00F539F8">
              <w:rPr>
                <w:noProof/>
                <w:webHidden/>
              </w:rPr>
              <w:fldChar w:fldCharType="separate"/>
            </w:r>
            <w:r w:rsidR="00520FAC">
              <w:rPr>
                <w:noProof/>
                <w:webHidden/>
              </w:rPr>
              <w:t>2</w:t>
            </w:r>
            <w:r w:rsidR="00F539F8">
              <w:rPr>
                <w:noProof/>
                <w:webHidden/>
              </w:rPr>
              <w:fldChar w:fldCharType="end"/>
            </w:r>
          </w:hyperlink>
        </w:p>
        <w:p w14:paraId="05FA6465" w14:textId="0F2D620D" w:rsidR="00F539F8" w:rsidRDefault="00C53B28">
          <w:pPr>
            <w:pStyle w:val="TOC1"/>
            <w:rPr>
              <w:rFonts w:asciiTheme="minorHAnsi" w:eastAsiaTheme="minorEastAsia" w:hAnsiTheme="minorHAnsi" w:cstheme="minorBidi"/>
              <w:noProof/>
              <w:color w:val="auto"/>
            </w:rPr>
          </w:pPr>
          <w:hyperlink w:anchor="_Toc56684053" w:history="1">
            <w:r w:rsidR="00F539F8" w:rsidRPr="00A273F9">
              <w:rPr>
                <w:rStyle w:val="Hyperlink"/>
                <w:noProof/>
              </w:rPr>
              <w:t>4</w:t>
            </w:r>
            <w:r w:rsidR="00F539F8">
              <w:rPr>
                <w:rFonts w:asciiTheme="minorHAnsi" w:eastAsiaTheme="minorEastAsia" w:hAnsiTheme="minorHAnsi" w:cstheme="minorBidi"/>
                <w:noProof/>
                <w:color w:val="auto"/>
              </w:rPr>
              <w:tab/>
            </w:r>
            <w:r w:rsidR="00F539F8" w:rsidRPr="00A273F9">
              <w:rPr>
                <w:rStyle w:val="Hyperlink"/>
                <w:noProof/>
              </w:rPr>
              <w:t>Use and Usage Characterization</w:t>
            </w:r>
            <w:r w:rsidR="00F539F8">
              <w:rPr>
                <w:noProof/>
                <w:webHidden/>
              </w:rPr>
              <w:tab/>
            </w:r>
            <w:r w:rsidR="00F539F8">
              <w:rPr>
                <w:noProof/>
                <w:webHidden/>
              </w:rPr>
              <w:fldChar w:fldCharType="begin"/>
            </w:r>
            <w:r w:rsidR="00F539F8">
              <w:rPr>
                <w:noProof/>
                <w:webHidden/>
              </w:rPr>
              <w:instrText xml:space="preserve"> PAGEREF _Toc56684053 \h </w:instrText>
            </w:r>
            <w:r w:rsidR="00F539F8">
              <w:rPr>
                <w:noProof/>
                <w:webHidden/>
              </w:rPr>
            </w:r>
            <w:r w:rsidR="00F539F8">
              <w:rPr>
                <w:noProof/>
                <w:webHidden/>
              </w:rPr>
              <w:fldChar w:fldCharType="separate"/>
            </w:r>
            <w:r w:rsidR="00520FAC">
              <w:rPr>
                <w:noProof/>
                <w:webHidden/>
              </w:rPr>
              <w:t>3</w:t>
            </w:r>
            <w:r w:rsidR="00F539F8">
              <w:rPr>
                <w:noProof/>
                <w:webHidden/>
              </w:rPr>
              <w:fldChar w:fldCharType="end"/>
            </w:r>
          </w:hyperlink>
        </w:p>
        <w:p w14:paraId="71EA1E40" w14:textId="5890CB98" w:rsidR="00F539F8" w:rsidRDefault="00C53B28">
          <w:pPr>
            <w:pStyle w:val="TOC2"/>
            <w:tabs>
              <w:tab w:val="left" w:pos="880"/>
              <w:tab w:val="right" w:leader="dot" w:pos="9350"/>
            </w:tabs>
            <w:rPr>
              <w:rFonts w:asciiTheme="minorHAnsi" w:eastAsiaTheme="minorEastAsia" w:hAnsiTheme="minorHAnsi" w:cstheme="minorBidi"/>
              <w:noProof/>
              <w:color w:val="auto"/>
            </w:rPr>
          </w:pPr>
          <w:hyperlink w:anchor="_Toc56684054" w:history="1">
            <w:r w:rsidR="00F539F8" w:rsidRPr="00A273F9">
              <w:rPr>
                <w:rStyle w:val="Hyperlink"/>
                <w:noProof/>
              </w:rPr>
              <w:t>4.1</w:t>
            </w:r>
            <w:r w:rsidR="00F539F8">
              <w:rPr>
                <w:rFonts w:asciiTheme="minorHAnsi" w:eastAsiaTheme="minorEastAsia" w:hAnsiTheme="minorHAnsi" w:cstheme="minorBidi"/>
                <w:noProof/>
                <w:color w:val="auto"/>
              </w:rPr>
              <w:tab/>
            </w:r>
            <w:r w:rsidR="00F539F8" w:rsidRPr="00A273F9">
              <w:rPr>
                <w:rStyle w:val="Hyperlink"/>
                <w:noProof/>
              </w:rPr>
              <w:t>Use Data (as Defined on Registered Product Labels)</w:t>
            </w:r>
            <w:r w:rsidR="00F539F8">
              <w:rPr>
                <w:noProof/>
                <w:webHidden/>
              </w:rPr>
              <w:tab/>
            </w:r>
            <w:r w:rsidR="00F539F8">
              <w:rPr>
                <w:noProof/>
                <w:webHidden/>
              </w:rPr>
              <w:fldChar w:fldCharType="begin"/>
            </w:r>
            <w:r w:rsidR="00F539F8">
              <w:rPr>
                <w:noProof/>
                <w:webHidden/>
              </w:rPr>
              <w:instrText xml:space="preserve"> PAGEREF _Toc56684054 \h </w:instrText>
            </w:r>
            <w:r w:rsidR="00F539F8">
              <w:rPr>
                <w:noProof/>
                <w:webHidden/>
              </w:rPr>
            </w:r>
            <w:r w:rsidR="00F539F8">
              <w:rPr>
                <w:noProof/>
                <w:webHidden/>
              </w:rPr>
              <w:fldChar w:fldCharType="separate"/>
            </w:r>
            <w:r w:rsidR="00520FAC">
              <w:rPr>
                <w:noProof/>
                <w:webHidden/>
              </w:rPr>
              <w:t>3</w:t>
            </w:r>
            <w:r w:rsidR="00F539F8">
              <w:rPr>
                <w:noProof/>
                <w:webHidden/>
              </w:rPr>
              <w:fldChar w:fldCharType="end"/>
            </w:r>
          </w:hyperlink>
        </w:p>
        <w:p w14:paraId="3D9779DB" w14:textId="670614F6" w:rsidR="00F539F8" w:rsidRDefault="00C53B28">
          <w:pPr>
            <w:pStyle w:val="TOC2"/>
            <w:tabs>
              <w:tab w:val="left" w:pos="880"/>
              <w:tab w:val="right" w:leader="dot" w:pos="9350"/>
            </w:tabs>
            <w:rPr>
              <w:rFonts w:asciiTheme="minorHAnsi" w:eastAsiaTheme="minorEastAsia" w:hAnsiTheme="minorHAnsi" w:cstheme="minorBidi"/>
              <w:noProof/>
              <w:color w:val="auto"/>
            </w:rPr>
          </w:pPr>
          <w:hyperlink w:anchor="_Toc56684055" w:history="1">
            <w:r w:rsidR="00F539F8" w:rsidRPr="00A273F9">
              <w:rPr>
                <w:rStyle w:val="Hyperlink"/>
                <w:noProof/>
              </w:rPr>
              <w:t>4.2</w:t>
            </w:r>
            <w:r w:rsidR="00F539F8">
              <w:rPr>
                <w:rFonts w:asciiTheme="minorHAnsi" w:eastAsiaTheme="minorEastAsia" w:hAnsiTheme="minorHAnsi" w:cstheme="minorBidi"/>
                <w:noProof/>
                <w:color w:val="auto"/>
              </w:rPr>
              <w:tab/>
            </w:r>
            <w:r w:rsidR="00F539F8" w:rsidRPr="00A273F9">
              <w:rPr>
                <w:rStyle w:val="Hyperlink"/>
                <w:noProof/>
              </w:rPr>
              <w:t>Usage Data</w:t>
            </w:r>
            <w:r w:rsidR="00F539F8">
              <w:rPr>
                <w:noProof/>
                <w:webHidden/>
              </w:rPr>
              <w:tab/>
            </w:r>
            <w:r w:rsidR="00F539F8">
              <w:rPr>
                <w:noProof/>
                <w:webHidden/>
              </w:rPr>
              <w:fldChar w:fldCharType="begin"/>
            </w:r>
            <w:r w:rsidR="00F539F8">
              <w:rPr>
                <w:noProof/>
                <w:webHidden/>
              </w:rPr>
              <w:instrText xml:space="preserve"> PAGEREF _Toc56684055 \h </w:instrText>
            </w:r>
            <w:r w:rsidR="00F539F8">
              <w:rPr>
                <w:noProof/>
                <w:webHidden/>
              </w:rPr>
            </w:r>
            <w:r w:rsidR="00F539F8">
              <w:rPr>
                <w:noProof/>
                <w:webHidden/>
              </w:rPr>
              <w:fldChar w:fldCharType="separate"/>
            </w:r>
            <w:r w:rsidR="00520FAC">
              <w:rPr>
                <w:noProof/>
                <w:webHidden/>
              </w:rPr>
              <w:t>4</w:t>
            </w:r>
            <w:r w:rsidR="00F539F8">
              <w:rPr>
                <w:noProof/>
                <w:webHidden/>
              </w:rPr>
              <w:fldChar w:fldCharType="end"/>
            </w:r>
          </w:hyperlink>
        </w:p>
        <w:p w14:paraId="772AA318" w14:textId="4C19C417" w:rsidR="00F539F8" w:rsidRDefault="00C53B28">
          <w:pPr>
            <w:pStyle w:val="TOC1"/>
            <w:rPr>
              <w:rFonts w:asciiTheme="minorHAnsi" w:eastAsiaTheme="minorEastAsia" w:hAnsiTheme="minorHAnsi" w:cstheme="minorBidi"/>
              <w:noProof/>
              <w:color w:val="auto"/>
            </w:rPr>
          </w:pPr>
          <w:hyperlink w:anchor="_Toc56684056" w:history="1">
            <w:r w:rsidR="00F539F8" w:rsidRPr="00A273F9">
              <w:rPr>
                <w:rStyle w:val="Hyperlink"/>
                <w:noProof/>
              </w:rPr>
              <w:t>5</w:t>
            </w:r>
            <w:r w:rsidR="00F539F8">
              <w:rPr>
                <w:rFonts w:asciiTheme="minorHAnsi" w:eastAsiaTheme="minorEastAsia" w:hAnsiTheme="minorHAnsi" w:cstheme="minorBidi"/>
                <w:noProof/>
                <w:color w:val="auto"/>
              </w:rPr>
              <w:tab/>
            </w:r>
            <w:r w:rsidR="00F539F8" w:rsidRPr="00A273F9">
              <w:rPr>
                <w:rStyle w:val="Hyperlink"/>
                <w:noProof/>
              </w:rPr>
              <w:t>Overview of Environmental Fate</w:t>
            </w:r>
            <w:r w:rsidR="00F539F8">
              <w:rPr>
                <w:noProof/>
                <w:webHidden/>
              </w:rPr>
              <w:tab/>
            </w:r>
            <w:r w:rsidR="00F539F8">
              <w:rPr>
                <w:noProof/>
                <w:webHidden/>
              </w:rPr>
              <w:fldChar w:fldCharType="begin"/>
            </w:r>
            <w:r w:rsidR="00F539F8">
              <w:rPr>
                <w:noProof/>
                <w:webHidden/>
              </w:rPr>
              <w:instrText xml:space="preserve"> PAGEREF _Toc56684056 \h </w:instrText>
            </w:r>
            <w:r w:rsidR="00F539F8">
              <w:rPr>
                <w:noProof/>
                <w:webHidden/>
              </w:rPr>
            </w:r>
            <w:r w:rsidR="00F539F8">
              <w:rPr>
                <w:noProof/>
                <w:webHidden/>
              </w:rPr>
              <w:fldChar w:fldCharType="separate"/>
            </w:r>
            <w:r w:rsidR="00520FAC">
              <w:rPr>
                <w:noProof/>
                <w:webHidden/>
              </w:rPr>
              <w:t>4</w:t>
            </w:r>
            <w:r w:rsidR="00F539F8">
              <w:rPr>
                <w:noProof/>
                <w:webHidden/>
              </w:rPr>
              <w:fldChar w:fldCharType="end"/>
            </w:r>
          </w:hyperlink>
        </w:p>
        <w:p w14:paraId="39BFB612" w14:textId="6DBB607C" w:rsidR="00F539F8" w:rsidRDefault="00C53B28">
          <w:pPr>
            <w:pStyle w:val="TOC1"/>
            <w:rPr>
              <w:rFonts w:asciiTheme="minorHAnsi" w:eastAsiaTheme="minorEastAsia" w:hAnsiTheme="minorHAnsi" w:cstheme="minorBidi"/>
              <w:noProof/>
              <w:color w:val="auto"/>
            </w:rPr>
          </w:pPr>
          <w:hyperlink w:anchor="_Toc56684057" w:history="1">
            <w:r w:rsidR="00F539F8" w:rsidRPr="00A273F9">
              <w:rPr>
                <w:rStyle w:val="Hyperlink"/>
                <w:noProof/>
              </w:rPr>
              <w:t>6</w:t>
            </w:r>
            <w:r w:rsidR="00F539F8">
              <w:rPr>
                <w:rFonts w:asciiTheme="minorHAnsi" w:eastAsiaTheme="minorEastAsia" w:hAnsiTheme="minorHAnsi" w:cstheme="minorBidi"/>
                <w:noProof/>
                <w:color w:val="auto"/>
              </w:rPr>
              <w:tab/>
            </w:r>
            <w:r w:rsidR="00F539F8" w:rsidRPr="00A273F9">
              <w:rPr>
                <w:rStyle w:val="Hyperlink"/>
                <w:noProof/>
              </w:rPr>
              <w:t>Residue of Concern</w:t>
            </w:r>
            <w:r w:rsidR="00F539F8">
              <w:rPr>
                <w:noProof/>
                <w:webHidden/>
              </w:rPr>
              <w:tab/>
            </w:r>
            <w:r w:rsidR="00F539F8">
              <w:rPr>
                <w:noProof/>
                <w:webHidden/>
              </w:rPr>
              <w:fldChar w:fldCharType="begin"/>
            </w:r>
            <w:r w:rsidR="00F539F8">
              <w:rPr>
                <w:noProof/>
                <w:webHidden/>
              </w:rPr>
              <w:instrText xml:space="preserve"> PAGEREF _Toc56684057 \h </w:instrText>
            </w:r>
            <w:r w:rsidR="00F539F8">
              <w:rPr>
                <w:noProof/>
                <w:webHidden/>
              </w:rPr>
            </w:r>
            <w:r w:rsidR="00F539F8">
              <w:rPr>
                <w:noProof/>
                <w:webHidden/>
              </w:rPr>
              <w:fldChar w:fldCharType="separate"/>
            </w:r>
            <w:r w:rsidR="00520FAC">
              <w:rPr>
                <w:noProof/>
                <w:webHidden/>
              </w:rPr>
              <w:t>5</w:t>
            </w:r>
            <w:r w:rsidR="00F539F8">
              <w:rPr>
                <w:noProof/>
                <w:webHidden/>
              </w:rPr>
              <w:fldChar w:fldCharType="end"/>
            </w:r>
          </w:hyperlink>
        </w:p>
        <w:p w14:paraId="0AB8AF2D" w14:textId="1C06B2BD" w:rsidR="00F539F8" w:rsidRDefault="00C53B28">
          <w:pPr>
            <w:pStyle w:val="TOC1"/>
            <w:rPr>
              <w:rFonts w:asciiTheme="minorHAnsi" w:eastAsiaTheme="minorEastAsia" w:hAnsiTheme="minorHAnsi" w:cstheme="minorBidi"/>
              <w:noProof/>
              <w:color w:val="auto"/>
            </w:rPr>
          </w:pPr>
          <w:hyperlink w:anchor="_Toc56684058" w:history="1">
            <w:r w:rsidR="00F539F8" w:rsidRPr="00A273F9">
              <w:rPr>
                <w:rStyle w:val="Hyperlink"/>
                <w:noProof/>
              </w:rPr>
              <w:t>7</w:t>
            </w:r>
            <w:r w:rsidR="00F539F8">
              <w:rPr>
                <w:rFonts w:asciiTheme="minorHAnsi" w:eastAsiaTheme="minorEastAsia" w:hAnsiTheme="minorHAnsi" w:cstheme="minorBidi"/>
                <w:noProof/>
                <w:color w:val="auto"/>
              </w:rPr>
              <w:tab/>
            </w:r>
            <w:r w:rsidR="00F539F8" w:rsidRPr="00A273F9">
              <w:rPr>
                <w:rStyle w:val="Hyperlink"/>
                <w:noProof/>
              </w:rPr>
              <w:t>Analysis Plan</w:t>
            </w:r>
            <w:r w:rsidR="00F539F8">
              <w:rPr>
                <w:noProof/>
                <w:webHidden/>
              </w:rPr>
              <w:tab/>
            </w:r>
            <w:r w:rsidR="00F539F8">
              <w:rPr>
                <w:noProof/>
                <w:webHidden/>
              </w:rPr>
              <w:fldChar w:fldCharType="begin"/>
            </w:r>
            <w:r w:rsidR="00F539F8">
              <w:rPr>
                <w:noProof/>
                <w:webHidden/>
              </w:rPr>
              <w:instrText xml:space="preserve"> PAGEREF _Toc56684058 \h </w:instrText>
            </w:r>
            <w:r w:rsidR="00F539F8">
              <w:rPr>
                <w:noProof/>
                <w:webHidden/>
              </w:rPr>
            </w:r>
            <w:r w:rsidR="00F539F8">
              <w:rPr>
                <w:noProof/>
                <w:webHidden/>
              </w:rPr>
              <w:fldChar w:fldCharType="separate"/>
            </w:r>
            <w:r w:rsidR="00520FAC">
              <w:rPr>
                <w:noProof/>
                <w:webHidden/>
              </w:rPr>
              <w:t>5</w:t>
            </w:r>
            <w:r w:rsidR="00F539F8">
              <w:rPr>
                <w:noProof/>
                <w:webHidden/>
              </w:rPr>
              <w:fldChar w:fldCharType="end"/>
            </w:r>
          </w:hyperlink>
        </w:p>
        <w:p w14:paraId="7115FD99" w14:textId="6A2514A2" w:rsidR="006A290E" w:rsidRDefault="006A290E" w:rsidP="006A290E">
          <w:pPr>
            <w:rPr>
              <w:b/>
              <w:bCs/>
              <w:noProof/>
            </w:rPr>
          </w:pPr>
          <w:r>
            <w:rPr>
              <w:b/>
              <w:bCs/>
              <w:noProof/>
            </w:rPr>
            <w:fldChar w:fldCharType="end"/>
          </w:r>
        </w:p>
      </w:sdtContent>
    </w:sdt>
    <w:p w14:paraId="73AECF4A" w14:textId="77777777" w:rsidR="006A290E" w:rsidRPr="00440864" w:rsidRDefault="006A290E" w:rsidP="00440864">
      <w:pPr>
        <w:pStyle w:val="TOCHeading"/>
      </w:pPr>
      <w:bookmarkStart w:id="4" w:name="_Toc56684050"/>
      <w:r w:rsidRPr="00440864">
        <w:t>Introduction</w:t>
      </w:r>
      <w:bookmarkEnd w:id="4"/>
    </w:p>
    <w:p w14:paraId="14533BB4" w14:textId="77777777" w:rsidR="006A290E" w:rsidRDefault="006A290E" w:rsidP="006A290E">
      <w:pPr>
        <w:spacing w:after="0" w:line="240" w:lineRule="auto"/>
      </w:pPr>
    </w:p>
    <w:p w14:paraId="20013167" w14:textId="79AA6BC6" w:rsidR="00F457E9" w:rsidRPr="000E31F6" w:rsidRDefault="00F457E9" w:rsidP="000E31F6">
      <w:pPr>
        <w:spacing w:after="0"/>
        <w:rPr>
          <w:rStyle w:val="eop"/>
        </w:rPr>
      </w:pPr>
      <w:bookmarkStart w:id="5" w:name="_Hlk57091075"/>
      <w:r w:rsidRPr="00017D8E">
        <w:t xml:space="preserve">This </w:t>
      </w:r>
      <w:r w:rsidR="000E31F6">
        <w:t>draft Biological Evaluation (</w:t>
      </w:r>
      <w:r w:rsidRPr="00017D8E">
        <w:t>BE</w:t>
      </w:r>
      <w:r w:rsidR="000E31F6">
        <w:t>)</w:t>
      </w:r>
      <w:r w:rsidRPr="00017D8E">
        <w:t xml:space="preserve"> makes effects determinations for a</w:t>
      </w:r>
      <w:r w:rsidRPr="00017D8E">
        <w:rPr>
          <w:rStyle w:val="eop"/>
        </w:rPr>
        <w:t>ll federally listed endangered and threatened species, as well as those that are proposed and candidates for listing and experimental populations (in sum referred to as “listed species”). This BE also includes an analysis of designated critical habitats.</w:t>
      </w:r>
      <w:r w:rsidRPr="00017D8E">
        <w:t xml:space="preserve"> The methods employed in this BE follow the </w:t>
      </w:r>
      <w:r w:rsidRPr="00017D8E">
        <w:rPr>
          <w:rStyle w:val="normaltextrun"/>
        </w:rPr>
        <w:t>Revised Method</w:t>
      </w:r>
      <w:r w:rsidRPr="00017D8E">
        <w:rPr>
          <w:rStyle w:val="eop"/>
        </w:rPr>
        <w:t> </w:t>
      </w:r>
      <w:r w:rsidRPr="00017D8E">
        <w:rPr>
          <w:rStyle w:val="normaltextrun"/>
        </w:rPr>
        <w:t xml:space="preserve">for National Level Listed </w:t>
      </w:r>
      <w:r w:rsidRPr="000E31F6">
        <w:rPr>
          <w:rStyle w:val="normaltextrun"/>
        </w:rPr>
        <w:t>Species Biological Evaluations of Conventional Pesticides</w:t>
      </w:r>
      <w:r w:rsidRPr="000E31F6">
        <w:rPr>
          <w:rStyle w:val="eop"/>
        </w:rPr>
        <w:t> (referred to as the “Revised Method</w:t>
      </w:r>
      <w:proofErr w:type="gramStart"/>
      <w:r w:rsidRPr="000E31F6">
        <w:rPr>
          <w:rStyle w:val="eop"/>
        </w:rPr>
        <w:t>”)</w:t>
      </w:r>
      <w:r w:rsidR="00017D8E" w:rsidRPr="000E31F6">
        <w:rPr>
          <w:rStyle w:val="eop"/>
          <w:vertAlign w:val="superscript"/>
        </w:rPr>
        <w:t>[</w:t>
      </w:r>
      <w:proofErr w:type="gramEnd"/>
      <w:r w:rsidR="00017D8E" w:rsidRPr="000E31F6">
        <w:rPr>
          <w:rStyle w:val="FootnoteReference"/>
        </w:rPr>
        <w:footnoteReference w:id="2"/>
      </w:r>
      <w:r w:rsidR="00017D8E" w:rsidRPr="000E31F6">
        <w:rPr>
          <w:rStyle w:val="eop"/>
          <w:vertAlign w:val="superscript"/>
        </w:rPr>
        <w:t>]</w:t>
      </w:r>
      <w:r w:rsidRPr="000E31F6">
        <w:rPr>
          <w:rStyle w:val="eop"/>
        </w:rPr>
        <w:t xml:space="preserve">. </w:t>
      </w:r>
    </w:p>
    <w:p w14:paraId="19F59553" w14:textId="77777777" w:rsidR="000E31F6" w:rsidRPr="000E31F6" w:rsidRDefault="000E31F6" w:rsidP="000E31F6">
      <w:pPr>
        <w:spacing w:after="0"/>
        <w:rPr>
          <w:rStyle w:val="eop"/>
        </w:rPr>
      </w:pPr>
      <w:bookmarkStart w:id="6" w:name="_GoBack"/>
      <w:bookmarkEnd w:id="6"/>
    </w:p>
    <w:p w14:paraId="40993831" w14:textId="77777777" w:rsidR="000E31F6" w:rsidRDefault="000E31F6" w:rsidP="000E31F6">
      <w:pPr>
        <w:spacing w:after="0"/>
        <w:rPr>
          <w:color w:val="auto"/>
        </w:rPr>
      </w:pPr>
      <w:r w:rsidRPr="000E31F6">
        <w:t>This chapter describes the problem formulation. Problem</w:t>
      </w:r>
      <w:r>
        <w:t xml:space="preserve"> formulation is the first step of ecological risk assessment and establishes the goals, scope, and focus of the assessment. It is a systematic planning step that identifies major factors to be considered in a </w:t>
      </w:r>
      <w:proofErr w:type="gramStart"/>
      <w:r>
        <w:t>particular assessment</w:t>
      </w:r>
      <w:proofErr w:type="gramEnd"/>
      <w:r>
        <w:t xml:space="preserve">. </w:t>
      </w:r>
    </w:p>
    <w:p w14:paraId="510D793B" w14:textId="77777777" w:rsidR="000E31F6" w:rsidRDefault="000E31F6" w:rsidP="000E31F6">
      <w:pPr>
        <w:spacing w:after="0"/>
      </w:pPr>
    </w:p>
    <w:p w14:paraId="0CF0A693" w14:textId="681D192D" w:rsidR="000E31F6" w:rsidRDefault="000E31F6" w:rsidP="000E31F6">
      <w:pPr>
        <w:spacing w:after="0"/>
      </w:pPr>
      <w:r>
        <w:t xml:space="preserve">Included in this chapter is a description of the federal action, the mode and mechanism of action of glyphosate, summaries of its uses (based on registered product labels), usage, overview of environmental fate, identification of the residue of concern, and an analysis plan for how the BE will be conducted. </w:t>
      </w:r>
    </w:p>
    <w:bookmarkEnd w:id="5"/>
    <w:p w14:paraId="238D6E04" w14:textId="4477F1E8" w:rsidR="006A290E" w:rsidRDefault="006A290E" w:rsidP="000E31F6">
      <w:pPr>
        <w:spacing w:after="0" w:line="240" w:lineRule="auto"/>
        <w:rPr>
          <w:color w:val="000000" w:themeColor="text1"/>
        </w:rPr>
      </w:pPr>
    </w:p>
    <w:p w14:paraId="488836E2" w14:textId="77777777" w:rsidR="000E31F6" w:rsidRDefault="000E31F6" w:rsidP="000E31F6">
      <w:pPr>
        <w:spacing w:after="0" w:line="240" w:lineRule="auto"/>
        <w:rPr>
          <w:color w:val="000000" w:themeColor="text1"/>
        </w:rPr>
      </w:pPr>
    </w:p>
    <w:p w14:paraId="03C25CB5" w14:textId="77777777" w:rsidR="006A290E" w:rsidRPr="0017444E" w:rsidRDefault="006A290E" w:rsidP="00440864">
      <w:pPr>
        <w:pStyle w:val="TOCHeading"/>
      </w:pPr>
      <w:bookmarkStart w:id="7" w:name="_Toc56684051"/>
      <w:bookmarkEnd w:id="2"/>
      <w:r w:rsidRPr="0017444E">
        <w:t>Description of the Federal Action</w:t>
      </w:r>
      <w:bookmarkEnd w:id="7"/>
      <w:r w:rsidRPr="0017444E">
        <w:t xml:space="preserve"> </w:t>
      </w:r>
    </w:p>
    <w:p w14:paraId="526B49A5" w14:textId="77777777" w:rsidR="006A290E" w:rsidRDefault="006A290E" w:rsidP="006A290E">
      <w:pPr>
        <w:keepNext/>
        <w:spacing w:after="0" w:line="240" w:lineRule="auto"/>
      </w:pPr>
    </w:p>
    <w:p w14:paraId="78F51A20" w14:textId="5F93AE70" w:rsidR="006A290E" w:rsidRDefault="006A290E" w:rsidP="006A290E">
      <w:pPr>
        <w:keepNext/>
        <w:spacing w:after="0" w:line="240" w:lineRule="auto"/>
      </w:pPr>
      <w:r w:rsidRPr="001561C2">
        <w:t>In 2006,</w:t>
      </w:r>
      <w:r w:rsidR="00C4422B">
        <w:t xml:space="preserve"> the</w:t>
      </w:r>
      <w:r w:rsidRPr="001561C2">
        <w:t xml:space="preserve"> U.S. Environmental Protection Agency </w:t>
      </w:r>
      <w:r>
        <w:t>(</w:t>
      </w:r>
      <w:r w:rsidRPr="001561C2">
        <w:t>EPA</w:t>
      </w:r>
      <w:r>
        <w:t>)</w:t>
      </w:r>
      <w:r w:rsidRPr="001561C2">
        <w:t xml:space="preserve"> initiated Registration Review to reevaluate all </w:t>
      </w:r>
      <w:r w:rsidR="00440EC9">
        <w:t xml:space="preserve">registered </w:t>
      </w:r>
      <w:r w:rsidRPr="001561C2">
        <w:t>pesticide</w:t>
      </w:r>
      <w:r w:rsidR="00440EC9">
        <w:t xml:space="preserve"> active ingredient</w:t>
      </w:r>
      <w:r w:rsidRPr="001561C2">
        <w:t xml:space="preserve">s on a regular cycle. EPA is required to review each pesticide active ingredient at least every 15 years to make sure that </w:t>
      </w:r>
      <w:r>
        <w:t>it h</w:t>
      </w:r>
      <w:r w:rsidRPr="001561C2">
        <w:t xml:space="preserve">as the ability to assess risks to human health and the environment </w:t>
      </w:r>
      <w:r>
        <w:t xml:space="preserve">as science </w:t>
      </w:r>
      <w:r w:rsidRPr="001561C2">
        <w:t xml:space="preserve">evolves and policies and practices </w:t>
      </w:r>
      <w:r>
        <w:t xml:space="preserve">may </w:t>
      </w:r>
      <w:r w:rsidRPr="001561C2">
        <w:t xml:space="preserve">change, </w:t>
      </w:r>
      <w:bookmarkStart w:id="8" w:name="_Hlk33448916"/>
      <w:r w:rsidRPr="001561C2">
        <w:t xml:space="preserve">all pesticide products in the marketplace </w:t>
      </w:r>
      <w:r>
        <w:t>continue to meet the standard of registration</w:t>
      </w:r>
      <w:bookmarkEnd w:id="8"/>
      <w:r w:rsidRPr="001561C2">
        <w:t xml:space="preserve">. Registration </w:t>
      </w:r>
      <w:r>
        <w:t>R</w:t>
      </w:r>
      <w:r w:rsidRPr="001561C2">
        <w:t xml:space="preserve">eview includes labels </w:t>
      </w:r>
      <w:r w:rsidRPr="001561C2">
        <w:lastRenderedPageBreak/>
        <w:t xml:space="preserve">registered under Sections 3, 24(c), and 18 of </w:t>
      </w:r>
      <w:r w:rsidRPr="001561C2">
        <w:rPr>
          <w:color w:val="000000" w:themeColor="text1"/>
        </w:rPr>
        <w:t>FIFRA</w:t>
      </w:r>
      <w:r w:rsidRPr="001561C2">
        <w:t xml:space="preserve">.  </w:t>
      </w:r>
      <w:r>
        <w:t xml:space="preserve">The federal action </w:t>
      </w:r>
      <w:r w:rsidR="004D5FA7">
        <w:t>relevant to this BE is the</w:t>
      </w:r>
      <w:r>
        <w:t xml:space="preserve"> Registration Review for </w:t>
      </w:r>
      <w:r w:rsidR="00CB05FA">
        <w:t>glyphosate</w:t>
      </w:r>
      <w:r w:rsidR="004D5FA7">
        <w:t>, which</w:t>
      </w:r>
      <w:r>
        <w:t xml:space="preserve"> </w:t>
      </w:r>
      <w:r w:rsidRPr="001561C2">
        <w:t xml:space="preserve">encompasses the </w:t>
      </w:r>
      <w:r>
        <w:t xml:space="preserve">review of all the </w:t>
      </w:r>
      <w:r w:rsidRPr="001561C2">
        <w:t>regist</w:t>
      </w:r>
      <w:r>
        <w:t>ered</w:t>
      </w:r>
      <w:r w:rsidRPr="001561C2">
        <w:t xml:space="preserve"> uses</w:t>
      </w:r>
      <w:r>
        <w:t xml:space="preserve"> and the approved </w:t>
      </w:r>
      <w:r w:rsidRPr="001561C2">
        <w:t>product labels</w:t>
      </w:r>
      <w:r>
        <w:t xml:space="preserve"> for </w:t>
      </w:r>
      <w:r w:rsidRPr="001561C2">
        <w:t xml:space="preserve">all pesticide products containing </w:t>
      </w:r>
      <w:r w:rsidR="00CB05FA">
        <w:t>glyphosate</w:t>
      </w:r>
      <w:r w:rsidRPr="001561C2">
        <w:t xml:space="preserve">.   </w:t>
      </w:r>
    </w:p>
    <w:p w14:paraId="3F97F766" w14:textId="77777777" w:rsidR="00E3056C" w:rsidRDefault="00E3056C" w:rsidP="006A290E">
      <w:pPr>
        <w:keepNext/>
        <w:spacing w:after="0" w:line="240" w:lineRule="auto"/>
      </w:pPr>
    </w:p>
    <w:p w14:paraId="6DF83FFF" w14:textId="77777777" w:rsidR="006A290E" w:rsidRDefault="006A290E" w:rsidP="006A290E">
      <w:pPr>
        <w:spacing w:after="0" w:line="240" w:lineRule="auto"/>
        <w:rPr>
          <w:color w:val="000000" w:themeColor="text1"/>
        </w:rPr>
      </w:pPr>
    </w:p>
    <w:p w14:paraId="67BC1BEF" w14:textId="77777777" w:rsidR="006A290E" w:rsidRPr="001561C2" w:rsidRDefault="006A290E" w:rsidP="00440864">
      <w:pPr>
        <w:pStyle w:val="TOCHeading"/>
      </w:pPr>
      <w:bookmarkStart w:id="9" w:name="_Toc31220272"/>
      <w:bookmarkStart w:id="10" w:name="_Toc56684052"/>
      <w:r w:rsidRPr="001561C2">
        <w:t>Mode and Mechanism of Action</w:t>
      </w:r>
      <w:bookmarkEnd w:id="9"/>
      <w:bookmarkEnd w:id="10"/>
      <w:r w:rsidRPr="001561C2">
        <w:t xml:space="preserve"> </w:t>
      </w:r>
    </w:p>
    <w:p w14:paraId="36889B3B" w14:textId="77777777" w:rsidR="006A290E" w:rsidRPr="00BB3BB8" w:rsidRDefault="006A290E" w:rsidP="006A290E">
      <w:pPr>
        <w:keepNext/>
        <w:keepLines/>
        <w:spacing w:after="0" w:line="240" w:lineRule="auto"/>
      </w:pPr>
    </w:p>
    <w:p w14:paraId="1EBAA076" w14:textId="67DDCFC8" w:rsidR="00E43AF8" w:rsidRDefault="00E43AF8" w:rsidP="00E43AF8">
      <w:pPr>
        <w:pStyle w:val="NoSpacing"/>
        <w:rPr>
          <w:bCs/>
        </w:rPr>
      </w:pPr>
      <w:bookmarkStart w:id="11" w:name="_Hlk51846377"/>
      <w:r w:rsidRPr="00AD3590">
        <w:t>Glyphosate [</w:t>
      </w:r>
      <w:r w:rsidRPr="00AD3590">
        <w:rPr>
          <w:i/>
          <w:iCs/>
        </w:rPr>
        <w:t>N</w:t>
      </w:r>
      <w:r w:rsidRPr="00AD3590">
        <w:t>-(phosphonomethyl)glycine] is an acid, and it can also be associated with different counter ca</w:t>
      </w:r>
      <w:r>
        <w:t>tions to form salts. S</w:t>
      </w:r>
      <w:r w:rsidRPr="005A6708">
        <w:t>everal salts of glyphosate are currently marketed</w:t>
      </w:r>
      <w:r>
        <w:t>, as well as the acid, and are considered as the active ingredient</w:t>
      </w:r>
      <w:r w:rsidRPr="005A6708">
        <w:t xml:space="preserve"> in end-use products.</w:t>
      </w:r>
      <w:r>
        <w:t xml:space="preserve"> </w:t>
      </w:r>
      <w:r w:rsidRPr="005A6708">
        <w:t xml:space="preserve"> </w:t>
      </w:r>
      <w:r>
        <w:t xml:space="preserve">The parent acid </w:t>
      </w:r>
      <w:r w:rsidRPr="005A6708">
        <w:t>is the chemical species that exhibits herbicidal activity</w:t>
      </w:r>
      <w:r>
        <w:t xml:space="preserve"> and so is the </w:t>
      </w:r>
      <w:r w:rsidRPr="005A6708">
        <w:t>actual chemical stressor considered in th</w:t>
      </w:r>
      <w:r>
        <w:t xml:space="preserve">is risk assessment </w:t>
      </w:r>
      <w:r w:rsidRPr="005A6708">
        <w:t>regardless of the salt</w:t>
      </w:r>
      <w:r>
        <w:t>, unless otherwise specified.  In order to have comparable results, each</w:t>
      </w:r>
      <w:r w:rsidRPr="005A6708">
        <w:t xml:space="preserve"> salt </w:t>
      </w:r>
      <w:r>
        <w:t xml:space="preserve">is considered in terms of its </w:t>
      </w:r>
      <w:r w:rsidRPr="005A6708">
        <w:t>glyphosate e</w:t>
      </w:r>
      <w:r>
        <w:t>quivalent, (acid equivalent; a.e.</w:t>
      </w:r>
      <w:r w:rsidRPr="005A6708">
        <w:t>)</w:t>
      </w:r>
      <w:r>
        <w:t xml:space="preserve">, determined by multiplying the application rate by the acid equivalence ratio, </w:t>
      </w:r>
      <w:r w:rsidRPr="005A6708">
        <w:t xml:space="preserve">defined as the ratio of the molecular weight of </w:t>
      </w:r>
      <w:r w:rsidRPr="005A6708">
        <w:rPr>
          <w:i/>
          <w:iCs/>
        </w:rPr>
        <w:t>N</w:t>
      </w:r>
      <w:r>
        <w:noBreakHyphen/>
      </w:r>
      <w:r w:rsidRPr="005A6708">
        <w:t>(phosphonomethyl)glycine to the molecular weight of the salt.</w:t>
      </w:r>
      <w:r w:rsidRPr="00B54B5E">
        <w:rPr>
          <w:szCs w:val="24"/>
        </w:rPr>
        <w:t xml:space="preserve"> </w:t>
      </w:r>
      <w:r w:rsidR="00D3535A">
        <w:rPr>
          <w:szCs w:val="24"/>
        </w:rPr>
        <w:fldChar w:fldCharType="begin"/>
      </w:r>
      <w:r w:rsidR="00D3535A">
        <w:rPr>
          <w:szCs w:val="24"/>
        </w:rPr>
        <w:instrText xml:space="preserve"> REF _Ref56680563 \h </w:instrText>
      </w:r>
      <w:r w:rsidR="00D3535A">
        <w:rPr>
          <w:szCs w:val="24"/>
        </w:rPr>
      </w:r>
      <w:r w:rsidR="00D3535A">
        <w:rPr>
          <w:szCs w:val="24"/>
        </w:rPr>
        <w:fldChar w:fldCharType="separate"/>
      </w:r>
      <w:r w:rsidR="00D3535A">
        <w:t>Table 1-</w:t>
      </w:r>
      <w:r w:rsidR="00D3535A">
        <w:rPr>
          <w:noProof/>
        </w:rPr>
        <w:t>1</w:t>
      </w:r>
      <w:r w:rsidR="00D3535A">
        <w:rPr>
          <w:szCs w:val="24"/>
        </w:rPr>
        <w:fldChar w:fldCharType="end"/>
      </w:r>
      <w:r w:rsidRPr="00091ECC">
        <w:rPr>
          <w:b/>
          <w:bCs/>
          <w:szCs w:val="24"/>
        </w:rPr>
        <w:t xml:space="preserve"> </w:t>
      </w:r>
      <w:r w:rsidRPr="005A6708">
        <w:t>show</w:t>
      </w:r>
      <w:r>
        <w:t>s</w:t>
      </w:r>
      <w:r w:rsidRPr="005A6708">
        <w:t xml:space="preserve"> the salts of glyphosate </w:t>
      </w:r>
      <w:r>
        <w:t xml:space="preserve">that may be </w:t>
      </w:r>
      <w:r w:rsidRPr="005A6708">
        <w:t>used as the source of the actual herbicide-active chemical species.</w:t>
      </w:r>
      <w:r>
        <w:t xml:space="preserve">  </w:t>
      </w:r>
      <w:r>
        <w:rPr>
          <w:bCs/>
        </w:rPr>
        <w:t xml:space="preserve">For the purpose of this assessment, the acid and all </w:t>
      </w:r>
      <w:r w:rsidR="002E1EC4">
        <w:rPr>
          <w:bCs/>
        </w:rPr>
        <w:t xml:space="preserve">of its </w:t>
      </w:r>
      <w:r>
        <w:rPr>
          <w:bCs/>
        </w:rPr>
        <w:t>salt</w:t>
      </w:r>
      <w:r w:rsidR="002E1EC4">
        <w:rPr>
          <w:bCs/>
        </w:rPr>
        <w:t>s</w:t>
      </w:r>
      <w:r>
        <w:rPr>
          <w:bCs/>
        </w:rPr>
        <w:t xml:space="preserve"> are referred to collectively as “glyphosate” throughout this document.</w:t>
      </w:r>
      <w:r w:rsidR="00C97834">
        <w:rPr>
          <w:bCs/>
        </w:rPr>
        <w:t xml:space="preserve"> </w:t>
      </w:r>
    </w:p>
    <w:p w14:paraId="7D42BB1A" w14:textId="0410D746" w:rsidR="00E43AF8" w:rsidRDefault="00E43AF8" w:rsidP="00E43AF8">
      <w:pPr>
        <w:pStyle w:val="NoSpacing"/>
        <w:rPr>
          <w:bCs/>
        </w:rPr>
      </w:pPr>
    </w:p>
    <w:p w14:paraId="6D8A4B1F" w14:textId="0AB1C8DF" w:rsidR="00E43AF8" w:rsidRPr="00091ECC" w:rsidRDefault="000040B8" w:rsidP="000040B8">
      <w:pPr>
        <w:pStyle w:val="Caption"/>
      </w:pPr>
      <w:bookmarkStart w:id="12" w:name="_Ref56680563"/>
      <w:r>
        <w:t>Table 1-</w:t>
      </w:r>
      <w:fldSimple w:instr=" SEQ Table_1 \* ARABIC ">
        <w:r w:rsidR="000F5DFD">
          <w:rPr>
            <w:noProof/>
          </w:rPr>
          <w:t>1</w:t>
        </w:r>
      </w:fldSimple>
      <w:bookmarkEnd w:id="12"/>
      <w:r>
        <w:t xml:space="preserve">. </w:t>
      </w:r>
      <w:r w:rsidRPr="00E45B87">
        <w:t>Identification of Glyphosate and its Salts</w:t>
      </w:r>
    </w:p>
    <w:tbl>
      <w:tblPr>
        <w:tblStyle w:val="TableGrid"/>
        <w:tblW w:w="0" w:type="auto"/>
        <w:tblLook w:val="01E0" w:firstRow="1" w:lastRow="1" w:firstColumn="1" w:lastColumn="1" w:noHBand="0" w:noVBand="0"/>
      </w:tblPr>
      <w:tblGrid>
        <w:gridCol w:w="2448"/>
        <w:gridCol w:w="1980"/>
        <w:gridCol w:w="1980"/>
        <w:gridCol w:w="2448"/>
      </w:tblGrid>
      <w:tr w:rsidR="00E43AF8" w:rsidRPr="009F05C9" w14:paraId="74D1B7BB" w14:textId="77777777" w:rsidTr="5EF30673">
        <w:trPr>
          <w:trHeight w:val="432"/>
        </w:trPr>
        <w:tc>
          <w:tcPr>
            <w:tcW w:w="2448" w:type="dxa"/>
            <w:shd w:val="clear" w:color="auto" w:fill="E6E6E6"/>
            <w:vAlign w:val="center"/>
          </w:tcPr>
          <w:p w14:paraId="6D70DDB8" w14:textId="77777777" w:rsidR="00E43AF8" w:rsidRPr="009F05C9" w:rsidRDefault="00E43AF8" w:rsidP="00B74A80">
            <w:pPr>
              <w:jc w:val="center"/>
              <w:rPr>
                <w:b/>
                <w:sz w:val="20"/>
              </w:rPr>
            </w:pPr>
            <w:r>
              <w:rPr>
                <w:b/>
                <w:sz w:val="20"/>
              </w:rPr>
              <w:t>Counter Cation</w:t>
            </w:r>
          </w:p>
        </w:tc>
        <w:tc>
          <w:tcPr>
            <w:tcW w:w="1980" w:type="dxa"/>
            <w:shd w:val="clear" w:color="auto" w:fill="E6E6E6"/>
            <w:vAlign w:val="center"/>
          </w:tcPr>
          <w:p w14:paraId="1DF6C69E" w14:textId="77777777" w:rsidR="00E43AF8" w:rsidRPr="009F05C9" w:rsidRDefault="00E43AF8" w:rsidP="00B74A80">
            <w:pPr>
              <w:jc w:val="center"/>
              <w:rPr>
                <w:b/>
                <w:sz w:val="20"/>
              </w:rPr>
            </w:pPr>
            <w:r>
              <w:rPr>
                <w:b/>
                <w:sz w:val="20"/>
              </w:rPr>
              <w:t>PC Code</w:t>
            </w:r>
          </w:p>
        </w:tc>
        <w:tc>
          <w:tcPr>
            <w:tcW w:w="1980" w:type="dxa"/>
            <w:shd w:val="clear" w:color="auto" w:fill="E6E6E6"/>
            <w:vAlign w:val="center"/>
          </w:tcPr>
          <w:p w14:paraId="1F2E6F18" w14:textId="77777777" w:rsidR="00E43AF8" w:rsidRPr="009F05C9" w:rsidRDefault="00E43AF8" w:rsidP="00B74A80">
            <w:pPr>
              <w:jc w:val="center"/>
              <w:rPr>
                <w:b/>
                <w:sz w:val="20"/>
              </w:rPr>
            </w:pPr>
            <w:r>
              <w:rPr>
                <w:b/>
                <w:sz w:val="20"/>
              </w:rPr>
              <w:t>CAS No.</w:t>
            </w:r>
          </w:p>
        </w:tc>
        <w:tc>
          <w:tcPr>
            <w:tcW w:w="2448" w:type="dxa"/>
            <w:shd w:val="clear" w:color="auto" w:fill="E6E6E6"/>
            <w:vAlign w:val="center"/>
          </w:tcPr>
          <w:p w14:paraId="5368C170" w14:textId="77777777" w:rsidR="00E43AF8" w:rsidRPr="009F05C9" w:rsidRDefault="00E43AF8" w:rsidP="00B74A80">
            <w:pPr>
              <w:jc w:val="center"/>
              <w:rPr>
                <w:b/>
                <w:sz w:val="20"/>
              </w:rPr>
            </w:pPr>
            <w:r>
              <w:rPr>
                <w:b/>
                <w:sz w:val="20"/>
              </w:rPr>
              <w:t>Acid Equivalence Ratio</w:t>
            </w:r>
          </w:p>
        </w:tc>
      </w:tr>
      <w:tr w:rsidR="00E43AF8" w:rsidRPr="009F05C9" w14:paraId="21E30B1B" w14:textId="77777777" w:rsidTr="5EF30673">
        <w:trPr>
          <w:trHeight w:val="432"/>
        </w:trPr>
        <w:tc>
          <w:tcPr>
            <w:tcW w:w="2448" w:type="dxa"/>
            <w:vAlign w:val="center"/>
          </w:tcPr>
          <w:p w14:paraId="2C827D2B" w14:textId="77777777" w:rsidR="00E43AF8" w:rsidRDefault="00E43AF8" w:rsidP="00B74A80">
            <w:pPr>
              <w:rPr>
                <w:sz w:val="20"/>
              </w:rPr>
            </w:pPr>
            <w:r>
              <w:rPr>
                <w:sz w:val="20"/>
              </w:rPr>
              <w:t>Glyphosate acid</w:t>
            </w:r>
          </w:p>
          <w:p w14:paraId="25089465" w14:textId="77777777" w:rsidR="00E43AF8" w:rsidRPr="009F05C9" w:rsidRDefault="00E43AF8" w:rsidP="00B74A80">
            <w:pPr>
              <w:rPr>
                <w:sz w:val="20"/>
              </w:rPr>
            </w:pPr>
            <w:r>
              <w:rPr>
                <w:sz w:val="20"/>
              </w:rPr>
              <w:t>(no counter cation)</w:t>
            </w:r>
          </w:p>
        </w:tc>
        <w:tc>
          <w:tcPr>
            <w:tcW w:w="1980" w:type="dxa"/>
            <w:vAlign w:val="center"/>
          </w:tcPr>
          <w:p w14:paraId="55319BE4" w14:textId="77777777" w:rsidR="00E43AF8" w:rsidRPr="009F05C9" w:rsidRDefault="00E43AF8" w:rsidP="00B74A80">
            <w:pPr>
              <w:rPr>
                <w:sz w:val="20"/>
              </w:rPr>
            </w:pPr>
            <w:r>
              <w:rPr>
                <w:sz w:val="20"/>
              </w:rPr>
              <w:t>417300</w:t>
            </w:r>
          </w:p>
        </w:tc>
        <w:tc>
          <w:tcPr>
            <w:tcW w:w="1980" w:type="dxa"/>
            <w:vAlign w:val="center"/>
          </w:tcPr>
          <w:p w14:paraId="6B365251" w14:textId="77777777" w:rsidR="00E43AF8" w:rsidRPr="009F05C9" w:rsidRDefault="00E43AF8" w:rsidP="00B74A80">
            <w:pPr>
              <w:rPr>
                <w:sz w:val="20"/>
              </w:rPr>
            </w:pPr>
            <w:r>
              <w:rPr>
                <w:sz w:val="20"/>
              </w:rPr>
              <w:t>1071-83-6</w:t>
            </w:r>
          </w:p>
        </w:tc>
        <w:tc>
          <w:tcPr>
            <w:tcW w:w="2448" w:type="dxa"/>
            <w:vAlign w:val="center"/>
          </w:tcPr>
          <w:p w14:paraId="1E00DB20" w14:textId="77777777" w:rsidR="00E43AF8" w:rsidRPr="009F05C9" w:rsidRDefault="00E43AF8" w:rsidP="00B74A80">
            <w:pPr>
              <w:jc w:val="center"/>
              <w:rPr>
                <w:sz w:val="20"/>
              </w:rPr>
            </w:pPr>
            <w:r>
              <w:rPr>
                <w:sz w:val="20"/>
              </w:rPr>
              <w:t>1</w:t>
            </w:r>
          </w:p>
        </w:tc>
      </w:tr>
      <w:tr w:rsidR="00E43AF8" w:rsidRPr="009F05C9" w14:paraId="5A9CA6D1" w14:textId="77777777" w:rsidTr="5EF30673">
        <w:trPr>
          <w:trHeight w:val="432"/>
        </w:trPr>
        <w:tc>
          <w:tcPr>
            <w:tcW w:w="2448" w:type="dxa"/>
            <w:vAlign w:val="center"/>
          </w:tcPr>
          <w:p w14:paraId="1E2DD24B" w14:textId="77777777" w:rsidR="00E43AF8" w:rsidRPr="009F05C9" w:rsidRDefault="00E43AF8" w:rsidP="00B74A80">
            <w:pPr>
              <w:rPr>
                <w:sz w:val="20"/>
              </w:rPr>
            </w:pPr>
            <w:r>
              <w:rPr>
                <w:sz w:val="20"/>
              </w:rPr>
              <w:t>Isopropyl amine</w:t>
            </w:r>
          </w:p>
        </w:tc>
        <w:tc>
          <w:tcPr>
            <w:tcW w:w="1980" w:type="dxa"/>
            <w:vAlign w:val="center"/>
          </w:tcPr>
          <w:p w14:paraId="5EE945A9" w14:textId="77777777" w:rsidR="00E43AF8" w:rsidRPr="009F05C9" w:rsidRDefault="00E43AF8" w:rsidP="00B74A80">
            <w:pPr>
              <w:rPr>
                <w:sz w:val="20"/>
              </w:rPr>
            </w:pPr>
            <w:r>
              <w:rPr>
                <w:sz w:val="20"/>
              </w:rPr>
              <w:t>103601</w:t>
            </w:r>
          </w:p>
        </w:tc>
        <w:tc>
          <w:tcPr>
            <w:tcW w:w="1980" w:type="dxa"/>
            <w:vAlign w:val="center"/>
          </w:tcPr>
          <w:p w14:paraId="36224A00" w14:textId="77777777" w:rsidR="00E43AF8" w:rsidRPr="009F05C9" w:rsidRDefault="00E43AF8" w:rsidP="00B74A80">
            <w:pPr>
              <w:rPr>
                <w:sz w:val="20"/>
              </w:rPr>
            </w:pPr>
            <w:r>
              <w:rPr>
                <w:sz w:val="20"/>
              </w:rPr>
              <w:t>38641-94-0</w:t>
            </w:r>
          </w:p>
        </w:tc>
        <w:tc>
          <w:tcPr>
            <w:tcW w:w="2448" w:type="dxa"/>
            <w:vAlign w:val="center"/>
          </w:tcPr>
          <w:p w14:paraId="5C7DA12A" w14:textId="77777777" w:rsidR="00E43AF8" w:rsidRPr="009F05C9" w:rsidRDefault="00E43AF8" w:rsidP="00B74A80">
            <w:pPr>
              <w:jc w:val="center"/>
              <w:rPr>
                <w:sz w:val="20"/>
              </w:rPr>
            </w:pPr>
            <w:r>
              <w:rPr>
                <w:sz w:val="20"/>
              </w:rPr>
              <w:t>0.74</w:t>
            </w:r>
          </w:p>
        </w:tc>
      </w:tr>
      <w:tr w:rsidR="00E43AF8" w:rsidRPr="009F05C9" w14:paraId="1E90D942" w14:textId="77777777" w:rsidTr="5EF30673">
        <w:trPr>
          <w:trHeight w:val="432"/>
        </w:trPr>
        <w:tc>
          <w:tcPr>
            <w:tcW w:w="2448" w:type="dxa"/>
            <w:vAlign w:val="center"/>
          </w:tcPr>
          <w:p w14:paraId="46B8829B" w14:textId="77777777" w:rsidR="00E43AF8" w:rsidRPr="009F05C9" w:rsidRDefault="00E43AF8" w:rsidP="00B74A80">
            <w:pPr>
              <w:rPr>
                <w:sz w:val="20"/>
              </w:rPr>
            </w:pPr>
            <w:r>
              <w:rPr>
                <w:sz w:val="20"/>
              </w:rPr>
              <w:t>Monoammonium</w:t>
            </w:r>
          </w:p>
        </w:tc>
        <w:tc>
          <w:tcPr>
            <w:tcW w:w="1980" w:type="dxa"/>
            <w:vAlign w:val="center"/>
          </w:tcPr>
          <w:p w14:paraId="2F77569E" w14:textId="77777777" w:rsidR="00E43AF8" w:rsidRPr="009F05C9" w:rsidRDefault="00E43AF8" w:rsidP="00B74A80">
            <w:pPr>
              <w:rPr>
                <w:sz w:val="20"/>
              </w:rPr>
            </w:pPr>
            <w:r>
              <w:rPr>
                <w:sz w:val="20"/>
              </w:rPr>
              <w:t>103604</w:t>
            </w:r>
          </w:p>
        </w:tc>
        <w:tc>
          <w:tcPr>
            <w:tcW w:w="1980" w:type="dxa"/>
            <w:vAlign w:val="center"/>
          </w:tcPr>
          <w:p w14:paraId="1042AADE" w14:textId="77777777" w:rsidR="00E43AF8" w:rsidRPr="009F05C9" w:rsidRDefault="00E43AF8" w:rsidP="00B74A80">
            <w:pPr>
              <w:rPr>
                <w:sz w:val="20"/>
              </w:rPr>
            </w:pPr>
            <w:r>
              <w:rPr>
                <w:sz w:val="20"/>
              </w:rPr>
              <w:t>114370-14-8</w:t>
            </w:r>
          </w:p>
        </w:tc>
        <w:tc>
          <w:tcPr>
            <w:tcW w:w="2448" w:type="dxa"/>
            <w:vAlign w:val="center"/>
          </w:tcPr>
          <w:p w14:paraId="68A1B45A" w14:textId="77777777" w:rsidR="00E43AF8" w:rsidRPr="009F05C9" w:rsidRDefault="00E43AF8" w:rsidP="00B74A80">
            <w:pPr>
              <w:jc w:val="center"/>
              <w:rPr>
                <w:sz w:val="20"/>
              </w:rPr>
            </w:pPr>
            <w:r>
              <w:rPr>
                <w:sz w:val="20"/>
              </w:rPr>
              <w:t>0.94</w:t>
            </w:r>
          </w:p>
        </w:tc>
      </w:tr>
      <w:tr w:rsidR="00D021E0" w:rsidRPr="009F05C9" w14:paraId="08985F37" w14:textId="77777777" w:rsidTr="5EF30673">
        <w:trPr>
          <w:trHeight w:val="432"/>
        </w:trPr>
        <w:tc>
          <w:tcPr>
            <w:tcW w:w="2448" w:type="dxa"/>
            <w:vAlign w:val="center"/>
          </w:tcPr>
          <w:p w14:paraId="46FE4891" w14:textId="2C92B2B2" w:rsidR="00D021E0" w:rsidRDefault="00D021E0" w:rsidP="00B74A80">
            <w:pPr>
              <w:rPr>
                <w:sz w:val="20"/>
              </w:rPr>
            </w:pPr>
            <w:r>
              <w:rPr>
                <w:sz w:val="20"/>
              </w:rPr>
              <w:t>Ethanolamine</w:t>
            </w:r>
          </w:p>
        </w:tc>
        <w:tc>
          <w:tcPr>
            <w:tcW w:w="1980" w:type="dxa"/>
            <w:vAlign w:val="center"/>
          </w:tcPr>
          <w:p w14:paraId="2432B28D" w14:textId="675760D0" w:rsidR="00D021E0" w:rsidRDefault="00D021E0" w:rsidP="5EF30673">
            <w:pPr>
              <w:rPr>
                <w:sz w:val="20"/>
                <w:szCs w:val="20"/>
              </w:rPr>
            </w:pPr>
            <w:r w:rsidRPr="5EF30673">
              <w:rPr>
                <w:sz w:val="20"/>
                <w:szCs w:val="20"/>
              </w:rPr>
              <w:t>103605</w:t>
            </w:r>
          </w:p>
        </w:tc>
        <w:tc>
          <w:tcPr>
            <w:tcW w:w="1980" w:type="dxa"/>
            <w:vAlign w:val="center"/>
          </w:tcPr>
          <w:p w14:paraId="47F896D3" w14:textId="70BBD3F3" w:rsidR="00D021E0" w:rsidRPr="00526ECE" w:rsidRDefault="00526ECE" w:rsidP="00B74A80">
            <w:pPr>
              <w:rPr>
                <w:rFonts w:asciiTheme="minorHAnsi" w:hAnsiTheme="minorHAnsi" w:cstheme="minorHAnsi"/>
                <w:sz w:val="20"/>
              </w:rPr>
            </w:pPr>
            <w:r w:rsidRPr="00526ECE">
              <w:rPr>
                <w:rFonts w:asciiTheme="minorHAnsi" w:hAnsiTheme="minorHAnsi" w:cstheme="minorHAnsi"/>
                <w:sz w:val="20"/>
                <w:szCs w:val="20"/>
              </w:rPr>
              <w:t>40465-76-7</w:t>
            </w:r>
          </w:p>
        </w:tc>
        <w:tc>
          <w:tcPr>
            <w:tcW w:w="2448" w:type="dxa"/>
            <w:vAlign w:val="center"/>
          </w:tcPr>
          <w:p w14:paraId="26BF010F" w14:textId="54CE1A0F" w:rsidR="00D021E0" w:rsidRDefault="000040B8" w:rsidP="00B74A80">
            <w:pPr>
              <w:jc w:val="center"/>
              <w:rPr>
                <w:sz w:val="20"/>
              </w:rPr>
            </w:pPr>
            <w:r>
              <w:rPr>
                <w:sz w:val="20"/>
              </w:rPr>
              <w:t>0.73</w:t>
            </w:r>
          </w:p>
        </w:tc>
      </w:tr>
      <w:tr w:rsidR="00E43AF8" w:rsidRPr="009F05C9" w14:paraId="783A698D" w14:textId="77777777" w:rsidTr="5EF30673">
        <w:trPr>
          <w:trHeight w:val="432"/>
        </w:trPr>
        <w:tc>
          <w:tcPr>
            <w:tcW w:w="2448" w:type="dxa"/>
            <w:vAlign w:val="center"/>
          </w:tcPr>
          <w:p w14:paraId="35EB766B" w14:textId="77777777" w:rsidR="00E43AF8" w:rsidRPr="009F05C9" w:rsidRDefault="00E43AF8" w:rsidP="00B74A80">
            <w:pPr>
              <w:rPr>
                <w:sz w:val="20"/>
              </w:rPr>
            </w:pPr>
            <w:r>
              <w:rPr>
                <w:sz w:val="20"/>
              </w:rPr>
              <w:t>Diammonium</w:t>
            </w:r>
          </w:p>
        </w:tc>
        <w:tc>
          <w:tcPr>
            <w:tcW w:w="1980" w:type="dxa"/>
            <w:vAlign w:val="center"/>
          </w:tcPr>
          <w:p w14:paraId="252ABE9D" w14:textId="77777777" w:rsidR="00E43AF8" w:rsidRPr="009F05C9" w:rsidRDefault="00E43AF8" w:rsidP="00B74A80">
            <w:pPr>
              <w:rPr>
                <w:sz w:val="20"/>
              </w:rPr>
            </w:pPr>
            <w:r>
              <w:rPr>
                <w:sz w:val="20"/>
              </w:rPr>
              <w:t>103607</w:t>
            </w:r>
          </w:p>
        </w:tc>
        <w:tc>
          <w:tcPr>
            <w:tcW w:w="1980" w:type="dxa"/>
            <w:vAlign w:val="center"/>
          </w:tcPr>
          <w:p w14:paraId="73DF5B68" w14:textId="77777777" w:rsidR="00E43AF8" w:rsidRPr="009F05C9" w:rsidRDefault="00E43AF8" w:rsidP="00B74A80">
            <w:pPr>
              <w:rPr>
                <w:sz w:val="20"/>
              </w:rPr>
            </w:pPr>
            <w:r>
              <w:rPr>
                <w:sz w:val="20"/>
              </w:rPr>
              <w:t>40465-66-5</w:t>
            </w:r>
          </w:p>
        </w:tc>
        <w:tc>
          <w:tcPr>
            <w:tcW w:w="2448" w:type="dxa"/>
            <w:vAlign w:val="center"/>
          </w:tcPr>
          <w:p w14:paraId="5AC2A4D5" w14:textId="77777777" w:rsidR="00E43AF8" w:rsidRPr="009F05C9" w:rsidRDefault="00E43AF8" w:rsidP="00B74A80">
            <w:pPr>
              <w:jc w:val="center"/>
              <w:rPr>
                <w:sz w:val="20"/>
              </w:rPr>
            </w:pPr>
            <w:r>
              <w:rPr>
                <w:sz w:val="20"/>
              </w:rPr>
              <w:t>0.83</w:t>
            </w:r>
          </w:p>
        </w:tc>
      </w:tr>
      <w:tr w:rsidR="00E43AF8" w:rsidRPr="009F05C9" w14:paraId="76511157" w14:textId="77777777" w:rsidTr="5EF30673">
        <w:trPr>
          <w:trHeight w:val="432"/>
        </w:trPr>
        <w:tc>
          <w:tcPr>
            <w:tcW w:w="2448" w:type="dxa"/>
            <w:vAlign w:val="center"/>
          </w:tcPr>
          <w:p w14:paraId="73F02ED2" w14:textId="77777777" w:rsidR="00E43AF8" w:rsidRPr="000F6B04" w:rsidRDefault="00E43AF8" w:rsidP="00B74A80">
            <w:pPr>
              <w:rPr>
                <w:sz w:val="20"/>
              </w:rPr>
            </w:pPr>
            <w:r>
              <w:rPr>
                <w:i/>
                <w:sz w:val="20"/>
              </w:rPr>
              <w:t>N</w:t>
            </w:r>
            <w:r>
              <w:rPr>
                <w:sz w:val="20"/>
              </w:rPr>
              <w:t>-methylmethanamine</w:t>
            </w:r>
          </w:p>
        </w:tc>
        <w:tc>
          <w:tcPr>
            <w:tcW w:w="1980" w:type="dxa"/>
            <w:vAlign w:val="center"/>
          </w:tcPr>
          <w:p w14:paraId="60411E01" w14:textId="77777777" w:rsidR="00E43AF8" w:rsidRDefault="00E43AF8" w:rsidP="00B74A80">
            <w:pPr>
              <w:rPr>
                <w:sz w:val="20"/>
              </w:rPr>
            </w:pPr>
            <w:r>
              <w:rPr>
                <w:sz w:val="20"/>
              </w:rPr>
              <w:t>103608</w:t>
            </w:r>
          </w:p>
        </w:tc>
        <w:tc>
          <w:tcPr>
            <w:tcW w:w="1980" w:type="dxa"/>
            <w:vAlign w:val="center"/>
          </w:tcPr>
          <w:p w14:paraId="3D2905F9" w14:textId="77777777" w:rsidR="00E43AF8" w:rsidRDefault="00E43AF8" w:rsidP="00B74A80">
            <w:pPr>
              <w:rPr>
                <w:sz w:val="20"/>
              </w:rPr>
            </w:pPr>
            <w:r>
              <w:rPr>
                <w:sz w:val="20"/>
              </w:rPr>
              <w:t>34494-07-7</w:t>
            </w:r>
          </w:p>
        </w:tc>
        <w:tc>
          <w:tcPr>
            <w:tcW w:w="2448" w:type="dxa"/>
            <w:vAlign w:val="center"/>
          </w:tcPr>
          <w:p w14:paraId="69D6F3BA" w14:textId="77777777" w:rsidR="00E43AF8" w:rsidRPr="009F05C9" w:rsidRDefault="00E43AF8" w:rsidP="00B74A80">
            <w:pPr>
              <w:jc w:val="center"/>
              <w:rPr>
                <w:sz w:val="20"/>
              </w:rPr>
            </w:pPr>
            <w:r>
              <w:rPr>
                <w:sz w:val="20"/>
              </w:rPr>
              <w:t>0.79</w:t>
            </w:r>
          </w:p>
        </w:tc>
      </w:tr>
      <w:tr w:rsidR="00E43AF8" w:rsidRPr="009F05C9" w14:paraId="14F00569" w14:textId="77777777" w:rsidTr="5EF30673">
        <w:trPr>
          <w:trHeight w:val="432"/>
        </w:trPr>
        <w:tc>
          <w:tcPr>
            <w:tcW w:w="2448" w:type="dxa"/>
            <w:vAlign w:val="center"/>
          </w:tcPr>
          <w:p w14:paraId="1F133097" w14:textId="77777777" w:rsidR="00E43AF8" w:rsidRPr="009F05C9" w:rsidRDefault="00E43AF8" w:rsidP="00B74A80">
            <w:pPr>
              <w:rPr>
                <w:sz w:val="20"/>
              </w:rPr>
            </w:pPr>
            <w:r>
              <w:rPr>
                <w:sz w:val="20"/>
              </w:rPr>
              <w:t>Potassium</w:t>
            </w:r>
          </w:p>
        </w:tc>
        <w:tc>
          <w:tcPr>
            <w:tcW w:w="1980" w:type="dxa"/>
            <w:vAlign w:val="center"/>
          </w:tcPr>
          <w:p w14:paraId="3E3BDF9B" w14:textId="77777777" w:rsidR="00E43AF8" w:rsidRPr="009F05C9" w:rsidRDefault="00E43AF8" w:rsidP="00B74A80">
            <w:pPr>
              <w:rPr>
                <w:sz w:val="20"/>
              </w:rPr>
            </w:pPr>
            <w:r>
              <w:rPr>
                <w:sz w:val="20"/>
              </w:rPr>
              <w:t>103613</w:t>
            </w:r>
          </w:p>
        </w:tc>
        <w:tc>
          <w:tcPr>
            <w:tcW w:w="1980" w:type="dxa"/>
            <w:vAlign w:val="center"/>
          </w:tcPr>
          <w:p w14:paraId="19FE137B" w14:textId="77777777" w:rsidR="00E43AF8" w:rsidRDefault="00E43AF8" w:rsidP="00B74A80">
            <w:pPr>
              <w:rPr>
                <w:sz w:val="20"/>
              </w:rPr>
            </w:pPr>
            <w:r>
              <w:rPr>
                <w:sz w:val="20"/>
              </w:rPr>
              <w:t>39600-42-5;</w:t>
            </w:r>
          </w:p>
          <w:p w14:paraId="433E04D0" w14:textId="77777777" w:rsidR="00E43AF8" w:rsidRPr="009F05C9" w:rsidRDefault="00E43AF8" w:rsidP="00B74A80">
            <w:pPr>
              <w:rPr>
                <w:sz w:val="20"/>
              </w:rPr>
            </w:pPr>
            <w:r>
              <w:rPr>
                <w:sz w:val="20"/>
              </w:rPr>
              <w:t>70901-20-1</w:t>
            </w:r>
          </w:p>
        </w:tc>
        <w:tc>
          <w:tcPr>
            <w:tcW w:w="2448" w:type="dxa"/>
            <w:vAlign w:val="center"/>
          </w:tcPr>
          <w:p w14:paraId="3D4B8311" w14:textId="77777777" w:rsidR="00E43AF8" w:rsidRPr="009F05C9" w:rsidRDefault="00E43AF8" w:rsidP="00B74A80">
            <w:pPr>
              <w:jc w:val="center"/>
              <w:rPr>
                <w:sz w:val="20"/>
              </w:rPr>
            </w:pPr>
            <w:r>
              <w:rPr>
                <w:sz w:val="20"/>
              </w:rPr>
              <w:t>0.81</w:t>
            </w:r>
          </w:p>
        </w:tc>
      </w:tr>
    </w:tbl>
    <w:p w14:paraId="2C871229" w14:textId="77777777" w:rsidR="00E43AF8" w:rsidRDefault="00E43AF8" w:rsidP="00E43AF8">
      <w:pPr>
        <w:pStyle w:val="NoSpacing"/>
        <w:rPr>
          <w:bCs/>
        </w:rPr>
      </w:pPr>
    </w:p>
    <w:p w14:paraId="3E12F0AA" w14:textId="77777777" w:rsidR="00CB05FA" w:rsidRDefault="00CB05FA" w:rsidP="00CB05FA">
      <w:pPr>
        <w:pStyle w:val="NoSpacing"/>
      </w:pPr>
      <w:r w:rsidRPr="00F34236">
        <w:rPr>
          <w:lang w:val="en-CA"/>
        </w:rPr>
        <w:fldChar w:fldCharType="begin"/>
      </w:r>
      <w:r w:rsidRPr="00F34236">
        <w:rPr>
          <w:lang w:val="en-CA"/>
        </w:rPr>
        <w:instrText xml:space="preserve"> SEQ CHAPTER \h \r 1</w:instrText>
      </w:r>
      <w:r w:rsidRPr="00F34236">
        <w:rPr>
          <w:lang w:val="en-CA"/>
        </w:rPr>
        <w:fldChar w:fldCharType="end"/>
      </w:r>
      <w:r w:rsidRPr="00F34236">
        <w:rPr>
          <w:lang w:val="en-CA"/>
        </w:rPr>
        <w:t>Glyphosate</w:t>
      </w:r>
      <w:r>
        <w:rPr>
          <w:lang w:val="en-CA"/>
        </w:rPr>
        <w:t xml:space="preserve"> acid</w:t>
      </w:r>
      <w:r w:rsidRPr="00F34236">
        <w:t xml:space="preserve"> (CAS number</w:t>
      </w:r>
      <w:r>
        <w:t xml:space="preserve"> 1071-83-6</w:t>
      </w:r>
      <w:r w:rsidRPr="00F34236">
        <w:t xml:space="preserve">) </w:t>
      </w:r>
      <w:r w:rsidRPr="00D54FEB">
        <w:rPr>
          <w:rFonts w:asciiTheme="minorHAnsi" w:hAnsiTheme="minorHAnsi" w:cstheme="minorHAnsi"/>
        </w:rPr>
        <w:t>[</w:t>
      </w:r>
      <w:r w:rsidRPr="00D54FEB">
        <w:rPr>
          <w:rFonts w:asciiTheme="minorHAnsi" w:hAnsiTheme="minorHAnsi" w:cstheme="minorHAnsi"/>
          <w:i/>
        </w:rPr>
        <w:t>N</w:t>
      </w:r>
      <w:r w:rsidRPr="00D54FEB">
        <w:rPr>
          <w:rFonts w:asciiTheme="minorHAnsi" w:hAnsiTheme="minorHAnsi" w:cstheme="minorHAnsi"/>
        </w:rPr>
        <w:t>-(phosphonomethyl)glycine]</w:t>
      </w:r>
      <w:r w:rsidRPr="00F34236">
        <w:t xml:space="preserve"> is an</w:t>
      </w:r>
      <w:r>
        <w:t xml:space="preserve"> herbicide</w:t>
      </w:r>
      <w:r w:rsidRPr="00F34236">
        <w:t xml:space="preserve"> belonging to the </w:t>
      </w:r>
      <w:r>
        <w:t>phosphono amino acid</w:t>
      </w:r>
      <w:r w:rsidRPr="00F34236">
        <w:t xml:space="preserve"> class of pesticides.  Glyphosate is a foliar, non-selective, systemic herbicide widely used to control weeds in agricultural crops and non-agricultural sites. Glyphosate is a potent and specific inhibitor of the enzyme 5-enolpyruvylshikimate 3-phosphate (ESPS) synthase. This enzyme is the sixth enzyme on the shikimate pathway and it is essential for the biosynthesis of aromatic amino acids</w:t>
      </w:r>
      <w:r>
        <w:t xml:space="preserve"> (e.g., tyrosine, tryptophan, and phenylalanine)</w:t>
      </w:r>
      <w:r w:rsidRPr="00F34236">
        <w:t xml:space="preserve"> and other aromatic compounds in </w:t>
      </w:r>
      <w:r>
        <w:t>algae</w:t>
      </w:r>
      <w:r w:rsidRPr="00F34236">
        <w:t xml:space="preserve">, higher plants, bacteria and fungi. Inhibition of this enzyme leads to plant cell death.  </w:t>
      </w:r>
    </w:p>
    <w:p w14:paraId="700E9AA6" w14:textId="77777777" w:rsidR="00CB05FA" w:rsidRDefault="00CB05FA" w:rsidP="00CB05FA">
      <w:pPr>
        <w:pStyle w:val="NoSpacing"/>
      </w:pPr>
    </w:p>
    <w:p w14:paraId="00C53EE3" w14:textId="498A6A77" w:rsidR="00CB05FA" w:rsidRDefault="00CB05FA" w:rsidP="00CB05FA">
      <w:pPr>
        <w:pStyle w:val="NoSpacing"/>
      </w:pPr>
      <w:r>
        <w:t>While t</w:t>
      </w:r>
      <w:r w:rsidRPr="00F34236">
        <w:t>he shikimate pathway is absent in mammals</w:t>
      </w:r>
      <w:r>
        <w:t xml:space="preserve">, </w:t>
      </w:r>
      <w:r>
        <w:rPr>
          <w:rFonts w:asciiTheme="minorHAnsi" w:hAnsiTheme="minorHAnsi"/>
        </w:rPr>
        <w:t xml:space="preserve">acute and </w:t>
      </w:r>
      <w:r w:rsidRPr="00C4412F">
        <w:rPr>
          <w:rFonts w:asciiTheme="minorHAnsi" w:hAnsiTheme="minorHAnsi"/>
        </w:rPr>
        <w:t>chronic exposure of animals has shown significant reduction in body weight and organ weights across multiple mammal and bird species</w:t>
      </w:r>
      <w:r w:rsidR="00AF14D9">
        <w:rPr>
          <w:rFonts w:asciiTheme="minorHAnsi" w:hAnsiTheme="minorHAnsi"/>
        </w:rPr>
        <w:t xml:space="preserve"> if exposure levels are sufficient</w:t>
      </w:r>
      <w:r w:rsidRPr="00C4412F">
        <w:rPr>
          <w:rFonts w:asciiTheme="minorHAnsi" w:hAnsiTheme="minorHAnsi"/>
        </w:rPr>
        <w:t>.</w:t>
      </w:r>
    </w:p>
    <w:bookmarkEnd w:id="11"/>
    <w:p w14:paraId="226BEDCD" w14:textId="109C1741" w:rsidR="006A290E" w:rsidRDefault="006A290E" w:rsidP="006A290E">
      <w:pPr>
        <w:spacing w:after="0" w:line="240" w:lineRule="auto"/>
      </w:pPr>
    </w:p>
    <w:p w14:paraId="4F34D7DA" w14:textId="77777777" w:rsidR="00017D8E" w:rsidRPr="005A3707" w:rsidRDefault="00017D8E" w:rsidP="006A290E">
      <w:pPr>
        <w:spacing w:after="0" w:line="240" w:lineRule="auto"/>
      </w:pPr>
    </w:p>
    <w:p w14:paraId="218E857A" w14:textId="77777777" w:rsidR="006A290E" w:rsidRPr="001561C2" w:rsidRDefault="006A290E" w:rsidP="00440864">
      <w:pPr>
        <w:pStyle w:val="TOCHeading"/>
      </w:pPr>
      <w:bookmarkStart w:id="13" w:name="_Toc31220269"/>
      <w:bookmarkStart w:id="14" w:name="_Toc56684053"/>
      <w:r w:rsidRPr="001561C2">
        <w:lastRenderedPageBreak/>
        <w:t>Use and Usage Characterization</w:t>
      </w:r>
      <w:bookmarkEnd w:id="13"/>
      <w:bookmarkEnd w:id="14"/>
      <w:r w:rsidRPr="001561C2">
        <w:fldChar w:fldCharType="begin"/>
      </w:r>
      <w:r w:rsidRPr="001561C2">
        <w:instrText xml:space="preserve"> HYPERLINK "http://epa.gov/pesticides/fifra6a2/" \h </w:instrText>
      </w:r>
      <w:r w:rsidRPr="001561C2">
        <w:fldChar w:fldCharType="end"/>
      </w:r>
    </w:p>
    <w:p w14:paraId="73A34F0B" w14:textId="77777777" w:rsidR="006A290E" w:rsidRDefault="006A290E" w:rsidP="006A290E">
      <w:pPr>
        <w:spacing w:after="0" w:line="240" w:lineRule="auto"/>
      </w:pPr>
    </w:p>
    <w:p w14:paraId="5B1C3BE6" w14:textId="5A971E4A" w:rsidR="006A290E" w:rsidRPr="003516E7" w:rsidRDefault="006A290E" w:rsidP="41D9C46C">
      <w:pPr>
        <w:spacing w:after="0" w:line="240" w:lineRule="auto"/>
      </w:pPr>
      <w:r>
        <w:t>Use data are based on registered product labels and include pesticide application information relevant to a treatment site (</w:t>
      </w:r>
      <w:r w:rsidRPr="00D50CA8">
        <w:t>e.g.</w:t>
      </w:r>
      <w:r>
        <w:t>, an orchard). EPA determines the uses based on registered labels and define crop or non-crop sites to which a pesticide may be applied.</w:t>
      </w:r>
      <w:r w:rsidR="2086CCB9">
        <w:t xml:space="preserve"> </w:t>
      </w:r>
      <w:r>
        <w:t>Use data also describe the maximum application rates, method (</w:t>
      </w:r>
      <w:r w:rsidRPr="00D50CA8">
        <w:t>e.g.,</w:t>
      </w:r>
      <w:r>
        <w:t xml:space="preserve"> aerial or ground spray), re-treatment intervals and number of applications that may occur according to registered product labels.</w:t>
      </w:r>
    </w:p>
    <w:p w14:paraId="6532DDC3" w14:textId="77777777" w:rsidR="006A290E" w:rsidRPr="003516E7" w:rsidRDefault="006A290E" w:rsidP="006A290E">
      <w:pPr>
        <w:spacing w:after="0" w:line="240" w:lineRule="auto"/>
      </w:pPr>
    </w:p>
    <w:p w14:paraId="6B7281AA" w14:textId="67175ABB" w:rsidR="006A290E" w:rsidRDefault="006A290E" w:rsidP="006A290E">
      <w:pPr>
        <w:spacing w:after="0" w:line="240" w:lineRule="auto"/>
      </w:pPr>
      <w:r w:rsidRPr="003516E7">
        <w:t xml:space="preserve">Usage data describe how the pesticide has been applied to multiple use sites within a state, region or the US. EPA also reviews actual usage data that documents the actual applications of a pesticide, including information such as actual application rates and timing, and spatial distribution of applications across multiple sites (usually based on survey data). The key difference between use and usage is potential applications vs. actual applications. </w:t>
      </w:r>
    </w:p>
    <w:p w14:paraId="0600A329" w14:textId="77777777" w:rsidR="00D021E0" w:rsidRPr="003516E7" w:rsidRDefault="00D021E0" w:rsidP="006A290E">
      <w:pPr>
        <w:spacing w:after="0" w:line="240" w:lineRule="auto"/>
      </w:pPr>
    </w:p>
    <w:p w14:paraId="22E55251" w14:textId="77777777" w:rsidR="006A290E" w:rsidRPr="003516E7" w:rsidRDefault="006A290E" w:rsidP="00D021E0">
      <w:pPr>
        <w:pStyle w:val="Heading2"/>
        <w:spacing w:before="0"/>
      </w:pPr>
      <w:bookmarkStart w:id="15" w:name="_Toc31220270"/>
      <w:bookmarkStart w:id="16" w:name="_Toc56684054"/>
      <w:r w:rsidRPr="003516E7">
        <w:t>Use Data (as Defined on Registered Product Labels)</w:t>
      </w:r>
      <w:bookmarkEnd w:id="15"/>
      <w:bookmarkEnd w:id="16"/>
    </w:p>
    <w:p w14:paraId="5293B522" w14:textId="77777777" w:rsidR="006A290E" w:rsidRPr="003516E7" w:rsidRDefault="006A290E" w:rsidP="006A290E">
      <w:pPr>
        <w:keepNext/>
        <w:keepLines/>
        <w:spacing w:after="0" w:line="240" w:lineRule="auto"/>
      </w:pPr>
      <w:r w:rsidRPr="003516E7">
        <w:rPr>
          <w:i/>
          <w:color w:val="2E75B5"/>
        </w:rPr>
        <w:tab/>
      </w:r>
    </w:p>
    <w:p w14:paraId="2F68D211" w14:textId="581A8272" w:rsidR="005B4843" w:rsidRPr="002F35F1" w:rsidRDefault="006A290E" w:rsidP="1E12F49F">
      <w:pPr>
        <w:pStyle w:val="NoSpacing"/>
      </w:pPr>
      <w:r w:rsidRPr="002F35F1">
        <w:t xml:space="preserve">The label on a pesticide package or container is legally enforceable. The label provides information about how to handle and safely use the pesticide product. Using a pesticide in a manner that is inconsistent with the use directions on the label is a violation of FIFRA and can result in enforcement actions to correct the violations. </w:t>
      </w:r>
      <w:r w:rsidR="3641D3CB" w:rsidRPr="002F35F1">
        <w:t xml:space="preserve">Glyphosate is one of the most widely used herbicides in North America. It is a non-selective systemic herbicide that is currently registered in the U.S. to control a broad spectrum of </w:t>
      </w:r>
      <w:r w:rsidR="0880F251">
        <w:t xml:space="preserve">emerged </w:t>
      </w:r>
      <w:r w:rsidR="3641D3CB" w:rsidRPr="002F35F1">
        <w:t>annual and perennial broadleaf and grass weeds in a wide range of agricultural and non-agricultural use sites</w:t>
      </w:r>
      <w:r w:rsidR="29ADDBFE" w:rsidRPr="002F35F1">
        <w:t xml:space="preserve"> (</w:t>
      </w:r>
      <w:r w:rsidR="29ADDBFE" w:rsidRPr="002F35F1">
        <w:rPr>
          <w:b/>
          <w:bCs/>
        </w:rPr>
        <w:t>APPENDIX 1-</w:t>
      </w:r>
      <w:r w:rsidR="58B4E84C" w:rsidRPr="002F35F1">
        <w:rPr>
          <w:b/>
          <w:bCs/>
        </w:rPr>
        <w:t>1</w:t>
      </w:r>
      <w:r w:rsidR="29ADDBFE" w:rsidRPr="002F35F1">
        <w:t xml:space="preserve">). This BE assesses all currently registered labels. </w:t>
      </w:r>
    </w:p>
    <w:p w14:paraId="244A5379" w14:textId="77777777" w:rsidR="005B4843" w:rsidRPr="00C1395F" w:rsidRDefault="005B4843" w:rsidP="005A263A">
      <w:pPr>
        <w:pStyle w:val="NoSpacing"/>
        <w:rPr>
          <w:highlight w:val="yellow"/>
        </w:rPr>
      </w:pPr>
    </w:p>
    <w:p w14:paraId="28071186" w14:textId="5529EBC0" w:rsidR="00126666" w:rsidRDefault="0F031E7F" w:rsidP="633B7F6A">
      <w:pPr>
        <w:pStyle w:val="NoSpacing"/>
        <w:rPr>
          <w:rFonts w:asciiTheme="minorHAnsi" w:hAnsiTheme="minorHAnsi" w:cstheme="minorBidi"/>
        </w:rPr>
      </w:pPr>
      <w:r w:rsidRPr="633B7F6A">
        <w:rPr>
          <w:rFonts w:asciiTheme="minorHAnsi" w:hAnsiTheme="minorHAnsi" w:cstheme="minorBidi"/>
        </w:rPr>
        <w:t>Glyphosate is used on a wide variety of</w:t>
      </w:r>
      <w:r w:rsidR="1C1970B0" w:rsidRPr="633B7F6A">
        <w:rPr>
          <w:rFonts w:asciiTheme="minorHAnsi" w:hAnsiTheme="minorHAnsi" w:cstheme="minorBidi"/>
        </w:rPr>
        <w:t xml:space="preserve"> agricultural</w:t>
      </w:r>
      <w:r w:rsidRPr="633B7F6A">
        <w:rPr>
          <w:rFonts w:asciiTheme="minorHAnsi" w:hAnsiTheme="minorHAnsi" w:cstheme="minorBidi"/>
        </w:rPr>
        <w:t xml:space="preserve"> food and feed crops</w:t>
      </w:r>
      <w:r w:rsidR="1C1970B0" w:rsidRPr="633B7F6A">
        <w:rPr>
          <w:rFonts w:asciiTheme="minorHAnsi" w:hAnsiTheme="minorHAnsi" w:cstheme="minorBidi"/>
        </w:rPr>
        <w:t xml:space="preserve">, </w:t>
      </w:r>
      <w:r w:rsidRPr="633B7F6A">
        <w:rPr>
          <w:rFonts w:asciiTheme="minorHAnsi" w:hAnsiTheme="minorHAnsi" w:cstheme="minorBidi"/>
        </w:rPr>
        <w:t>non-foo</w:t>
      </w:r>
      <w:r w:rsidR="1C1970B0" w:rsidRPr="633B7F6A">
        <w:rPr>
          <w:rFonts w:asciiTheme="minorHAnsi" w:hAnsiTheme="minorHAnsi" w:cstheme="minorBidi"/>
        </w:rPr>
        <w:t>d/feed</w:t>
      </w:r>
      <w:r w:rsidRPr="633B7F6A">
        <w:rPr>
          <w:rFonts w:asciiTheme="minorHAnsi" w:hAnsiTheme="minorHAnsi" w:cstheme="minorBidi"/>
        </w:rPr>
        <w:t xml:space="preserve"> crops</w:t>
      </w:r>
      <w:r w:rsidR="1C1970B0" w:rsidRPr="633B7F6A">
        <w:rPr>
          <w:rFonts w:asciiTheme="minorHAnsi" w:hAnsiTheme="minorHAnsi" w:cstheme="minorBidi"/>
        </w:rPr>
        <w:t xml:space="preserve">, </w:t>
      </w:r>
      <w:r w:rsidRPr="633B7F6A">
        <w:rPr>
          <w:rFonts w:asciiTheme="minorHAnsi" w:hAnsiTheme="minorHAnsi" w:cstheme="minorBidi"/>
        </w:rPr>
        <w:t>for</w:t>
      </w:r>
      <w:r w:rsidR="1C1970B0" w:rsidRPr="633B7F6A">
        <w:rPr>
          <w:rFonts w:asciiTheme="minorHAnsi" w:hAnsiTheme="minorHAnsi" w:cstheme="minorBidi"/>
        </w:rPr>
        <w:t xml:space="preserve"> plantation/silviculture uses</w:t>
      </w:r>
      <w:r w:rsidRPr="633B7F6A">
        <w:rPr>
          <w:rFonts w:asciiTheme="minorHAnsi" w:hAnsiTheme="minorHAnsi" w:cstheme="minorBidi"/>
        </w:rPr>
        <w:t xml:space="preserve">, </w:t>
      </w:r>
      <w:r w:rsidR="1C1970B0" w:rsidRPr="633B7F6A">
        <w:rPr>
          <w:rFonts w:asciiTheme="minorHAnsi" w:hAnsiTheme="minorHAnsi" w:cstheme="minorBidi"/>
        </w:rPr>
        <w:t xml:space="preserve">and </w:t>
      </w:r>
      <w:r w:rsidR="6504D6BB" w:rsidRPr="633B7F6A">
        <w:rPr>
          <w:rFonts w:asciiTheme="minorHAnsi" w:hAnsiTheme="minorHAnsi" w:cstheme="minorBidi"/>
        </w:rPr>
        <w:t>for nursery/</w:t>
      </w:r>
      <w:r w:rsidRPr="633B7F6A">
        <w:rPr>
          <w:rFonts w:asciiTheme="minorHAnsi" w:hAnsiTheme="minorHAnsi" w:cstheme="minorBidi"/>
        </w:rPr>
        <w:t>greenhouse</w:t>
      </w:r>
      <w:r w:rsidR="1E987C91" w:rsidRPr="633B7F6A">
        <w:rPr>
          <w:rFonts w:asciiTheme="minorHAnsi" w:hAnsiTheme="minorHAnsi" w:cstheme="minorBidi"/>
        </w:rPr>
        <w:t xml:space="preserve"> use.  Important non-</w:t>
      </w:r>
      <w:r w:rsidR="6504D6BB" w:rsidRPr="633B7F6A">
        <w:rPr>
          <w:rFonts w:asciiTheme="minorHAnsi" w:hAnsiTheme="minorHAnsi" w:cstheme="minorBidi"/>
        </w:rPr>
        <w:t>agricultural</w:t>
      </w:r>
      <w:r w:rsidR="1E987C91" w:rsidRPr="633B7F6A">
        <w:rPr>
          <w:rFonts w:asciiTheme="minorHAnsi" w:hAnsiTheme="minorHAnsi" w:cstheme="minorBidi"/>
        </w:rPr>
        <w:t xml:space="preserve"> uses include applications for noxious and invasive weed control in aquatic systems, pastures/rangelands, public lands, forestry, and rights-of-way applications</w:t>
      </w:r>
      <w:r w:rsidR="1E987C91">
        <w:t xml:space="preserve">. </w:t>
      </w:r>
      <w:r w:rsidR="59F9B21C">
        <w:t xml:space="preserve">Glyphosate is also </w:t>
      </w:r>
      <w:r w:rsidR="1E987C91">
        <w:t xml:space="preserve">used </w:t>
      </w:r>
      <w:r w:rsidR="1E987C91" w:rsidRPr="633B7F6A">
        <w:rPr>
          <w:rFonts w:asciiTheme="minorHAnsi" w:hAnsiTheme="minorHAnsi" w:cstheme="minorBidi"/>
        </w:rPr>
        <w:t xml:space="preserve">for </w:t>
      </w:r>
      <w:r w:rsidR="47AA25C2" w:rsidRPr="633B7F6A">
        <w:rPr>
          <w:rFonts w:asciiTheme="minorHAnsi" w:hAnsiTheme="minorHAnsi" w:cstheme="minorBidi"/>
        </w:rPr>
        <w:t xml:space="preserve">general </w:t>
      </w:r>
      <w:r w:rsidR="1E987C91" w:rsidRPr="633B7F6A">
        <w:rPr>
          <w:rFonts w:asciiTheme="minorHAnsi" w:hAnsiTheme="minorHAnsi" w:cstheme="minorBidi"/>
        </w:rPr>
        <w:t>weed</w:t>
      </w:r>
      <w:r w:rsidR="47AA25C2" w:rsidRPr="633B7F6A">
        <w:rPr>
          <w:rFonts w:eastAsia="Times New Roman"/>
        </w:rPr>
        <w:t xml:space="preserve"> </w:t>
      </w:r>
      <w:r w:rsidR="1E987C91" w:rsidRPr="633B7F6A">
        <w:rPr>
          <w:rFonts w:asciiTheme="minorHAnsi" w:hAnsiTheme="minorHAnsi" w:cstheme="minorBidi"/>
        </w:rPr>
        <w:t>control</w:t>
      </w:r>
      <w:r w:rsidR="47AA25C2" w:rsidRPr="633B7F6A">
        <w:rPr>
          <w:rFonts w:asciiTheme="minorHAnsi" w:hAnsiTheme="minorHAnsi" w:cstheme="minorBidi"/>
        </w:rPr>
        <w:t xml:space="preserve"> or for lawn replacement/renovation </w:t>
      </w:r>
      <w:r w:rsidR="1E987C91" w:rsidRPr="633B7F6A">
        <w:rPr>
          <w:rFonts w:asciiTheme="minorHAnsi" w:hAnsiTheme="minorHAnsi" w:cstheme="minorBidi"/>
        </w:rPr>
        <w:t>in commercial, industrial, and residential areas</w:t>
      </w:r>
      <w:r w:rsidR="59F9B21C">
        <w:t xml:space="preserve"> (</w:t>
      </w:r>
      <w:r w:rsidR="1E987C91">
        <w:t xml:space="preserve">by </w:t>
      </w:r>
      <w:r w:rsidR="59F9B21C">
        <w:t>homeowners</w:t>
      </w:r>
      <w:r w:rsidR="1E987C91">
        <w:t xml:space="preserve">, </w:t>
      </w:r>
      <w:r w:rsidR="59F9B21C">
        <w:t>landscaping oper</w:t>
      </w:r>
      <w:r w:rsidR="1E987C91">
        <w:t>ators, etc.)</w:t>
      </w:r>
      <w:r w:rsidR="59F9B21C">
        <w:t xml:space="preserve"> </w:t>
      </w:r>
      <w:r w:rsidR="3D533A74" w:rsidRPr="633B7F6A">
        <w:rPr>
          <w:rFonts w:asciiTheme="minorHAnsi" w:hAnsiTheme="minorHAnsi" w:cstheme="minorBidi"/>
        </w:rPr>
        <w:t>(</w:t>
      </w:r>
      <w:r w:rsidR="3D533A74" w:rsidRPr="633B7F6A">
        <w:rPr>
          <w:rFonts w:asciiTheme="minorHAnsi" w:hAnsiTheme="minorHAnsi" w:cstheme="minorBidi"/>
          <w:b/>
          <w:bCs/>
        </w:rPr>
        <w:t>APPENDIX 1-2</w:t>
      </w:r>
      <w:r w:rsidR="60574DE7" w:rsidRPr="633B7F6A">
        <w:t xml:space="preserve"> provides the use information as further by EPA, summarizing details relevant for modeling the maximum use patterns</w:t>
      </w:r>
      <w:r w:rsidR="3D533A74" w:rsidRPr="633B7F6A">
        <w:rPr>
          <w:rFonts w:asciiTheme="minorHAnsi" w:hAnsiTheme="minorHAnsi" w:cstheme="minorBidi"/>
          <w:b/>
          <w:bCs/>
        </w:rPr>
        <w:t xml:space="preserve">; </w:t>
      </w:r>
      <w:r w:rsidR="3D533A74" w:rsidRPr="633B7F6A">
        <w:rPr>
          <w:rFonts w:asciiTheme="minorHAnsi" w:hAnsiTheme="minorHAnsi" w:cstheme="minorBidi"/>
        </w:rPr>
        <w:t>additional details on uses modeled described in</w:t>
      </w:r>
      <w:r w:rsidR="3D533A74" w:rsidRPr="633B7F6A">
        <w:rPr>
          <w:rFonts w:asciiTheme="minorHAnsi" w:hAnsiTheme="minorHAnsi" w:cstheme="minorBidi"/>
          <w:b/>
          <w:bCs/>
        </w:rPr>
        <w:t xml:space="preserve"> APPENDIX 1-3 and 3-1</w:t>
      </w:r>
      <w:r w:rsidR="3D533A74" w:rsidRPr="633B7F6A">
        <w:rPr>
          <w:rFonts w:asciiTheme="minorHAnsi" w:hAnsiTheme="minorHAnsi" w:cstheme="minorBidi"/>
        </w:rPr>
        <w:t>).</w:t>
      </w:r>
    </w:p>
    <w:p w14:paraId="2D917E68" w14:textId="77777777" w:rsidR="00126666" w:rsidRDefault="00126666" w:rsidP="1E12F49F">
      <w:pPr>
        <w:pStyle w:val="NoSpacing"/>
        <w:rPr>
          <w:rFonts w:asciiTheme="minorHAnsi" w:hAnsiTheme="minorHAnsi" w:cstheme="minorBidi"/>
        </w:rPr>
      </w:pPr>
    </w:p>
    <w:p w14:paraId="4B3CC911" w14:textId="3E47D8C5" w:rsidR="005B4843" w:rsidRPr="001366C0" w:rsidRDefault="6598A45E" w:rsidP="633B7F6A">
      <w:pPr>
        <w:pStyle w:val="NoSpacing"/>
        <w:rPr>
          <w:rFonts w:asciiTheme="minorHAnsi" w:hAnsiTheme="minorHAnsi" w:cstheme="minorBidi"/>
        </w:rPr>
      </w:pPr>
      <w:r w:rsidRPr="633B7F6A">
        <w:rPr>
          <w:rFonts w:asciiTheme="minorHAnsi" w:hAnsiTheme="minorHAnsi" w:cstheme="minorBidi"/>
        </w:rPr>
        <w:t>Glyphosate is formulated as water-dispersible granules (WG) (80% active ingredient), emulsifiable concentrate (EC) (13.4% - 36.5% active ingredient), water-dispersible liquids (L) (5% - 14.6% active ingredient), ready to use (RTU) (0.81% active ingredient), and soluble concentrate/solid (SC/S) (95.2% - 96.7% active ingredient). Application equipment includes aircraft and various ground equipment (boom sprayer, hand held hydraulic sprayer, hand held sprayer, high volume ground sprayer, hooded sprayer, hose-end sprayer, low volume ground sprayer, low volume sprayer, motor driven sprayer, product container, ready-to-use spray container, shielded applicator, sprayer, tank-type sprayer, wick applicator, and wiper applicator). Application is via band treatment, broadcast, crack and crevice treatment, directed spray, edging treatment, ground spray, high volume spray (dilute), low volume spray (concentrate), perimeter treatment, soil broadcast treatment, spot treatment, spray, strip treatment, stump treatment, and wipe-on/wiper treatment. Single application rates are up to 8 pounds active ingredient (as acid equivalents)/acre (lb a.e./A) but are generally 1.55 lb a.e./A for aerial applications and 3.75 lb a.e./A for ground application. Maximum combined annual application rates are up to generally 6 to 8 lbs a.e./A. For some</w:t>
      </w:r>
      <w:r w:rsidR="00EF1E20" w:rsidRPr="633B7F6A">
        <w:rPr>
          <w:rFonts w:asciiTheme="minorHAnsi" w:hAnsiTheme="minorHAnsi" w:cstheme="minorBidi"/>
        </w:rPr>
        <w:t xml:space="preserve"> non-agricultural</w:t>
      </w:r>
      <w:r w:rsidRPr="633B7F6A">
        <w:rPr>
          <w:rFonts w:asciiTheme="minorHAnsi" w:hAnsiTheme="minorHAnsi" w:cstheme="minorBidi"/>
        </w:rPr>
        <w:t xml:space="preserve"> uses, the single application rates were calculated </w:t>
      </w:r>
      <w:r w:rsidR="00CA5553" w:rsidRPr="633B7F6A">
        <w:rPr>
          <w:rFonts w:asciiTheme="minorHAnsi" w:hAnsiTheme="minorHAnsi" w:cstheme="minorBidi"/>
        </w:rPr>
        <w:t xml:space="preserve">at rates up to </w:t>
      </w:r>
      <w:r w:rsidRPr="633B7F6A">
        <w:rPr>
          <w:rFonts w:asciiTheme="minorHAnsi" w:hAnsiTheme="minorHAnsi" w:cstheme="minorBidi"/>
        </w:rPr>
        <w:t>40 lbs a.e./A</w:t>
      </w:r>
      <w:r w:rsidR="001366C0" w:rsidRPr="633B7F6A">
        <w:rPr>
          <w:rFonts w:asciiTheme="minorHAnsi" w:hAnsiTheme="minorHAnsi" w:cstheme="minorBidi"/>
        </w:rPr>
        <w:t>.</w:t>
      </w:r>
      <w:r w:rsidR="00987DEB" w:rsidRPr="633B7F6A">
        <w:rPr>
          <w:rFonts w:asciiTheme="minorHAnsi" w:hAnsiTheme="minorHAnsi" w:cstheme="minorBidi"/>
        </w:rPr>
        <w:t xml:space="preserve"> These higher rates of 40 lbs a.e./A are calculated by extrapolating up from a </w:t>
      </w:r>
      <w:r w:rsidR="00987DEB" w:rsidRPr="633B7F6A">
        <w:rPr>
          <w:rFonts w:asciiTheme="minorHAnsi" w:hAnsiTheme="minorHAnsi" w:cstheme="minorBidi"/>
        </w:rPr>
        <w:lastRenderedPageBreak/>
        <w:t>smaller area</w:t>
      </w:r>
      <w:r w:rsidR="00E2366B" w:rsidRPr="633B7F6A">
        <w:rPr>
          <w:rFonts w:asciiTheme="minorHAnsi" w:hAnsiTheme="minorHAnsi" w:cstheme="minorBidi"/>
        </w:rPr>
        <w:t xml:space="preserve"> as</w:t>
      </w:r>
      <w:r w:rsidR="00987DEB" w:rsidRPr="633B7F6A">
        <w:rPr>
          <w:rFonts w:asciiTheme="minorHAnsi" w:hAnsiTheme="minorHAnsi" w:cstheme="minorBidi"/>
        </w:rPr>
        <w:t xml:space="preserve"> </w:t>
      </w:r>
      <w:r w:rsidR="00835F15" w:rsidRPr="633B7F6A">
        <w:rPr>
          <w:rFonts w:asciiTheme="minorHAnsi" w:hAnsiTheme="minorHAnsi" w:cstheme="minorBidi"/>
        </w:rPr>
        <w:t xml:space="preserve">is </w:t>
      </w:r>
      <w:r w:rsidR="00987DEB" w:rsidRPr="633B7F6A">
        <w:rPr>
          <w:rFonts w:asciiTheme="minorHAnsi" w:hAnsiTheme="minorHAnsi" w:cstheme="minorBidi"/>
        </w:rPr>
        <w:t>expressed on the label (</w:t>
      </w:r>
      <w:r w:rsidR="00987DEB" w:rsidRPr="633B7F6A">
        <w:rPr>
          <w:rFonts w:asciiTheme="minorHAnsi" w:hAnsiTheme="minorHAnsi" w:cstheme="minorBidi"/>
          <w:i/>
          <w:iCs/>
        </w:rPr>
        <w:t xml:space="preserve">e.g., </w:t>
      </w:r>
      <w:r w:rsidR="00987DEB" w:rsidRPr="633B7F6A">
        <w:rPr>
          <w:rFonts w:asciiTheme="minorHAnsi" w:hAnsiTheme="minorHAnsi" w:cstheme="minorBidi"/>
        </w:rPr>
        <w:t>rate expressed per 150 sq. feet</w:t>
      </w:r>
      <w:r w:rsidR="00E2366B" w:rsidRPr="633B7F6A">
        <w:rPr>
          <w:rFonts w:asciiTheme="minorHAnsi" w:hAnsiTheme="minorHAnsi" w:cstheme="minorBidi"/>
        </w:rPr>
        <w:t xml:space="preserve"> instead of per acre</w:t>
      </w:r>
      <w:r w:rsidR="00987DEB" w:rsidRPr="633B7F6A">
        <w:rPr>
          <w:rFonts w:asciiTheme="minorHAnsi" w:hAnsiTheme="minorHAnsi" w:cstheme="minorBidi"/>
        </w:rPr>
        <w:t xml:space="preserve">). </w:t>
      </w:r>
      <w:r w:rsidR="00500B91" w:rsidRPr="633B7F6A">
        <w:rPr>
          <w:rFonts w:asciiTheme="minorHAnsi" w:hAnsiTheme="minorHAnsi" w:cstheme="minorBidi"/>
        </w:rPr>
        <w:t>These rates are interpreted to be relevant for a wide variety of non-crop areas where total vegetation control is desired.</w:t>
      </w:r>
      <w:r w:rsidR="00987DEB" w:rsidRPr="633B7F6A">
        <w:rPr>
          <w:rFonts w:asciiTheme="minorHAnsi" w:hAnsiTheme="minorHAnsi" w:cstheme="minorBidi"/>
        </w:rPr>
        <w:t xml:space="preserve"> In the absence of a </w:t>
      </w:r>
      <w:r w:rsidR="00E2366B" w:rsidRPr="633B7F6A">
        <w:rPr>
          <w:rFonts w:asciiTheme="minorHAnsi" w:hAnsiTheme="minorHAnsi" w:cstheme="minorBidi"/>
        </w:rPr>
        <w:t xml:space="preserve">pound </w:t>
      </w:r>
      <w:r w:rsidR="00987DEB" w:rsidRPr="633B7F6A">
        <w:rPr>
          <w:rFonts w:asciiTheme="minorHAnsi" w:hAnsiTheme="minorHAnsi" w:cstheme="minorBidi"/>
        </w:rPr>
        <w:t>a.e/</w:t>
      </w:r>
      <w:r w:rsidR="00E2366B" w:rsidRPr="633B7F6A">
        <w:rPr>
          <w:rFonts w:asciiTheme="minorHAnsi" w:hAnsiTheme="minorHAnsi" w:cstheme="minorBidi"/>
        </w:rPr>
        <w:t>acre</w:t>
      </w:r>
      <w:r w:rsidR="00987DEB" w:rsidRPr="633B7F6A">
        <w:rPr>
          <w:rFonts w:asciiTheme="minorHAnsi" w:hAnsiTheme="minorHAnsi" w:cstheme="minorBidi"/>
        </w:rPr>
        <w:t xml:space="preserve"> rate, these </w:t>
      </w:r>
      <w:r w:rsidR="00835F15" w:rsidRPr="633B7F6A">
        <w:rPr>
          <w:rFonts w:asciiTheme="minorHAnsi" w:hAnsiTheme="minorHAnsi" w:cstheme="minorBidi"/>
        </w:rPr>
        <w:t xml:space="preserve">calculated </w:t>
      </w:r>
      <w:r w:rsidR="00987DEB" w:rsidRPr="633B7F6A">
        <w:rPr>
          <w:rFonts w:asciiTheme="minorHAnsi" w:hAnsiTheme="minorHAnsi" w:cstheme="minorBidi"/>
        </w:rPr>
        <w:t xml:space="preserve">rates were selected for modelling and it is noted that this </w:t>
      </w:r>
      <w:r w:rsidR="00E04B65" w:rsidRPr="633B7F6A">
        <w:rPr>
          <w:rFonts w:asciiTheme="minorHAnsi" w:hAnsiTheme="minorHAnsi" w:cstheme="minorBidi"/>
        </w:rPr>
        <w:t xml:space="preserve">is </w:t>
      </w:r>
      <w:r w:rsidR="00987DEB" w:rsidRPr="633B7F6A">
        <w:rPr>
          <w:rFonts w:asciiTheme="minorHAnsi" w:hAnsiTheme="minorHAnsi" w:cstheme="minorBidi"/>
        </w:rPr>
        <w:t xml:space="preserve">an area that may lead to refinement should the labels be revised in the future. </w:t>
      </w:r>
    </w:p>
    <w:p w14:paraId="6C434A36" w14:textId="24964D87" w:rsidR="003516E7" w:rsidRPr="001366C0" w:rsidRDefault="003516E7" w:rsidP="009057CE">
      <w:pPr>
        <w:spacing w:after="0" w:line="240" w:lineRule="auto"/>
      </w:pPr>
    </w:p>
    <w:p w14:paraId="302C849E" w14:textId="7778526C" w:rsidR="006A290E" w:rsidRPr="001366C0" w:rsidRDefault="006A290E" w:rsidP="00017D8E">
      <w:pPr>
        <w:pStyle w:val="Heading2"/>
        <w:spacing w:before="120"/>
      </w:pPr>
      <w:bookmarkStart w:id="17" w:name="_Toc31220271"/>
      <w:bookmarkStart w:id="18" w:name="_Toc56684055"/>
      <w:r w:rsidRPr="001366C0">
        <w:t>Usage Data</w:t>
      </w:r>
      <w:bookmarkEnd w:id="17"/>
      <w:bookmarkEnd w:id="18"/>
      <w:r w:rsidRPr="001366C0">
        <w:t xml:space="preserve"> </w:t>
      </w:r>
    </w:p>
    <w:p w14:paraId="36E86C07" w14:textId="77777777" w:rsidR="006A290E" w:rsidRPr="001366C0" w:rsidRDefault="006A290E" w:rsidP="006A290E">
      <w:pPr>
        <w:spacing w:after="0" w:line="240" w:lineRule="auto"/>
      </w:pPr>
    </w:p>
    <w:p w14:paraId="455882D9" w14:textId="5F29B5B0" w:rsidR="00F64337" w:rsidRDefault="00F64337" w:rsidP="00F539F8">
      <w:pPr>
        <w:spacing w:after="0" w:line="240" w:lineRule="auto"/>
      </w:pPr>
      <w:bookmarkStart w:id="19" w:name="_Hlk55314925"/>
      <w:r w:rsidRPr="001366C0">
        <w:t>Between 201</w:t>
      </w:r>
      <w:r w:rsidR="00743165">
        <w:t>3</w:t>
      </w:r>
      <w:r w:rsidRPr="001366C0">
        <w:t xml:space="preserve"> and 2018, the </w:t>
      </w:r>
      <w:r w:rsidR="00743165">
        <w:t>national</w:t>
      </w:r>
      <w:r w:rsidRPr="001366C0">
        <w:t xml:space="preserve"> annual total agricultural usage averaged approximately 2</w:t>
      </w:r>
      <w:r w:rsidR="00273B1C" w:rsidRPr="001366C0">
        <w:t>80</w:t>
      </w:r>
      <w:r w:rsidRPr="001366C0">
        <w:t xml:space="preserve"> million pounds of glyphosate whereas the average total treated acreage was </w:t>
      </w:r>
      <w:r w:rsidR="00273B1C" w:rsidRPr="001366C0">
        <w:t>285</w:t>
      </w:r>
      <w:r w:rsidRPr="001366C0">
        <w:t xml:space="preserve"> million. During this time frame, the crops with the most usage in terms of annual average total pounds of active ingredient applied were </w:t>
      </w:r>
      <w:r w:rsidR="00273B1C" w:rsidRPr="001366C0">
        <w:t>soybeans</w:t>
      </w:r>
      <w:r w:rsidRPr="001366C0">
        <w:t xml:space="preserve"> (</w:t>
      </w:r>
      <w:r w:rsidR="00273B1C" w:rsidRPr="001366C0">
        <w:t>114 million</w:t>
      </w:r>
      <w:r w:rsidRPr="001366C0">
        <w:t xml:space="preserve"> lbs), </w:t>
      </w:r>
      <w:r w:rsidR="00273B1C" w:rsidRPr="001366C0">
        <w:t>corn</w:t>
      </w:r>
      <w:r w:rsidRPr="001366C0">
        <w:t xml:space="preserve"> (</w:t>
      </w:r>
      <w:r w:rsidR="00273B1C" w:rsidRPr="001366C0">
        <w:t>90 million</w:t>
      </w:r>
      <w:r w:rsidRPr="001366C0">
        <w:t xml:space="preserve"> lbs), and </w:t>
      </w:r>
      <w:r w:rsidR="00273B1C" w:rsidRPr="001366C0">
        <w:t>cotton</w:t>
      </w:r>
      <w:r w:rsidRPr="001366C0">
        <w:t xml:space="preserve"> (</w:t>
      </w:r>
      <w:r w:rsidR="00273B1C" w:rsidRPr="001366C0">
        <w:t xml:space="preserve">20 million </w:t>
      </w:r>
      <w:r w:rsidRPr="001366C0">
        <w:t>lbs). The crop</w:t>
      </w:r>
      <w:r w:rsidR="00273B1C" w:rsidRPr="001366C0">
        <w:t>s</w:t>
      </w:r>
      <w:r w:rsidRPr="001366C0">
        <w:t xml:space="preserve"> with the most usage in terms of total treated acreage </w:t>
      </w:r>
      <w:r w:rsidR="00273B1C" w:rsidRPr="001366C0">
        <w:t>were the same with 114, 93 an</w:t>
      </w:r>
      <w:r w:rsidR="000A0162">
        <w:t>d</w:t>
      </w:r>
      <w:r w:rsidR="00273B1C" w:rsidRPr="001366C0">
        <w:t xml:space="preserve"> 19 million acres treated for soybeans, corn and cotton, respectively</w:t>
      </w:r>
      <w:r w:rsidRPr="001366C0">
        <w:t>. On average, the states with the most agricultural usage in terms of pounds</w:t>
      </w:r>
      <w:r w:rsidR="000A0162">
        <w:t xml:space="preserve"> </w:t>
      </w:r>
      <w:r w:rsidRPr="001366C0">
        <w:t>applied per year were</w:t>
      </w:r>
      <w:r w:rsidR="00273B1C" w:rsidRPr="001366C0">
        <w:t xml:space="preserve"> Iowa </w:t>
      </w:r>
      <w:r w:rsidR="00EE7201" w:rsidRPr="001366C0">
        <w:t xml:space="preserve">with </w:t>
      </w:r>
      <w:r w:rsidR="00273B1C" w:rsidRPr="001366C0">
        <w:t>24 million</w:t>
      </w:r>
      <w:r w:rsidR="000A0162">
        <w:t xml:space="preserve"> pounds</w:t>
      </w:r>
      <w:r w:rsidR="00EE7201" w:rsidRPr="001366C0">
        <w:t xml:space="preserve">, Illinois with 23 million </w:t>
      </w:r>
      <w:r w:rsidR="000A0162">
        <w:t xml:space="preserve">pounds </w:t>
      </w:r>
      <w:r w:rsidR="00EE7201" w:rsidRPr="001366C0">
        <w:t>and Nebraska with 20 million</w:t>
      </w:r>
      <w:r w:rsidR="000A0162">
        <w:t xml:space="preserve"> pounds</w:t>
      </w:r>
      <w:r w:rsidR="00EE7201" w:rsidRPr="001366C0">
        <w:t>.</w:t>
      </w:r>
      <w:r w:rsidR="000A0162">
        <w:t xml:space="preserve"> </w:t>
      </w:r>
      <w:r w:rsidR="00EE7201" w:rsidRPr="001366C0">
        <w:t>Other states with between 10 and 20 million pounds</w:t>
      </w:r>
      <w:r w:rsidR="000A0162">
        <w:t xml:space="preserve"> applied</w:t>
      </w:r>
      <w:r w:rsidR="00EE7201" w:rsidRPr="001366C0">
        <w:t xml:space="preserve"> annually included Nebraska, Kansas, North Dakota, Texas, South Dakota, Minnesota, Indiana and Missouri. </w:t>
      </w:r>
      <w:r w:rsidRPr="001366C0">
        <w:rPr>
          <w:b/>
          <w:bCs/>
        </w:rPr>
        <w:t>(APPENDIX 1-4</w:t>
      </w:r>
      <w:r w:rsidRPr="001366C0">
        <w:t xml:space="preserve">).  </w:t>
      </w:r>
    </w:p>
    <w:p w14:paraId="5E2BFD2C" w14:textId="77777777" w:rsidR="00F539F8" w:rsidRPr="001366C0" w:rsidRDefault="00F539F8" w:rsidP="00F539F8">
      <w:pPr>
        <w:spacing w:after="0" w:line="240" w:lineRule="auto"/>
      </w:pPr>
    </w:p>
    <w:p w14:paraId="133B9B40" w14:textId="2D4F8474" w:rsidR="00EE7201" w:rsidRDefault="00EE7201" w:rsidP="00E3056C">
      <w:pPr>
        <w:spacing w:after="0" w:line="240" w:lineRule="auto"/>
      </w:pPr>
      <w:r w:rsidRPr="001366C0">
        <w:t>Over 21 million pounds of glyphosate are applied to non-agricultural sites annually.</w:t>
      </w:r>
      <w:r w:rsidRPr="001366C0">
        <w:rPr>
          <w:lang w:val="en-CA"/>
        </w:rPr>
        <w:t xml:space="preserve"> Most recent non-agricultural usage data from 2013 </w:t>
      </w:r>
      <w:r w:rsidR="00743165">
        <w:rPr>
          <w:lang w:val="en-CA"/>
        </w:rPr>
        <w:t>or</w:t>
      </w:r>
      <w:r w:rsidR="00743165" w:rsidRPr="001366C0">
        <w:rPr>
          <w:lang w:val="en-CA"/>
        </w:rPr>
        <w:t xml:space="preserve"> </w:t>
      </w:r>
      <w:r w:rsidRPr="001366C0">
        <w:rPr>
          <w:lang w:val="en-CA"/>
        </w:rPr>
        <w:t xml:space="preserve">2016 depending on the use site (see </w:t>
      </w:r>
      <w:r w:rsidRPr="001366C0">
        <w:rPr>
          <w:b/>
          <w:bCs/>
          <w:lang w:val="en-CA"/>
        </w:rPr>
        <w:t>APPENDIX 1-4</w:t>
      </w:r>
      <w:r w:rsidRPr="001366C0">
        <w:rPr>
          <w:lang w:val="en-CA"/>
        </w:rPr>
        <w:t xml:space="preserve"> for details) shows that the largest use in terms of average annual pounds applied is </w:t>
      </w:r>
      <w:r w:rsidR="00AC54F5">
        <w:rPr>
          <w:lang w:val="en-CA"/>
        </w:rPr>
        <w:t xml:space="preserve">consumer application </w:t>
      </w:r>
      <w:r w:rsidRPr="001366C0">
        <w:rPr>
          <w:lang w:val="en-CA"/>
        </w:rPr>
        <w:t>to outdoor premises of household/domestic dwellings (5 million pounds</w:t>
      </w:r>
      <w:r w:rsidR="00AC54F5">
        <w:rPr>
          <w:lang w:val="en-CA"/>
        </w:rPr>
        <w:t xml:space="preserve"> a.e.</w:t>
      </w:r>
      <w:r w:rsidRPr="001366C0">
        <w:rPr>
          <w:lang w:val="en-CA"/>
        </w:rPr>
        <w:t>),</w:t>
      </w:r>
      <w:r w:rsidR="00AC54F5">
        <w:rPr>
          <w:lang w:val="en-CA"/>
        </w:rPr>
        <w:t xml:space="preserve"> followed by application to</w:t>
      </w:r>
      <w:r w:rsidRPr="001366C0">
        <w:rPr>
          <w:lang w:val="en-CA"/>
        </w:rPr>
        <w:t xml:space="preserve"> roadways (4.7 million pounds</w:t>
      </w:r>
      <w:r w:rsidR="00AC54F5">
        <w:rPr>
          <w:lang w:val="en-CA"/>
        </w:rPr>
        <w:t xml:space="preserve"> a.e.</w:t>
      </w:r>
      <w:r w:rsidRPr="001366C0">
        <w:rPr>
          <w:lang w:val="en-CA"/>
        </w:rPr>
        <w:t>) and forestry sites (4.2 million pounds</w:t>
      </w:r>
      <w:r w:rsidR="00AC54F5">
        <w:rPr>
          <w:lang w:val="en-CA"/>
        </w:rPr>
        <w:t xml:space="preserve"> a.e.</w:t>
      </w:r>
      <w:r w:rsidRPr="001366C0">
        <w:rPr>
          <w:lang w:val="en-CA"/>
        </w:rPr>
        <w:t>)</w:t>
      </w:r>
      <w:r w:rsidRPr="001366C0">
        <w:rPr>
          <w:b/>
          <w:bCs/>
          <w:lang w:val="en-CA"/>
        </w:rPr>
        <w:t xml:space="preserve">. </w:t>
      </w:r>
      <w:r w:rsidR="00CB1EEF">
        <w:t xml:space="preserve">Other use sites with greater than 1 million pounds per year include nursery and greenhouse ornamentals, institutional turf facilities and application by lawn care operators.  Use sites with less than a million pounds per year include railways, utility/pipeline </w:t>
      </w:r>
      <w:r w:rsidR="000A3477">
        <w:t>rights-of-way (</w:t>
      </w:r>
      <w:r w:rsidR="00CB1EEF">
        <w:t>ROWs</w:t>
      </w:r>
      <w:r w:rsidR="000A3477">
        <w:t>)</w:t>
      </w:r>
      <w:r w:rsidR="00CB1EEF">
        <w:t xml:space="preserve">, sod farms, applications by landscape contractors, direct application to water and golf courses. </w:t>
      </w:r>
    </w:p>
    <w:p w14:paraId="5E991A40" w14:textId="77777777" w:rsidR="00E3056C" w:rsidRPr="001366C0" w:rsidRDefault="00E3056C" w:rsidP="00E3056C">
      <w:pPr>
        <w:spacing w:after="0" w:line="240" w:lineRule="auto"/>
        <w:rPr>
          <w:lang w:val="en-CA"/>
        </w:rPr>
      </w:pPr>
    </w:p>
    <w:bookmarkEnd w:id="19"/>
    <w:p w14:paraId="7A4BAE97" w14:textId="77777777" w:rsidR="006A290E" w:rsidRPr="00C4422B" w:rsidRDefault="006A290E" w:rsidP="006A290E">
      <w:pPr>
        <w:spacing w:after="0" w:line="240" w:lineRule="auto"/>
        <w:rPr>
          <w:highlight w:val="yellow"/>
        </w:rPr>
      </w:pPr>
    </w:p>
    <w:p w14:paraId="4475CA78" w14:textId="77777777" w:rsidR="006A290E" w:rsidRPr="00DA340C" w:rsidRDefault="006A290E" w:rsidP="000E75C7">
      <w:pPr>
        <w:pStyle w:val="Heading1"/>
      </w:pPr>
      <w:bookmarkStart w:id="20" w:name="_Toc31220273"/>
      <w:bookmarkStart w:id="21" w:name="_Toc56684056"/>
      <w:r w:rsidRPr="00DA340C">
        <w:t>Overview</w:t>
      </w:r>
      <w:bookmarkEnd w:id="20"/>
      <w:r w:rsidRPr="00DA340C">
        <w:t xml:space="preserve"> of Environmental Fate</w:t>
      </w:r>
      <w:bookmarkEnd w:id="21"/>
    </w:p>
    <w:p w14:paraId="75E541EB" w14:textId="77777777" w:rsidR="006A290E" w:rsidRPr="00BB3BB8" w:rsidRDefault="006A290E" w:rsidP="000E75C7">
      <w:pPr>
        <w:keepNext/>
        <w:keepLines/>
        <w:spacing w:after="0" w:line="240" w:lineRule="auto"/>
      </w:pPr>
    </w:p>
    <w:p w14:paraId="391AC57A" w14:textId="0DC85B7A" w:rsidR="007E44AA" w:rsidRPr="001C0E49" w:rsidRDefault="00D64951" w:rsidP="007E44AA">
      <w:pPr>
        <w:rPr>
          <w:rFonts w:asciiTheme="minorHAnsi" w:hAnsiTheme="minorHAnsi" w:cstheme="minorHAnsi"/>
        </w:rPr>
      </w:pPr>
      <w:bookmarkStart w:id="22" w:name="_Hlk51846325"/>
      <w:r w:rsidRPr="00D64951">
        <w:t xml:space="preserve">The major transport routes off the treated area for </w:t>
      </w:r>
      <w:r w:rsidR="00CB05FA">
        <w:t>glyphosate</w:t>
      </w:r>
      <w:r w:rsidRPr="00D64951">
        <w:t xml:space="preserve"> include runoff and spray drift.</w:t>
      </w:r>
      <w:r>
        <w:t xml:space="preserve"> </w:t>
      </w:r>
      <w:r w:rsidR="007E44AA">
        <w:rPr>
          <w:rFonts w:asciiTheme="minorHAnsi" w:hAnsiTheme="minorHAnsi" w:cstheme="minorHAnsi"/>
        </w:rPr>
        <w:t>Glyphosate</w:t>
      </w:r>
      <w:r w:rsidR="007E44AA" w:rsidRPr="001C0E49">
        <w:rPr>
          <w:rFonts w:asciiTheme="minorHAnsi" w:hAnsiTheme="minorHAnsi" w:cstheme="minorHAnsi"/>
        </w:rPr>
        <w:t xml:space="preserve"> has a high solubility, low octanol-water partitioning coefficient, low vapor pressure, and low Henry’s Constant. These data suggest that </w:t>
      </w:r>
      <w:r w:rsidR="007E44AA">
        <w:rPr>
          <w:rFonts w:asciiTheme="minorHAnsi" w:hAnsiTheme="minorHAnsi" w:cstheme="minorHAnsi"/>
        </w:rPr>
        <w:t>glyphosate</w:t>
      </w:r>
      <w:r w:rsidR="007E44AA" w:rsidRPr="001C0E49">
        <w:rPr>
          <w:rFonts w:asciiTheme="minorHAnsi" w:hAnsiTheme="minorHAnsi" w:cstheme="minorHAnsi"/>
        </w:rPr>
        <w:t xml:space="preserve"> has a low potential for volatilization and bioaccumulation. </w:t>
      </w:r>
      <w:r w:rsidR="007E44AA" w:rsidRPr="007009E2">
        <w:rPr>
          <w:rFonts w:asciiTheme="minorHAnsi" w:hAnsiTheme="minorHAnsi" w:cstheme="minorHAnsi"/>
        </w:rPr>
        <w:t>It is assumed that the glyphosate salts dissociate rapidly to form glyphosate acid and the counter ion. Because glyphosate acid will be a zwitterion (presence of both negative (anionic) and positive (cationic) electrostatic charges) in the environment, it is expected to speciate into dissociated species of glyphosate acid as well as glyphosate-metal complexes in soil, sediment, and aquatic environments.</w:t>
      </w:r>
      <w:r w:rsidR="007E44AA">
        <w:rPr>
          <w:rFonts w:asciiTheme="minorHAnsi" w:hAnsiTheme="minorHAnsi" w:cstheme="minorHAnsi"/>
        </w:rPr>
        <w:t xml:space="preserve"> </w:t>
      </w:r>
      <w:r w:rsidR="007E44AA" w:rsidRPr="00BB1F6B">
        <w:rPr>
          <w:rFonts w:asciiTheme="minorHAnsi" w:hAnsiTheme="minorHAnsi" w:cstheme="minorHAnsi"/>
        </w:rPr>
        <w:t>Glyphosate can form various metal complexes (Popov et al., 2001</w:t>
      </w:r>
      <w:r w:rsidR="007E44AA">
        <w:rPr>
          <w:rFonts w:asciiTheme="minorHAnsi" w:hAnsiTheme="minorHAnsi" w:cstheme="minorHAnsi"/>
        </w:rPr>
        <w:t>).</w:t>
      </w:r>
      <w:r w:rsidR="007E44AA" w:rsidRPr="00BB1F6B">
        <w:rPr>
          <w:rFonts w:asciiTheme="minorHAnsi" w:hAnsiTheme="minorHAnsi" w:cstheme="minorHAnsi"/>
        </w:rPr>
        <w:t>The formation of glyphosate-metal complexes with iron and aluminum promotes a high sorption affinity of glyphosate on the surfaces of Fe and Al oxides in soils and sediments (McBride, 1994).</w:t>
      </w:r>
      <w:r w:rsidR="007E44AA" w:rsidRPr="001C0E49">
        <w:rPr>
          <w:rFonts w:asciiTheme="minorHAnsi" w:hAnsiTheme="minorHAnsi" w:cstheme="minorHAnsi"/>
        </w:rPr>
        <w:t xml:space="preserve">The main routes of dissipation are microbial degradation under aerobic </w:t>
      </w:r>
      <w:r w:rsidR="007E44AA" w:rsidRPr="00BB1F6B">
        <w:rPr>
          <w:rFonts w:asciiTheme="minorHAnsi" w:hAnsiTheme="minorHAnsi" w:cstheme="minorHAnsi"/>
        </w:rPr>
        <w:t xml:space="preserve">conditions, </w:t>
      </w:r>
      <w:r w:rsidR="007E44AA">
        <w:rPr>
          <w:rFonts w:asciiTheme="minorHAnsi" w:hAnsiTheme="minorHAnsi" w:cstheme="minorHAnsi"/>
        </w:rPr>
        <w:t xml:space="preserve">and </w:t>
      </w:r>
      <w:r w:rsidR="007E44AA" w:rsidRPr="00BB1F6B">
        <w:rPr>
          <w:rFonts w:asciiTheme="minorHAnsi" w:hAnsiTheme="minorHAnsi" w:cstheme="minorHAnsi"/>
        </w:rPr>
        <w:t xml:space="preserve">runoff. Glyphosate is expected to reach surface water primarily through spray drift; however, transport in runoff may also occur primarily via sorption </w:t>
      </w:r>
      <w:r w:rsidR="007E44AA">
        <w:rPr>
          <w:rFonts w:asciiTheme="minorHAnsi" w:hAnsiTheme="minorHAnsi" w:cstheme="minorHAnsi"/>
        </w:rPr>
        <w:t xml:space="preserve">of glyphosate-metal complexes </w:t>
      </w:r>
      <w:r w:rsidR="007E44AA" w:rsidRPr="00BB1F6B">
        <w:rPr>
          <w:rFonts w:asciiTheme="minorHAnsi" w:hAnsiTheme="minorHAnsi" w:cstheme="minorHAnsi"/>
        </w:rPr>
        <w:t xml:space="preserve">to eroded sediment. The highest concentrations of glyphosate in surface water are in urban environments and in the vicinity of local use areas. </w:t>
      </w:r>
      <w:r w:rsidR="007E44AA" w:rsidRPr="00BE105A">
        <w:rPr>
          <w:rFonts w:asciiTheme="minorHAnsi" w:hAnsiTheme="minorHAnsi"/>
        </w:rPr>
        <w:t xml:space="preserve">Additional details on the fate of </w:t>
      </w:r>
      <w:r w:rsidR="007E44AA">
        <w:rPr>
          <w:rFonts w:asciiTheme="minorHAnsi" w:hAnsiTheme="minorHAnsi"/>
        </w:rPr>
        <w:t>glyphosate</w:t>
      </w:r>
      <w:r w:rsidR="007E44AA" w:rsidRPr="00BE105A">
        <w:rPr>
          <w:rFonts w:asciiTheme="minorHAnsi" w:hAnsiTheme="minorHAnsi"/>
        </w:rPr>
        <w:t xml:space="preserve"> are provided in </w:t>
      </w:r>
      <w:r w:rsidR="007E44AA" w:rsidRPr="00BE105A">
        <w:rPr>
          <w:rFonts w:asciiTheme="minorHAnsi" w:hAnsiTheme="minorHAnsi"/>
          <w:b/>
        </w:rPr>
        <w:t>Chapter 3</w:t>
      </w:r>
      <w:r w:rsidR="007E44AA" w:rsidRPr="00BE105A">
        <w:rPr>
          <w:rFonts w:asciiTheme="minorHAnsi" w:hAnsiTheme="minorHAnsi"/>
        </w:rPr>
        <w:t xml:space="preserve"> of the Biological Evaluation.</w:t>
      </w:r>
    </w:p>
    <w:p w14:paraId="40864BD6" w14:textId="77777777" w:rsidR="006A290E" w:rsidRPr="004F3E09" w:rsidRDefault="006A290E" w:rsidP="006A290E">
      <w:pPr>
        <w:pStyle w:val="Heading1"/>
      </w:pPr>
      <w:bookmarkStart w:id="23" w:name="_Toc31220274"/>
      <w:bookmarkStart w:id="24" w:name="_Toc56684057"/>
      <w:bookmarkEnd w:id="22"/>
      <w:r w:rsidRPr="004F3E09">
        <w:lastRenderedPageBreak/>
        <w:t>Residue of Concern</w:t>
      </w:r>
      <w:bookmarkEnd w:id="23"/>
      <w:bookmarkEnd w:id="24"/>
      <w:r w:rsidRPr="004F3E09">
        <w:t xml:space="preserve"> </w:t>
      </w:r>
    </w:p>
    <w:p w14:paraId="7B18208A" w14:textId="77777777" w:rsidR="006A290E" w:rsidRPr="00C4422B" w:rsidRDefault="006A290E" w:rsidP="006A290E">
      <w:pPr>
        <w:keepNext/>
        <w:spacing w:after="0" w:line="240" w:lineRule="auto"/>
        <w:rPr>
          <w:highlight w:val="yellow"/>
        </w:rPr>
      </w:pPr>
    </w:p>
    <w:p w14:paraId="7B1B6003" w14:textId="16416DEA" w:rsidR="00E43A9B" w:rsidRDefault="00602B7F" w:rsidP="00910641">
      <w:pPr>
        <w:pStyle w:val="NoSpacing"/>
      </w:pPr>
      <w:bookmarkStart w:id="25" w:name="_Hlk51846342"/>
      <w:r w:rsidRPr="004B66EB">
        <w:t>Along with significant mineralization to carbon dioxide, the major metabolite of glyphosate is aminomethylphosphonic acid (AMPA).</w:t>
      </w:r>
      <w:r w:rsidRPr="00704A32">
        <w:t xml:space="preserve"> It was detected in all laboratory studies except for the abiotic hydrolysis studies. The laboratory and field dissipation data indicate that AMPA is</w:t>
      </w:r>
      <w:r>
        <w:t xml:space="preserve"> </w:t>
      </w:r>
      <w:r w:rsidRPr="00704A32">
        <w:t xml:space="preserve">substantially more persistent than glyphosate. </w:t>
      </w:r>
      <w:r w:rsidR="00A909F1">
        <w:t xml:space="preserve">Formation of </w:t>
      </w:r>
      <w:r w:rsidR="009E3EFF">
        <w:t>transformation products</w:t>
      </w:r>
      <w:r w:rsidR="00A909F1">
        <w:t xml:space="preserve"> is further discussed in </w:t>
      </w:r>
      <w:r w:rsidR="00A909F1" w:rsidRPr="00A909F1">
        <w:rPr>
          <w:b/>
          <w:bCs/>
        </w:rPr>
        <w:t>Chapter 3</w:t>
      </w:r>
      <w:r w:rsidR="00A909F1">
        <w:t xml:space="preserve">. </w:t>
      </w:r>
    </w:p>
    <w:p w14:paraId="68E49E99" w14:textId="77777777" w:rsidR="00E43A9B" w:rsidRDefault="00E43A9B" w:rsidP="00910641">
      <w:pPr>
        <w:pStyle w:val="NoSpacing"/>
      </w:pPr>
    </w:p>
    <w:p w14:paraId="4405FCF8" w14:textId="26FFD280" w:rsidR="00E43A9B" w:rsidRDefault="61696D23" w:rsidP="00910641">
      <w:pPr>
        <w:pStyle w:val="NoSpacing"/>
      </w:pPr>
      <w:r>
        <w:t xml:space="preserve">Although </w:t>
      </w:r>
      <w:r w:rsidR="2DE348A4">
        <w:t>AMPA is a major degradation product from glyphosate</w:t>
      </w:r>
      <w:r>
        <w:t>,</w:t>
      </w:r>
      <w:r w:rsidR="2DE348A4">
        <w:t xml:space="preserve"> it is not considered a residue of toxicological concern </w:t>
      </w:r>
      <w:r w:rsidR="668F9368">
        <w:t xml:space="preserve">in aquatic environments </w:t>
      </w:r>
      <w:r w:rsidR="2DE348A4">
        <w:t xml:space="preserve">based on available toxicity data. A group of surfactants, the polyethoxylated tallow amines (POEA), </w:t>
      </w:r>
      <w:r w:rsidR="690FF9FB">
        <w:t xml:space="preserve">are included in some formulations and </w:t>
      </w:r>
      <w:r w:rsidR="2DE348A4">
        <w:t>have been shown to be more toxic to aquatic animals than glyphosate alone. Consideration of the potential increased toxicity of formulations is considered through the selection of toxicity endpoints and is discussed further</w:t>
      </w:r>
      <w:r>
        <w:t xml:space="preserve"> in </w:t>
      </w:r>
      <w:r w:rsidRPr="5ABD2BF0">
        <w:rPr>
          <w:b/>
          <w:bCs/>
        </w:rPr>
        <w:t>Chapter 2</w:t>
      </w:r>
      <w:r w:rsidR="2DE348A4">
        <w:t>. Estimated aquatic exposure concentrations are based on the parent glyphosate. This is based on available data as limited fate data are available to model POEA.</w:t>
      </w:r>
    </w:p>
    <w:p w14:paraId="488D8F83" w14:textId="7F643200" w:rsidR="006A290E" w:rsidRDefault="006A290E" w:rsidP="006A290E">
      <w:pPr>
        <w:spacing w:after="0" w:line="240" w:lineRule="auto"/>
      </w:pPr>
      <w:bookmarkStart w:id="26" w:name="_Toc31220275"/>
      <w:bookmarkEnd w:id="25"/>
    </w:p>
    <w:p w14:paraId="41DF2CE6" w14:textId="77777777" w:rsidR="00B97197" w:rsidRDefault="00B97197" w:rsidP="006A290E">
      <w:pPr>
        <w:spacing w:after="0" w:line="240" w:lineRule="auto"/>
      </w:pPr>
    </w:p>
    <w:p w14:paraId="79C77D56" w14:textId="77777777" w:rsidR="006A290E" w:rsidRPr="002C29BA" w:rsidRDefault="006A290E" w:rsidP="006A290E">
      <w:pPr>
        <w:pStyle w:val="Heading1"/>
      </w:pPr>
      <w:bookmarkStart w:id="27" w:name="_Toc56684058"/>
      <w:r w:rsidRPr="002C29BA">
        <w:t>Analysis Plan</w:t>
      </w:r>
      <w:bookmarkEnd w:id="26"/>
      <w:bookmarkEnd w:id="27"/>
    </w:p>
    <w:p w14:paraId="752049E5" w14:textId="77777777" w:rsidR="006A290E" w:rsidRDefault="006A290E" w:rsidP="006A290E">
      <w:pPr>
        <w:keepNext/>
        <w:keepLines/>
        <w:spacing w:after="0" w:line="240" w:lineRule="auto"/>
      </w:pPr>
    </w:p>
    <w:p w14:paraId="72BFC78E" w14:textId="001991D5" w:rsidR="006A290E" w:rsidRDefault="006A290E" w:rsidP="006A290E">
      <w:pPr>
        <w:spacing w:after="0" w:line="240" w:lineRule="auto"/>
        <w:rPr>
          <w:rStyle w:val="eop"/>
          <w:rFonts w:asciiTheme="minorHAnsi" w:hAnsiTheme="minorHAnsi" w:cstheme="minorHAnsi"/>
        </w:rPr>
      </w:pPr>
      <w:bookmarkStart w:id="28" w:name="_Hlk33466025"/>
      <w:r w:rsidRPr="001561C2">
        <w:rPr>
          <w:rStyle w:val="eop"/>
          <w:rFonts w:asciiTheme="minorHAnsi" w:hAnsiTheme="minorHAnsi" w:cstheme="minorHAnsi"/>
        </w:rPr>
        <w:t xml:space="preserve">Listed species and designated critical habitats that were listed as of </w:t>
      </w:r>
      <w:r w:rsidRPr="004B3715">
        <w:rPr>
          <w:rStyle w:val="eop"/>
          <w:rFonts w:asciiTheme="minorHAnsi" w:hAnsiTheme="minorHAnsi" w:cstheme="minorHAnsi"/>
        </w:rPr>
        <w:t>Jan 30, 2019</w:t>
      </w:r>
      <w:r w:rsidRPr="001561C2">
        <w:rPr>
          <w:rStyle w:val="eop"/>
          <w:rFonts w:asciiTheme="minorHAnsi" w:hAnsiTheme="minorHAnsi" w:cstheme="minorHAnsi"/>
        </w:rPr>
        <w:t xml:space="preserve"> are </w:t>
      </w:r>
      <w:r w:rsidR="008F147B">
        <w:rPr>
          <w:rStyle w:val="eop"/>
          <w:rFonts w:asciiTheme="minorHAnsi" w:hAnsiTheme="minorHAnsi" w:cstheme="minorHAnsi"/>
        </w:rPr>
        <w:t>considered</w:t>
      </w:r>
      <w:r w:rsidRPr="001561C2">
        <w:rPr>
          <w:rStyle w:val="eop"/>
          <w:rFonts w:asciiTheme="minorHAnsi" w:hAnsiTheme="minorHAnsi" w:cstheme="minorHAnsi"/>
        </w:rPr>
        <w:t xml:space="preserve"> in this BE</w:t>
      </w:r>
      <w:r w:rsidR="00E520CC">
        <w:rPr>
          <w:rStyle w:val="eop"/>
          <w:rFonts w:asciiTheme="minorHAnsi" w:hAnsiTheme="minorHAnsi" w:cstheme="minorHAnsi"/>
        </w:rPr>
        <w:t xml:space="preserve"> (see </w:t>
      </w:r>
      <w:r w:rsidR="00E520CC" w:rsidRPr="00E520CC">
        <w:rPr>
          <w:rStyle w:val="eop"/>
          <w:rFonts w:asciiTheme="minorHAnsi" w:hAnsiTheme="minorHAnsi" w:cstheme="minorHAnsi"/>
          <w:b/>
          <w:bCs/>
        </w:rPr>
        <w:t>A</w:t>
      </w:r>
      <w:r w:rsidR="00E520CC">
        <w:rPr>
          <w:rStyle w:val="eop"/>
          <w:rFonts w:asciiTheme="minorHAnsi" w:hAnsiTheme="minorHAnsi" w:cstheme="minorHAnsi"/>
          <w:b/>
          <w:bCs/>
        </w:rPr>
        <w:t>PPENDIX</w:t>
      </w:r>
      <w:r w:rsidR="00E520CC" w:rsidRPr="00E520CC">
        <w:rPr>
          <w:rStyle w:val="eop"/>
          <w:rFonts w:asciiTheme="minorHAnsi" w:hAnsiTheme="minorHAnsi" w:cstheme="minorHAnsi"/>
          <w:b/>
          <w:bCs/>
        </w:rPr>
        <w:t xml:space="preserve"> 4-1</w:t>
      </w:r>
      <w:r w:rsidR="00E520CC">
        <w:rPr>
          <w:rStyle w:val="eop"/>
          <w:rFonts w:asciiTheme="minorHAnsi" w:hAnsiTheme="minorHAnsi" w:cstheme="minorHAnsi"/>
        </w:rPr>
        <w:t xml:space="preserve"> for complete species lists)</w:t>
      </w:r>
      <w:r w:rsidRPr="001561C2">
        <w:rPr>
          <w:rStyle w:val="eop"/>
          <w:rFonts w:asciiTheme="minorHAnsi" w:hAnsiTheme="minorHAnsi" w:cstheme="minorHAnsi"/>
        </w:rPr>
        <w:t xml:space="preserve">. </w:t>
      </w:r>
      <w:r w:rsidR="008F147B">
        <w:rPr>
          <w:rStyle w:val="eop"/>
          <w:rFonts w:asciiTheme="minorHAnsi" w:hAnsiTheme="minorHAnsi" w:cstheme="minorHAnsi"/>
        </w:rPr>
        <w:t>Effects determinations were made for</w:t>
      </w:r>
      <w:r>
        <w:rPr>
          <w:rStyle w:val="eop"/>
          <w:rFonts w:asciiTheme="minorHAnsi" w:hAnsiTheme="minorHAnsi" w:cstheme="minorHAnsi"/>
        </w:rPr>
        <w:t xml:space="preserve"> </w:t>
      </w:r>
      <w:r w:rsidR="00E520CC">
        <w:rPr>
          <w:rStyle w:val="eop"/>
          <w:rFonts w:asciiTheme="minorHAnsi" w:hAnsiTheme="minorHAnsi" w:cstheme="minorHAnsi"/>
        </w:rPr>
        <w:t xml:space="preserve">1795 </w:t>
      </w:r>
      <w:r>
        <w:rPr>
          <w:rStyle w:val="eop"/>
          <w:rFonts w:asciiTheme="minorHAnsi" w:hAnsiTheme="minorHAnsi" w:cstheme="minorHAnsi"/>
        </w:rPr>
        <w:t>listed species and 79</w:t>
      </w:r>
      <w:r w:rsidR="00E520CC">
        <w:rPr>
          <w:rStyle w:val="eop"/>
          <w:rFonts w:asciiTheme="minorHAnsi" w:hAnsiTheme="minorHAnsi" w:cstheme="minorHAnsi"/>
        </w:rPr>
        <w:t>2</w:t>
      </w:r>
      <w:r>
        <w:rPr>
          <w:rStyle w:val="eop"/>
          <w:rFonts w:asciiTheme="minorHAnsi" w:hAnsiTheme="minorHAnsi" w:cstheme="minorHAnsi"/>
        </w:rPr>
        <w:t xml:space="preserve"> designated critical habitats. </w:t>
      </w:r>
    </w:p>
    <w:bookmarkEnd w:id="28"/>
    <w:p w14:paraId="42578C0B" w14:textId="77777777" w:rsidR="006A290E" w:rsidRPr="001561C2" w:rsidRDefault="006A290E" w:rsidP="006A290E">
      <w:pPr>
        <w:spacing w:after="0" w:line="240" w:lineRule="auto"/>
        <w:rPr>
          <w:rStyle w:val="eop"/>
          <w:rFonts w:asciiTheme="minorHAnsi" w:hAnsiTheme="minorHAnsi" w:cstheme="minorHAnsi"/>
        </w:rPr>
      </w:pPr>
    </w:p>
    <w:p w14:paraId="33A46CC5" w14:textId="35B8A888" w:rsidR="006A290E" w:rsidRDefault="006A290E" w:rsidP="006A290E">
      <w:pPr>
        <w:spacing w:after="0" w:line="240" w:lineRule="auto"/>
        <w:rPr>
          <w:rFonts w:eastAsiaTheme="minorEastAsia"/>
        </w:rPr>
      </w:pPr>
      <w:r w:rsidRPr="001561C2">
        <w:rPr>
          <w:rStyle w:val="eop"/>
          <w:rFonts w:asciiTheme="minorHAnsi" w:hAnsiTheme="minorHAnsi" w:cstheme="minorHAnsi"/>
        </w:rPr>
        <w:t xml:space="preserve">As described in the </w:t>
      </w:r>
      <w:r>
        <w:rPr>
          <w:rStyle w:val="eop"/>
          <w:rFonts w:asciiTheme="minorHAnsi" w:hAnsiTheme="minorHAnsi" w:cstheme="minorHAnsi"/>
        </w:rPr>
        <w:t>R</w:t>
      </w:r>
      <w:r w:rsidRPr="001561C2">
        <w:rPr>
          <w:rStyle w:val="eop"/>
          <w:rFonts w:asciiTheme="minorHAnsi" w:hAnsiTheme="minorHAnsi" w:cstheme="minorHAnsi"/>
        </w:rPr>
        <w:t xml:space="preserve">evised </w:t>
      </w:r>
      <w:r>
        <w:rPr>
          <w:rStyle w:val="eop"/>
          <w:rFonts w:asciiTheme="minorHAnsi" w:hAnsiTheme="minorHAnsi" w:cstheme="minorHAnsi"/>
        </w:rPr>
        <w:t>M</w:t>
      </w:r>
      <w:r w:rsidRPr="001561C2">
        <w:rPr>
          <w:rStyle w:val="eop"/>
          <w:rFonts w:asciiTheme="minorHAnsi" w:hAnsiTheme="minorHAnsi" w:cstheme="minorHAnsi"/>
        </w:rPr>
        <w:t xml:space="preserve">ethod, listed species risk assessments for pesticides include three steps. </w:t>
      </w:r>
      <w:r w:rsidRPr="001561C2">
        <w:rPr>
          <w:rFonts w:eastAsiaTheme="minorEastAsia"/>
        </w:rPr>
        <w:t xml:space="preserve">Steps 1 and 2 are represented by the BE, which evaluates whether an individual of a listed species is reasonably expected to be exposed to a pesticide, and, if so, distinguishes effects that are likely to adversely affect an individual of a species from those that are not likely to adversely affect an individual. This process is also applied to the designated critical habitat of listed species (when available). In Step 1, for every listed species and designated critical habitat, EPA determines whether </w:t>
      </w:r>
      <w:r w:rsidR="00CB05FA">
        <w:rPr>
          <w:rFonts w:eastAsiaTheme="minorEastAsia"/>
        </w:rPr>
        <w:t>glyphosate</w:t>
      </w:r>
      <w:r w:rsidRPr="001561C2">
        <w:rPr>
          <w:rFonts w:eastAsiaTheme="minorEastAsia"/>
        </w:rPr>
        <w:t xml:space="preserve"> will have No Effect (NE) or </w:t>
      </w:r>
      <w:r>
        <w:rPr>
          <w:rFonts w:eastAsiaTheme="minorEastAsia"/>
        </w:rPr>
        <w:t>M</w:t>
      </w:r>
      <w:r w:rsidRPr="001561C2">
        <w:rPr>
          <w:rFonts w:eastAsiaTheme="minorEastAsia"/>
        </w:rPr>
        <w:t xml:space="preserve">ay </w:t>
      </w:r>
      <w:r>
        <w:rPr>
          <w:rFonts w:eastAsiaTheme="minorEastAsia"/>
        </w:rPr>
        <w:t>A</w:t>
      </w:r>
      <w:r w:rsidRPr="001561C2">
        <w:rPr>
          <w:rFonts w:eastAsiaTheme="minorEastAsia"/>
        </w:rPr>
        <w:t xml:space="preserve">ffect (MA) (separate determinations made for each species and critical habitat). For those species and critical habitats with MA determinations in Step 1, EPA will determine if </w:t>
      </w:r>
      <w:r w:rsidR="00CB05FA">
        <w:rPr>
          <w:rFonts w:eastAsiaTheme="minorEastAsia"/>
        </w:rPr>
        <w:t>glyphosate</w:t>
      </w:r>
      <w:r w:rsidRPr="001561C2">
        <w:rPr>
          <w:rFonts w:eastAsiaTheme="minorEastAsia"/>
        </w:rPr>
        <w:t xml:space="preserve"> is Not Likely to Adversely Affect (NLAA) or Likely to Adversely Affect (LAA) each individual species or critical habitat. </w:t>
      </w:r>
    </w:p>
    <w:p w14:paraId="45ED9530" w14:textId="77777777" w:rsidR="006A290E" w:rsidRDefault="006A290E" w:rsidP="006A290E">
      <w:pPr>
        <w:spacing w:after="0" w:line="240" w:lineRule="auto"/>
        <w:rPr>
          <w:rFonts w:eastAsiaTheme="minorEastAsia"/>
        </w:rPr>
      </w:pPr>
    </w:p>
    <w:p w14:paraId="46812130" w14:textId="78839FF9" w:rsidR="006A290E" w:rsidRDefault="006A290E" w:rsidP="006A290E">
      <w:pPr>
        <w:spacing w:after="0" w:line="240" w:lineRule="auto"/>
        <w:rPr>
          <w:rFonts w:eastAsiaTheme="minorEastAsia"/>
        </w:rPr>
      </w:pPr>
      <w:r w:rsidRPr="001561C2">
        <w:rPr>
          <w:rFonts w:eastAsiaTheme="minorEastAsia"/>
        </w:rPr>
        <w:t>Details on the method</w:t>
      </w:r>
      <w:r>
        <w:rPr>
          <w:rFonts w:eastAsiaTheme="minorEastAsia"/>
        </w:rPr>
        <w:t>, models and tools used</w:t>
      </w:r>
      <w:r w:rsidRPr="001561C2">
        <w:rPr>
          <w:rFonts w:eastAsiaTheme="minorEastAsia"/>
        </w:rPr>
        <w:t xml:space="preserve"> for making NE,</w:t>
      </w:r>
      <w:r>
        <w:rPr>
          <w:rFonts w:eastAsiaTheme="minorEastAsia"/>
        </w:rPr>
        <w:t xml:space="preserve"> </w:t>
      </w:r>
      <w:r w:rsidRPr="001561C2">
        <w:rPr>
          <w:rFonts w:eastAsiaTheme="minorEastAsia"/>
        </w:rPr>
        <w:t>NLAA and LAA determinations are provided in the Revised Method.</w:t>
      </w:r>
      <w:r>
        <w:rPr>
          <w:rFonts w:eastAsiaTheme="minorEastAsia"/>
        </w:rPr>
        <w:t xml:space="preserve"> This analysis plan identifies </w:t>
      </w:r>
      <w:r w:rsidR="00CB05FA">
        <w:rPr>
          <w:rFonts w:eastAsiaTheme="minorEastAsia"/>
        </w:rPr>
        <w:t>glyphosate</w:t>
      </w:r>
      <w:r>
        <w:rPr>
          <w:rFonts w:eastAsiaTheme="minorEastAsia"/>
        </w:rPr>
        <w:t xml:space="preserve"> specific information that is used in the Revised Method to complete this BE. </w:t>
      </w:r>
    </w:p>
    <w:p w14:paraId="6C9D07F8" w14:textId="77777777" w:rsidR="00F539F8" w:rsidRDefault="00F539F8" w:rsidP="006A290E">
      <w:pPr>
        <w:spacing w:after="0" w:line="240" w:lineRule="auto"/>
        <w:rPr>
          <w:rFonts w:eastAsiaTheme="minorEastAsia"/>
        </w:rPr>
      </w:pPr>
    </w:p>
    <w:p w14:paraId="3A3483CD" w14:textId="526A4B7C" w:rsidR="006A290E" w:rsidRPr="00DD0C13" w:rsidRDefault="006A290E" w:rsidP="41D9C46C">
      <w:pPr>
        <w:spacing w:after="0" w:line="240" w:lineRule="auto"/>
      </w:pPr>
      <w:r>
        <w:t>Step 1 begins with an analysis of the potential overlap of the action area and individual species ranges or critical habitat. For species or critical habitats with no overlap (</w:t>
      </w:r>
      <w:r w:rsidRPr="41D9C46C">
        <w:rPr>
          <w:i/>
          <w:iCs/>
        </w:rPr>
        <w:t>i.e.,</w:t>
      </w:r>
      <w:r>
        <w:t xml:space="preserve"> species found outside of the action area), NE determinations are made. The currently registered uses (summarized in </w:t>
      </w:r>
      <w:r w:rsidRPr="41D9C46C">
        <w:rPr>
          <w:b/>
          <w:bCs/>
        </w:rPr>
        <w:t xml:space="preserve">Section </w:t>
      </w:r>
      <w:r w:rsidR="000B381D" w:rsidRPr="41D9C46C">
        <w:rPr>
          <w:b/>
          <w:bCs/>
        </w:rPr>
        <w:t>4</w:t>
      </w:r>
      <w:r w:rsidR="00711DA5" w:rsidRPr="41D9C46C">
        <w:rPr>
          <w:b/>
          <w:bCs/>
        </w:rPr>
        <w:t>,</w:t>
      </w:r>
      <w:r w:rsidRPr="41D9C46C">
        <w:rPr>
          <w:b/>
          <w:bCs/>
        </w:rPr>
        <w:t xml:space="preserve"> APPENDIX 1-</w:t>
      </w:r>
      <w:r w:rsidR="00711DA5" w:rsidRPr="41D9C46C">
        <w:rPr>
          <w:b/>
          <w:bCs/>
        </w:rPr>
        <w:t xml:space="preserve">2 </w:t>
      </w:r>
      <w:r w:rsidR="00711DA5" w:rsidRPr="00F539F8">
        <w:t>and</w:t>
      </w:r>
      <w:r w:rsidR="00711DA5" w:rsidRPr="41D9C46C">
        <w:rPr>
          <w:b/>
          <w:bCs/>
        </w:rPr>
        <w:t xml:space="preserve"> APPENDIX 1-3</w:t>
      </w:r>
      <w:r>
        <w:t xml:space="preserve">) include agricultural </w:t>
      </w:r>
      <w:r w:rsidR="00F00969">
        <w:t xml:space="preserve">and </w:t>
      </w:r>
      <w:r>
        <w:t>non-agricultural</w:t>
      </w:r>
      <w:r w:rsidR="009E3EFF">
        <w:t xml:space="preserve"> uses.</w:t>
      </w:r>
      <w:r>
        <w:t xml:space="preserve"> </w:t>
      </w:r>
      <w:r w:rsidR="4AC298B4">
        <w:t xml:space="preserve">The glyphosate overlap analysis is conducted using ArcGIS version 10.7. </w:t>
      </w:r>
      <w:r w:rsidR="46FA37CA">
        <w:t>A</w:t>
      </w:r>
      <w:r w:rsidR="00543D55">
        <w:t xml:space="preserve">ll labeled uses </w:t>
      </w:r>
      <w:r w:rsidR="30BF5946">
        <w:t xml:space="preserve">for glyphosate </w:t>
      </w:r>
      <w:r w:rsidR="00543D55">
        <w:t xml:space="preserve">are represented by one or more of the </w:t>
      </w:r>
      <w:r w:rsidR="00FF4236">
        <w:t xml:space="preserve">agricultural or non-agricultural </w:t>
      </w:r>
      <w:r w:rsidR="00543D55">
        <w:t xml:space="preserve">Use Data Layers (UDL) created from </w:t>
      </w:r>
      <w:r w:rsidR="00FF4236">
        <w:t>a varie</w:t>
      </w:r>
      <w:r w:rsidR="26D0DC9C">
        <w:t>ty</w:t>
      </w:r>
      <w:r w:rsidR="00FF4236">
        <w:t xml:space="preserve"> of landcover, land use and supplemental data sources (see </w:t>
      </w:r>
      <w:r w:rsidR="00FF4236" w:rsidRPr="41D9C46C">
        <w:rPr>
          <w:b/>
          <w:bCs/>
        </w:rPr>
        <w:t xml:space="preserve">APPENDIX 1-6 </w:t>
      </w:r>
      <w:r w:rsidR="00FF4236" w:rsidRPr="00F539F8">
        <w:t>for details</w:t>
      </w:r>
      <w:r w:rsidR="00FF4236" w:rsidRPr="41D9C46C">
        <w:rPr>
          <w:b/>
          <w:bCs/>
        </w:rPr>
        <w:t>)</w:t>
      </w:r>
      <w:r>
        <w:t xml:space="preserve">. </w:t>
      </w:r>
      <w:r w:rsidR="31E7633D">
        <w:t>A</w:t>
      </w:r>
      <w:r>
        <w:t xml:space="preserve">gricultural and non-agricultural use sites are </w:t>
      </w:r>
      <w:r w:rsidR="00543D55">
        <w:t>combined</w:t>
      </w:r>
      <w:r>
        <w:t xml:space="preserve"> to derive the action area</w:t>
      </w:r>
      <w:r w:rsidR="00CB1EEF">
        <w:t xml:space="preserve"> </w:t>
      </w:r>
      <w:r>
        <w:t>(along with the associated off-site transport zone).</w:t>
      </w:r>
      <w:r w:rsidR="00FF52DF">
        <w:t xml:space="preserve"> Due to the overlapping extents of the individual UDLs, the action area only includes direct overlap. For this reason</w:t>
      </w:r>
      <w:r w:rsidR="000955FE">
        <w:t>,</w:t>
      </w:r>
      <w:r w:rsidR="00FF52DF">
        <w:t xml:space="preserve"> the spatial extent of drift from use site</w:t>
      </w:r>
      <w:r w:rsidR="00CB1EEF">
        <w:t>s</w:t>
      </w:r>
      <w:r w:rsidR="00FF52DF">
        <w:t xml:space="preserve"> was considered by creating a separate drift layer represented by the minimum distance from a use site across all UDLs for a location. </w:t>
      </w:r>
    </w:p>
    <w:p w14:paraId="6CCD61FC" w14:textId="1B310BD7" w:rsidR="00771CE6" w:rsidRPr="00DD0C13" w:rsidRDefault="006A290E" w:rsidP="00771CE6">
      <w:pPr>
        <w:spacing w:after="0" w:line="240" w:lineRule="auto"/>
      </w:pPr>
      <w:r w:rsidRPr="00DD0C13">
        <w:lastRenderedPageBreak/>
        <w:t xml:space="preserve">A number of spatial data sources were used to generate Use Data Layers (UDLs), which map the potential use sites for </w:t>
      </w:r>
      <w:r w:rsidR="00CB05FA">
        <w:t>glyphosate</w:t>
      </w:r>
      <w:r w:rsidRPr="00DD0C13">
        <w:t>. In the contiguous United States (ConUS), agricultural use pattern UDLs are represented by</w:t>
      </w:r>
      <w:r w:rsidRPr="00DD0C13" w:rsidDel="00552909">
        <w:t xml:space="preserve"> using</w:t>
      </w:r>
      <w:r w:rsidRPr="00DD0C13">
        <w:t xml:space="preserve"> the US Department of Agriculture’s (USDA) Crop Data Layer (CDL)</w:t>
      </w:r>
      <w:r w:rsidRPr="00DD0C13">
        <w:rPr>
          <w:rStyle w:val="FootnoteReference"/>
        </w:rPr>
        <w:footnoteReference w:id="3"/>
      </w:r>
      <w:r w:rsidRPr="00DD0C13">
        <w:t xml:space="preserve">.  This analysis utilizes data from 2013-2017. </w:t>
      </w:r>
      <w:r w:rsidRPr="41D9C46C">
        <w:rPr>
          <w:b/>
          <w:bCs/>
        </w:rPr>
        <w:t xml:space="preserve">APPENDIX 1-5 </w:t>
      </w:r>
      <w:r w:rsidRPr="00DD0C13">
        <w:t xml:space="preserve">includes a crosswalk between </w:t>
      </w:r>
      <w:r w:rsidR="00FF4236">
        <w:t xml:space="preserve">crops found in the CDL and the resulting UDL while </w:t>
      </w:r>
      <w:r w:rsidRPr="41D9C46C">
        <w:rPr>
          <w:b/>
          <w:bCs/>
        </w:rPr>
        <w:t>APPENDIX 1-</w:t>
      </w:r>
      <w:r w:rsidR="00FF4236" w:rsidRPr="41D9C46C">
        <w:rPr>
          <w:b/>
          <w:bCs/>
        </w:rPr>
        <w:t>6</w:t>
      </w:r>
      <w:r w:rsidRPr="00DD0C13">
        <w:t xml:space="preserve"> includes a crosswalk between </w:t>
      </w:r>
      <w:r w:rsidR="00CB05FA">
        <w:t>glyphosate</w:t>
      </w:r>
      <w:r w:rsidRPr="00DD0C13">
        <w:t>’s registered agricultural crops and th</w:t>
      </w:r>
      <w:r w:rsidR="00FF4236">
        <w:t>ose</w:t>
      </w:r>
      <w:r w:rsidRPr="00DD0C13">
        <w:t xml:space="preserve"> </w:t>
      </w:r>
      <w:r w:rsidR="00FF4236">
        <w:t>U</w:t>
      </w:r>
      <w:r w:rsidRPr="00DD0C13">
        <w:t>DL</w:t>
      </w:r>
      <w:r w:rsidR="00FF4236">
        <w:t>s</w:t>
      </w:r>
      <w:r w:rsidRPr="00DD0C13">
        <w:t xml:space="preserve">. </w:t>
      </w:r>
      <w:r w:rsidRPr="41D9C46C">
        <w:rPr>
          <w:b/>
          <w:bCs/>
        </w:rPr>
        <w:t>APPENDIX 1-</w:t>
      </w:r>
      <w:r w:rsidR="00543D55" w:rsidRPr="41D9C46C">
        <w:rPr>
          <w:b/>
          <w:bCs/>
        </w:rPr>
        <w:t>6</w:t>
      </w:r>
      <w:r w:rsidRPr="00DD0C13">
        <w:t xml:space="preserve"> also defines how individual CDL layers are grouped into UDL categories</w:t>
      </w:r>
      <w:r w:rsidRPr="00DD0C13">
        <w:rPr>
          <w:rStyle w:val="FootnoteReference"/>
        </w:rPr>
        <w:footnoteReference w:id="4"/>
      </w:r>
      <w:r w:rsidRPr="00DD0C13">
        <w:t xml:space="preserve"> </w:t>
      </w:r>
      <w:bookmarkStart w:id="29" w:name="_Hlk32246071"/>
      <w:r w:rsidRPr="00DD0C13">
        <w:t xml:space="preserve">and temporally combined </w:t>
      </w:r>
      <w:bookmarkEnd w:id="29"/>
      <w:r w:rsidRPr="00DD0C13">
        <w:t xml:space="preserve">to account for the accuracy of the data. USDA’s 2012 Census of Agriculture (CoA) is also used to improve accuracy </w:t>
      </w:r>
      <w:r w:rsidR="00FF4236">
        <w:t>of the individual UDLs</w:t>
      </w:r>
      <w:r w:rsidRPr="00DD0C13">
        <w:t xml:space="preserve"> by expanding the agricultural UDLs to meet or exceed the reported acres in the CoA </w:t>
      </w:r>
      <w:r w:rsidR="00FF4236">
        <w:t>as needed</w:t>
      </w:r>
      <w:r w:rsidR="00CB1EEF">
        <w:t xml:space="preserve"> </w:t>
      </w:r>
      <w:r w:rsidRPr="00DD0C13">
        <w:t>(</w:t>
      </w:r>
      <w:r w:rsidRPr="41D9C46C">
        <w:rPr>
          <w:b/>
          <w:bCs/>
        </w:rPr>
        <w:t>ATTACHMENT 1-3</w:t>
      </w:r>
      <w:r w:rsidRPr="00DD0C13">
        <w:t xml:space="preserve">). </w:t>
      </w:r>
      <w:r w:rsidR="4683334E" w:rsidRPr="00DD0C13">
        <w:t>The CDL is only available for ConUS, so other data sources are used to represent agricultural areas in states and US territories outside of ConUS (referred to as NL48</w:t>
      </w:r>
      <w:r w:rsidR="00771CE6" w:rsidRPr="00DD0C13">
        <w:rPr>
          <w:rStyle w:val="FootnoteReference"/>
        </w:rPr>
        <w:footnoteReference w:id="5"/>
      </w:r>
      <w:r w:rsidR="4683334E" w:rsidRPr="00DD0C13">
        <w:t>). In Alaska and Puerto Rico, the US Geological Survey’s 2011 National Land Cover Dataset (NLCD)</w:t>
      </w:r>
      <w:r w:rsidR="00771CE6" w:rsidRPr="00DD0C13">
        <w:rPr>
          <w:rStyle w:val="FootnoteReference"/>
        </w:rPr>
        <w:footnoteReference w:id="6"/>
      </w:r>
      <w:r w:rsidR="4683334E" w:rsidRPr="00DD0C13">
        <w:t xml:space="preserve"> is used. In Hawaii, Guam, American Samoa, Virgin Islands and Northern Mariana Islands, the National Oceanic and Atmospheric Administration’s Costal Change Analysis Program (C-CAP)</w:t>
      </w:r>
      <w:r w:rsidR="00771CE6" w:rsidRPr="00DD0C13">
        <w:rPr>
          <w:rStyle w:val="FootnoteReference"/>
        </w:rPr>
        <w:footnoteReference w:id="7"/>
      </w:r>
      <w:r w:rsidR="4683334E" w:rsidRPr="00DD0C13">
        <w:t xml:space="preserve"> data from 2010-2012 are used. </w:t>
      </w:r>
      <w:r w:rsidRPr="00DD0C13">
        <w:t xml:space="preserve">For non-agricultural use patterns in ConUS additional UDLs were created to represent </w:t>
      </w:r>
      <w:r w:rsidR="00CB05FA">
        <w:t>glyphosate</w:t>
      </w:r>
      <w:r w:rsidRPr="00DD0C13">
        <w:t>’s registered uses. The data sources used for these UDLs included but are not limited to the NLCD 2011, GAP Protected Areas Database, LandFire and NAVTEQ; for additional detail</w:t>
      </w:r>
      <w:r w:rsidR="17C12B0C">
        <w:t>s</w:t>
      </w:r>
      <w:r w:rsidRPr="00DD0C13">
        <w:t xml:space="preserve"> see </w:t>
      </w:r>
      <w:r w:rsidRPr="41D9C46C">
        <w:rPr>
          <w:b/>
          <w:bCs/>
        </w:rPr>
        <w:t>APPENDIX 1-6</w:t>
      </w:r>
      <w:r w:rsidR="17C12B0C" w:rsidRPr="41D9C46C">
        <w:rPr>
          <w:b/>
          <w:bCs/>
        </w:rPr>
        <w:t xml:space="preserve"> </w:t>
      </w:r>
      <w:r w:rsidR="17C12B0C" w:rsidRPr="41D9C46C">
        <w:t>which</w:t>
      </w:r>
      <w:r w:rsidRPr="00DD0C13">
        <w:t xml:space="preserve"> summarizes all spatial data used to generate the agricultural and non-agricultural UDLs used for </w:t>
      </w:r>
      <w:r w:rsidR="00CB05FA">
        <w:t>glyphosate</w:t>
      </w:r>
      <w:r w:rsidRPr="00DD0C13">
        <w:t>’s potential use site footprints</w:t>
      </w:r>
      <w:r w:rsidR="41EB1732">
        <w:t xml:space="preserve">. </w:t>
      </w:r>
      <w:r w:rsidR="4683334E" w:rsidRPr="00DD0C13">
        <w:t>Due to the limited availab</w:t>
      </w:r>
      <w:r w:rsidR="4683334E">
        <w:t xml:space="preserve">ility </w:t>
      </w:r>
      <w:r w:rsidR="4683334E" w:rsidRPr="00DD0C13">
        <w:t>of GIS data in some of the NL48 regions</w:t>
      </w:r>
      <w:r w:rsidR="4683334E">
        <w:t>,</w:t>
      </w:r>
      <w:r w:rsidR="4683334E" w:rsidRPr="00DD0C13">
        <w:t xml:space="preserve"> the Nurseries UDL could not be created in Commonwealth of the Northern Mariana Island, Guam, and America Samoa and the Forest Trees UDL could not be created in America Samoa. </w:t>
      </w:r>
      <w:r w:rsidR="1ED50D5E">
        <w:t>A separate UDL specific to fallow area was not created in the NL48 regions because it would be identical to the agricultural UDL.</w:t>
      </w:r>
      <w:r w:rsidR="00CB1EEF">
        <w:t xml:space="preserve"> </w:t>
      </w:r>
      <w:r w:rsidR="4683334E" w:rsidRPr="41D9C46C">
        <w:rPr>
          <w:b/>
          <w:bCs/>
        </w:rPr>
        <w:t>APPENDIX 1-6</w:t>
      </w:r>
      <w:r w:rsidR="4683334E" w:rsidRPr="00DD0C13">
        <w:t xml:space="preserve"> summarizes all spatial data used to generate the agricultural and non-agricultural UDLs used for </w:t>
      </w:r>
      <w:r w:rsidR="4683334E">
        <w:t>glyphosate’s</w:t>
      </w:r>
      <w:r w:rsidR="4683334E" w:rsidRPr="00DD0C13">
        <w:t xml:space="preserve"> potential use site footprints in the ConUS and NL48.</w:t>
      </w:r>
    </w:p>
    <w:p w14:paraId="43996895" w14:textId="77777777" w:rsidR="006A290E" w:rsidRPr="0011187A" w:rsidRDefault="006A290E" w:rsidP="006A290E">
      <w:pPr>
        <w:keepNext/>
        <w:keepLines/>
        <w:spacing w:after="0" w:line="240" w:lineRule="auto"/>
        <w:rPr>
          <w:highlight w:val="yellow"/>
        </w:rPr>
      </w:pPr>
    </w:p>
    <w:p w14:paraId="6F4DF451" w14:textId="221F4AD1" w:rsidR="006A290E" w:rsidRDefault="006A290E" w:rsidP="006A290E">
      <w:pPr>
        <w:spacing w:after="0" w:line="240" w:lineRule="auto"/>
      </w:pPr>
      <w:r w:rsidRPr="0023583F">
        <w:t xml:space="preserve">The Step 2 overlap analysis incorporates </w:t>
      </w:r>
      <w:r w:rsidR="00CB05FA">
        <w:t>glyphosate</w:t>
      </w:r>
      <w:r w:rsidRPr="0023583F">
        <w:t xml:space="preserve"> </w:t>
      </w:r>
      <w:r>
        <w:t>usage data, which are provided</w:t>
      </w:r>
      <w:r w:rsidRPr="0023583F">
        <w:t xml:space="preserve"> in the SUUM</w:t>
      </w:r>
      <w:r w:rsidR="008974DE">
        <w:t xml:space="preserve"> (</w:t>
      </w:r>
      <w:r w:rsidR="008974DE" w:rsidRPr="00131878">
        <w:t>SIAB Use and Usage Matrix</w:t>
      </w:r>
      <w:r w:rsidR="008974DE">
        <w:t>)</w:t>
      </w:r>
      <w:r w:rsidR="00C20EF7">
        <w:t>, combining it with information from the CoA</w:t>
      </w:r>
      <w:r w:rsidRPr="0023583F">
        <w:t xml:space="preserve"> (</w:t>
      </w:r>
      <w:r w:rsidRPr="0023583F">
        <w:rPr>
          <w:b/>
        </w:rPr>
        <w:t>A</w:t>
      </w:r>
      <w:r>
        <w:rPr>
          <w:b/>
        </w:rPr>
        <w:t>PPENDIX</w:t>
      </w:r>
      <w:r w:rsidRPr="0023583F">
        <w:rPr>
          <w:b/>
        </w:rPr>
        <w:t xml:space="preserve"> 1-4</w:t>
      </w:r>
      <w:r w:rsidR="00C20EF7">
        <w:rPr>
          <w:b/>
        </w:rPr>
        <w:t>, ATTACHMENT 1-4</w:t>
      </w:r>
      <w:r w:rsidRPr="0023583F">
        <w:t xml:space="preserve">). </w:t>
      </w:r>
      <w:r w:rsidRPr="0023583F">
        <w:rPr>
          <w:b/>
        </w:rPr>
        <w:t>A</w:t>
      </w:r>
      <w:r>
        <w:rPr>
          <w:b/>
        </w:rPr>
        <w:t>PPENDI</w:t>
      </w:r>
      <w:r w:rsidR="00213AAE">
        <w:rPr>
          <w:b/>
        </w:rPr>
        <w:t>X</w:t>
      </w:r>
      <w:r w:rsidRPr="0023583F">
        <w:rPr>
          <w:b/>
        </w:rPr>
        <w:t xml:space="preserve"> 1-7 </w:t>
      </w:r>
      <w:r w:rsidRPr="0023583F">
        <w:t xml:space="preserve">describe how the usage data for </w:t>
      </w:r>
      <w:r w:rsidR="00CB05FA">
        <w:t>glyphosate</w:t>
      </w:r>
      <w:r w:rsidR="00C20EF7">
        <w:t>, the CoA, and the potential use sites</w:t>
      </w:r>
      <w:r w:rsidRPr="0023583F">
        <w:t xml:space="preserve"> are combined to estimate the number of treated acres relevant to a given species located in ConUS</w:t>
      </w:r>
      <w:r w:rsidR="00D74AD8">
        <w:t xml:space="preserve"> o</w:t>
      </w:r>
      <w:r w:rsidR="00C20EF7">
        <w:t>r</w:t>
      </w:r>
      <w:r w:rsidR="00D74AD8">
        <w:t xml:space="preserve"> NL48 (respectively)</w:t>
      </w:r>
      <w:r w:rsidRPr="0023583F">
        <w:t>. These appendices also explain how the off-site transport zone (specifically spray drift) is adjusted based on available usage data.</w:t>
      </w:r>
      <w:r>
        <w:t xml:space="preserve"> </w:t>
      </w:r>
    </w:p>
    <w:p w14:paraId="1CA2BF9D" w14:textId="77777777" w:rsidR="006A290E" w:rsidRDefault="006A290E" w:rsidP="006A290E">
      <w:pPr>
        <w:spacing w:after="0" w:line="240" w:lineRule="auto"/>
      </w:pPr>
    </w:p>
    <w:p w14:paraId="295F24DD" w14:textId="77777777" w:rsidR="00D021E0" w:rsidRDefault="001366C0" w:rsidP="00D021E0">
      <w:pPr>
        <w:spacing w:after="0" w:line="240" w:lineRule="auto"/>
        <w:rPr>
          <w:rFonts w:eastAsiaTheme="minorEastAsia"/>
        </w:rPr>
      </w:pPr>
      <w:bookmarkStart w:id="30" w:name="_Hlk52770918"/>
      <w:bookmarkStart w:id="31" w:name="_Hlk52771142"/>
      <w:r w:rsidRPr="00800879">
        <w:rPr>
          <w:rFonts w:eastAsiaTheme="minorEastAsia"/>
        </w:rPr>
        <w:lastRenderedPageBreak/>
        <w:t>The Revised Method document stated “</w:t>
      </w:r>
      <w:r w:rsidRPr="00800879">
        <w:t xml:space="preserve">Over time, EPA expects to update the MAGtool and other models and tools described in this document. When a pesticide BE is conducted, it will incorporate the most current versions of models and tools intended for use in the BEs.” </w:t>
      </w:r>
      <w:r w:rsidRPr="00800879">
        <w:rPr>
          <w:rFonts w:eastAsiaTheme="minorEastAsia"/>
        </w:rPr>
        <w:t xml:space="preserve">This BE is consistent with the Revised Method and includes two method updates that are intended to improve the methods for assessing exposure and effects to plants. First, this BE utilizes a refined exposure model for plants inhabiting terrestrial, wetland and aquatic habitats. Second, this BE incorporates surrogate endpoints for plants when </w:t>
      </w:r>
      <w:r w:rsidRPr="00800879">
        <w:t>No Observed Adverse Effects Concentrations (</w:t>
      </w:r>
      <w:r w:rsidRPr="00800879">
        <w:rPr>
          <w:rFonts w:eastAsiaTheme="minorEastAsia"/>
        </w:rPr>
        <w:t>NOAEC) values are not available. These approaches are discussed below.</w:t>
      </w:r>
    </w:p>
    <w:p w14:paraId="62941C87" w14:textId="77777777" w:rsidR="00D021E0" w:rsidRDefault="00D021E0" w:rsidP="00D021E0">
      <w:pPr>
        <w:spacing w:after="0" w:line="240" w:lineRule="auto"/>
        <w:rPr>
          <w:rFonts w:eastAsiaTheme="minorEastAsia"/>
        </w:rPr>
      </w:pPr>
    </w:p>
    <w:p w14:paraId="52727518" w14:textId="42160A40" w:rsidR="001366C0" w:rsidRDefault="001366C0" w:rsidP="00D021E0">
      <w:pPr>
        <w:spacing w:after="0" w:line="240" w:lineRule="auto"/>
        <w:rPr>
          <w:rStyle w:val="eop"/>
          <w:shd w:val="clear" w:color="auto" w:fill="FFFFFF"/>
        </w:rPr>
      </w:pPr>
      <w:r w:rsidRPr="00800879">
        <w:rPr>
          <w:rStyle w:val="normaltextrun"/>
          <w:shd w:val="clear" w:color="auto" w:fill="FFFFFF"/>
        </w:rPr>
        <w:t>To estimate exposures to plants in aquatic, wetland, and terrestrial habitats, this BE uses the Plant Assessment Tool (PAT), a new tool designed to refine screening-level exposure estimates to plants typically generated using TerrPlant. PAT employs mechanistic representations of fate (e.g., degradation) and transport (e.g., runoff), using data that are typically available for pesticides, to model runoff and spray drift exposure to terrestrial and wetland environments. For terrestrial plants, runoff and erosion are modeled using the Pesticide Root Zone Model (PRZM; which is part of PWC) and spray drift is modeled using </w:t>
      </w:r>
      <w:r w:rsidRPr="00800879">
        <w:rPr>
          <w:rStyle w:val="spellingerror"/>
          <w:shd w:val="clear" w:color="auto" w:fill="FFFFFF"/>
        </w:rPr>
        <w:t>AgDRIFT</w:t>
      </w:r>
      <w:r w:rsidRPr="00800879">
        <w:rPr>
          <w:rStyle w:val="normaltextrun"/>
          <w:shd w:val="clear" w:color="auto" w:fill="FFFFFF"/>
        </w:rPr>
        <w:t> deposition values (also incorporated into the MAGtool).  The model uses a mixing cell approach to represent water within the active root zone area of soil, and accounts for flow through the terrestrial plant exposure zone (T-PEZ) caused by both treated field runoff and direct precipitation onto the T-PEZ.  Pesticide losses from the T-PEZ occur from transport (i.e., washout and infiltration below the active root zone) and degradation. Wetlands are modeled using PRZM and the Variable Volume Water Model (VVWM) and are then processed in PAT to estimate aquatic (mass per volume of water) and terrestrial (mass per area) concentrations. Aquatic plant exposure is modeled using the PRZM/VVWM models and the standard pond.</w:t>
      </w:r>
      <w:r w:rsidRPr="00800879">
        <w:rPr>
          <w:rStyle w:val="eop"/>
          <w:shd w:val="clear" w:color="auto" w:fill="FFFFFF"/>
        </w:rPr>
        <w:t> The results from PAT are summarized for use in the MAGtool in the same way as the results from PWC.</w:t>
      </w:r>
    </w:p>
    <w:p w14:paraId="5678B41E" w14:textId="77777777" w:rsidR="00D021E0" w:rsidRPr="00800879" w:rsidRDefault="00D021E0" w:rsidP="00D021E0">
      <w:pPr>
        <w:spacing w:after="0"/>
        <w:rPr>
          <w:shd w:val="clear" w:color="auto" w:fill="FFFFFF"/>
        </w:rPr>
      </w:pPr>
    </w:p>
    <w:p w14:paraId="0C02FB6E" w14:textId="5B274AC5" w:rsidR="001366C0" w:rsidRDefault="001366C0" w:rsidP="001366C0">
      <w:pPr>
        <w:spacing w:after="0"/>
      </w:pPr>
      <w:r w:rsidRPr="00800879">
        <w:t>For listed terrestrial and wetland plant species, NOAECs from seedling emergence and vegetative vigor studies are used to represent toxicity endpoints. There are often cases where NOAECs are not available (</w:t>
      </w:r>
      <w:r w:rsidRPr="00800879">
        <w:rPr>
          <w:i/>
        </w:rPr>
        <w:t>e.g</w:t>
      </w:r>
      <w:r w:rsidRPr="00800879">
        <w:t>., statistically significant effects occurred at all test concentrations) or are considered unreliable. Consistent with OPP’s longstanding practice, in cases where NOAECs are not available or reliable, an ICx value is used as a surrogate. Based on an analysis of the variability in the dry weight and height data of the controls of commonly tested species in vegetative vigor and seedling emergence studies, x values were assigned based on test type and endpoint (</w:t>
      </w:r>
      <w:r w:rsidR="000F5DFD">
        <w:fldChar w:fldCharType="begin"/>
      </w:r>
      <w:r w:rsidR="000F5DFD">
        <w:instrText xml:space="preserve"> REF _Ref56684006 \h </w:instrText>
      </w:r>
      <w:r w:rsidR="000F5DFD">
        <w:fldChar w:fldCharType="separate"/>
      </w:r>
      <w:r w:rsidR="000F5DFD">
        <w:t>Table 1-</w:t>
      </w:r>
      <w:r w:rsidR="000F5DFD">
        <w:rPr>
          <w:noProof/>
        </w:rPr>
        <w:t>2</w:t>
      </w:r>
      <w:r w:rsidR="000F5DFD">
        <w:fldChar w:fldCharType="end"/>
      </w:r>
      <w:r w:rsidR="00D021E0">
        <w:rPr>
          <w:b/>
          <w:bCs/>
        </w:rPr>
        <w:fldChar w:fldCharType="begin"/>
      </w:r>
      <w:r w:rsidR="00D021E0">
        <w:instrText xml:space="preserve"> REF _Ref56678289 \h </w:instrText>
      </w:r>
      <w:r w:rsidR="00D021E0">
        <w:rPr>
          <w:b/>
          <w:bCs/>
        </w:rPr>
      </w:r>
      <w:r w:rsidR="00D021E0">
        <w:rPr>
          <w:b/>
          <w:bCs/>
        </w:rPr>
        <w:fldChar w:fldCharType="end"/>
      </w:r>
      <w:r w:rsidRPr="00800879">
        <w:t xml:space="preserve">; supporting details in </w:t>
      </w:r>
      <w:r w:rsidRPr="00800879">
        <w:rPr>
          <w:b/>
          <w:bCs/>
        </w:rPr>
        <w:t>ATTACHMENT 1-5</w:t>
      </w:r>
      <w:r w:rsidRPr="00800879">
        <w:t>). This analysis does not consider the biological significance of the percent effect but rather identifies an ICx value at which we have confidence the measured effect is discernible.</w:t>
      </w:r>
      <w:r w:rsidRPr="001366C0">
        <w:rPr>
          <w:b/>
          <w:bCs/>
        </w:rPr>
        <w:t xml:space="preserve"> </w:t>
      </w:r>
      <w:r w:rsidR="000F5DFD">
        <w:rPr>
          <w:b/>
          <w:bCs/>
        </w:rPr>
        <w:fldChar w:fldCharType="begin"/>
      </w:r>
      <w:r w:rsidR="000F5DFD">
        <w:rPr>
          <w:b/>
          <w:bCs/>
        </w:rPr>
        <w:instrText xml:space="preserve"> REF _Ref56684006 \h </w:instrText>
      </w:r>
      <w:r w:rsidR="000F5DFD">
        <w:rPr>
          <w:b/>
          <w:bCs/>
        </w:rPr>
      </w:r>
      <w:r w:rsidR="000F5DFD">
        <w:rPr>
          <w:b/>
          <w:bCs/>
        </w:rPr>
        <w:fldChar w:fldCharType="separate"/>
      </w:r>
      <w:r w:rsidR="000F5DFD">
        <w:t>Table 1-</w:t>
      </w:r>
      <w:r w:rsidR="000F5DFD">
        <w:rPr>
          <w:noProof/>
        </w:rPr>
        <w:t>2</w:t>
      </w:r>
      <w:r w:rsidR="000F5DFD">
        <w:rPr>
          <w:b/>
          <w:bCs/>
        </w:rPr>
        <w:fldChar w:fldCharType="end"/>
      </w:r>
      <w:r w:rsidR="000F5DFD">
        <w:rPr>
          <w:b/>
          <w:bCs/>
        </w:rPr>
        <w:t xml:space="preserve"> </w:t>
      </w:r>
      <w:r>
        <w:t>p</w:t>
      </w:r>
      <w:r w:rsidRPr="00800879">
        <w:t>resents the ICx values that will be used as the Step 1 and 2 thresholds when a reliable NOAEC value is not available.</w:t>
      </w:r>
      <w:bookmarkEnd w:id="30"/>
      <w:r w:rsidRPr="00800879">
        <w:t xml:space="preserve"> </w:t>
      </w:r>
    </w:p>
    <w:p w14:paraId="6974590A" w14:textId="77777777" w:rsidR="001366C0" w:rsidRDefault="001366C0" w:rsidP="001366C0">
      <w:pPr>
        <w:spacing w:after="0"/>
      </w:pPr>
    </w:p>
    <w:p w14:paraId="2F88C9AC" w14:textId="50E105B1" w:rsidR="001366C0" w:rsidRPr="00D021E0" w:rsidRDefault="000F5DFD" w:rsidP="000F5DFD">
      <w:pPr>
        <w:pStyle w:val="Caption"/>
      </w:pPr>
      <w:bookmarkStart w:id="32" w:name="_Ref56684006"/>
      <w:bookmarkEnd w:id="31"/>
      <w:r>
        <w:t>Table 1-</w:t>
      </w:r>
      <w:fldSimple w:instr=" SEQ Table_1 \* ARABIC ">
        <w:r>
          <w:rPr>
            <w:noProof/>
          </w:rPr>
          <w:t>2</w:t>
        </w:r>
      </w:fldSimple>
      <w:bookmarkEnd w:id="32"/>
      <w:r>
        <w:t xml:space="preserve">. </w:t>
      </w:r>
      <w:r w:rsidRPr="005F4979">
        <w:t>Alternate Step 1 and 2 thresholds.</w:t>
      </w:r>
    </w:p>
    <w:tbl>
      <w:tblPr>
        <w:tblStyle w:val="TableGrid"/>
        <w:tblW w:w="0" w:type="auto"/>
        <w:tblLook w:val="04A0" w:firstRow="1" w:lastRow="0" w:firstColumn="1" w:lastColumn="0" w:noHBand="0" w:noVBand="1"/>
      </w:tblPr>
      <w:tblGrid>
        <w:gridCol w:w="3116"/>
        <w:gridCol w:w="3117"/>
        <w:gridCol w:w="3117"/>
      </w:tblGrid>
      <w:tr w:rsidR="001366C0" w14:paraId="36CED181" w14:textId="77777777" w:rsidTr="002E1EC4">
        <w:tc>
          <w:tcPr>
            <w:tcW w:w="3116" w:type="dxa"/>
            <w:shd w:val="clear" w:color="auto" w:fill="D9D9D9" w:themeFill="background1" w:themeFillShade="D9"/>
          </w:tcPr>
          <w:p w14:paraId="2DAD9AAF" w14:textId="77777777" w:rsidR="001366C0" w:rsidRPr="002B2976" w:rsidRDefault="001366C0" w:rsidP="002E1EC4">
            <w:pPr>
              <w:rPr>
                <w:b/>
                <w:bCs/>
              </w:rPr>
            </w:pPr>
            <w:r w:rsidRPr="002B2976">
              <w:rPr>
                <w:b/>
                <w:bCs/>
              </w:rPr>
              <w:t>Test Type</w:t>
            </w:r>
          </w:p>
        </w:tc>
        <w:tc>
          <w:tcPr>
            <w:tcW w:w="3117" w:type="dxa"/>
            <w:shd w:val="clear" w:color="auto" w:fill="D9D9D9" w:themeFill="background1" w:themeFillShade="D9"/>
          </w:tcPr>
          <w:p w14:paraId="7814052F" w14:textId="77777777" w:rsidR="001366C0" w:rsidRPr="002B2976" w:rsidRDefault="001366C0" w:rsidP="002E1EC4">
            <w:pPr>
              <w:jc w:val="center"/>
              <w:rPr>
                <w:b/>
                <w:bCs/>
              </w:rPr>
            </w:pPr>
            <w:r w:rsidRPr="002B2976">
              <w:rPr>
                <w:b/>
                <w:bCs/>
              </w:rPr>
              <w:t>Dry Weight</w:t>
            </w:r>
          </w:p>
        </w:tc>
        <w:tc>
          <w:tcPr>
            <w:tcW w:w="3117" w:type="dxa"/>
            <w:shd w:val="clear" w:color="auto" w:fill="D9D9D9" w:themeFill="background1" w:themeFillShade="D9"/>
          </w:tcPr>
          <w:p w14:paraId="3317E592" w14:textId="77777777" w:rsidR="001366C0" w:rsidRPr="002B2976" w:rsidRDefault="001366C0" w:rsidP="002E1EC4">
            <w:pPr>
              <w:jc w:val="center"/>
              <w:rPr>
                <w:b/>
                <w:bCs/>
              </w:rPr>
            </w:pPr>
            <w:r w:rsidRPr="002B2976">
              <w:rPr>
                <w:b/>
                <w:bCs/>
              </w:rPr>
              <w:t>Shoot Height</w:t>
            </w:r>
          </w:p>
        </w:tc>
      </w:tr>
      <w:tr w:rsidR="001366C0" w14:paraId="07A24682" w14:textId="77777777" w:rsidTr="002E1EC4">
        <w:tc>
          <w:tcPr>
            <w:tcW w:w="3116" w:type="dxa"/>
          </w:tcPr>
          <w:p w14:paraId="374815EF" w14:textId="77777777" w:rsidR="001366C0" w:rsidRDefault="001366C0" w:rsidP="002E1EC4">
            <w:r>
              <w:t>Vegetative Vigor</w:t>
            </w:r>
          </w:p>
        </w:tc>
        <w:tc>
          <w:tcPr>
            <w:tcW w:w="3117" w:type="dxa"/>
          </w:tcPr>
          <w:p w14:paraId="637E4405" w14:textId="77777777" w:rsidR="001366C0" w:rsidRDefault="001366C0" w:rsidP="002E1EC4">
            <w:pPr>
              <w:jc w:val="center"/>
            </w:pPr>
            <w:r>
              <w:t>IC</w:t>
            </w:r>
            <w:r w:rsidRPr="002B2976">
              <w:rPr>
                <w:vertAlign w:val="subscript"/>
              </w:rPr>
              <w:t>15</w:t>
            </w:r>
          </w:p>
        </w:tc>
        <w:tc>
          <w:tcPr>
            <w:tcW w:w="3117" w:type="dxa"/>
          </w:tcPr>
          <w:p w14:paraId="7E04579E" w14:textId="77777777" w:rsidR="001366C0" w:rsidRDefault="001366C0" w:rsidP="002E1EC4">
            <w:pPr>
              <w:jc w:val="center"/>
            </w:pPr>
            <w:r>
              <w:t>IC</w:t>
            </w:r>
            <w:r w:rsidRPr="002B2976">
              <w:rPr>
                <w:vertAlign w:val="subscript"/>
              </w:rPr>
              <w:t>10</w:t>
            </w:r>
          </w:p>
        </w:tc>
      </w:tr>
      <w:tr w:rsidR="001366C0" w14:paraId="41020C09" w14:textId="77777777" w:rsidTr="002E1EC4">
        <w:tc>
          <w:tcPr>
            <w:tcW w:w="3116" w:type="dxa"/>
          </w:tcPr>
          <w:p w14:paraId="7777914F" w14:textId="77777777" w:rsidR="001366C0" w:rsidRDefault="001366C0" w:rsidP="002E1EC4">
            <w:r>
              <w:t>Seedling Emergence</w:t>
            </w:r>
          </w:p>
        </w:tc>
        <w:tc>
          <w:tcPr>
            <w:tcW w:w="3117" w:type="dxa"/>
          </w:tcPr>
          <w:p w14:paraId="410E8AB8" w14:textId="77777777" w:rsidR="001366C0" w:rsidRDefault="001366C0" w:rsidP="002E1EC4">
            <w:pPr>
              <w:jc w:val="center"/>
            </w:pPr>
            <w:r>
              <w:t>IC</w:t>
            </w:r>
            <w:r w:rsidRPr="002B2976">
              <w:rPr>
                <w:vertAlign w:val="subscript"/>
              </w:rPr>
              <w:t>20</w:t>
            </w:r>
          </w:p>
        </w:tc>
        <w:tc>
          <w:tcPr>
            <w:tcW w:w="3117" w:type="dxa"/>
          </w:tcPr>
          <w:p w14:paraId="65EC9AF8" w14:textId="77777777" w:rsidR="001366C0" w:rsidRDefault="001366C0" w:rsidP="002E1EC4">
            <w:pPr>
              <w:jc w:val="center"/>
            </w:pPr>
            <w:r>
              <w:t>IC</w:t>
            </w:r>
            <w:r w:rsidRPr="002B2976">
              <w:rPr>
                <w:vertAlign w:val="subscript"/>
              </w:rPr>
              <w:t>10</w:t>
            </w:r>
          </w:p>
        </w:tc>
      </w:tr>
    </w:tbl>
    <w:p w14:paraId="2133DF4D" w14:textId="77777777" w:rsidR="001366C0" w:rsidRDefault="001366C0" w:rsidP="001366C0"/>
    <w:p w14:paraId="5E0A5AF9" w14:textId="7F992F82" w:rsidR="001366C0" w:rsidRPr="00FB5489" w:rsidRDefault="001366C0" w:rsidP="001366C0">
      <w:r w:rsidRPr="00FB5489">
        <w:rPr>
          <w:b/>
          <w:bCs/>
        </w:rPr>
        <w:t xml:space="preserve">Chapter 2 </w:t>
      </w:r>
      <w:r w:rsidRPr="00FB5489">
        <w:t xml:space="preserve">of this BE includes </w:t>
      </w:r>
      <w:r w:rsidR="00855750">
        <w:t>glyphosate</w:t>
      </w:r>
      <w:r w:rsidR="00855750" w:rsidRPr="00FB5489">
        <w:t xml:space="preserve">’s </w:t>
      </w:r>
      <w:r w:rsidRPr="00FB5489">
        <w:t xml:space="preserve">toxicity endpoints and </w:t>
      </w:r>
      <w:r w:rsidRPr="00FB5489">
        <w:rPr>
          <w:b/>
          <w:bCs/>
        </w:rPr>
        <w:t>Chapter 3</w:t>
      </w:r>
      <w:r w:rsidRPr="00FB5489">
        <w:t xml:space="preserve"> includes the exposure analysis. These toxicity endpoints and exposure estimates are used in Steps 1 and 2.</w:t>
      </w:r>
      <w:r w:rsidRPr="00FB5489">
        <w:rPr>
          <w:b/>
          <w:bCs/>
        </w:rPr>
        <w:t xml:space="preserve"> Chapter 2</w:t>
      </w:r>
      <w:r w:rsidRPr="00FB5489">
        <w:t xml:space="preserve"> also summarizes incident reports that are associated with applications of </w:t>
      </w:r>
      <w:r w:rsidR="00855750">
        <w:t>glyphosate</w:t>
      </w:r>
      <w:r w:rsidR="00855750" w:rsidRPr="00FB5489">
        <w:t xml:space="preserve"> </w:t>
      </w:r>
      <w:r w:rsidRPr="00FB5489">
        <w:t xml:space="preserve">(incident reports associated with illegal uses or misuses are not included in the assessment). </w:t>
      </w:r>
      <w:r w:rsidRPr="00FB5489">
        <w:rPr>
          <w:b/>
          <w:bCs/>
        </w:rPr>
        <w:t>Chapter 3</w:t>
      </w:r>
      <w:r w:rsidRPr="00FB5489">
        <w:t xml:space="preserve"> summarizes available monitoring data. </w:t>
      </w:r>
      <w:r w:rsidRPr="00FB5489">
        <w:rPr>
          <w:b/>
          <w:bCs/>
        </w:rPr>
        <w:t>Chapter 4</w:t>
      </w:r>
      <w:r w:rsidRPr="00FB5489">
        <w:t xml:space="preserve"> includes the species and critical habitat-specific determinations for </w:t>
      </w:r>
      <w:r w:rsidR="00855750">
        <w:lastRenderedPageBreak/>
        <w:t>glyphosate</w:t>
      </w:r>
      <w:r w:rsidRPr="00FB5489">
        <w:t>. For exposure in terrestrial habitats, the MAGtool</w:t>
      </w:r>
      <w:r w:rsidRPr="00D50CA8">
        <w:rPr>
          <w:vertAlign w:val="superscript"/>
        </w:rPr>
        <w:footnoteReference w:id="8"/>
      </w:r>
      <w:r w:rsidRPr="00FB5489">
        <w:t xml:space="preserve"> (version 2.2) is used (additional details in </w:t>
      </w:r>
      <w:r w:rsidRPr="00FB5489">
        <w:rPr>
          <w:b/>
          <w:bCs/>
        </w:rPr>
        <w:t xml:space="preserve">ATTACHMENT 1-1 </w:t>
      </w:r>
      <w:r w:rsidRPr="00FB5489">
        <w:t>and tool documentation). For aquatic habitats, exposure is estimated using the Pesticide in Water Calculator (PWC; version 1.52</w:t>
      </w:r>
      <w:r w:rsidRPr="00FB5489">
        <w:footnoteReference w:id="9"/>
      </w:r>
      <w:r w:rsidRPr="00FB5489">
        <w:t>) and, where appropriate, the Pesticide in Flooded Applications Model (PFAM, version 2</w:t>
      </w:r>
      <w:r w:rsidRPr="00FB5489">
        <w:footnoteReference w:id="10"/>
      </w:r>
      <w:r w:rsidRPr="00FB5489">
        <w:t xml:space="preserve">). Aquatic scenarios (referred to as “bins”) used to estimate exposures for each listed species with aquatic habitats are provided in </w:t>
      </w:r>
      <w:r w:rsidRPr="00FB5489">
        <w:rPr>
          <w:b/>
          <w:bCs/>
        </w:rPr>
        <w:t>ATTACHMENT 1-2</w:t>
      </w:r>
      <w:r w:rsidRPr="00FB5489">
        <w:t xml:space="preserve">. For plants, exposure is estimated using PAT. The MAGtool is used to integrate exposure, effects, and listed species life history information in order to make NE, NLAA and LAA determinations. </w:t>
      </w:r>
    </w:p>
    <w:p w14:paraId="4E50DFAB" w14:textId="77777777" w:rsidR="001366C0" w:rsidRDefault="001366C0" w:rsidP="001366C0"/>
    <w:p w14:paraId="53D77192" w14:textId="77777777" w:rsidR="00C3646C" w:rsidRDefault="00C3646C" w:rsidP="001366C0"/>
    <w:sectPr w:rsidR="00C3646C">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700F1D4" w16cex:dateUtc="2020-11-19T16:48:28.94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14EBE" w14:textId="77777777" w:rsidR="002E1EC4" w:rsidRDefault="002E1EC4" w:rsidP="006A290E">
      <w:pPr>
        <w:spacing w:after="0" w:line="240" w:lineRule="auto"/>
      </w:pPr>
      <w:r>
        <w:separator/>
      </w:r>
    </w:p>
  </w:endnote>
  <w:endnote w:type="continuationSeparator" w:id="0">
    <w:p w14:paraId="4F164399" w14:textId="77777777" w:rsidR="002E1EC4" w:rsidRDefault="002E1EC4" w:rsidP="006A290E">
      <w:pPr>
        <w:spacing w:after="0" w:line="240" w:lineRule="auto"/>
      </w:pPr>
      <w:r>
        <w:continuationSeparator/>
      </w:r>
    </w:p>
  </w:endnote>
  <w:endnote w:type="continuationNotice" w:id="1">
    <w:p w14:paraId="499DFDAB" w14:textId="77777777" w:rsidR="002E1EC4" w:rsidRDefault="002E1E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82BBD" w14:textId="0070D5F5" w:rsidR="00145007" w:rsidRDefault="00145007">
    <w:pPr>
      <w:pStyle w:val="Footer"/>
      <w:jc w:val="center"/>
    </w:pPr>
    <w:r>
      <w:t>1-</w:t>
    </w:r>
    <w:sdt>
      <w:sdtPr>
        <w:id w:val="-181956801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3499D25" w14:textId="77777777" w:rsidR="00145007" w:rsidRDefault="00145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B04BD" w14:textId="77777777" w:rsidR="002E1EC4" w:rsidRDefault="002E1EC4" w:rsidP="006A290E">
      <w:pPr>
        <w:spacing w:after="0" w:line="240" w:lineRule="auto"/>
      </w:pPr>
      <w:r>
        <w:separator/>
      </w:r>
    </w:p>
  </w:footnote>
  <w:footnote w:type="continuationSeparator" w:id="0">
    <w:p w14:paraId="24119AAC" w14:textId="77777777" w:rsidR="002E1EC4" w:rsidRDefault="002E1EC4" w:rsidP="006A290E">
      <w:pPr>
        <w:spacing w:after="0" w:line="240" w:lineRule="auto"/>
      </w:pPr>
      <w:r>
        <w:continuationSeparator/>
      </w:r>
    </w:p>
  </w:footnote>
  <w:footnote w:type="continuationNotice" w:id="1">
    <w:p w14:paraId="66D334F3" w14:textId="77777777" w:rsidR="002E1EC4" w:rsidRDefault="002E1EC4">
      <w:pPr>
        <w:spacing w:after="0" w:line="240" w:lineRule="auto"/>
      </w:pPr>
    </w:p>
  </w:footnote>
  <w:footnote w:id="2">
    <w:p w14:paraId="42085650" w14:textId="37F6C2CD" w:rsidR="00017D8E" w:rsidRDefault="00017D8E">
      <w:pPr>
        <w:pStyle w:val="FootnoteText"/>
      </w:pPr>
      <w:r w:rsidRPr="00017D8E">
        <w:rPr>
          <w:vertAlign w:val="superscript"/>
        </w:rPr>
        <w:t>[</w:t>
      </w:r>
      <w:r w:rsidRPr="00017D8E">
        <w:rPr>
          <w:rStyle w:val="FootnoteReference"/>
        </w:rPr>
        <w:footnoteRef/>
      </w:r>
      <w:r w:rsidRPr="00017D8E">
        <w:rPr>
          <w:vertAlign w:val="superscript"/>
        </w:rPr>
        <w:t>]</w:t>
      </w:r>
      <w:r>
        <w:t xml:space="preserve"> Available at: </w:t>
      </w:r>
      <w:hyperlink r:id="rId1" w:tgtFrame="_blank" w:history="1">
        <w:r>
          <w:rPr>
            <w:rStyle w:val="Hyperlink"/>
            <w:bdr w:val="none" w:sz="0" w:space="0" w:color="auto" w:frame="1"/>
            <w:shd w:val="clear" w:color="auto" w:fill="FFFFFF"/>
          </w:rPr>
          <w:t>https://www.epa.gov/endangered-species/revised-method-national-level-listed-species-biological-evaluations-conventional</w:t>
        </w:r>
      </w:hyperlink>
    </w:p>
  </w:footnote>
  <w:footnote w:id="3">
    <w:p w14:paraId="7EB0AEE5" w14:textId="15ECDA5B" w:rsidR="002E1EC4" w:rsidRDefault="00E3056C" w:rsidP="006A290E">
      <w:pPr>
        <w:pStyle w:val="FootnoteText"/>
      </w:pPr>
      <w:r w:rsidRPr="00017D8E">
        <w:rPr>
          <w:vertAlign w:val="superscript"/>
        </w:rPr>
        <w:t>[</w:t>
      </w:r>
      <w:r w:rsidR="002E1EC4">
        <w:rPr>
          <w:rStyle w:val="FootnoteReference"/>
        </w:rPr>
        <w:footnoteRef/>
      </w:r>
      <w:r w:rsidRPr="00017D8E">
        <w:rPr>
          <w:vertAlign w:val="superscript"/>
        </w:rPr>
        <w:t>]</w:t>
      </w:r>
      <w:r w:rsidR="002E1EC4">
        <w:t xml:space="preserve"> </w:t>
      </w:r>
      <w:r w:rsidR="002E1EC4" w:rsidRPr="00270167">
        <w:t xml:space="preserve">USDA National Agricultural Statistics Service Cropland Data Layer. </w:t>
      </w:r>
      <w:r w:rsidR="002E1EC4" w:rsidRPr="00893070">
        <w:t xml:space="preserve">2013-2017. Published crop-specific data layer [Online]. Available at </w:t>
      </w:r>
      <w:hyperlink r:id="rId2" w:history="1">
        <w:r w:rsidR="002E1EC4" w:rsidRPr="00023DE3">
          <w:rPr>
            <w:rStyle w:val="Hyperlink"/>
          </w:rPr>
          <w:t>https://www.nass.usda.gov/Research_and_Science/Cropland/SARS1a.php</w:t>
        </w:r>
      </w:hyperlink>
      <w:r w:rsidR="002E1EC4" w:rsidRPr="00893070">
        <w:t xml:space="preserve"> (accessed 3/2018; verified </w:t>
      </w:r>
      <w:r w:rsidR="002E1EC4">
        <w:t>2</w:t>
      </w:r>
      <w:r w:rsidR="002E1EC4" w:rsidRPr="00893070">
        <w:t>/</w:t>
      </w:r>
      <w:r w:rsidR="002E1EC4">
        <w:t>2020</w:t>
      </w:r>
      <w:r w:rsidR="002E1EC4" w:rsidRPr="00270167">
        <w:t>). USDA-NASS, Washington, DC.</w:t>
      </w:r>
    </w:p>
  </w:footnote>
  <w:footnote w:id="4">
    <w:p w14:paraId="5B328E10" w14:textId="3A819D84" w:rsidR="002E1EC4" w:rsidRDefault="00E3056C" w:rsidP="006A290E">
      <w:pPr>
        <w:pStyle w:val="FootnoteText"/>
      </w:pPr>
      <w:r w:rsidRPr="00017D8E">
        <w:rPr>
          <w:vertAlign w:val="superscript"/>
        </w:rPr>
        <w:t>[</w:t>
      </w:r>
      <w:r w:rsidR="002E1EC4">
        <w:rPr>
          <w:rStyle w:val="FootnoteReference"/>
        </w:rPr>
        <w:footnoteRef/>
      </w:r>
      <w:r w:rsidRPr="00017D8E">
        <w:rPr>
          <w:vertAlign w:val="superscript"/>
        </w:rPr>
        <w:t>]</w:t>
      </w:r>
      <w:r w:rsidR="002E1EC4">
        <w:t xml:space="preserve"> Categories include: corn, cotton, rice, soybeans, wheat, vegetables and ground fruit, other grains, other row crops, other crops, pasture/hay, citrus, vineyards and other orchards.</w:t>
      </w:r>
    </w:p>
  </w:footnote>
  <w:footnote w:id="5">
    <w:p w14:paraId="6BEFFA8B" w14:textId="19849D3C" w:rsidR="002E1EC4" w:rsidRPr="00610075" w:rsidRDefault="00E3056C" w:rsidP="00771CE6">
      <w:pPr>
        <w:pStyle w:val="FootnoteText"/>
      </w:pPr>
      <w:r w:rsidRPr="00017D8E">
        <w:rPr>
          <w:vertAlign w:val="superscript"/>
        </w:rPr>
        <w:t>[</w:t>
      </w:r>
      <w:r w:rsidR="002E1EC4" w:rsidRPr="00610075">
        <w:rPr>
          <w:rStyle w:val="FootnoteReference"/>
        </w:rPr>
        <w:footnoteRef/>
      </w:r>
      <w:r w:rsidRPr="00017D8E">
        <w:rPr>
          <w:vertAlign w:val="superscript"/>
        </w:rPr>
        <w:t>]</w:t>
      </w:r>
      <w:r w:rsidR="002E1EC4" w:rsidRPr="00610075">
        <w:t xml:space="preserve"> where NL is “non-lower” and 48 refers to the number of states in ConUS</w:t>
      </w:r>
    </w:p>
  </w:footnote>
  <w:footnote w:id="6">
    <w:p w14:paraId="706B904B" w14:textId="0F90B6D4" w:rsidR="002E1EC4" w:rsidRPr="00610075" w:rsidRDefault="00E3056C" w:rsidP="00771CE6">
      <w:pPr>
        <w:pStyle w:val="FootnoteText"/>
      </w:pPr>
      <w:r w:rsidRPr="00017D8E">
        <w:rPr>
          <w:vertAlign w:val="superscript"/>
        </w:rPr>
        <w:t>[</w:t>
      </w:r>
      <w:r w:rsidR="002E1EC4" w:rsidRPr="00610075">
        <w:rPr>
          <w:rStyle w:val="FootnoteReference"/>
        </w:rPr>
        <w:footnoteRef/>
      </w:r>
      <w:r w:rsidRPr="00017D8E">
        <w:rPr>
          <w:vertAlign w:val="superscript"/>
        </w:rPr>
        <w:t>]</w:t>
      </w:r>
      <w:r w:rsidR="002E1EC4" w:rsidRPr="00610075">
        <w:t xml:space="preserve"> Homer, C.G., Dewitz, J.A., Yang, L., Jin, S., Danielson, P., Xian, G., Coulston, J., Herold, N.D., Wickham, J.D., and Megown, K., 2015, Completion of the 2011 National Land Cover Database for the conterminous United States-Representing a decade of land cover change information. Photogrammetric Engineering and Remote Sensing, v. 81, no. 5, p. 345-354</w:t>
      </w:r>
    </w:p>
  </w:footnote>
  <w:footnote w:id="7">
    <w:p w14:paraId="698B795E" w14:textId="3DC2A70D" w:rsidR="002E1EC4" w:rsidRPr="00520FAC" w:rsidRDefault="00E3056C" w:rsidP="00520FAC">
      <w:pPr>
        <w:spacing w:after="0" w:line="252" w:lineRule="auto"/>
        <w:rPr>
          <w:rFonts w:eastAsia="Times New Roman"/>
          <w:sz w:val="20"/>
          <w:szCs w:val="20"/>
        </w:rPr>
      </w:pPr>
      <w:r w:rsidRPr="00017D8E">
        <w:rPr>
          <w:vertAlign w:val="superscript"/>
        </w:rPr>
        <w:t>[</w:t>
      </w:r>
      <w:r w:rsidR="002E1EC4" w:rsidRPr="00023DE3">
        <w:rPr>
          <w:rStyle w:val="FootnoteReference"/>
          <w:sz w:val="20"/>
          <w:szCs w:val="20"/>
        </w:rPr>
        <w:footnoteRef/>
      </w:r>
      <w:r w:rsidRPr="00017D8E">
        <w:rPr>
          <w:vertAlign w:val="superscript"/>
        </w:rPr>
        <w:t>]</w:t>
      </w:r>
      <w:r w:rsidR="002E1EC4" w:rsidRPr="00023DE3">
        <w:rPr>
          <w:sz w:val="20"/>
          <w:szCs w:val="20"/>
        </w:rPr>
        <w:t xml:space="preserve"> </w:t>
      </w:r>
      <w:r w:rsidR="002E1EC4" w:rsidRPr="00520FAC">
        <w:rPr>
          <w:rFonts w:eastAsia="Times New Roman"/>
          <w:sz w:val="20"/>
          <w:szCs w:val="20"/>
        </w:rPr>
        <w:t xml:space="preserve">National Oceanic and Atmospheric Administration, Coastal Services Center. 1995-present. The Coastal Change Analysis Program (C-CAP) Regional Land Cover. Charleston, SC: NOAA Coastal Services Center. Accessed at </w:t>
      </w:r>
      <w:hyperlink r:id="rId3" w:history="1">
        <w:r w:rsidR="002E1EC4" w:rsidRPr="00520FAC">
          <w:rPr>
            <w:rStyle w:val="Hyperlink"/>
            <w:sz w:val="20"/>
            <w:szCs w:val="20"/>
          </w:rPr>
          <w:t>https://coast.noaa.gov/digitalcoast/data/ccapregional.html</w:t>
        </w:r>
      </w:hyperlink>
      <w:r w:rsidR="002E1EC4" w:rsidRPr="00520FAC">
        <w:rPr>
          <w:sz w:val="20"/>
          <w:szCs w:val="20"/>
        </w:rPr>
        <w:t xml:space="preserve"> (accessed 3/2020)</w:t>
      </w:r>
      <w:r w:rsidR="002E1EC4" w:rsidRPr="00520FAC">
        <w:rPr>
          <w:rFonts w:eastAsia="Times New Roman"/>
          <w:sz w:val="20"/>
          <w:szCs w:val="20"/>
        </w:rPr>
        <w:t>.</w:t>
      </w:r>
    </w:p>
    <w:p w14:paraId="26BBE92F" w14:textId="77777777" w:rsidR="002E1EC4" w:rsidRDefault="002E1EC4" w:rsidP="00771CE6">
      <w:pPr>
        <w:pStyle w:val="FootnoteText"/>
      </w:pPr>
    </w:p>
  </w:footnote>
  <w:footnote w:id="8">
    <w:p w14:paraId="0FA17B77" w14:textId="6F8F74DD" w:rsidR="002E1EC4" w:rsidRPr="000A4575" w:rsidRDefault="00E3056C" w:rsidP="001366C0">
      <w:pPr>
        <w:pStyle w:val="FootnoteText"/>
      </w:pPr>
      <w:r w:rsidRPr="00017D8E">
        <w:rPr>
          <w:vertAlign w:val="superscript"/>
        </w:rPr>
        <w:t>[</w:t>
      </w:r>
      <w:r w:rsidR="002E1EC4" w:rsidRPr="00E65520">
        <w:rPr>
          <w:rStyle w:val="FootnoteReference"/>
        </w:rPr>
        <w:footnoteRef/>
      </w:r>
      <w:r w:rsidRPr="00017D8E">
        <w:rPr>
          <w:vertAlign w:val="superscript"/>
        </w:rPr>
        <w:t>]</w:t>
      </w:r>
      <w:r w:rsidR="002E1EC4" w:rsidRPr="00E65520">
        <w:t xml:space="preserve"> </w:t>
      </w:r>
      <w:r w:rsidR="002E1EC4" w:rsidRPr="00DE3C95">
        <w:t>Information on the models and too</w:t>
      </w:r>
      <w:r w:rsidR="002E1EC4" w:rsidRPr="000A4575">
        <w:t xml:space="preserve">ls used to support </w:t>
      </w:r>
      <w:r w:rsidR="002E1EC4" w:rsidRPr="0061215F">
        <w:t>th</w:t>
      </w:r>
      <w:r w:rsidR="002E1EC4" w:rsidRPr="00E65520">
        <w:t xml:space="preserve">is biological evaluation are available at: </w:t>
      </w:r>
      <w:hyperlink r:id="rId4" w:history="1">
        <w:r w:rsidR="002E1EC4" w:rsidRPr="00DE3C95">
          <w:rPr>
            <w:rStyle w:val="Hyperlink"/>
          </w:rPr>
          <w:t>https://www.epa.gov/endangered-species/models-and-tools-endangered-species-pesticide-assessments</w:t>
        </w:r>
      </w:hyperlink>
      <w:r w:rsidR="002E1EC4" w:rsidRPr="00E65520">
        <w:t xml:space="preserve"> (Accessed </w:t>
      </w:r>
      <w:r w:rsidR="002E1EC4">
        <w:t>September</w:t>
      </w:r>
      <w:r w:rsidR="002E1EC4" w:rsidRPr="00DE3C95">
        <w:t xml:space="preserve"> 2020).</w:t>
      </w:r>
    </w:p>
  </w:footnote>
  <w:footnote w:id="9">
    <w:p w14:paraId="410A3DA0" w14:textId="6D8325A3" w:rsidR="002E1EC4" w:rsidRDefault="00E3056C" w:rsidP="001366C0">
      <w:pPr>
        <w:pStyle w:val="FootnoteText"/>
      </w:pPr>
      <w:r w:rsidRPr="00017D8E">
        <w:rPr>
          <w:vertAlign w:val="superscript"/>
        </w:rPr>
        <w:t>[</w:t>
      </w:r>
      <w:r w:rsidR="002E1EC4" w:rsidRPr="00E65520">
        <w:rPr>
          <w:rStyle w:val="FootnoteReference"/>
        </w:rPr>
        <w:footnoteRef/>
      </w:r>
      <w:r w:rsidRPr="00017D8E">
        <w:rPr>
          <w:vertAlign w:val="superscript"/>
        </w:rPr>
        <w:t>]</w:t>
      </w:r>
      <w:r w:rsidR="002E1EC4" w:rsidRPr="00E65520">
        <w:t xml:space="preserve"> Available online at: </w:t>
      </w:r>
      <w:hyperlink r:id="rId5" w:history="1">
        <w:r w:rsidR="002E1EC4" w:rsidRPr="00626DEF">
          <w:rPr>
            <w:rStyle w:val="Hyperlink"/>
          </w:rPr>
          <w:t>https://www.epa.gov/pesticide-science-and-assessing-pesticide-risks/models-pesticide-risk-assessment#aquatic</w:t>
        </w:r>
      </w:hyperlink>
      <w:r w:rsidR="002E1EC4" w:rsidRPr="00E63DA9">
        <w:rPr>
          <w:rStyle w:val="Hyperlink"/>
          <w:color w:val="000000" w:themeColor="text1"/>
        </w:rPr>
        <w:t xml:space="preserve"> </w:t>
      </w:r>
      <w:r w:rsidR="002E1EC4" w:rsidRPr="00626DEF">
        <w:rPr>
          <w:rStyle w:val="Hyperlink"/>
          <w:color w:val="000000" w:themeColor="text1"/>
        </w:rPr>
        <w:t>(</w:t>
      </w:r>
      <w:r w:rsidR="002E1EC4">
        <w:rPr>
          <w:rStyle w:val="Hyperlink"/>
          <w:color w:val="000000" w:themeColor="text1"/>
        </w:rPr>
        <w:t>A</w:t>
      </w:r>
      <w:r w:rsidR="002E1EC4" w:rsidRPr="00626DEF">
        <w:rPr>
          <w:rStyle w:val="Hyperlink"/>
          <w:color w:val="000000" w:themeColor="text1"/>
        </w:rPr>
        <w:t xml:space="preserve">ccessed </w:t>
      </w:r>
      <w:r w:rsidR="002E1EC4">
        <w:rPr>
          <w:rStyle w:val="Hyperlink"/>
          <w:color w:val="000000" w:themeColor="text1"/>
        </w:rPr>
        <w:t>September</w:t>
      </w:r>
      <w:r w:rsidR="002E1EC4" w:rsidRPr="00626DEF">
        <w:rPr>
          <w:rStyle w:val="Hyperlink"/>
          <w:color w:val="000000" w:themeColor="text1"/>
        </w:rPr>
        <w:t xml:space="preserve"> 2020).</w:t>
      </w:r>
    </w:p>
  </w:footnote>
  <w:footnote w:id="10">
    <w:p w14:paraId="40EB0236" w14:textId="5B47D905" w:rsidR="002E1EC4" w:rsidRDefault="00E3056C" w:rsidP="001366C0">
      <w:pPr>
        <w:pStyle w:val="FootnoteText"/>
      </w:pPr>
      <w:r w:rsidRPr="00017D8E">
        <w:rPr>
          <w:vertAlign w:val="superscript"/>
        </w:rPr>
        <w:t>[</w:t>
      </w:r>
      <w:r w:rsidR="002E1EC4">
        <w:rPr>
          <w:rStyle w:val="FootnoteReference"/>
        </w:rPr>
        <w:footnoteRef/>
      </w:r>
      <w:r w:rsidRPr="00017D8E">
        <w:rPr>
          <w:vertAlign w:val="superscript"/>
        </w:rPr>
        <w:t>]</w:t>
      </w:r>
      <w:r w:rsidR="002E1EC4">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4588D"/>
    <w:multiLevelType w:val="multilevel"/>
    <w:tmpl w:val="A45A883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readOnly" w:enforcement="1" w:cryptProviderType="rsaAES" w:cryptAlgorithmClass="hash" w:cryptAlgorithmType="typeAny" w:cryptAlgorithmSid="14" w:cryptSpinCount="100000" w:hash="lqK0uNBP/uTALSW6tomCk23NE8NgyeN8X301ZaRDNaREKEZJEtceC0g7HJSFfA2lmFn7/VeJffwS22xmmenFTw==" w:salt="lBXpUMEBaNiE9/xAjlXX8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90E"/>
    <w:rsid w:val="000040B8"/>
    <w:rsid w:val="000143EE"/>
    <w:rsid w:val="00017D8E"/>
    <w:rsid w:val="00021EB7"/>
    <w:rsid w:val="00031F9D"/>
    <w:rsid w:val="000352D7"/>
    <w:rsid w:val="00052792"/>
    <w:rsid w:val="000571B9"/>
    <w:rsid w:val="00057601"/>
    <w:rsid w:val="0006167F"/>
    <w:rsid w:val="00064DD3"/>
    <w:rsid w:val="00070A8C"/>
    <w:rsid w:val="00080AEA"/>
    <w:rsid w:val="00082821"/>
    <w:rsid w:val="00090073"/>
    <w:rsid w:val="00091ECC"/>
    <w:rsid w:val="00092DFF"/>
    <w:rsid w:val="000955FE"/>
    <w:rsid w:val="000A0162"/>
    <w:rsid w:val="000A3477"/>
    <w:rsid w:val="000B33A8"/>
    <w:rsid w:val="000B381D"/>
    <w:rsid w:val="000B78D9"/>
    <w:rsid w:val="000C2E01"/>
    <w:rsid w:val="000D02C9"/>
    <w:rsid w:val="000D6FC6"/>
    <w:rsid w:val="000E31F6"/>
    <w:rsid w:val="000E75C7"/>
    <w:rsid w:val="000F2A33"/>
    <w:rsid w:val="000F2FA3"/>
    <w:rsid w:val="000F5DFD"/>
    <w:rsid w:val="000F6F4D"/>
    <w:rsid w:val="00126666"/>
    <w:rsid w:val="0013056E"/>
    <w:rsid w:val="0013167B"/>
    <w:rsid w:val="00132FC9"/>
    <w:rsid w:val="001366C0"/>
    <w:rsid w:val="00136CD9"/>
    <w:rsid w:val="00137553"/>
    <w:rsid w:val="00145007"/>
    <w:rsid w:val="00150200"/>
    <w:rsid w:val="00171697"/>
    <w:rsid w:val="001A18EB"/>
    <w:rsid w:val="001A44F9"/>
    <w:rsid w:val="001B207F"/>
    <w:rsid w:val="001E26A3"/>
    <w:rsid w:val="001F27BF"/>
    <w:rsid w:val="001F4995"/>
    <w:rsid w:val="00200C3C"/>
    <w:rsid w:val="0020264B"/>
    <w:rsid w:val="00213AAE"/>
    <w:rsid w:val="00213DCD"/>
    <w:rsid w:val="00222448"/>
    <w:rsid w:val="00225068"/>
    <w:rsid w:val="0022589A"/>
    <w:rsid w:val="00225B36"/>
    <w:rsid w:val="00232DAB"/>
    <w:rsid w:val="00242BD2"/>
    <w:rsid w:val="00263B88"/>
    <w:rsid w:val="0026752D"/>
    <w:rsid w:val="00267DDE"/>
    <w:rsid w:val="00267FBF"/>
    <w:rsid w:val="00273B1C"/>
    <w:rsid w:val="002740B4"/>
    <w:rsid w:val="0028019E"/>
    <w:rsid w:val="002813F0"/>
    <w:rsid w:val="002A434C"/>
    <w:rsid w:val="002B05D9"/>
    <w:rsid w:val="002B2976"/>
    <w:rsid w:val="002C68FA"/>
    <w:rsid w:val="002E1EC4"/>
    <w:rsid w:val="002F19C7"/>
    <w:rsid w:val="002F35F1"/>
    <w:rsid w:val="002F699E"/>
    <w:rsid w:val="0032303F"/>
    <w:rsid w:val="0032380F"/>
    <w:rsid w:val="003245EE"/>
    <w:rsid w:val="003322D9"/>
    <w:rsid w:val="003516E7"/>
    <w:rsid w:val="00357346"/>
    <w:rsid w:val="00386D7F"/>
    <w:rsid w:val="00394073"/>
    <w:rsid w:val="003A4E9D"/>
    <w:rsid w:val="003A663C"/>
    <w:rsid w:val="003B7222"/>
    <w:rsid w:val="003C27F0"/>
    <w:rsid w:val="003D56CE"/>
    <w:rsid w:val="003D666A"/>
    <w:rsid w:val="003E2E0E"/>
    <w:rsid w:val="003E3138"/>
    <w:rsid w:val="003F2F8F"/>
    <w:rsid w:val="004106D8"/>
    <w:rsid w:val="00412FAE"/>
    <w:rsid w:val="00414C8C"/>
    <w:rsid w:val="00423D1C"/>
    <w:rsid w:val="00440864"/>
    <w:rsid w:val="00440EC9"/>
    <w:rsid w:val="00483654"/>
    <w:rsid w:val="004C71A0"/>
    <w:rsid w:val="004C75CE"/>
    <w:rsid w:val="004D5FA7"/>
    <w:rsid w:val="004F3E09"/>
    <w:rsid w:val="004F7B24"/>
    <w:rsid w:val="00500B91"/>
    <w:rsid w:val="005046AB"/>
    <w:rsid w:val="00505D78"/>
    <w:rsid w:val="00520FAC"/>
    <w:rsid w:val="00526ECE"/>
    <w:rsid w:val="00540C9F"/>
    <w:rsid w:val="00543D55"/>
    <w:rsid w:val="00573D11"/>
    <w:rsid w:val="005A263A"/>
    <w:rsid w:val="005B2F7A"/>
    <w:rsid w:val="005B4843"/>
    <w:rsid w:val="005C58D8"/>
    <w:rsid w:val="005E43FF"/>
    <w:rsid w:val="005F41DE"/>
    <w:rsid w:val="00602B7F"/>
    <w:rsid w:val="00614E8D"/>
    <w:rsid w:val="0062201D"/>
    <w:rsid w:val="00623C31"/>
    <w:rsid w:val="006439BC"/>
    <w:rsid w:val="006458E6"/>
    <w:rsid w:val="00655632"/>
    <w:rsid w:val="00684C1F"/>
    <w:rsid w:val="00686FD5"/>
    <w:rsid w:val="006A09BD"/>
    <w:rsid w:val="006A290E"/>
    <w:rsid w:val="006B4676"/>
    <w:rsid w:val="006C1D6B"/>
    <w:rsid w:val="006C408C"/>
    <w:rsid w:val="006D050B"/>
    <w:rsid w:val="006D5E38"/>
    <w:rsid w:val="006D7DEC"/>
    <w:rsid w:val="006E17FD"/>
    <w:rsid w:val="006E482A"/>
    <w:rsid w:val="006E7CB9"/>
    <w:rsid w:val="0070428D"/>
    <w:rsid w:val="00711DA5"/>
    <w:rsid w:val="00740745"/>
    <w:rsid w:val="00743165"/>
    <w:rsid w:val="00763DCE"/>
    <w:rsid w:val="00771CE6"/>
    <w:rsid w:val="0077793B"/>
    <w:rsid w:val="0078053A"/>
    <w:rsid w:val="007811E2"/>
    <w:rsid w:val="00792060"/>
    <w:rsid w:val="007B5C2F"/>
    <w:rsid w:val="007E44AA"/>
    <w:rsid w:val="007F50CE"/>
    <w:rsid w:val="00807F4D"/>
    <w:rsid w:val="0082018B"/>
    <w:rsid w:val="008201C9"/>
    <w:rsid w:val="00835777"/>
    <w:rsid w:val="00835F15"/>
    <w:rsid w:val="00853852"/>
    <w:rsid w:val="00855750"/>
    <w:rsid w:val="00855C19"/>
    <w:rsid w:val="00871B20"/>
    <w:rsid w:val="008749FC"/>
    <w:rsid w:val="008974DE"/>
    <w:rsid w:val="008C0AEA"/>
    <w:rsid w:val="008C719A"/>
    <w:rsid w:val="008D0CBF"/>
    <w:rsid w:val="008F00B3"/>
    <w:rsid w:val="008F147B"/>
    <w:rsid w:val="008F317C"/>
    <w:rsid w:val="009057CE"/>
    <w:rsid w:val="00910641"/>
    <w:rsid w:val="009362D0"/>
    <w:rsid w:val="009367ED"/>
    <w:rsid w:val="00945D12"/>
    <w:rsid w:val="00956F13"/>
    <w:rsid w:val="00961179"/>
    <w:rsid w:val="00967510"/>
    <w:rsid w:val="00987DEB"/>
    <w:rsid w:val="009A1DA8"/>
    <w:rsid w:val="009B4370"/>
    <w:rsid w:val="009C01EA"/>
    <w:rsid w:val="009D0006"/>
    <w:rsid w:val="009E2056"/>
    <w:rsid w:val="009E3EFF"/>
    <w:rsid w:val="009F6658"/>
    <w:rsid w:val="00A0425D"/>
    <w:rsid w:val="00A1501B"/>
    <w:rsid w:val="00A26184"/>
    <w:rsid w:val="00A27E04"/>
    <w:rsid w:val="00A32A99"/>
    <w:rsid w:val="00A44425"/>
    <w:rsid w:val="00A54489"/>
    <w:rsid w:val="00A909F1"/>
    <w:rsid w:val="00AC0086"/>
    <w:rsid w:val="00AC54F5"/>
    <w:rsid w:val="00AE1836"/>
    <w:rsid w:val="00AF14D9"/>
    <w:rsid w:val="00AF5EFA"/>
    <w:rsid w:val="00B13A80"/>
    <w:rsid w:val="00B1527F"/>
    <w:rsid w:val="00B15630"/>
    <w:rsid w:val="00B16D24"/>
    <w:rsid w:val="00B36467"/>
    <w:rsid w:val="00B5248D"/>
    <w:rsid w:val="00B565BB"/>
    <w:rsid w:val="00B72AC3"/>
    <w:rsid w:val="00B73A5F"/>
    <w:rsid w:val="00B74A80"/>
    <w:rsid w:val="00B90C96"/>
    <w:rsid w:val="00B97197"/>
    <w:rsid w:val="00BB6869"/>
    <w:rsid w:val="00BC5090"/>
    <w:rsid w:val="00BE04DA"/>
    <w:rsid w:val="00BE105A"/>
    <w:rsid w:val="00C06EA4"/>
    <w:rsid w:val="00C1395F"/>
    <w:rsid w:val="00C20EF7"/>
    <w:rsid w:val="00C218E4"/>
    <w:rsid w:val="00C3646C"/>
    <w:rsid w:val="00C4422B"/>
    <w:rsid w:val="00C53B28"/>
    <w:rsid w:val="00C62874"/>
    <w:rsid w:val="00C85E72"/>
    <w:rsid w:val="00C93E39"/>
    <w:rsid w:val="00C97834"/>
    <w:rsid w:val="00CA3DA9"/>
    <w:rsid w:val="00CA5553"/>
    <w:rsid w:val="00CB05FA"/>
    <w:rsid w:val="00CB1EEF"/>
    <w:rsid w:val="00CB6BCF"/>
    <w:rsid w:val="00D021E0"/>
    <w:rsid w:val="00D0711B"/>
    <w:rsid w:val="00D34763"/>
    <w:rsid w:val="00D3535A"/>
    <w:rsid w:val="00D40F53"/>
    <w:rsid w:val="00D50CA8"/>
    <w:rsid w:val="00D54498"/>
    <w:rsid w:val="00D54FEB"/>
    <w:rsid w:val="00D62018"/>
    <w:rsid w:val="00D64951"/>
    <w:rsid w:val="00D74AD8"/>
    <w:rsid w:val="00D9059C"/>
    <w:rsid w:val="00DA34DF"/>
    <w:rsid w:val="00DA7296"/>
    <w:rsid w:val="00DB4E4E"/>
    <w:rsid w:val="00DC34F1"/>
    <w:rsid w:val="00DC5130"/>
    <w:rsid w:val="00DC7334"/>
    <w:rsid w:val="00DD670A"/>
    <w:rsid w:val="00DE60BA"/>
    <w:rsid w:val="00E04B65"/>
    <w:rsid w:val="00E05CF2"/>
    <w:rsid w:val="00E17696"/>
    <w:rsid w:val="00E2366B"/>
    <w:rsid w:val="00E3056C"/>
    <w:rsid w:val="00E31429"/>
    <w:rsid w:val="00E43A9B"/>
    <w:rsid w:val="00E43AF8"/>
    <w:rsid w:val="00E520CC"/>
    <w:rsid w:val="00E72016"/>
    <w:rsid w:val="00E73DF6"/>
    <w:rsid w:val="00E74413"/>
    <w:rsid w:val="00E76CEA"/>
    <w:rsid w:val="00E776F9"/>
    <w:rsid w:val="00E83AE1"/>
    <w:rsid w:val="00E850C8"/>
    <w:rsid w:val="00E90802"/>
    <w:rsid w:val="00E939E6"/>
    <w:rsid w:val="00EA71FF"/>
    <w:rsid w:val="00EC70B2"/>
    <w:rsid w:val="00EE7201"/>
    <w:rsid w:val="00EF1E20"/>
    <w:rsid w:val="00EF607C"/>
    <w:rsid w:val="00EF6E79"/>
    <w:rsid w:val="00F00969"/>
    <w:rsid w:val="00F063F0"/>
    <w:rsid w:val="00F457E9"/>
    <w:rsid w:val="00F539F8"/>
    <w:rsid w:val="00F63637"/>
    <w:rsid w:val="00F64337"/>
    <w:rsid w:val="00F64EC5"/>
    <w:rsid w:val="00F71AC6"/>
    <w:rsid w:val="00F9067C"/>
    <w:rsid w:val="00F94FD1"/>
    <w:rsid w:val="00FB4118"/>
    <w:rsid w:val="00FC6DED"/>
    <w:rsid w:val="00FD4AFC"/>
    <w:rsid w:val="00FE1986"/>
    <w:rsid w:val="00FF3319"/>
    <w:rsid w:val="00FF3B9C"/>
    <w:rsid w:val="00FF4236"/>
    <w:rsid w:val="00FF5002"/>
    <w:rsid w:val="00FF52DF"/>
    <w:rsid w:val="015FC003"/>
    <w:rsid w:val="0228A7BB"/>
    <w:rsid w:val="0264A976"/>
    <w:rsid w:val="02D021CF"/>
    <w:rsid w:val="072B6D38"/>
    <w:rsid w:val="0880F251"/>
    <w:rsid w:val="08A8B7B7"/>
    <w:rsid w:val="0A1B2EF4"/>
    <w:rsid w:val="0A848964"/>
    <w:rsid w:val="0AE734A8"/>
    <w:rsid w:val="0C21E69B"/>
    <w:rsid w:val="0D8135FA"/>
    <w:rsid w:val="0F031E7F"/>
    <w:rsid w:val="140762A8"/>
    <w:rsid w:val="1672CBD8"/>
    <w:rsid w:val="17C12B0C"/>
    <w:rsid w:val="19D3B6F5"/>
    <w:rsid w:val="1C1970B0"/>
    <w:rsid w:val="1E12F49F"/>
    <w:rsid w:val="1E987C91"/>
    <w:rsid w:val="1ED50D5E"/>
    <w:rsid w:val="1F8B6E9B"/>
    <w:rsid w:val="205E9A75"/>
    <w:rsid w:val="2086CCB9"/>
    <w:rsid w:val="21D140E7"/>
    <w:rsid w:val="25B67DFB"/>
    <w:rsid w:val="26D0DC9C"/>
    <w:rsid w:val="27F17AA0"/>
    <w:rsid w:val="285331BB"/>
    <w:rsid w:val="29ADDBFE"/>
    <w:rsid w:val="2DE348A4"/>
    <w:rsid w:val="2F0C01A5"/>
    <w:rsid w:val="2F487A94"/>
    <w:rsid w:val="30BF5946"/>
    <w:rsid w:val="31E7633D"/>
    <w:rsid w:val="32E433CE"/>
    <w:rsid w:val="35FF8950"/>
    <w:rsid w:val="3641D3CB"/>
    <w:rsid w:val="37D986FE"/>
    <w:rsid w:val="398A2A58"/>
    <w:rsid w:val="3BB46321"/>
    <w:rsid w:val="3C88A156"/>
    <w:rsid w:val="3D533A74"/>
    <w:rsid w:val="3D813555"/>
    <w:rsid w:val="3E27A87C"/>
    <w:rsid w:val="3FD2E743"/>
    <w:rsid w:val="4198596B"/>
    <w:rsid w:val="41D9C46C"/>
    <w:rsid w:val="41EB1732"/>
    <w:rsid w:val="44DD7F1E"/>
    <w:rsid w:val="44E4589B"/>
    <w:rsid w:val="4683334E"/>
    <w:rsid w:val="46F77D6A"/>
    <w:rsid w:val="46FA37CA"/>
    <w:rsid w:val="474608C9"/>
    <w:rsid w:val="47AA25C2"/>
    <w:rsid w:val="4924E2FD"/>
    <w:rsid w:val="4928BB22"/>
    <w:rsid w:val="4AC298B4"/>
    <w:rsid w:val="4CDA617C"/>
    <w:rsid w:val="55D5E4A2"/>
    <w:rsid w:val="587BFBE4"/>
    <w:rsid w:val="5886B3A2"/>
    <w:rsid w:val="58B4E84C"/>
    <w:rsid w:val="59F9B21C"/>
    <w:rsid w:val="5ABD2BF0"/>
    <w:rsid w:val="5AC8F7A4"/>
    <w:rsid w:val="5C79E5B7"/>
    <w:rsid w:val="5E6ABFFD"/>
    <w:rsid w:val="5EF30673"/>
    <w:rsid w:val="60574DE7"/>
    <w:rsid w:val="61696D23"/>
    <w:rsid w:val="625A2849"/>
    <w:rsid w:val="633B7F6A"/>
    <w:rsid w:val="6504D6BB"/>
    <w:rsid w:val="6560AEC7"/>
    <w:rsid w:val="65686B36"/>
    <w:rsid w:val="6598A45E"/>
    <w:rsid w:val="668F9368"/>
    <w:rsid w:val="66A82130"/>
    <w:rsid w:val="67B31A8B"/>
    <w:rsid w:val="690FF9FB"/>
    <w:rsid w:val="696335F5"/>
    <w:rsid w:val="6977BA89"/>
    <w:rsid w:val="6A85CB65"/>
    <w:rsid w:val="6C56412F"/>
    <w:rsid w:val="6D50E8B1"/>
    <w:rsid w:val="7448B85B"/>
    <w:rsid w:val="75193671"/>
    <w:rsid w:val="79EB1E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1107"/>
  <w15:chartTrackingRefBased/>
  <w15:docId w15:val="{9DEF8996-BC49-435F-8AAD-BD566BD8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A290E"/>
    <w:rPr>
      <w:rFonts w:ascii="Calibri" w:eastAsia="Calibri" w:hAnsi="Calibri" w:cs="Calibri"/>
      <w:color w:val="000000"/>
    </w:rPr>
  </w:style>
  <w:style w:type="paragraph" w:styleId="Heading1">
    <w:name w:val="heading 1"/>
    <w:basedOn w:val="Normal"/>
    <w:next w:val="Normal"/>
    <w:link w:val="Heading1Char"/>
    <w:uiPriority w:val="9"/>
    <w:qFormat/>
    <w:rsid w:val="006A290E"/>
    <w:pPr>
      <w:keepNext/>
      <w:keepLines/>
      <w:numPr>
        <w:numId w:val="1"/>
      </w:numPr>
      <w:spacing w:after="0" w:line="240" w:lineRule="auto"/>
      <w:outlineLvl w:val="0"/>
    </w:pPr>
    <w:rPr>
      <w:color w:val="2E75B5"/>
      <w:sz w:val="24"/>
      <w:szCs w:val="28"/>
    </w:rPr>
  </w:style>
  <w:style w:type="paragraph" w:styleId="Heading2">
    <w:name w:val="heading 2"/>
    <w:basedOn w:val="Normal"/>
    <w:next w:val="Normal"/>
    <w:link w:val="Heading2Char"/>
    <w:uiPriority w:val="9"/>
    <w:rsid w:val="006A290E"/>
    <w:pPr>
      <w:keepNext/>
      <w:keepLines/>
      <w:numPr>
        <w:ilvl w:val="1"/>
        <w:numId w:val="1"/>
      </w:numPr>
      <w:spacing w:before="200" w:after="0" w:line="276" w:lineRule="auto"/>
      <w:ind w:left="1170" w:hanging="540"/>
      <w:outlineLvl w:val="1"/>
    </w:pPr>
    <w:rPr>
      <w:color w:val="5B9BD5" w:themeColor="accent5"/>
      <w:szCs w:val="24"/>
    </w:rPr>
  </w:style>
  <w:style w:type="paragraph" w:styleId="Heading3">
    <w:name w:val="heading 3"/>
    <w:basedOn w:val="Normal"/>
    <w:next w:val="Normal"/>
    <w:link w:val="Heading3Char"/>
    <w:qFormat/>
    <w:rsid w:val="006A290E"/>
    <w:pPr>
      <w:keepNext/>
      <w:keepLines/>
      <w:numPr>
        <w:ilvl w:val="2"/>
        <w:numId w:val="1"/>
      </w:numPr>
      <w:spacing w:before="200" w:after="0" w:line="276" w:lineRule="auto"/>
      <w:ind w:left="1800" w:hanging="630"/>
      <w:outlineLvl w:val="2"/>
    </w:pPr>
    <w:rPr>
      <w:color w:val="5B9BD5" w:themeColor="accent5"/>
    </w:rPr>
  </w:style>
  <w:style w:type="paragraph" w:styleId="Heading4">
    <w:name w:val="heading 4"/>
    <w:basedOn w:val="Normal"/>
    <w:next w:val="Normal"/>
    <w:link w:val="Heading4Char"/>
    <w:uiPriority w:val="9"/>
    <w:qFormat/>
    <w:rsid w:val="006A290E"/>
    <w:pPr>
      <w:keepNext/>
      <w:keepLines/>
      <w:numPr>
        <w:ilvl w:val="3"/>
        <w:numId w:val="1"/>
      </w:numPr>
      <w:spacing w:before="240" w:after="40"/>
      <w:contextualSpacing/>
      <w:outlineLvl w:val="3"/>
    </w:pPr>
    <w:rPr>
      <w:b/>
      <w:sz w:val="24"/>
      <w:szCs w:val="24"/>
    </w:rPr>
  </w:style>
  <w:style w:type="paragraph" w:styleId="Heading5">
    <w:name w:val="heading 5"/>
    <w:basedOn w:val="Normal"/>
    <w:next w:val="Normal"/>
    <w:link w:val="Heading5Char"/>
    <w:uiPriority w:val="9"/>
    <w:qFormat/>
    <w:rsid w:val="006A290E"/>
    <w:pPr>
      <w:keepNext/>
      <w:keepLines/>
      <w:numPr>
        <w:ilvl w:val="4"/>
        <w:numId w:val="1"/>
      </w:numPr>
      <w:spacing w:before="220" w:after="40"/>
      <w:contextualSpacing/>
      <w:outlineLvl w:val="4"/>
    </w:pPr>
    <w:rPr>
      <w:b/>
    </w:rPr>
  </w:style>
  <w:style w:type="paragraph" w:styleId="Heading6">
    <w:name w:val="heading 6"/>
    <w:basedOn w:val="Normal"/>
    <w:next w:val="Normal"/>
    <w:link w:val="Heading6Char"/>
    <w:qFormat/>
    <w:rsid w:val="006A290E"/>
    <w:pPr>
      <w:keepNext/>
      <w:keepLines/>
      <w:numPr>
        <w:ilvl w:val="5"/>
        <w:numId w:val="1"/>
      </w:numPr>
      <w:spacing w:before="200" w:after="40"/>
      <w:contextualSpacing/>
      <w:outlineLvl w:val="5"/>
    </w:pPr>
    <w:rPr>
      <w:b/>
      <w:sz w:val="20"/>
      <w:szCs w:val="20"/>
    </w:rPr>
  </w:style>
  <w:style w:type="paragraph" w:styleId="Heading7">
    <w:name w:val="heading 7"/>
    <w:basedOn w:val="Normal"/>
    <w:next w:val="Normal"/>
    <w:link w:val="Heading7Char"/>
    <w:uiPriority w:val="9"/>
    <w:semiHidden/>
    <w:unhideWhenUsed/>
    <w:qFormat/>
    <w:rsid w:val="006A290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A290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A290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90E"/>
    <w:rPr>
      <w:rFonts w:ascii="Calibri" w:eastAsia="Calibri" w:hAnsi="Calibri" w:cs="Calibri"/>
      <w:color w:val="2E75B5"/>
      <w:sz w:val="24"/>
      <w:szCs w:val="28"/>
    </w:rPr>
  </w:style>
  <w:style w:type="character" w:customStyle="1" w:styleId="Heading2Char">
    <w:name w:val="Heading 2 Char"/>
    <w:basedOn w:val="DefaultParagraphFont"/>
    <w:link w:val="Heading2"/>
    <w:uiPriority w:val="9"/>
    <w:rsid w:val="006A290E"/>
    <w:rPr>
      <w:rFonts w:ascii="Calibri" w:eastAsia="Calibri" w:hAnsi="Calibri" w:cs="Calibri"/>
      <w:color w:val="5B9BD5" w:themeColor="accent5"/>
      <w:szCs w:val="24"/>
    </w:rPr>
  </w:style>
  <w:style w:type="character" w:customStyle="1" w:styleId="Heading3Char">
    <w:name w:val="Heading 3 Char"/>
    <w:basedOn w:val="DefaultParagraphFont"/>
    <w:link w:val="Heading3"/>
    <w:rsid w:val="006A290E"/>
    <w:rPr>
      <w:rFonts w:ascii="Calibri" w:eastAsia="Calibri" w:hAnsi="Calibri" w:cs="Calibri"/>
      <w:color w:val="5B9BD5" w:themeColor="accent5"/>
    </w:rPr>
  </w:style>
  <w:style w:type="character" w:customStyle="1" w:styleId="Heading4Char">
    <w:name w:val="Heading 4 Char"/>
    <w:basedOn w:val="DefaultParagraphFont"/>
    <w:link w:val="Heading4"/>
    <w:uiPriority w:val="9"/>
    <w:rsid w:val="006A290E"/>
    <w:rPr>
      <w:rFonts w:ascii="Calibri" w:eastAsia="Calibri" w:hAnsi="Calibri" w:cs="Calibri"/>
      <w:b/>
      <w:color w:val="000000"/>
      <w:sz w:val="24"/>
      <w:szCs w:val="24"/>
    </w:rPr>
  </w:style>
  <w:style w:type="character" w:customStyle="1" w:styleId="Heading5Char">
    <w:name w:val="Heading 5 Char"/>
    <w:basedOn w:val="DefaultParagraphFont"/>
    <w:link w:val="Heading5"/>
    <w:uiPriority w:val="9"/>
    <w:rsid w:val="006A290E"/>
    <w:rPr>
      <w:rFonts w:ascii="Calibri" w:eastAsia="Calibri" w:hAnsi="Calibri" w:cs="Calibri"/>
      <w:b/>
      <w:color w:val="000000"/>
    </w:rPr>
  </w:style>
  <w:style w:type="character" w:customStyle="1" w:styleId="Heading6Char">
    <w:name w:val="Heading 6 Char"/>
    <w:basedOn w:val="DefaultParagraphFont"/>
    <w:link w:val="Heading6"/>
    <w:rsid w:val="006A290E"/>
    <w:rPr>
      <w:rFonts w:ascii="Calibri" w:eastAsia="Calibri" w:hAnsi="Calibri" w:cs="Calibri"/>
      <w:b/>
      <w:color w:val="000000"/>
      <w:sz w:val="20"/>
      <w:szCs w:val="20"/>
    </w:rPr>
  </w:style>
  <w:style w:type="character" w:customStyle="1" w:styleId="Heading7Char">
    <w:name w:val="Heading 7 Char"/>
    <w:basedOn w:val="DefaultParagraphFont"/>
    <w:link w:val="Heading7"/>
    <w:uiPriority w:val="9"/>
    <w:semiHidden/>
    <w:rsid w:val="006A290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A29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A290E"/>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6A290E"/>
    <w:pPr>
      <w:spacing w:after="0" w:line="240" w:lineRule="auto"/>
    </w:pPr>
    <w:rPr>
      <w:sz w:val="20"/>
      <w:szCs w:val="20"/>
    </w:rPr>
  </w:style>
  <w:style w:type="character" w:customStyle="1" w:styleId="FootnoteTextChar">
    <w:name w:val="Footnote Text Char"/>
    <w:basedOn w:val="DefaultParagraphFont"/>
    <w:link w:val="FootnoteText"/>
    <w:uiPriority w:val="99"/>
    <w:rsid w:val="006A290E"/>
    <w:rPr>
      <w:rFonts w:ascii="Calibri" w:eastAsia="Calibri" w:hAnsi="Calibri" w:cs="Calibri"/>
      <w:color w:val="000000"/>
      <w:sz w:val="20"/>
      <w:szCs w:val="20"/>
    </w:rPr>
  </w:style>
  <w:style w:type="character" w:styleId="FootnoteReference">
    <w:name w:val="footnote reference"/>
    <w:basedOn w:val="DefaultParagraphFont"/>
    <w:uiPriority w:val="99"/>
    <w:unhideWhenUsed/>
    <w:rsid w:val="006A290E"/>
    <w:rPr>
      <w:vertAlign w:val="superscript"/>
    </w:rPr>
  </w:style>
  <w:style w:type="character" w:styleId="Hyperlink">
    <w:name w:val="Hyperlink"/>
    <w:basedOn w:val="DefaultParagraphFont"/>
    <w:uiPriority w:val="99"/>
    <w:unhideWhenUsed/>
    <w:rsid w:val="006A290E"/>
    <w:rPr>
      <w:color w:val="0563C1" w:themeColor="hyperlink"/>
      <w:u w:val="single"/>
    </w:rPr>
  </w:style>
  <w:style w:type="paragraph" w:styleId="TOCHeading">
    <w:name w:val="TOC Heading"/>
    <w:basedOn w:val="Heading1"/>
    <w:next w:val="Normal"/>
    <w:uiPriority w:val="39"/>
    <w:unhideWhenUsed/>
    <w:qFormat/>
    <w:rsid w:val="00440864"/>
    <w:rPr>
      <w:color w:val="2E74B5" w:themeColor="accent5" w:themeShade="BF"/>
    </w:rPr>
  </w:style>
  <w:style w:type="paragraph" w:styleId="TOC1">
    <w:name w:val="toc 1"/>
    <w:basedOn w:val="Normal"/>
    <w:next w:val="Normal"/>
    <w:autoRedefine/>
    <w:uiPriority w:val="39"/>
    <w:unhideWhenUsed/>
    <w:rsid w:val="00145007"/>
    <w:pPr>
      <w:tabs>
        <w:tab w:val="left" w:pos="440"/>
        <w:tab w:val="right" w:leader="dot" w:pos="9350"/>
      </w:tabs>
      <w:spacing w:after="100"/>
    </w:pPr>
  </w:style>
  <w:style w:type="paragraph" w:styleId="TOC2">
    <w:name w:val="toc 2"/>
    <w:basedOn w:val="Normal"/>
    <w:next w:val="Normal"/>
    <w:autoRedefine/>
    <w:uiPriority w:val="39"/>
    <w:unhideWhenUsed/>
    <w:rsid w:val="006A290E"/>
    <w:pPr>
      <w:spacing w:after="100"/>
      <w:ind w:left="220"/>
    </w:pPr>
  </w:style>
  <w:style w:type="character" w:customStyle="1" w:styleId="normaltextrun">
    <w:name w:val="normaltextrun"/>
    <w:basedOn w:val="DefaultParagraphFont"/>
    <w:rsid w:val="006A290E"/>
  </w:style>
  <w:style w:type="character" w:customStyle="1" w:styleId="eop">
    <w:name w:val="eop"/>
    <w:basedOn w:val="DefaultParagraphFont"/>
    <w:rsid w:val="006A290E"/>
  </w:style>
  <w:style w:type="paragraph" w:customStyle="1" w:styleId="EndNoteBibliography">
    <w:name w:val="EndNote Bibliography"/>
    <w:basedOn w:val="Normal"/>
    <w:link w:val="EndNoteBibliographyChar"/>
    <w:rsid w:val="006A290E"/>
    <w:pPr>
      <w:spacing w:line="240" w:lineRule="auto"/>
    </w:pPr>
    <w:rPr>
      <w:noProof/>
    </w:rPr>
  </w:style>
  <w:style w:type="character" w:customStyle="1" w:styleId="EndNoteBibliographyChar">
    <w:name w:val="EndNote Bibliography Char"/>
    <w:basedOn w:val="DefaultParagraphFont"/>
    <w:link w:val="EndNoteBibliography"/>
    <w:rsid w:val="006A290E"/>
    <w:rPr>
      <w:rFonts w:ascii="Calibri" w:eastAsia="Calibri" w:hAnsi="Calibri" w:cs="Calibri"/>
      <w:noProof/>
      <w:color w:val="000000"/>
    </w:rPr>
  </w:style>
  <w:style w:type="character" w:styleId="CommentReference">
    <w:name w:val="annotation reference"/>
    <w:basedOn w:val="DefaultParagraphFont"/>
    <w:uiPriority w:val="99"/>
    <w:semiHidden/>
    <w:unhideWhenUsed/>
    <w:rsid w:val="00B16D24"/>
    <w:rPr>
      <w:sz w:val="16"/>
      <w:szCs w:val="16"/>
    </w:rPr>
  </w:style>
  <w:style w:type="paragraph" w:styleId="CommentText">
    <w:name w:val="annotation text"/>
    <w:basedOn w:val="Normal"/>
    <w:link w:val="CommentTextChar"/>
    <w:uiPriority w:val="99"/>
    <w:unhideWhenUsed/>
    <w:rsid w:val="00B16D24"/>
    <w:pPr>
      <w:spacing w:line="240" w:lineRule="auto"/>
    </w:pPr>
    <w:rPr>
      <w:sz w:val="20"/>
      <w:szCs w:val="20"/>
    </w:rPr>
  </w:style>
  <w:style w:type="character" w:customStyle="1" w:styleId="CommentTextChar">
    <w:name w:val="Comment Text Char"/>
    <w:basedOn w:val="DefaultParagraphFont"/>
    <w:link w:val="CommentText"/>
    <w:uiPriority w:val="99"/>
    <w:rsid w:val="00B16D2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16D24"/>
    <w:rPr>
      <w:b/>
      <w:bCs/>
    </w:rPr>
  </w:style>
  <w:style w:type="character" w:customStyle="1" w:styleId="CommentSubjectChar">
    <w:name w:val="Comment Subject Char"/>
    <w:basedOn w:val="CommentTextChar"/>
    <w:link w:val="CommentSubject"/>
    <w:uiPriority w:val="99"/>
    <w:semiHidden/>
    <w:rsid w:val="00B16D24"/>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16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D24"/>
    <w:rPr>
      <w:rFonts w:ascii="Segoe UI" w:eastAsia="Calibri" w:hAnsi="Segoe UI" w:cs="Segoe UI"/>
      <w:color w:val="000000"/>
      <w:sz w:val="18"/>
      <w:szCs w:val="18"/>
    </w:rPr>
  </w:style>
  <w:style w:type="character" w:customStyle="1" w:styleId="spellingerror">
    <w:name w:val="spellingerror"/>
    <w:basedOn w:val="DefaultParagraphFont"/>
    <w:rsid w:val="009A1DA8"/>
  </w:style>
  <w:style w:type="table" w:styleId="TableGrid">
    <w:name w:val="Table Grid"/>
    <w:aliases w:val="Signature Table"/>
    <w:basedOn w:val="TableNormal"/>
    <w:uiPriority w:val="39"/>
    <w:rsid w:val="00505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6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D7F"/>
    <w:rPr>
      <w:rFonts w:ascii="Calibri" w:eastAsia="Calibri" w:hAnsi="Calibri" w:cs="Calibri"/>
      <w:color w:val="000000"/>
    </w:rPr>
  </w:style>
  <w:style w:type="paragraph" w:styleId="Footer">
    <w:name w:val="footer"/>
    <w:basedOn w:val="Normal"/>
    <w:link w:val="FooterChar"/>
    <w:uiPriority w:val="99"/>
    <w:unhideWhenUsed/>
    <w:rsid w:val="00386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D7F"/>
    <w:rPr>
      <w:rFonts w:ascii="Calibri" w:eastAsia="Calibri" w:hAnsi="Calibri" w:cs="Calibri"/>
      <w:color w:val="000000"/>
    </w:rPr>
  </w:style>
  <w:style w:type="character" w:styleId="FollowedHyperlink">
    <w:name w:val="FollowedHyperlink"/>
    <w:basedOn w:val="DefaultParagraphFont"/>
    <w:uiPriority w:val="99"/>
    <w:semiHidden/>
    <w:unhideWhenUsed/>
    <w:rsid w:val="006E17FD"/>
    <w:rPr>
      <w:color w:val="954F72" w:themeColor="followedHyperlink"/>
      <w:u w:val="single"/>
    </w:rPr>
  </w:style>
  <w:style w:type="character" w:styleId="UnresolvedMention">
    <w:name w:val="Unresolved Mention"/>
    <w:basedOn w:val="DefaultParagraphFont"/>
    <w:uiPriority w:val="99"/>
    <w:unhideWhenUsed/>
    <w:rsid w:val="006E17FD"/>
    <w:rPr>
      <w:color w:val="605E5C"/>
      <w:shd w:val="clear" w:color="auto" w:fill="E1DFDD"/>
    </w:rPr>
  </w:style>
  <w:style w:type="paragraph" w:styleId="Revision">
    <w:name w:val="Revision"/>
    <w:hidden/>
    <w:uiPriority w:val="99"/>
    <w:semiHidden/>
    <w:rsid w:val="0026752D"/>
    <w:pPr>
      <w:spacing w:after="0" w:line="240" w:lineRule="auto"/>
    </w:pPr>
    <w:rPr>
      <w:rFonts w:ascii="Calibri" w:eastAsia="Calibri" w:hAnsi="Calibri" w:cs="Calibri"/>
      <w:color w:val="000000"/>
    </w:rPr>
  </w:style>
  <w:style w:type="character" w:styleId="Mention">
    <w:name w:val="Mention"/>
    <w:basedOn w:val="DefaultParagraphFont"/>
    <w:uiPriority w:val="99"/>
    <w:unhideWhenUsed/>
    <w:rsid w:val="00E05CF2"/>
    <w:rPr>
      <w:color w:val="2B579A"/>
      <w:shd w:val="clear" w:color="auto" w:fill="E1DFDD"/>
    </w:rPr>
  </w:style>
  <w:style w:type="paragraph" w:styleId="NoSpacing">
    <w:name w:val="No Spacing"/>
    <w:uiPriority w:val="1"/>
    <w:qFormat/>
    <w:rsid w:val="00CB05FA"/>
    <w:pPr>
      <w:spacing w:after="0" w:line="240" w:lineRule="auto"/>
    </w:pPr>
    <w:rPr>
      <w:rFonts w:ascii="Calibri" w:eastAsia="Calibri" w:hAnsi="Calibri" w:cs="Calibri"/>
      <w:color w:val="000000"/>
    </w:rPr>
  </w:style>
  <w:style w:type="paragraph" w:styleId="Caption">
    <w:name w:val="caption"/>
    <w:basedOn w:val="Normal"/>
    <w:next w:val="Normal"/>
    <w:uiPriority w:val="35"/>
    <w:unhideWhenUsed/>
    <w:qFormat/>
    <w:rsid w:val="000040B8"/>
    <w:pPr>
      <w:spacing w:after="0" w:line="240" w:lineRule="auto"/>
    </w:pPr>
    <w:rPr>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94936">
      <w:bodyDiv w:val="1"/>
      <w:marLeft w:val="0"/>
      <w:marRight w:val="0"/>
      <w:marTop w:val="0"/>
      <w:marBottom w:val="0"/>
      <w:divBdr>
        <w:top w:val="none" w:sz="0" w:space="0" w:color="auto"/>
        <w:left w:val="none" w:sz="0" w:space="0" w:color="auto"/>
        <w:bottom w:val="none" w:sz="0" w:space="0" w:color="auto"/>
        <w:right w:val="none" w:sz="0" w:space="0" w:color="auto"/>
      </w:divBdr>
    </w:div>
    <w:div w:id="1406028922">
      <w:bodyDiv w:val="1"/>
      <w:marLeft w:val="0"/>
      <w:marRight w:val="0"/>
      <w:marTop w:val="0"/>
      <w:marBottom w:val="0"/>
      <w:divBdr>
        <w:top w:val="none" w:sz="0" w:space="0" w:color="auto"/>
        <w:left w:val="none" w:sz="0" w:space="0" w:color="auto"/>
        <w:bottom w:val="none" w:sz="0" w:space="0" w:color="auto"/>
        <w:right w:val="none" w:sz="0" w:space="0" w:color="auto"/>
      </w:divBdr>
    </w:div>
    <w:div w:id="1627077638">
      <w:bodyDiv w:val="1"/>
      <w:marLeft w:val="0"/>
      <w:marRight w:val="0"/>
      <w:marTop w:val="0"/>
      <w:marBottom w:val="0"/>
      <w:divBdr>
        <w:top w:val="none" w:sz="0" w:space="0" w:color="auto"/>
        <w:left w:val="none" w:sz="0" w:space="0" w:color="auto"/>
        <w:bottom w:val="none" w:sz="0" w:space="0" w:color="auto"/>
        <w:right w:val="none" w:sz="0" w:space="0" w:color="auto"/>
      </w:divBdr>
    </w:div>
    <w:div w:id="210738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faf3937915ac4da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oast.noaa.gov/digitalcoast/data/ccapregional.html" TargetMode="External"/><Relationship Id="rId2" Type="http://schemas.openxmlformats.org/officeDocument/2006/relationships/hyperlink" Target="https://www.nass.usda.gov/Research_and_Science/Cropland/SARS1a.php" TargetMode="External"/><Relationship Id="rId1" Type="http://schemas.openxmlformats.org/officeDocument/2006/relationships/hyperlink" Target="https://www.epa.gov/endangered-species/revised-method-national-level-listed-species-biological-evaluations-conventional" TargetMode="External"/><Relationship Id="rId5" Type="http://schemas.openxmlformats.org/officeDocument/2006/relationships/hyperlink" Target="https://www.epa.gov/pesticide-science-and-assessing-pesticide-risks/models-pesticide-risk-assessment%23aquatic" TargetMode="External"/><Relationship Id="rId4" Type="http://schemas.openxmlformats.org/officeDocument/2006/relationships/hyperlink" Target="https://www.epa.gov/endangered-species/models-and-tools-endangered-species-pesticide-assess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2020-08-20T12:41:37+00:00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Donovan, Elizabeth</DisplayName>
        <AccountId>580</AccountId>
        <AccountType/>
      </UserInfo>
      <UserInfo>
        <DisplayName>Connolly, Jennifer</DisplayName>
        <AccountId>816</AccountId>
        <AccountType/>
      </UserInfo>
      <UserInfo>
        <DisplayName>Peck, Charles</DisplayName>
        <AccountId>814</AccountId>
        <AccountType/>
      </UserInfo>
      <UserInfo>
        <DisplayName>Anderson, Brian</DisplayName>
        <AccountId>650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Version="">
  <b:Source>
    <b:Tag>FAO00</b:Tag>
    <b:SourceType>Report</b:SourceType>
    <b:Guid>{BF32B2C2-64F6-4E62-B825-6EFB17FBB1D5}</b:Guid>
    <b:Author>
      <b:Author>
        <b:Corporate>FAO</b:Corporate>
      </b:Author>
    </b:Author>
    <b:Title>Assessing Soil Contamination: A Reference Manual. FAO Pesticide Disposal Series 8</b:Title>
    <b:Year>2000</b:Year>
    <b:Publisher>Food and Agriculture Organization of the United Nations</b:Publisher>
    <b:RefOrder>7</b:RefOrder>
  </b:Source>
</b:Sources>
</file>

<file path=customXml/itemProps1.xml><?xml version="1.0" encoding="utf-8"?>
<ds:datastoreItem xmlns:ds="http://schemas.openxmlformats.org/officeDocument/2006/customXml" ds:itemID="{D1D34F7C-0726-48D3-8A3B-4D079B47B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973105-6CE9-43C2-8102-D80DC5C8D698}">
  <ds:schemaRefs>
    <ds:schemaRef ds:uri="Microsoft.SharePoint.Taxonomy.ContentTypeSync"/>
  </ds:schemaRefs>
</ds:datastoreItem>
</file>

<file path=customXml/itemProps3.xml><?xml version="1.0" encoding="utf-8"?>
<ds:datastoreItem xmlns:ds="http://schemas.openxmlformats.org/officeDocument/2006/customXml" ds:itemID="{22ACB71E-C022-4CE7-8E4D-95E40E3937CC}">
  <ds:schemaRefs>
    <ds:schemaRef ds:uri="http://schemas.microsoft.com/office/2006/metadata/properties"/>
    <ds:schemaRef ds:uri="http://schemas.microsoft.com/office/infopath/2007/PartnerControls"/>
    <ds:schemaRef ds:uri="http://schemas.microsoft.com/sharepoint/v3"/>
    <ds:schemaRef ds:uri="1b69afd8-9bdb-481b-b26a-06cbd17fa30c"/>
    <ds:schemaRef ds:uri="http://schemas.microsoft.com/office/2006/documentManagement/types"/>
    <ds:schemaRef ds:uri="http://schemas.microsoft.com/sharepoint.v3"/>
    <ds:schemaRef ds:uri="http://purl.org/dc/dcmitype/"/>
    <ds:schemaRef ds:uri="http://schemas.openxmlformats.org/package/2006/metadata/core-properties"/>
    <ds:schemaRef ds:uri="a5d1ca4e-0a3f-4119-b619-e20b93ebd1aa"/>
    <ds:schemaRef ds:uri="http://schemas.microsoft.com/sharepoint/v3/fields"/>
    <ds:schemaRef ds:uri="http://purl.org/dc/elements/1.1/"/>
    <ds:schemaRef ds:uri="4ffa91fb-a0ff-4ac5-b2db-65c790d184a4"/>
    <ds:schemaRef ds:uri="http://www.w3.org/XML/1998/namespace"/>
    <ds:schemaRef ds:uri="http://purl.org/dc/terms/"/>
  </ds:schemaRefs>
</ds:datastoreItem>
</file>

<file path=customXml/itemProps4.xml><?xml version="1.0" encoding="utf-8"?>
<ds:datastoreItem xmlns:ds="http://schemas.openxmlformats.org/officeDocument/2006/customXml" ds:itemID="{C852BFA4-74A2-4389-B632-71E190D726FB}">
  <ds:schemaRefs>
    <ds:schemaRef ds:uri="http://schemas.microsoft.com/sharepoint/v3/contenttype/forms"/>
  </ds:schemaRefs>
</ds:datastoreItem>
</file>

<file path=customXml/itemProps5.xml><?xml version="1.0" encoding="utf-8"?>
<ds:datastoreItem xmlns:ds="http://schemas.openxmlformats.org/officeDocument/2006/customXml" ds:itemID="{B197D845-DF0A-45C1-BB14-97D976D79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3637</Words>
  <Characters>20737</Characters>
  <Application>Microsoft Office Word</Application>
  <DocSecurity>8</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Rossmeisl, Colleen</dc:creator>
  <cp:keywords/>
  <dc:description/>
  <cp:lastModifiedBy>Louie-Juzwiak, Rosanna</cp:lastModifiedBy>
  <cp:revision>2</cp:revision>
  <dcterms:created xsi:type="dcterms:W3CDTF">2020-11-24T14:33:00Z</dcterms:created>
  <dcterms:modified xsi:type="dcterms:W3CDTF">2020-11-24T14:33:00Z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