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403" w14:textId="7F22D8A8" w:rsidR="009B7083" w:rsidRPr="00E9011F" w:rsidRDefault="009B7083" w:rsidP="009B7083">
      <w:pPr>
        <w:spacing w:after="0" w:line="276" w:lineRule="auto"/>
        <w:rPr>
          <w:rFonts w:eastAsia="Times New Roman" w:cs="Times New Roman"/>
          <w:color w:val="2F5496" w:themeColor="accent5" w:themeShade="BF"/>
          <w:sz w:val="32"/>
          <w:szCs w:val="32"/>
        </w:rPr>
      </w:pPr>
      <w:bookmarkStart w:id="0" w:name="h.gjdgxs" w:colFirst="0" w:colLast="0"/>
      <w:bookmarkEnd w:id="0"/>
      <w:r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>APPENDIX 2-</w:t>
      </w:r>
      <w:r w:rsidR="0019511A"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>6</w:t>
      </w:r>
      <w:r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 xml:space="preserve">. </w:t>
      </w:r>
      <w:r w:rsidR="00BA021C"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>Glyphosate</w:t>
      </w:r>
      <w:r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 xml:space="preserve"> Species Sensitivity Distribution</w:t>
      </w:r>
      <w:r w:rsidR="00F13293"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 xml:space="preserve"> (SSD)</w:t>
      </w:r>
      <w:r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 xml:space="preserve"> Analysis for </w:t>
      </w:r>
      <w:r w:rsidR="0019511A"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>Terrestrial</w:t>
      </w:r>
      <w:r w:rsidR="0093602D" w:rsidRPr="00E9011F">
        <w:rPr>
          <w:rFonts w:eastAsia="Times New Roman" w:cs="Times New Roman"/>
          <w:b/>
          <w:color w:val="2F5496" w:themeColor="accent5" w:themeShade="BF"/>
          <w:sz w:val="32"/>
          <w:szCs w:val="32"/>
        </w:rPr>
        <w:t xml:space="preserve"> Plants</w:t>
      </w:r>
    </w:p>
    <w:p w14:paraId="27766248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3A519CF" w14:textId="272B67AC" w:rsidR="009B7083" w:rsidRPr="008B3BE4" w:rsidRDefault="00BD20A9" w:rsidP="009B7083">
      <w:pPr>
        <w:spacing w:after="0" w:line="276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An </w:t>
      </w:r>
      <w:r w:rsidR="009B7083" w:rsidRPr="008B3BE4">
        <w:rPr>
          <w:rFonts w:eastAsia="Times New Roman" w:cs="Times New Roman"/>
          <w:color w:val="000000"/>
        </w:rPr>
        <w:t xml:space="preserve">SSD </w:t>
      </w:r>
      <w:r>
        <w:rPr>
          <w:rFonts w:eastAsia="Times New Roman" w:cs="Times New Roman"/>
          <w:color w:val="000000"/>
        </w:rPr>
        <w:t>was</w:t>
      </w:r>
      <w:r w:rsidR="009B7083" w:rsidRPr="008B3BE4">
        <w:rPr>
          <w:rFonts w:eastAsia="Times New Roman" w:cs="Times New Roman"/>
          <w:color w:val="000000"/>
        </w:rPr>
        <w:t xml:space="preserve"> fit</w:t>
      </w:r>
      <w:r>
        <w:rPr>
          <w:rFonts w:eastAsia="Times New Roman" w:cs="Times New Roman"/>
          <w:color w:val="000000"/>
        </w:rPr>
        <w:t>ted</w:t>
      </w:r>
      <w:r w:rsidR="009B7083" w:rsidRPr="008B3BE4">
        <w:rPr>
          <w:rFonts w:eastAsia="Times New Roman" w:cs="Times New Roman"/>
          <w:color w:val="000000"/>
        </w:rPr>
        <w:t xml:space="preserve"> to </w:t>
      </w:r>
      <w:r>
        <w:rPr>
          <w:rFonts w:eastAsia="Times New Roman" w:cs="Times New Roman"/>
          <w:color w:val="000000"/>
        </w:rPr>
        <w:t xml:space="preserve">vegetative vigor </w:t>
      </w:r>
      <w:r w:rsidR="009B7083" w:rsidRPr="008B3BE4">
        <w:rPr>
          <w:rFonts w:eastAsia="Times New Roman" w:cs="Times New Roman"/>
          <w:color w:val="000000"/>
        </w:rPr>
        <w:t xml:space="preserve">toxicity data </w:t>
      </w:r>
      <w:r>
        <w:rPr>
          <w:rFonts w:eastAsia="Times New Roman" w:cs="Times New Roman"/>
          <w:color w:val="000000"/>
        </w:rPr>
        <w:t>of</w:t>
      </w:r>
      <w:r w:rsidR="00BA021C">
        <w:rPr>
          <w:rFonts w:eastAsia="Times New Roman" w:cs="Times New Roman"/>
          <w:color w:val="000000"/>
        </w:rPr>
        <w:t xml:space="preserve"> terrestrial</w:t>
      </w:r>
      <w:r w:rsidR="0093602D" w:rsidRPr="008B3BE4">
        <w:rPr>
          <w:rFonts w:eastAsia="Times New Roman" w:cs="Times New Roman"/>
          <w:color w:val="000000"/>
        </w:rPr>
        <w:t xml:space="preserve"> plants</w:t>
      </w:r>
      <w:r w:rsidR="00927881" w:rsidRPr="008B3BE4">
        <w:rPr>
          <w:rFonts w:eastAsia="Times New Roman" w:cs="Times New Roman"/>
          <w:color w:val="000000"/>
        </w:rPr>
        <w:t xml:space="preserve"> </w:t>
      </w:r>
      <w:r w:rsidR="009B7083" w:rsidRPr="008B3BE4">
        <w:rPr>
          <w:rFonts w:eastAsia="Times New Roman" w:cs="Times New Roman"/>
          <w:color w:val="000000"/>
        </w:rPr>
        <w:t xml:space="preserve">exposed to </w:t>
      </w:r>
      <w:r w:rsidR="00BA021C">
        <w:rPr>
          <w:rFonts w:eastAsia="Times New Roman" w:cs="Times New Roman"/>
          <w:color w:val="000000"/>
        </w:rPr>
        <w:t>glyphosate formulations</w:t>
      </w:r>
      <w:r w:rsidR="009B7083" w:rsidRPr="008B3BE4">
        <w:rPr>
          <w:rFonts w:eastAsia="Times New Roman" w:cs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 xml:space="preserve">Seedling emergence was not fitted with an SSD due to low toxicity and lack of definitive endpoints. </w:t>
      </w:r>
      <w:r w:rsidR="009B7083" w:rsidRPr="008B3BE4">
        <w:rPr>
          <w:rFonts w:eastAsia="Times New Roman" w:cs="Times New Roman"/>
          <w:color w:val="000000"/>
        </w:rPr>
        <w:t xml:space="preserve">Five distributions were tested. </w:t>
      </w:r>
      <w:r w:rsidR="00D9696D" w:rsidRPr="008B3BE4">
        <w:rPr>
          <w:rFonts w:eastAsia="Times New Roman" w:cs="Times New Roman"/>
          <w:color w:val="000000"/>
        </w:rPr>
        <w:t xml:space="preserve">Ultimately, the results from the </w:t>
      </w:r>
      <w:r w:rsidR="0019511A">
        <w:rPr>
          <w:rFonts w:eastAsia="Times New Roman" w:cs="Times New Roman"/>
          <w:color w:val="000000"/>
        </w:rPr>
        <w:t>vegetative vigor</w:t>
      </w:r>
      <w:r w:rsidR="00F16C06" w:rsidRPr="008B3BE4">
        <w:rPr>
          <w:rFonts w:eastAsia="Times New Roman" w:cs="Times New Roman"/>
          <w:color w:val="000000"/>
        </w:rPr>
        <w:t xml:space="preserve"> </w:t>
      </w:r>
      <w:r w:rsidR="00D9696D" w:rsidRPr="008B3BE4">
        <w:rPr>
          <w:rFonts w:eastAsia="Times New Roman" w:cs="Times New Roman"/>
          <w:color w:val="000000"/>
        </w:rPr>
        <w:t xml:space="preserve">SSDs </w:t>
      </w:r>
      <w:r w:rsidR="00BA021C">
        <w:rPr>
          <w:rFonts w:eastAsia="Times New Roman" w:cs="Times New Roman"/>
          <w:color w:val="000000"/>
        </w:rPr>
        <w:t xml:space="preserve">combining monocots and dicots </w:t>
      </w:r>
      <w:r w:rsidR="00D9696D" w:rsidRPr="008B3BE4">
        <w:rPr>
          <w:rFonts w:eastAsia="Times New Roman" w:cs="Times New Roman"/>
          <w:color w:val="000000"/>
        </w:rPr>
        <w:t>were used.</w:t>
      </w:r>
      <w:r w:rsidR="009B7083" w:rsidRPr="008B3BE4">
        <w:rPr>
          <w:rFonts w:eastAsia="Times New Roman" w:cs="Times New Roman"/>
          <w:color w:val="000000"/>
        </w:rPr>
        <w:t xml:space="preserve"> </w:t>
      </w:r>
      <w:r w:rsidR="004C0BD6">
        <w:rPr>
          <w:rFonts w:eastAsia="Times New Roman" w:cs="Times New Roman"/>
          <w:b/>
          <w:bCs/>
          <w:color w:val="000000"/>
        </w:rPr>
        <w:fldChar w:fldCharType="begin"/>
      </w:r>
      <w:r w:rsidR="004C0BD6">
        <w:rPr>
          <w:rFonts w:eastAsia="Times New Roman" w:cs="Times New Roman"/>
          <w:color w:val="000000"/>
        </w:rPr>
        <w:instrText xml:space="preserve"> REF _Ref56623897 \h </w:instrText>
      </w:r>
      <w:r w:rsidR="004C0BD6">
        <w:rPr>
          <w:rFonts w:eastAsia="Times New Roman" w:cs="Times New Roman"/>
          <w:b/>
          <w:bCs/>
          <w:color w:val="000000"/>
        </w:rPr>
      </w:r>
      <w:r w:rsidR="004C0BD6">
        <w:rPr>
          <w:rFonts w:eastAsia="Times New Roman" w:cs="Times New Roman"/>
          <w:b/>
          <w:bCs/>
          <w:color w:val="000000"/>
        </w:rPr>
        <w:fldChar w:fldCharType="separate"/>
      </w:r>
      <w:r w:rsidR="004C0BD6" w:rsidRPr="004C0BD6">
        <w:t>Table 1</w:t>
      </w:r>
      <w:r w:rsidR="004C0BD6">
        <w:rPr>
          <w:rFonts w:eastAsia="Times New Roman" w:cs="Times New Roman"/>
          <w:b/>
          <w:bCs/>
          <w:color w:val="000000"/>
        </w:rPr>
        <w:fldChar w:fldCharType="end"/>
      </w:r>
      <w:r w:rsidR="004C0BD6">
        <w:rPr>
          <w:rFonts w:eastAsia="Times New Roman" w:cs="Times New Roman"/>
          <w:b/>
          <w:bCs/>
          <w:color w:val="000000"/>
        </w:rPr>
        <w:t xml:space="preserve"> </w:t>
      </w:r>
      <w:r w:rsidR="009B7083" w:rsidRPr="008B3BE4">
        <w:rPr>
          <w:rFonts w:eastAsia="Times New Roman" w:cs="Times New Roman"/>
          <w:color w:val="000000"/>
        </w:rPr>
        <w:t xml:space="preserve">provides a summary of the results. </w:t>
      </w:r>
      <w:r w:rsidR="00EF0DC7">
        <w:rPr>
          <w:rFonts w:eastAsia="Times New Roman" w:cs="Times New Roman"/>
          <w:color w:val="000000"/>
        </w:rPr>
        <w:t>Unless otherwise noted, units for application rates are lb a.e./A.</w:t>
      </w:r>
    </w:p>
    <w:p w14:paraId="6FDBCFC5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</w:rPr>
      </w:pPr>
    </w:p>
    <w:p w14:paraId="5EBEB3E6" w14:textId="1382B0F4" w:rsidR="009B7083" w:rsidRPr="004C0BD6" w:rsidRDefault="004C0BD6" w:rsidP="004C0BD6">
      <w:pPr>
        <w:pStyle w:val="Caption"/>
      </w:pPr>
      <w:bookmarkStart w:id="1" w:name="_Ref56623897"/>
      <w:r w:rsidRPr="004C0BD6"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 w:rsidR="00560516">
        <w:rPr>
          <w:noProof/>
        </w:rPr>
        <w:t>1</w:t>
      </w:r>
      <w:r w:rsidR="005D6E9C">
        <w:rPr>
          <w:noProof/>
        </w:rPr>
        <w:fldChar w:fldCharType="end"/>
      </w:r>
      <w:bookmarkEnd w:id="1"/>
      <w:r w:rsidRPr="004C0BD6">
        <w:t>. Summary statistics for SSD fit to glyphosate test results.</w:t>
      </w:r>
    </w:p>
    <w:tbl>
      <w:tblPr>
        <w:tblStyle w:val="TableGrid"/>
        <w:tblW w:w="2379" w:type="pct"/>
        <w:tblLook w:val="04A0" w:firstRow="1" w:lastRow="0" w:firstColumn="1" w:lastColumn="0" w:noHBand="0" w:noVBand="1"/>
      </w:tblPr>
      <w:tblGrid>
        <w:gridCol w:w="2922"/>
        <w:gridCol w:w="1570"/>
      </w:tblGrid>
      <w:tr w:rsidR="00BA021C" w:rsidRPr="008B3BE4" w14:paraId="16820137" w14:textId="77777777" w:rsidTr="004C0BD6">
        <w:trPr>
          <w:trHeight w:val="359"/>
        </w:trPr>
        <w:tc>
          <w:tcPr>
            <w:tcW w:w="3253" w:type="pct"/>
            <w:shd w:val="clear" w:color="auto" w:fill="D9D9D9" w:themeFill="background1" w:themeFillShade="D9"/>
            <w:vAlign w:val="center"/>
          </w:tcPr>
          <w:p w14:paraId="550857CB" w14:textId="77777777" w:rsidR="00BA021C" w:rsidRPr="004C0BD6" w:rsidRDefault="00BA021C" w:rsidP="004C0B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Statistic</w:t>
            </w:r>
          </w:p>
        </w:tc>
        <w:tc>
          <w:tcPr>
            <w:tcW w:w="1747" w:type="pct"/>
            <w:shd w:val="clear" w:color="auto" w:fill="D9D9D9" w:themeFill="background1" w:themeFillShade="D9"/>
            <w:vAlign w:val="center"/>
          </w:tcPr>
          <w:p w14:paraId="0177F503" w14:textId="4A8CE865" w:rsidR="00BA021C" w:rsidRPr="004C0BD6" w:rsidRDefault="00BA021C" w:rsidP="004C0BD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C0BD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Vegetative Vigor</w:t>
            </w:r>
          </w:p>
        </w:tc>
      </w:tr>
      <w:tr w:rsidR="00BA021C" w:rsidRPr="008B3BE4" w14:paraId="15361D13" w14:textId="77777777" w:rsidTr="004C0BD6">
        <w:trPr>
          <w:trHeight w:val="350"/>
        </w:trPr>
        <w:tc>
          <w:tcPr>
            <w:tcW w:w="3253" w:type="pct"/>
            <w:vAlign w:val="center"/>
          </w:tcPr>
          <w:p w14:paraId="14755AAC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Best Distribution (by AIC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c</w:t>
            </w: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47" w:type="pct"/>
            <w:vAlign w:val="center"/>
          </w:tcPr>
          <w:p w14:paraId="503ABE5D" w14:textId="797363CF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Triangular</w:t>
            </w:r>
          </w:p>
        </w:tc>
      </w:tr>
      <w:tr w:rsidR="00BA021C" w:rsidRPr="008B3BE4" w14:paraId="3CB25A66" w14:textId="77777777" w:rsidTr="004C0BD6">
        <w:trPr>
          <w:trHeight w:val="359"/>
        </w:trPr>
        <w:tc>
          <w:tcPr>
            <w:tcW w:w="3253" w:type="pct"/>
            <w:vAlign w:val="center"/>
          </w:tcPr>
          <w:p w14:paraId="58061AD9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 xml:space="preserve">Goodness of fit </w:t>
            </w:r>
          </w:p>
          <w:p w14:paraId="7D40D277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P-value</w:t>
            </w:r>
          </w:p>
        </w:tc>
        <w:tc>
          <w:tcPr>
            <w:tcW w:w="1747" w:type="pct"/>
            <w:vAlign w:val="center"/>
          </w:tcPr>
          <w:p w14:paraId="2B18BB7A" w14:textId="50C162EF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0.9950</w:t>
            </w:r>
          </w:p>
        </w:tc>
      </w:tr>
      <w:tr w:rsidR="00BA021C" w:rsidRPr="008B3BE4" w14:paraId="78604FC4" w14:textId="77777777" w:rsidTr="004C0BD6">
        <w:trPr>
          <w:trHeight w:val="178"/>
        </w:trPr>
        <w:tc>
          <w:tcPr>
            <w:tcW w:w="3253" w:type="pct"/>
            <w:vAlign w:val="center"/>
          </w:tcPr>
          <w:p w14:paraId="2142DB7D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CV of the 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747" w:type="pct"/>
            <w:vAlign w:val="center"/>
          </w:tcPr>
          <w:p w14:paraId="2D1D6839" w14:textId="660F4754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0.2358</w:t>
            </w:r>
          </w:p>
        </w:tc>
      </w:tr>
      <w:tr w:rsidR="00BA021C" w:rsidRPr="008B3BE4" w14:paraId="6666D3F3" w14:textId="77777777" w:rsidTr="004C0BD6">
        <w:trPr>
          <w:trHeight w:val="170"/>
        </w:trPr>
        <w:tc>
          <w:tcPr>
            <w:tcW w:w="3253" w:type="pct"/>
            <w:vAlign w:val="center"/>
          </w:tcPr>
          <w:p w14:paraId="21E10C90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1747" w:type="pct"/>
            <w:vAlign w:val="center"/>
          </w:tcPr>
          <w:p w14:paraId="53E2059D" w14:textId="147CC544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0.0209</w:t>
            </w:r>
          </w:p>
        </w:tc>
      </w:tr>
      <w:tr w:rsidR="00BA021C" w:rsidRPr="008B3BE4" w14:paraId="203AD21C" w14:textId="77777777" w:rsidTr="004C0BD6">
        <w:trPr>
          <w:trHeight w:val="178"/>
        </w:trPr>
        <w:tc>
          <w:tcPr>
            <w:tcW w:w="3253" w:type="pct"/>
            <w:vAlign w:val="center"/>
          </w:tcPr>
          <w:p w14:paraId="11DE0B44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10</w:t>
            </w:r>
          </w:p>
        </w:tc>
        <w:tc>
          <w:tcPr>
            <w:tcW w:w="1747" w:type="pct"/>
            <w:vAlign w:val="center"/>
          </w:tcPr>
          <w:p w14:paraId="7A0B68E1" w14:textId="02495B30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0.0287</w:t>
            </w:r>
          </w:p>
        </w:tc>
      </w:tr>
      <w:tr w:rsidR="00BA021C" w:rsidRPr="008B3BE4" w14:paraId="4BDE856D" w14:textId="77777777" w:rsidTr="004C0BD6">
        <w:trPr>
          <w:trHeight w:val="178"/>
        </w:trPr>
        <w:tc>
          <w:tcPr>
            <w:tcW w:w="3253" w:type="pct"/>
            <w:vAlign w:val="center"/>
          </w:tcPr>
          <w:p w14:paraId="0B9B2CA7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747" w:type="pct"/>
            <w:vAlign w:val="center"/>
          </w:tcPr>
          <w:p w14:paraId="4E21BAFC" w14:textId="7666AA17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0.1110</w:t>
            </w:r>
          </w:p>
        </w:tc>
      </w:tr>
      <w:tr w:rsidR="00BA021C" w:rsidRPr="008B3BE4" w14:paraId="4144F3A7" w14:textId="77777777" w:rsidTr="004C0BD6">
        <w:trPr>
          <w:trHeight w:val="170"/>
        </w:trPr>
        <w:tc>
          <w:tcPr>
            <w:tcW w:w="3253" w:type="pct"/>
            <w:vAlign w:val="center"/>
          </w:tcPr>
          <w:p w14:paraId="32B18948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90</w:t>
            </w:r>
          </w:p>
        </w:tc>
        <w:tc>
          <w:tcPr>
            <w:tcW w:w="1747" w:type="pct"/>
            <w:vAlign w:val="center"/>
          </w:tcPr>
          <w:p w14:paraId="08800A4F" w14:textId="3D78E375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0.4286</w:t>
            </w:r>
          </w:p>
        </w:tc>
      </w:tr>
      <w:tr w:rsidR="00BA021C" w:rsidRPr="008B3BE4" w14:paraId="23A4AEFA" w14:textId="77777777" w:rsidTr="004C0BD6">
        <w:trPr>
          <w:trHeight w:val="178"/>
        </w:trPr>
        <w:tc>
          <w:tcPr>
            <w:tcW w:w="3253" w:type="pct"/>
            <w:vAlign w:val="center"/>
          </w:tcPr>
          <w:p w14:paraId="0D44256A" w14:textId="77777777" w:rsidR="00BA021C" w:rsidRPr="008B3BE4" w:rsidRDefault="00BA021C" w:rsidP="004C0BD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BE4">
              <w:rPr>
                <w:rFonts w:asciiTheme="minorHAnsi" w:hAnsiTheme="minorHAnsi" w:cstheme="minorHAnsi"/>
                <w:sz w:val="20"/>
                <w:szCs w:val="20"/>
              </w:rPr>
              <w:t>HC</w:t>
            </w:r>
            <w:r w:rsidRPr="008B3BE4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95</w:t>
            </w:r>
          </w:p>
        </w:tc>
        <w:tc>
          <w:tcPr>
            <w:tcW w:w="1747" w:type="pct"/>
            <w:vAlign w:val="center"/>
          </w:tcPr>
          <w:p w14:paraId="68EBC3AF" w14:textId="58B21466" w:rsidR="00BA021C" w:rsidRPr="00BA021C" w:rsidRDefault="00093079" w:rsidP="004C0BD6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093079">
              <w:rPr>
                <w:rFonts w:asciiTheme="minorHAnsi" w:hAnsiTheme="minorHAnsi" w:cstheme="minorHAnsi"/>
                <w:sz w:val="20"/>
                <w:szCs w:val="20"/>
              </w:rPr>
              <w:t>0.5903</w:t>
            </w:r>
          </w:p>
        </w:tc>
      </w:tr>
    </w:tbl>
    <w:p w14:paraId="452BDC0D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3EA5B1F8" w14:textId="77777777" w:rsidR="00E6781C" w:rsidRPr="008B3BE4" w:rsidRDefault="00E6781C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75A9495D" w14:textId="05E4C144" w:rsidR="009B7083" w:rsidRPr="00E9011F" w:rsidRDefault="009B7083" w:rsidP="00E9011F">
      <w:pPr>
        <w:pStyle w:val="BEheader"/>
        <w:rPr>
          <w:color w:val="2F5496" w:themeColor="accent5" w:themeShade="BF"/>
        </w:rPr>
      </w:pPr>
      <w:r w:rsidRPr="00E9011F">
        <w:rPr>
          <w:color w:val="2F5496" w:themeColor="accent5" w:themeShade="BF"/>
        </w:rPr>
        <w:t>Data</w:t>
      </w:r>
    </w:p>
    <w:p w14:paraId="0348A24D" w14:textId="77777777" w:rsidR="00E9011F" w:rsidRDefault="00E9011F" w:rsidP="005612A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1D53DC50" w14:textId="58064317" w:rsidR="00E6781C" w:rsidRDefault="009B7083" w:rsidP="005612A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Data used in this analysis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 are detailed in </w:t>
      </w:r>
      <w:r w:rsidR="004158DE" w:rsidRPr="008B3BE4">
        <w:rPr>
          <w:rFonts w:ascii="Calibri" w:eastAsia="Times New Roman" w:hAnsi="Calibri" w:cs="Times New Roman"/>
          <w:b/>
          <w:bCs/>
          <w:color w:val="000000"/>
        </w:rPr>
        <w:t xml:space="preserve">Table </w:t>
      </w:r>
      <w:r w:rsidR="00170250" w:rsidRPr="008B3BE4">
        <w:rPr>
          <w:rFonts w:ascii="Calibri" w:eastAsia="Times New Roman" w:hAnsi="Calibri" w:cs="Times New Roman"/>
          <w:b/>
          <w:bCs/>
          <w:color w:val="000000"/>
        </w:rPr>
        <w:t>6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 (at the end of the document) and</w:t>
      </w:r>
      <w:r w:rsidRPr="008B3BE4">
        <w:rPr>
          <w:rFonts w:ascii="Calibri" w:eastAsia="Times New Roman" w:hAnsi="Calibri" w:cs="Times New Roman"/>
          <w:color w:val="000000"/>
        </w:rPr>
        <w:t xml:space="preserve"> were from </w:t>
      </w:r>
      <w:r w:rsidR="004158DE" w:rsidRPr="008B3BE4">
        <w:rPr>
          <w:rFonts w:ascii="Calibri" w:eastAsia="Times New Roman" w:hAnsi="Calibri" w:cs="Times New Roman"/>
          <w:color w:val="000000"/>
        </w:rPr>
        <w:t xml:space="preserve">registrant submitted studies as well as </w:t>
      </w:r>
      <w:r w:rsidRPr="008B3BE4">
        <w:rPr>
          <w:rFonts w:ascii="Calibri" w:eastAsia="Times New Roman" w:hAnsi="Calibri" w:cs="Times New Roman"/>
          <w:color w:val="000000"/>
        </w:rPr>
        <w:t xml:space="preserve">an ECOTOX query </w:t>
      </w:r>
      <w:r w:rsidR="00F746E0" w:rsidRPr="008B3BE4">
        <w:rPr>
          <w:rFonts w:ascii="Calibri" w:eastAsia="Times New Roman" w:hAnsi="Calibri" w:cs="Times New Roman"/>
          <w:color w:val="000000" w:themeColor="text1"/>
        </w:rPr>
        <w:t>(</w:t>
      </w:r>
      <w:r w:rsidR="00F746E0" w:rsidRPr="008B3BE4">
        <w:rPr>
          <w:rFonts w:ascii="Calibri" w:eastAsia="Times New Roman" w:hAnsi="Calibri" w:cs="Times New Roman"/>
          <w:b/>
          <w:color w:val="000000" w:themeColor="text1"/>
        </w:rPr>
        <w:t>A</w:t>
      </w:r>
      <w:r w:rsidR="001512E3" w:rsidRPr="008B3BE4">
        <w:rPr>
          <w:rFonts w:ascii="Calibri" w:eastAsia="Times New Roman" w:hAnsi="Calibri" w:cs="Times New Roman"/>
          <w:b/>
          <w:color w:val="000000" w:themeColor="text1"/>
        </w:rPr>
        <w:t>PPENDIX</w:t>
      </w:r>
      <w:r w:rsidR="00F746E0" w:rsidRPr="008B3BE4">
        <w:rPr>
          <w:rFonts w:ascii="Calibri" w:eastAsia="Times New Roman" w:hAnsi="Calibri" w:cs="Times New Roman"/>
          <w:b/>
          <w:color w:val="000000" w:themeColor="text1"/>
        </w:rPr>
        <w:t xml:space="preserve"> </w:t>
      </w:r>
      <w:r w:rsidR="00191681" w:rsidRPr="008B3BE4">
        <w:rPr>
          <w:rFonts w:ascii="Calibri" w:eastAsia="Times New Roman" w:hAnsi="Calibri" w:cs="Times New Roman"/>
          <w:b/>
          <w:color w:val="000000" w:themeColor="text1"/>
        </w:rPr>
        <w:t>2-2</w:t>
      </w:r>
      <w:r w:rsidR="00F746E0" w:rsidRPr="008B3BE4">
        <w:rPr>
          <w:rFonts w:ascii="Calibri" w:eastAsia="Times New Roman" w:hAnsi="Calibri" w:cs="Times New Roman"/>
          <w:color w:val="000000" w:themeColor="text1"/>
        </w:rPr>
        <w:t>)</w:t>
      </w:r>
      <w:r w:rsidRPr="008B3BE4">
        <w:rPr>
          <w:rFonts w:ascii="Calibri" w:eastAsia="Times New Roman" w:hAnsi="Calibri" w:cs="Times New Roman"/>
          <w:color w:val="000000"/>
        </w:rPr>
        <w:t xml:space="preserve">. </w:t>
      </w:r>
      <w:r w:rsidR="004C0BD6">
        <w:rPr>
          <w:rFonts w:ascii="Calibri" w:eastAsia="Times New Roman" w:hAnsi="Calibri" w:cs="Times New Roman"/>
          <w:b/>
          <w:bCs/>
          <w:color w:val="000000"/>
        </w:rPr>
        <w:fldChar w:fldCharType="begin"/>
      </w:r>
      <w:r w:rsidR="004C0BD6">
        <w:rPr>
          <w:rFonts w:ascii="Calibri" w:eastAsia="Times New Roman" w:hAnsi="Calibri" w:cs="Times New Roman"/>
          <w:color w:val="000000"/>
        </w:rPr>
        <w:instrText xml:space="preserve"> REF _Ref56624524 \h </w:instrText>
      </w:r>
      <w:r w:rsidR="004C0BD6">
        <w:rPr>
          <w:rFonts w:ascii="Calibri" w:eastAsia="Times New Roman" w:hAnsi="Calibri" w:cs="Times New Roman"/>
          <w:b/>
          <w:bCs/>
          <w:color w:val="000000"/>
        </w:rPr>
      </w:r>
      <w:r w:rsidR="004C0BD6">
        <w:rPr>
          <w:rFonts w:ascii="Calibri" w:eastAsia="Times New Roman" w:hAnsi="Calibri" w:cs="Times New Roman"/>
          <w:b/>
          <w:bCs/>
          <w:color w:val="000000"/>
        </w:rPr>
        <w:fldChar w:fldCharType="separate"/>
      </w:r>
      <w:r w:rsidR="004C0BD6">
        <w:t xml:space="preserve">Table </w:t>
      </w:r>
      <w:r w:rsidR="004C0BD6">
        <w:rPr>
          <w:noProof/>
        </w:rPr>
        <w:t>2</w:t>
      </w:r>
      <w:r w:rsidR="004C0BD6">
        <w:rPr>
          <w:rFonts w:ascii="Calibri" w:eastAsia="Times New Roman" w:hAnsi="Calibri" w:cs="Times New Roman"/>
          <w:b/>
          <w:bCs/>
          <w:color w:val="000000"/>
        </w:rPr>
        <w:fldChar w:fldCharType="end"/>
      </w:r>
      <w:r w:rsidR="004C0BD6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8B3BE4">
        <w:rPr>
          <w:rFonts w:ascii="Calibri" w:eastAsia="Times New Roman" w:hAnsi="Calibri" w:cs="Times New Roman"/>
          <w:color w:val="000000"/>
        </w:rPr>
        <w:t xml:space="preserve">provides the distribution of the test results for </w:t>
      </w:r>
      <w:r w:rsidR="00BA021C">
        <w:rPr>
          <w:rFonts w:ascii="Calibri" w:eastAsia="Times New Roman" w:hAnsi="Calibri" w:cs="Times New Roman"/>
          <w:color w:val="000000"/>
        </w:rPr>
        <w:t>glyphosate</w:t>
      </w:r>
      <w:r w:rsidRPr="008B3BE4">
        <w:rPr>
          <w:rFonts w:ascii="Calibri" w:eastAsia="Times New Roman" w:hAnsi="Calibri" w:cs="Times New Roman"/>
          <w:color w:val="000000"/>
        </w:rPr>
        <w:t xml:space="preserve"> including the number of species represented.  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Distributions were created for </w:t>
      </w:r>
      <w:r w:rsidR="002A423F">
        <w:rPr>
          <w:rFonts w:ascii="Calibri" w:eastAsia="Times New Roman" w:hAnsi="Calibri" w:cs="Times New Roman"/>
          <w:color w:val="000000"/>
        </w:rPr>
        <w:t xml:space="preserve">terrestrial 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plants based on </w:t>
      </w:r>
      <w:r w:rsidR="002A423F">
        <w:rPr>
          <w:rFonts w:ascii="Calibri" w:eastAsia="Times New Roman" w:hAnsi="Calibri" w:cs="Times New Roman"/>
          <w:color w:val="000000"/>
        </w:rPr>
        <w:t>I</w:t>
      </w:r>
      <w:r w:rsidR="00833FE1" w:rsidRPr="008B3BE4">
        <w:rPr>
          <w:rFonts w:ascii="Calibri" w:eastAsia="Times New Roman" w:hAnsi="Calibri" w:cs="Times New Roman"/>
          <w:color w:val="000000"/>
        </w:rPr>
        <w:t>C</w:t>
      </w:r>
      <w:r w:rsidR="002A423F" w:rsidRPr="002A423F">
        <w:rPr>
          <w:rFonts w:ascii="Calibri" w:eastAsia="Times New Roman" w:hAnsi="Calibri" w:cs="Times New Roman"/>
          <w:color w:val="000000"/>
          <w:vertAlign w:val="subscript"/>
        </w:rPr>
        <w:t>25</w:t>
      </w:r>
      <w:r w:rsidR="00833FE1" w:rsidRPr="008B3BE4">
        <w:rPr>
          <w:rFonts w:ascii="Calibri" w:eastAsia="Times New Roman" w:hAnsi="Calibri" w:cs="Times New Roman"/>
          <w:color w:val="000000"/>
        </w:rPr>
        <w:t xml:space="preserve"> values for various metrics of growth from </w:t>
      </w:r>
      <w:r w:rsidR="007445F4">
        <w:rPr>
          <w:rFonts w:ascii="Calibri" w:eastAsia="Times New Roman" w:hAnsi="Calibri" w:cs="Times New Roman"/>
          <w:color w:val="000000"/>
        </w:rPr>
        <w:t xml:space="preserve">21-, </w:t>
      </w:r>
      <w:r w:rsidR="007445F4" w:rsidRPr="007445F4">
        <w:rPr>
          <w:rFonts w:ascii="Calibri" w:eastAsia="Times New Roman" w:hAnsi="Calibri" w:cs="Times New Roman"/>
          <w:color w:val="000000"/>
        </w:rPr>
        <w:t>27</w:t>
      </w:r>
      <w:r w:rsidR="002A423F" w:rsidRPr="007445F4">
        <w:rPr>
          <w:rFonts w:ascii="Calibri" w:eastAsia="Times New Roman" w:hAnsi="Calibri" w:cs="Times New Roman"/>
          <w:color w:val="000000"/>
        </w:rPr>
        <w:t>-</w:t>
      </w:r>
      <w:r w:rsidR="007445F4" w:rsidRPr="007445F4">
        <w:rPr>
          <w:rFonts w:ascii="Calibri" w:eastAsia="Times New Roman" w:hAnsi="Calibri" w:cs="Times New Roman"/>
          <w:color w:val="000000"/>
        </w:rPr>
        <w:t xml:space="preserve"> and</w:t>
      </w:r>
      <w:r w:rsidR="002A423F" w:rsidRPr="007445F4">
        <w:rPr>
          <w:rFonts w:ascii="Calibri" w:eastAsia="Times New Roman" w:hAnsi="Calibri" w:cs="Times New Roman"/>
          <w:color w:val="000000"/>
        </w:rPr>
        <w:t xml:space="preserve"> 28-d</w:t>
      </w:r>
      <w:r w:rsidR="002A423F">
        <w:rPr>
          <w:rFonts w:ascii="Calibri" w:eastAsia="Times New Roman" w:hAnsi="Calibri" w:cs="Times New Roman"/>
          <w:color w:val="000000"/>
        </w:rPr>
        <w:t xml:space="preserve"> vegetative vigor studies. </w:t>
      </w:r>
    </w:p>
    <w:p w14:paraId="6A19069A" w14:textId="77777777" w:rsidR="005612AB" w:rsidRPr="005612AB" w:rsidRDefault="005612AB" w:rsidP="005612A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3537BACF" w14:textId="2111227E" w:rsidR="009B7083" w:rsidRPr="008B3BE4" w:rsidRDefault="004C0BD6" w:rsidP="004C0BD6">
      <w:pPr>
        <w:pStyle w:val="Caption"/>
        <w:rPr>
          <w:rFonts w:ascii="Calibri" w:eastAsia="Times New Roman" w:hAnsi="Calibri" w:cs="Times New Roman"/>
          <w:b w:val="0"/>
          <w:color w:val="000000"/>
        </w:rPr>
      </w:pPr>
      <w:bookmarkStart w:id="2" w:name="_Ref56624524"/>
      <w:r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 w:rsidR="00560516">
        <w:rPr>
          <w:noProof/>
        </w:rPr>
        <w:t>2</w:t>
      </w:r>
      <w:r w:rsidR="005D6E9C">
        <w:rPr>
          <w:noProof/>
        </w:rPr>
        <w:fldChar w:fldCharType="end"/>
      </w:r>
      <w:bookmarkEnd w:id="2"/>
      <w:r>
        <w:t xml:space="preserve">. </w:t>
      </w:r>
      <w:r w:rsidRPr="00276D5D">
        <w:t>Distribution of test results available for glyphosate.</w:t>
      </w:r>
    </w:p>
    <w:tbl>
      <w:tblPr>
        <w:tblW w:w="4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35"/>
        <w:gridCol w:w="1470"/>
        <w:gridCol w:w="954"/>
      </w:tblGrid>
      <w:tr w:rsidR="009B7083" w:rsidRPr="008B3BE4" w14:paraId="2ECA8270" w14:textId="77777777" w:rsidTr="004C0BD6">
        <w:trPr>
          <w:trHeight w:val="271"/>
        </w:trPr>
        <w:tc>
          <w:tcPr>
            <w:tcW w:w="2435" w:type="dxa"/>
            <w:shd w:val="clear" w:color="auto" w:fill="D9D9D9" w:themeFill="background1" w:themeFillShade="D9"/>
          </w:tcPr>
          <w:p w14:paraId="3606778F" w14:textId="77777777" w:rsidR="009B7083" w:rsidRPr="004C0BD6" w:rsidRDefault="009B7083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0BD6">
              <w:rPr>
                <w:rFonts w:ascii="Calibri" w:eastAsia="Times New Roman" w:hAnsi="Calibri" w:cs="Times New Roman"/>
                <w:b/>
                <w:bCs/>
                <w:color w:val="000000"/>
              </w:rPr>
              <w:t>Data Subset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3125730E" w14:textId="77777777" w:rsidR="009B7083" w:rsidRPr="004C0BD6" w:rsidRDefault="009B7083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0BD6">
              <w:rPr>
                <w:rFonts w:ascii="Calibri" w:eastAsia="Times New Roman" w:hAnsi="Calibri" w:cs="Times New Roman"/>
                <w:b/>
                <w:bCs/>
                <w:color w:val="000000"/>
              </w:rPr>
              <w:t>Test results</w:t>
            </w:r>
          </w:p>
        </w:tc>
        <w:tc>
          <w:tcPr>
            <w:tcW w:w="954" w:type="dxa"/>
            <w:shd w:val="clear" w:color="auto" w:fill="D9D9D9" w:themeFill="background1" w:themeFillShade="D9"/>
          </w:tcPr>
          <w:p w14:paraId="04BBAC38" w14:textId="77777777" w:rsidR="009B7083" w:rsidRPr="004C0BD6" w:rsidRDefault="009B7083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C0BD6">
              <w:rPr>
                <w:rFonts w:ascii="Calibri" w:eastAsia="Times New Roman" w:hAnsi="Calibri" w:cs="Times New Roman"/>
                <w:b/>
                <w:bCs/>
                <w:color w:val="000000"/>
              </w:rPr>
              <w:t>Species</w:t>
            </w:r>
          </w:p>
        </w:tc>
      </w:tr>
      <w:tr w:rsidR="009B7083" w:rsidRPr="008B3BE4" w14:paraId="66AD4D89" w14:textId="77777777" w:rsidTr="004C0BD6">
        <w:trPr>
          <w:trHeight w:val="271"/>
        </w:trPr>
        <w:tc>
          <w:tcPr>
            <w:tcW w:w="2435" w:type="dxa"/>
          </w:tcPr>
          <w:p w14:paraId="29FACEF7" w14:textId="4F58DD1B" w:rsidR="009B7083" w:rsidRPr="008B3BE4" w:rsidRDefault="002A423F" w:rsidP="0093602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Vegetative Vigor</w:t>
            </w:r>
          </w:p>
        </w:tc>
        <w:tc>
          <w:tcPr>
            <w:tcW w:w="1470" w:type="dxa"/>
          </w:tcPr>
          <w:p w14:paraId="15E2B020" w14:textId="65F607BA" w:rsidR="009B7083" w:rsidRPr="00BA021C" w:rsidRDefault="002B410C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B410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954" w:type="dxa"/>
          </w:tcPr>
          <w:p w14:paraId="348B7FA9" w14:textId="52C65B8B" w:rsidR="009B7083" w:rsidRPr="00BA021C" w:rsidRDefault="002A423F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2B410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</w:tbl>
    <w:p w14:paraId="702B65F8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BF3C604" w14:textId="423ABE8C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b/>
          <w:color w:val="000000"/>
        </w:rPr>
        <w:t>Figure 1</w:t>
      </w:r>
      <w:r w:rsidRPr="008B3BE4">
        <w:rPr>
          <w:rFonts w:ascii="Calibri" w:eastAsia="Times New Roman" w:hAnsi="Calibri" w:cs="Times New Roman"/>
          <w:color w:val="000000"/>
        </w:rPr>
        <w:t xml:space="preserve"> show</w:t>
      </w:r>
      <w:r w:rsidR="00EF0252">
        <w:rPr>
          <w:rFonts w:ascii="Calibri" w:eastAsia="Times New Roman" w:hAnsi="Calibri" w:cs="Times New Roman"/>
          <w:color w:val="000000"/>
        </w:rPr>
        <w:t>s</w:t>
      </w:r>
      <w:r w:rsidRPr="008B3BE4">
        <w:rPr>
          <w:rFonts w:ascii="Calibri" w:eastAsia="Times New Roman" w:hAnsi="Calibri" w:cs="Times New Roman"/>
          <w:color w:val="000000"/>
        </w:rPr>
        <w:t xml:space="preserve"> the distribution of test results among species</w:t>
      </w:r>
      <w:r w:rsidR="00654062">
        <w:rPr>
          <w:rFonts w:ascii="Calibri" w:eastAsia="Times New Roman" w:hAnsi="Calibri" w:cs="Times New Roman"/>
          <w:color w:val="000000"/>
        </w:rPr>
        <w:t xml:space="preserve"> from the vegetative vigor studies.</w:t>
      </w:r>
      <w:r w:rsidRPr="008B3BE4">
        <w:rPr>
          <w:rFonts w:ascii="Calibri" w:eastAsia="Times New Roman" w:hAnsi="Calibri" w:cs="Times New Roman"/>
          <w:color w:val="000000"/>
        </w:rPr>
        <w:t xml:space="preserve"> </w:t>
      </w:r>
      <w:r w:rsidR="00EF0252" w:rsidRPr="00EF0252">
        <w:rPr>
          <w:rFonts w:ascii="Calibri" w:eastAsia="Times New Roman" w:hAnsi="Calibri" w:cs="Times New Roman"/>
          <w:color w:val="000000"/>
        </w:rPr>
        <w:t>Several</w:t>
      </w:r>
      <w:r w:rsidR="009D13AD" w:rsidRPr="00EF0252">
        <w:rPr>
          <w:rFonts w:ascii="Calibri" w:eastAsia="Times New Roman" w:hAnsi="Calibri" w:cs="Times New Roman"/>
          <w:color w:val="000000"/>
        </w:rPr>
        <w:t xml:space="preserve"> </w:t>
      </w:r>
      <w:r w:rsidRPr="00EF0252">
        <w:rPr>
          <w:rFonts w:ascii="Calibri" w:eastAsia="Times New Roman" w:hAnsi="Calibri" w:cs="Times New Roman"/>
          <w:color w:val="000000"/>
        </w:rPr>
        <w:t>species have been repeatedly tested (</w:t>
      </w:r>
      <w:r w:rsidR="00EF0252">
        <w:rPr>
          <w:rFonts w:ascii="Calibri" w:eastAsia="Times New Roman" w:hAnsi="Calibri" w:cs="Times New Roman"/>
          <w:color w:val="000000"/>
        </w:rPr>
        <w:t>up to</w:t>
      </w:r>
      <w:r w:rsidR="009D13AD" w:rsidRPr="00EF0252">
        <w:rPr>
          <w:rFonts w:ascii="Calibri" w:eastAsia="Times New Roman" w:hAnsi="Calibri" w:cs="Times New Roman"/>
          <w:color w:val="000000"/>
        </w:rPr>
        <w:t xml:space="preserve"> </w:t>
      </w:r>
      <w:r w:rsidR="00EF0252">
        <w:rPr>
          <w:rFonts w:ascii="Calibri" w:eastAsia="Times New Roman" w:hAnsi="Calibri" w:cs="Times New Roman"/>
          <w:color w:val="000000"/>
        </w:rPr>
        <w:t>six</w:t>
      </w:r>
      <w:r w:rsidR="00935AFD" w:rsidRPr="00EF0252">
        <w:rPr>
          <w:rFonts w:ascii="Calibri" w:eastAsia="Times New Roman" w:hAnsi="Calibri" w:cs="Times New Roman"/>
          <w:color w:val="000000"/>
        </w:rPr>
        <w:t xml:space="preserve"> times</w:t>
      </w:r>
      <w:r w:rsidRPr="00EF0252">
        <w:rPr>
          <w:rFonts w:ascii="Calibri" w:eastAsia="Times New Roman" w:hAnsi="Calibri" w:cs="Times New Roman"/>
          <w:color w:val="000000"/>
        </w:rPr>
        <w:t xml:space="preserve">), but the majority of species have been tested fewer </w:t>
      </w:r>
      <w:r w:rsidR="005F5EA5" w:rsidRPr="00EF0252">
        <w:rPr>
          <w:rFonts w:ascii="Calibri" w:eastAsia="Times New Roman" w:hAnsi="Calibri" w:cs="Times New Roman"/>
          <w:color w:val="000000"/>
        </w:rPr>
        <w:t xml:space="preserve">than </w:t>
      </w:r>
      <w:r w:rsidR="00935AFD" w:rsidRPr="00EF0252">
        <w:rPr>
          <w:rFonts w:ascii="Calibri" w:eastAsia="Times New Roman" w:hAnsi="Calibri" w:cs="Times New Roman"/>
          <w:color w:val="000000"/>
        </w:rPr>
        <w:t>three</w:t>
      </w:r>
      <w:r w:rsidR="005F5EA5" w:rsidRPr="00EF0252">
        <w:rPr>
          <w:rFonts w:ascii="Calibri" w:eastAsia="Times New Roman" w:hAnsi="Calibri" w:cs="Times New Roman"/>
          <w:color w:val="000000"/>
        </w:rPr>
        <w:t xml:space="preserve"> </w:t>
      </w:r>
      <w:r w:rsidRPr="00EF0252">
        <w:rPr>
          <w:rFonts w:ascii="Calibri" w:eastAsia="Times New Roman" w:hAnsi="Calibri" w:cs="Times New Roman"/>
          <w:color w:val="000000"/>
        </w:rPr>
        <w:t xml:space="preserve">times, with </w:t>
      </w:r>
      <w:r w:rsidR="00BA021C" w:rsidRPr="00EF0252">
        <w:rPr>
          <w:rFonts w:ascii="Calibri" w:eastAsia="Times New Roman" w:hAnsi="Calibri" w:cs="Times New Roman"/>
          <w:color w:val="000000"/>
        </w:rPr>
        <w:t xml:space="preserve">20 </w:t>
      </w:r>
      <w:r w:rsidRPr="00EF0252">
        <w:rPr>
          <w:rFonts w:ascii="Calibri" w:eastAsia="Times New Roman" w:hAnsi="Calibri" w:cs="Times New Roman"/>
          <w:color w:val="000000"/>
        </w:rPr>
        <w:t>species having only one test result.</w:t>
      </w:r>
      <w:bookmarkStart w:id="3" w:name="_GoBack"/>
      <w:bookmarkEnd w:id="3"/>
    </w:p>
    <w:p w14:paraId="62006915" w14:textId="0E80CC0C" w:rsidR="009B7083" w:rsidRPr="008B3BE4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3BE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BA021C" w:rsidRPr="00BA021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7327CD9" wp14:editId="49515970">
            <wp:extent cx="6000750" cy="19894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98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3E78" w14:textId="5A5F5197" w:rsidR="009B7083" w:rsidRPr="008B3BE4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8B3BE4">
        <w:rPr>
          <w:rFonts w:eastAsia="Times New Roman" w:cs="Times New Roman"/>
          <w:b/>
          <w:color w:val="000000"/>
        </w:rPr>
        <w:t>Figure 1. Distribution of the number of test results per species in</w:t>
      </w:r>
      <w:r w:rsidR="0093602D" w:rsidRPr="008B3BE4">
        <w:rPr>
          <w:rFonts w:eastAsia="Times New Roman" w:cs="Times New Roman"/>
          <w:b/>
          <w:color w:val="000000"/>
        </w:rPr>
        <w:t xml:space="preserve"> </w:t>
      </w:r>
      <w:r w:rsidR="00BA021C">
        <w:rPr>
          <w:rFonts w:eastAsia="Times New Roman" w:cs="Times New Roman"/>
          <w:b/>
          <w:color w:val="000000"/>
        </w:rPr>
        <w:t>glyphosate</w:t>
      </w:r>
      <w:r w:rsidR="0093602D" w:rsidRPr="008B3BE4">
        <w:rPr>
          <w:rFonts w:eastAsia="Times New Roman" w:cs="Times New Roman"/>
          <w:b/>
          <w:color w:val="000000"/>
        </w:rPr>
        <w:t xml:space="preserve"> </w:t>
      </w:r>
      <w:r w:rsidR="00654062">
        <w:rPr>
          <w:rFonts w:eastAsia="Times New Roman" w:cs="Times New Roman"/>
          <w:b/>
          <w:color w:val="000000"/>
        </w:rPr>
        <w:t xml:space="preserve">vegetative vigor </w:t>
      </w:r>
      <w:r w:rsidR="0093602D" w:rsidRPr="008B3BE4">
        <w:rPr>
          <w:rFonts w:eastAsia="Times New Roman" w:cs="Times New Roman"/>
          <w:b/>
          <w:color w:val="000000"/>
        </w:rPr>
        <w:t>d</w:t>
      </w:r>
      <w:r w:rsidRPr="008B3BE4">
        <w:rPr>
          <w:rFonts w:eastAsia="Times New Roman" w:cs="Times New Roman"/>
          <w:b/>
          <w:color w:val="000000"/>
        </w:rPr>
        <w:t>ata</w:t>
      </w:r>
      <w:r w:rsidR="00917B7A" w:rsidRPr="008B3BE4">
        <w:rPr>
          <w:rFonts w:eastAsia="Times New Roman" w:cs="Times New Roman"/>
          <w:b/>
          <w:color w:val="000000"/>
        </w:rPr>
        <w:t>.</w:t>
      </w:r>
    </w:p>
    <w:p w14:paraId="573D086F" w14:textId="77777777" w:rsidR="00BA021C" w:rsidRDefault="00BA021C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18034F28" w14:textId="3B37657C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 xml:space="preserve">Five potential distributions for the </w:t>
      </w:r>
      <w:r w:rsidR="00BA021C">
        <w:rPr>
          <w:rFonts w:eastAsia="Times New Roman" w:cs="Times New Roman"/>
          <w:color w:val="000000"/>
        </w:rPr>
        <w:t>glyphosate</w:t>
      </w:r>
      <w:r w:rsidRPr="008B3BE4">
        <w:rPr>
          <w:rFonts w:eastAsia="Times New Roman" w:cs="Times New Roman"/>
          <w:color w:val="000000"/>
        </w:rPr>
        <w:t xml:space="preserve"> data were considered, including log-normal, log-logistic, log-triangular, log-gumbel, and Burr.  To fit each of the first four distributions, the toxicity values were first common log (log</w:t>
      </w:r>
      <w:r w:rsidRPr="008B3BE4">
        <w:rPr>
          <w:rFonts w:eastAsia="Times New Roman" w:cs="Times New Roman"/>
          <w:color w:val="000000"/>
          <w:vertAlign w:val="subscript"/>
        </w:rPr>
        <w:t>10</w:t>
      </w:r>
      <w:r w:rsidRPr="008B3BE4">
        <w:rPr>
          <w:rFonts w:eastAsia="Times New Roman" w:cs="Times New Roman"/>
          <w:color w:val="000000"/>
        </w:rPr>
        <w:t>) transformed. Finally, effect thresholds and five quantiles from the fitted SSDs (HC</w:t>
      </w:r>
      <w:r w:rsidRPr="008B3BE4">
        <w:rPr>
          <w:rFonts w:eastAsia="Times New Roman" w:cs="Times New Roman"/>
          <w:color w:val="000000"/>
          <w:vertAlign w:val="subscript"/>
        </w:rPr>
        <w:t>05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10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50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90</w:t>
      </w:r>
      <w:r w:rsidRPr="008B3BE4">
        <w:rPr>
          <w:rFonts w:eastAsia="Times New Roman" w:cs="Times New Roman"/>
          <w:color w:val="000000"/>
        </w:rPr>
        <w:t>, HC</w:t>
      </w:r>
      <w:r w:rsidRPr="008B3BE4">
        <w:rPr>
          <w:rFonts w:eastAsia="Times New Roman" w:cs="Times New Roman"/>
          <w:color w:val="000000"/>
          <w:vertAlign w:val="subscript"/>
        </w:rPr>
        <w:t>95</w:t>
      </w:r>
      <w:r w:rsidRPr="008B3BE4">
        <w:rPr>
          <w:rFonts w:eastAsia="Times New Roman" w:cs="Times New Roman"/>
          <w:color w:val="000000"/>
        </w:rPr>
        <w:t>) were calculated and reported.</w:t>
      </w:r>
    </w:p>
    <w:p w14:paraId="5200684E" w14:textId="568A1B3D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C349385" w14:textId="48FEB6A3" w:rsidR="00DC0511" w:rsidRPr="008B3BE4" w:rsidRDefault="00DC051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5D4E88A2" w14:textId="31A22DF7" w:rsidR="009B7083" w:rsidRPr="00E9011F" w:rsidRDefault="009B7083" w:rsidP="00E9011F">
      <w:pPr>
        <w:pStyle w:val="BEheader"/>
        <w:rPr>
          <w:color w:val="2F5496" w:themeColor="accent5" w:themeShade="BF"/>
        </w:rPr>
      </w:pPr>
      <w:r w:rsidRPr="00E9011F">
        <w:rPr>
          <w:color w:val="2F5496" w:themeColor="accent5" w:themeShade="BF"/>
        </w:rPr>
        <w:t>Comparison of distributions using AIC</w:t>
      </w:r>
      <w:r w:rsidRPr="00E9011F">
        <w:rPr>
          <w:color w:val="2F5496" w:themeColor="accent5" w:themeShade="BF"/>
          <w:vertAlign w:val="subscript"/>
        </w:rPr>
        <w:t>c</w:t>
      </w:r>
    </w:p>
    <w:p w14:paraId="000BBB09" w14:textId="77777777" w:rsidR="00E9011F" w:rsidRDefault="00E9011F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8DC8DA3" w14:textId="6302DE01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color w:val="000000"/>
        </w:rPr>
        <w:t>Akaike’s Information Criterion corrected for sample size (AIC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r w:rsidRPr="008B3BE4">
        <w:rPr>
          <w:rFonts w:eastAsia="Times New Roman" w:cs="Times New Roman"/>
          <w:color w:val="000000"/>
        </w:rPr>
        <w:t xml:space="preserve">) was used to compare the five distributions for </w:t>
      </w:r>
      <w:r w:rsidR="00235D8B" w:rsidRPr="008B3BE4">
        <w:rPr>
          <w:rFonts w:eastAsia="Times New Roman" w:cs="Times New Roman"/>
          <w:color w:val="000000"/>
        </w:rPr>
        <w:t>the aquatic plant dataset</w:t>
      </w:r>
      <w:r w:rsidRPr="008B3BE4">
        <w:rPr>
          <w:rFonts w:eastAsia="Times New Roman" w:cs="Times New Roman"/>
          <w:color w:val="000000"/>
        </w:rPr>
        <w:t xml:space="preserve">.  For these comparisons all SSDs were fit using maximum likelihood. </w:t>
      </w:r>
      <w:r w:rsidR="00235D8B" w:rsidRPr="008B3BE4">
        <w:rPr>
          <w:rFonts w:eastAsia="Times New Roman" w:cs="Times New Roman"/>
          <w:color w:val="000000"/>
        </w:rPr>
        <w:t xml:space="preserve">The </w:t>
      </w:r>
      <w:r w:rsidRPr="008B3BE4">
        <w:rPr>
          <w:rFonts w:eastAsia="Times New Roman" w:cs="Times New Roman"/>
          <w:color w:val="000000"/>
        </w:rPr>
        <w:t>AIC</w:t>
      </w:r>
      <w:r w:rsidRPr="008B3BE4">
        <w:rPr>
          <w:rFonts w:eastAsia="Times New Roman" w:cs="Times New Roman"/>
          <w:color w:val="000000"/>
          <w:vertAlign w:val="subscript"/>
        </w:rPr>
        <w:t>c</w:t>
      </w:r>
      <w:r w:rsidRPr="008B3BE4">
        <w:rPr>
          <w:rFonts w:eastAsia="Times New Roman" w:cs="Times New Roman"/>
          <w:color w:val="000000"/>
        </w:rPr>
        <w:t xml:space="preserve"> suggested that the </w:t>
      </w:r>
      <w:r w:rsidR="00120C48">
        <w:rPr>
          <w:rFonts w:eastAsia="Times New Roman" w:cs="Times New Roman"/>
          <w:color w:val="000000"/>
        </w:rPr>
        <w:t>triangular</w:t>
      </w:r>
      <w:r w:rsidRPr="008B3BE4">
        <w:rPr>
          <w:rFonts w:eastAsia="Times New Roman" w:cs="Times New Roman"/>
          <w:color w:val="000000"/>
        </w:rPr>
        <w:t xml:space="preserve"> distribution provided the best fit </w:t>
      </w:r>
      <w:r w:rsidR="00911EB6" w:rsidRPr="008B3BE4">
        <w:rPr>
          <w:rFonts w:eastAsia="Times New Roman" w:cs="Times New Roman"/>
          <w:color w:val="000000"/>
        </w:rPr>
        <w:t xml:space="preserve">for the </w:t>
      </w:r>
      <w:r w:rsidR="00D23B18">
        <w:rPr>
          <w:rFonts w:eastAsia="Times New Roman" w:cs="Times New Roman"/>
          <w:color w:val="000000"/>
        </w:rPr>
        <w:t xml:space="preserve">vegetative vigor data </w:t>
      </w:r>
      <w:r w:rsidRPr="008B3BE4">
        <w:rPr>
          <w:rFonts w:eastAsia="Times New Roman" w:cs="Times New Roman"/>
          <w:color w:val="000000"/>
        </w:rPr>
        <w:t>(</w:t>
      </w:r>
      <w:r w:rsidR="004C0BD6">
        <w:rPr>
          <w:rFonts w:eastAsia="Times New Roman" w:cs="Times New Roman"/>
          <w:color w:val="000000"/>
        </w:rPr>
        <w:fldChar w:fldCharType="begin"/>
      </w:r>
      <w:r w:rsidR="004C0BD6">
        <w:rPr>
          <w:rFonts w:eastAsia="Times New Roman" w:cs="Times New Roman"/>
          <w:color w:val="000000"/>
        </w:rPr>
        <w:instrText xml:space="preserve"> REF _Ref56624625 \h </w:instrText>
      </w:r>
      <w:r w:rsidR="004C0BD6">
        <w:rPr>
          <w:rFonts w:eastAsia="Times New Roman" w:cs="Times New Roman"/>
          <w:color w:val="000000"/>
        </w:rPr>
      </w:r>
      <w:r w:rsidR="004C0BD6">
        <w:rPr>
          <w:rFonts w:eastAsia="Times New Roman" w:cs="Times New Roman"/>
          <w:color w:val="000000"/>
        </w:rPr>
        <w:fldChar w:fldCharType="separate"/>
      </w:r>
      <w:r w:rsidR="004C0BD6">
        <w:t xml:space="preserve">Table </w:t>
      </w:r>
      <w:r w:rsidR="004C0BD6">
        <w:rPr>
          <w:noProof/>
        </w:rPr>
        <w:t>3</w:t>
      </w:r>
      <w:r w:rsidR="004C0BD6">
        <w:rPr>
          <w:rFonts w:eastAsia="Times New Roman" w:cs="Times New Roman"/>
          <w:color w:val="000000"/>
        </w:rPr>
        <w:fldChar w:fldCharType="end"/>
      </w:r>
      <w:r w:rsidRPr="008B3BE4">
        <w:rPr>
          <w:rFonts w:eastAsia="Times New Roman" w:cs="Times New Roman"/>
          <w:color w:val="000000"/>
        </w:rPr>
        <w:t xml:space="preserve">).  </w:t>
      </w:r>
    </w:p>
    <w:p w14:paraId="30327770" w14:textId="77777777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1B1CD9A2" w14:textId="40B697B9" w:rsidR="009B7083" w:rsidRPr="008B3BE4" w:rsidRDefault="004C0BD6" w:rsidP="004C0BD6">
      <w:pPr>
        <w:pStyle w:val="Caption"/>
        <w:rPr>
          <w:rFonts w:eastAsia="Times New Roman" w:cs="Times New Roman"/>
          <w:b w:val="0"/>
          <w:color w:val="000000"/>
        </w:rPr>
      </w:pPr>
      <w:bookmarkStart w:id="4" w:name="_Ref56624625"/>
      <w:r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 w:rsidR="00560516">
        <w:rPr>
          <w:noProof/>
        </w:rPr>
        <w:t>3</w:t>
      </w:r>
      <w:r w:rsidR="005D6E9C">
        <w:rPr>
          <w:noProof/>
        </w:rPr>
        <w:fldChar w:fldCharType="end"/>
      </w:r>
      <w:bookmarkEnd w:id="4"/>
      <w:r>
        <w:t xml:space="preserve">. </w:t>
      </w:r>
      <w:r w:rsidRPr="00B12ECD">
        <w:t>Comparison of distributions for vegetative vigor toxicity data for glyphosate.</w:t>
      </w:r>
    </w:p>
    <w:tbl>
      <w:tblPr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1162"/>
        <w:gridCol w:w="1339"/>
        <w:gridCol w:w="1339"/>
      </w:tblGrid>
      <w:tr w:rsidR="009B7083" w:rsidRPr="008B3BE4" w14:paraId="708E5265" w14:textId="77777777" w:rsidTr="004C0BD6">
        <w:trPr>
          <w:tblHeader/>
        </w:trPr>
        <w:tc>
          <w:tcPr>
            <w:tcW w:w="1323" w:type="dxa"/>
            <w:shd w:val="clear" w:color="auto" w:fill="D9D9D9" w:themeFill="background1" w:themeFillShade="D9"/>
          </w:tcPr>
          <w:p w14:paraId="3CD5DC71" w14:textId="77777777" w:rsidR="009B7083" w:rsidRPr="004C0BD6" w:rsidRDefault="009B7083" w:rsidP="009B70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C0BD6">
              <w:rPr>
                <w:rFonts w:eastAsia="Times New Roman" w:cs="Times New Roman"/>
                <w:b/>
                <w:bCs/>
                <w:color w:val="000000"/>
              </w:rPr>
              <w:t>distribution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7376A48D" w14:textId="77777777" w:rsidR="009B7083" w:rsidRPr="004C0BD6" w:rsidRDefault="009B7083" w:rsidP="009B70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C0BD6">
              <w:rPr>
                <w:rFonts w:eastAsia="Times New Roman" w:cs="Times New Roman"/>
                <w:b/>
                <w:bCs/>
                <w:color w:val="000000"/>
              </w:rPr>
              <w:t>AIC</w:t>
            </w:r>
            <w:r w:rsidRPr="004C0BD6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14:paraId="2993BCB2" w14:textId="77777777" w:rsidR="009B7083" w:rsidRPr="004C0BD6" w:rsidRDefault="009B7083" w:rsidP="009B70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C0BD6">
              <w:rPr>
                <w:rFonts w:eastAsia="Arial Unicode MS" w:cs="Arial Unicode MS"/>
                <w:b/>
                <w:bCs/>
                <w:color w:val="000000"/>
              </w:rPr>
              <w:t>∆AIC</w:t>
            </w:r>
            <w:r w:rsidRPr="004C0BD6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c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3BABBBA" w14:textId="77777777" w:rsidR="009B7083" w:rsidRPr="004C0BD6" w:rsidRDefault="009B7083" w:rsidP="009B70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C0BD6">
              <w:rPr>
                <w:rFonts w:eastAsia="Times New Roman" w:cs="Times New Roman"/>
                <w:b/>
                <w:bCs/>
                <w:color w:val="000000"/>
              </w:rPr>
              <w:t>Weight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4DC097DA" w14:textId="77777777" w:rsidR="009B7083" w:rsidRPr="004C0BD6" w:rsidRDefault="009B7083" w:rsidP="009B708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4C0BD6">
              <w:rPr>
                <w:rFonts w:eastAsia="Times New Roman" w:cs="Times New Roman"/>
                <w:b/>
                <w:bCs/>
                <w:color w:val="000000"/>
              </w:rPr>
              <w:t>HC</w:t>
            </w:r>
            <w:r w:rsidRPr="004C0BD6">
              <w:rPr>
                <w:rFonts w:eastAsia="Times New Roman" w:cs="Times New Roman"/>
                <w:b/>
                <w:bCs/>
                <w:color w:val="000000"/>
                <w:vertAlign w:val="subscript"/>
              </w:rPr>
              <w:t>05</w:t>
            </w:r>
          </w:p>
        </w:tc>
      </w:tr>
      <w:tr w:rsidR="00960051" w:rsidRPr="008B3BE4" w14:paraId="67B0FCF5" w14:textId="77777777" w:rsidTr="004C0BD6">
        <w:tc>
          <w:tcPr>
            <w:tcW w:w="1323" w:type="dxa"/>
            <w:vAlign w:val="center"/>
          </w:tcPr>
          <w:p w14:paraId="1EFBE27B" w14:textId="4AED4E15" w:rsidR="00960051" w:rsidRPr="008B3BE4" w:rsidRDefault="00960051" w:rsidP="00960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triangular</w:t>
            </w:r>
          </w:p>
        </w:tc>
        <w:tc>
          <w:tcPr>
            <w:tcW w:w="1162" w:type="dxa"/>
            <w:vAlign w:val="center"/>
          </w:tcPr>
          <w:p w14:paraId="402C50D7" w14:textId="065AC92B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-51.3071</w:t>
            </w:r>
          </w:p>
        </w:tc>
        <w:tc>
          <w:tcPr>
            <w:tcW w:w="1162" w:type="dxa"/>
            <w:vAlign w:val="center"/>
          </w:tcPr>
          <w:p w14:paraId="7F261EDE" w14:textId="45187CC5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</w:t>
            </w:r>
          </w:p>
        </w:tc>
        <w:tc>
          <w:tcPr>
            <w:tcW w:w="1339" w:type="dxa"/>
            <w:vAlign w:val="center"/>
          </w:tcPr>
          <w:p w14:paraId="747B37E3" w14:textId="19CDD890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0.5276</w:t>
            </w:r>
          </w:p>
        </w:tc>
        <w:tc>
          <w:tcPr>
            <w:tcW w:w="1339" w:type="dxa"/>
            <w:vAlign w:val="center"/>
          </w:tcPr>
          <w:p w14:paraId="361BE871" w14:textId="7067B83E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0.0209</w:t>
            </w:r>
          </w:p>
        </w:tc>
      </w:tr>
      <w:tr w:rsidR="00960051" w:rsidRPr="008B3BE4" w14:paraId="19481936" w14:textId="77777777" w:rsidTr="004C0BD6">
        <w:tc>
          <w:tcPr>
            <w:tcW w:w="1323" w:type="dxa"/>
            <w:vAlign w:val="center"/>
          </w:tcPr>
          <w:p w14:paraId="0BE52EE7" w14:textId="5A8E2D75" w:rsidR="00960051" w:rsidRPr="008B3BE4" w:rsidRDefault="00960051" w:rsidP="00960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normal</w:t>
            </w:r>
          </w:p>
        </w:tc>
        <w:tc>
          <w:tcPr>
            <w:tcW w:w="1162" w:type="dxa"/>
            <w:vAlign w:val="center"/>
          </w:tcPr>
          <w:p w14:paraId="72451CF8" w14:textId="1E94ED98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-49.9742</w:t>
            </w:r>
          </w:p>
        </w:tc>
        <w:tc>
          <w:tcPr>
            <w:tcW w:w="1162" w:type="dxa"/>
            <w:vAlign w:val="center"/>
          </w:tcPr>
          <w:p w14:paraId="60755A1E" w14:textId="09188B46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1.3329</w:t>
            </w:r>
          </w:p>
        </w:tc>
        <w:tc>
          <w:tcPr>
            <w:tcW w:w="1339" w:type="dxa"/>
            <w:vAlign w:val="center"/>
          </w:tcPr>
          <w:p w14:paraId="110F0CD7" w14:textId="5A38D91E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0.2709</w:t>
            </w:r>
          </w:p>
        </w:tc>
        <w:tc>
          <w:tcPr>
            <w:tcW w:w="1339" w:type="dxa"/>
            <w:vAlign w:val="center"/>
          </w:tcPr>
          <w:p w14:paraId="096C42B7" w14:textId="3BC1C1C9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0.0215</w:t>
            </w:r>
          </w:p>
        </w:tc>
      </w:tr>
      <w:tr w:rsidR="00960051" w:rsidRPr="008B3BE4" w14:paraId="25BA6FD5" w14:textId="77777777" w:rsidTr="004C0BD6">
        <w:tc>
          <w:tcPr>
            <w:tcW w:w="1323" w:type="dxa"/>
            <w:vAlign w:val="center"/>
          </w:tcPr>
          <w:p w14:paraId="7DFBDEF7" w14:textId="50D5837B" w:rsidR="00960051" w:rsidRPr="008B3BE4" w:rsidRDefault="00960051" w:rsidP="00960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logistic</w:t>
            </w:r>
          </w:p>
        </w:tc>
        <w:tc>
          <w:tcPr>
            <w:tcW w:w="1162" w:type="dxa"/>
            <w:vAlign w:val="center"/>
          </w:tcPr>
          <w:p w14:paraId="42A5AC55" w14:textId="70FEC40C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-48.5158</w:t>
            </w:r>
          </w:p>
        </w:tc>
        <w:tc>
          <w:tcPr>
            <w:tcW w:w="1162" w:type="dxa"/>
            <w:vAlign w:val="center"/>
          </w:tcPr>
          <w:p w14:paraId="68D1036E" w14:textId="2A2221AF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2.7913</w:t>
            </w:r>
          </w:p>
        </w:tc>
        <w:tc>
          <w:tcPr>
            <w:tcW w:w="1339" w:type="dxa"/>
            <w:vAlign w:val="center"/>
          </w:tcPr>
          <w:p w14:paraId="357D88E6" w14:textId="26E2B6E1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0.1307</w:t>
            </w:r>
          </w:p>
        </w:tc>
        <w:tc>
          <w:tcPr>
            <w:tcW w:w="1339" w:type="dxa"/>
            <w:vAlign w:val="center"/>
          </w:tcPr>
          <w:p w14:paraId="2BF9B5A6" w14:textId="11C84DEE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0.0201</w:t>
            </w:r>
          </w:p>
        </w:tc>
      </w:tr>
      <w:tr w:rsidR="00960051" w:rsidRPr="008B3BE4" w14:paraId="42AB6804" w14:textId="77777777" w:rsidTr="004C0BD6">
        <w:tc>
          <w:tcPr>
            <w:tcW w:w="1323" w:type="dxa"/>
            <w:vAlign w:val="center"/>
          </w:tcPr>
          <w:p w14:paraId="7C60FFA3" w14:textId="75FE2C37" w:rsidR="00960051" w:rsidRPr="008B3BE4" w:rsidRDefault="00960051" w:rsidP="00960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burr</w:t>
            </w:r>
          </w:p>
        </w:tc>
        <w:tc>
          <w:tcPr>
            <w:tcW w:w="1162" w:type="dxa"/>
            <w:vAlign w:val="center"/>
          </w:tcPr>
          <w:p w14:paraId="303C1870" w14:textId="373CF822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-46.2101</w:t>
            </w:r>
          </w:p>
        </w:tc>
        <w:tc>
          <w:tcPr>
            <w:tcW w:w="1162" w:type="dxa"/>
            <w:vAlign w:val="center"/>
          </w:tcPr>
          <w:p w14:paraId="0C823CDC" w14:textId="03EEF1D0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5.0970</w:t>
            </w:r>
          </w:p>
        </w:tc>
        <w:tc>
          <w:tcPr>
            <w:tcW w:w="1339" w:type="dxa"/>
            <w:vAlign w:val="center"/>
          </w:tcPr>
          <w:p w14:paraId="7B6571ED" w14:textId="4C135C9F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0.0413</w:t>
            </w:r>
          </w:p>
        </w:tc>
        <w:tc>
          <w:tcPr>
            <w:tcW w:w="1339" w:type="dxa"/>
            <w:vAlign w:val="center"/>
          </w:tcPr>
          <w:p w14:paraId="7DD07F2A" w14:textId="14049D6B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0.0215</w:t>
            </w:r>
          </w:p>
        </w:tc>
      </w:tr>
      <w:tr w:rsidR="00960051" w:rsidRPr="008B3BE4" w14:paraId="4155B127" w14:textId="77777777" w:rsidTr="004C0BD6">
        <w:tc>
          <w:tcPr>
            <w:tcW w:w="1323" w:type="dxa"/>
            <w:vAlign w:val="center"/>
          </w:tcPr>
          <w:p w14:paraId="44C241BC" w14:textId="7E535276" w:rsidR="00960051" w:rsidRPr="008B3BE4" w:rsidRDefault="00960051" w:rsidP="00960051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t>gumbel</w:t>
            </w:r>
          </w:p>
        </w:tc>
        <w:tc>
          <w:tcPr>
            <w:tcW w:w="1162" w:type="dxa"/>
            <w:vAlign w:val="center"/>
          </w:tcPr>
          <w:p w14:paraId="6B60B2CB" w14:textId="6401FAD6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-45.5448</w:t>
            </w:r>
          </w:p>
        </w:tc>
        <w:tc>
          <w:tcPr>
            <w:tcW w:w="1162" w:type="dxa"/>
            <w:vAlign w:val="center"/>
          </w:tcPr>
          <w:p w14:paraId="77B80C5B" w14:textId="29195069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5.7623</w:t>
            </w:r>
          </w:p>
        </w:tc>
        <w:tc>
          <w:tcPr>
            <w:tcW w:w="1339" w:type="dxa"/>
            <w:vAlign w:val="center"/>
          </w:tcPr>
          <w:p w14:paraId="6ABEED93" w14:textId="5629F729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0.0296</w:t>
            </w:r>
          </w:p>
        </w:tc>
        <w:tc>
          <w:tcPr>
            <w:tcW w:w="1339" w:type="dxa"/>
            <w:vAlign w:val="center"/>
          </w:tcPr>
          <w:p w14:paraId="39AD1D9C" w14:textId="2E6A4EF6" w:rsidR="00960051" w:rsidRPr="008B3BE4" w:rsidRDefault="00960051" w:rsidP="0096005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t>0.0235</w:t>
            </w:r>
          </w:p>
        </w:tc>
      </w:tr>
    </w:tbl>
    <w:p w14:paraId="0C4A6C2E" w14:textId="1E24CB33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49416A2" w14:textId="77777777" w:rsidR="00873A91" w:rsidRPr="008B3BE4" w:rsidRDefault="00873A9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4F3098CD" w14:textId="69283B77" w:rsidR="009B7083" w:rsidRPr="008B3BE4" w:rsidRDefault="009B7083" w:rsidP="00E9011F">
      <w:pPr>
        <w:pStyle w:val="BEheader"/>
        <w:rPr>
          <w:color w:val="2F5496" w:themeColor="accent5" w:themeShade="BF"/>
        </w:rPr>
      </w:pPr>
      <w:r w:rsidRPr="00E9011F">
        <w:rPr>
          <w:color w:val="2F5496" w:themeColor="accent5" w:themeShade="BF"/>
        </w:rPr>
        <w:t>Goodness</w:t>
      </w:r>
      <w:r w:rsidR="007B662E" w:rsidRPr="00E9011F">
        <w:rPr>
          <w:color w:val="2F5496" w:themeColor="accent5" w:themeShade="BF"/>
        </w:rPr>
        <w:t xml:space="preserve"> </w:t>
      </w:r>
      <w:r w:rsidRPr="00E9011F">
        <w:rPr>
          <w:color w:val="2F5496" w:themeColor="accent5" w:themeShade="BF"/>
        </w:rPr>
        <w:t>of</w:t>
      </w:r>
      <w:r w:rsidR="007B662E" w:rsidRPr="00E9011F">
        <w:rPr>
          <w:color w:val="2F5496" w:themeColor="accent5" w:themeShade="BF"/>
        </w:rPr>
        <w:t xml:space="preserve"> </w:t>
      </w:r>
      <w:r w:rsidRPr="00E9011F">
        <w:rPr>
          <w:color w:val="2F5496" w:themeColor="accent5" w:themeShade="BF"/>
        </w:rPr>
        <w:t>fit</w:t>
      </w:r>
    </w:p>
    <w:p w14:paraId="2F5B7777" w14:textId="77777777" w:rsidR="00E9011F" w:rsidRDefault="00E9011F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6E131C4" w14:textId="126B0996" w:rsidR="009B7083" w:rsidRPr="008B3BE4" w:rsidRDefault="00B123DD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8B3BE4">
        <w:rPr>
          <w:rFonts w:ascii="Calibri" w:eastAsia="Times New Roman" w:hAnsi="Calibri" w:cs="Times New Roman"/>
          <w:color w:val="000000"/>
        </w:rPr>
        <w:t>The p</w:t>
      </w:r>
      <w:r w:rsidR="009B7083" w:rsidRPr="008B3BE4">
        <w:rPr>
          <w:rFonts w:ascii="Calibri" w:eastAsia="Times New Roman" w:hAnsi="Calibri" w:cs="Times New Roman"/>
          <w:color w:val="000000"/>
        </w:rPr>
        <w:t>lot of the cumulative distribution functions for the best-fit distributions (as determined by AIC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c</w:t>
      </w:r>
      <w:r w:rsidR="009B7083" w:rsidRPr="008B3BE4">
        <w:rPr>
          <w:rFonts w:ascii="Calibri" w:eastAsia="Times New Roman" w:hAnsi="Calibri" w:cs="Times New Roman"/>
          <w:color w:val="000000"/>
        </w:rPr>
        <w:t>) suggest little evidence of lack-of-fit (</w:t>
      </w:r>
      <w:r w:rsidR="009B7083" w:rsidRPr="008B3BE4">
        <w:rPr>
          <w:rFonts w:ascii="Calibri" w:eastAsia="Times New Roman" w:hAnsi="Calibri" w:cs="Times New Roman"/>
          <w:b/>
          <w:color w:val="000000"/>
        </w:rPr>
        <w:t>Fig</w:t>
      </w:r>
      <w:r w:rsidRPr="008B3BE4">
        <w:rPr>
          <w:rFonts w:ascii="Calibri" w:eastAsia="Times New Roman" w:hAnsi="Calibri" w:cs="Times New Roman"/>
          <w:b/>
          <w:color w:val="000000"/>
        </w:rPr>
        <w:t xml:space="preserve">ure </w:t>
      </w:r>
      <w:r w:rsidR="00DA4B84">
        <w:rPr>
          <w:rFonts w:ascii="Calibri" w:eastAsia="Times New Roman" w:hAnsi="Calibri" w:cs="Times New Roman"/>
          <w:b/>
          <w:color w:val="000000"/>
        </w:rPr>
        <w:t>2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). </w:t>
      </w:r>
      <w:r w:rsidR="006D5342" w:rsidRPr="008B3BE4">
        <w:rPr>
          <w:rFonts w:ascii="Calibri" w:eastAsia="Times New Roman" w:hAnsi="Calibri" w:cs="Times New Roman"/>
          <w:color w:val="000000"/>
        </w:rPr>
        <w:t>B</w:t>
      </w:r>
      <w:r w:rsidR="009B7083" w:rsidRPr="008B3BE4">
        <w:rPr>
          <w:rFonts w:ascii="Calibri" w:eastAsia="Times New Roman" w:hAnsi="Calibri" w:cs="Times New Roman"/>
          <w:color w:val="000000"/>
        </w:rPr>
        <w:t>ootstrap goodness-of-fit tests did not show evidence for lack-of-fit (P-values &gt; 0.05,</w:t>
      </w:r>
      <w:r w:rsidR="004C0BD6">
        <w:rPr>
          <w:rFonts w:ascii="Calibri" w:eastAsia="Times New Roman" w:hAnsi="Calibri" w:cs="Times New Roman"/>
          <w:color w:val="000000"/>
        </w:rPr>
        <w:t xml:space="preserve"> </w:t>
      </w:r>
      <w:r w:rsidR="004C0BD6">
        <w:rPr>
          <w:rFonts w:ascii="Calibri" w:eastAsia="Times New Roman" w:hAnsi="Calibri" w:cs="Times New Roman"/>
          <w:color w:val="000000"/>
        </w:rPr>
        <w:fldChar w:fldCharType="begin"/>
      </w:r>
      <w:r w:rsidR="004C0BD6">
        <w:rPr>
          <w:rFonts w:ascii="Calibri" w:eastAsia="Times New Roman" w:hAnsi="Calibri" w:cs="Times New Roman"/>
          <w:color w:val="000000"/>
        </w:rPr>
        <w:instrText xml:space="preserve"> REF _Ref56624703 \h </w:instrText>
      </w:r>
      <w:r w:rsidR="004C0BD6">
        <w:rPr>
          <w:rFonts w:ascii="Calibri" w:eastAsia="Times New Roman" w:hAnsi="Calibri" w:cs="Times New Roman"/>
          <w:color w:val="000000"/>
        </w:rPr>
      </w:r>
      <w:r w:rsidR="004C0BD6">
        <w:rPr>
          <w:rFonts w:ascii="Calibri" w:eastAsia="Times New Roman" w:hAnsi="Calibri" w:cs="Times New Roman"/>
          <w:color w:val="000000"/>
        </w:rPr>
        <w:fldChar w:fldCharType="separate"/>
      </w:r>
      <w:r w:rsidR="004C0BD6">
        <w:t xml:space="preserve">Table </w:t>
      </w:r>
      <w:r w:rsidR="004C0BD6">
        <w:rPr>
          <w:noProof/>
        </w:rPr>
        <w:t>4</w:t>
      </w:r>
      <w:r w:rsidR="004C0BD6">
        <w:rPr>
          <w:rFonts w:ascii="Calibri" w:eastAsia="Times New Roman" w:hAnsi="Calibri" w:cs="Times New Roman"/>
          <w:color w:val="000000"/>
        </w:rPr>
        <w:fldChar w:fldCharType="end"/>
      </w:r>
      <w:r w:rsidR="009B7083" w:rsidRPr="008B3BE4">
        <w:rPr>
          <w:rFonts w:ascii="Calibri" w:eastAsia="Times New Roman" w:hAnsi="Calibri" w:cs="Times New Roman"/>
          <w:color w:val="000000"/>
        </w:rPr>
        <w:t>)</w:t>
      </w:r>
      <w:r w:rsidR="006D5342" w:rsidRPr="008B3BE4">
        <w:rPr>
          <w:rFonts w:ascii="Calibri" w:eastAsia="Times New Roman" w:hAnsi="Calibri" w:cs="Times New Roman"/>
          <w:color w:val="000000"/>
        </w:rPr>
        <w:t xml:space="preserve"> for </w:t>
      </w:r>
      <w:r w:rsidR="00D23B18">
        <w:rPr>
          <w:rFonts w:ascii="Calibri" w:eastAsia="Times New Roman" w:hAnsi="Calibri" w:cs="Times New Roman"/>
          <w:color w:val="000000"/>
        </w:rPr>
        <w:t>any of the distributions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. </w:t>
      </w:r>
      <w:r w:rsidR="00800A46" w:rsidRPr="008B3BE4">
        <w:rPr>
          <w:rFonts w:ascii="Calibri" w:eastAsia="Times New Roman" w:hAnsi="Calibri" w:cs="Times New Roman"/>
          <w:color w:val="000000"/>
        </w:rPr>
        <w:t>T</w:t>
      </w:r>
      <w:r w:rsidR="009B7083" w:rsidRPr="008B3BE4">
        <w:rPr>
          <w:rFonts w:ascii="Calibri" w:eastAsia="Times New Roman" w:hAnsi="Calibri" w:cs="Times New Roman"/>
          <w:color w:val="000000"/>
        </w:rPr>
        <w:t>he coefficient of variation for the HC</w:t>
      </w:r>
      <w:r w:rsidR="009B7083" w:rsidRPr="008B3BE4">
        <w:rPr>
          <w:rFonts w:ascii="Calibri" w:eastAsia="Times New Roman" w:hAnsi="Calibri" w:cs="Times New Roman"/>
          <w:color w:val="000000"/>
          <w:vertAlign w:val="subscript"/>
        </w:rPr>
        <w:t>05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was below 1 for </w:t>
      </w:r>
      <w:r w:rsidR="00800A46" w:rsidRPr="008B3BE4">
        <w:rPr>
          <w:rFonts w:ascii="Calibri" w:eastAsia="Times New Roman" w:hAnsi="Calibri" w:cs="Times New Roman"/>
          <w:color w:val="000000"/>
        </w:rPr>
        <w:t>all</w:t>
      </w:r>
      <w:r w:rsidR="009B7083" w:rsidRPr="008B3BE4">
        <w:rPr>
          <w:rFonts w:ascii="Calibri" w:eastAsia="Times New Roman" w:hAnsi="Calibri" w:cs="Times New Roman"/>
          <w:color w:val="000000"/>
        </w:rPr>
        <w:t xml:space="preserve"> distributions. </w:t>
      </w:r>
    </w:p>
    <w:p w14:paraId="683F268F" w14:textId="77777777" w:rsidR="009B7083" w:rsidRPr="008B3BE4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59B72D8A" w14:textId="6BF55E23" w:rsidR="0067331B" w:rsidRPr="008B3BE4" w:rsidRDefault="00120C48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120C48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3F294C91" wp14:editId="1001750A">
            <wp:extent cx="6000750" cy="33140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EF0E" w14:textId="2836C9E1" w:rsidR="009B7083" w:rsidRPr="008B3BE4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8B3BE4">
        <w:rPr>
          <w:rFonts w:eastAsia="Times New Roman" w:cs="Times New Roman"/>
          <w:b/>
          <w:color w:val="000000"/>
        </w:rPr>
        <w:t xml:space="preserve">Figure </w:t>
      </w:r>
      <w:r w:rsidR="00DA4B84">
        <w:rPr>
          <w:rFonts w:eastAsia="Times New Roman" w:cs="Times New Roman"/>
          <w:b/>
          <w:color w:val="000000"/>
        </w:rPr>
        <w:t>2</w:t>
      </w:r>
      <w:r w:rsidRPr="008B3BE4">
        <w:rPr>
          <w:rFonts w:eastAsia="Times New Roman" w:cs="Times New Roman"/>
          <w:b/>
          <w:color w:val="000000"/>
        </w:rPr>
        <w:t>. Log-</w:t>
      </w:r>
      <w:r w:rsidR="00654062">
        <w:rPr>
          <w:rFonts w:eastAsia="Times New Roman" w:cs="Times New Roman"/>
          <w:b/>
          <w:color w:val="000000"/>
        </w:rPr>
        <w:t>normal</w:t>
      </w:r>
      <w:r w:rsidRPr="008B3BE4">
        <w:rPr>
          <w:rFonts w:eastAsia="Times New Roman" w:cs="Times New Roman"/>
          <w:b/>
          <w:color w:val="000000"/>
        </w:rPr>
        <w:t xml:space="preserve"> SSD for </w:t>
      </w:r>
      <w:r w:rsidR="00BA021C">
        <w:rPr>
          <w:rFonts w:eastAsia="Times New Roman" w:cs="Times New Roman"/>
          <w:b/>
          <w:color w:val="000000"/>
        </w:rPr>
        <w:t>glyphosate</w:t>
      </w:r>
      <w:r w:rsidRPr="008B3BE4">
        <w:rPr>
          <w:rFonts w:eastAsia="Times New Roman" w:cs="Times New Roman"/>
          <w:b/>
          <w:color w:val="000000"/>
        </w:rPr>
        <w:t xml:space="preserve"> toxicity values for </w:t>
      </w:r>
      <w:r w:rsidR="00654062">
        <w:rPr>
          <w:rFonts w:eastAsia="Times New Roman" w:cs="Times New Roman"/>
          <w:b/>
          <w:color w:val="000000"/>
        </w:rPr>
        <w:t>terrestrial</w:t>
      </w:r>
      <w:r w:rsidR="00D159C8" w:rsidRPr="008B3BE4">
        <w:rPr>
          <w:rFonts w:eastAsia="Times New Roman" w:cs="Times New Roman"/>
          <w:b/>
          <w:color w:val="000000"/>
        </w:rPr>
        <w:t xml:space="preserve"> plants</w:t>
      </w:r>
      <w:r w:rsidR="00654062">
        <w:rPr>
          <w:rFonts w:eastAsia="Times New Roman" w:cs="Times New Roman"/>
          <w:b/>
          <w:color w:val="000000"/>
        </w:rPr>
        <w:t xml:space="preserve"> at the vegetative vigor life stage</w:t>
      </w:r>
      <w:r w:rsidRPr="008B3BE4">
        <w:rPr>
          <w:rFonts w:eastAsia="Times New Roman" w:cs="Times New Roman"/>
          <w:b/>
          <w:color w:val="000000"/>
        </w:rPr>
        <w:t xml:space="preserve">. </w:t>
      </w:r>
      <w:r w:rsidRPr="008B3BE4">
        <w:rPr>
          <w:rFonts w:eastAsia="Times New Roman" w:cs="Times New Roman"/>
          <w:color w:val="000000"/>
        </w:rPr>
        <w:t xml:space="preserve">Black points indicate single toxicity values. Red points indicate average of multiple toxicity values for a single species.  Blue line indicates full range of toxicity values for a given taxon. </w:t>
      </w:r>
    </w:p>
    <w:p w14:paraId="59C30721" w14:textId="549D95D1" w:rsidR="00873A91" w:rsidRPr="008B3BE4" w:rsidRDefault="00873A91" w:rsidP="00D25148">
      <w:pPr>
        <w:spacing w:after="0" w:line="276" w:lineRule="auto"/>
        <w:rPr>
          <w:rFonts w:eastAsia="Times New Roman" w:cs="Times New Roman"/>
          <w:color w:val="000000"/>
        </w:rPr>
      </w:pPr>
    </w:p>
    <w:p w14:paraId="0758B9FC" w14:textId="21565470" w:rsidR="00A72B60" w:rsidRPr="008B3BE4" w:rsidRDefault="004C0BD6" w:rsidP="004C0BD6">
      <w:pPr>
        <w:pStyle w:val="Caption"/>
        <w:rPr>
          <w:rFonts w:eastAsia="Times New Roman" w:cs="Times New Roman"/>
          <w:b w:val="0"/>
          <w:color w:val="000000"/>
        </w:rPr>
      </w:pPr>
      <w:bookmarkStart w:id="5" w:name="_Ref56624703"/>
      <w:r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 w:rsidR="00560516">
        <w:rPr>
          <w:noProof/>
        </w:rPr>
        <w:t>4</w:t>
      </w:r>
      <w:r w:rsidR="005D6E9C">
        <w:rPr>
          <w:noProof/>
        </w:rPr>
        <w:fldChar w:fldCharType="end"/>
      </w:r>
      <w:bookmarkEnd w:id="5"/>
      <w:r>
        <w:t xml:space="preserve">. </w:t>
      </w:r>
      <w:r w:rsidRPr="00A25C08">
        <w:t>Range of HC</w:t>
      </w:r>
      <w:r w:rsidRPr="004C0BD6">
        <w:rPr>
          <w:vertAlign w:val="subscript"/>
        </w:rPr>
        <w:t>05</w:t>
      </w:r>
      <w:r w:rsidRPr="00A25C08">
        <w:t xml:space="preserve"> values for glyphosate SSDs for terrestrial plants at the vegetative vigor life stage.</w:t>
      </w:r>
    </w:p>
    <w:tbl>
      <w:tblPr>
        <w:tblW w:w="8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960"/>
        <w:gridCol w:w="960"/>
        <w:gridCol w:w="1057"/>
        <w:gridCol w:w="1080"/>
        <w:gridCol w:w="897"/>
      </w:tblGrid>
      <w:tr w:rsidR="00A72B60" w:rsidRPr="008B3BE4" w14:paraId="667F3A3C" w14:textId="77777777" w:rsidTr="004C0BD6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71E3B024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46E94CBD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F31CBA5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45E62BE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23FED8C9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CV</w:t>
            </w:r>
          </w:p>
        </w:tc>
        <w:tc>
          <w:tcPr>
            <w:tcW w:w="1057" w:type="dxa"/>
            <w:shd w:val="clear" w:color="auto" w:fill="D9D9D9" w:themeFill="background1" w:themeFillShade="D9"/>
            <w:noWrap/>
            <w:vAlign w:val="bottom"/>
            <w:hideMark/>
          </w:tcPr>
          <w:p w14:paraId="02CF4E9F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Lower CI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bottom"/>
            <w:hideMark/>
          </w:tcPr>
          <w:p w14:paraId="6607D4B2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Upper CI</w:t>
            </w:r>
          </w:p>
        </w:tc>
        <w:tc>
          <w:tcPr>
            <w:tcW w:w="897" w:type="dxa"/>
            <w:shd w:val="clear" w:color="auto" w:fill="D9D9D9" w:themeFill="background1" w:themeFillShade="D9"/>
            <w:noWrap/>
            <w:vAlign w:val="bottom"/>
            <w:hideMark/>
          </w:tcPr>
          <w:p w14:paraId="55778D94" w14:textId="77777777" w:rsidR="00A72B60" w:rsidRPr="008B3BE4" w:rsidRDefault="00A72B60" w:rsidP="009D1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</w:p>
        </w:tc>
      </w:tr>
      <w:tr w:rsidR="00E55332" w:rsidRPr="008B3BE4" w14:paraId="1E8B03F4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9E9F6F9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B48CDD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C8CF565" w14:textId="2BDC531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6AEE7E1" w14:textId="4199F59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026173" w14:textId="4A6F8F1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0.2717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49617A41" w14:textId="34D1ABD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B9BE4A8" w14:textId="6ABA375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0.0407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69FE116" w14:textId="04E8DA9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0.8132</w:t>
            </w:r>
          </w:p>
        </w:tc>
      </w:tr>
      <w:tr w:rsidR="00E55332" w:rsidRPr="008B3BE4" w14:paraId="440398D0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235DE3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D5BACA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36B8B63" w14:textId="3E6D357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CF0AB1" w14:textId="7416CD9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D9E4D7" w14:textId="29D9E19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0.2657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162D0352" w14:textId="26AF24B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0.0143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7E513E4" w14:textId="282013F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0.0386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A38E706" w14:textId="71AAA6E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0.7802</w:t>
            </w:r>
          </w:p>
        </w:tc>
      </w:tr>
      <w:tr w:rsidR="00E55332" w:rsidRPr="008B3BE4" w14:paraId="0A2DF981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90A2FEA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DD015E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8A596E" w14:textId="7EA9A77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58231" w14:textId="3AD199E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B0523D" w14:textId="160AE0F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0.2844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A4FD018" w14:textId="3A64D1E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0.0108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2EEEBB5" w14:textId="48D5358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0.0346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2D54111" w14:textId="367449A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0.6424</w:t>
            </w:r>
          </w:p>
        </w:tc>
      </w:tr>
      <w:tr w:rsidR="00E55332" w:rsidRPr="008B3BE4" w14:paraId="3EE80029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0C9728D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3C56E6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04DEA0EE" w14:textId="4D8B779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BD0892C" w14:textId="26394C1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A2B5E76" w14:textId="7F2863A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0.3052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CD3A9EA" w14:textId="4B839C9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F2A2FB4" w14:textId="131C0DA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0.0415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074E0FD" w14:textId="36437DC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0.6683</w:t>
            </w:r>
          </w:p>
        </w:tc>
      </w:tr>
      <w:tr w:rsidR="00E55332" w:rsidRPr="008B3BE4" w14:paraId="1383A685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55AEBDA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16E48E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54B1E09" w14:textId="7A78E97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CC223F" w14:textId="563C2BA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B4AC911" w14:textId="5D639E0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0.2893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0F106686" w14:textId="51B15B43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0.0131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39D1E3" w14:textId="1C06FD7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0.0394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C35B593" w14:textId="5335CBA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0.8002</w:t>
            </w:r>
          </w:p>
        </w:tc>
      </w:tr>
      <w:tr w:rsidR="00E55332" w:rsidRPr="008B3BE4" w14:paraId="063B780F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C97E5D4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8C19F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A08AECE" w14:textId="0BA2AC1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26D799" w14:textId="51D31D03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29DC5A" w14:textId="2B0CD74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0.287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3F74561" w14:textId="26AB9AC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02D8E86" w14:textId="205EACC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0.0318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EC1A74A" w14:textId="6B16FCE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0.8002</w:t>
            </w:r>
          </w:p>
        </w:tc>
      </w:tr>
      <w:tr w:rsidR="00E55332" w:rsidRPr="008B3BE4" w14:paraId="1DB203B7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2799770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B3822B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A95ADB2" w14:textId="7AAFD69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B356C18" w14:textId="6BF0DCA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B8093D0" w14:textId="124D7EB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0.2672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EB343CB" w14:textId="4203AF3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3C8330" w14:textId="22659E4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0.0414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62818401" w14:textId="2F77018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0.0629</w:t>
            </w:r>
          </w:p>
        </w:tc>
      </w:tr>
      <w:tr w:rsidR="00E55332" w:rsidRPr="008B3BE4" w14:paraId="0EFAA85A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14545CB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934D11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3007A96" w14:textId="46C998C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6BBE88" w14:textId="0383A20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7952C7" w14:textId="6BEB4FD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0.2536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7D69814B" w14:textId="3D62C38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0.0142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9214C1" w14:textId="10F3AC0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633095B" w14:textId="6F1BFCF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0.5784</w:t>
            </w:r>
          </w:p>
        </w:tc>
      </w:tr>
      <w:tr w:rsidR="00E55332" w:rsidRPr="008B3BE4" w14:paraId="5DB076C5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1193254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C8BBD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C79DFF3" w14:textId="3EF716C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A9144B8" w14:textId="1FC4307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2061FB6" w14:textId="44847A5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0.2583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5FFB4CED" w14:textId="2955E9B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0.0129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C308B3" w14:textId="5FF30AD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0.0354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43318462" w14:textId="09F37DE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0.4745</w:t>
            </w:r>
          </w:p>
        </w:tc>
      </w:tr>
      <w:tr w:rsidR="00E55332" w:rsidRPr="008B3BE4" w14:paraId="61F7968A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5C9553B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7D7A754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73B14C4" w14:textId="2831E69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984F1C" w14:textId="5D3299D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E1FCFF1" w14:textId="794444B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0.1828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5794A89" w14:textId="4B0CED2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92D3885" w14:textId="49F2044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0.0409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16DE1C7D" w14:textId="649BB45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0.2607</w:t>
            </w:r>
          </w:p>
        </w:tc>
      </w:tr>
      <w:tr w:rsidR="00E55332" w:rsidRPr="008B3BE4" w14:paraId="40452A19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2570FA3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FFC273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D36E59" w14:textId="1D6863A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03D2B7E" w14:textId="4463756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BA4E79" w14:textId="369BE8E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0.199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67615FA8" w14:textId="1642C2C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9F98DC" w14:textId="1A3641F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0.0489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0EB7E7D2" w14:textId="2E8DE1D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0.2787</w:t>
            </w:r>
          </w:p>
        </w:tc>
      </w:tr>
      <w:tr w:rsidR="00E55332" w:rsidRPr="008B3BE4" w14:paraId="6A4EE508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86CCD82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14D88E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7C4A1BE" w14:textId="48C4095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7DCDEA" w14:textId="141D128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0.0061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E516652" w14:textId="3A5B90D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0.2022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23CF293D" w14:textId="65D067D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0.0177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D6DCDA5" w14:textId="072D685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0.0408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58770D87" w14:textId="7409CB3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0.3077</w:t>
            </w:r>
          </w:p>
        </w:tc>
      </w:tr>
      <w:tr w:rsidR="00E55332" w:rsidRPr="008B3BE4" w14:paraId="36D0AB71" w14:textId="77777777" w:rsidTr="004C0BD6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FB560CF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4FDD89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EF29FD2" w14:textId="23A6F1E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CEA06F7" w14:textId="36C6F55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0.0082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91A1D1A" w14:textId="09BF197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0.3117</w:t>
            </w:r>
          </w:p>
        </w:tc>
        <w:tc>
          <w:tcPr>
            <w:tcW w:w="1057" w:type="dxa"/>
            <w:shd w:val="clear" w:color="auto" w:fill="auto"/>
            <w:noWrap/>
            <w:vAlign w:val="bottom"/>
          </w:tcPr>
          <w:p w14:paraId="39DB5386" w14:textId="0341DF8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0.0146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E2016CB" w14:textId="1128EEF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0.0463</w:t>
            </w:r>
          </w:p>
        </w:tc>
        <w:tc>
          <w:tcPr>
            <w:tcW w:w="897" w:type="dxa"/>
            <w:shd w:val="clear" w:color="auto" w:fill="auto"/>
            <w:vAlign w:val="center"/>
          </w:tcPr>
          <w:p w14:paraId="20173ECB" w14:textId="6A649163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0.5764</w:t>
            </w:r>
          </w:p>
        </w:tc>
      </w:tr>
    </w:tbl>
    <w:p w14:paraId="7E4DE2A4" w14:textId="77777777" w:rsidR="00A72B60" w:rsidRPr="008B3BE4" w:rsidRDefault="00A72B60" w:rsidP="00A72B6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p w14:paraId="0CFCB08E" w14:textId="77777777" w:rsidR="00A72B60" w:rsidRPr="008B3BE4" w:rsidRDefault="00A72B60" w:rsidP="00A72B60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8B3BE4">
        <w:rPr>
          <w:rFonts w:eastAsia="Times New Roman" w:cs="Times New Roman"/>
          <w:color w:val="000000"/>
          <w:sz w:val="18"/>
          <w:szCs w:val="18"/>
        </w:rPr>
        <w:t>LCp and UCp=projections of the confidence limits of the HC</w:t>
      </w:r>
      <w:r w:rsidRPr="008B3BE4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8B3BE4">
        <w:rPr>
          <w:rFonts w:eastAsia="Times New Roman" w:cs="Times New Roman"/>
          <w:color w:val="000000"/>
          <w:sz w:val="18"/>
          <w:szCs w:val="18"/>
        </w:rPr>
        <w:t xml:space="preserve"> (LCx and UCx) onto the cumulative distribution function of the fitted distribution.</w:t>
      </w:r>
    </w:p>
    <w:p w14:paraId="4BA64752" w14:textId="77777777" w:rsidR="00A423AD" w:rsidRPr="008B3BE4" w:rsidRDefault="00A423AD" w:rsidP="00FA0105">
      <w:pPr>
        <w:rPr>
          <w:rFonts w:ascii="Calibri" w:eastAsia="Times New Roman" w:hAnsi="Calibri" w:cs="Times New Roman"/>
          <w:b/>
          <w:color w:val="000000"/>
        </w:rPr>
      </w:pPr>
    </w:p>
    <w:p w14:paraId="6641348F" w14:textId="5D13069C" w:rsidR="009B7083" w:rsidRDefault="009B7083" w:rsidP="00E9011F">
      <w:pPr>
        <w:pStyle w:val="BEheader"/>
        <w:rPr>
          <w:color w:val="2F5496" w:themeColor="accent5" w:themeShade="BF"/>
        </w:rPr>
      </w:pPr>
      <w:r w:rsidRPr="00E9011F">
        <w:rPr>
          <w:color w:val="2F5496" w:themeColor="accent5" w:themeShade="BF"/>
        </w:rPr>
        <w:lastRenderedPageBreak/>
        <w:t>Calculation of other quantiles</w:t>
      </w:r>
    </w:p>
    <w:p w14:paraId="3DF16D4F" w14:textId="77777777" w:rsidR="00E9011F" w:rsidRPr="00E9011F" w:rsidRDefault="00E9011F" w:rsidP="00E9011F">
      <w:pPr>
        <w:pStyle w:val="BEheader"/>
        <w:numPr>
          <w:ilvl w:val="0"/>
          <w:numId w:val="0"/>
        </w:numPr>
        <w:ind w:left="360"/>
        <w:rPr>
          <w:color w:val="2F5496" w:themeColor="accent5" w:themeShade="BF"/>
        </w:rPr>
      </w:pPr>
    </w:p>
    <w:p w14:paraId="1781BF2D" w14:textId="727C9CC2" w:rsidR="00E6781C" w:rsidRDefault="004C0BD6" w:rsidP="00FE541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eastAsia="Times New Roman" w:cs="Times New Roman"/>
          <w:color w:val="000000"/>
        </w:rPr>
        <w:fldChar w:fldCharType="begin"/>
      </w:r>
      <w:r>
        <w:rPr>
          <w:rFonts w:eastAsia="Times New Roman" w:cs="Times New Roman"/>
          <w:color w:val="000000"/>
        </w:rPr>
        <w:instrText xml:space="preserve"> REF _Ref56624738 \h </w:instrText>
      </w:r>
      <w:r>
        <w:rPr>
          <w:rFonts w:eastAsia="Times New Roman" w:cs="Times New Roman"/>
          <w:color w:val="000000"/>
        </w:rPr>
      </w:r>
      <w:r>
        <w:rPr>
          <w:rFonts w:eastAsia="Times New Roman" w:cs="Times New Roman"/>
          <w:color w:val="000000"/>
        </w:rPr>
        <w:fldChar w:fldCharType="separate"/>
      </w:r>
      <w:r>
        <w:t xml:space="preserve">Table </w:t>
      </w:r>
      <w:r>
        <w:rPr>
          <w:noProof/>
        </w:rPr>
        <w:t>5</w:t>
      </w:r>
      <w:r>
        <w:rPr>
          <w:rFonts w:eastAsia="Times New Roman" w:cs="Times New Roman"/>
          <w:color w:val="000000"/>
        </w:rPr>
        <w:fldChar w:fldCharType="end"/>
      </w:r>
      <w:r>
        <w:rPr>
          <w:rFonts w:eastAsia="Times New Roman" w:cs="Times New Roman"/>
          <w:color w:val="000000"/>
        </w:rPr>
        <w:t xml:space="preserve"> </w:t>
      </w:r>
      <w:r w:rsidR="009B7083" w:rsidRPr="008B3BE4">
        <w:rPr>
          <w:rFonts w:eastAsia="Times New Roman" w:cs="Times New Roman"/>
          <w:color w:val="000000"/>
        </w:rPr>
        <w:t>provide</w:t>
      </w:r>
      <w:r w:rsidR="00170250" w:rsidRPr="008B3BE4">
        <w:rPr>
          <w:rFonts w:eastAsia="Times New Roman" w:cs="Times New Roman"/>
          <w:color w:val="000000"/>
        </w:rPr>
        <w:t>s</w:t>
      </w:r>
      <w:r w:rsidR="009B7083" w:rsidRPr="008B3BE4">
        <w:rPr>
          <w:rFonts w:eastAsia="Times New Roman" w:cs="Times New Roman"/>
          <w:color w:val="000000"/>
        </w:rPr>
        <w:t xml:space="preserve"> estimates of the HC</w:t>
      </w:r>
      <w:r w:rsidR="009B7083" w:rsidRPr="008B3BE4">
        <w:rPr>
          <w:rFonts w:eastAsia="Times New Roman" w:cs="Times New Roman"/>
          <w:color w:val="000000"/>
          <w:vertAlign w:val="subscript"/>
        </w:rPr>
        <w:t>05</w:t>
      </w:r>
      <w:r w:rsidR="009B7083" w:rsidRPr="008B3BE4">
        <w:rPr>
          <w:rFonts w:eastAsia="Times New Roman" w:cs="Times New Roman"/>
          <w:color w:val="000000"/>
        </w:rPr>
        <w:t xml:space="preserve"> as well as other quantiles of the fitted SSDs.</w:t>
      </w:r>
      <w:r w:rsidR="00FE541B" w:rsidRPr="00FE541B">
        <w:rPr>
          <w:rFonts w:ascii="Calibri" w:eastAsia="Times New Roman" w:hAnsi="Calibri" w:cs="Times New Roman"/>
          <w:b/>
          <w:color w:val="000000"/>
        </w:rPr>
        <w:t xml:space="preserve"> </w:t>
      </w:r>
    </w:p>
    <w:p w14:paraId="4554CDEE" w14:textId="77777777" w:rsidR="00FE541B" w:rsidRPr="00FE541B" w:rsidRDefault="00FE541B" w:rsidP="00FE541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78FD7AB" w14:textId="4C4D46BE" w:rsidR="009B7083" w:rsidRPr="008B3BE4" w:rsidRDefault="004C0BD6" w:rsidP="004C0BD6">
      <w:pPr>
        <w:pStyle w:val="Caption"/>
        <w:rPr>
          <w:rFonts w:eastAsia="Times New Roman" w:cs="Times New Roman"/>
          <w:b w:val="0"/>
          <w:color w:val="000000"/>
        </w:rPr>
      </w:pPr>
      <w:bookmarkStart w:id="6" w:name="_Ref56624738"/>
      <w:r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 w:rsidR="00560516">
        <w:rPr>
          <w:noProof/>
        </w:rPr>
        <w:t>5</w:t>
      </w:r>
      <w:r w:rsidR="005D6E9C">
        <w:rPr>
          <w:noProof/>
        </w:rPr>
        <w:fldChar w:fldCharType="end"/>
      </w:r>
      <w:bookmarkEnd w:id="6"/>
      <w:r>
        <w:t xml:space="preserve">. </w:t>
      </w:r>
      <w:r w:rsidRPr="0030106E">
        <w:t>Estimated quantiles of the fitted SSDs for glyphosate IC25s for terrestrial plants at the vegetative vigor life stage.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1053"/>
        <w:gridCol w:w="1053"/>
        <w:gridCol w:w="1047"/>
        <w:gridCol w:w="1047"/>
      </w:tblGrid>
      <w:tr w:rsidR="0071324C" w:rsidRPr="008B3BE4" w14:paraId="3B84E503" w14:textId="136B6A7C" w:rsidTr="0071324C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60F03748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A85B1E0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605CDB7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7B1E2AF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E52417E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bottom"/>
            <w:hideMark/>
          </w:tcPr>
          <w:p w14:paraId="14A76A86" w14:textId="77777777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1AE0CAC0" w14:textId="4621BBF6" w:rsidR="0071324C" w:rsidRPr="008B3BE4" w:rsidRDefault="0071324C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BE4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4C0BD6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95</w:t>
            </w:r>
          </w:p>
        </w:tc>
      </w:tr>
      <w:tr w:rsidR="00E55332" w:rsidRPr="008B3BE4" w14:paraId="30584883" w14:textId="3920D0D4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527F20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3E311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108AC125" w14:textId="37D3222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620643C" w14:textId="39D2871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3B229B1" w14:textId="5C9645E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4F62140" w14:textId="0C050EC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4.38E-01</w:t>
            </w:r>
          </w:p>
        </w:tc>
        <w:tc>
          <w:tcPr>
            <w:tcW w:w="1047" w:type="dxa"/>
            <w:vAlign w:val="center"/>
          </w:tcPr>
          <w:p w14:paraId="3AF81634" w14:textId="3915C4C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6.27E-01</w:t>
            </w:r>
          </w:p>
        </w:tc>
      </w:tr>
      <w:tr w:rsidR="00E55332" w:rsidRPr="008B3BE4" w14:paraId="502BE911" w14:textId="070F2B2C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E2A42E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14357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6B413725" w14:textId="132B259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3FED7EC7" w14:textId="794DF223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0.0341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5256758" w14:textId="3E4F123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6FA66A5" w14:textId="7A7A983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4.46E-01</w:t>
            </w:r>
          </w:p>
        </w:tc>
        <w:tc>
          <w:tcPr>
            <w:tcW w:w="1047" w:type="dxa"/>
            <w:vAlign w:val="center"/>
          </w:tcPr>
          <w:p w14:paraId="6BF7E417" w14:textId="4C2ED78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6.41E-01</w:t>
            </w:r>
          </w:p>
        </w:tc>
      </w:tr>
      <w:tr w:rsidR="00E55332" w:rsidRPr="008B3BE4" w14:paraId="2FDDD1F3" w14:textId="501F3E8A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990552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DF3F4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134B753" w14:textId="3C0EB2E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E69C357" w14:textId="1AF21A7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A77D8CA" w14:textId="54EF0DB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2C4A4B6" w14:textId="71ED28C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4.83E-01</w:t>
            </w:r>
          </w:p>
        </w:tc>
        <w:tc>
          <w:tcPr>
            <w:tcW w:w="1047" w:type="dxa"/>
            <w:vAlign w:val="center"/>
          </w:tcPr>
          <w:p w14:paraId="59AF1A8F" w14:textId="324310B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7.12E-01</w:t>
            </w:r>
          </w:p>
        </w:tc>
      </w:tr>
      <w:tr w:rsidR="00E55332" w:rsidRPr="008B3BE4" w14:paraId="0C294FB2" w14:textId="33D2AB87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CC1C36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321A8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0EDC02" w14:textId="51E5515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31B187C" w14:textId="656F338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1872C23" w14:textId="76198F1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0.1207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9B4DB16" w14:textId="4D939AFB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4.10E-01</w:t>
            </w:r>
          </w:p>
        </w:tc>
        <w:tc>
          <w:tcPr>
            <w:tcW w:w="1047" w:type="dxa"/>
            <w:vAlign w:val="center"/>
          </w:tcPr>
          <w:p w14:paraId="340B3BFA" w14:textId="32AD746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6.22E-01</w:t>
            </w:r>
          </w:p>
        </w:tc>
      </w:tr>
      <w:tr w:rsidR="00E55332" w:rsidRPr="008B3BE4" w14:paraId="19F60238" w14:textId="5A65A4E9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7E31311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F3DE1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9D5BE3F" w14:textId="4357C93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0.0242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7F06B19" w14:textId="19CE4FF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0.0366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D4993B8" w14:textId="1ADE978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AB4DA93" w14:textId="686856A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4.15E-01</w:t>
            </w:r>
          </w:p>
        </w:tc>
        <w:tc>
          <w:tcPr>
            <w:tcW w:w="1047" w:type="dxa"/>
            <w:vAlign w:val="center"/>
          </w:tcPr>
          <w:p w14:paraId="08747410" w14:textId="05D2515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6.28E-01</w:t>
            </w:r>
          </w:p>
        </w:tc>
      </w:tr>
      <w:tr w:rsidR="00E55332" w:rsidRPr="008B3BE4" w14:paraId="2519372E" w14:textId="617B20B7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BFE8AD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DEF85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EA7D69" w14:textId="7087414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0.0203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CD9F28C" w14:textId="0FE15137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03AB0B0" w14:textId="51F5527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269922E3" w14:textId="4B6994D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4.74E-01</w:t>
            </w:r>
          </w:p>
        </w:tc>
        <w:tc>
          <w:tcPr>
            <w:tcW w:w="1047" w:type="dxa"/>
            <w:vAlign w:val="center"/>
          </w:tcPr>
          <w:p w14:paraId="4BA2E798" w14:textId="2C80E93C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7.50E-01</w:t>
            </w:r>
          </w:p>
        </w:tc>
      </w:tr>
      <w:tr w:rsidR="00E55332" w:rsidRPr="008B3BE4" w14:paraId="7E640FFC" w14:textId="79F31EA5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66B1D5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11538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B57BAD7" w14:textId="68805B7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FA7BE77" w14:textId="1F40E42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0.0335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142DEE2" w14:textId="177E824B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0.1502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4D6D3D1F" w14:textId="6B5938F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6.73E-01</w:t>
            </w:r>
          </w:p>
        </w:tc>
        <w:tc>
          <w:tcPr>
            <w:tcW w:w="1047" w:type="dxa"/>
            <w:vAlign w:val="center"/>
          </w:tcPr>
          <w:p w14:paraId="7EEBA2EA" w14:textId="58EAF44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9.59E-01</w:t>
            </w:r>
          </w:p>
        </w:tc>
      </w:tr>
      <w:tr w:rsidR="00E55332" w:rsidRPr="008B3BE4" w14:paraId="34590A47" w14:textId="1A6DBBB3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C62092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C5BC7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6B9B9DB" w14:textId="48AB445B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4E1BFB39" w14:textId="6D6A1FB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0.0317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2818C81" w14:textId="1B5076D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5EF7FFB0" w14:textId="78EC069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4.79E-01</w:t>
            </w:r>
          </w:p>
        </w:tc>
        <w:tc>
          <w:tcPr>
            <w:tcW w:w="1047" w:type="dxa"/>
            <w:vAlign w:val="center"/>
          </w:tcPr>
          <w:p w14:paraId="7EC67A72" w14:textId="11C5018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6.61E-01</w:t>
            </w:r>
          </w:p>
        </w:tc>
      </w:tr>
      <w:tr w:rsidR="00E55332" w:rsidRPr="008B3BE4" w14:paraId="5D0BC89B" w14:textId="1AD9FC81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EC0375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D8C27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3506762E" w14:textId="4DD886D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3F09D86" w14:textId="06BA989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0.0306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0D7FD36" w14:textId="3F7BA2B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0.1233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919F12A" w14:textId="051DBDCB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4.96E-01</w:t>
            </w:r>
          </w:p>
        </w:tc>
        <w:tc>
          <w:tcPr>
            <w:tcW w:w="1047" w:type="dxa"/>
            <w:vAlign w:val="center"/>
          </w:tcPr>
          <w:p w14:paraId="37B8AA5F" w14:textId="6106C58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6.90E-01</w:t>
            </w:r>
          </w:p>
        </w:tc>
      </w:tr>
      <w:tr w:rsidR="00E55332" w:rsidRPr="008B3BE4" w14:paraId="4F1FB6BA" w14:textId="0076315A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1BD553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3A406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8484FF9" w14:textId="5BD48909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0.0282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930DC78" w14:textId="0399F291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0.0357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6286DFB4" w14:textId="43FB656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0.1062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6B40DCD2" w14:textId="1E6E6AF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5.86E-01</w:t>
            </w:r>
          </w:p>
        </w:tc>
        <w:tc>
          <w:tcPr>
            <w:tcW w:w="1047" w:type="dxa"/>
            <w:vAlign w:val="center"/>
          </w:tcPr>
          <w:p w14:paraId="514FEF75" w14:textId="0D09C52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1.13E+00</w:t>
            </w:r>
          </w:p>
        </w:tc>
      </w:tr>
      <w:tr w:rsidR="00E55332" w:rsidRPr="008B3BE4" w14:paraId="7224BD5F" w14:textId="4BF60491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B1D457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BCE1E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468F3DCC" w14:textId="4ADCE040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0.0333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0042A057" w14:textId="1693DFD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0.0409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70DEC4B" w14:textId="41FF778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0.1045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0C2EC60D" w14:textId="009A2F6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4.56E-01</w:t>
            </w:r>
          </w:p>
        </w:tc>
        <w:tc>
          <w:tcPr>
            <w:tcW w:w="1047" w:type="dxa"/>
            <w:vAlign w:val="center"/>
          </w:tcPr>
          <w:p w14:paraId="381A1F5E" w14:textId="361900FF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8.00E-01</w:t>
            </w:r>
          </w:p>
        </w:tc>
      </w:tr>
      <w:tr w:rsidR="00E55332" w:rsidRPr="008B3BE4" w14:paraId="49B6D60A" w14:textId="680E1405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81D861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6C63F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220043E4" w14:textId="7847FF2A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0.0302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7F3955F8" w14:textId="7D14F354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0.0378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55A40A9F" w14:textId="27C7CE2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0.1061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11385599" w14:textId="373BC87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5.35E-01</w:t>
            </w:r>
          </w:p>
        </w:tc>
        <w:tc>
          <w:tcPr>
            <w:tcW w:w="1047" w:type="dxa"/>
            <w:vAlign w:val="center"/>
          </w:tcPr>
          <w:p w14:paraId="7F22F614" w14:textId="0B8750F5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9.93E-01</w:t>
            </w:r>
          </w:p>
        </w:tc>
      </w:tr>
      <w:tr w:rsidR="00E55332" w:rsidRPr="008B3BE4" w14:paraId="7D133FB1" w14:textId="53ACF20F" w:rsidTr="00F85CB2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3E29D5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78EF2" w14:textId="77777777" w:rsidR="00E55332" w:rsidRPr="008B3BE4" w:rsidRDefault="00E55332" w:rsidP="00E55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BE4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7D93A716" w14:textId="61398FE8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0.0264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247DFAA5" w14:textId="7852AD5D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0.0374</w:t>
            </w:r>
          </w:p>
        </w:tc>
        <w:tc>
          <w:tcPr>
            <w:tcW w:w="1053" w:type="dxa"/>
            <w:shd w:val="clear" w:color="auto" w:fill="auto"/>
            <w:vAlign w:val="center"/>
          </w:tcPr>
          <w:p w14:paraId="100544F7" w14:textId="16D1D32E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0.1173</w:t>
            </w:r>
          </w:p>
        </w:tc>
        <w:tc>
          <w:tcPr>
            <w:tcW w:w="1047" w:type="dxa"/>
            <w:shd w:val="clear" w:color="auto" w:fill="auto"/>
            <w:vAlign w:val="center"/>
          </w:tcPr>
          <w:p w14:paraId="353373F9" w14:textId="0A9F5212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4.39E-01</w:t>
            </w:r>
          </w:p>
        </w:tc>
        <w:tc>
          <w:tcPr>
            <w:tcW w:w="1047" w:type="dxa"/>
            <w:vAlign w:val="center"/>
          </w:tcPr>
          <w:p w14:paraId="2CCEFF18" w14:textId="1D1C4586" w:rsidR="00E55332" w:rsidRPr="008B3BE4" w:rsidRDefault="00E55332" w:rsidP="00E55332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7.01E-01</w:t>
            </w:r>
          </w:p>
        </w:tc>
      </w:tr>
    </w:tbl>
    <w:p w14:paraId="1451AF6A" w14:textId="697E9142" w:rsidR="00EB7275" w:rsidRPr="008B3BE4" w:rsidRDefault="00EB7275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5BBA67BE" w14:textId="00806312" w:rsidR="00FE541B" w:rsidRDefault="00560516" w:rsidP="00FE541B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fldChar w:fldCharType="begin"/>
      </w:r>
      <w:r>
        <w:rPr>
          <w:rFonts w:ascii="Calibri" w:eastAsia="Times New Roman" w:hAnsi="Calibri" w:cs="Times New Roman"/>
          <w:color w:val="000000"/>
        </w:rPr>
        <w:instrText xml:space="preserve"> REF _Ref56625901 \h </w:instrText>
      </w:r>
      <w:r>
        <w:rPr>
          <w:rFonts w:ascii="Calibri" w:eastAsia="Times New Roman" w:hAnsi="Calibri" w:cs="Times New Roman"/>
          <w:b/>
          <w:color w:val="000000"/>
        </w:rPr>
      </w:r>
      <w:r>
        <w:rPr>
          <w:rFonts w:ascii="Calibri" w:eastAsia="Times New Roman" w:hAnsi="Calibri" w:cs="Times New Roman"/>
          <w:b/>
          <w:color w:val="000000"/>
        </w:rPr>
        <w:fldChar w:fldCharType="separate"/>
      </w:r>
      <w:r>
        <w:t xml:space="preserve">Table </w:t>
      </w:r>
      <w:r>
        <w:rPr>
          <w:noProof/>
        </w:rPr>
        <w:t>6</w:t>
      </w:r>
      <w:r>
        <w:rPr>
          <w:rFonts w:ascii="Calibri" w:eastAsia="Times New Roman" w:hAnsi="Calibri" w:cs="Times New Roman"/>
          <w:b/>
          <w:color w:val="000000"/>
        </w:rPr>
        <w:fldChar w:fldCharType="end"/>
      </w:r>
      <w:r>
        <w:rPr>
          <w:rFonts w:ascii="Calibri" w:eastAsia="Times New Roman" w:hAnsi="Calibri" w:cs="Times New Roman"/>
          <w:b/>
          <w:color w:val="000000"/>
        </w:rPr>
        <w:t xml:space="preserve"> </w:t>
      </w:r>
      <w:r w:rsidR="00FE541B" w:rsidRPr="008B3BE4">
        <w:rPr>
          <w:rFonts w:ascii="Calibri" w:eastAsia="Times New Roman" w:hAnsi="Calibri" w:cs="Times New Roman"/>
          <w:color w:val="000000"/>
        </w:rPr>
        <w:t xml:space="preserve">provides the </w:t>
      </w:r>
      <w:r w:rsidR="00FE541B">
        <w:rPr>
          <w:rFonts w:ascii="Calibri" w:eastAsia="Times New Roman" w:hAnsi="Calibri" w:cs="Times New Roman"/>
          <w:color w:val="000000"/>
        </w:rPr>
        <w:t>I</w:t>
      </w:r>
      <w:r w:rsidR="00FE541B" w:rsidRPr="008B3BE4">
        <w:rPr>
          <w:rFonts w:ascii="Calibri" w:eastAsia="Times New Roman" w:hAnsi="Calibri" w:cs="Times New Roman"/>
          <w:color w:val="000000"/>
        </w:rPr>
        <w:t>C</w:t>
      </w:r>
      <w:r w:rsidR="00FE541B">
        <w:rPr>
          <w:rFonts w:ascii="Calibri" w:eastAsia="Times New Roman" w:hAnsi="Calibri" w:cs="Times New Roman"/>
          <w:color w:val="000000"/>
          <w:vertAlign w:val="subscript"/>
        </w:rPr>
        <w:t>25</w:t>
      </w:r>
      <w:r w:rsidR="00FE541B" w:rsidRPr="008B3BE4">
        <w:rPr>
          <w:rFonts w:ascii="Calibri" w:eastAsia="Times New Roman" w:hAnsi="Calibri" w:cs="Times New Roman"/>
          <w:color w:val="000000"/>
        </w:rPr>
        <w:t xml:space="preserve"> values </w:t>
      </w:r>
      <w:r w:rsidR="00FE541B">
        <w:rPr>
          <w:rFonts w:ascii="Calibri" w:eastAsia="Times New Roman" w:hAnsi="Calibri" w:cs="Times New Roman"/>
          <w:color w:val="000000"/>
        </w:rPr>
        <w:t xml:space="preserve">included in the SSD </w:t>
      </w:r>
      <w:r w:rsidR="00FE541B" w:rsidRPr="008B3BE4">
        <w:rPr>
          <w:rFonts w:ascii="Calibri" w:eastAsia="Times New Roman" w:hAnsi="Calibri" w:cs="Times New Roman"/>
          <w:color w:val="000000"/>
        </w:rPr>
        <w:t xml:space="preserve">for </w:t>
      </w:r>
      <w:r w:rsidR="00FE541B">
        <w:rPr>
          <w:rFonts w:ascii="Calibri" w:eastAsia="Times New Roman" w:hAnsi="Calibri" w:cs="Times New Roman"/>
          <w:color w:val="000000"/>
        </w:rPr>
        <w:t>vegetative vigor</w:t>
      </w:r>
      <w:r w:rsidR="00FE541B" w:rsidRPr="008B3BE4">
        <w:rPr>
          <w:rFonts w:ascii="Calibri" w:eastAsia="Times New Roman" w:hAnsi="Calibri" w:cs="Times New Roman"/>
          <w:color w:val="000000"/>
        </w:rPr>
        <w:t xml:space="preserve">. </w:t>
      </w:r>
      <w:r w:rsidR="00FE541B" w:rsidRPr="00FE541B">
        <w:rPr>
          <w:rFonts w:ascii="Calibri" w:eastAsia="Times New Roman" w:hAnsi="Calibri" w:cs="Times New Roman"/>
          <w:color w:val="000000"/>
        </w:rPr>
        <w:t xml:space="preserve">If a species was not represented with a 96 hour study, and other values were available from shorter/longer duration studies (up to 10 days) then the data were included. If there were multiple other durations, the value from the study closer to a 96h duration was selected and if there were multiple values for the same duration, </w:t>
      </w:r>
      <w:r w:rsidR="00FE541B">
        <w:rPr>
          <w:rFonts w:ascii="Calibri" w:eastAsia="Times New Roman" w:hAnsi="Calibri" w:cs="Times New Roman"/>
          <w:color w:val="000000"/>
        </w:rPr>
        <w:t xml:space="preserve">all </w:t>
      </w:r>
      <w:r w:rsidR="00DA4B84">
        <w:rPr>
          <w:rFonts w:ascii="Calibri" w:eastAsia="Times New Roman" w:hAnsi="Calibri" w:cs="Times New Roman"/>
          <w:color w:val="000000"/>
        </w:rPr>
        <w:t>values are presented</w:t>
      </w:r>
      <w:r w:rsidR="00FE541B" w:rsidRPr="00FE541B">
        <w:rPr>
          <w:rFonts w:ascii="Calibri" w:eastAsia="Times New Roman" w:hAnsi="Calibri" w:cs="Times New Roman"/>
          <w:color w:val="000000"/>
        </w:rPr>
        <w:t>.</w:t>
      </w:r>
      <w:r w:rsidR="00FE541B">
        <w:rPr>
          <w:rFonts w:ascii="Calibri" w:eastAsia="Times New Roman" w:hAnsi="Calibri" w:cs="Times New Roman"/>
          <w:color w:val="000000"/>
        </w:rPr>
        <w:t xml:space="preserve"> </w:t>
      </w:r>
    </w:p>
    <w:p w14:paraId="77750166" w14:textId="77777777" w:rsidR="00FE541B" w:rsidRPr="008B3BE4" w:rsidRDefault="00FE541B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24DB8F0" w14:textId="48203D01" w:rsidR="00DC0511" w:rsidRPr="00FE541B" w:rsidRDefault="00560516" w:rsidP="00560516">
      <w:pPr>
        <w:pStyle w:val="Caption"/>
        <w:rPr>
          <w:rFonts w:ascii="Calibri" w:eastAsia="Times New Roman" w:hAnsi="Calibri" w:cs="Times New Roman"/>
          <w:b w:val="0"/>
          <w:bCs w:val="0"/>
          <w:color w:val="000000"/>
        </w:rPr>
      </w:pPr>
      <w:bookmarkStart w:id="7" w:name="_Ref56625901"/>
      <w:r>
        <w:t xml:space="preserve">Table </w:t>
      </w:r>
      <w:r w:rsidR="005D6E9C">
        <w:fldChar w:fldCharType="begin"/>
      </w:r>
      <w:r w:rsidR="005D6E9C">
        <w:instrText xml:space="preserve"> SEQ Table \* ARABIC </w:instrText>
      </w:r>
      <w:r w:rsidR="005D6E9C">
        <w:fldChar w:fldCharType="separate"/>
      </w:r>
      <w:r>
        <w:rPr>
          <w:noProof/>
        </w:rPr>
        <w:t>6</w:t>
      </w:r>
      <w:r w:rsidR="005D6E9C">
        <w:rPr>
          <w:noProof/>
        </w:rPr>
        <w:fldChar w:fldCharType="end"/>
      </w:r>
      <w:bookmarkEnd w:id="7"/>
      <w:r>
        <w:t xml:space="preserve">. </w:t>
      </w:r>
      <w:r w:rsidRPr="007D766E">
        <w:t>Nontarget Terrestrial Plant Vegetative Vigor Toxicity (Tier II). All definitive endpoints are used quantitatively in the SSD.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4"/>
        <w:gridCol w:w="1398"/>
        <w:gridCol w:w="960"/>
      </w:tblGrid>
      <w:tr w:rsidR="0013704C" w:rsidRPr="0013704C" w14:paraId="0220369E" w14:textId="77777777" w:rsidTr="00E9011F">
        <w:trPr>
          <w:trHeight w:val="300"/>
        </w:trPr>
        <w:tc>
          <w:tcPr>
            <w:tcW w:w="1428" w:type="dxa"/>
            <w:shd w:val="clear" w:color="auto" w:fill="D9D9D9" w:themeFill="background1" w:themeFillShade="D9"/>
            <w:noWrap/>
            <w:hideMark/>
          </w:tcPr>
          <w:p w14:paraId="7F01877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Genus</w:t>
            </w:r>
          </w:p>
        </w:tc>
        <w:tc>
          <w:tcPr>
            <w:tcW w:w="1212" w:type="dxa"/>
            <w:shd w:val="clear" w:color="auto" w:fill="D9D9D9" w:themeFill="background1" w:themeFillShade="D9"/>
            <w:noWrap/>
            <w:hideMark/>
          </w:tcPr>
          <w:p w14:paraId="78B7267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species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hideMark/>
          </w:tcPr>
          <w:p w14:paraId="254C7B3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</w:rPr>
              <w:t>IC</w:t>
            </w:r>
            <w:r w:rsidRPr="00560516">
              <w:rPr>
                <w:rFonts w:asciiTheme="minorHAnsi" w:eastAsia="Times New Roman" w:hAnsiTheme="minorHAnsi" w:cstheme="minorHAnsi"/>
                <w:b/>
                <w:bCs/>
                <w:color w:val="000000"/>
                <w:sz w:val="22"/>
                <w:szCs w:val="22"/>
                <w:vertAlign w:val="subscript"/>
              </w:rPr>
              <w:t>25</w:t>
            </w:r>
          </w:p>
        </w:tc>
      </w:tr>
      <w:tr w:rsidR="0013704C" w:rsidRPr="0013704C" w14:paraId="3D5DC8F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8DBF70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Abelmoschus</w:t>
            </w:r>
          </w:p>
        </w:tc>
        <w:tc>
          <w:tcPr>
            <w:tcW w:w="1212" w:type="dxa"/>
            <w:noWrap/>
            <w:hideMark/>
          </w:tcPr>
          <w:p w14:paraId="199FD6A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esculentus</w:t>
            </w:r>
          </w:p>
        </w:tc>
        <w:tc>
          <w:tcPr>
            <w:tcW w:w="960" w:type="dxa"/>
            <w:noWrap/>
            <w:hideMark/>
          </w:tcPr>
          <w:p w14:paraId="23F9B33C" w14:textId="36DB17EC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0.17</w:t>
            </w:r>
          </w:p>
        </w:tc>
      </w:tr>
      <w:tr w:rsidR="0013704C" w:rsidRPr="0013704C" w14:paraId="70D78521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1F42A4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Allium</w:t>
            </w:r>
          </w:p>
        </w:tc>
        <w:tc>
          <w:tcPr>
            <w:tcW w:w="1212" w:type="dxa"/>
            <w:noWrap/>
            <w:hideMark/>
          </w:tcPr>
          <w:p w14:paraId="1F06277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cepa</w:t>
            </w:r>
          </w:p>
        </w:tc>
        <w:tc>
          <w:tcPr>
            <w:tcW w:w="960" w:type="dxa"/>
            <w:noWrap/>
            <w:hideMark/>
          </w:tcPr>
          <w:p w14:paraId="4A24622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0.28</w:t>
            </w:r>
          </w:p>
        </w:tc>
      </w:tr>
      <w:tr w:rsidR="0013704C" w:rsidRPr="0013704C" w14:paraId="4AFF4F41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71B3DF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Andropogon</w:t>
            </w:r>
          </w:p>
        </w:tc>
        <w:tc>
          <w:tcPr>
            <w:tcW w:w="1212" w:type="dxa"/>
            <w:noWrap/>
            <w:hideMark/>
          </w:tcPr>
          <w:p w14:paraId="0B24499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gerardii</w:t>
            </w:r>
          </w:p>
        </w:tc>
        <w:tc>
          <w:tcPr>
            <w:tcW w:w="960" w:type="dxa"/>
            <w:noWrap/>
            <w:hideMark/>
          </w:tcPr>
          <w:p w14:paraId="0A2866E0" w14:textId="2F5C1C86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0.034</w:t>
            </w:r>
          </w:p>
        </w:tc>
      </w:tr>
      <w:tr w:rsidR="0013704C" w:rsidRPr="0013704C" w14:paraId="0F3446F7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F904D1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Asclepias</w:t>
            </w:r>
          </w:p>
        </w:tc>
        <w:tc>
          <w:tcPr>
            <w:tcW w:w="1212" w:type="dxa"/>
            <w:noWrap/>
            <w:hideMark/>
          </w:tcPr>
          <w:p w14:paraId="1DE9B14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syriaca</w:t>
            </w:r>
          </w:p>
        </w:tc>
        <w:tc>
          <w:tcPr>
            <w:tcW w:w="960" w:type="dxa"/>
            <w:noWrap/>
            <w:hideMark/>
          </w:tcPr>
          <w:p w14:paraId="29432020" w14:textId="06E0A88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0.05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3704C" w:rsidRPr="0013704C" w14:paraId="28E4B93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393355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Avena</w:t>
            </w:r>
          </w:p>
        </w:tc>
        <w:tc>
          <w:tcPr>
            <w:tcW w:w="1212" w:type="dxa"/>
            <w:noWrap/>
            <w:hideMark/>
          </w:tcPr>
          <w:p w14:paraId="2171381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0F82D2FC" w14:textId="16765AEF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3704C" w:rsidRPr="0013704C" w14:paraId="0F27D039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9A2E24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Bellis</w:t>
            </w:r>
          </w:p>
        </w:tc>
        <w:tc>
          <w:tcPr>
            <w:tcW w:w="1212" w:type="dxa"/>
            <w:noWrap/>
            <w:hideMark/>
          </w:tcPr>
          <w:p w14:paraId="28D083F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perennis</w:t>
            </w:r>
          </w:p>
        </w:tc>
        <w:tc>
          <w:tcPr>
            <w:tcW w:w="960" w:type="dxa"/>
            <w:noWrap/>
            <w:hideMark/>
          </w:tcPr>
          <w:p w14:paraId="62631BA1" w14:textId="6AF41519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0.039</w:t>
            </w:r>
          </w:p>
        </w:tc>
      </w:tr>
      <w:tr w:rsidR="0013704C" w:rsidRPr="0013704C" w14:paraId="181DDE3A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56BE14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Bellis</w:t>
            </w:r>
          </w:p>
        </w:tc>
        <w:tc>
          <w:tcPr>
            <w:tcW w:w="1212" w:type="dxa"/>
            <w:noWrap/>
            <w:hideMark/>
          </w:tcPr>
          <w:p w14:paraId="16AEB1C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perennis</w:t>
            </w:r>
          </w:p>
        </w:tc>
        <w:tc>
          <w:tcPr>
            <w:tcW w:w="960" w:type="dxa"/>
            <w:noWrap/>
            <w:hideMark/>
          </w:tcPr>
          <w:p w14:paraId="46E69CE5" w14:textId="78CC45D6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0.044</w:t>
            </w:r>
          </w:p>
        </w:tc>
      </w:tr>
      <w:tr w:rsidR="0013704C" w:rsidRPr="0013704C" w14:paraId="7385D7A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CE3132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212" w:type="dxa"/>
            <w:noWrap/>
            <w:hideMark/>
          </w:tcPr>
          <w:p w14:paraId="3E62FFA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vulgaris</w:t>
            </w:r>
          </w:p>
        </w:tc>
        <w:tc>
          <w:tcPr>
            <w:tcW w:w="960" w:type="dxa"/>
            <w:noWrap/>
            <w:hideMark/>
          </w:tcPr>
          <w:p w14:paraId="76F6C23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0.21</w:t>
            </w:r>
          </w:p>
        </w:tc>
      </w:tr>
      <w:tr w:rsidR="0013704C" w:rsidRPr="0013704C" w14:paraId="14718704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0AEFE8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212" w:type="dxa"/>
            <w:noWrap/>
            <w:hideMark/>
          </w:tcPr>
          <w:p w14:paraId="046676C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vulgaris</w:t>
            </w:r>
          </w:p>
        </w:tc>
        <w:tc>
          <w:tcPr>
            <w:tcW w:w="960" w:type="dxa"/>
            <w:noWrap/>
            <w:hideMark/>
          </w:tcPr>
          <w:p w14:paraId="69E86B84" w14:textId="6EBA37A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3704C" w:rsidRPr="0013704C" w14:paraId="28D5F522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25552A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Carex</w:t>
            </w:r>
          </w:p>
        </w:tc>
        <w:tc>
          <w:tcPr>
            <w:tcW w:w="1212" w:type="dxa"/>
            <w:noWrap/>
            <w:hideMark/>
          </w:tcPr>
          <w:p w14:paraId="7E51E02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comosa</w:t>
            </w:r>
          </w:p>
        </w:tc>
        <w:tc>
          <w:tcPr>
            <w:tcW w:w="960" w:type="dxa"/>
            <w:noWrap/>
            <w:hideMark/>
          </w:tcPr>
          <w:p w14:paraId="2612586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0.23</w:t>
            </w:r>
          </w:p>
        </w:tc>
      </w:tr>
      <w:tr w:rsidR="0013704C" w:rsidRPr="0013704C" w14:paraId="566A64AE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329D60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Centaurea</w:t>
            </w:r>
          </w:p>
        </w:tc>
        <w:tc>
          <w:tcPr>
            <w:tcW w:w="1212" w:type="dxa"/>
            <w:noWrap/>
            <w:hideMark/>
          </w:tcPr>
          <w:p w14:paraId="670542C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cyanus</w:t>
            </w:r>
          </w:p>
        </w:tc>
        <w:tc>
          <w:tcPr>
            <w:tcW w:w="960" w:type="dxa"/>
            <w:noWrap/>
            <w:hideMark/>
          </w:tcPr>
          <w:p w14:paraId="4FDFC3E1" w14:textId="6C9E9D4F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0.14</w:t>
            </w:r>
          </w:p>
        </w:tc>
      </w:tr>
      <w:tr w:rsidR="0013704C" w:rsidRPr="0013704C" w14:paraId="611B7C5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AA54E2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Centaurea</w:t>
            </w:r>
          </w:p>
        </w:tc>
        <w:tc>
          <w:tcPr>
            <w:tcW w:w="1212" w:type="dxa"/>
            <w:noWrap/>
            <w:hideMark/>
          </w:tcPr>
          <w:p w14:paraId="42B46AC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cyanus</w:t>
            </w:r>
          </w:p>
        </w:tc>
        <w:tc>
          <w:tcPr>
            <w:tcW w:w="960" w:type="dxa"/>
            <w:noWrap/>
            <w:hideMark/>
          </w:tcPr>
          <w:p w14:paraId="1E709BF3" w14:textId="602FC778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3704C" w:rsidRPr="0013704C" w14:paraId="63CB9BE2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67DDEE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Cucumis</w:t>
            </w:r>
          </w:p>
        </w:tc>
        <w:tc>
          <w:tcPr>
            <w:tcW w:w="1212" w:type="dxa"/>
            <w:noWrap/>
            <w:hideMark/>
          </w:tcPr>
          <w:p w14:paraId="55DC76A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sativus</w:t>
            </w:r>
          </w:p>
        </w:tc>
        <w:tc>
          <w:tcPr>
            <w:tcW w:w="960" w:type="dxa"/>
            <w:noWrap/>
            <w:hideMark/>
          </w:tcPr>
          <w:p w14:paraId="05C14DA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0.45</w:t>
            </w:r>
          </w:p>
        </w:tc>
      </w:tr>
      <w:tr w:rsidR="0013704C" w:rsidRPr="0013704C" w14:paraId="6606FAA8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528261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Cyperus</w:t>
            </w:r>
          </w:p>
        </w:tc>
        <w:tc>
          <w:tcPr>
            <w:tcW w:w="1212" w:type="dxa"/>
            <w:noWrap/>
            <w:hideMark/>
          </w:tcPr>
          <w:p w14:paraId="404AE76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rotundus</w:t>
            </w:r>
          </w:p>
        </w:tc>
        <w:tc>
          <w:tcPr>
            <w:tcW w:w="960" w:type="dxa"/>
            <w:noWrap/>
            <w:hideMark/>
          </w:tcPr>
          <w:p w14:paraId="149CFF9E" w14:textId="7054AFE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3704C" w:rsidRPr="0013704C" w14:paraId="7B561E2F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4CAE9F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Digitalis</w:t>
            </w:r>
          </w:p>
        </w:tc>
        <w:tc>
          <w:tcPr>
            <w:tcW w:w="1212" w:type="dxa"/>
            <w:noWrap/>
            <w:hideMark/>
          </w:tcPr>
          <w:p w14:paraId="677E173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purpurea</w:t>
            </w:r>
          </w:p>
        </w:tc>
        <w:tc>
          <w:tcPr>
            <w:tcW w:w="960" w:type="dxa"/>
            <w:noWrap/>
            <w:hideMark/>
          </w:tcPr>
          <w:p w14:paraId="6B4CC608" w14:textId="72CFB8B3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0.068</w:t>
            </w:r>
          </w:p>
        </w:tc>
      </w:tr>
      <w:tr w:rsidR="0013704C" w:rsidRPr="0013704C" w14:paraId="363D350F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1D0E5E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Digitalis</w:t>
            </w:r>
          </w:p>
        </w:tc>
        <w:tc>
          <w:tcPr>
            <w:tcW w:w="1212" w:type="dxa"/>
            <w:noWrap/>
            <w:hideMark/>
          </w:tcPr>
          <w:p w14:paraId="3610163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purpurea</w:t>
            </w:r>
          </w:p>
        </w:tc>
        <w:tc>
          <w:tcPr>
            <w:tcW w:w="960" w:type="dxa"/>
            <w:noWrap/>
            <w:hideMark/>
          </w:tcPr>
          <w:p w14:paraId="2230691D" w14:textId="4B8488B4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0.10</w:t>
            </w:r>
          </w:p>
        </w:tc>
      </w:tr>
      <w:tr w:rsidR="0013704C" w:rsidRPr="0013704C" w14:paraId="56CEF539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5294AC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Digitalis</w:t>
            </w:r>
          </w:p>
        </w:tc>
        <w:tc>
          <w:tcPr>
            <w:tcW w:w="1212" w:type="dxa"/>
            <w:noWrap/>
            <w:hideMark/>
          </w:tcPr>
          <w:p w14:paraId="7C26955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purpurea</w:t>
            </w:r>
          </w:p>
        </w:tc>
        <w:tc>
          <w:tcPr>
            <w:tcW w:w="960" w:type="dxa"/>
            <w:noWrap/>
            <w:hideMark/>
          </w:tcPr>
          <w:p w14:paraId="6F3B739B" w14:textId="6CE8FD72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0.15</w:t>
            </w:r>
          </w:p>
        </w:tc>
      </w:tr>
      <w:tr w:rsidR="0013704C" w:rsidRPr="0013704C" w14:paraId="4712975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CA2658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Elymus</w:t>
            </w:r>
          </w:p>
        </w:tc>
        <w:tc>
          <w:tcPr>
            <w:tcW w:w="1212" w:type="dxa"/>
            <w:noWrap/>
            <w:hideMark/>
          </w:tcPr>
          <w:p w14:paraId="5D1E7D8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lanceolatus</w:t>
            </w:r>
          </w:p>
        </w:tc>
        <w:tc>
          <w:tcPr>
            <w:tcW w:w="960" w:type="dxa"/>
            <w:noWrap/>
            <w:hideMark/>
          </w:tcPr>
          <w:p w14:paraId="75C2A3CB" w14:textId="24973DD2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13704C" w:rsidRPr="0013704C" w14:paraId="4298B5F7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F4489F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Fragaria</w:t>
            </w:r>
          </w:p>
        </w:tc>
        <w:tc>
          <w:tcPr>
            <w:tcW w:w="1212" w:type="dxa"/>
            <w:noWrap/>
            <w:hideMark/>
          </w:tcPr>
          <w:p w14:paraId="736EC79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virginiana</w:t>
            </w:r>
          </w:p>
        </w:tc>
        <w:tc>
          <w:tcPr>
            <w:tcW w:w="960" w:type="dxa"/>
            <w:noWrap/>
            <w:hideMark/>
          </w:tcPr>
          <w:p w14:paraId="7BECB2EA" w14:textId="64DC172F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</w:tr>
      <w:tr w:rsidR="0013704C" w:rsidRPr="0013704C" w14:paraId="37694C3C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789A16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Fragaria</w:t>
            </w:r>
          </w:p>
        </w:tc>
        <w:tc>
          <w:tcPr>
            <w:tcW w:w="1212" w:type="dxa"/>
            <w:noWrap/>
            <w:hideMark/>
          </w:tcPr>
          <w:p w14:paraId="760253C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x ananassa</w:t>
            </w:r>
          </w:p>
        </w:tc>
        <w:tc>
          <w:tcPr>
            <w:tcW w:w="960" w:type="dxa"/>
            <w:noWrap/>
            <w:hideMark/>
          </w:tcPr>
          <w:p w14:paraId="52558F5A" w14:textId="7DA0E88D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0.023</w:t>
            </w:r>
          </w:p>
        </w:tc>
      </w:tr>
      <w:tr w:rsidR="0013704C" w:rsidRPr="0013704C" w14:paraId="761DBFD4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D9E59C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Geum</w:t>
            </w:r>
          </w:p>
        </w:tc>
        <w:tc>
          <w:tcPr>
            <w:tcW w:w="1212" w:type="dxa"/>
            <w:noWrap/>
            <w:hideMark/>
          </w:tcPr>
          <w:p w14:paraId="1EE7528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canadense</w:t>
            </w:r>
          </w:p>
        </w:tc>
        <w:tc>
          <w:tcPr>
            <w:tcW w:w="960" w:type="dxa"/>
            <w:noWrap/>
            <w:hideMark/>
          </w:tcPr>
          <w:p w14:paraId="2B54FA94" w14:textId="1342EDEC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3704C" w:rsidRPr="0013704C" w14:paraId="0E8E9FF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E550D7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Geum</w:t>
            </w:r>
          </w:p>
        </w:tc>
        <w:tc>
          <w:tcPr>
            <w:tcW w:w="1212" w:type="dxa"/>
            <w:noWrap/>
            <w:hideMark/>
          </w:tcPr>
          <w:p w14:paraId="4FF28C5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canadense</w:t>
            </w:r>
          </w:p>
        </w:tc>
        <w:tc>
          <w:tcPr>
            <w:tcW w:w="960" w:type="dxa"/>
            <w:noWrap/>
            <w:hideMark/>
          </w:tcPr>
          <w:p w14:paraId="26FE8DB2" w14:textId="05DA078C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</w:t>
            </w:r>
          </w:p>
        </w:tc>
      </w:tr>
      <w:tr w:rsidR="0013704C" w:rsidRPr="0013704C" w14:paraId="54095FA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09B5FF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1212" w:type="dxa"/>
            <w:noWrap/>
            <w:hideMark/>
          </w:tcPr>
          <w:p w14:paraId="33BE023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960" w:type="dxa"/>
            <w:noWrap/>
            <w:hideMark/>
          </w:tcPr>
          <w:p w14:paraId="1B66DBC2" w14:textId="0C9FA6A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0.054</w:t>
            </w:r>
          </w:p>
        </w:tc>
      </w:tr>
      <w:tr w:rsidR="0013704C" w:rsidRPr="0013704C" w14:paraId="297923BE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6A7F3D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1212" w:type="dxa"/>
            <w:noWrap/>
            <w:hideMark/>
          </w:tcPr>
          <w:p w14:paraId="74418AD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960" w:type="dxa"/>
            <w:noWrap/>
            <w:hideMark/>
          </w:tcPr>
          <w:p w14:paraId="1177515D" w14:textId="6B045A6D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13704C" w:rsidRPr="0013704C" w14:paraId="5EF0465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75D0A6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Glycine</w:t>
            </w:r>
          </w:p>
        </w:tc>
        <w:tc>
          <w:tcPr>
            <w:tcW w:w="1212" w:type="dxa"/>
            <w:noWrap/>
            <w:hideMark/>
          </w:tcPr>
          <w:p w14:paraId="3764540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max</w:t>
            </w:r>
          </w:p>
        </w:tc>
        <w:tc>
          <w:tcPr>
            <w:tcW w:w="960" w:type="dxa"/>
            <w:noWrap/>
            <w:hideMark/>
          </w:tcPr>
          <w:p w14:paraId="1EF959A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0.32</w:t>
            </w:r>
          </w:p>
        </w:tc>
      </w:tr>
      <w:tr w:rsidR="0013704C" w:rsidRPr="0013704C" w14:paraId="2B8AE9FF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2C72AB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Helianthus</w:t>
            </w:r>
          </w:p>
        </w:tc>
        <w:tc>
          <w:tcPr>
            <w:tcW w:w="1212" w:type="dxa"/>
            <w:noWrap/>
            <w:hideMark/>
          </w:tcPr>
          <w:p w14:paraId="6DBE36F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annus</w:t>
            </w:r>
          </w:p>
        </w:tc>
        <w:tc>
          <w:tcPr>
            <w:tcW w:w="960" w:type="dxa"/>
            <w:noWrap/>
            <w:hideMark/>
          </w:tcPr>
          <w:p w14:paraId="354ECFE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0.16</w:t>
            </w:r>
          </w:p>
        </w:tc>
      </w:tr>
      <w:tr w:rsidR="0013704C" w:rsidRPr="0013704C" w14:paraId="3AC3D083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B3FB90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Inula</w:t>
            </w:r>
          </w:p>
        </w:tc>
        <w:tc>
          <w:tcPr>
            <w:tcW w:w="1212" w:type="dxa"/>
            <w:noWrap/>
            <w:hideMark/>
          </w:tcPr>
          <w:p w14:paraId="26A8F4E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helenium</w:t>
            </w:r>
          </w:p>
        </w:tc>
        <w:tc>
          <w:tcPr>
            <w:tcW w:w="960" w:type="dxa"/>
            <w:noWrap/>
            <w:hideMark/>
          </w:tcPr>
          <w:p w14:paraId="3AC88C86" w14:textId="70F55572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0.066</w:t>
            </w:r>
          </w:p>
        </w:tc>
      </w:tr>
      <w:tr w:rsidR="0013704C" w:rsidRPr="0013704C" w14:paraId="7E0B75CC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52317A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2E4ED78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canadensis</w:t>
            </w:r>
          </w:p>
        </w:tc>
        <w:tc>
          <w:tcPr>
            <w:tcW w:w="960" w:type="dxa"/>
            <w:noWrap/>
            <w:hideMark/>
          </w:tcPr>
          <w:p w14:paraId="21B0286C" w14:textId="6C87CE8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0.093</w:t>
            </w:r>
          </w:p>
        </w:tc>
      </w:tr>
      <w:tr w:rsidR="0013704C" w:rsidRPr="0013704C" w14:paraId="12DEFDAE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8B306A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2712EBB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1BEA9EE8" w14:textId="658EDFBA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0.0021</w:t>
            </w:r>
          </w:p>
        </w:tc>
      </w:tr>
      <w:tr w:rsidR="0013704C" w:rsidRPr="0013704C" w14:paraId="0466CB6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FB6B60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6F73199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2DAA96C5" w14:textId="47657A9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0.004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3704C" w:rsidRPr="0013704C" w14:paraId="059CDFE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696CF7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12A2E5C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0E559E0C" w14:textId="06B1C0D1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</w:t>
            </w:r>
          </w:p>
        </w:tc>
      </w:tr>
      <w:tr w:rsidR="0013704C" w:rsidRPr="0013704C" w14:paraId="00085601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E46FEA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34A3528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78A228E8" w14:textId="1EFA8B5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3704C" w:rsidRPr="0013704C" w14:paraId="3DCF44AA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AD8127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2E486E1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2BB44531" w14:textId="73D8601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13704C" w:rsidRPr="0013704C" w14:paraId="33D069A1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389FBC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Lactuca</w:t>
            </w:r>
          </w:p>
        </w:tc>
        <w:tc>
          <w:tcPr>
            <w:tcW w:w="1212" w:type="dxa"/>
            <w:noWrap/>
            <w:hideMark/>
          </w:tcPr>
          <w:p w14:paraId="6F8C1EA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sativa</w:t>
            </w:r>
          </w:p>
        </w:tc>
        <w:tc>
          <w:tcPr>
            <w:tcW w:w="960" w:type="dxa"/>
            <w:noWrap/>
            <w:hideMark/>
          </w:tcPr>
          <w:p w14:paraId="6D821E47" w14:textId="65165AE9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0.52</w:t>
            </w:r>
          </w:p>
        </w:tc>
      </w:tr>
      <w:tr w:rsidR="0013704C" w:rsidRPr="0013704C" w14:paraId="505B71A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D71054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Leucanthemum</w:t>
            </w:r>
          </w:p>
        </w:tc>
        <w:tc>
          <w:tcPr>
            <w:tcW w:w="1212" w:type="dxa"/>
            <w:noWrap/>
            <w:hideMark/>
          </w:tcPr>
          <w:p w14:paraId="53E3583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vulgare</w:t>
            </w:r>
          </w:p>
        </w:tc>
        <w:tc>
          <w:tcPr>
            <w:tcW w:w="960" w:type="dxa"/>
            <w:noWrap/>
            <w:hideMark/>
          </w:tcPr>
          <w:p w14:paraId="53BB37E0" w14:textId="24B079C2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13704C" w:rsidRPr="0013704C" w14:paraId="01939A10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F24E9D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Leucanthemum</w:t>
            </w:r>
          </w:p>
        </w:tc>
        <w:tc>
          <w:tcPr>
            <w:tcW w:w="1212" w:type="dxa"/>
            <w:noWrap/>
            <w:hideMark/>
          </w:tcPr>
          <w:p w14:paraId="262CB25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vulgare</w:t>
            </w:r>
          </w:p>
        </w:tc>
        <w:tc>
          <w:tcPr>
            <w:tcW w:w="960" w:type="dxa"/>
            <w:noWrap/>
            <w:hideMark/>
          </w:tcPr>
          <w:p w14:paraId="1BC221B3" w14:textId="198D687D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0.54</w:t>
            </w:r>
          </w:p>
        </w:tc>
      </w:tr>
      <w:tr w:rsidR="0013704C" w:rsidRPr="0013704C" w14:paraId="59220844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689F69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Leucanthemum</w:t>
            </w:r>
          </w:p>
        </w:tc>
        <w:tc>
          <w:tcPr>
            <w:tcW w:w="1212" w:type="dxa"/>
            <w:noWrap/>
            <w:hideMark/>
          </w:tcPr>
          <w:p w14:paraId="45C68B4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vulgare</w:t>
            </w:r>
          </w:p>
        </w:tc>
        <w:tc>
          <w:tcPr>
            <w:tcW w:w="960" w:type="dxa"/>
            <w:noWrap/>
            <w:hideMark/>
          </w:tcPr>
          <w:p w14:paraId="6CD8EDA7" w14:textId="482FA732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13704C" w:rsidRPr="0013704C" w14:paraId="4B7A0B99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9A4086D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Leucanthemum</w:t>
            </w:r>
          </w:p>
        </w:tc>
        <w:tc>
          <w:tcPr>
            <w:tcW w:w="1212" w:type="dxa"/>
            <w:noWrap/>
            <w:hideMark/>
          </w:tcPr>
          <w:p w14:paraId="74E3EA6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vulgare</w:t>
            </w:r>
          </w:p>
        </w:tc>
        <w:tc>
          <w:tcPr>
            <w:tcW w:w="960" w:type="dxa"/>
            <w:noWrap/>
            <w:hideMark/>
          </w:tcPr>
          <w:p w14:paraId="66A46315" w14:textId="68E044CB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0.83</w:t>
            </w:r>
          </w:p>
        </w:tc>
      </w:tr>
      <w:tr w:rsidR="0013704C" w:rsidRPr="0013704C" w14:paraId="693E0CB9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41BC6C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Lycopus</w:t>
            </w:r>
          </w:p>
        </w:tc>
        <w:tc>
          <w:tcPr>
            <w:tcW w:w="1212" w:type="dxa"/>
            <w:noWrap/>
            <w:hideMark/>
          </w:tcPr>
          <w:p w14:paraId="58A64E4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americanus</w:t>
            </w:r>
          </w:p>
        </w:tc>
        <w:tc>
          <w:tcPr>
            <w:tcW w:w="960" w:type="dxa"/>
            <w:noWrap/>
            <w:hideMark/>
          </w:tcPr>
          <w:p w14:paraId="7F15251F" w14:textId="54F5806F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0.038</w:t>
            </w:r>
          </w:p>
        </w:tc>
      </w:tr>
      <w:tr w:rsidR="0013704C" w:rsidRPr="0013704C" w14:paraId="5F0D7915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C7AF5C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Lycopus</w:t>
            </w:r>
          </w:p>
        </w:tc>
        <w:tc>
          <w:tcPr>
            <w:tcW w:w="1212" w:type="dxa"/>
            <w:noWrap/>
            <w:hideMark/>
          </w:tcPr>
          <w:p w14:paraId="6434256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americanus</w:t>
            </w:r>
          </w:p>
        </w:tc>
        <w:tc>
          <w:tcPr>
            <w:tcW w:w="960" w:type="dxa"/>
            <w:noWrap/>
            <w:hideMark/>
          </w:tcPr>
          <w:p w14:paraId="3F8B5375" w14:textId="541EE0B8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0.057</w:t>
            </w:r>
          </w:p>
        </w:tc>
      </w:tr>
      <w:tr w:rsidR="0013704C" w:rsidRPr="0013704C" w14:paraId="254D4879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2EB02B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Lycopus</w:t>
            </w:r>
          </w:p>
        </w:tc>
        <w:tc>
          <w:tcPr>
            <w:tcW w:w="1212" w:type="dxa"/>
            <w:noWrap/>
            <w:hideMark/>
          </w:tcPr>
          <w:p w14:paraId="2CD398B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americanus</w:t>
            </w:r>
          </w:p>
        </w:tc>
        <w:tc>
          <w:tcPr>
            <w:tcW w:w="960" w:type="dxa"/>
            <w:noWrap/>
            <w:hideMark/>
          </w:tcPr>
          <w:p w14:paraId="4C95AE51" w14:textId="2265708B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0.093</w:t>
            </w:r>
          </w:p>
        </w:tc>
      </w:tr>
      <w:tr w:rsidR="0013704C" w:rsidRPr="0013704C" w14:paraId="62499AA3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0E204C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Pisum</w:t>
            </w:r>
          </w:p>
        </w:tc>
        <w:tc>
          <w:tcPr>
            <w:tcW w:w="1212" w:type="dxa"/>
            <w:noWrap/>
            <w:hideMark/>
          </w:tcPr>
          <w:p w14:paraId="19DE105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sativum</w:t>
            </w:r>
          </w:p>
        </w:tc>
        <w:tc>
          <w:tcPr>
            <w:tcW w:w="960" w:type="dxa"/>
            <w:noWrap/>
            <w:hideMark/>
          </w:tcPr>
          <w:p w14:paraId="7725054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0.89</w:t>
            </w:r>
          </w:p>
        </w:tc>
      </w:tr>
      <w:tr w:rsidR="0013704C" w:rsidRPr="0013704C" w14:paraId="0AC80B76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CBE51A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Poa</w:t>
            </w:r>
          </w:p>
        </w:tc>
        <w:tc>
          <w:tcPr>
            <w:tcW w:w="1212" w:type="dxa"/>
            <w:noWrap/>
            <w:hideMark/>
          </w:tcPr>
          <w:p w14:paraId="6C4E755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compressa</w:t>
            </w:r>
          </w:p>
        </w:tc>
        <w:tc>
          <w:tcPr>
            <w:tcW w:w="960" w:type="dxa"/>
            <w:noWrap/>
            <w:hideMark/>
          </w:tcPr>
          <w:p w14:paraId="18F85B02" w14:textId="6AAF719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3704C" w:rsidRPr="0013704C" w14:paraId="00DC93B5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76C560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Pontederia</w:t>
            </w:r>
          </w:p>
        </w:tc>
        <w:tc>
          <w:tcPr>
            <w:tcW w:w="1212" w:type="dxa"/>
            <w:noWrap/>
            <w:hideMark/>
          </w:tcPr>
          <w:p w14:paraId="522D322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cordata</w:t>
            </w:r>
          </w:p>
        </w:tc>
        <w:tc>
          <w:tcPr>
            <w:tcW w:w="960" w:type="dxa"/>
            <w:noWrap/>
            <w:hideMark/>
          </w:tcPr>
          <w:p w14:paraId="2AEA7D7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0.47</w:t>
            </w:r>
          </w:p>
        </w:tc>
      </w:tr>
      <w:tr w:rsidR="0013704C" w:rsidRPr="0013704C" w14:paraId="57588E62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291B26D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Prunella</w:t>
            </w:r>
          </w:p>
        </w:tc>
        <w:tc>
          <w:tcPr>
            <w:tcW w:w="1212" w:type="dxa"/>
            <w:noWrap/>
            <w:hideMark/>
          </w:tcPr>
          <w:p w14:paraId="11AD3C9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vulgaris</w:t>
            </w:r>
          </w:p>
        </w:tc>
        <w:tc>
          <w:tcPr>
            <w:tcW w:w="960" w:type="dxa"/>
            <w:noWrap/>
            <w:hideMark/>
          </w:tcPr>
          <w:p w14:paraId="3DFABE05" w14:textId="421173B6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0.13</w:t>
            </w:r>
          </w:p>
        </w:tc>
      </w:tr>
      <w:tr w:rsidR="0013704C" w:rsidRPr="0013704C" w14:paraId="6AC25C58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B5B2F8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Prunella</w:t>
            </w:r>
          </w:p>
        </w:tc>
        <w:tc>
          <w:tcPr>
            <w:tcW w:w="1212" w:type="dxa"/>
            <w:noWrap/>
            <w:hideMark/>
          </w:tcPr>
          <w:p w14:paraId="743C07E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vulgaris</w:t>
            </w:r>
          </w:p>
        </w:tc>
        <w:tc>
          <w:tcPr>
            <w:tcW w:w="960" w:type="dxa"/>
            <w:noWrap/>
            <w:hideMark/>
          </w:tcPr>
          <w:p w14:paraId="3E08982A" w14:textId="068FB8D1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0.14</w:t>
            </w:r>
          </w:p>
        </w:tc>
      </w:tr>
      <w:tr w:rsidR="0013704C" w:rsidRPr="0013704C" w14:paraId="41CEF56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D5D9B0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Raphanus</w:t>
            </w:r>
          </w:p>
        </w:tc>
        <w:tc>
          <w:tcPr>
            <w:tcW w:w="1212" w:type="dxa"/>
            <w:noWrap/>
            <w:hideMark/>
          </w:tcPr>
          <w:p w14:paraId="4B11F79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sativus</w:t>
            </w:r>
          </w:p>
        </w:tc>
        <w:tc>
          <w:tcPr>
            <w:tcW w:w="960" w:type="dxa"/>
            <w:noWrap/>
            <w:hideMark/>
          </w:tcPr>
          <w:p w14:paraId="0B547310" w14:textId="0C463B01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0.06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13704C" w:rsidRPr="0013704C" w14:paraId="01E46F53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BA9E41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Raphanus</w:t>
            </w:r>
          </w:p>
        </w:tc>
        <w:tc>
          <w:tcPr>
            <w:tcW w:w="1212" w:type="dxa"/>
            <w:noWrap/>
            <w:hideMark/>
          </w:tcPr>
          <w:p w14:paraId="7F9FEE2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sativus</w:t>
            </w:r>
          </w:p>
        </w:tc>
        <w:tc>
          <w:tcPr>
            <w:tcW w:w="960" w:type="dxa"/>
            <w:noWrap/>
            <w:hideMark/>
          </w:tcPr>
          <w:p w14:paraId="357FC63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0.09</w:t>
            </w:r>
          </w:p>
        </w:tc>
      </w:tr>
      <w:tr w:rsidR="0013704C" w:rsidRPr="0013704C" w14:paraId="35278CF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38F64D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lastRenderedPageBreak/>
              <w:t>Rudbeckia</w:t>
            </w:r>
          </w:p>
        </w:tc>
        <w:tc>
          <w:tcPr>
            <w:tcW w:w="1212" w:type="dxa"/>
            <w:noWrap/>
            <w:hideMark/>
          </w:tcPr>
          <w:p w14:paraId="1F1D8ED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hirta</w:t>
            </w:r>
          </w:p>
        </w:tc>
        <w:tc>
          <w:tcPr>
            <w:tcW w:w="960" w:type="dxa"/>
            <w:noWrap/>
            <w:hideMark/>
          </w:tcPr>
          <w:p w14:paraId="4BFC9D33" w14:textId="2644DCC6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0.036</w:t>
            </w:r>
          </w:p>
        </w:tc>
      </w:tr>
      <w:tr w:rsidR="0013704C" w:rsidRPr="0013704C" w14:paraId="48EFBD1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958891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Rudbeckia</w:t>
            </w:r>
          </w:p>
        </w:tc>
        <w:tc>
          <w:tcPr>
            <w:tcW w:w="1212" w:type="dxa"/>
            <w:noWrap/>
            <w:hideMark/>
          </w:tcPr>
          <w:p w14:paraId="6491417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hirta</w:t>
            </w:r>
          </w:p>
        </w:tc>
        <w:tc>
          <w:tcPr>
            <w:tcW w:w="960" w:type="dxa"/>
            <w:noWrap/>
            <w:hideMark/>
          </w:tcPr>
          <w:p w14:paraId="3389CFA5" w14:textId="5BBE49CF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0.35</w:t>
            </w:r>
          </w:p>
        </w:tc>
      </w:tr>
      <w:tr w:rsidR="0013704C" w:rsidRPr="0013704C" w14:paraId="4B038961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3036E90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Rudbeckia</w:t>
            </w:r>
          </w:p>
        </w:tc>
        <w:tc>
          <w:tcPr>
            <w:tcW w:w="1212" w:type="dxa"/>
            <w:noWrap/>
            <w:hideMark/>
          </w:tcPr>
          <w:p w14:paraId="4595EC0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hirta</w:t>
            </w:r>
          </w:p>
        </w:tc>
        <w:tc>
          <w:tcPr>
            <w:tcW w:w="960" w:type="dxa"/>
            <w:noWrap/>
            <w:hideMark/>
          </w:tcPr>
          <w:p w14:paraId="238BF35A" w14:textId="351E046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0.8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13704C" w:rsidRPr="0013704C" w14:paraId="2947BC4A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1BA253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Rudbeckia</w:t>
            </w:r>
          </w:p>
        </w:tc>
        <w:tc>
          <w:tcPr>
            <w:tcW w:w="1212" w:type="dxa"/>
            <w:noWrap/>
            <w:hideMark/>
          </w:tcPr>
          <w:p w14:paraId="3D331DDA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hirta</w:t>
            </w:r>
          </w:p>
        </w:tc>
        <w:tc>
          <w:tcPr>
            <w:tcW w:w="960" w:type="dxa"/>
            <w:noWrap/>
            <w:hideMark/>
          </w:tcPr>
          <w:p w14:paraId="6D0D10BB" w14:textId="5C63A19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0.93</w:t>
            </w:r>
          </w:p>
        </w:tc>
      </w:tr>
      <w:tr w:rsidR="0013704C" w:rsidRPr="0013704C" w14:paraId="70D8985F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00F1B2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Rumex</w:t>
            </w:r>
          </w:p>
        </w:tc>
        <w:tc>
          <w:tcPr>
            <w:tcW w:w="1212" w:type="dxa"/>
            <w:noWrap/>
            <w:hideMark/>
          </w:tcPr>
          <w:p w14:paraId="1E9190D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crispus</w:t>
            </w:r>
          </w:p>
        </w:tc>
        <w:tc>
          <w:tcPr>
            <w:tcW w:w="960" w:type="dxa"/>
            <w:noWrap/>
            <w:hideMark/>
          </w:tcPr>
          <w:p w14:paraId="516D801C" w14:textId="15AABC4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0.24</w:t>
            </w:r>
          </w:p>
        </w:tc>
      </w:tr>
      <w:tr w:rsidR="0013704C" w:rsidRPr="0013704C" w14:paraId="5F450BEC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05A6B6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Rumex</w:t>
            </w:r>
          </w:p>
        </w:tc>
        <w:tc>
          <w:tcPr>
            <w:tcW w:w="1212" w:type="dxa"/>
            <w:noWrap/>
            <w:hideMark/>
          </w:tcPr>
          <w:p w14:paraId="67D7F24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crispus</w:t>
            </w:r>
          </w:p>
        </w:tc>
        <w:tc>
          <w:tcPr>
            <w:tcW w:w="960" w:type="dxa"/>
            <w:noWrap/>
            <w:hideMark/>
          </w:tcPr>
          <w:p w14:paraId="6275E0FC" w14:textId="05197FE9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13704C" w:rsidRPr="0013704C" w14:paraId="556016FA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6E7378B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Rumex</w:t>
            </w:r>
          </w:p>
        </w:tc>
        <w:tc>
          <w:tcPr>
            <w:tcW w:w="1212" w:type="dxa"/>
            <w:noWrap/>
            <w:hideMark/>
          </w:tcPr>
          <w:p w14:paraId="1F4AD56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crispus</w:t>
            </w:r>
          </w:p>
        </w:tc>
        <w:tc>
          <w:tcPr>
            <w:tcW w:w="960" w:type="dxa"/>
            <w:noWrap/>
            <w:hideMark/>
          </w:tcPr>
          <w:p w14:paraId="14E94DF3" w14:textId="2D88E88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0.4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3704C" w:rsidRPr="0013704C" w14:paraId="61710F5F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25E5B6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58E52514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69CC65FA" w14:textId="711004B6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0.0029</w:t>
            </w:r>
          </w:p>
        </w:tc>
      </w:tr>
      <w:tr w:rsidR="0013704C" w:rsidRPr="0013704C" w14:paraId="43DB9D32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9678A6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2435518F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2C86A102" w14:textId="2688EFB1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3704C" w:rsidRPr="0013704C" w14:paraId="04ACACB7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5B2A6E5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Solanum</w:t>
            </w:r>
          </w:p>
        </w:tc>
        <w:tc>
          <w:tcPr>
            <w:tcW w:w="1212" w:type="dxa"/>
            <w:noWrap/>
            <w:hideMark/>
          </w:tcPr>
          <w:p w14:paraId="05D7DE0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lycopersicum</w:t>
            </w:r>
          </w:p>
        </w:tc>
        <w:tc>
          <w:tcPr>
            <w:tcW w:w="960" w:type="dxa"/>
            <w:noWrap/>
            <w:hideMark/>
          </w:tcPr>
          <w:p w14:paraId="456D1432" w14:textId="076425DE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13704C" w:rsidRPr="0013704C" w14:paraId="42BFADC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6F6AA73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Solidago</w:t>
            </w:r>
          </w:p>
        </w:tc>
        <w:tc>
          <w:tcPr>
            <w:tcW w:w="1212" w:type="dxa"/>
            <w:noWrap/>
            <w:hideMark/>
          </w:tcPr>
          <w:p w14:paraId="699D044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canadensis</w:t>
            </w:r>
          </w:p>
        </w:tc>
        <w:tc>
          <w:tcPr>
            <w:tcW w:w="960" w:type="dxa"/>
            <w:noWrap/>
            <w:hideMark/>
          </w:tcPr>
          <w:p w14:paraId="47B9ECD6" w14:textId="3B19F844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0.16</w:t>
            </w:r>
          </w:p>
        </w:tc>
      </w:tr>
      <w:tr w:rsidR="0013704C" w:rsidRPr="0013704C" w14:paraId="167EE60C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E7B6611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Sorghum</w:t>
            </w:r>
          </w:p>
        </w:tc>
        <w:tc>
          <w:tcPr>
            <w:tcW w:w="1212" w:type="dxa"/>
            <w:noWrap/>
            <w:hideMark/>
          </w:tcPr>
          <w:p w14:paraId="6F0776C9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bicolor</w:t>
            </w:r>
          </w:p>
        </w:tc>
        <w:tc>
          <w:tcPr>
            <w:tcW w:w="960" w:type="dxa"/>
            <w:noWrap/>
            <w:hideMark/>
          </w:tcPr>
          <w:p w14:paraId="0C64EA5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0.16</w:t>
            </w:r>
          </w:p>
        </w:tc>
      </w:tr>
      <w:tr w:rsidR="0013704C" w:rsidRPr="0013704C" w14:paraId="588539B8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D4C170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Triticum</w:t>
            </w:r>
          </w:p>
        </w:tc>
        <w:tc>
          <w:tcPr>
            <w:tcW w:w="1212" w:type="dxa"/>
            <w:noWrap/>
            <w:hideMark/>
          </w:tcPr>
          <w:p w14:paraId="0B1D2C8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aestivum</w:t>
            </w:r>
          </w:p>
        </w:tc>
        <w:tc>
          <w:tcPr>
            <w:tcW w:w="960" w:type="dxa"/>
            <w:noWrap/>
            <w:hideMark/>
          </w:tcPr>
          <w:p w14:paraId="79414872" w14:textId="22FA705B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0.013</w:t>
            </w:r>
          </w:p>
        </w:tc>
      </w:tr>
      <w:tr w:rsidR="0013704C" w:rsidRPr="0013704C" w14:paraId="7E46BFB4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0A042EE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Triticum</w:t>
            </w:r>
          </w:p>
        </w:tc>
        <w:tc>
          <w:tcPr>
            <w:tcW w:w="1212" w:type="dxa"/>
            <w:noWrap/>
            <w:hideMark/>
          </w:tcPr>
          <w:p w14:paraId="5D86F17C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aestivum</w:t>
            </w:r>
          </w:p>
        </w:tc>
        <w:tc>
          <w:tcPr>
            <w:tcW w:w="960" w:type="dxa"/>
            <w:noWrap/>
            <w:hideMark/>
          </w:tcPr>
          <w:p w14:paraId="1CEAFF09" w14:textId="2386020B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0.1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3704C" w:rsidRPr="0013704C" w14:paraId="5A3C1DFD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7B354882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Triticum</w:t>
            </w:r>
          </w:p>
        </w:tc>
        <w:tc>
          <w:tcPr>
            <w:tcW w:w="1212" w:type="dxa"/>
            <w:noWrap/>
            <w:hideMark/>
          </w:tcPr>
          <w:p w14:paraId="462BA7A0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aestivum</w:t>
            </w:r>
          </w:p>
        </w:tc>
        <w:tc>
          <w:tcPr>
            <w:tcW w:w="960" w:type="dxa"/>
            <w:noWrap/>
            <w:hideMark/>
          </w:tcPr>
          <w:p w14:paraId="13CA7D7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0.22</w:t>
            </w:r>
          </w:p>
        </w:tc>
      </w:tr>
      <w:tr w:rsidR="0013704C" w:rsidRPr="0013704C" w14:paraId="3FF5A98B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F5751F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Vicia</w:t>
            </w:r>
          </w:p>
        </w:tc>
        <w:tc>
          <w:tcPr>
            <w:tcW w:w="1212" w:type="dxa"/>
            <w:noWrap/>
            <w:hideMark/>
          </w:tcPr>
          <w:p w14:paraId="63F16A5E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americana</w:t>
            </w:r>
          </w:p>
        </w:tc>
        <w:tc>
          <w:tcPr>
            <w:tcW w:w="960" w:type="dxa"/>
            <w:noWrap/>
            <w:hideMark/>
          </w:tcPr>
          <w:p w14:paraId="3F8A83F8" w14:textId="7A418EB0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0.093</w:t>
            </w:r>
          </w:p>
        </w:tc>
      </w:tr>
      <w:tr w:rsidR="0013704C" w:rsidRPr="0013704C" w14:paraId="731201C5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4E761B47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Zea</w:t>
            </w:r>
          </w:p>
        </w:tc>
        <w:tc>
          <w:tcPr>
            <w:tcW w:w="1212" w:type="dxa"/>
            <w:noWrap/>
            <w:hideMark/>
          </w:tcPr>
          <w:p w14:paraId="24014E35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960" w:type="dxa"/>
            <w:noWrap/>
            <w:hideMark/>
          </w:tcPr>
          <w:p w14:paraId="612211CE" w14:textId="0CAD3E2A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0.07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3704C" w:rsidRPr="0013704C" w14:paraId="2D5B5134" w14:textId="77777777" w:rsidTr="0013704C">
        <w:trPr>
          <w:trHeight w:val="300"/>
        </w:trPr>
        <w:tc>
          <w:tcPr>
            <w:tcW w:w="1428" w:type="dxa"/>
            <w:noWrap/>
            <w:hideMark/>
          </w:tcPr>
          <w:p w14:paraId="14DADF06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Zea</w:t>
            </w:r>
          </w:p>
        </w:tc>
        <w:tc>
          <w:tcPr>
            <w:tcW w:w="1212" w:type="dxa"/>
            <w:noWrap/>
            <w:hideMark/>
          </w:tcPr>
          <w:p w14:paraId="2BAAB7C8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mays</w:t>
            </w:r>
          </w:p>
        </w:tc>
        <w:tc>
          <w:tcPr>
            <w:tcW w:w="960" w:type="dxa"/>
            <w:noWrap/>
            <w:hideMark/>
          </w:tcPr>
          <w:p w14:paraId="4F593BE3" w14:textId="77777777" w:rsidR="0013704C" w:rsidRPr="0013704C" w:rsidRDefault="0013704C" w:rsidP="0013704C">
            <w:pPr>
              <w:spacing w:line="276" w:lineRule="auto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13704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0.35</w:t>
            </w:r>
          </w:p>
        </w:tc>
      </w:tr>
    </w:tbl>
    <w:p w14:paraId="1EC6E765" w14:textId="77777777" w:rsidR="009B7083" w:rsidRPr="008B3BE4" w:rsidRDefault="009B7083" w:rsidP="00E9011F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sectPr w:rsidR="009B7083" w:rsidRPr="008B3BE4" w:rsidSect="00935673">
      <w:footerReference w:type="default" r:id="rId14"/>
      <w:pgSz w:w="12240" w:h="15840"/>
      <w:pgMar w:top="1440" w:right="1440" w:bottom="144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2AD6F" w14:textId="77777777" w:rsidR="004C0BD6" w:rsidRDefault="004C0BD6">
      <w:pPr>
        <w:spacing w:after="0" w:line="240" w:lineRule="auto"/>
      </w:pPr>
      <w:r>
        <w:separator/>
      </w:r>
    </w:p>
  </w:endnote>
  <w:endnote w:type="continuationSeparator" w:id="0">
    <w:p w14:paraId="2C189DA8" w14:textId="77777777" w:rsidR="004C0BD6" w:rsidRDefault="004C0BD6">
      <w:pPr>
        <w:spacing w:after="0" w:line="240" w:lineRule="auto"/>
      </w:pPr>
      <w:r>
        <w:continuationSeparator/>
      </w:r>
    </w:p>
  </w:endnote>
  <w:endnote w:type="continuationNotice" w:id="1">
    <w:p w14:paraId="783805AE" w14:textId="77777777" w:rsidR="004C0BD6" w:rsidRDefault="004C0B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2076310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DD3202" w14:textId="15DC421D" w:rsidR="004C0BD6" w:rsidRPr="00560516" w:rsidRDefault="004C0BD6">
        <w:pPr>
          <w:pStyle w:val="Footer"/>
          <w:jc w:val="center"/>
          <w:rPr>
            <w:rFonts w:asciiTheme="minorHAnsi" w:hAnsiTheme="minorHAnsi" w:cstheme="minorHAnsi"/>
          </w:rPr>
        </w:pPr>
        <w:r w:rsidRPr="00560516">
          <w:rPr>
            <w:rFonts w:asciiTheme="minorHAnsi" w:hAnsiTheme="minorHAnsi" w:cstheme="minorHAnsi"/>
          </w:rPr>
          <w:fldChar w:fldCharType="begin"/>
        </w:r>
        <w:r w:rsidRPr="00560516">
          <w:rPr>
            <w:rFonts w:asciiTheme="minorHAnsi" w:hAnsiTheme="minorHAnsi" w:cstheme="minorHAnsi"/>
          </w:rPr>
          <w:instrText xml:space="preserve"> PAGE   \* MERGEFORMAT </w:instrText>
        </w:r>
        <w:r w:rsidRPr="00560516">
          <w:rPr>
            <w:rFonts w:asciiTheme="minorHAnsi" w:hAnsiTheme="minorHAnsi" w:cstheme="minorHAnsi"/>
          </w:rPr>
          <w:fldChar w:fldCharType="separate"/>
        </w:r>
        <w:r w:rsidRPr="00560516">
          <w:rPr>
            <w:rFonts w:asciiTheme="minorHAnsi" w:hAnsiTheme="minorHAnsi" w:cstheme="minorHAnsi"/>
            <w:noProof/>
          </w:rPr>
          <w:t>2</w:t>
        </w:r>
        <w:r w:rsidRPr="00560516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407AE6F" w14:textId="77777777" w:rsidR="004C0BD6" w:rsidRDefault="004C0BD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70923" w14:textId="77777777" w:rsidR="004C0BD6" w:rsidRDefault="004C0BD6">
      <w:pPr>
        <w:spacing w:after="0" w:line="240" w:lineRule="auto"/>
      </w:pPr>
      <w:r>
        <w:separator/>
      </w:r>
    </w:p>
  </w:footnote>
  <w:footnote w:type="continuationSeparator" w:id="0">
    <w:p w14:paraId="456380B9" w14:textId="77777777" w:rsidR="004C0BD6" w:rsidRDefault="004C0BD6">
      <w:pPr>
        <w:spacing w:after="0" w:line="240" w:lineRule="auto"/>
      </w:pPr>
      <w:r>
        <w:continuationSeparator/>
      </w:r>
    </w:p>
  </w:footnote>
  <w:footnote w:type="continuationNotice" w:id="1">
    <w:p w14:paraId="0476F3CA" w14:textId="77777777" w:rsidR="004C0BD6" w:rsidRDefault="004C0BD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76"/>
    <w:multiLevelType w:val="hybridMultilevel"/>
    <w:tmpl w:val="ED4ADB56"/>
    <w:lvl w:ilvl="0" w:tplc="A13E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623"/>
    <w:multiLevelType w:val="hybridMultilevel"/>
    <w:tmpl w:val="3404D7E6"/>
    <w:lvl w:ilvl="0" w:tplc="1DC8F0BA">
      <w:start w:val="1"/>
      <w:numFmt w:val="decimal"/>
      <w:pStyle w:val="BEhead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6A3yNTzlfawYVugQ94FbLvvw9+CrIIejd9gqhKisCSNb8yZB1VVTFzeiIEp8bRQU+PHt0Kyg4ftFNT++ixzE9A==" w:salt="SMxt4+tHbuImHtgMSecW4w==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83"/>
    <w:rsid w:val="0000136D"/>
    <w:rsid w:val="000062ED"/>
    <w:rsid w:val="00012554"/>
    <w:rsid w:val="000348FD"/>
    <w:rsid w:val="00040649"/>
    <w:rsid w:val="0005013C"/>
    <w:rsid w:val="00057448"/>
    <w:rsid w:val="0006023E"/>
    <w:rsid w:val="000707BA"/>
    <w:rsid w:val="00080AEE"/>
    <w:rsid w:val="000922F9"/>
    <w:rsid w:val="000926C2"/>
    <w:rsid w:val="00093079"/>
    <w:rsid w:val="000A5372"/>
    <w:rsid w:val="000D72FF"/>
    <w:rsid w:val="001005F1"/>
    <w:rsid w:val="00113628"/>
    <w:rsid w:val="00114566"/>
    <w:rsid w:val="00120C48"/>
    <w:rsid w:val="0013704C"/>
    <w:rsid w:val="001433EF"/>
    <w:rsid w:val="001512E3"/>
    <w:rsid w:val="001636BE"/>
    <w:rsid w:val="001674C8"/>
    <w:rsid w:val="00170250"/>
    <w:rsid w:val="00191681"/>
    <w:rsid w:val="0019511A"/>
    <w:rsid w:val="001B716C"/>
    <w:rsid w:val="001D19A4"/>
    <w:rsid w:val="001F6B60"/>
    <w:rsid w:val="0020048B"/>
    <w:rsid w:val="00200583"/>
    <w:rsid w:val="00206126"/>
    <w:rsid w:val="00232B53"/>
    <w:rsid w:val="00234626"/>
    <w:rsid w:val="00235D8B"/>
    <w:rsid w:val="00240BFE"/>
    <w:rsid w:val="00242CBF"/>
    <w:rsid w:val="00270340"/>
    <w:rsid w:val="00276A3A"/>
    <w:rsid w:val="00277450"/>
    <w:rsid w:val="002843D9"/>
    <w:rsid w:val="00284C92"/>
    <w:rsid w:val="002A423F"/>
    <w:rsid w:val="002B0AE9"/>
    <w:rsid w:val="002B34D2"/>
    <w:rsid w:val="002B410C"/>
    <w:rsid w:val="002B74E1"/>
    <w:rsid w:val="002C0D81"/>
    <w:rsid w:val="002C2D60"/>
    <w:rsid w:val="002C6FE2"/>
    <w:rsid w:val="002E5002"/>
    <w:rsid w:val="002E6B8F"/>
    <w:rsid w:val="002F3824"/>
    <w:rsid w:val="00305E08"/>
    <w:rsid w:val="00306357"/>
    <w:rsid w:val="003153E7"/>
    <w:rsid w:val="00321F58"/>
    <w:rsid w:val="00326FC5"/>
    <w:rsid w:val="0035319A"/>
    <w:rsid w:val="0037340D"/>
    <w:rsid w:val="003A0194"/>
    <w:rsid w:val="003A246D"/>
    <w:rsid w:val="003A30ED"/>
    <w:rsid w:val="003A6951"/>
    <w:rsid w:val="003B0597"/>
    <w:rsid w:val="003B27D7"/>
    <w:rsid w:val="003B3F6F"/>
    <w:rsid w:val="003D3400"/>
    <w:rsid w:val="003D4F1A"/>
    <w:rsid w:val="003F1517"/>
    <w:rsid w:val="003F406D"/>
    <w:rsid w:val="003F59B3"/>
    <w:rsid w:val="003F73BB"/>
    <w:rsid w:val="00401B9C"/>
    <w:rsid w:val="00401C2B"/>
    <w:rsid w:val="00401EA5"/>
    <w:rsid w:val="0040261D"/>
    <w:rsid w:val="0041190D"/>
    <w:rsid w:val="004158DE"/>
    <w:rsid w:val="00416CEE"/>
    <w:rsid w:val="00422ECD"/>
    <w:rsid w:val="00436996"/>
    <w:rsid w:val="00437145"/>
    <w:rsid w:val="0044036E"/>
    <w:rsid w:val="00442C85"/>
    <w:rsid w:val="00442DFD"/>
    <w:rsid w:val="004441AD"/>
    <w:rsid w:val="0044529D"/>
    <w:rsid w:val="0046684B"/>
    <w:rsid w:val="004A155A"/>
    <w:rsid w:val="004A3169"/>
    <w:rsid w:val="004C0BD6"/>
    <w:rsid w:val="004C7CD3"/>
    <w:rsid w:val="004D0032"/>
    <w:rsid w:val="004E2F44"/>
    <w:rsid w:val="00506062"/>
    <w:rsid w:val="00527AC6"/>
    <w:rsid w:val="00527CD8"/>
    <w:rsid w:val="00532193"/>
    <w:rsid w:val="00533AE5"/>
    <w:rsid w:val="00540E26"/>
    <w:rsid w:val="00541C4D"/>
    <w:rsid w:val="005450EF"/>
    <w:rsid w:val="005469ED"/>
    <w:rsid w:val="00560516"/>
    <w:rsid w:val="005612AB"/>
    <w:rsid w:val="00563C4C"/>
    <w:rsid w:val="00571180"/>
    <w:rsid w:val="00580208"/>
    <w:rsid w:val="00582D80"/>
    <w:rsid w:val="0059197D"/>
    <w:rsid w:val="005C30FD"/>
    <w:rsid w:val="005D5F19"/>
    <w:rsid w:val="005D6E9C"/>
    <w:rsid w:val="005E50E1"/>
    <w:rsid w:val="005F1319"/>
    <w:rsid w:val="005F5EA5"/>
    <w:rsid w:val="00606D91"/>
    <w:rsid w:val="00610613"/>
    <w:rsid w:val="00614430"/>
    <w:rsid w:val="006371C7"/>
    <w:rsid w:val="00650AA3"/>
    <w:rsid w:val="00654062"/>
    <w:rsid w:val="00655D70"/>
    <w:rsid w:val="00671AC6"/>
    <w:rsid w:val="0067331B"/>
    <w:rsid w:val="0068136B"/>
    <w:rsid w:val="00685C9B"/>
    <w:rsid w:val="00687135"/>
    <w:rsid w:val="00696A87"/>
    <w:rsid w:val="00696EFC"/>
    <w:rsid w:val="006D5342"/>
    <w:rsid w:val="006F1437"/>
    <w:rsid w:val="0070168F"/>
    <w:rsid w:val="0071324C"/>
    <w:rsid w:val="0072040A"/>
    <w:rsid w:val="007232C0"/>
    <w:rsid w:val="00735BDA"/>
    <w:rsid w:val="00742483"/>
    <w:rsid w:val="007445F4"/>
    <w:rsid w:val="00765F5C"/>
    <w:rsid w:val="007716B4"/>
    <w:rsid w:val="007859E3"/>
    <w:rsid w:val="0079561D"/>
    <w:rsid w:val="007B662E"/>
    <w:rsid w:val="007B664D"/>
    <w:rsid w:val="007B71DC"/>
    <w:rsid w:val="007C11E6"/>
    <w:rsid w:val="007F54A9"/>
    <w:rsid w:val="00800A46"/>
    <w:rsid w:val="00806516"/>
    <w:rsid w:val="00806617"/>
    <w:rsid w:val="00807D73"/>
    <w:rsid w:val="0083085F"/>
    <w:rsid w:val="00833FE1"/>
    <w:rsid w:val="00845E70"/>
    <w:rsid w:val="00873A91"/>
    <w:rsid w:val="008B3BE4"/>
    <w:rsid w:val="008E466D"/>
    <w:rsid w:val="008F48EC"/>
    <w:rsid w:val="009017F3"/>
    <w:rsid w:val="009027C2"/>
    <w:rsid w:val="009054B8"/>
    <w:rsid w:val="00911EB6"/>
    <w:rsid w:val="0091631F"/>
    <w:rsid w:val="00917B7A"/>
    <w:rsid w:val="00924182"/>
    <w:rsid w:val="00927881"/>
    <w:rsid w:val="00935673"/>
    <w:rsid w:val="00935AFD"/>
    <w:rsid w:val="0093602D"/>
    <w:rsid w:val="0095030B"/>
    <w:rsid w:val="00960051"/>
    <w:rsid w:val="00961888"/>
    <w:rsid w:val="0096622E"/>
    <w:rsid w:val="00967901"/>
    <w:rsid w:val="00974B2B"/>
    <w:rsid w:val="009A3D49"/>
    <w:rsid w:val="009B7083"/>
    <w:rsid w:val="009C1E91"/>
    <w:rsid w:val="009C45AE"/>
    <w:rsid w:val="009D13AD"/>
    <w:rsid w:val="009E0783"/>
    <w:rsid w:val="009F172E"/>
    <w:rsid w:val="009F4714"/>
    <w:rsid w:val="009F6409"/>
    <w:rsid w:val="00A1373E"/>
    <w:rsid w:val="00A166E4"/>
    <w:rsid w:val="00A22D06"/>
    <w:rsid w:val="00A26571"/>
    <w:rsid w:val="00A4166F"/>
    <w:rsid w:val="00A423AD"/>
    <w:rsid w:val="00A617F6"/>
    <w:rsid w:val="00A72B60"/>
    <w:rsid w:val="00AA33E4"/>
    <w:rsid w:val="00AB2AB3"/>
    <w:rsid w:val="00AB3DC6"/>
    <w:rsid w:val="00AB5756"/>
    <w:rsid w:val="00AB6172"/>
    <w:rsid w:val="00AD1A07"/>
    <w:rsid w:val="00AE4B90"/>
    <w:rsid w:val="00AF37FA"/>
    <w:rsid w:val="00AF40E3"/>
    <w:rsid w:val="00B123DD"/>
    <w:rsid w:val="00B27313"/>
    <w:rsid w:val="00B36D53"/>
    <w:rsid w:val="00B407BE"/>
    <w:rsid w:val="00B42B68"/>
    <w:rsid w:val="00B60EFF"/>
    <w:rsid w:val="00B62778"/>
    <w:rsid w:val="00B65888"/>
    <w:rsid w:val="00B75AF2"/>
    <w:rsid w:val="00B802DE"/>
    <w:rsid w:val="00BA021C"/>
    <w:rsid w:val="00BA148F"/>
    <w:rsid w:val="00BA1FF3"/>
    <w:rsid w:val="00BB44D0"/>
    <w:rsid w:val="00BC3A61"/>
    <w:rsid w:val="00BD04B3"/>
    <w:rsid w:val="00BD2065"/>
    <w:rsid w:val="00BD20A9"/>
    <w:rsid w:val="00C01D33"/>
    <w:rsid w:val="00C209DB"/>
    <w:rsid w:val="00C215B9"/>
    <w:rsid w:val="00C417A2"/>
    <w:rsid w:val="00C71181"/>
    <w:rsid w:val="00C86534"/>
    <w:rsid w:val="00C930C8"/>
    <w:rsid w:val="00CA009A"/>
    <w:rsid w:val="00CB283E"/>
    <w:rsid w:val="00CC07D2"/>
    <w:rsid w:val="00CC3A89"/>
    <w:rsid w:val="00CC42C9"/>
    <w:rsid w:val="00CD4D87"/>
    <w:rsid w:val="00CD6B0E"/>
    <w:rsid w:val="00CE30BB"/>
    <w:rsid w:val="00CE4DD3"/>
    <w:rsid w:val="00CF2225"/>
    <w:rsid w:val="00D030C1"/>
    <w:rsid w:val="00D159C8"/>
    <w:rsid w:val="00D21742"/>
    <w:rsid w:val="00D23B18"/>
    <w:rsid w:val="00D25148"/>
    <w:rsid w:val="00D42B10"/>
    <w:rsid w:val="00D47BF8"/>
    <w:rsid w:val="00D52807"/>
    <w:rsid w:val="00D747F1"/>
    <w:rsid w:val="00D75782"/>
    <w:rsid w:val="00D833AC"/>
    <w:rsid w:val="00D9696D"/>
    <w:rsid w:val="00DA3905"/>
    <w:rsid w:val="00DA4B84"/>
    <w:rsid w:val="00DC0511"/>
    <w:rsid w:val="00DF41D3"/>
    <w:rsid w:val="00DF55F6"/>
    <w:rsid w:val="00E055A0"/>
    <w:rsid w:val="00E10718"/>
    <w:rsid w:val="00E10C04"/>
    <w:rsid w:val="00E40E11"/>
    <w:rsid w:val="00E55332"/>
    <w:rsid w:val="00E611C6"/>
    <w:rsid w:val="00E6478E"/>
    <w:rsid w:val="00E66D89"/>
    <w:rsid w:val="00E6781C"/>
    <w:rsid w:val="00E73144"/>
    <w:rsid w:val="00E75D22"/>
    <w:rsid w:val="00E9011F"/>
    <w:rsid w:val="00EA5C78"/>
    <w:rsid w:val="00EB0D01"/>
    <w:rsid w:val="00EB7275"/>
    <w:rsid w:val="00ED0E82"/>
    <w:rsid w:val="00ED3CDE"/>
    <w:rsid w:val="00EE1F6B"/>
    <w:rsid w:val="00EE6717"/>
    <w:rsid w:val="00EF0252"/>
    <w:rsid w:val="00EF0DC7"/>
    <w:rsid w:val="00EF56BD"/>
    <w:rsid w:val="00EF6587"/>
    <w:rsid w:val="00F0283C"/>
    <w:rsid w:val="00F04F8E"/>
    <w:rsid w:val="00F068CB"/>
    <w:rsid w:val="00F13293"/>
    <w:rsid w:val="00F16C06"/>
    <w:rsid w:val="00F24F1D"/>
    <w:rsid w:val="00F41934"/>
    <w:rsid w:val="00F438D5"/>
    <w:rsid w:val="00F54816"/>
    <w:rsid w:val="00F5765F"/>
    <w:rsid w:val="00F746E0"/>
    <w:rsid w:val="00F85CB2"/>
    <w:rsid w:val="00F94DA9"/>
    <w:rsid w:val="00F962B2"/>
    <w:rsid w:val="00FA0105"/>
    <w:rsid w:val="00FA0D56"/>
    <w:rsid w:val="00FA0EC8"/>
    <w:rsid w:val="00FB2E85"/>
    <w:rsid w:val="00FC1E0A"/>
    <w:rsid w:val="00FE0C29"/>
    <w:rsid w:val="00FE3785"/>
    <w:rsid w:val="00FE541B"/>
    <w:rsid w:val="00FE6D82"/>
    <w:rsid w:val="07F232AC"/>
    <w:rsid w:val="691F9B07"/>
    <w:rsid w:val="7543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EB8F"/>
  <w15:docId w15:val="{D77604EE-4B06-4FC1-9C0C-6A86B7E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F2"/>
  </w:style>
  <w:style w:type="paragraph" w:styleId="Heading1">
    <w:name w:val="heading 1"/>
    <w:basedOn w:val="Normal"/>
    <w:next w:val="Normal"/>
    <w:link w:val="Heading1Char"/>
    <w:rsid w:val="009B7083"/>
    <w:pPr>
      <w:keepNext/>
      <w:keepLines/>
      <w:spacing w:before="480" w:after="120" w:line="276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B7083"/>
    <w:pPr>
      <w:keepNext/>
      <w:keepLines/>
      <w:spacing w:before="360" w:after="80" w:line="276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B7083"/>
    <w:pPr>
      <w:keepNext/>
      <w:keepLines/>
      <w:spacing w:before="280" w:after="80" w:line="276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B7083"/>
    <w:pPr>
      <w:keepNext/>
      <w:keepLines/>
      <w:spacing w:before="240" w:after="40" w:line="276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B7083"/>
    <w:pPr>
      <w:keepNext/>
      <w:keepLines/>
      <w:spacing w:before="220" w:after="40" w:line="276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9B7083"/>
    <w:pPr>
      <w:keepNext/>
      <w:keepLines/>
      <w:spacing w:before="200" w:after="40" w:line="276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083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B7083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708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708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083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9B708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B7083"/>
  </w:style>
  <w:style w:type="paragraph" w:styleId="Title">
    <w:name w:val="Title"/>
    <w:basedOn w:val="Normal"/>
    <w:next w:val="Normal"/>
    <w:link w:val="TitleChar"/>
    <w:rsid w:val="009B7083"/>
    <w:pPr>
      <w:keepNext/>
      <w:keepLines/>
      <w:spacing w:before="480" w:after="120" w:line="276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B7083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9B7083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B7083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0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83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3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70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header">
    <w:name w:val="BE_header"/>
    <w:basedOn w:val="Normal"/>
    <w:link w:val="BEheaderChar"/>
    <w:qFormat/>
    <w:rsid w:val="00E9011F"/>
    <w:pPr>
      <w:numPr>
        <w:numId w:val="3"/>
      </w:numPr>
      <w:spacing w:after="0" w:line="276" w:lineRule="auto"/>
    </w:pPr>
    <w:rPr>
      <w:rFonts w:ascii="Calibri" w:eastAsia="Times New Roman" w:hAnsi="Calibri" w:cs="Times New Roman"/>
      <w:color w:val="2F5496" w:themeColor="accent5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5AE"/>
    <w:pPr>
      <w:ind w:left="720"/>
      <w:contextualSpacing/>
    </w:pPr>
  </w:style>
  <w:style w:type="character" w:customStyle="1" w:styleId="BEheaderChar">
    <w:name w:val="BE_header Char"/>
    <w:basedOn w:val="DefaultParagraphFont"/>
    <w:link w:val="BEheader"/>
    <w:rsid w:val="00E9011F"/>
    <w:rPr>
      <w:rFonts w:ascii="Calibri" w:eastAsia="Times New Roman" w:hAnsi="Calibri" w:cs="Times New Roman"/>
      <w:color w:val="2F5496" w:themeColor="accent5" w:themeShade="B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C0BD6"/>
    <w:pPr>
      <w:spacing w:after="0" w:line="240" w:lineRule="auto"/>
    </w:pPr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2018-03-15T19:13:04+00:00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>Garber, Kristina</DisplayName>
        <AccountId>815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8028-DBA5-495D-866D-E36F59F5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B60D1-FD99-4590-A0D2-EE630592A2B4}">
  <ds:schemaRefs>
    <ds:schemaRef ds:uri="http://schemas.microsoft.com/office/2006/documentManagement/types"/>
    <ds:schemaRef ds:uri="http://schemas.microsoft.com/office/infopath/2007/PartnerControls"/>
    <ds:schemaRef ds:uri="1b69afd8-9bdb-481b-b26a-06cbd17fa30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5d1ca4e-0a3f-4119-b619-e20b93ebd1aa"/>
    <ds:schemaRef ds:uri="http://purl.org/dc/terms/"/>
    <ds:schemaRef ds:uri="http://schemas.microsoft.com/sharepoint/v3/fields"/>
    <ds:schemaRef ds:uri="http://schemas.microsoft.com/sharepoint.v3"/>
    <ds:schemaRef ds:uri="4ffa91fb-a0ff-4ac5-b2db-65c790d184a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69AB5F0-774A-48F6-BB74-D76017412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5d1ca4e-0a3f-4119-b619-e20b93ebd1aa"/>
    <ds:schemaRef ds:uri="1b69afd8-9bdb-481b-b26a-06cbd17fa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08F295-CE3D-43DE-9F44-3A29A00FA2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E1A7EB6-19A4-44BD-8B2B-EB4ED54E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1185</Words>
  <Characters>6761</Characters>
  <Application>Microsoft Office Word</Application>
  <DocSecurity>8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Elizabeth</dc:creator>
  <cp:lastModifiedBy>Louie-Juzwiak, Rosanna</cp:lastModifiedBy>
  <cp:revision>4</cp:revision>
  <dcterms:created xsi:type="dcterms:W3CDTF">2020-11-19T02:15:00Z</dcterms:created>
  <dcterms:modified xsi:type="dcterms:W3CDTF">2020-11-19T11:03:00Z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