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7839" w14:textId="5F179F6B" w:rsidR="006A290E" w:rsidRPr="003A7C99" w:rsidRDefault="006A290E" w:rsidP="006A290E">
      <w:pPr>
        <w:rPr>
          <w:b/>
          <w:bCs/>
          <w:color w:val="5B9BD5"/>
          <w:sz w:val="32"/>
          <w:szCs w:val="32"/>
        </w:rPr>
      </w:pPr>
      <w:bookmarkStart w:id="0" w:name="_Toc31193294"/>
      <w:bookmarkStart w:id="1" w:name="_Toc31193349"/>
      <w:bookmarkStart w:id="2" w:name="_Toc31220268"/>
      <w:bookmarkEnd w:id="0"/>
      <w:bookmarkEnd w:id="1"/>
      <w:r w:rsidRPr="003A7C99">
        <w:rPr>
          <w:b/>
          <w:bCs/>
          <w:color w:val="5B9BD5"/>
          <w:sz w:val="32"/>
          <w:szCs w:val="32"/>
        </w:rPr>
        <w:t xml:space="preserve">Chapter 1 – </w:t>
      </w:r>
      <w:bookmarkStart w:id="3" w:name="_Hlk57091016"/>
      <w:r w:rsidR="007007D8" w:rsidRPr="003A7C99">
        <w:rPr>
          <w:b/>
          <w:bCs/>
          <w:color w:val="5B9BD5"/>
          <w:sz w:val="32"/>
          <w:szCs w:val="32"/>
        </w:rPr>
        <w:t>Thiamethoxam</w:t>
      </w:r>
      <w:r w:rsidRPr="003A7C99">
        <w:rPr>
          <w:b/>
          <w:bCs/>
          <w:color w:val="5B9BD5"/>
          <w:sz w:val="32"/>
          <w:szCs w:val="32"/>
        </w:rPr>
        <w:t xml:space="preserve"> Problem Formulation</w:t>
      </w:r>
      <w:bookmarkEnd w:id="3"/>
    </w:p>
    <w:sdt>
      <w:sdtPr>
        <w:id w:val="-138042689"/>
        <w:docPartObj>
          <w:docPartGallery w:val="Table of Contents"/>
          <w:docPartUnique/>
        </w:docPartObj>
      </w:sdtPr>
      <w:sdtEndPr>
        <w:rPr>
          <w:b/>
          <w:bCs/>
          <w:noProof/>
        </w:rPr>
      </w:sdtEndPr>
      <w:sdtContent>
        <w:p w14:paraId="43B2CA7E" w14:textId="77777777" w:rsidR="006A290E" w:rsidRPr="00440864" w:rsidRDefault="006A290E" w:rsidP="006A290E">
          <w:pPr>
            <w:rPr>
              <w:color w:val="2E74B5" w:themeColor="accent5" w:themeShade="BF"/>
              <w:sz w:val="32"/>
              <w:szCs w:val="32"/>
            </w:rPr>
          </w:pPr>
          <w:r w:rsidRPr="00440864">
            <w:rPr>
              <w:color w:val="2E74B5" w:themeColor="accent5" w:themeShade="BF"/>
              <w:sz w:val="32"/>
              <w:szCs w:val="32"/>
            </w:rPr>
            <w:t>Contents</w:t>
          </w:r>
        </w:p>
        <w:p w14:paraId="1207DD55" w14:textId="581EDC8F" w:rsidR="00251FB5" w:rsidRDefault="006A290E">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80121006" w:history="1">
            <w:r w:rsidR="00251FB5" w:rsidRPr="008F2303">
              <w:rPr>
                <w:rStyle w:val="Hyperlink"/>
                <w:noProof/>
              </w:rPr>
              <w:t>1</w:t>
            </w:r>
            <w:r w:rsidR="00251FB5">
              <w:rPr>
                <w:rFonts w:asciiTheme="minorHAnsi" w:eastAsiaTheme="minorEastAsia" w:hAnsiTheme="minorHAnsi" w:cstheme="minorBidi"/>
                <w:noProof/>
                <w:color w:val="auto"/>
              </w:rPr>
              <w:tab/>
            </w:r>
            <w:r w:rsidR="00251FB5" w:rsidRPr="008F2303">
              <w:rPr>
                <w:rStyle w:val="Hyperlink"/>
                <w:noProof/>
              </w:rPr>
              <w:t>Introduction</w:t>
            </w:r>
            <w:r w:rsidR="00251FB5">
              <w:rPr>
                <w:noProof/>
                <w:webHidden/>
              </w:rPr>
              <w:tab/>
            </w:r>
            <w:r w:rsidR="00251FB5">
              <w:rPr>
                <w:noProof/>
                <w:webHidden/>
              </w:rPr>
              <w:fldChar w:fldCharType="begin"/>
            </w:r>
            <w:r w:rsidR="00251FB5">
              <w:rPr>
                <w:noProof/>
                <w:webHidden/>
              </w:rPr>
              <w:instrText xml:space="preserve"> PAGEREF _Toc80121006 \h </w:instrText>
            </w:r>
            <w:r w:rsidR="00251FB5">
              <w:rPr>
                <w:noProof/>
                <w:webHidden/>
              </w:rPr>
            </w:r>
            <w:r w:rsidR="00251FB5">
              <w:rPr>
                <w:noProof/>
                <w:webHidden/>
              </w:rPr>
              <w:fldChar w:fldCharType="separate"/>
            </w:r>
            <w:r w:rsidR="00251FB5">
              <w:rPr>
                <w:noProof/>
                <w:webHidden/>
              </w:rPr>
              <w:t>1</w:t>
            </w:r>
            <w:r w:rsidR="00251FB5">
              <w:rPr>
                <w:noProof/>
                <w:webHidden/>
              </w:rPr>
              <w:fldChar w:fldCharType="end"/>
            </w:r>
          </w:hyperlink>
        </w:p>
        <w:p w14:paraId="52C2D3E1" w14:textId="468AA445" w:rsidR="00251FB5" w:rsidRDefault="00797072">
          <w:pPr>
            <w:pStyle w:val="TOC1"/>
            <w:rPr>
              <w:rFonts w:asciiTheme="minorHAnsi" w:eastAsiaTheme="minorEastAsia" w:hAnsiTheme="minorHAnsi" w:cstheme="minorBidi"/>
              <w:noProof/>
              <w:color w:val="auto"/>
            </w:rPr>
          </w:pPr>
          <w:hyperlink w:anchor="_Toc80121007" w:history="1">
            <w:r w:rsidR="00251FB5" w:rsidRPr="008F2303">
              <w:rPr>
                <w:rStyle w:val="Hyperlink"/>
                <w:noProof/>
              </w:rPr>
              <w:t>2</w:t>
            </w:r>
            <w:r w:rsidR="00251FB5">
              <w:rPr>
                <w:rFonts w:asciiTheme="minorHAnsi" w:eastAsiaTheme="minorEastAsia" w:hAnsiTheme="minorHAnsi" w:cstheme="minorBidi"/>
                <w:noProof/>
                <w:color w:val="auto"/>
              </w:rPr>
              <w:tab/>
            </w:r>
            <w:r w:rsidR="00251FB5" w:rsidRPr="008F2303">
              <w:rPr>
                <w:rStyle w:val="Hyperlink"/>
                <w:noProof/>
              </w:rPr>
              <w:t>Description of the Federal Action</w:t>
            </w:r>
            <w:r w:rsidR="00251FB5">
              <w:rPr>
                <w:noProof/>
                <w:webHidden/>
              </w:rPr>
              <w:tab/>
            </w:r>
            <w:r w:rsidR="00251FB5">
              <w:rPr>
                <w:noProof/>
                <w:webHidden/>
              </w:rPr>
              <w:fldChar w:fldCharType="begin"/>
            </w:r>
            <w:r w:rsidR="00251FB5">
              <w:rPr>
                <w:noProof/>
                <w:webHidden/>
              </w:rPr>
              <w:instrText xml:space="preserve"> PAGEREF _Toc80121007 \h </w:instrText>
            </w:r>
            <w:r w:rsidR="00251FB5">
              <w:rPr>
                <w:noProof/>
                <w:webHidden/>
              </w:rPr>
            </w:r>
            <w:r w:rsidR="00251FB5">
              <w:rPr>
                <w:noProof/>
                <w:webHidden/>
              </w:rPr>
              <w:fldChar w:fldCharType="separate"/>
            </w:r>
            <w:r w:rsidR="00251FB5">
              <w:rPr>
                <w:noProof/>
                <w:webHidden/>
              </w:rPr>
              <w:t>1</w:t>
            </w:r>
            <w:r w:rsidR="00251FB5">
              <w:rPr>
                <w:noProof/>
                <w:webHidden/>
              </w:rPr>
              <w:fldChar w:fldCharType="end"/>
            </w:r>
          </w:hyperlink>
        </w:p>
        <w:p w14:paraId="17473BF4" w14:textId="61FA469F" w:rsidR="00251FB5" w:rsidRDefault="00797072">
          <w:pPr>
            <w:pStyle w:val="TOC1"/>
            <w:rPr>
              <w:rFonts w:asciiTheme="minorHAnsi" w:eastAsiaTheme="minorEastAsia" w:hAnsiTheme="minorHAnsi" w:cstheme="minorBidi"/>
              <w:noProof/>
              <w:color w:val="auto"/>
            </w:rPr>
          </w:pPr>
          <w:hyperlink w:anchor="_Toc80121008" w:history="1">
            <w:r w:rsidR="00251FB5" w:rsidRPr="008F2303">
              <w:rPr>
                <w:rStyle w:val="Hyperlink"/>
                <w:noProof/>
              </w:rPr>
              <w:t>3</w:t>
            </w:r>
            <w:r w:rsidR="00251FB5">
              <w:rPr>
                <w:rFonts w:asciiTheme="minorHAnsi" w:eastAsiaTheme="minorEastAsia" w:hAnsiTheme="minorHAnsi" w:cstheme="minorBidi"/>
                <w:noProof/>
                <w:color w:val="auto"/>
              </w:rPr>
              <w:tab/>
            </w:r>
            <w:r w:rsidR="00251FB5" w:rsidRPr="008F2303">
              <w:rPr>
                <w:rStyle w:val="Hyperlink"/>
                <w:noProof/>
              </w:rPr>
              <w:t>Mode and Mechanism of Action</w:t>
            </w:r>
            <w:r w:rsidR="00251FB5">
              <w:rPr>
                <w:noProof/>
                <w:webHidden/>
              </w:rPr>
              <w:tab/>
            </w:r>
            <w:r w:rsidR="00251FB5">
              <w:rPr>
                <w:noProof/>
                <w:webHidden/>
              </w:rPr>
              <w:fldChar w:fldCharType="begin"/>
            </w:r>
            <w:r w:rsidR="00251FB5">
              <w:rPr>
                <w:noProof/>
                <w:webHidden/>
              </w:rPr>
              <w:instrText xml:space="preserve"> PAGEREF _Toc80121008 \h </w:instrText>
            </w:r>
            <w:r w:rsidR="00251FB5">
              <w:rPr>
                <w:noProof/>
                <w:webHidden/>
              </w:rPr>
            </w:r>
            <w:r w:rsidR="00251FB5">
              <w:rPr>
                <w:noProof/>
                <w:webHidden/>
              </w:rPr>
              <w:fldChar w:fldCharType="separate"/>
            </w:r>
            <w:r w:rsidR="00251FB5">
              <w:rPr>
                <w:noProof/>
                <w:webHidden/>
              </w:rPr>
              <w:t>2</w:t>
            </w:r>
            <w:r w:rsidR="00251FB5">
              <w:rPr>
                <w:noProof/>
                <w:webHidden/>
              </w:rPr>
              <w:fldChar w:fldCharType="end"/>
            </w:r>
          </w:hyperlink>
        </w:p>
        <w:p w14:paraId="22D3B19F" w14:textId="49115BC2" w:rsidR="00251FB5" w:rsidRDefault="00797072">
          <w:pPr>
            <w:pStyle w:val="TOC1"/>
            <w:rPr>
              <w:rFonts w:asciiTheme="minorHAnsi" w:eastAsiaTheme="minorEastAsia" w:hAnsiTheme="minorHAnsi" w:cstheme="minorBidi"/>
              <w:noProof/>
              <w:color w:val="auto"/>
            </w:rPr>
          </w:pPr>
          <w:hyperlink w:anchor="_Toc80121009" w:history="1">
            <w:r w:rsidR="00251FB5" w:rsidRPr="008F2303">
              <w:rPr>
                <w:rStyle w:val="Hyperlink"/>
                <w:noProof/>
              </w:rPr>
              <w:t>4</w:t>
            </w:r>
            <w:r w:rsidR="00251FB5">
              <w:rPr>
                <w:rFonts w:asciiTheme="minorHAnsi" w:eastAsiaTheme="minorEastAsia" w:hAnsiTheme="minorHAnsi" w:cstheme="minorBidi"/>
                <w:noProof/>
                <w:color w:val="auto"/>
              </w:rPr>
              <w:tab/>
            </w:r>
            <w:r w:rsidR="00251FB5" w:rsidRPr="008F2303">
              <w:rPr>
                <w:rStyle w:val="Hyperlink"/>
                <w:noProof/>
              </w:rPr>
              <w:t>Use and Usage Characterizationhttp://epa.gov/pesticides/fifra6a2/</w:t>
            </w:r>
            <w:r w:rsidR="00251FB5">
              <w:rPr>
                <w:noProof/>
                <w:webHidden/>
              </w:rPr>
              <w:tab/>
            </w:r>
            <w:r w:rsidR="00251FB5">
              <w:rPr>
                <w:noProof/>
                <w:webHidden/>
              </w:rPr>
              <w:fldChar w:fldCharType="begin"/>
            </w:r>
            <w:r w:rsidR="00251FB5">
              <w:rPr>
                <w:noProof/>
                <w:webHidden/>
              </w:rPr>
              <w:instrText xml:space="preserve"> PAGEREF _Toc80121009 \h </w:instrText>
            </w:r>
            <w:r w:rsidR="00251FB5">
              <w:rPr>
                <w:noProof/>
                <w:webHidden/>
              </w:rPr>
            </w:r>
            <w:r w:rsidR="00251FB5">
              <w:rPr>
                <w:noProof/>
                <w:webHidden/>
              </w:rPr>
              <w:fldChar w:fldCharType="separate"/>
            </w:r>
            <w:r w:rsidR="00251FB5">
              <w:rPr>
                <w:noProof/>
                <w:webHidden/>
              </w:rPr>
              <w:t>2</w:t>
            </w:r>
            <w:r w:rsidR="00251FB5">
              <w:rPr>
                <w:noProof/>
                <w:webHidden/>
              </w:rPr>
              <w:fldChar w:fldCharType="end"/>
            </w:r>
          </w:hyperlink>
        </w:p>
        <w:p w14:paraId="2E51DA28" w14:textId="655B9C2E" w:rsidR="00251FB5" w:rsidRDefault="00797072">
          <w:pPr>
            <w:pStyle w:val="TOC2"/>
            <w:tabs>
              <w:tab w:val="left" w:pos="880"/>
              <w:tab w:val="right" w:leader="dot" w:pos="9350"/>
            </w:tabs>
            <w:rPr>
              <w:rFonts w:asciiTheme="minorHAnsi" w:eastAsiaTheme="minorEastAsia" w:hAnsiTheme="minorHAnsi" w:cstheme="minorBidi"/>
              <w:noProof/>
              <w:color w:val="auto"/>
            </w:rPr>
          </w:pPr>
          <w:hyperlink w:anchor="_Toc80121010" w:history="1">
            <w:r w:rsidR="00251FB5" w:rsidRPr="008F2303">
              <w:rPr>
                <w:rStyle w:val="Hyperlink"/>
                <w:noProof/>
              </w:rPr>
              <w:t>4.1</w:t>
            </w:r>
            <w:r w:rsidR="00251FB5">
              <w:rPr>
                <w:rFonts w:asciiTheme="minorHAnsi" w:eastAsiaTheme="minorEastAsia" w:hAnsiTheme="minorHAnsi" w:cstheme="minorBidi"/>
                <w:noProof/>
                <w:color w:val="auto"/>
              </w:rPr>
              <w:tab/>
            </w:r>
            <w:r w:rsidR="00251FB5" w:rsidRPr="008F2303">
              <w:rPr>
                <w:rStyle w:val="Hyperlink"/>
                <w:noProof/>
              </w:rPr>
              <w:t>Use Data (as Defined on Registered Product Labels)</w:t>
            </w:r>
            <w:r w:rsidR="00251FB5">
              <w:rPr>
                <w:noProof/>
                <w:webHidden/>
              </w:rPr>
              <w:tab/>
            </w:r>
            <w:r w:rsidR="00251FB5">
              <w:rPr>
                <w:noProof/>
                <w:webHidden/>
              </w:rPr>
              <w:fldChar w:fldCharType="begin"/>
            </w:r>
            <w:r w:rsidR="00251FB5">
              <w:rPr>
                <w:noProof/>
                <w:webHidden/>
              </w:rPr>
              <w:instrText xml:space="preserve"> PAGEREF _Toc80121010 \h </w:instrText>
            </w:r>
            <w:r w:rsidR="00251FB5">
              <w:rPr>
                <w:noProof/>
                <w:webHidden/>
              </w:rPr>
            </w:r>
            <w:r w:rsidR="00251FB5">
              <w:rPr>
                <w:noProof/>
                <w:webHidden/>
              </w:rPr>
              <w:fldChar w:fldCharType="separate"/>
            </w:r>
            <w:r w:rsidR="00251FB5">
              <w:rPr>
                <w:noProof/>
                <w:webHidden/>
              </w:rPr>
              <w:t>2</w:t>
            </w:r>
            <w:r w:rsidR="00251FB5">
              <w:rPr>
                <w:noProof/>
                <w:webHidden/>
              </w:rPr>
              <w:fldChar w:fldCharType="end"/>
            </w:r>
          </w:hyperlink>
        </w:p>
        <w:p w14:paraId="152B0F9E" w14:textId="05A145A4" w:rsidR="00251FB5" w:rsidRDefault="00797072">
          <w:pPr>
            <w:pStyle w:val="TOC2"/>
            <w:tabs>
              <w:tab w:val="left" w:pos="880"/>
              <w:tab w:val="right" w:leader="dot" w:pos="9350"/>
            </w:tabs>
            <w:rPr>
              <w:rFonts w:asciiTheme="minorHAnsi" w:eastAsiaTheme="minorEastAsia" w:hAnsiTheme="minorHAnsi" w:cstheme="minorBidi"/>
              <w:noProof/>
              <w:color w:val="auto"/>
            </w:rPr>
          </w:pPr>
          <w:hyperlink w:anchor="_Toc80121011" w:history="1">
            <w:r w:rsidR="00251FB5" w:rsidRPr="008F2303">
              <w:rPr>
                <w:rStyle w:val="Hyperlink"/>
                <w:noProof/>
              </w:rPr>
              <w:t>4.2</w:t>
            </w:r>
            <w:r w:rsidR="00251FB5">
              <w:rPr>
                <w:rFonts w:asciiTheme="minorHAnsi" w:eastAsiaTheme="minorEastAsia" w:hAnsiTheme="minorHAnsi" w:cstheme="minorBidi"/>
                <w:noProof/>
                <w:color w:val="auto"/>
              </w:rPr>
              <w:tab/>
            </w:r>
            <w:r w:rsidR="00251FB5" w:rsidRPr="008F2303">
              <w:rPr>
                <w:rStyle w:val="Hyperlink"/>
                <w:noProof/>
              </w:rPr>
              <w:t>Usage Data</w:t>
            </w:r>
            <w:r w:rsidR="00251FB5">
              <w:rPr>
                <w:noProof/>
                <w:webHidden/>
              </w:rPr>
              <w:tab/>
            </w:r>
            <w:r w:rsidR="00251FB5">
              <w:rPr>
                <w:noProof/>
                <w:webHidden/>
              </w:rPr>
              <w:fldChar w:fldCharType="begin"/>
            </w:r>
            <w:r w:rsidR="00251FB5">
              <w:rPr>
                <w:noProof/>
                <w:webHidden/>
              </w:rPr>
              <w:instrText xml:space="preserve"> PAGEREF _Toc80121011 \h </w:instrText>
            </w:r>
            <w:r w:rsidR="00251FB5">
              <w:rPr>
                <w:noProof/>
                <w:webHidden/>
              </w:rPr>
            </w:r>
            <w:r w:rsidR="00251FB5">
              <w:rPr>
                <w:noProof/>
                <w:webHidden/>
              </w:rPr>
              <w:fldChar w:fldCharType="separate"/>
            </w:r>
            <w:r w:rsidR="00251FB5">
              <w:rPr>
                <w:noProof/>
                <w:webHidden/>
              </w:rPr>
              <w:t>3</w:t>
            </w:r>
            <w:r w:rsidR="00251FB5">
              <w:rPr>
                <w:noProof/>
                <w:webHidden/>
              </w:rPr>
              <w:fldChar w:fldCharType="end"/>
            </w:r>
          </w:hyperlink>
        </w:p>
        <w:p w14:paraId="3002E722" w14:textId="50B07FE5" w:rsidR="00251FB5" w:rsidRDefault="00797072">
          <w:pPr>
            <w:pStyle w:val="TOC1"/>
            <w:rPr>
              <w:rFonts w:asciiTheme="minorHAnsi" w:eastAsiaTheme="minorEastAsia" w:hAnsiTheme="minorHAnsi" w:cstheme="minorBidi"/>
              <w:noProof/>
              <w:color w:val="auto"/>
            </w:rPr>
          </w:pPr>
          <w:hyperlink w:anchor="_Toc80121012" w:history="1">
            <w:r w:rsidR="00251FB5" w:rsidRPr="008F2303">
              <w:rPr>
                <w:rStyle w:val="Hyperlink"/>
                <w:noProof/>
              </w:rPr>
              <w:t>5</w:t>
            </w:r>
            <w:r w:rsidR="00251FB5">
              <w:rPr>
                <w:rFonts w:asciiTheme="minorHAnsi" w:eastAsiaTheme="minorEastAsia" w:hAnsiTheme="minorHAnsi" w:cstheme="minorBidi"/>
                <w:noProof/>
                <w:color w:val="auto"/>
              </w:rPr>
              <w:tab/>
            </w:r>
            <w:r w:rsidR="00251FB5" w:rsidRPr="008F2303">
              <w:rPr>
                <w:rStyle w:val="Hyperlink"/>
                <w:noProof/>
              </w:rPr>
              <w:t>Overview of Environmental Fate</w:t>
            </w:r>
            <w:r w:rsidR="00251FB5">
              <w:rPr>
                <w:noProof/>
                <w:webHidden/>
              </w:rPr>
              <w:tab/>
            </w:r>
            <w:r w:rsidR="00251FB5">
              <w:rPr>
                <w:noProof/>
                <w:webHidden/>
              </w:rPr>
              <w:fldChar w:fldCharType="begin"/>
            </w:r>
            <w:r w:rsidR="00251FB5">
              <w:rPr>
                <w:noProof/>
                <w:webHidden/>
              </w:rPr>
              <w:instrText xml:space="preserve"> PAGEREF _Toc80121012 \h </w:instrText>
            </w:r>
            <w:r w:rsidR="00251FB5">
              <w:rPr>
                <w:noProof/>
                <w:webHidden/>
              </w:rPr>
            </w:r>
            <w:r w:rsidR="00251FB5">
              <w:rPr>
                <w:noProof/>
                <w:webHidden/>
              </w:rPr>
              <w:fldChar w:fldCharType="separate"/>
            </w:r>
            <w:r w:rsidR="00251FB5">
              <w:rPr>
                <w:noProof/>
                <w:webHidden/>
              </w:rPr>
              <w:t>3</w:t>
            </w:r>
            <w:r w:rsidR="00251FB5">
              <w:rPr>
                <w:noProof/>
                <w:webHidden/>
              </w:rPr>
              <w:fldChar w:fldCharType="end"/>
            </w:r>
          </w:hyperlink>
        </w:p>
        <w:p w14:paraId="7A69C8CF" w14:textId="24505B25" w:rsidR="00251FB5" w:rsidRDefault="00797072">
          <w:pPr>
            <w:pStyle w:val="TOC1"/>
            <w:rPr>
              <w:rFonts w:asciiTheme="minorHAnsi" w:eastAsiaTheme="minorEastAsia" w:hAnsiTheme="minorHAnsi" w:cstheme="minorBidi"/>
              <w:noProof/>
              <w:color w:val="auto"/>
            </w:rPr>
          </w:pPr>
          <w:hyperlink w:anchor="_Toc80121013" w:history="1">
            <w:r w:rsidR="00251FB5" w:rsidRPr="008F2303">
              <w:rPr>
                <w:rStyle w:val="Hyperlink"/>
                <w:noProof/>
              </w:rPr>
              <w:t>6</w:t>
            </w:r>
            <w:r w:rsidR="00251FB5">
              <w:rPr>
                <w:rFonts w:asciiTheme="minorHAnsi" w:eastAsiaTheme="minorEastAsia" w:hAnsiTheme="minorHAnsi" w:cstheme="minorBidi"/>
                <w:noProof/>
                <w:color w:val="auto"/>
              </w:rPr>
              <w:tab/>
            </w:r>
            <w:r w:rsidR="00251FB5" w:rsidRPr="008F2303">
              <w:rPr>
                <w:rStyle w:val="Hyperlink"/>
                <w:noProof/>
              </w:rPr>
              <w:t>Residue of Concern</w:t>
            </w:r>
            <w:r w:rsidR="00251FB5">
              <w:rPr>
                <w:noProof/>
                <w:webHidden/>
              </w:rPr>
              <w:tab/>
            </w:r>
            <w:r w:rsidR="00251FB5">
              <w:rPr>
                <w:noProof/>
                <w:webHidden/>
              </w:rPr>
              <w:fldChar w:fldCharType="begin"/>
            </w:r>
            <w:r w:rsidR="00251FB5">
              <w:rPr>
                <w:noProof/>
                <w:webHidden/>
              </w:rPr>
              <w:instrText xml:space="preserve"> PAGEREF _Toc80121013 \h </w:instrText>
            </w:r>
            <w:r w:rsidR="00251FB5">
              <w:rPr>
                <w:noProof/>
                <w:webHidden/>
              </w:rPr>
            </w:r>
            <w:r w:rsidR="00251FB5">
              <w:rPr>
                <w:noProof/>
                <w:webHidden/>
              </w:rPr>
              <w:fldChar w:fldCharType="separate"/>
            </w:r>
            <w:r w:rsidR="00251FB5">
              <w:rPr>
                <w:noProof/>
                <w:webHidden/>
              </w:rPr>
              <w:t>4</w:t>
            </w:r>
            <w:r w:rsidR="00251FB5">
              <w:rPr>
                <w:noProof/>
                <w:webHidden/>
              </w:rPr>
              <w:fldChar w:fldCharType="end"/>
            </w:r>
          </w:hyperlink>
        </w:p>
        <w:p w14:paraId="474995A6" w14:textId="1B7AC652" w:rsidR="00251FB5" w:rsidRDefault="00797072">
          <w:pPr>
            <w:pStyle w:val="TOC1"/>
            <w:rPr>
              <w:rFonts w:asciiTheme="minorHAnsi" w:eastAsiaTheme="minorEastAsia" w:hAnsiTheme="minorHAnsi" w:cstheme="minorBidi"/>
              <w:noProof/>
              <w:color w:val="auto"/>
            </w:rPr>
          </w:pPr>
          <w:hyperlink w:anchor="_Toc80121014" w:history="1">
            <w:r w:rsidR="00251FB5" w:rsidRPr="008F2303">
              <w:rPr>
                <w:rStyle w:val="Hyperlink"/>
                <w:noProof/>
              </w:rPr>
              <w:t>7</w:t>
            </w:r>
            <w:r w:rsidR="00251FB5">
              <w:rPr>
                <w:rFonts w:asciiTheme="minorHAnsi" w:eastAsiaTheme="minorEastAsia" w:hAnsiTheme="minorHAnsi" w:cstheme="minorBidi"/>
                <w:noProof/>
                <w:color w:val="auto"/>
              </w:rPr>
              <w:tab/>
            </w:r>
            <w:r w:rsidR="00251FB5" w:rsidRPr="008F2303">
              <w:rPr>
                <w:rStyle w:val="Hyperlink"/>
                <w:noProof/>
              </w:rPr>
              <w:t>Analysis Plan</w:t>
            </w:r>
            <w:r w:rsidR="00251FB5">
              <w:rPr>
                <w:noProof/>
                <w:webHidden/>
              </w:rPr>
              <w:tab/>
            </w:r>
            <w:r w:rsidR="00251FB5">
              <w:rPr>
                <w:noProof/>
                <w:webHidden/>
              </w:rPr>
              <w:fldChar w:fldCharType="begin"/>
            </w:r>
            <w:r w:rsidR="00251FB5">
              <w:rPr>
                <w:noProof/>
                <w:webHidden/>
              </w:rPr>
              <w:instrText xml:space="preserve"> PAGEREF _Toc80121014 \h </w:instrText>
            </w:r>
            <w:r w:rsidR="00251FB5">
              <w:rPr>
                <w:noProof/>
                <w:webHidden/>
              </w:rPr>
            </w:r>
            <w:r w:rsidR="00251FB5">
              <w:rPr>
                <w:noProof/>
                <w:webHidden/>
              </w:rPr>
              <w:fldChar w:fldCharType="separate"/>
            </w:r>
            <w:r w:rsidR="00251FB5">
              <w:rPr>
                <w:noProof/>
                <w:webHidden/>
              </w:rPr>
              <w:t>4</w:t>
            </w:r>
            <w:r w:rsidR="00251FB5">
              <w:rPr>
                <w:noProof/>
                <w:webHidden/>
              </w:rPr>
              <w:fldChar w:fldCharType="end"/>
            </w:r>
          </w:hyperlink>
        </w:p>
        <w:p w14:paraId="017A2A1B" w14:textId="6CFEE33C" w:rsidR="00973013" w:rsidRPr="003541BB" w:rsidRDefault="006A290E" w:rsidP="00973013">
          <w:pPr>
            <w:rPr>
              <w:b/>
              <w:bCs/>
              <w:noProof/>
            </w:rPr>
          </w:pPr>
          <w:r>
            <w:rPr>
              <w:b/>
              <w:bCs/>
              <w:noProof/>
            </w:rPr>
            <w:fldChar w:fldCharType="end"/>
          </w:r>
        </w:p>
      </w:sdtContent>
    </w:sdt>
    <w:p w14:paraId="73AECF4A" w14:textId="25B73BB4" w:rsidR="006A290E" w:rsidRPr="00EE7F5D" w:rsidRDefault="006A290E" w:rsidP="003A2128">
      <w:pPr>
        <w:pStyle w:val="Heading1"/>
        <w:spacing w:line="259" w:lineRule="auto"/>
      </w:pPr>
      <w:bookmarkStart w:id="4" w:name="_Toc80121006"/>
      <w:r w:rsidRPr="00EE7F5D">
        <w:t>Introduction</w:t>
      </w:r>
      <w:bookmarkEnd w:id="4"/>
    </w:p>
    <w:p w14:paraId="14533BB4" w14:textId="77777777" w:rsidR="006A290E" w:rsidRDefault="006A290E" w:rsidP="003A2128">
      <w:pPr>
        <w:spacing w:after="0"/>
      </w:pPr>
    </w:p>
    <w:p w14:paraId="20013167" w14:textId="535E7F6B" w:rsidR="00F457E9" w:rsidRPr="000E31F6" w:rsidRDefault="00F457E9" w:rsidP="003A2128">
      <w:pPr>
        <w:spacing w:after="0"/>
        <w:rPr>
          <w:rStyle w:val="eop"/>
        </w:rPr>
      </w:pPr>
      <w:bookmarkStart w:id="5" w:name="_Hlk57091075"/>
      <w:r w:rsidRPr="00017D8E">
        <w:t xml:space="preserve">This </w:t>
      </w:r>
      <w:r w:rsidR="000E31F6">
        <w:t>Biological Evaluation (</w:t>
      </w:r>
      <w:r w:rsidRPr="00017D8E">
        <w:t>BE</w:t>
      </w:r>
      <w:r w:rsidR="000E31F6">
        <w:t>)</w:t>
      </w:r>
      <w:r w:rsidRPr="00017D8E">
        <w:t xml:space="preserve"> </w:t>
      </w:r>
      <w:r w:rsidR="00B438FB">
        <w:t xml:space="preserve">for thiamethoxam </w:t>
      </w:r>
      <w:r w:rsidRPr="00017D8E">
        <w:t>makes effects determinations for a</w:t>
      </w:r>
      <w:r w:rsidRPr="00017D8E">
        <w:rPr>
          <w:rStyle w:val="eop"/>
        </w:rPr>
        <w:t xml:space="preserve">ll federally listed endangered and threatened species, as well as those that are proposed and candidates for listing and experimental populations (in sum referred to as “listed species”). This BE also </w:t>
      </w:r>
      <w:proofErr w:type="gramStart"/>
      <w:r w:rsidRPr="00017D8E">
        <w:rPr>
          <w:rStyle w:val="eop"/>
        </w:rPr>
        <w:t>includes</w:t>
      </w:r>
      <w:proofErr w:type="gramEnd"/>
      <w:r w:rsidRPr="00017D8E">
        <w:rPr>
          <w:rStyle w:val="eop"/>
        </w:rPr>
        <w:t xml:space="preserve"> an analysis of designated critical habitats.</w:t>
      </w:r>
      <w:r w:rsidRPr="00017D8E">
        <w:t xml:space="preserve"> The methods employed in this BE follow the </w:t>
      </w:r>
      <w:r w:rsidRPr="00017D8E">
        <w:rPr>
          <w:rStyle w:val="normaltextrun"/>
        </w:rPr>
        <w:t>Revised Method</w:t>
      </w:r>
      <w:r w:rsidRPr="00017D8E">
        <w:rPr>
          <w:rStyle w:val="eop"/>
        </w:rPr>
        <w:t> </w:t>
      </w:r>
      <w:r w:rsidRPr="00017D8E">
        <w:rPr>
          <w:rStyle w:val="normaltextrun"/>
        </w:rPr>
        <w:t xml:space="preserve">for National Level Listed </w:t>
      </w:r>
      <w:r w:rsidRPr="000E31F6">
        <w:rPr>
          <w:rStyle w:val="normaltextrun"/>
        </w:rPr>
        <w:t>Species Biological Evaluations of Conventional Pesticides</w:t>
      </w:r>
      <w:r w:rsidRPr="000E31F6">
        <w:rPr>
          <w:rStyle w:val="eop"/>
        </w:rPr>
        <w:t> (referred to as the “Revised Method</w:t>
      </w:r>
      <w:proofErr w:type="gramStart"/>
      <w:r w:rsidRPr="000E31F6">
        <w:rPr>
          <w:rStyle w:val="eop"/>
        </w:rPr>
        <w:t>”)</w:t>
      </w:r>
      <w:r w:rsidR="00017D8E" w:rsidRPr="000E31F6">
        <w:rPr>
          <w:rStyle w:val="eop"/>
          <w:vertAlign w:val="superscript"/>
        </w:rPr>
        <w:t>[</w:t>
      </w:r>
      <w:proofErr w:type="gramEnd"/>
      <w:r w:rsidR="00017D8E" w:rsidRPr="000E31F6">
        <w:rPr>
          <w:rStyle w:val="FootnoteReference"/>
        </w:rPr>
        <w:footnoteReference w:id="2"/>
      </w:r>
      <w:r w:rsidR="00017D8E" w:rsidRPr="000E31F6">
        <w:rPr>
          <w:rStyle w:val="eop"/>
          <w:vertAlign w:val="superscript"/>
        </w:rPr>
        <w:t>]</w:t>
      </w:r>
      <w:r w:rsidRPr="000E31F6">
        <w:rPr>
          <w:rStyle w:val="eop"/>
        </w:rPr>
        <w:t xml:space="preserve">. </w:t>
      </w:r>
    </w:p>
    <w:p w14:paraId="19F59553" w14:textId="77777777" w:rsidR="000E31F6" w:rsidRPr="000E31F6" w:rsidRDefault="000E31F6" w:rsidP="003A2128">
      <w:pPr>
        <w:spacing w:after="0"/>
        <w:rPr>
          <w:rStyle w:val="eop"/>
        </w:rPr>
      </w:pPr>
    </w:p>
    <w:p w14:paraId="40993831" w14:textId="44304CE5" w:rsidR="000E31F6" w:rsidRDefault="000E31F6" w:rsidP="003A2128">
      <w:pPr>
        <w:spacing w:after="0"/>
        <w:rPr>
          <w:color w:val="auto"/>
        </w:rPr>
      </w:pPr>
      <w:r w:rsidRPr="000E31F6">
        <w:t>This chapter describes the problem formulation</w:t>
      </w:r>
      <w:r w:rsidR="00B438FB">
        <w:t xml:space="preserve"> (PF), which</w:t>
      </w:r>
      <w:r>
        <w:t xml:space="preserve"> is the first step of ecological risk assessment</w:t>
      </w:r>
      <w:r w:rsidR="00B438FB">
        <w:t>.</w:t>
      </w:r>
      <w:r>
        <w:t xml:space="preserve"> </w:t>
      </w:r>
      <w:r w:rsidR="00B438FB">
        <w:t>The PF</w:t>
      </w:r>
      <w:r>
        <w:t xml:space="preserve"> establishes the goals, scope, and focus of the assessment. It is a systematic planning step that identifies major factors to be considered in a particular assessment. </w:t>
      </w:r>
    </w:p>
    <w:p w14:paraId="510D793B" w14:textId="77777777" w:rsidR="000E31F6" w:rsidRDefault="000E31F6" w:rsidP="003A2128">
      <w:pPr>
        <w:spacing w:after="0"/>
      </w:pPr>
    </w:p>
    <w:p w14:paraId="0CF0A693" w14:textId="76BD6F12" w:rsidR="000E31F6" w:rsidRDefault="000E31F6" w:rsidP="003A2128">
      <w:pPr>
        <w:spacing w:after="0"/>
      </w:pPr>
      <w:r>
        <w:t xml:space="preserve">Included in this chapter is a description of the federal action, the mode and mechanism of action of </w:t>
      </w:r>
      <w:r w:rsidR="007007D8">
        <w:t>thiamethoxam</w:t>
      </w:r>
      <w:r>
        <w:t xml:space="preserve">, summaries of its uses (based on registered product labels), usage, overview of environmental fate, identification of the residue of concern, and an analysis plan for how the BE will be conducted. </w:t>
      </w:r>
    </w:p>
    <w:bookmarkEnd w:id="5"/>
    <w:p w14:paraId="488836E2" w14:textId="77777777" w:rsidR="000E31F6" w:rsidRDefault="000E31F6" w:rsidP="003A2128">
      <w:pPr>
        <w:spacing w:after="0"/>
        <w:rPr>
          <w:color w:val="000000" w:themeColor="text1"/>
        </w:rPr>
      </w:pPr>
    </w:p>
    <w:p w14:paraId="03C25CB5" w14:textId="77777777" w:rsidR="006A290E" w:rsidRPr="007007D8" w:rsidRDefault="006A290E" w:rsidP="003A2128">
      <w:pPr>
        <w:pStyle w:val="TOCHeading"/>
        <w:spacing w:line="259" w:lineRule="auto"/>
      </w:pPr>
      <w:bookmarkStart w:id="6" w:name="_Toc80121007"/>
      <w:bookmarkEnd w:id="2"/>
      <w:r w:rsidRPr="007007D8">
        <w:t>Description of the Federal Action</w:t>
      </w:r>
      <w:bookmarkEnd w:id="6"/>
      <w:r w:rsidRPr="007007D8">
        <w:t xml:space="preserve"> </w:t>
      </w:r>
    </w:p>
    <w:p w14:paraId="526B49A5" w14:textId="77777777" w:rsidR="006A290E" w:rsidRPr="007007D8" w:rsidRDefault="006A290E" w:rsidP="003A2128">
      <w:pPr>
        <w:keepNext/>
        <w:spacing w:after="0"/>
      </w:pPr>
    </w:p>
    <w:p w14:paraId="3F97F766" w14:textId="370FE3AA" w:rsidR="00E3056C" w:rsidRPr="007007D8" w:rsidRDefault="006A290E" w:rsidP="003A2128">
      <w:pPr>
        <w:keepNext/>
        <w:spacing w:after="0"/>
      </w:pPr>
      <w:r w:rsidRPr="007007D8">
        <w:t>In 2006,</w:t>
      </w:r>
      <w:r w:rsidR="00C4422B" w:rsidRPr="007007D8">
        <w:t xml:space="preserve"> the</w:t>
      </w:r>
      <w:r w:rsidRPr="007007D8">
        <w:t xml:space="preserve"> U.S. Environmental Protection Agency (EPA) initiated Registration Review to reevaluate all </w:t>
      </w:r>
      <w:r w:rsidR="00440EC9" w:rsidRPr="007007D8">
        <w:t xml:space="preserve">registered </w:t>
      </w:r>
      <w:r w:rsidRPr="007007D8">
        <w:t>pesticide</w:t>
      </w:r>
      <w:r w:rsidR="00440EC9" w:rsidRPr="007007D8">
        <w:t xml:space="preserve"> active ingredient</w:t>
      </w:r>
      <w:r w:rsidRPr="007007D8">
        <w:t xml:space="preserve">s on a regular cycle. EPA is required to review each pesticide active ingredient at least every 15 years to make sure that it </w:t>
      </w:r>
      <w:proofErr w:type="gramStart"/>
      <w:r w:rsidRPr="007007D8">
        <w:t>has the ability to</w:t>
      </w:r>
      <w:proofErr w:type="gramEnd"/>
      <w:r w:rsidRPr="007007D8">
        <w:t xml:space="preserve"> assess risks to human health and the environment as science evolves and policies and practices may change, </w:t>
      </w:r>
      <w:bookmarkStart w:id="7" w:name="_Hlk33448916"/>
      <w:r w:rsidRPr="007007D8">
        <w:t xml:space="preserve">all pesticide products in the </w:t>
      </w:r>
      <w:r w:rsidRPr="007007D8">
        <w:lastRenderedPageBreak/>
        <w:t>marketplace continue to meet the standard of registration</w:t>
      </w:r>
      <w:bookmarkEnd w:id="7"/>
      <w:r w:rsidRPr="007007D8">
        <w:t xml:space="preserve">. Registration Review includes labels registered under Sections 3, 24(c), and 18 of </w:t>
      </w:r>
      <w:r w:rsidRPr="007007D8">
        <w:rPr>
          <w:color w:val="000000" w:themeColor="text1"/>
        </w:rPr>
        <w:t>FIFRA</w:t>
      </w:r>
      <w:r w:rsidRPr="007007D8">
        <w:t xml:space="preserve">.  The federal action </w:t>
      </w:r>
      <w:r w:rsidR="004D5FA7" w:rsidRPr="007007D8">
        <w:t>relevant to this BE is the</w:t>
      </w:r>
      <w:r w:rsidRPr="007007D8">
        <w:t xml:space="preserve"> Registration Review for </w:t>
      </w:r>
      <w:r w:rsidR="007007D8" w:rsidRPr="007007D8">
        <w:t>thiamethoxam</w:t>
      </w:r>
      <w:r w:rsidR="004D5FA7" w:rsidRPr="007007D8">
        <w:t>, which</w:t>
      </w:r>
      <w:r w:rsidRPr="007007D8">
        <w:t xml:space="preserve"> encompasses the review of all the registered uses and the approved product labels for all pesticide products containing </w:t>
      </w:r>
      <w:r w:rsidR="007007D8" w:rsidRPr="007007D8">
        <w:t>thiamethoxam</w:t>
      </w:r>
      <w:r w:rsidRPr="007007D8">
        <w:t xml:space="preserve">.   </w:t>
      </w:r>
    </w:p>
    <w:p w14:paraId="6DF83FFF" w14:textId="77777777" w:rsidR="006A290E" w:rsidRPr="007007D8" w:rsidRDefault="006A290E" w:rsidP="003A2128">
      <w:pPr>
        <w:spacing w:after="0"/>
        <w:rPr>
          <w:color w:val="000000" w:themeColor="text1"/>
        </w:rPr>
      </w:pPr>
    </w:p>
    <w:p w14:paraId="67BC1BEF" w14:textId="77777777" w:rsidR="006A290E" w:rsidRPr="007007D8" w:rsidRDefault="006A290E" w:rsidP="003A2128">
      <w:pPr>
        <w:pStyle w:val="TOCHeading"/>
        <w:spacing w:line="259" w:lineRule="auto"/>
      </w:pPr>
      <w:bookmarkStart w:id="8" w:name="_Toc31220272"/>
      <w:bookmarkStart w:id="9" w:name="_Toc80121008"/>
      <w:r w:rsidRPr="007007D8">
        <w:t>Mode and Mechanism of Action</w:t>
      </w:r>
      <w:bookmarkEnd w:id="8"/>
      <w:bookmarkEnd w:id="9"/>
      <w:r w:rsidRPr="007007D8">
        <w:t xml:space="preserve"> </w:t>
      </w:r>
    </w:p>
    <w:p w14:paraId="36889B3B" w14:textId="77777777" w:rsidR="006A290E" w:rsidRPr="007007D8" w:rsidRDefault="006A290E" w:rsidP="003A2128">
      <w:pPr>
        <w:keepNext/>
        <w:keepLines/>
        <w:spacing w:after="0"/>
        <w:rPr>
          <w:highlight w:val="yellow"/>
        </w:rPr>
      </w:pPr>
    </w:p>
    <w:p w14:paraId="226BEDCD" w14:textId="685DE2A7" w:rsidR="006A290E" w:rsidRPr="007007D8" w:rsidRDefault="007007D8" w:rsidP="003A2128">
      <w:pPr>
        <w:pStyle w:val="BodyText"/>
        <w:spacing w:before="37"/>
        <w:ind w:right="202"/>
        <w:rPr>
          <w:highlight w:val="yellow"/>
        </w:rPr>
      </w:pPr>
      <w:bookmarkStart w:id="10" w:name="_Hlk51846377"/>
      <w:r>
        <w:rPr>
          <w:rStyle w:val="normaltextrun"/>
          <w:shd w:val="clear" w:color="auto" w:fill="FFFFFF"/>
        </w:rPr>
        <w:t xml:space="preserve">Thiamethoxam </w:t>
      </w:r>
      <w:r w:rsidR="00431CA1" w:rsidRPr="00D31228">
        <w:rPr>
          <w:color w:val="auto"/>
        </w:rPr>
        <w:t xml:space="preserve">is a systemic, neonicotinoid insecticide which acts on the insect nicotinic acetylcholine receptors (nAChRs) of the nervous system via competitive modulation (IRAC 2016). </w:t>
      </w:r>
      <w:r w:rsidR="00431CA1">
        <w:rPr>
          <w:color w:val="auto"/>
        </w:rPr>
        <w:t>Thiamethoxam</w:t>
      </w:r>
      <w:r w:rsidR="00431CA1" w:rsidRPr="00D31228">
        <w:rPr>
          <w:color w:val="auto"/>
        </w:rPr>
        <w:t xml:space="preserve"> is in the N-nitroguanidine group of neonicotinoids (IRAC subclass 4A) along with clothianidin, </w:t>
      </w:r>
      <w:r w:rsidR="00431CA1">
        <w:rPr>
          <w:color w:val="auto"/>
        </w:rPr>
        <w:t>imidacloprid</w:t>
      </w:r>
      <w:r w:rsidR="00431CA1" w:rsidRPr="00D31228">
        <w:rPr>
          <w:color w:val="auto"/>
        </w:rPr>
        <w:t xml:space="preserve"> and dinotefuran</w:t>
      </w:r>
      <w:r w:rsidR="00431CA1" w:rsidRPr="00D31228">
        <w:rPr>
          <w:rStyle w:val="FootnoteReference"/>
          <w:color w:val="auto"/>
        </w:rPr>
        <w:footnoteReference w:id="3"/>
      </w:r>
      <w:r w:rsidR="00431CA1" w:rsidRPr="00D31228">
        <w:rPr>
          <w:color w:val="auto"/>
        </w:rPr>
        <w:t>.</w:t>
      </w:r>
      <w:r w:rsidR="00431CA1" w:rsidRPr="00D31228">
        <w:rPr>
          <w:color w:val="auto"/>
          <w:position w:val="8"/>
          <w:sz w:val="14"/>
        </w:rPr>
        <w:t xml:space="preserve">  </w:t>
      </w:r>
      <w:r w:rsidR="00431CA1" w:rsidRPr="00D31228">
        <w:rPr>
          <w:color w:val="auto"/>
        </w:rPr>
        <w:t>Its</w:t>
      </w:r>
      <w:r w:rsidR="00431CA1" w:rsidRPr="00D31228">
        <w:rPr>
          <w:noProof/>
          <w:color w:val="auto"/>
        </w:rPr>
        <mc:AlternateContent>
          <mc:Choice Requires="wps">
            <w:drawing>
              <wp:anchor distT="0" distB="0" distL="114300" distR="114300" simplePos="0" relativeHeight="251659776" behindDoc="1" locked="0" layoutInCell="1" allowOverlap="1" wp14:anchorId="6343B6C7" wp14:editId="37C7DD8A">
                <wp:simplePos x="0" y="0"/>
                <wp:positionH relativeFrom="page">
                  <wp:posOffset>2303145</wp:posOffset>
                </wp:positionH>
                <wp:positionV relativeFrom="paragraph">
                  <wp:posOffset>1064895</wp:posOffset>
                </wp:positionV>
                <wp:extent cx="6350" cy="12700"/>
                <wp:effectExtent l="0" t="1270" r="0" b="0"/>
                <wp:wrapNone/>
                <wp:docPr id="2989" name="Text Box 2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203D" w14:textId="77777777" w:rsidR="00431CA1" w:rsidRDefault="00431CA1" w:rsidP="00431CA1">
                            <w:pPr>
                              <w:spacing w:before="3"/>
                              <w:rPr>
                                <w:rFonts w:ascii="ZWAdobeF"/>
                                <w:sz w:val="2"/>
                              </w:rPr>
                            </w:pPr>
                            <w:r>
                              <w:rPr>
                                <w:rFonts w:ascii="ZWAdobeF"/>
                                <w:w w:val="60"/>
                                <w:sz w:val="2"/>
                              </w:rPr>
                              <w:t>5F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B6C7" id="_x0000_t202" coordsize="21600,21600" o:spt="202" path="m,l,21600r21600,l21600,xe">
                <v:stroke joinstyle="miter"/>
                <v:path gradientshapeok="t" o:connecttype="rect"/>
              </v:shapetype>
              <v:shape id="Text Box 2937" o:spid="_x0000_s1026" type="#_x0000_t202" style="position:absolute;margin-left:181.35pt;margin-top:83.85pt;width:.5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" filled="f" stroked="f">
                <v:textbox inset="0,0,0,0">
                  <w:txbxContent>
                    <w:p w14:paraId="0ADE203D" w14:textId="77777777" w:rsidR="00431CA1" w:rsidRDefault="00431CA1" w:rsidP="00431CA1">
                      <w:pPr>
                        <w:spacing w:before="3"/>
                        <w:rPr>
                          <w:rFonts w:ascii="ZWAdobeF"/>
                          <w:sz w:val="2"/>
                        </w:rPr>
                      </w:pPr>
                      <w:r>
                        <w:rPr>
                          <w:rFonts w:ascii="ZWAdobeF"/>
                          <w:w w:val="60"/>
                          <w:sz w:val="2"/>
                        </w:rPr>
                        <w:t>5F</w:t>
                      </w:r>
                    </w:p>
                  </w:txbxContent>
                </v:textbox>
                <w10:wrap anchorx="page"/>
              </v:shape>
            </w:pict>
          </mc:Fallback>
        </mc:AlternateContent>
      </w:r>
      <w:r w:rsidR="00431CA1" w:rsidRPr="00D31228">
        <w:rPr>
          <w:color w:val="auto"/>
        </w:rPr>
        <w:t xml:space="preserve"> mode of action on target insects (terrestrial and aquatic) involves out-competing the neurotransmitter acetylcholine for available binding sites on the nAChRs (Zhang et al. 2008)</w:t>
      </w:r>
      <w:r w:rsidR="00431CA1" w:rsidRPr="00D31228">
        <w:rPr>
          <w:rStyle w:val="FootnoteReference"/>
          <w:color w:val="auto"/>
        </w:rPr>
        <w:footnoteReference w:id="4"/>
      </w:r>
      <w:r w:rsidR="00431CA1" w:rsidRPr="00D31228">
        <w:rPr>
          <w:color w:val="auto"/>
        </w:rPr>
        <w:t>. At low concentrations, neonicotinoids cause excessive nervous stimulation and at high concentrations, insect paralysis and death will occur (Tomizawa and Casida 2005)</w:t>
      </w:r>
      <w:r w:rsidR="00431CA1" w:rsidRPr="00D31228">
        <w:rPr>
          <w:rStyle w:val="FootnoteReference"/>
          <w:color w:val="auto"/>
        </w:rPr>
        <w:footnoteReference w:id="5"/>
      </w:r>
      <w:r w:rsidR="00431CA1" w:rsidRPr="00D31228">
        <w:rPr>
          <w:color w:val="auto"/>
        </w:rPr>
        <w:t xml:space="preserve">. </w:t>
      </w:r>
      <w:r>
        <w:rPr>
          <w:rStyle w:val="normaltextrun"/>
          <w:shd w:val="clear" w:color="auto" w:fill="FFFFFF"/>
        </w:rPr>
        <w:t>Thiamethoxam is systemic in plants; as such, it kills feeding insects via ingestion or direct contact routes of exposure. Target pests include the chewing and sucking pests such as aphids, whiteflies, thrips, leafhoppers, scales, and leaf miners.</w:t>
      </w:r>
      <w:r>
        <w:rPr>
          <w:rStyle w:val="eop"/>
          <w:shd w:val="clear" w:color="auto" w:fill="FFFFFF"/>
        </w:rPr>
        <w:t> </w:t>
      </w:r>
      <w:bookmarkEnd w:id="10"/>
    </w:p>
    <w:p w14:paraId="4F34D7DA" w14:textId="77777777" w:rsidR="00017D8E" w:rsidRPr="007007D8" w:rsidRDefault="00017D8E" w:rsidP="003A2128">
      <w:pPr>
        <w:spacing w:after="0"/>
        <w:rPr>
          <w:highlight w:val="yellow"/>
        </w:rPr>
      </w:pPr>
    </w:p>
    <w:p w14:paraId="218E857A" w14:textId="2C305C0F" w:rsidR="006A290E" w:rsidRPr="00003E81" w:rsidRDefault="006A290E" w:rsidP="003A2128">
      <w:pPr>
        <w:pStyle w:val="TOCHeading"/>
        <w:spacing w:line="259" w:lineRule="auto"/>
      </w:pPr>
      <w:bookmarkStart w:id="11" w:name="_Toc31220269"/>
      <w:bookmarkStart w:id="12" w:name="_Toc80121009"/>
      <w:r w:rsidRPr="00003E81">
        <w:t>Use and Usage Characterization</w:t>
      </w:r>
      <w:bookmarkEnd w:id="11"/>
      <w:r w:rsidRPr="00003E81">
        <w:fldChar w:fldCharType="begin"/>
      </w:r>
      <w:r w:rsidRPr="00003E81">
        <w:instrText xml:space="preserve"> HYPERLINK "http://epa.gov/pesticides/fifra6a2/" \h </w:instrText>
      </w:r>
      <w:r w:rsidRPr="00003E81">
        <w:fldChar w:fldCharType="separate"/>
      </w:r>
      <w:r w:rsidR="00251FB5" w:rsidRPr="00251FB5">
        <w:rPr>
          <w:rStyle w:val="Hyperlink"/>
          <w:sz w:val="22"/>
          <w:szCs w:val="22"/>
        </w:rPr>
        <w:t>http://epa.gov/pesticides/fifra6a2/</w:t>
      </w:r>
      <w:bookmarkEnd w:id="12"/>
      <w:r w:rsidRPr="00003E81">
        <w:fldChar w:fldCharType="end"/>
      </w:r>
    </w:p>
    <w:p w14:paraId="73A34F0B" w14:textId="77777777" w:rsidR="006A290E" w:rsidRPr="00003E81" w:rsidRDefault="006A290E" w:rsidP="003A2128">
      <w:pPr>
        <w:spacing w:after="0"/>
      </w:pPr>
    </w:p>
    <w:p w14:paraId="5B1C3BE6" w14:textId="18009E62" w:rsidR="006A290E" w:rsidRPr="00003E81" w:rsidRDefault="006A290E" w:rsidP="003A2128">
      <w:pPr>
        <w:spacing w:after="0"/>
      </w:pPr>
      <w:r w:rsidRPr="00003E81">
        <w:t>Use data are based on registered product labels and include pesticide application information relevant to a treatment site (</w:t>
      </w:r>
      <w:r w:rsidRPr="003956DA">
        <w:rPr>
          <w:i/>
          <w:iCs/>
        </w:rPr>
        <w:t>e.g.</w:t>
      </w:r>
      <w:r w:rsidRPr="00003E81">
        <w:t>, an orchard). EPA determines the uses based on registered labels and define</w:t>
      </w:r>
      <w:r w:rsidR="00CC4413">
        <w:t>d</w:t>
      </w:r>
      <w:r w:rsidRPr="00003E81">
        <w:t xml:space="preserve"> crop or non-crop sites to which a pesticide may be applied.</w:t>
      </w:r>
      <w:r w:rsidR="2086CCB9" w:rsidRPr="00003E81">
        <w:t xml:space="preserve"> </w:t>
      </w:r>
      <w:r w:rsidRPr="00003E81">
        <w:t>Use data also describe the maximum application rates, method (</w:t>
      </w:r>
      <w:r w:rsidRPr="003956DA">
        <w:rPr>
          <w:i/>
          <w:iCs/>
        </w:rPr>
        <w:t>e.g</w:t>
      </w:r>
      <w:r w:rsidRPr="00003E81">
        <w:t>., aerial or ground spray), re-treatment intervals and number of applications that may occur according to registered product labels.</w:t>
      </w:r>
    </w:p>
    <w:p w14:paraId="6532DDC3" w14:textId="77777777" w:rsidR="006A290E" w:rsidRPr="00003E81" w:rsidRDefault="006A290E" w:rsidP="003A2128">
      <w:pPr>
        <w:spacing w:after="0"/>
      </w:pPr>
    </w:p>
    <w:p w14:paraId="6B7281AA" w14:textId="67175ABB" w:rsidR="006A290E" w:rsidRPr="00003E81" w:rsidRDefault="006A290E" w:rsidP="003A2128">
      <w:pPr>
        <w:spacing w:after="0"/>
      </w:pPr>
      <w:r w:rsidRPr="00003E81">
        <w:t xml:space="preserve">Usage data describe how the pesticide has been applied to multiple use sites within a state, </w:t>
      </w:r>
      <w:proofErr w:type="gramStart"/>
      <w:r w:rsidRPr="00003E81">
        <w:t>region</w:t>
      </w:r>
      <w:proofErr w:type="gramEnd"/>
      <w:r w:rsidRPr="00003E81">
        <w:t xml:space="preserve">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w:t>
      </w:r>
      <w:r w:rsidRPr="003956DA">
        <w:rPr>
          <w:i/>
          <w:iCs/>
        </w:rPr>
        <w:t>vs</w:t>
      </w:r>
      <w:r w:rsidRPr="00003E81">
        <w:t xml:space="preserve">. actual applications. </w:t>
      </w:r>
    </w:p>
    <w:p w14:paraId="0600A329" w14:textId="77777777" w:rsidR="00D021E0" w:rsidRPr="00003E81" w:rsidRDefault="00D021E0" w:rsidP="003A2128">
      <w:pPr>
        <w:spacing w:after="0"/>
      </w:pPr>
    </w:p>
    <w:p w14:paraId="22E55251" w14:textId="77777777" w:rsidR="006A290E" w:rsidRPr="002B4055" w:rsidRDefault="006A290E" w:rsidP="00970CF0">
      <w:pPr>
        <w:pStyle w:val="Heading2"/>
      </w:pPr>
      <w:bookmarkStart w:id="13" w:name="_Toc31220270"/>
      <w:bookmarkStart w:id="14" w:name="_Toc80121010"/>
      <w:r w:rsidRPr="002B4055">
        <w:t>Use Data (as Defined on Registered Product Labels)</w:t>
      </w:r>
      <w:bookmarkEnd w:id="13"/>
      <w:bookmarkEnd w:id="14"/>
    </w:p>
    <w:p w14:paraId="5293B522" w14:textId="77777777" w:rsidR="006A290E" w:rsidRPr="002B4055" w:rsidRDefault="006A290E" w:rsidP="003A2128">
      <w:pPr>
        <w:keepNext/>
        <w:keepLines/>
        <w:spacing w:after="0"/>
      </w:pPr>
      <w:r w:rsidRPr="002B4055">
        <w:rPr>
          <w:i/>
          <w:color w:val="2E75B5"/>
        </w:rPr>
        <w:tab/>
      </w:r>
    </w:p>
    <w:p w14:paraId="2B042F90" w14:textId="5D153DF6" w:rsidR="00125DE9" w:rsidRPr="00766973" w:rsidRDefault="006A290E" w:rsidP="003A2128">
      <w:pPr>
        <w:pStyle w:val="NoSpacing"/>
        <w:spacing w:line="259" w:lineRule="auto"/>
        <w:rPr>
          <w:rFonts w:asciiTheme="minorHAnsi" w:hAnsiTheme="minorHAnsi" w:cstheme="minorBidi"/>
        </w:rPr>
      </w:pPr>
      <w:r w:rsidRPr="002B4055">
        <w:t xml:space="preserve">The label on a pesticide package or container is legally enforceable. The label provides information about how to handle and safely use the pesticide product. Using a pesticide in a manner that is inconsistent with the use directions on the label is a violation of FIFRA and can result in enforcement actions to correct the violations. </w:t>
      </w:r>
      <w:r w:rsidR="002B4055" w:rsidRPr="002B4055">
        <w:rPr>
          <w:rFonts w:eastAsia="Times New Roman" w:cs="Times New Roman"/>
        </w:rPr>
        <w:t xml:space="preserve">There are currently 80 registered Section 3 end-use products for </w:t>
      </w:r>
      <w:r w:rsidR="002B4055" w:rsidRPr="002B4055">
        <w:rPr>
          <w:rFonts w:eastAsia="Times New Roman" w:cs="Times New Roman"/>
        </w:rPr>
        <w:lastRenderedPageBreak/>
        <w:t>thiamethoxam. Registered uses include a wide array of agricultural crops, including (but not limited to): root and tuber vegetables, leafy vegetables, brassica, cucurbits, fruiting vegetables, cereal grains, citrus fruit, pome fruit, stone fruit, berries, tree nuts, beans and other legumes, herbs, oilseed crops (</w:t>
      </w:r>
      <w:r w:rsidR="002B4055" w:rsidRPr="002B4055">
        <w:rPr>
          <w:rFonts w:eastAsia="Times New Roman" w:cs="Times New Roman"/>
          <w:i/>
        </w:rPr>
        <w:t>e.g.,</w:t>
      </w:r>
      <w:r w:rsidR="002B4055" w:rsidRPr="002B4055">
        <w:rPr>
          <w:rFonts w:eastAsia="Times New Roman" w:cs="Times New Roman"/>
        </w:rPr>
        <w:t xml:space="preserve"> canola, cotton), and tobacco.  Thiamethoxam is also registered for several non-agricultural uses, including ornamentals (Christmas trees), turf, poultry litter as well as perimeter/spot treatments</w:t>
      </w:r>
      <w:r w:rsidR="002B4055">
        <w:rPr>
          <w:rFonts w:eastAsia="Times New Roman" w:cs="Times New Roman"/>
        </w:rPr>
        <w:t xml:space="preserve">. </w:t>
      </w:r>
      <w:r w:rsidR="002B4055" w:rsidRPr="00BF4FDE">
        <w:rPr>
          <w:rFonts w:eastAsia="Times New Roman" w:cs="Times New Roman"/>
        </w:rPr>
        <w:t>Applications may be made via a variety of methods including aerial and ground foliar sprays, soil treatment (</w:t>
      </w:r>
      <w:r w:rsidR="002B4055" w:rsidRPr="00BF4FDE">
        <w:rPr>
          <w:rFonts w:eastAsia="Times New Roman" w:cs="Times New Roman"/>
          <w:i/>
        </w:rPr>
        <w:t>e.g.</w:t>
      </w:r>
      <w:r w:rsidR="002B4055" w:rsidRPr="00BF4FDE">
        <w:rPr>
          <w:rFonts w:eastAsia="Times New Roman" w:cs="Times New Roman"/>
        </w:rPr>
        <w:t>, drench), chemigation (</w:t>
      </w:r>
      <w:r w:rsidR="002B4055" w:rsidRPr="00BF4FDE">
        <w:rPr>
          <w:rFonts w:eastAsia="Times New Roman" w:cs="Times New Roman"/>
          <w:i/>
        </w:rPr>
        <w:t>e.g.</w:t>
      </w:r>
      <w:r w:rsidR="002B4055" w:rsidRPr="00BF4FDE">
        <w:rPr>
          <w:rFonts w:eastAsia="Times New Roman" w:cs="Times New Roman"/>
        </w:rPr>
        <w:t xml:space="preserve">, soil incorporation or foliar), and as a seed treatment. Maximum single foliar application rates for thiamethoxam range from </w:t>
      </w:r>
      <w:r w:rsidR="002B4055" w:rsidRPr="00BF4FDE">
        <w:t>0.0</w:t>
      </w:r>
      <w:r w:rsidR="00125DE9">
        <w:t>5</w:t>
      </w:r>
      <w:r w:rsidR="002B4055" w:rsidRPr="00BF4FDE">
        <w:t xml:space="preserve">-0.266 </w:t>
      </w:r>
      <w:r w:rsidR="002B4055" w:rsidRPr="00BF4FDE">
        <w:rPr>
          <w:rFonts w:eastAsia="Times New Roman" w:cs="Times New Roman"/>
        </w:rPr>
        <w:t>lb a.i./A.</w:t>
      </w:r>
      <w:r w:rsidR="29ADDBFE" w:rsidRPr="002B4055">
        <w:t xml:space="preserve"> This BE </w:t>
      </w:r>
      <w:proofErr w:type="gramStart"/>
      <w:r w:rsidR="29ADDBFE" w:rsidRPr="002B4055">
        <w:t>assesses</w:t>
      </w:r>
      <w:proofErr w:type="gramEnd"/>
      <w:r w:rsidR="29ADDBFE" w:rsidRPr="002B4055">
        <w:t xml:space="preserve"> all currently registered labels</w:t>
      </w:r>
      <w:r w:rsidR="002B4055">
        <w:t xml:space="preserve"> </w:t>
      </w:r>
      <w:r w:rsidR="002B4055" w:rsidRPr="002B4055">
        <w:t>(</w:t>
      </w:r>
      <w:r w:rsidR="002B4055" w:rsidRPr="002B4055">
        <w:rPr>
          <w:b/>
          <w:bCs/>
        </w:rPr>
        <w:t>APPENDIX 1-1</w:t>
      </w:r>
      <w:r w:rsidR="002B4055" w:rsidRPr="002B4055">
        <w:t>)</w:t>
      </w:r>
      <w:r w:rsidR="29ADDBFE" w:rsidRPr="002B4055">
        <w:t xml:space="preserve">. </w:t>
      </w:r>
      <w:r w:rsidR="3D533A74" w:rsidRPr="002B4055">
        <w:rPr>
          <w:rFonts w:asciiTheme="minorHAnsi" w:hAnsiTheme="minorHAnsi" w:cstheme="minorBidi"/>
          <w:b/>
          <w:bCs/>
        </w:rPr>
        <w:t>APPENDIX 1-2</w:t>
      </w:r>
      <w:r w:rsidR="60574DE7" w:rsidRPr="002B4055">
        <w:t xml:space="preserve"> provides the use information, summarizing details relevant for modeling the maximum use patterns</w:t>
      </w:r>
      <w:r w:rsidR="3D533A74" w:rsidRPr="002B4055">
        <w:rPr>
          <w:rFonts w:asciiTheme="minorHAnsi" w:hAnsiTheme="minorHAnsi" w:cstheme="minorBidi"/>
          <w:b/>
          <w:bCs/>
        </w:rPr>
        <w:t xml:space="preserve">; </w:t>
      </w:r>
      <w:r w:rsidR="3D533A74" w:rsidRPr="002B4055">
        <w:rPr>
          <w:rFonts w:asciiTheme="minorHAnsi" w:hAnsiTheme="minorHAnsi" w:cstheme="minorBidi"/>
        </w:rPr>
        <w:t xml:space="preserve">additional details on uses modeled </w:t>
      </w:r>
      <w:r w:rsidR="002B4055" w:rsidRPr="002B4055">
        <w:rPr>
          <w:rFonts w:asciiTheme="minorHAnsi" w:hAnsiTheme="minorHAnsi" w:cstheme="minorBidi"/>
        </w:rPr>
        <w:t xml:space="preserve">are </w:t>
      </w:r>
      <w:r w:rsidR="3D533A74" w:rsidRPr="002B4055">
        <w:rPr>
          <w:rFonts w:asciiTheme="minorHAnsi" w:hAnsiTheme="minorHAnsi" w:cstheme="minorBidi"/>
        </w:rPr>
        <w:t>described in</w:t>
      </w:r>
      <w:r w:rsidR="3D533A74" w:rsidRPr="002B4055">
        <w:rPr>
          <w:rFonts w:asciiTheme="minorHAnsi" w:hAnsiTheme="minorHAnsi" w:cstheme="minorBidi"/>
          <w:b/>
          <w:bCs/>
        </w:rPr>
        <w:t xml:space="preserve"> </w:t>
      </w:r>
      <w:r w:rsidR="002B4055" w:rsidRPr="002B4055">
        <w:rPr>
          <w:rFonts w:asciiTheme="minorHAnsi" w:hAnsiTheme="minorHAnsi" w:cstheme="minorBidi"/>
          <w:b/>
          <w:bCs/>
        </w:rPr>
        <w:t>APPENDICES</w:t>
      </w:r>
      <w:r w:rsidR="3D533A74" w:rsidRPr="002B4055">
        <w:rPr>
          <w:rFonts w:asciiTheme="minorHAnsi" w:hAnsiTheme="minorHAnsi" w:cstheme="minorBidi"/>
          <w:b/>
          <w:bCs/>
        </w:rPr>
        <w:t xml:space="preserve"> 1-3 and 3-1</w:t>
      </w:r>
      <w:r w:rsidR="3D533A74" w:rsidRPr="002B4055">
        <w:rPr>
          <w:rFonts w:asciiTheme="minorHAnsi" w:hAnsiTheme="minorHAnsi" w:cstheme="minorBidi"/>
        </w:rPr>
        <w:t>.</w:t>
      </w:r>
    </w:p>
    <w:p w14:paraId="302C849E" w14:textId="7778526C" w:rsidR="006A290E" w:rsidRPr="00970CF0" w:rsidRDefault="006A290E" w:rsidP="00970CF0">
      <w:pPr>
        <w:pStyle w:val="Heading2"/>
      </w:pPr>
      <w:bookmarkStart w:id="15" w:name="_Toc31220271"/>
      <w:bookmarkStart w:id="16" w:name="_Toc80121011"/>
      <w:r w:rsidRPr="00970CF0">
        <w:t>Usage Data</w:t>
      </w:r>
      <w:bookmarkEnd w:id="15"/>
      <w:bookmarkEnd w:id="16"/>
      <w:r w:rsidRPr="00970CF0">
        <w:t xml:space="preserve"> </w:t>
      </w:r>
    </w:p>
    <w:p w14:paraId="36E86C07" w14:textId="77777777" w:rsidR="006A290E" w:rsidRPr="00E56389" w:rsidRDefault="006A290E" w:rsidP="003A2128">
      <w:pPr>
        <w:spacing w:after="0"/>
      </w:pPr>
    </w:p>
    <w:p w14:paraId="1F29EA7E" w14:textId="3DA4B5E2" w:rsidR="00F64337" w:rsidRDefault="00F64337" w:rsidP="003A2128">
      <w:pPr>
        <w:spacing w:after="0"/>
      </w:pPr>
      <w:bookmarkStart w:id="17" w:name="_Hlk55314925"/>
      <w:r w:rsidRPr="00275ADC">
        <w:t>Between 201</w:t>
      </w:r>
      <w:r w:rsidR="00E56389" w:rsidRPr="00275ADC">
        <w:t>4</w:t>
      </w:r>
      <w:r w:rsidRPr="00275ADC">
        <w:t xml:space="preserve"> and 2018, the </w:t>
      </w:r>
      <w:r w:rsidR="00743165" w:rsidRPr="00275ADC">
        <w:t>national</w:t>
      </w:r>
      <w:r w:rsidRPr="00275ADC">
        <w:t xml:space="preserve"> annual total agricultural usage averaged approximately </w:t>
      </w:r>
      <w:r w:rsidR="00E56389" w:rsidRPr="00275ADC">
        <w:t>180,000</w:t>
      </w:r>
      <w:r w:rsidRPr="00275ADC">
        <w:t xml:space="preserve"> pounds of </w:t>
      </w:r>
      <w:r w:rsidR="00E56389" w:rsidRPr="00275ADC">
        <w:t>thiamethoxam over 3.1 million acres (including foliar and soil applications)</w:t>
      </w:r>
      <w:r w:rsidRPr="00275ADC">
        <w:t>. During this time frame, the crops with the most usage in terms of annual average total pounds of active ingredient applied</w:t>
      </w:r>
      <w:r w:rsidR="006D35D6" w:rsidRPr="00275ADC">
        <w:t xml:space="preserve"> via foliar or soil treatment</w:t>
      </w:r>
      <w:r w:rsidRPr="00275ADC">
        <w:t xml:space="preserve"> were </w:t>
      </w:r>
      <w:r w:rsidR="00E56389" w:rsidRPr="00275ADC">
        <w:t>cotton</w:t>
      </w:r>
      <w:r w:rsidRPr="00275ADC">
        <w:t xml:space="preserve"> (</w:t>
      </w:r>
      <w:r w:rsidR="00E56389" w:rsidRPr="00275ADC">
        <w:t>50,000</w:t>
      </w:r>
      <w:r w:rsidRPr="00275ADC">
        <w:t xml:space="preserve"> lbs), </w:t>
      </w:r>
      <w:r w:rsidR="00E56389" w:rsidRPr="00275ADC">
        <w:t>soybeans</w:t>
      </w:r>
      <w:r w:rsidRPr="00275ADC">
        <w:t xml:space="preserve"> (</w:t>
      </w:r>
      <w:r w:rsidR="00E56389" w:rsidRPr="00275ADC">
        <w:t>40,000</w:t>
      </w:r>
      <w:r w:rsidRPr="00275ADC">
        <w:t xml:space="preserve"> lbs), </w:t>
      </w:r>
      <w:r w:rsidR="00E56389" w:rsidRPr="00275ADC">
        <w:t xml:space="preserve">potatoes (20,000 lbs) </w:t>
      </w:r>
      <w:r w:rsidRPr="00275ADC">
        <w:t xml:space="preserve">and </w:t>
      </w:r>
      <w:r w:rsidR="00E56389" w:rsidRPr="00275ADC">
        <w:t>oranges</w:t>
      </w:r>
      <w:r w:rsidRPr="00275ADC">
        <w:t xml:space="preserve"> (</w:t>
      </w:r>
      <w:r w:rsidR="00273B1C" w:rsidRPr="00275ADC">
        <w:t>20</w:t>
      </w:r>
      <w:r w:rsidR="00E56389" w:rsidRPr="00275ADC">
        <w:t>,000</w:t>
      </w:r>
      <w:r w:rsidR="00273B1C" w:rsidRPr="00275ADC">
        <w:t xml:space="preserve"> </w:t>
      </w:r>
      <w:r w:rsidRPr="00275ADC">
        <w:t xml:space="preserve">lbs). </w:t>
      </w:r>
      <w:r w:rsidR="006D35D6" w:rsidRPr="00275ADC">
        <w:t>T</w:t>
      </w:r>
      <w:r w:rsidR="00DE6554">
        <w:t>he t</w:t>
      </w:r>
      <w:r w:rsidR="006D35D6" w:rsidRPr="00275ADC">
        <w:t>reated area</w:t>
      </w:r>
      <w:r w:rsidR="00DE6554">
        <w:t>s</w:t>
      </w:r>
      <w:r w:rsidR="006D35D6" w:rsidRPr="00275ADC">
        <w:t xml:space="preserve"> of</w:t>
      </w:r>
      <w:r w:rsidR="00273B1C" w:rsidRPr="00275ADC">
        <w:t xml:space="preserve"> </w:t>
      </w:r>
      <w:r w:rsidR="006D35D6" w:rsidRPr="00275ADC">
        <w:t>cotton</w:t>
      </w:r>
      <w:r w:rsidR="00273B1C" w:rsidRPr="00275ADC">
        <w:t xml:space="preserve">, </w:t>
      </w:r>
      <w:r w:rsidR="006D35D6" w:rsidRPr="00275ADC">
        <w:t xml:space="preserve">soybeans, </w:t>
      </w:r>
      <w:proofErr w:type="gramStart"/>
      <w:r w:rsidR="006D35D6" w:rsidRPr="00275ADC">
        <w:t>potatoes</w:t>
      </w:r>
      <w:proofErr w:type="gramEnd"/>
      <w:r w:rsidR="00273B1C" w:rsidRPr="00275ADC">
        <w:t xml:space="preserve"> and </w:t>
      </w:r>
      <w:r w:rsidR="006D35D6" w:rsidRPr="00275ADC">
        <w:t>oranges</w:t>
      </w:r>
      <w:r w:rsidR="00273B1C" w:rsidRPr="00275ADC">
        <w:t xml:space="preserve">, </w:t>
      </w:r>
      <w:r w:rsidR="006D35D6" w:rsidRPr="00275ADC">
        <w:t>were 1.1, 1, 0.2 and 0.2 million acres, respectively.</w:t>
      </w:r>
      <w:r w:rsidR="00275ADC" w:rsidRPr="00275ADC">
        <w:t xml:space="preserve"> </w:t>
      </w:r>
      <w:r w:rsidRPr="00275ADC">
        <w:t>On average, the states with the most agricultural usage in terms of pounds</w:t>
      </w:r>
      <w:r w:rsidR="000A0162" w:rsidRPr="00275ADC">
        <w:t xml:space="preserve"> </w:t>
      </w:r>
      <w:r w:rsidRPr="00275ADC">
        <w:t>applied per year were</w:t>
      </w:r>
      <w:r w:rsidR="00273B1C" w:rsidRPr="00275ADC">
        <w:t xml:space="preserve"> </w:t>
      </w:r>
      <w:r w:rsidR="00275ADC" w:rsidRPr="00275ADC">
        <w:t>California (38,000 lbs), Florida (14,000 lbs), Minnesota (12,000 lbs), and Arkansas (11,000 lbs)</w:t>
      </w:r>
      <w:r w:rsidR="00EE7201" w:rsidRPr="00275ADC">
        <w:t xml:space="preserve"> </w:t>
      </w:r>
      <w:r w:rsidRPr="00275ADC">
        <w:rPr>
          <w:b/>
          <w:bCs/>
        </w:rPr>
        <w:t>(APPENDIX 1-4</w:t>
      </w:r>
      <w:r w:rsidRPr="00275ADC">
        <w:t xml:space="preserve">).  </w:t>
      </w:r>
    </w:p>
    <w:p w14:paraId="32D61573" w14:textId="5A01A0E3" w:rsidR="00275ADC" w:rsidRDefault="00275ADC" w:rsidP="003A2128">
      <w:pPr>
        <w:spacing w:after="0"/>
      </w:pPr>
    </w:p>
    <w:p w14:paraId="7A4BAE97" w14:textId="2B4FDD69" w:rsidR="006A290E" w:rsidRDefault="00665298" w:rsidP="00970CF0">
      <w:pPr>
        <w:spacing w:after="0"/>
        <w:rPr>
          <w:lang w:val="en-CA"/>
        </w:rPr>
      </w:pPr>
      <w:r>
        <w:t>Seed treatment with thiamethoxam is generally considered to be widespread in terms of the number of crops and the percentage of the crop planted with treated seed. However, quantitative seed treatment usage data are difficult to obtain due to the complexities of capturing this usage information from growers. While verifiable quantitative usage data that indicate the total pounds of active ingredient used to treat seed or the location and the number of acres planted with treated seed are not currently available, applications of thiamethoxam to seed and seed pieces may be generally characterized as commonly used on a wide variety of crop seeds and seed pieces for planting based on extension recommendations and other information.</w:t>
      </w:r>
      <w:r w:rsidR="00845A40">
        <w:t xml:space="preserve"> </w:t>
      </w:r>
      <w:r w:rsidR="000847D6" w:rsidRPr="000847D6">
        <w:t>There are no quantified usage data available for non-agricultural uses of thiamethoxam. Available information indicates that &lt;2000 lbs was applied to food related establishments (</w:t>
      </w:r>
      <w:r w:rsidR="000847D6" w:rsidRPr="003956DA">
        <w:rPr>
          <w:i/>
          <w:iCs/>
        </w:rPr>
        <w:t>e.g.</w:t>
      </w:r>
      <w:r w:rsidR="000847D6" w:rsidRPr="000847D6">
        <w:t>, restaurants, warehouses) and &lt;500 lbs was applied per year to poultry houses</w:t>
      </w:r>
      <w:r w:rsidR="00EE7201" w:rsidRPr="000847D6">
        <w:rPr>
          <w:lang w:val="en-CA"/>
        </w:rPr>
        <w:t xml:space="preserve"> (see </w:t>
      </w:r>
      <w:r w:rsidR="00EE7201" w:rsidRPr="000847D6">
        <w:rPr>
          <w:b/>
          <w:bCs/>
          <w:lang w:val="en-CA"/>
        </w:rPr>
        <w:t>APPENDIX 1-4</w:t>
      </w:r>
      <w:r w:rsidR="00EE7201" w:rsidRPr="000847D6">
        <w:rPr>
          <w:lang w:val="en-CA"/>
        </w:rPr>
        <w:t xml:space="preserve"> for details)</w:t>
      </w:r>
      <w:r w:rsidR="000847D6" w:rsidRPr="000847D6">
        <w:rPr>
          <w:lang w:val="en-CA"/>
        </w:rPr>
        <w:t>.</w:t>
      </w:r>
      <w:bookmarkEnd w:id="17"/>
    </w:p>
    <w:p w14:paraId="31EDCB81" w14:textId="77777777" w:rsidR="00970CF0" w:rsidRPr="00970CF0" w:rsidRDefault="00970CF0" w:rsidP="00970CF0">
      <w:pPr>
        <w:spacing w:after="0"/>
      </w:pPr>
    </w:p>
    <w:p w14:paraId="4475CA78" w14:textId="77777777" w:rsidR="006A290E" w:rsidRPr="00003E81" w:rsidRDefault="006A290E" w:rsidP="003A2128">
      <w:pPr>
        <w:pStyle w:val="Heading1"/>
        <w:spacing w:line="259" w:lineRule="auto"/>
      </w:pPr>
      <w:bookmarkStart w:id="18" w:name="_Toc31220273"/>
      <w:bookmarkStart w:id="19" w:name="_Toc80121012"/>
      <w:r w:rsidRPr="00003E81">
        <w:t>Overview</w:t>
      </w:r>
      <w:bookmarkEnd w:id="18"/>
      <w:r w:rsidRPr="00003E81">
        <w:t xml:space="preserve"> of Environmental Fate</w:t>
      </w:r>
      <w:bookmarkEnd w:id="19"/>
    </w:p>
    <w:p w14:paraId="75E541EB" w14:textId="77777777" w:rsidR="006A290E" w:rsidRPr="00003E81" w:rsidRDefault="006A290E" w:rsidP="003A2128">
      <w:pPr>
        <w:keepNext/>
        <w:keepLines/>
        <w:spacing w:after="0"/>
      </w:pPr>
    </w:p>
    <w:p w14:paraId="11D62073" w14:textId="5425B80F" w:rsidR="00D209D5" w:rsidRPr="002964AE" w:rsidRDefault="00003E81" w:rsidP="003A2128">
      <w:pPr>
        <w:rPr>
          <w:rFonts w:asciiTheme="minorHAnsi" w:hAnsiTheme="minorHAnsi"/>
        </w:rPr>
      </w:pPr>
      <w:bookmarkStart w:id="20" w:name="_Hlk51846325"/>
      <w:r w:rsidRPr="00003E81">
        <w:rPr>
          <w:rFonts w:cs="Times New Roman"/>
        </w:rPr>
        <w:t xml:space="preserve">Thiamethoxam’s primary transport routes from treated sites to non-target areas include spray drift (for foliar applications) and runoff (for all application methods). Thiamethoxam is mobile to moderately mobile in soil and is soluble in water. Volatilization is not considered a major dissipation route and bioaccumulation is not expected. </w:t>
      </w:r>
      <w:r w:rsidRPr="00003E81">
        <w:t>In terrestrial habitats, thiamethoxam is persistent, with half-lives on the orders of months</w:t>
      </w:r>
      <w:r w:rsidR="00B4224D">
        <w:t xml:space="preserve"> to years</w:t>
      </w:r>
      <w:r w:rsidRPr="00003E81">
        <w:t xml:space="preserve">. In aquatic habitats, thiamethoxam is less persistent, with aerobic aquatic metabolism half-lives on the order of weeks. In clear or basic water bodies, thiamethoxam may break down more quickly. </w:t>
      </w:r>
      <w:r w:rsidR="007E44AA" w:rsidRPr="00003E81">
        <w:rPr>
          <w:rFonts w:asciiTheme="minorHAnsi" w:hAnsiTheme="minorHAnsi"/>
        </w:rPr>
        <w:t xml:space="preserve">Additional details on the fate of </w:t>
      </w:r>
      <w:r w:rsidRPr="00003E81">
        <w:rPr>
          <w:rFonts w:asciiTheme="minorHAnsi" w:hAnsiTheme="minorHAnsi"/>
        </w:rPr>
        <w:t>thiamethoxam</w:t>
      </w:r>
      <w:r w:rsidR="007E44AA" w:rsidRPr="00003E81">
        <w:rPr>
          <w:rFonts w:asciiTheme="minorHAnsi" w:hAnsiTheme="minorHAnsi"/>
        </w:rPr>
        <w:t xml:space="preserve"> are provided in </w:t>
      </w:r>
      <w:r w:rsidR="007E44AA" w:rsidRPr="00003E81">
        <w:rPr>
          <w:rFonts w:asciiTheme="minorHAnsi" w:hAnsiTheme="minorHAnsi"/>
          <w:b/>
        </w:rPr>
        <w:t>Chapter 3</w:t>
      </w:r>
      <w:r w:rsidR="007E44AA" w:rsidRPr="00003E81">
        <w:rPr>
          <w:rFonts w:asciiTheme="minorHAnsi" w:hAnsiTheme="minorHAnsi"/>
        </w:rPr>
        <w:t xml:space="preserve"> of the Biological Evaluation.</w:t>
      </w:r>
    </w:p>
    <w:p w14:paraId="40864BD6" w14:textId="77777777" w:rsidR="006A290E" w:rsidRPr="007007D8" w:rsidRDefault="006A290E" w:rsidP="00251FB5">
      <w:pPr>
        <w:pStyle w:val="Heading1"/>
        <w:spacing w:line="259" w:lineRule="auto"/>
      </w:pPr>
      <w:bookmarkStart w:id="21" w:name="_Toc31220274"/>
      <w:bookmarkStart w:id="22" w:name="_Toc80121013"/>
      <w:bookmarkEnd w:id="20"/>
      <w:r w:rsidRPr="007007D8">
        <w:lastRenderedPageBreak/>
        <w:t>Residue of Concern</w:t>
      </w:r>
      <w:bookmarkEnd w:id="21"/>
      <w:bookmarkEnd w:id="22"/>
      <w:r w:rsidRPr="007007D8">
        <w:t xml:space="preserve"> </w:t>
      </w:r>
    </w:p>
    <w:p w14:paraId="7B18208A" w14:textId="77777777" w:rsidR="006A290E" w:rsidRPr="007007D8" w:rsidRDefault="006A290E" w:rsidP="00251FB5">
      <w:pPr>
        <w:keepNext/>
        <w:spacing w:after="0"/>
        <w:rPr>
          <w:highlight w:val="yellow"/>
        </w:rPr>
      </w:pPr>
    </w:p>
    <w:p w14:paraId="488D8F83" w14:textId="01A0CE6B" w:rsidR="006A290E" w:rsidRPr="00B4224D" w:rsidRDefault="007007D8" w:rsidP="00251FB5">
      <w:pPr>
        <w:spacing w:after="0"/>
        <w:rPr>
          <w:rFonts w:cs="Times New Roman"/>
        </w:rPr>
      </w:pPr>
      <w:bookmarkStart w:id="23" w:name="_Toc31220275"/>
      <w:r w:rsidRPr="00B4224D">
        <w:rPr>
          <w:rFonts w:cs="Times New Roman"/>
        </w:rPr>
        <w:t xml:space="preserve">Thiamethoxam degrades into clothianidin, a separate active ingredient (a.i.) in the neonicotinoid class of chemicals which is subject to its own BE. Available fate and residue data indicate that the major route of formation of clothianidin (as a degradate) is from metabolism of thiamethoxam within </w:t>
      </w:r>
      <w:r w:rsidR="00DE6554">
        <w:rPr>
          <w:rFonts w:cs="Times New Roman"/>
        </w:rPr>
        <w:t xml:space="preserve">plants. </w:t>
      </w:r>
      <w:r w:rsidRPr="00B4224D">
        <w:rPr>
          <w:rFonts w:cs="Times New Roman"/>
        </w:rPr>
        <w:t>Clothianidin is also a major degradate </w:t>
      </w:r>
      <w:r w:rsidR="002964AE" w:rsidRPr="00B4224D">
        <w:rPr>
          <w:rFonts w:cs="Times New Roman"/>
        </w:rPr>
        <w:t>in three of eight aerobic soil metabolism studies and one of two anaerobic soil metabolism studies</w:t>
      </w:r>
      <w:r w:rsidRPr="00B4224D">
        <w:rPr>
          <w:rFonts w:cs="Times New Roman"/>
        </w:rPr>
        <w:t>. </w:t>
      </w:r>
      <w:r w:rsidR="00B4224D" w:rsidRPr="00B4224D">
        <w:rPr>
          <w:rFonts w:cs="Times New Roman"/>
        </w:rPr>
        <w:t xml:space="preserve">Clothianidin is also formed under field conditions as it is detected in terrestrial field dissipation studies. </w:t>
      </w:r>
      <w:r w:rsidRPr="00B4224D">
        <w:rPr>
          <w:rFonts w:cs="Times New Roman"/>
        </w:rPr>
        <w:t>Therefore, both thiamethoxam and</w:t>
      </w:r>
      <w:r w:rsidR="00B4224D" w:rsidRPr="00B4224D">
        <w:rPr>
          <w:rFonts w:cs="Times New Roman"/>
        </w:rPr>
        <w:t xml:space="preserve"> </w:t>
      </w:r>
      <w:r w:rsidRPr="00B4224D">
        <w:rPr>
          <w:rFonts w:cs="Times New Roman"/>
        </w:rPr>
        <w:t>clothianidin are considered residues of concern for terrestrial and aquatic organisms. There were no other major residues of concern of thiamethoxam.</w:t>
      </w:r>
    </w:p>
    <w:p w14:paraId="41DF2CE6" w14:textId="77777777" w:rsidR="00B97197" w:rsidRPr="007007D8" w:rsidRDefault="00B97197" w:rsidP="00251FB5">
      <w:pPr>
        <w:spacing w:after="0"/>
        <w:rPr>
          <w:highlight w:val="yellow"/>
        </w:rPr>
      </w:pPr>
    </w:p>
    <w:p w14:paraId="79C77D56" w14:textId="77777777" w:rsidR="006A290E" w:rsidRPr="00C153B1" w:rsidRDefault="006A290E" w:rsidP="00251FB5">
      <w:pPr>
        <w:pStyle w:val="Heading1"/>
        <w:spacing w:line="259" w:lineRule="auto"/>
      </w:pPr>
      <w:bookmarkStart w:id="24" w:name="_Toc80121014"/>
      <w:r w:rsidRPr="00C153B1">
        <w:t>Analysis Plan</w:t>
      </w:r>
      <w:bookmarkEnd w:id="23"/>
      <w:bookmarkEnd w:id="24"/>
    </w:p>
    <w:p w14:paraId="752049E5" w14:textId="77777777" w:rsidR="006A290E" w:rsidRPr="00C153B1" w:rsidRDefault="006A290E" w:rsidP="00251FB5">
      <w:pPr>
        <w:keepNext/>
        <w:keepLines/>
        <w:spacing w:after="0"/>
      </w:pPr>
    </w:p>
    <w:p w14:paraId="72BFC78E" w14:textId="07819429" w:rsidR="006A290E" w:rsidRPr="00C153B1" w:rsidRDefault="006A290E" w:rsidP="00251FB5">
      <w:pPr>
        <w:spacing w:after="0"/>
        <w:rPr>
          <w:rStyle w:val="eop"/>
          <w:rFonts w:asciiTheme="minorHAnsi" w:hAnsiTheme="minorHAnsi" w:cstheme="minorBidi"/>
        </w:rPr>
      </w:pPr>
      <w:bookmarkStart w:id="25" w:name="_Hlk33466025"/>
      <w:r w:rsidRPr="079B5F19">
        <w:rPr>
          <w:rStyle w:val="eop"/>
          <w:rFonts w:asciiTheme="minorHAnsi" w:hAnsiTheme="minorHAnsi" w:cstheme="minorBidi"/>
        </w:rPr>
        <w:t xml:space="preserve">Listed species and designated critical habitats that were listed as of </w:t>
      </w:r>
      <w:r w:rsidR="1C800670" w:rsidRPr="079B5F19">
        <w:rPr>
          <w:rStyle w:val="eop"/>
          <w:rFonts w:asciiTheme="minorHAnsi" w:hAnsiTheme="minorHAnsi" w:cstheme="minorBidi"/>
        </w:rPr>
        <w:t>Nov 1</w:t>
      </w:r>
      <w:r w:rsidRPr="079B5F19">
        <w:rPr>
          <w:rStyle w:val="eop"/>
          <w:rFonts w:asciiTheme="minorHAnsi" w:hAnsiTheme="minorHAnsi" w:cstheme="minorBidi"/>
        </w:rPr>
        <w:t xml:space="preserve">, </w:t>
      </w:r>
      <w:proofErr w:type="gramStart"/>
      <w:r w:rsidRPr="079B5F19">
        <w:rPr>
          <w:rStyle w:val="eop"/>
          <w:rFonts w:asciiTheme="minorHAnsi" w:hAnsiTheme="minorHAnsi" w:cstheme="minorBidi"/>
        </w:rPr>
        <w:t>20</w:t>
      </w:r>
      <w:r w:rsidR="742D81C3" w:rsidRPr="079B5F19">
        <w:rPr>
          <w:rStyle w:val="eop"/>
          <w:rFonts w:asciiTheme="minorHAnsi" w:hAnsiTheme="minorHAnsi" w:cstheme="minorBidi"/>
        </w:rPr>
        <w:t>20</w:t>
      </w:r>
      <w:proofErr w:type="gramEnd"/>
      <w:r w:rsidRPr="079B5F19">
        <w:rPr>
          <w:rStyle w:val="eop"/>
          <w:rFonts w:asciiTheme="minorHAnsi" w:hAnsiTheme="minorHAnsi" w:cstheme="minorBidi"/>
        </w:rPr>
        <w:t xml:space="preserve"> are </w:t>
      </w:r>
      <w:r w:rsidR="008F147B" w:rsidRPr="079B5F19">
        <w:rPr>
          <w:rStyle w:val="eop"/>
          <w:rFonts w:asciiTheme="minorHAnsi" w:hAnsiTheme="minorHAnsi" w:cstheme="minorBidi"/>
        </w:rPr>
        <w:t>considered</w:t>
      </w:r>
      <w:r w:rsidRPr="079B5F19">
        <w:rPr>
          <w:rStyle w:val="eop"/>
          <w:rFonts w:asciiTheme="minorHAnsi" w:hAnsiTheme="minorHAnsi" w:cstheme="minorBidi"/>
        </w:rPr>
        <w:t xml:space="preserve"> in this BE</w:t>
      </w:r>
      <w:r w:rsidR="00E520CC" w:rsidRPr="079B5F19">
        <w:rPr>
          <w:rStyle w:val="eop"/>
          <w:rFonts w:asciiTheme="minorHAnsi" w:hAnsiTheme="minorHAnsi" w:cstheme="minorBidi"/>
        </w:rPr>
        <w:t xml:space="preserve"> (see </w:t>
      </w:r>
      <w:r w:rsidR="00E520CC" w:rsidRPr="079B5F19">
        <w:rPr>
          <w:rStyle w:val="eop"/>
          <w:rFonts w:asciiTheme="minorHAnsi" w:hAnsiTheme="minorHAnsi" w:cstheme="minorBidi"/>
          <w:b/>
        </w:rPr>
        <w:t>APPENDIX 4-1</w:t>
      </w:r>
      <w:r w:rsidR="00E520CC" w:rsidRPr="079B5F19">
        <w:rPr>
          <w:rStyle w:val="eop"/>
          <w:rFonts w:asciiTheme="minorHAnsi" w:hAnsiTheme="minorHAnsi" w:cstheme="minorBidi"/>
        </w:rPr>
        <w:t xml:space="preserve"> for complete species lists)</w:t>
      </w:r>
      <w:r w:rsidRPr="079B5F19">
        <w:rPr>
          <w:rStyle w:val="eop"/>
          <w:rFonts w:asciiTheme="minorHAnsi" w:hAnsiTheme="minorHAnsi" w:cstheme="minorBidi"/>
        </w:rPr>
        <w:t xml:space="preserve">. </w:t>
      </w:r>
      <w:r w:rsidR="008F147B" w:rsidRPr="079B5F19">
        <w:rPr>
          <w:rStyle w:val="eop"/>
          <w:rFonts w:asciiTheme="minorHAnsi" w:hAnsiTheme="minorHAnsi" w:cstheme="minorBidi"/>
        </w:rPr>
        <w:t>Effects determinations were made for</w:t>
      </w:r>
      <w:r w:rsidR="000C4F57" w:rsidRPr="079B5F19">
        <w:rPr>
          <w:rStyle w:val="eop"/>
          <w:rFonts w:asciiTheme="minorHAnsi" w:hAnsiTheme="minorHAnsi" w:cstheme="minorBidi"/>
        </w:rPr>
        <w:t xml:space="preserve"> 1821</w:t>
      </w:r>
      <w:r w:rsidR="00E520CC" w:rsidRPr="079B5F19">
        <w:rPr>
          <w:rStyle w:val="eop"/>
          <w:rFonts w:asciiTheme="minorHAnsi" w:hAnsiTheme="minorHAnsi" w:cstheme="minorBidi"/>
        </w:rPr>
        <w:t xml:space="preserve"> </w:t>
      </w:r>
      <w:r w:rsidRPr="079B5F19">
        <w:rPr>
          <w:rStyle w:val="eop"/>
          <w:rFonts w:asciiTheme="minorHAnsi" w:hAnsiTheme="minorHAnsi" w:cstheme="minorBidi"/>
        </w:rPr>
        <w:t>listed species and 79</w:t>
      </w:r>
      <w:r w:rsidR="000C4F57" w:rsidRPr="079B5F19">
        <w:rPr>
          <w:rStyle w:val="eop"/>
          <w:rFonts w:asciiTheme="minorHAnsi" w:hAnsiTheme="minorHAnsi" w:cstheme="minorBidi"/>
        </w:rPr>
        <w:t>1</w:t>
      </w:r>
      <w:r w:rsidRPr="079B5F19">
        <w:rPr>
          <w:rStyle w:val="eop"/>
          <w:rFonts w:asciiTheme="minorHAnsi" w:hAnsiTheme="minorHAnsi" w:cstheme="minorBidi"/>
        </w:rPr>
        <w:t xml:space="preserve"> designated critical habitats. </w:t>
      </w:r>
    </w:p>
    <w:bookmarkEnd w:id="25"/>
    <w:p w14:paraId="42578C0B" w14:textId="77777777" w:rsidR="006A290E" w:rsidRPr="007007D8" w:rsidRDefault="006A290E" w:rsidP="00251FB5">
      <w:pPr>
        <w:spacing w:after="0"/>
        <w:rPr>
          <w:rStyle w:val="eop"/>
          <w:rFonts w:asciiTheme="minorHAnsi" w:hAnsiTheme="minorHAnsi" w:cstheme="minorHAnsi"/>
          <w:highlight w:val="yellow"/>
        </w:rPr>
      </w:pPr>
    </w:p>
    <w:p w14:paraId="33A46CC5" w14:textId="5C4E0261" w:rsidR="006A290E" w:rsidRPr="005D7ACD" w:rsidRDefault="006A290E" w:rsidP="00251FB5">
      <w:pPr>
        <w:spacing w:after="0"/>
        <w:rPr>
          <w:rFonts w:ascii="Times New Roman" w:eastAsiaTheme="minorHAnsi" w:hAnsi="Times New Roman" w:cs="Times New Roman"/>
          <w:color w:val="auto"/>
          <w:sz w:val="24"/>
          <w:szCs w:val="24"/>
        </w:rPr>
      </w:pPr>
      <w:r w:rsidRPr="00C153B1">
        <w:rPr>
          <w:rStyle w:val="eop"/>
          <w:rFonts w:asciiTheme="minorHAnsi" w:hAnsiTheme="minorHAnsi" w:cstheme="minorHAnsi"/>
        </w:rPr>
        <w:t>As described in the Revised Method</w:t>
      </w:r>
      <w:r w:rsidR="00DC7418">
        <w:rPr>
          <w:rStyle w:val="FootnoteReference"/>
          <w:rFonts w:asciiTheme="minorHAnsi" w:hAnsiTheme="minorHAnsi" w:cstheme="minorHAnsi"/>
          <w:color w:val="auto"/>
        </w:rPr>
        <w:footnoteReference w:id="6"/>
      </w:r>
      <w:r w:rsidRPr="00C153B1">
        <w:rPr>
          <w:rStyle w:val="eop"/>
          <w:rFonts w:asciiTheme="minorHAnsi" w:hAnsiTheme="minorHAnsi" w:cstheme="minorHAnsi"/>
        </w:rPr>
        <w:t xml:space="preserve">, listed species risk assessments for pesticides include three steps. </w:t>
      </w:r>
      <w:r w:rsidRPr="00C153B1">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C153B1" w:rsidRPr="00C153B1">
        <w:rPr>
          <w:rFonts w:eastAsiaTheme="minorEastAsia"/>
        </w:rPr>
        <w:t>thiamethoxam</w:t>
      </w:r>
      <w:r w:rsidRPr="00C153B1">
        <w:rPr>
          <w:rFonts w:eastAsiaTheme="minorEastAsia"/>
        </w:rPr>
        <w:t xml:space="preserve"> will have No Effect (NE) or May Affect (MA) (separate determinations made for each species and critical habitat). For those species and critical habitats with MA determinations in Step 1, EPA will determine if </w:t>
      </w:r>
      <w:r w:rsidR="00C153B1" w:rsidRPr="00C153B1">
        <w:rPr>
          <w:rFonts w:eastAsiaTheme="minorEastAsia"/>
        </w:rPr>
        <w:t xml:space="preserve">thiamethoxam </w:t>
      </w:r>
      <w:r w:rsidRPr="00C153B1">
        <w:rPr>
          <w:rFonts w:eastAsiaTheme="minorEastAsia"/>
        </w:rPr>
        <w:t xml:space="preserve">is Not Likely to Adversely Affect (NLAA) or Likely to Adversely Affect (LAA) each individual species or critical habitat. </w:t>
      </w:r>
    </w:p>
    <w:p w14:paraId="45ED9530" w14:textId="77777777" w:rsidR="006A290E" w:rsidRPr="00C153B1" w:rsidRDefault="006A290E" w:rsidP="00251FB5">
      <w:pPr>
        <w:spacing w:after="0"/>
        <w:rPr>
          <w:rFonts w:eastAsiaTheme="minorEastAsia"/>
        </w:rPr>
      </w:pPr>
    </w:p>
    <w:p w14:paraId="46812130" w14:textId="65264ED7" w:rsidR="006A290E" w:rsidRPr="00C153B1" w:rsidRDefault="006A290E" w:rsidP="00251FB5">
      <w:pPr>
        <w:spacing w:after="0"/>
        <w:rPr>
          <w:rFonts w:eastAsiaTheme="minorEastAsia"/>
        </w:rPr>
      </w:pPr>
      <w:r w:rsidRPr="00C153B1">
        <w:rPr>
          <w:rFonts w:eastAsiaTheme="minorEastAsia"/>
        </w:rPr>
        <w:t xml:space="preserve">Details on the method, models and tools used for making NE, NLAA and LAA determinations are provided in the Revised Method. This analysis plan identifies </w:t>
      </w:r>
      <w:r w:rsidR="00C153B1" w:rsidRPr="00C153B1">
        <w:rPr>
          <w:rFonts w:eastAsiaTheme="minorEastAsia"/>
        </w:rPr>
        <w:t>thiamethoxam</w:t>
      </w:r>
      <w:r w:rsidR="005D7ACD">
        <w:rPr>
          <w:rFonts w:eastAsiaTheme="minorEastAsia"/>
        </w:rPr>
        <w:t>-s</w:t>
      </w:r>
      <w:r w:rsidRPr="00C153B1">
        <w:rPr>
          <w:rFonts w:eastAsiaTheme="minorEastAsia"/>
        </w:rPr>
        <w:t xml:space="preserve">pecific information that is used in the Revised Method to complete this BE. </w:t>
      </w:r>
    </w:p>
    <w:p w14:paraId="6C9D07F8" w14:textId="77777777" w:rsidR="00F539F8" w:rsidRPr="007007D8" w:rsidRDefault="00F539F8" w:rsidP="00251FB5">
      <w:pPr>
        <w:spacing w:after="0"/>
        <w:rPr>
          <w:rFonts w:eastAsiaTheme="minorEastAsia"/>
          <w:highlight w:val="yellow"/>
        </w:rPr>
      </w:pPr>
    </w:p>
    <w:p w14:paraId="3A3483CD" w14:textId="460AB953" w:rsidR="006A290E" w:rsidRDefault="006A290E" w:rsidP="00251FB5">
      <w:pPr>
        <w:spacing w:after="0"/>
      </w:pPr>
      <w:r w:rsidRPr="00C153B1">
        <w:t>Step 1 begins with an analysis of the potential overlap of the action area and individual species ranges or critical habitat. For species or critical habitats with no overlap (</w:t>
      </w:r>
      <w:r w:rsidRPr="00C153B1">
        <w:rPr>
          <w:i/>
          <w:iCs/>
        </w:rPr>
        <w:t>i.e.,</w:t>
      </w:r>
      <w:r w:rsidRPr="00C153B1">
        <w:t xml:space="preserve"> species found outside of the action area), NE determinations are made. The currently registered uses (summarized in </w:t>
      </w:r>
      <w:r w:rsidRPr="00C153B1">
        <w:rPr>
          <w:b/>
          <w:bCs/>
        </w:rPr>
        <w:t xml:space="preserve">Section </w:t>
      </w:r>
      <w:r w:rsidR="000B381D" w:rsidRPr="00C153B1">
        <w:rPr>
          <w:b/>
          <w:bCs/>
        </w:rPr>
        <w:t>4</w:t>
      </w:r>
      <w:r w:rsidR="00711DA5" w:rsidRPr="00C153B1">
        <w:rPr>
          <w:b/>
          <w:bCs/>
        </w:rPr>
        <w:t>,</w:t>
      </w:r>
      <w:r w:rsidRPr="00C153B1">
        <w:rPr>
          <w:b/>
          <w:bCs/>
        </w:rPr>
        <w:t xml:space="preserve"> APPENDIX 1-</w:t>
      </w:r>
      <w:r w:rsidR="00711DA5" w:rsidRPr="00C153B1">
        <w:rPr>
          <w:b/>
          <w:bCs/>
        </w:rPr>
        <w:t xml:space="preserve">2 </w:t>
      </w:r>
      <w:r w:rsidR="00711DA5" w:rsidRPr="00C153B1">
        <w:t>and</w:t>
      </w:r>
      <w:r w:rsidR="00711DA5" w:rsidRPr="00C153B1">
        <w:rPr>
          <w:b/>
          <w:bCs/>
        </w:rPr>
        <w:t xml:space="preserve"> APPENDIX 1-3</w:t>
      </w:r>
      <w:r w:rsidRPr="00C153B1">
        <w:t xml:space="preserve">) include agricultural </w:t>
      </w:r>
      <w:r w:rsidR="00F00969" w:rsidRPr="00C153B1">
        <w:t xml:space="preserve">and </w:t>
      </w:r>
      <w:r w:rsidRPr="00C153B1">
        <w:t>non-agricultural</w:t>
      </w:r>
      <w:r w:rsidR="009E3EFF" w:rsidRPr="00C153B1">
        <w:t xml:space="preserve"> uses.</w:t>
      </w:r>
      <w:r w:rsidRPr="00C153B1">
        <w:t xml:space="preserve"> </w:t>
      </w:r>
      <w:r w:rsidR="4AC298B4" w:rsidRPr="00C153B1">
        <w:t xml:space="preserve">The </w:t>
      </w:r>
      <w:r w:rsidR="00C153B1" w:rsidRPr="00C153B1">
        <w:t>thiamethoxam</w:t>
      </w:r>
      <w:r w:rsidR="4AC298B4" w:rsidRPr="00C153B1">
        <w:t xml:space="preserve"> overlap analysis is conducted using ArcGIS version 10.</w:t>
      </w:r>
      <w:r w:rsidR="0B4F0BE5">
        <w:t>8</w:t>
      </w:r>
      <w:r w:rsidR="4AC298B4" w:rsidRPr="00C153B1">
        <w:t xml:space="preserve">. </w:t>
      </w:r>
      <w:r w:rsidR="46FA37CA" w:rsidRPr="00C153B1">
        <w:t>A</w:t>
      </w:r>
      <w:r w:rsidR="00543D55" w:rsidRPr="00C153B1">
        <w:t xml:space="preserve">ll labeled uses </w:t>
      </w:r>
      <w:r w:rsidR="30BF5946" w:rsidRPr="00C153B1">
        <w:t xml:space="preserve">for </w:t>
      </w:r>
      <w:r w:rsidR="00C153B1" w:rsidRPr="00C153B1">
        <w:t xml:space="preserve">thiamethoxam </w:t>
      </w:r>
      <w:r w:rsidR="00543D55" w:rsidRPr="00C153B1">
        <w:t xml:space="preserve">are represented by one or more of the </w:t>
      </w:r>
      <w:r w:rsidR="00FF4236" w:rsidRPr="00C153B1">
        <w:t xml:space="preserve">agricultural or non-agricultural </w:t>
      </w:r>
      <w:r w:rsidR="00543D55" w:rsidRPr="00C153B1">
        <w:t xml:space="preserve">Use Data Layers (UDL) created from </w:t>
      </w:r>
      <w:r w:rsidR="00FF4236" w:rsidRPr="00C153B1">
        <w:t>a varie</w:t>
      </w:r>
      <w:r w:rsidR="26D0DC9C" w:rsidRPr="00C153B1">
        <w:t>ty</w:t>
      </w:r>
      <w:r w:rsidR="00FF4236" w:rsidRPr="00C153B1">
        <w:t xml:space="preserve"> of landcover, land use and supplemental data sources (see </w:t>
      </w:r>
      <w:r w:rsidR="00FF4236" w:rsidRPr="00C153B1">
        <w:rPr>
          <w:b/>
          <w:bCs/>
        </w:rPr>
        <w:t xml:space="preserve">APPENDIX 1-6 </w:t>
      </w:r>
      <w:r w:rsidR="00FF4236" w:rsidRPr="00C153B1">
        <w:t>for deta</w:t>
      </w:r>
      <w:r w:rsidR="00FF4236" w:rsidRPr="00CD6E5D">
        <w:t>ils)</w:t>
      </w:r>
      <w:r w:rsidRPr="00CD6E5D">
        <w:t xml:space="preserve">. </w:t>
      </w:r>
      <w:r w:rsidR="31E7633D" w:rsidRPr="00CD6E5D">
        <w:t>A</w:t>
      </w:r>
      <w:r w:rsidRPr="00C153B1">
        <w:t xml:space="preserve">gricultural and non-agricultural use sites are </w:t>
      </w:r>
      <w:r w:rsidR="00543D55" w:rsidRPr="00C153B1">
        <w:t>combined</w:t>
      </w:r>
      <w:r w:rsidRPr="00C153B1">
        <w:t xml:space="preserve"> to derive the action area</w:t>
      </w:r>
      <w:r w:rsidR="00CB1EEF" w:rsidRPr="00C153B1">
        <w:t xml:space="preserve"> </w:t>
      </w:r>
      <w:r w:rsidRPr="00C153B1">
        <w:t>(a</w:t>
      </w:r>
      <w:r w:rsidR="00251FB5">
        <w:t>nd</w:t>
      </w:r>
      <w:r w:rsidRPr="00C153B1">
        <w:t xml:space="preserve"> the associated off-site transport zone).</w:t>
      </w:r>
    </w:p>
    <w:p w14:paraId="77785A06" w14:textId="77777777" w:rsidR="00845A40" w:rsidRPr="00C153B1" w:rsidRDefault="00845A40" w:rsidP="00251FB5">
      <w:pPr>
        <w:spacing w:after="0"/>
      </w:pPr>
    </w:p>
    <w:p w14:paraId="6CCD61FC" w14:textId="640DD43E" w:rsidR="00771CE6" w:rsidRPr="00C153B1" w:rsidRDefault="006A290E" w:rsidP="00251FB5">
      <w:pPr>
        <w:spacing w:after="0"/>
        <w:rPr>
          <w:color w:val="000000" w:themeColor="text1"/>
        </w:rPr>
      </w:pPr>
      <w:proofErr w:type="gramStart"/>
      <w:r w:rsidRPr="00C153B1">
        <w:lastRenderedPageBreak/>
        <w:t>A number of</w:t>
      </w:r>
      <w:proofErr w:type="gramEnd"/>
      <w:r w:rsidRPr="00C153B1">
        <w:t xml:space="preserve"> spatial data sources </w:t>
      </w:r>
      <w:r w:rsidR="00235805">
        <w:t>are</w:t>
      </w:r>
      <w:r w:rsidRPr="00C153B1">
        <w:t xml:space="preserve"> used to generate Use Data Layers (UDLs), which map the potential use sites for </w:t>
      </w:r>
      <w:r w:rsidR="00C153B1" w:rsidRPr="00C153B1">
        <w:t>thiamethoxam</w:t>
      </w:r>
      <w:r w:rsidRPr="00C153B1">
        <w:t>. In the contiguous United States (ConUS), agricultural use pattern UDLs are represented by</w:t>
      </w:r>
      <w:r w:rsidRPr="00C153B1" w:rsidDel="00552909">
        <w:t xml:space="preserve"> using</w:t>
      </w:r>
      <w:r w:rsidRPr="00C153B1">
        <w:t xml:space="preserve"> the US Department of Agriculture’s (USDA) Crop Data Layer (CDL)</w:t>
      </w:r>
      <w:r w:rsidRPr="00C153B1">
        <w:rPr>
          <w:rStyle w:val="FootnoteReference"/>
        </w:rPr>
        <w:footnoteReference w:id="7"/>
      </w:r>
      <w:r w:rsidRPr="00C153B1">
        <w:t xml:space="preserve">.  This analysis utilizes data from 2013-2017. </w:t>
      </w:r>
      <w:r w:rsidRPr="00C153B1">
        <w:rPr>
          <w:b/>
          <w:bCs/>
        </w:rPr>
        <w:t xml:space="preserve">APPENDIX 1-5 </w:t>
      </w:r>
      <w:r w:rsidRPr="00C153B1">
        <w:t xml:space="preserve">includes a crosswalk between </w:t>
      </w:r>
      <w:r w:rsidR="00FF4236" w:rsidRPr="00C153B1">
        <w:t xml:space="preserve">crops found in the CDL and the resulting UDL while </w:t>
      </w:r>
      <w:r w:rsidRPr="00C153B1">
        <w:rPr>
          <w:b/>
          <w:bCs/>
        </w:rPr>
        <w:t>APPENDIX 1-</w:t>
      </w:r>
      <w:r w:rsidR="00FF4236" w:rsidRPr="00C153B1">
        <w:rPr>
          <w:b/>
          <w:bCs/>
        </w:rPr>
        <w:t>6</w:t>
      </w:r>
      <w:r w:rsidRPr="00C153B1">
        <w:t xml:space="preserve"> includes a crosswalk between </w:t>
      </w:r>
      <w:r w:rsidR="6DE29BF3" w:rsidRPr="00C153B1">
        <w:t>thiamethoxam</w:t>
      </w:r>
      <w:r w:rsidRPr="00C153B1">
        <w:t>’s registered agricultural crops and th</w:t>
      </w:r>
      <w:r w:rsidR="00FF4236" w:rsidRPr="00C153B1">
        <w:t>ose</w:t>
      </w:r>
      <w:r w:rsidRPr="00C153B1">
        <w:t xml:space="preserve"> </w:t>
      </w:r>
      <w:r w:rsidR="00FF4236" w:rsidRPr="00C153B1">
        <w:t>U</w:t>
      </w:r>
      <w:r w:rsidRPr="00C153B1">
        <w:t>DL</w:t>
      </w:r>
      <w:r w:rsidR="00FF4236" w:rsidRPr="00C153B1">
        <w:t>s</w:t>
      </w:r>
      <w:r w:rsidRPr="00C153B1">
        <w:t xml:space="preserve">. </w:t>
      </w:r>
      <w:r w:rsidRPr="00C153B1">
        <w:rPr>
          <w:b/>
          <w:bCs/>
        </w:rPr>
        <w:t>APPENDIX 1-</w:t>
      </w:r>
      <w:r w:rsidR="126955A0" w:rsidRPr="00C153B1">
        <w:rPr>
          <w:b/>
          <w:bCs/>
        </w:rPr>
        <w:t>5</w:t>
      </w:r>
      <w:r w:rsidRPr="00C153B1">
        <w:t xml:space="preserve"> also defines how individual CDL layers are grouped into UDL categories</w:t>
      </w:r>
      <w:r w:rsidRPr="00C153B1">
        <w:rPr>
          <w:rStyle w:val="FootnoteReference"/>
        </w:rPr>
        <w:footnoteReference w:id="8"/>
      </w:r>
      <w:r w:rsidRPr="00C153B1">
        <w:t xml:space="preserve"> and temporally combined to account for the accuracy of the data. USDA’s </w:t>
      </w:r>
      <w:r w:rsidR="5C5FD059">
        <w:t>201</w:t>
      </w:r>
      <w:r w:rsidR="49D69543">
        <w:t>2</w:t>
      </w:r>
      <w:r w:rsidR="5C5FD059">
        <w:t xml:space="preserve"> </w:t>
      </w:r>
      <w:r w:rsidRPr="00C153B1">
        <w:t xml:space="preserve">Census of Agriculture (CoA) is also used </w:t>
      </w:r>
      <w:r w:rsidRPr="00251FB5">
        <w:rPr>
          <w:color w:val="auto"/>
        </w:rPr>
        <w:t xml:space="preserve">to improve accuracy </w:t>
      </w:r>
      <w:r w:rsidR="00FF4236" w:rsidRPr="00251FB5">
        <w:rPr>
          <w:color w:val="auto"/>
        </w:rPr>
        <w:t>of the individual UDLs</w:t>
      </w:r>
      <w:r w:rsidRPr="00251FB5">
        <w:rPr>
          <w:color w:val="auto"/>
        </w:rPr>
        <w:t xml:space="preserve"> by expanding the agricultural UDLs to meet or exceed the reported acres in the CoA </w:t>
      </w:r>
      <w:r w:rsidR="00FF4236" w:rsidRPr="00251FB5">
        <w:rPr>
          <w:color w:val="auto"/>
        </w:rPr>
        <w:t>as needed</w:t>
      </w:r>
      <w:r w:rsidR="00CB1EEF" w:rsidRPr="00251FB5">
        <w:rPr>
          <w:color w:val="auto"/>
        </w:rPr>
        <w:t xml:space="preserve"> </w:t>
      </w:r>
      <w:r w:rsidRPr="00251FB5">
        <w:rPr>
          <w:color w:val="auto"/>
        </w:rPr>
        <w:t>(</w:t>
      </w:r>
      <w:r w:rsidR="1AA6D95D" w:rsidRPr="00251FB5">
        <w:rPr>
          <w:color w:val="auto"/>
        </w:rPr>
        <w:t xml:space="preserve">see </w:t>
      </w:r>
      <w:r w:rsidR="1AA6D95D" w:rsidRPr="00251FB5">
        <w:rPr>
          <w:b/>
          <w:bCs/>
          <w:color w:val="auto"/>
        </w:rPr>
        <w:t xml:space="preserve">APPENDIX 1-5 </w:t>
      </w:r>
      <w:r w:rsidR="1AA6D95D" w:rsidRPr="00251FB5">
        <w:rPr>
          <w:color w:val="auto"/>
        </w:rPr>
        <w:t>for additional information on the UDLs and</w:t>
      </w:r>
      <w:r w:rsidR="1AA6D95D" w:rsidRPr="00251FB5">
        <w:rPr>
          <w:b/>
          <w:bCs/>
          <w:color w:val="auto"/>
        </w:rPr>
        <w:t xml:space="preserve"> </w:t>
      </w:r>
      <w:r w:rsidRPr="00251FB5">
        <w:rPr>
          <w:b/>
          <w:bCs/>
          <w:color w:val="auto"/>
        </w:rPr>
        <w:t>ATTACHMENT 1-3</w:t>
      </w:r>
      <w:r w:rsidR="72E7C8CF" w:rsidRPr="00251FB5">
        <w:rPr>
          <w:b/>
          <w:bCs/>
          <w:color w:val="auto"/>
        </w:rPr>
        <w:t xml:space="preserve"> </w:t>
      </w:r>
      <w:r w:rsidR="72E7C8CF" w:rsidRPr="00251FB5">
        <w:rPr>
          <w:color w:val="auto"/>
        </w:rPr>
        <w:t>for additional information on extracting the acres from the CoA</w:t>
      </w:r>
      <w:r w:rsidRPr="00251FB5">
        <w:rPr>
          <w:color w:val="auto"/>
        </w:rPr>
        <w:t xml:space="preserve">). </w:t>
      </w:r>
      <w:r w:rsidR="4683334E" w:rsidRPr="00251FB5">
        <w:rPr>
          <w:color w:val="auto"/>
        </w:rPr>
        <w:t>The CDL is only available for ConUS, so other data sources are used to represent agricultural areas in states and US territorie</w:t>
      </w:r>
      <w:r w:rsidR="4683334E" w:rsidRPr="00AC40EF">
        <w:t>s outside of ConUS</w:t>
      </w:r>
      <w:r w:rsidR="00415B58">
        <w:t xml:space="preserve"> (referred to as NL48</w:t>
      </w:r>
      <w:r w:rsidR="00771CE6" w:rsidRPr="00AC40EF">
        <w:rPr>
          <w:rStyle w:val="FootnoteReference"/>
        </w:rPr>
        <w:footnoteReference w:id="9"/>
      </w:r>
      <w:r w:rsidR="4683334E" w:rsidRPr="00AC40EF">
        <w:t>). In Alaska and Puerto Rico, the US Geological Survey’s 201</w:t>
      </w:r>
      <w:r w:rsidR="00694FF1" w:rsidRPr="00AC40EF">
        <w:t>6</w:t>
      </w:r>
      <w:r w:rsidR="5392D05F" w:rsidRPr="00AC40EF">
        <w:t xml:space="preserve"> and 2001</w:t>
      </w:r>
      <w:r w:rsidR="00415B58" w:rsidRPr="00415B58">
        <w:t xml:space="preserve"> </w:t>
      </w:r>
      <w:r w:rsidR="00415B58" w:rsidRPr="00F5505C">
        <w:t>National Land Cover Dataset (NLCD)</w:t>
      </w:r>
      <w:r w:rsidR="00771CE6" w:rsidRPr="00AC40EF">
        <w:rPr>
          <w:rStyle w:val="FootnoteReference"/>
        </w:rPr>
        <w:footnoteReference w:id="10"/>
      </w:r>
      <w:r w:rsidR="4683334E" w:rsidRPr="00AC40EF">
        <w:t xml:space="preserve"> </w:t>
      </w:r>
      <w:r w:rsidR="00235805">
        <w:t>are</w:t>
      </w:r>
      <w:r w:rsidR="4683334E" w:rsidRPr="00AC40EF">
        <w:t xml:space="preserve"> used</w:t>
      </w:r>
      <w:r w:rsidR="421B24CE" w:rsidRPr="00AC40EF">
        <w:t>, respectively</w:t>
      </w:r>
      <w:r w:rsidR="4683334E" w:rsidRPr="00C153B1">
        <w:t>. In Hawaii, Guam, American Samoa, Virgin Islands and Northern</w:t>
      </w:r>
      <w:r w:rsidR="4683334E">
        <w:t xml:space="preserve"> Mariana Islands, the National Oceanic and Atmospheric Administration’s </w:t>
      </w:r>
      <w:r w:rsidR="00415B58" w:rsidRPr="00F5505C">
        <w:t>Co</w:t>
      </w:r>
      <w:r w:rsidR="00415B58">
        <w:t>a</w:t>
      </w:r>
      <w:r w:rsidR="00415B58" w:rsidRPr="00F5505C">
        <w:t>stal Change Analysis Program (C-CAP)</w:t>
      </w:r>
      <w:r w:rsidR="00415B58" w:rsidRPr="00F5505C">
        <w:rPr>
          <w:rStyle w:val="FootnoteReference"/>
        </w:rPr>
        <w:footnoteReference w:id="11"/>
      </w:r>
      <w:r w:rsidR="00415B58" w:rsidRPr="00F5505C">
        <w:t xml:space="preserve"> data from</w:t>
      </w:r>
      <w:r w:rsidR="00415B58">
        <w:t xml:space="preserve"> </w:t>
      </w:r>
      <w:r w:rsidR="4683334E" w:rsidRPr="00C153B1">
        <w:t>20</w:t>
      </w:r>
      <w:r w:rsidR="00235805">
        <w:t>04</w:t>
      </w:r>
      <w:r w:rsidR="033AFA3F" w:rsidRPr="00C153B1">
        <w:t>-201</w:t>
      </w:r>
      <w:r w:rsidR="537F2FAA" w:rsidRPr="00C153B1">
        <w:t>2</w:t>
      </w:r>
      <w:r w:rsidR="4683334E" w:rsidRPr="00C153B1">
        <w:t xml:space="preserve"> are used. </w:t>
      </w:r>
      <w:r w:rsidRPr="00C153B1">
        <w:t>For non-agricultural use patterns in ConUS</w:t>
      </w:r>
      <w:r>
        <w:t xml:space="preserve"> </w:t>
      </w:r>
      <w:r w:rsidR="2F8F9E40">
        <w:t xml:space="preserve">and NL48 </w:t>
      </w:r>
      <w:r>
        <w:t xml:space="preserve">additional UDLs </w:t>
      </w:r>
      <w:r w:rsidR="00235805">
        <w:t xml:space="preserve">are </w:t>
      </w:r>
      <w:r>
        <w:t xml:space="preserve">created to represent </w:t>
      </w:r>
      <w:r w:rsidR="0065380E" w:rsidRPr="00C153B1">
        <w:t xml:space="preserve">thiamethoxam’s </w:t>
      </w:r>
      <w:r>
        <w:t xml:space="preserve">registered uses. The data sources used for these UDLs included but </w:t>
      </w:r>
      <w:r w:rsidR="00415B58">
        <w:t>we</w:t>
      </w:r>
      <w:r>
        <w:t>re not limited to the NLCD 201</w:t>
      </w:r>
      <w:r w:rsidR="0065380E" w:rsidRPr="00C153B1">
        <w:t>6</w:t>
      </w:r>
      <w:r w:rsidRPr="00C153B1">
        <w:t>, GAP Protected Areas Database, LandFire and NAVTEQ</w:t>
      </w:r>
      <w:r w:rsidR="41EB1732" w:rsidRPr="079B5F19">
        <w:rPr>
          <w:color w:val="000000" w:themeColor="text1"/>
        </w:rPr>
        <w:t xml:space="preserve">. </w:t>
      </w:r>
      <w:r w:rsidR="6EEDB432" w:rsidRPr="424195B3">
        <w:rPr>
          <w:color w:val="000000" w:themeColor="text1"/>
        </w:rPr>
        <w:t xml:space="preserve">A new non-agricultural layer representing possible poultry litter applications was developed for use in this BE. </w:t>
      </w:r>
      <w:r w:rsidR="4683334E">
        <w:t xml:space="preserve">Due to the limited availability of GIS data in some of the NL48 regions, the </w:t>
      </w:r>
      <w:r w:rsidR="000C7DEB" w:rsidRPr="00C153B1">
        <w:t xml:space="preserve">Field </w:t>
      </w:r>
      <w:r w:rsidR="4683334E" w:rsidRPr="00C153B1">
        <w:t>Nurseries UDL could not be created in Commonwealth of the Northern Mariana Island, Guam, and America Samoa.</w:t>
      </w:r>
      <w:r w:rsidR="00CB1EEF" w:rsidRPr="00C153B1">
        <w:rPr>
          <w:b/>
          <w:bCs/>
        </w:rPr>
        <w:t xml:space="preserve"> </w:t>
      </w:r>
      <w:r w:rsidR="4683334E" w:rsidRPr="424195B3">
        <w:rPr>
          <w:b/>
          <w:bCs/>
        </w:rPr>
        <w:t>APPENDIX 1-6</w:t>
      </w:r>
      <w:r w:rsidR="4683334E" w:rsidRPr="00C153B1">
        <w:t xml:space="preserve"> summarizes all spatial data used to generate the agricultural and non-agricultural UDLs used for </w:t>
      </w:r>
      <w:r w:rsidR="00C153B1" w:rsidRPr="00C153B1">
        <w:t xml:space="preserve">thiamethoxam’s </w:t>
      </w:r>
      <w:r w:rsidR="4683334E" w:rsidRPr="00C153B1">
        <w:t>potential use site footprints in the ConUS</w:t>
      </w:r>
      <w:r w:rsidR="4683334E">
        <w:t xml:space="preserve"> and NL48.</w:t>
      </w:r>
    </w:p>
    <w:p w14:paraId="43996895" w14:textId="77777777" w:rsidR="006A290E" w:rsidRPr="007007D8" w:rsidRDefault="006A290E" w:rsidP="003A2128">
      <w:pPr>
        <w:keepNext/>
        <w:keepLines/>
        <w:spacing w:after="0"/>
        <w:rPr>
          <w:highlight w:val="yellow"/>
        </w:rPr>
      </w:pPr>
    </w:p>
    <w:p w14:paraId="6F4DF451" w14:textId="5D98074A" w:rsidR="006A290E" w:rsidRPr="00D910D7" w:rsidRDefault="006A290E" w:rsidP="003A2128">
      <w:pPr>
        <w:spacing w:after="0"/>
      </w:pPr>
      <w:r>
        <w:t xml:space="preserve">The Step 2 overlap analysis incorporates </w:t>
      </w:r>
      <w:r w:rsidR="00C153B1">
        <w:t>thiamethoxam</w:t>
      </w:r>
      <w:r>
        <w:t xml:space="preserve"> usage data, which are provided in the SUUM</w:t>
      </w:r>
      <w:r w:rsidR="008974DE">
        <w:t xml:space="preserve"> (SIAB Use and Usage Matrix)</w:t>
      </w:r>
      <w:r w:rsidR="00C20EF7">
        <w:t>, combining it with information from the CoA</w:t>
      </w:r>
      <w:r w:rsidR="5A66C9E9">
        <w:t xml:space="preserve"> 2017</w:t>
      </w:r>
      <w:r w:rsidR="00270E48">
        <w:t xml:space="preserve"> </w:t>
      </w:r>
      <w:r>
        <w:t>(</w:t>
      </w:r>
      <w:r w:rsidRPr="424195B3">
        <w:rPr>
          <w:b/>
          <w:bCs/>
        </w:rPr>
        <w:t>APPENDIX 1-4</w:t>
      </w:r>
      <w:r w:rsidR="00C20EF7" w:rsidRPr="424195B3">
        <w:rPr>
          <w:b/>
          <w:bCs/>
        </w:rPr>
        <w:t>, ATTACHMENT 1-4</w:t>
      </w:r>
      <w:r>
        <w:t xml:space="preserve">). </w:t>
      </w:r>
      <w:r w:rsidRPr="424195B3">
        <w:rPr>
          <w:b/>
          <w:bCs/>
        </w:rPr>
        <w:t>APPENDI</w:t>
      </w:r>
      <w:r w:rsidR="00213AAE" w:rsidRPr="424195B3">
        <w:rPr>
          <w:b/>
          <w:bCs/>
        </w:rPr>
        <w:t>X</w:t>
      </w:r>
      <w:r w:rsidRPr="424195B3">
        <w:rPr>
          <w:b/>
          <w:bCs/>
        </w:rPr>
        <w:t xml:space="preserve"> 1-7 </w:t>
      </w:r>
      <w:r w:rsidR="3A5D69E1" w:rsidRPr="424195B3">
        <w:rPr>
          <w:b/>
          <w:bCs/>
        </w:rPr>
        <w:t xml:space="preserve">and 1-8 </w:t>
      </w:r>
      <w:r>
        <w:t xml:space="preserve">describe how the usage data for </w:t>
      </w:r>
      <w:r w:rsidR="00C153B1">
        <w:t>thiamethoxam</w:t>
      </w:r>
      <w:r w:rsidR="00C20EF7">
        <w:t>, the CoA</w:t>
      </w:r>
      <w:r w:rsidR="65F37B56">
        <w:t xml:space="preserve"> 2017</w:t>
      </w:r>
      <w:r w:rsidR="00C20EF7">
        <w:t>, and the potential use sites</w:t>
      </w:r>
      <w:r>
        <w:t xml:space="preserve"> are combined to estimate the number of treated acres relevant to a given species located in ConUS</w:t>
      </w:r>
      <w:r w:rsidR="00D74AD8">
        <w:t xml:space="preserve"> o</w:t>
      </w:r>
      <w:r w:rsidR="00C20EF7">
        <w:t>r</w:t>
      </w:r>
      <w:r w:rsidR="00D74AD8">
        <w:t xml:space="preserve"> NL48 (respectively)</w:t>
      </w:r>
      <w:r>
        <w:t xml:space="preserve">. These appendices also explain how the off-site transport zone (specifically spray drift) is adjusted based on available usage data. </w:t>
      </w:r>
    </w:p>
    <w:p w14:paraId="1CA2BF9D" w14:textId="77777777" w:rsidR="006A290E" w:rsidRPr="00D910D7" w:rsidRDefault="006A290E" w:rsidP="003A2128">
      <w:pPr>
        <w:spacing w:after="0"/>
      </w:pPr>
    </w:p>
    <w:p w14:paraId="295F24DD" w14:textId="5D83A1B1" w:rsidR="00D021E0" w:rsidRPr="00D910D7" w:rsidRDefault="001366C0" w:rsidP="003A2128">
      <w:pPr>
        <w:spacing w:after="0"/>
        <w:rPr>
          <w:rFonts w:eastAsiaTheme="minorEastAsia"/>
        </w:rPr>
      </w:pPr>
      <w:bookmarkStart w:id="26" w:name="_Hlk52770918"/>
      <w:bookmarkStart w:id="27" w:name="_Hlk52771142"/>
      <w:r w:rsidRPr="00D910D7">
        <w:rPr>
          <w:rFonts w:eastAsiaTheme="minorEastAsia"/>
        </w:rPr>
        <w:t>The Revised Method document stated “</w:t>
      </w:r>
      <w:r w:rsidRPr="00D910D7">
        <w:t xml:space="preserve">Over time, EPA expects to update the </w:t>
      </w:r>
      <w:proofErr w:type="gramStart"/>
      <w:r w:rsidRPr="00D910D7">
        <w:t>MAGtool</w:t>
      </w:r>
      <w:proofErr w:type="gramEnd"/>
      <w:r w:rsidRPr="00D910D7">
        <w:t xml:space="preserve"> and other models and tools described in this document. When a pesticide BE is conducted, it will incorporate the </w:t>
      </w:r>
      <w:r w:rsidRPr="00D910D7">
        <w:lastRenderedPageBreak/>
        <w:t xml:space="preserve">most current versions of models and tools intended for use in the BEs.” </w:t>
      </w:r>
      <w:bookmarkStart w:id="28" w:name="_Hlk79994753"/>
      <w:bookmarkStart w:id="29" w:name="_Hlk79994594"/>
      <w:r w:rsidR="0063361A" w:rsidRPr="00D910D7">
        <w:rPr>
          <w:rFonts w:eastAsiaTheme="minorEastAsia"/>
        </w:rPr>
        <w:t xml:space="preserve">This BE is consistent with the Revised Method and </w:t>
      </w:r>
      <w:r w:rsidR="00EA4C2E">
        <w:rPr>
          <w:rFonts w:eastAsiaTheme="minorEastAsia"/>
        </w:rPr>
        <w:t>updates include</w:t>
      </w:r>
      <w:r w:rsidR="00EA4C2E" w:rsidRPr="00800879">
        <w:rPr>
          <w:rFonts w:eastAsiaTheme="minorEastAsia"/>
        </w:rPr>
        <w:t xml:space="preserve"> a refined exposure model for plants inhabiting terrestrial, wetland and aquatic habitats</w:t>
      </w:r>
      <w:r w:rsidR="00EA4C2E">
        <w:rPr>
          <w:rFonts w:eastAsiaTheme="minorEastAsia"/>
        </w:rPr>
        <w:t xml:space="preserve"> and updates to the MAGtool to improve accuracy, </w:t>
      </w:r>
      <w:proofErr w:type="gramStart"/>
      <w:r w:rsidR="00EA4C2E">
        <w:rPr>
          <w:rFonts w:eastAsiaTheme="minorEastAsia"/>
        </w:rPr>
        <w:t>efficiency</w:t>
      </w:r>
      <w:proofErr w:type="gramEnd"/>
      <w:r w:rsidR="00EA4C2E">
        <w:rPr>
          <w:rFonts w:eastAsiaTheme="minorEastAsia"/>
        </w:rPr>
        <w:t xml:space="preserve"> and transparency</w:t>
      </w:r>
      <w:r w:rsidR="0063361A">
        <w:rPr>
          <w:rFonts w:eastAsiaTheme="minorEastAsia"/>
        </w:rPr>
        <w:t xml:space="preserve">, </w:t>
      </w:r>
      <w:r w:rsidR="00EA4C2E">
        <w:rPr>
          <w:rFonts w:eastAsiaTheme="minorEastAsia"/>
        </w:rPr>
        <w:t xml:space="preserve">as </w:t>
      </w:r>
      <w:r w:rsidRPr="00D910D7">
        <w:rPr>
          <w:rFonts w:eastAsiaTheme="minorEastAsia"/>
        </w:rPr>
        <w:t>discussed below.</w:t>
      </w:r>
      <w:bookmarkEnd w:id="28"/>
    </w:p>
    <w:bookmarkEnd w:id="29"/>
    <w:p w14:paraId="62941C87" w14:textId="77777777" w:rsidR="00D021E0" w:rsidRPr="007007D8" w:rsidRDefault="00D021E0" w:rsidP="003A2128">
      <w:pPr>
        <w:spacing w:after="0"/>
        <w:rPr>
          <w:rFonts w:eastAsiaTheme="minorEastAsia"/>
          <w:highlight w:val="yellow"/>
        </w:rPr>
      </w:pPr>
    </w:p>
    <w:p w14:paraId="52727518" w14:textId="17AF04D2" w:rsidR="001366C0" w:rsidRPr="00AC40EF" w:rsidRDefault="001366C0" w:rsidP="003A2128">
      <w:pPr>
        <w:spacing w:after="0"/>
        <w:rPr>
          <w:rStyle w:val="eop"/>
          <w:shd w:val="clear" w:color="auto" w:fill="FFFFFF"/>
        </w:rPr>
      </w:pPr>
      <w:r w:rsidRPr="00AC40EF">
        <w:rPr>
          <w:rStyle w:val="normaltextrun"/>
          <w:shd w:val="clear" w:color="auto" w:fill="FFFFFF"/>
        </w:rPr>
        <w:t xml:space="preserve">To estimate exposures to plants in aquatic, wetland, and terrestrial habitats, this BE </w:t>
      </w:r>
      <w:proofErr w:type="gramStart"/>
      <w:r w:rsidRPr="00AC40EF">
        <w:rPr>
          <w:rStyle w:val="normaltextrun"/>
          <w:shd w:val="clear" w:color="auto" w:fill="FFFFFF"/>
        </w:rPr>
        <w:t>uses</w:t>
      </w:r>
      <w:proofErr w:type="gramEnd"/>
      <w:r w:rsidRPr="00AC40EF">
        <w:rPr>
          <w:rStyle w:val="normaltextrun"/>
          <w:shd w:val="clear" w:color="auto" w:fill="FFFFFF"/>
        </w:rPr>
        <w:t xml:space="preserve"> the Plant Assessment Tool (PAT), a new tool designed to refine screening-level exposure estimates to plants typically generated using TerrPlant. PAT employs mechanistic representations of fate (</w:t>
      </w:r>
      <w:r w:rsidRPr="003956DA">
        <w:rPr>
          <w:rStyle w:val="normaltextrun"/>
          <w:i/>
          <w:iCs/>
          <w:shd w:val="clear" w:color="auto" w:fill="FFFFFF"/>
        </w:rPr>
        <w:t>e.g</w:t>
      </w:r>
      <w:r w:rsidRPr="00AC40EF">
        <w:rPr>
          <w:rStyle w:val="normaltextrun"/>
          <w:shd w:val="clear" w:color="auto" w:fill="FFFFFF"/>
        </w:rPr>
        <w:t>., degradation) and transport (</w:t>
      </w:r>
      <w:r w:rsidRPr="003956DA">
        <w:rPr>
          <w:rStyle w:val="normaltextrun"/>
          <w:i/>
          <w:iCs/>
          <w:shd w:val="clear" w:color="auto" w:fill="FFFFFF"/>
        </w:rPr>
        <w:t>e.g</w:t>
      </w:r>
      <w:r w:rsidRPr="00AC40EF">
        <w:rPr>
          <w:rStyle w:val="normaltextrun"/>
          <w:shd w:val="clear" w:color="auto" w:fill="FFFFFF"/>
        </w:rPr>
        <w:t xml:space="preserve">., runoff), using data that are typically available for pesticides, to model runoff and spray drift exposure to terrestrial and wetland environments. For terrestrial plants, runoff and erosion are modeled using the Pesticide Root Zone Model (PRZM; which is part of </w:t>
      </w:r>
      <w:r w:rsidR="001A5516" w:rsidRPr="00D910D7">
        <w:t xml:space="preserve">the Pesticide in Water Calculator </w:t>
      </w:r>
      <w:r w:rsidR="001A5516">
        <w:t>(</w:t>
      </w:r>
      <w:r w:rsidRPr="00AC40EF">
        <w:rPr>
          <w:rStyle w:val="normaltextrun"/>
          <w:shd w:val="clear" w:color="auto" w:fill="FFFFFF"/>
        </w:rPr>
        <w:t>PWC</w:t>
      </w:r>
      <w:r w:rsidR="001A5516">
        <w:rPr>
          <w:rStyle w:val="normaltextrun"/>
          <w:shd w:val="clear" w:color="auto" w:fill="FFFFFF"/>
        </w:rPr>
        <w:t>)</w:t>
      </w:r>
      <w:r w:rsidRPr="00AC40EF">
        <w:rPr>
          <w:rStyle w:val="normaltextrun"/>
          <w:shd w:val="clear" w:color="auto" w:fill="FFFFFF"/>
        </w:rPr>
        <w:t>) and spray drift is modeled using </w:t>
      </w:r>
      <w:r w:rsidRPr="00AC40EF">
        <w:rPr>
          <w:rStyle w:val="spellingerror"/>
          <w:shd w:val="clear" w:color="auto" w:fill="FFFFFF"/>
        </w:rPr>
        <w:t>AgDRIFT</w:t>
      </w:r>
      <w:r w:rsidRPr="00AC40EF">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w:t>
      </w:r>
      <w:r w:rsidRPr="003956DA">
        <w:rPr>
          <w:rStyle w:val="normaltextrun"/>
          <w:i/>
          <w:iCs/>
          <w:shd w:val="clear" w:color="auto" w:fill="FFFFFF"/>
        </w:rPr>
        <w:t>i.e.</w:t>
      </w:r>
      <w:r w:rsidRPr="00AC40EF">
        <w:rPr>
          <w:rStyle w:val="normaltextrun"/>
          <w:shd w:val="clear" w:color="auto" w:fill="FFFFFF"/>
        </w:rPr>
        <w:t>, washout and infiltration below the active root zone) and degradation. Wetlands are modeled using PRZM and the Variable Volume Water Model (VVWM) and are then processed in PAT to estimate aquatic (mass per volume of water) and terrestrial (mass per area) concentrations. Aquatic plant exposure is modeled using the PRZM/VVWM models and the standard pond.</w:t>
      </w:r>
      <w:r w:rsidRPr="00AC40EF">
        <w:rPr>
          <w:rStyle w:val="eop"/>
          <w:shd w:val="clear" w:color="auto" w:fill="FFFFFF"/>
        </w:rPr>
        <w:t> The results from PAT are summarized for use in the MAGtool in the same way as the results from PWC.</w:t>
      </w:r>
    </w:p>
    <w:bookmarkEnd w:id="26"/>
    <w:bookmarkEnd w:id="27"/>
    <w:p w14:paraId="1A45EBAA" w14:textId="77777777" w:rsidR="00EA4C2E" w:rsidRDefault="00EA4C2E" w:rsidP="003A2128">
      <w:pPr>
        <w:spacing w:after="0"/>
      </w:pPr>
    </w:p>
    <w:p w14:paraId="6CFE0CDE" w14:textId="4762B640" w:rsidR="00EA4C2E" w:rsidRDefault="00EA4C2E" w:rsidP="003A2128">
      <w:pPr>
        <w:spacing w:after="0"/>
      </w:pPr>
      <w:bookmarkStart w:id="30" w:name="_Hlk79994633"/>
      <w:r>
        <w:t>Since the publication of the Revised Methods</w:t>
      </w:r>
      <w:r w:rsidRPr="00965EA8">
        <w:t>, modification</w:t>
      </w:r>
      <w:r>
        <w:t xml:space="preserve">s were made to the </w:t>
      </w:r>
      <w:proofErr w:type="gramStart"/>
      <w:r>
        <w:t>MAGtool</w:t>
      </w:r>
      <w:proofErr w:type="gramEnd"/>
      <w:r>
        <w:t xml:space="preserve"> and an updated version was used in this analysis</w:t>
      </w:r>
      <w:r w:rsidR="00616FD9">
        <w:t xml:space="preserve"> (MAGtool version 2.3.1)</w:t>
      </w:r>
      <w:r>
        <w:t xml:space="preserve">. Updates to the tool incorporated continued efforts to improve the efficiency, accuracy, and refinement of the tool. These updates are outlined more fully in the MAGtool documentation included on the </w:t>
      </w:r>
      <w:r w:rsidR="00616FD9">
        <w:t>models</w:t>
      </w:r>
      <w:r w:rsidR="00616FD9" w:rsidRPr="00D910D7">
        <w:rPr>
          <w:vertAlign w:val="superscript"/>
        </w:rPr>
        <w:footnoteReference w:id="12"/>
      </w:r>
      <w:r w:rsidR="00616FD9" w:rsidRPr="00D910D7">
        <w:t xml:space="preserve"> </w:t>
      </w:r>
      <w:r>
        <w:t>website and included incorporation of a new batch function analysis, improvements to spray drift analysis methods and input options, as well as the ability to make effects determinations either deterministically or probabilistically. The model allows the user to make d</w:t>
      </w:r>
      <w:r w:rsidRPr="000E30C0">
        <w:t xml:space="preserve">eterministic calculations using the upper and lower bounds of the exposure assumptions, </w:t>
      </w:r>
      <w:r>
        <w:t>or using</w:t>
      </w:r>
      <w:r w:rsidRPr="000E30C0">
        <w:t xml:space="preserve"> </w:t>
      </w:r>
      <w:r>
        <w:t xml:space="preserve">a </w:t>
      </w:r>
      <w:r w:rsidRPr="000E30C0">
        <w:t xml:space="preserve">probabilistic analysis, to determine impacts to a species based on mortality effects, sublethal effect or effects to </w:t>
      </w:r>
      <w:r w:rsidRPr="008A10CB">
        <w:t>prey, pollination, habitat, and dispersal vectors</w:t>
      </w:r>
      <w:r w:rsidRPr="000E30C0">
        <w:t xml:space="preserve"> </w:t>
      </w:r>
      <w:r>
        <w:t>(</w:t>
      </w:r>
      <w:r w:rsidRPr="000E30C0">
        <w:t>PPHD</w:t>
      </w:r>
      <w:r>
        <w:t>)</w:t>
      </w:r>
      <w:r w:rsidRPr="000E30C0">
        <w:t xml:space="preserve">. </w:t>
      </w:r>
      <w:r w:rsidRPr="00970DB9">
        <w:t>This was done to provide more transparency to the results calculations</w:t>
      </w:r>
      <w:r>
        <w:t xml:space="preserve"> </w:t>
      </w:r>
      <w:r w:rsidRPr="00970DB9">
        <w:t xml:space="preserve">and to </w:t>
      </w:r>
      <w:r>
        <w:t>streamline the calculations for shorter run times</w:t>
      </w:r>
      <w:r w:rsidRPr="00970DB9">
        <w:t>. For a subset of species, selected based on the potential to refine the effects analysis, probabilistic analysis was used in making effects determinations.</w:t>
      </w:r>
      <w:r w:rsidRPr="000E30C0">
        <w:t xml:space="preserve"> For </w:t>
      </w:r>
      <w:proofErr w:type="gramStart"/>
      <w:r w:rsidRPr="000E30C0">
        <w:t>the majority of</w:t>
      </w:r>
      <w:proofErr w:type="gramEnd"/>
      <w:r w:rsidRPr="000E30C0">
        <w:t xml:space="preserve"> species, as impacts are predicted even at the minimum or lower bound of exposure assumptions, the probabilistic analysis does not change the effects determination</w:t>
      </w:r>
      <w:r>
        <w:t xml:space="preserve"> and was not conducted</w:t>
      </w:r>
      <w:r w:rsidRPr="000E30C0">
        <w:t>.</w:t>
      </w:r>
    </w:p>
    <w:bookmarkEnd w:id="30"/>
    <w:p w14:paraId="754B836E" w14:textId="77777777" w:rsidR="00EA4C2E" w:rsidRDefault="00EA4C2E" w:rsidP="00251FB5">
      <w:pPr>
        <w:spacing w:after="0"/>
        <w:rPr>
          <w:highlight w:val="yellow"/>
        </w:rPr>
      </w:pPr>
    </w:p>
    <w:p w14:paraId="5E0A5AF9" w14:textId="735DF8CA" w:rsidR="001366C0" w:rsidRPr="00FB5489" w:rsidRDefault="001366C0" w:rsidP="003A2128">
      <w:r w:rsidRPr="00D910D7">
        <w:rPr>
          <w:b/>
          <w:bCs/>
        </w:rPr>
        <w:t xml:space="preserve">Chapter 2 </w:t>
      </w:r>
      <w:r w:rsidRPr="00D910D7">
        <w:t xml:space="preserve">of this BE includes </w:t>
      </w:r>
      <w:r w:rsidR="00D910D7" w:rsidRPr="00D910D7">
        <w:t>thiamethoxam’s</w:t>
      </w:r>
      <w:r w:rsidR="00855750" w:rsidRPr="00D910D7">
        <w:t xml:space="preserve"> </w:t>
      </w:r>
      <w:r w:rsidRPr="00D910D7">
        <w:t xml:space="preserve">toxicity endpoints and </w:t>
      </w:r>
      <w:r w:rsidRPr="00D910D7">
        <w:rPr>
          <w:b/>
          <w:bCs/>
        </w:rPr>
        <w:t>Chapter 3</w:t>
      </w:r>
      <w:r w:rsidRPr="00D910D7">
        <w:t xml:space="preserve"> includes the exposure analysis. These toxicity endpoints and exposure estimates are used in Steps 1 and 2.</w:t>
      </w:r>
      <w:r w:rsidRPr="00D910D7">
        <w:rPr>
          <w:b/>
          <w:bCs/>
        </w:rPr>
        <w:t xml:space="preserve"> Chapter 2</w:t>
      </w:r>
      <w:r w:rsidRPr="00D910D7">
        <w:t xml:space="preserve"> also summarizes incident reports that are associated with applications of </w:t>
      </w:r>
      <w:r w:rsidR="00D910D7" w:rsidRPr="00D910D7">
        <w:t>thiamethoxam</w:t>
      </w:r>
      <w:r w:rsidR="00855750" w:rsidRPr="00D910D7">
        <w:t xml:space="preserve"> </w:t>
      </w:r>
      <w:r w:rsidRPr="00D910D7">
        <w:t xml:space="preserve">(incident reports associated with illegal uses or misuses are not included in the assessment). </w:t>
      </w:r>
      <w:r w:rsidRPr="00D910D7">
        <w:rPr>
          <w:b/>
          <w:bCs/>
        </w:rPr>
        <w:t>Chapter 3</w:t>
      </w:r>
      <w:r w:rsidRPr="00D910D7">
        <w:t xml:space="preserve"> summarizes available monitoring data. </w:t>
      </w:r>
      <w:r w:rsidRPr="00D910D7">
        <w:rPr>
          <w:b/>
          <w:bCs/>
        </w:rPr>
        <w:t>Chapter 4</w:t>
      </w:r>
      <w:r w:rsidRPr="00D910D7">
        <w:t xml:space="preserve"> includes the species and critical habitat-specific determinations for </w:t>
      </w:r>
      <w:r w:rsidR="00D910D7" w:rsidRPr="00D910D7">
        <w:lastRenderedPageBreak/>
        <w:t>thiamethoxam</w:t>
      </w:r>
      <w:r w:rsidRPr="00D910D7">
        <w:t>. For exposure in terrestrial habitats, the MAGtool</w:t>
      </w:r>
      <w:r w:rsidRPr="00D910D7">
        <w:rPr>
          <w:vertAlign w:val="superscript"/>
        </w:rPr>
        <w:footnoteReference w:id="13"/>
      </w:r>
      <w:r w:rsidRPr="00D910D7">
        <w:t xml:space="preserve"> (version 2.</w:t>
      </w:r>
      <w:r w:rsidR="001F33CC">
        <w:t>3.1</w:t>
      </w:r>
      <w:r w:rsidRPr="00D910D7">
        <w:t xml:space="preserve">) is used (additional details in </w:t>
      </w:r>
      <w:r w:rsidRPr="00D910D7">
        <w:rPr>
          <w:b/>
          <w:bCs/>
        </w:rPr>
        <w:t xml:space="preserve">ATTACHMENT 1-1 </w:t>
      </w:r>
      <w:r w:rsidRPr="00D910D7">
        <w:t xml:space="preserve">and tool documentation). For aquatic habitats, exposure is estimated using the Pesticide in Water Calculator </w:t>
      </w:r>
      <w:r w:rsidR="00616FD9">
        <w:t>(</w:t>
      </w:r>
      <w:r w:rsidR="00616FD9" w:rsidRPr="006932C0">
        <w:t>PWC; version 1.52</w:t>
      </w:r>
      <w:r w:rsidR="00616FD9" w:rsidRPr="009747F8">
        <w:rPr>
          <w:vertAlign w:val="superscript"/>
        </w:rPr>
        <w:footnoteReference w:id="14"/>
      </w:r>
      <w:r w:rsidR="00616FD9">
        <w:t>)</w:t>
      </w:r>
      <w:r w:rsidRPr="00D910D7">
        <w:t xml:space="preserve"> and, where appropriate, t</w:t>
      </w:r>
      <w:bookmarkStart w:id="31" w:name="_Hlk79994276"/>
      <w:r w:rsidRPr="00D910D7">
        <w:t>he Pesticide in Flooded Applications Model (</w:t>
      </w:r>
      <w:r w:rsidR="00616FD9" w:rsidRPr="006932C0">
        <w:t>PFAM</w:t>
      </w:r>
      <w:r w:rsidR="00616FD9">
        <w:t>;</w:t>
      </w:r>
      <w:r w:rsidR="00616FD9" w:rsidRPr="006932C0">
        <w:t xml:space="preserve"> version 2</w:t>
      </w:r>
      <w:r w:rsidR="00616FD9">
        <w:rPr>
          <w:rStyle w:val="FootnoteReference"/>
        </w:rPr>
        <w:footnoteReference w:id="15"/>
      </w:r>
      <w:r w:rsidR="00616FD9" w:rsidRPr="006932C0">
        <w:t>)</w:t>
      </w:r>
      <w:r w:rsidRPr="00D910D7">
        <w:t xml:space="preserve">). </w:t>
      </w:r>
      <w:bookmarkEnd w:id="31"/>
      <w:r w:rsidRPr="00D910D7">
        <w:t xml:space="preserve">Aquatic scenarios (referred to as “bins”) used to estimate exposures for each listed species with aquatic habitats are provided in </w:t>
      </w:r>
      <w:r w:rsidRPr="00D910D7">
        <w:rPr>
          <w:b/>
          <w:bCs/>
        </w:rPr>
        <w:t>ATTACHMENT 1-2</w:t>
      </w:r>
      <w:r w:rsidRPr="00D910D7">
        <w:t xml:space="preserve">. </w:t>
      </w:r>
      <w:r w:rsidRPr="00845A40">
        <w:t>For plants, exposure is estimated using PAT.</w:t>
      </w:r>
      <w:r w:rsidRPr="001F33CC">
        <w:t xml:space="preserve"> The MAGtool is used to integrate exposure, effects, and</w:t>
      </w:r>
      <w:r w:rsidRPr="00D910D7">
        <w:t xml:space="preserve"> listed species life history information </w:t>
      </w:r>
      <w:proofErr w:type="gramStart"/>
      <w:r w:rsidRPr="00D910D7">
        <w:t>in order to</w:t>
      </w:r>
      <w:proofErr w:type="gramEnd"/>
      <w:r w:rsidRPr="00D910D7">
        <w:t xml:space="preserve"> make NE, NLAA and LAA determinations.</w:t>
      </w:r>
      <w:r w:rsidRPr="00FB5489">
        <w:t xml:space="preserve"> </w:t>
      </w:r>
    </w:p>
    <w:p w14:paraId="4E50DFAB" w14:textId="77777777" w:rsidR="001366C0" w:rsidRDefault="001366C0" w:rsidP="001366C0"/>
    <w:p w14:paraId="53D77192" w14:textId="77777777" w:rsidR="00C3646C" w:rsidRDefault="00C3646C" w:rsidP="001366C0"/>
    <w:sectPr w:rsidR="00C364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0E06" w14:textId="77777777" w:rsidR="000E2DD6" w:rsidRDefault="000E2DD6" w:rsidP="006A290E">
      <w:pPr>
        <w:spacing w:after="0" w:line="240" w:lineRule="auto"/>
      </w:pPr>
      <w:r>
        <w:separator/>
      </w:r>
    </w:p>
  </w:endnote>
  <w:endnote w:type="continuationSeparator" w:id="0">
    <w:p w14:paraId="41CA6969" w14:textId="77777777" w:rsidR="000E2DD6" w:rsidRDefault="000E2DD6" w:rsidP="006A290E">
      <w:pPr>
        <w:spacing w:after="0" w:line="240" w:lineRule="auto"/>
      </w:pPr>
      <w:r>
        <w:continuationSeparator/>
      </w:r>
    </w:p>
  </w:endnote>
  <w:endnote w:type="continuationNotice" w:id="1">
    <w:p w14:paraId="20CDEB1A" w14:textId="77777777" w:rsidR="000E2DD6" w:rsidRDefault="000E2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BBD" w14:textId="0070D5F5" w:rsidR="00145007" w:rsidRPr="00251FB5" w:rsidRDefault="00145007">
    <w:pPr>
      <w:pStyle w:val="Footer"/>
      <w:jc w:val="center"/>
      <w:rPr>
        <w:color w:val="auto"/>
      </w:rPr>
    </w:pPr>
    <w:r w:rsidRPr="00251FB5">
      <w:rPr>
        <w:color w:val="auto"/>
      </w:rPr>
      <w:t>1-</w:t>
    </w:r>
    <w:sdt>
      <w:sdtPr>
        <w:rPr>
          <w:color w:val="auto"/>
        </w:rPr>
        <w:id w:val="-1819568015"/>
        <w:docPartObj>
          <w:docPartGallery w:val="Page Numbers (Bottom of Page)"/>
          <w:docPartUnique/>
        </w:docPartObj>
      </w:sdtPr>
      <w:sdtEndPr>
        <w:rPr>
          <w:noProof/>
        </w:rPr>
      </w:sdtEndPr>
      <w:sdtContent>
        <w:r w:rsidRPr="00251FB5">
          <w:rPr>
            <w:color w:val="auto"/>
          </w:rPr>
          <w:fldChar w:fldCharType="begin"/>
        </w:r>
        <w:r w:rsidRPr="00251FB5">
          <w:rPr>
            <w:color w:val="auto"/>
          </w:rPr>
          <w:instrText xml:space="preserve"> PAGE   \* MERGEFORMAT </w:instrText>
        </w:r>
        <w:r w:rsidRPr="00251FB5">
          <w:rPr>
            <w:color w:val="auto"/>
          </w:rPr>
          <w:fldChar w:fldCharType="separate"/>
        </w:r>
        <w:r w:rsidRPr="00251FB5">
          <w:rPr>
            <w:noProof/>
            <w:color w:val="auto"/>
          </w:rPr>
          <w:t>2</w:t>
        </w:r>
        <w:r w:rsidRPr="00251FB5">
          <w:rPr>
            <w:noProof/>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C2AC" w14:textId="77777777" w:rsidR="000E2DD6" w:rsidRDefault="000E2DD6" w:rsidP="006A290E">
      <w:pPr>
        <w:spacing w:after="0" w:line="240" w:lineRule="auto"/>
      </w:pPr>
      <w:r>
        <w:separator/>
      </w:r>
    </w:p>
  </w:footnote>
  <w:footnote w:type="continuationSeparator" w:id="0">
    <w:p w14:paraId="27AF41CB" w14:textId="77777777" w:rsidR="000E2DD6" w:rsidRDefault="000E2DD6" w:rsidP="006A290E">
      <w:pPr>
        <w:spacing w:after="0" w:line="240" w:lineRule="auto"/>
      </w:pPr>
      <w:r>
        <w:continuationSeparator/>
      </w:r>
    </w:p>
  </w:footnote>
  <w:footnote w:type="continuationNotice" w:id="1">
    <w:p w14:paraId="6E54C152" w14:textId="77777777" w:rsidR="000E2DD6" w:rsidRDefault="000E2DD6">
      <w:pPr>
        <w:spacing w:after="0" w:line="240" w:lineRule="auto"/>
      </w:pPr>
    </w:p>
  </w:footnote>
  <w:footnote w:id="2">
    <w:p w14:paraId="42085650" w14:textId="37F6C2CD" w:rsidR="00017D8E" w:rsidRDefault="00017D8E">
      <w:pPr>
        <w:pStyle w:val="FootnoteText"/>
      </w:pPr>
      <w:r w:rsidRPr="00017D8E">
        <w:rPr>
          <w:vertAlign w:val="superscript"/>
        </w:rPr>
        <w:t>[</w:t>
      </w:r>
      <w:r w:rsidRPr="00017D8E">
        <w:rPr>
          <w:rStyle w:val="FootnoteReference"/>
        </w:rPr>
        <w:footnoteRef/>
      </w:r>
      <w:r w:rsidRPr="00017D8E">
        <w:rPr>
          <w:vertAlign w:val="superscript"/>
        </w:rPr>
        <w:t>]</w:t>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098ACA88" w14:textId="77777777" w:rsidR="00431CA1" w:rsidRPr="00C370EC" w:rsidRDefault="00431CA1" w:rsidP="00431CA1">
      <w:pPr>
        <w:spacing w:after="0" w:line="219" w:lineRule="exact"/>
        <w:jc w:val="both"/>
        <w:rPr>
          <w:sz w:val="18"/>
        </w:rPr>
      </w:pPr>
      <w:r>
        <w:rPr>
          <w:rStyle w:val="FootnoteReference"/>
        </w:rPr>
        <w:footnoteRef/>
      </w:r>
      <w:r>
        <w:t xml:space="preserve"> </w:t>
      </w:r>
      <w:hyperlink r:id="rId2">
        <w:r>
          <w:rPr>
            <w:color w:val="0462C1"/>
            <w:sz w:val="18"/>
            <w:u w:val="single" w:color="0462C1"/>
          </w:rPr>
          <w:t>http://www.irac-online.org/</w:t>
        </w:r>
      </w:hyperlink>
    </w:p>
  </w:footnote>
  <w:footnote w:id="4">
    <w:p w14:paraId="2C887D41" w14:textId="77777777" w:rsidR="00431CA1" w:rsidRDefault="00431CA1" w:rsidP="00431CA1">
      <w:pPr>
        <w:pStyle w:val="FootnoteText"/>
      </w:pPr>
      <w:r>
        <w:rPr>
          <w:rStyle w:val="FootnoteReference"/>
        </w:rPr>
        <w:footnoteRef/>
      </w:r>
      <w:r>
        <w:t xml:space="preserve"> Z</w:t>
      </w:r>
      <w:r w:rsidRPr="00366800">
        <w:t>hang Y, Liu S, Gu J, Song f, Yao X, Liu Z. (2008). Imidacloprid acts as an antagonist on insect nicotinic</w:t>
      </w:r>
      <w:r>
        <w:t>-</w:t>
      </w:r>
      <w:r w:rsidRPr="00366800">
        <w:t>acetylcholine receptor containing the Y151M mutation. Neurosci. Let. 446: 97-100.</w:t>
      </w:r>
      <w:r>
        <w:t xml:space="preserve"> </w:t>
      </w:r>
    </w:p>
  </w:footnote>
  <w:footnote w:id="5">
    <w:p w14:paraId="0B39E2C9" w14:textId="77777777" w:rsidR="00431CA1" w:rsidRDefault="00431CA1" w:rsidP="00431CA1">
      <w:pPr>
        <w:pStyle w:val="FootnoteText"/>
      </w:pPr>
      <w:r>
        <w:rPr>
          <w:rStyle w:val="FootnoteReference"/>
        </w:rPr>
        <w:footnoteRef/>
      </w:r>
      <w:r>
        <w:t xml:space="preserve"> </w:t>
      </w:r>
      <w:r w:rsidRPr="00366800">
        <w:t>Tomizawa M, Casida J. (2005).  Neonicotinoid insecticide toxicology: mechanisms of Selective Action. Annual Review of Pharmacology and Toxicology, 45, 247–268.</w:t>
      </w:r>
      <w:r>
        <w:t xml:space="preserve"> </w:t>
      </w:r>
    </w:p>
  </w:footnote>
  <w:footnote w:id="6">
    <w:p w14:paraId="0E52DB9A" w14:textId="77777777" w:rsidR="00DC7418" w:rsidRDefault="00DC7418" w:rsidP="00DC7418">
      <w:pPr>
        <w:pStyle w:val="FootnoteText"/>
      </w:pPr>
      <w:r>
        <w:rPr>
          <w:rStyle w:val="FootnoteReference"/>
        </w:rPr>
        <w:footnoteRef/>
      </w:r>
      <w:r>
        <w:t xml:space="preserve"> Revised Method for National Level Listed Species Biological Evaluations of Conventional Pesticides. 2020. US EPA. Available at https://www3.epa.gov/pesticides/nas/revised/revised-method-march2020.pdf</w:t>
      </w:r>
    </w:p>
  </w:footnote>
  <w:footnote w:id="7">
    <w:p w14:paraId="7EB0AEE5" w14:textId="15ECDA5B" w:rsidR="002E1EC4" w:rsidRDefault="00E3056C" w:rsidP="006A290E">
      <w:pPr>
        <w:pStyle w:val="FootnoteText"/>
      </w:pPr>
      <w:r w:rsidRPr="00017D8E">
        <w:rPr>
          <w:vertAlign w:val="superscript"/>
        </w:rPr>
        <w:t>[</w:t>
      </w:r>
      <w:r w:rsidR="002E1EC4">
        <w:rPr>
          <w:rStyle w:val="FootnoteReference"/>
        </w:rPr>
        <w:footnoteRef/>
      </w:r>
      <w:r w:rsidRPr="00017D8E">
        <w:rPr>
          <w:vertAlign w:val="superscript"/>
        </w:rPr>
        <w:t>]</w:t>
      </w:r>
      <w:r w:rsidR="002E1EC4">
        <w:t xml:space="preserve"> </w:t>
      </w:r>
      <w:r w:rsidR="002E1EC4" w:rsidRPr="00270167">
        <w:t xml:space="preserve">USDA National Agricultural Statistics Service Cropland Data Layer. </w:t>
      </w:r>
      <w:r w:rsidR="002E1EC4" w:rsidRPr="00893070">
        <w:t xml:space="preserve">2013-2017. Published crop-specific data layer [Online]. Available at </w:t>
      </w:r>
      <w:hyperlink r:id="rId3" w:history="1">
        <w:r w:rsidR="002E1EC4" w:rsidRPr="00023DE3">
          <w:rPr>
            <w:rStyle w:val="Hyperlink"/>
          </w:rPr>
          <w:t>https://www.nass.usda.gov/Research_and_Science/Cropland/SARS1a.php</w:t>
        </w:r>
      </w:hyperlink>
      <w:r w:rsidR="002E1EC4" w:rsidRPr="00893070">
        <w:t xml:space="preserve"> (accessed 3/2018; verified </w:t>
      </w:r>
      <w:r w:rsidR="002E1EC4">
        <w:t>2</w:t>
      </w:r>
      <w:r w:rsidR="002E1EC4" w:rsidRPr="00893070">
        <w:t>/</w:t>
      </w:r>
      <w:r w:rsidR="002E1EC4">
        <w:t>2020</w:t>
      </w:r>
      <w:r w:rsidR="002E1EC4" w:rsidRPr="00270167">
        <w:t>). USDA-NASS, Washington, DC.</w:t>
      </w:r>
    </w:p>
  </w:footnote>
  <w:footnote w:id="8">
    <w:p w14:paraId="5B328E10" w14:textId="3A819D84" w:rsidR="002E1EC4" w:rsidRDefault="00E3056C" w:rsidP="006A290E">
      <w:pPr>
        <w:pStyle w:val="FootnoteText"/>
      </w:pPr>
      <w:r w:rsidRPr="00017D8E">
        <w:rPr>
          <w:vertAlign w:val="superscript"/>
        </w:rPr>
        <w:t>[</w:t>
      </w:r>
      <w:r w:rsidR="002E1EC4">
        <w:rPr>
          <w:rStyle w:val="FootnoteReference"/>
        </w:rPr>
        <w:footnoteRef/>
      </w:r>
      <w:r w:rsidRPr="00017D8E">
        <w:rPr>
          <w:vertAlign w:val="superscript"/>
        </w:rPr>
        <w:t>]</w:t>
      </w:r>
      <w:r w:rsidR="002E1EC4">
        <w:t xml:space="preserve"> Categories </w:t>
      </w:r>
      <w:proofErr w:type="gramStart"/>
      <w:r w:rsidR="002E1EC4">
        <w:t>include:</w:t>
      </w:r>
      <w:proofErr w:type="gramEnd"/>
      <w:r w:rsidR="002E1EC4">
        <w:t xml:space="preserve"> corn, cotton, rice, soybeans, wheat, vegetables and ground fruit, other grains, other row crops, other crops, pasture/hay, citrus, vineyards and other orchards.</w:t>
      </w:r>
    </w:p>
  </w:footnote>
  <w:footnote w:id="9">
    <w:p w14:paraId="6BEFFA8B" w14:textId="19849D3C" w:rsidR="002E1EC4" w:rsidRPr="00610075" w:rsidRDefault="00E3056C" w:rsidP="00771CE6">
      <w:pPr>
        <w:pStyle w:val="FootnoteText"/>
      </w:pPr>
      <w:r w:rsidRPr="00017D8E">
        <w:rPr>
          <w:vertAlign w:val="superscript"/>
        </w:rPr>
        <w:t>[</w:t>
      </w:r>
      <w:r w:rsidR="002E1EC4" w:rsidRPr="00610075">
        <w:rPr>
          <w:rStyle w:val="FootnoteReference"/>
        </w:rPr>
        <w:footnoteRef/>
      </w:r>
      <w:r w:rsidRPr="00017D8E">
        <w:rPr>
          <w:vertAlign w:val="superscript"/>
        </w:rPr>
        <w:t>]</w:t>
      </w:r>
      <w:r w:rsidR="002E1EC4" w:rsidRPr="00610075">
        <w:t xml:space="preserve"> where NL is “non-lower” and 48 refers to the number of states in ConUS</w:t>
      </w:r>
    </w:p>
  </w:footnote>
  <w:footnote w:id="10">
    <w:p w14:paraId="706B904B" w14:textId="773A3905" w:rsidR="002E1EC4" w:rsidRPr="00610075" w:rsidRDefault="00E3056C" w:rsidP="00771CE6">
      <w:pPr>
        <w:pStyle w:val="FootnoteText"/>
      </w:pPr>
      <w:r w:rsidRPr="00017D8E">
        <w:rPr>
          <w:vertAlign w:val="superscript"/>
        </w:rPr>
        <w:t>[</w:t>
      </w:r>
      <w:r w:rsidR="002E1EC4" w:rsidRPr="00610075">
        <w:rPr>
          <w:rStyle w:val="FootnoteReference"/>
        </w:rPr>
        <w:footnoteRef/>
      </w:r>
      <w:r w:rsidRPr="00017D8E">
        <w:rPr>
          <w:vertAlign w:val="superscript"/>
        </w:rPr>
        <w:t>]</w:t>
      </w:r>
      <w:r w:rsidR="002E1EC4" w:rsidRPr="00610075">
        <w:t xml:space="preserve"> </w:t>
      </w:r>
      <w:r w:rsidR="00A371D0" w:rsidRPr="00A371D0">
        <w:t>Homer, C. G., Dewitz, J. A., Jin, S., Xian, G., Costello, C., Danielson, P., Gass, L., Funk, M., Wickham, J., Stehman, S., Auch, Roger F., Riitters, K. H. 2020. Conterminous United States land cover change patterns 2001–2016 from the 2016 National Land Cover Database: ISPRS Journal of Photogrammetry and Remote Sensing, v. 162, p. 184–199</w:t>
      </w:r>
    </w:p>
  </w:footnote>
  <w:footnote w:id="11">
    <w:p w14:paraId="1D49384E" w14:textId="6017F230" w:rsidR="00415B58" w:rsidRPr="00251FB5" w:rsidRDefault="00415B58" w:rsidP="00251FB5">
      <w:pPr>
        <w:spacing w:after="0" w:line="252" w:lineRule="auto"/>
        <w:rPr>
          <w:rFonts w:eastAsia="Times New Roman"/>
          <w:sz w:val="20"/>
          <w:szCs w:val="20"/>
        </w:rPr>
      </w:pPr>
      <w:r w:rsidRPr="00017D8E">
        <w:rPr>
          <w:vertAlign w:val="superscript"/>
        </w:rPr>
        <w:t>[</w:t>
      </w:r>
      <w:r w:rsidRPr="00023DE3">
        <w:rPr>
          <w:rStyle w:val="FootnoteReference"/>
          <w:sz w:val="20"/>
          <w:szCs w:val="20"/>
        </w:rPr>
        <w:footnoteRef/>
      </w:r>
      <w:r w:rsidRPr="00017D8E">
        <w:rPr>
          <w:vertAlign w:val="superscript"/>
        </w:rPr>
        <w:t>]</w:t>
      </w:r>
      <w:r w:rsidRPr="00023DE3">
        <w:rPr>
          <w:sz w:val="20"/>
          <w:szCs w:val="20"/>
        </w:rPr>
        <w:t xml:space="preserve"> </w:t>
      </w:r>
      <w:r w:rsidRPr="00520FAC">
        <w:rPr>
          <w:rFonts w:eastAsia="Times New Roman"/>
          <w:sz w:val="20"/>
          <w:szCs w:val="20"/>
        </w:rPr>
        <w:t xml:space="preserve">National Oceanic and Atmospheric Administration, Coastal Services Center. 1995-present. The Coastal Change Analysis Program (C-CAP) Regional Land Cover. Charleston, SC: NOAA Coastal Services Center. Accessed at </w:t>
      </w:r>
      <w:hyperlink r:id="rId4" w:history="1">
        <w:r w:rsidRPr="00520FAC">
          <w:rPr>
            <w:rStyle w:val="Hyperlink"/>
            <w:sz w:val="20"/>
            <w:szCs w:val="20"/>
          </w:rPr>
          <w:t>https://coast.noaa.gov/digitalcoast/data/ccapregional.html</w:t>
        </w:r>
      </w:hyperlink>
      <w:r w:rsidRPr="00520FAC">
        <w:rPr>
          <w:sz w:val="20"/>
          <w:szCs w:val="20"/>
        </w:rPr>
        <w:t xml:space="preserve"> (accessed 3/2020)</w:t>
      </w:r>
      <w:r w:rsidRPr="00520FAC">
        <w:rPr>
          <w:rFonts w:eastAsia="Times New Roman"/>
          <w:sz w:val="20"/>
          <w:szCs w:val="20"/>
        </w:rPr>
        <w:t>.</w:t>
      </w:r>
    </w:p>
  </w:footnote>
  <w:footnote w:id="12">
    <w:p w14:paraId="6522A95D" w14:textId="77777777" w:rsidR="00616FD9" w:rsidRPr="000A4575" w:rsidRDefault="00616FD9" w:rsidP="00616FD9">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5" w:history="1">
        <w:r w:rsidRPr="00DE3C95">
          <w:rPr>
            <w:rStyle w:val="Hyperlink"/>
          </w:rPr>
          <w:t>https://www.epa.gov/endangered-species/models-and-tools-endangered-species-pesticide-assessments</w:t>
        </w:r>
      </w:hyperlink>
      <w:r w:rsidRPr="00E65520">
        <w:t xml:space="preserve"> (Accessed </w:t>
      </w:r>
      <w:r>
        <w:t>September</w:t>
      </w:r>
      <w:r w:rsidRPr="00DE3C95">
        <w:t xml:space="preserve"> 2020).</w:t>
      </w:r>
    </w:p>
  </w:footnote>
  <w:footnote w:id="13">
    <w:p w14:paraId="0FA17B77" w14:textId="6F8F74DD" w:rsidR="002E1EC4" w:rsidRPr="000A4575" w:rsidRDefault="00E3056C" w:rsidP="001366C0">
      <w:pPr>
        <w:pStyle w:val="FootnoteText"/>
      </w:pPr>
      <w:r w:rsidRPr="00017D8E">
        <w:rPr>
          <w:vertAlign w:val="superscript"/>
        </w:rPr>
        <w:t>[</w:t>
      </w:r>
      <w:r w:rsidR="002E1EC4" w:rsidRPr="00E65520">
        <w:rPr>
          <w:rStyle w:val="FootnoteReference"/>
        </w:rPr>
        <w:footnoteRef/>
      </w:r>
      <w:r w:rsidRPr="00017D8E">
        <w:rPr>
          <w:vertAlign w:val="superscript"/>
        </w:rPr>
        <w:t>]</w:t>
      </w:r>
      <w:r w:rsidR="002E1EC4" w:rsidRPr="00E65520">
        <w:t xml:space="preserve"> </w:t>
      </w:r>
      <w:r w:rsidR="002E1EC4" w:rsidRPr="00DE3C95">
        <w:t>Information on the models and too</w:t>
      </w:r>
      <w:r w:rsidR="002E1EC4" w:rsidRPr="000A4575">
        <w:t xml:space="preserve">ls used to support </w:t>
      </w:r>
      <w:r w:rsidR="002E1EC4" w:rsidRPr="0061215F">
        <w:t>th</w:t>
      </w:r>
      <w:r w:rsidR="002E1EC4" w:rsidRPr="00E65520">
        <w:t xml:space="preserve">is biological evaluation are available at: </w:t>
      </w:r>
      <w:hyperlink r:id="rId6" w:history="1">
        <w:r w:rsidR="002E1EC4" w:rsidRPr="00DE3C95">
          <w:rPr>
            <w:rStyle w:val="Hyperlink"/>
          </w:rPr>
          <w:t>https://www.epa.gov/endangered-species/models-and-tools-endangered-species-pesticide-assessments</w:t>
        </w:r>
      </w:hyperlink>
      <w:r w:rsidR="002E1EC4" w:rsidRPr="00E65520">
        <w:t xml:space="preserve"> (Accessed </w:t>
      </w:r>
      <w:r w:rsidR="002E1EC4">
        <w:t>September</w:t>
      </w:r>
      <w:r w:rsidR="002E1EC4" w:rsidRPr="00DE3C95">
        <w:t xml:space="preserve"> 2020).</w:t>
      </w:r>
    </w:p>
  </w:footnote>
  <w:footnote w:id="14">
    <w:p w14:paraId="551A145B" w14:textId="77777777" w:rsidR="00616FD9" w:rsidRDefault="00616FD9" w:rsidP="00616FD9">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Available online at: </w:t>
      </w:r>
      <w:hyperlink r:id="rId7"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Pr>
          <w:rStyle w:val="Hyperlink"/>
          <w:color w:val="000000" w:themeColor="text1"/>
        </w:rPr>
        <w:t>A</w:t>
      </w:r>
      <w:r w:rsidRPr="00626DEF">
        <w:rPr>
          <w:rStyle w:val="Hyperlink"/>
          <w:color w:val="000000" w:themeColor="text1"/>
        </w:rPr>
        <w:t xml:space="preserve">ccessed </w:t>
      </w:r>
      <w:r>
        <w:rPr>
          <w:rStyle w:val="Hyperlink"/>
          <w:color w:val="000000" w:themeColor="text1"/>
        </w:rPr>
        <w:t>September</w:t>
      </w:r>
      <w:r w:rsidRPr="00626DEF">
        <w:rPr>
          <w:rStyle w:val="Hyperlink"/>
          <w:color w:val="000000" w:themeColor="text1"/>
        </w:rPr>
        <w:t xml:space="preserve"> 2020).</w:t>
      </w:r>
    </w:p>
  </w:footnote>
  <w:footnote w:id="15">
    <w:p w14:paraId="3CF28C27" w14:textId="43456E85" w:rsidR="00616FD9" w:rsidRDefault="00616FD9">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588D"/>
    <w:multiLevelType w:val="multilevel"/>
    <w:tmpl w:val="75C207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sPfqui2lYwh0Xw7cVj10RriH9ZqMdPz8/1qcHG9wC1FlzrRNsuvyhH7sGR/hGoagkHEk0Z4lPyTQK5h3ZjLuA==" w:salt="+0TmTi+hbpDwj+zeqCPDQ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00274"/>
    <w:rsid w:val="00003E81"/>
    <w:rsid w:val="000040B8"/>
    <w:rsid w:val="000143EE"/>
    <w:rsid w:val="00017D8E"/>
    <w:rsid w:val="00021EB7"/>
    <w:rsid w:val="00031F9D"/>
    <w:rsid w:val="000352D7"/>
    <w:rsid w:val="00052792"/>
    <w:rsid w:val="00055DFF"/>
    <w:rsid w:val="000571B9"/>
    <w:rsid w:val="00057601"/>
    <w:rsid w:val="0006167F"/>
    <w:rsid w:val="00064DD3"/>
    <w:rsid w:val="00070A8C"/>
    <w:rsid w:val="00080AEA"/>
    <w:rsid w:val="00082821"/>
    <w:rsid w:val="000847D6"/>
    <w:rsid w:val="00090073"/>
    <w:rsid w:val="00091ECC"/>
    <w:rsid w:val="00092DFF"/>
    <w:rsid w:val="000955FE"/>
    <w:rsid w:val="000A0162"/>
    <w:rsid w:val="000A3477"/>
    <w:rsid w:val="000B33A8"/>
    <w:rsid w:val="000B381D"/>
    <w:rsid w:val="000B78D9"/>
    <w:rsid w:val="000C2E01"/>
    <w:rsid w:val="000C4F57"/>
    <w:rsid w:val="000C7DEB"/>
    <w:rsid w:val="000D02C9"/>
    <w:rsid w:val="000D6FC6"/>
    <w:rsid w:val="000E2DD6"/>
    <w:rsid w:val="000E31F6"/>
    <w:rsid w:val="000E75C7"/>
    <w:rsid w:val="000F2A33"/>
    <w:rsid w:val="000F2FA3"/>
    <w:rsid w:val="000F35DA"/>
    <w:rsid w:val="000F5DFD"/>
    <w:rsid w:val="000F6F4D"/>
    <w:rsid w:val="00124790"/>
    <w:rsid w:val="00125DE9"/>
    <w:rsid w:val="00126666"/>
    <w:rsid w:val="0013056E"/>
    <w:rsid w:val="0013167B"/>
    <w:rsid w:val="00132FC9"/>
    <w:rsid w:val="001366C0"/>
    <w:rsid w:val="00136CD9"/>
    <w:rsid w:val="00137553"/>
    <w:rsid w:val="00145007"/>
    <w:rsid w:val="00150200"/>
    <w:rsid w:val="00171697"/>
    <w:rsid w:val="001A18EB"/>
    <w:rsid w:val="001A44F9"/>
    <w:rsid w:val="001A5516"/>
    <w:rsid w:val="001B207F"/>
    <w:rsid w:val="001D5F6E"/>
    <w:rsid w:val="001E26A3"/>
    <w:rsid w:val="001F27BF"/>
    <w:rsid w:val="001F33CC"/>
    <w:rsid w:val="001F4995"/>
    <w:rsid w:val="00200C3C"/>
    <w:rsid w:val="0020264B"/>
    <w:rsid w:val="00213AAE"/>
    <w:rsid w:val="00213DCD"/>
    <w:rsid w:val="00222448"/>
    <w:rsid w:val="00225068"/>
    <w:rsid w:val="0022589A"/>
    <w:rsid w:val="00225B36"/>
    <w:rsid w:val="00232DAB"/>
    <w:rsid w:val="00233C5D"/>
    <w:rsid w:val="00235805"/>
    <w:rsid w:val="00242BD2"/>
    <w:rsid w:val="00251FB5"/>
    <w:rsid w:val="00263B88"/>
    <w:rsid w:val="0026752D"/>
    <w:rsid w:val="00267DDE"/>
    <w:rsid w:val="00267FBF"/>
    <w:rsid w:val="00270E48"/>
    <w:rsid w:val="00273B1C"/>
    <w:rsid w:val="002740B4"/>
    <w:rsid w:val="00275ADC"/>
    <w:rsid w:val="0028019E"/>
    <w:rsid w:val="002813F0"/>
    <w:rsid w:val="002964AE"/>
    <w:rsid w:val="002A434C"/>
    <w:rsid w:val="002B05D9"/>
    <w:rsid w:val="002B2976"/>
    <w:rsid w:val="002B4055"/>
    <w:rsid w:val="002C68FA"/>
    <w:rsid w:val="002E1EC4"/>
    <w:rsid w:val="002F19C7"/>
    <w:rsid w:val="002F35F1"/>
    <w:rsid w:val="002F699E"/>
    <w:rsid w:val="003163DA"/>
    <w:rsid w:val="0032303F"/>
    <w:rsid w:val="0032380F"/>
    <w:rsid w:val="003245EE"/>
    <w:rsid w:val="003322D9"/>
    <w:rsid w:val="003516E7"/>
    <w:rsid w:val="003541BB"/>
    <w:rsid w:val="00357346"/>
    <w:rsid w:val="00386D7F"/>
    <w:rsid w:val="00394073"/>
    <w:rsid w:val="00394E10"/>
    <w:rsid w:val="003956DA"/>
    <w:rsid w:val="003A2128"/>
    <w:rsid w:val="003A4E9D"/>
    <w:rsid w:val="003A663C"/>
    <w:rsid w:val="003A7C99"/>
    <w:rsid w:val="003B7222"/>
    <w:rsid w:val="003C27F0"/>
    <w:rsid w:val="003D56CE"/>
    <w:rsid w:val="003D666A"/>
    <w:rsid w:val="003E2E0E"/>
    <w:rsid w:val="003E3138"/>
    <w:rsid w:val="003F2F8F"/>
    <w:rsid w:val="004106D8"/>
    <w:rsid w:val="00412FAE"/>
    <w:rsid w:val="00414C8C"/>
    <w:rsid w:val="00415B58"/>
    <w:rsid w:val="00423D1C"/>
    <w:rsid w:val="00431CA1"/>
    <w:rsid w:val="00440864"/>
    <w:rsid w:val="00440EC9"/>
    <w:rsid w:val="00483654"/>
    <w:rsid w:val="004C71A0"/>
    <w:rsid w:val="004C75CE"/>
    <w:rsid w:val="004D5FA7"/>
    <w:rsid w:val="004F3E09"/>
    <w:rsid w:val="004F7B24"/>
    <w:rsid w:val="00500B91"/>
    <w:rsid w:val="005046AB"/>
    <w:rsid w:val="0050496B"/>
    <w:rsid w:val="00505D78"/>
    <w:rsid w:val="00520FAC"/>
    <w:rsid w:val="00526ECE"/>
    <w:rsid w:val="0053683C"/>
    <w:rsid w:val="00540C9F"/>
    <w:rsid w:val="00543D55"/>
    <w:rsid w:val="00573D11"/>
    <w:rsid w:val="005A263A"/>
    <w:rsid w:val="005A7B4C"/>
    <w:rsid w:val="005B2F7A"/>
    <w:rsid w:val="005B4843"/>
    <w:rsid w:val="005C58D8"/>
    <w:rsid w:val="005D3F3C"/>
    <w:rsid w:val="005D7ACD"/>
    <w:rsid w:val="005E43FF"/>
    <w:rsid w:val="005F41DE"/>
    <w:rsid w:val="00602B7F"/>
    <w:rsid w:val="00614E8D"/>
    <w:rsid w:val="00616FD9"/>
    <w:rsid w:val="0062201D"/>
    <w:rsid w:val="00623C31"/>
    <w:rsid w:val="0063361A"/>
    <w:rsid w:val="006439BC"/>
    <w:rsid w:val="006458E6"/>
    <w:rsid w:val="0065380E"/>
    <w:rsid w:val="00655632"/>
    <w:rsid w:val="00665298"/>
    <w:rsid w:val="00684C1F"/>
    <w:rsid w:val="00686FD5"/>
    <w:rsid w:val="00694FF1"/>
    <w:rsid w:val="006A09BD"/>
    <w:rsid w:val="006A290E"/>
    <w:rsid w:val="006B4676"/>
    <w:rsid w:val="006C1D6B"/>
    <w:rsid w:val="006C408C"/>
    <w:rsid w:val="006D050B"/>
    <w:rsid w:val="006D35D6"/>
    <w:rsid w:val="006D5E38"/>
    <w:rsid w:val="006D7DEC"/>
    <w:rsid w:val="006E17FD"/>
    <w:rsid w:val="006E482A"/>
    <w:rsid w:val="006E7CB9"/>
    <w:rsid w:val="007007D8"/>
    <w:rsid w:val="0070428D"/>
    <w:rsid w:val="00711DA5"/>
    <w:rsid w:val="00740745"/>
    <w:rsid w:val="00743165"/>
    <w:rsid w:val="00763DCE"/>
    <w:rsid w:val="00766973"/>
    <w:rsid w:val="00771CE6"/>
    <w:rsid w:val="0077793B"/>
    <w:rsid w:val="0078053A"/>
    <w:rsid w:val="007811E2"/>
    <w:rsid w:val="00792060"/>
    <w:rsid w:val="00797072"/>
    <w:rsid w:val="007B1DD9"/>
    <w:rsid w:val="007B5C2F"/>
    <w:rsid w:val="007E44AA"/>
    <w:rsid w:val="007F50CE"/>
    <w:rsid w:val="00807F4D"/>
    <w:rsid w:val="0082018B"/>
    <w:rsid w:val="008201C9"/>
    <w:rsid w:val="00835777"/>
    <w:rsid w:val="00835F15"/>
    <w:rsid w:val="00845A40"/>
    <w:rsid w:val="00853852"/>
    <w:rsid w:val="00855750"/>
    <w:rsid w:val="00855C19"/>
    <w:rsid w:val="00871B20"/>
    <w:rsid w:val="008749FC"/>
    <w:rsid w:val="008974DE"/>
    <w:rsid w:val="008B7AAF"/>
    <w:rsid w:val="008C0AEA"/>
    <w:rsid w:val="008C4BF7"/>
    <w:rsid w:val="008C719A"/>
    <w:rsid w:val="008D0CBF"/>
    <w:rsid w:val="008D2375"/>
    <w:rsid w:val="008F00B3"/>
    <w:rsid w:val="008F147B"/>
    <w:rsid w:val="008F317C"/>
    <w:rsid w:val="008F52DC"/>
    <w:rsid w:val="009057CE"/>
    <w:rsid w:val="00910641"/>
    <w:rsid w:val="009247CD"/>
    <w:rsid w:val="009362D0"/>
    <w:rsid w:val="009367ED"/>
    <w:rsid w:val="00945D12"/>
    <w:rsid w:val="00956F13"/>
    <w:rsid w:val="009603ED"/>
    <w:rsid w:val="00961179"/>
    <w:rsid w:val="00967510"/>
    <w:rsid w:val="00970CF0"/>
    <w:rsid w:val="00973013"/>
    <w:rsid w:val="00987DEB"/>
    <w:rsid w:val="009A1DA8"/>
    <w:rsid w:val="009B4370"/>
    <w:rsid w:val="009C01EA"/>
    <w:rsid w:val="009D0006"/>
    <w:rsid w:val="009E2056"/>
    <w:rsid w:val="009E3EFF"/>
    <w:rsid w:val="009F6658"/>
    <w:rsid w:val="00A033FF"/>
    <w:rsid w:val="00A0425D"/>
    <w:rsid w:val="00A14E34"/>
    <w:rsid w:val="00A1501B"/>
    <w:rsid w:val="00A26184"/>
    <w:rsid w:val="00A27E04"/>
    <w:rsid w:val="00A32A99"/>
    <w:rsid w:val="00A36848"/>
    <w:rsid w:val="00A371D0"/>
    <w:rsid w:val="00A44425"/>
    <w:rsid w:val="00A54489"/>
    <w:rsid w:val="00A909F1"/>
    <w:rsid w:val="00AC0086"/>
    <w:rsid w:val="00AC40EF"/>
    <w:rsid w:val="00AC54F5"/>
    <w:rsid w:val="00AE1836"/>
    <w:rsid w:val="00AF14D9"/>
    <w:rsid w:val="00AF3248"/>
    <w:rsid w:val="00AF5EFA"/>
    <w:rsid w:val="00B07171"/>
    <w:rsid w:val="00B13A80"/>
    <w:rsid w:val="00B1527F"/>
    <w:rsid w:val="00B15630"/>
    <w:rsid w:val="00B16D24"/>
    <w:rsid w:val="00B36467"/>
    <w:rsid w:val="00B4224D"/>
    <w:rsid w:val="00B438FB"/>
    <w:rsid w:val="00B5248D"/>
    <w:rsid w:val="00B565BB"/>
    <w:rsid w:val="00B72AC3"/>
    <w:rsid w:val="00B73A5F"/>
    <w:rsid w:val="00B74A80"/>
    <w:rsid w:val="00B90C96"/>
    <w:rsid w:val="00B97197"/>
    <w:rsid w:val="00BB6869"/>
    <w:rsid w:val="00BC5090"/>
    <w:rsid w:val="00BE04DA"/>
    <w:rsid w:val="00BE105A"/>
    <w:rsid w:val="00BF3CB8"/>
    <w:rsid w:val="00C06EA4"/>
    <w:rsid w:val="00C1395F"/>
    <w:rsid w:val="00C153B1"/>
    <w:rsid w:val="00C16853"/>
    <w:rsid w:val="00C20EF7"/>
    <w:rsid w:val="00C218E4"/>
    <w:rsid w:val="00C3646C"/>
    <w:rsid w:val="00C4422B"/>
    <w:rsid w:val="00C53B28"/>
    <w:rsid w:val="00C56C3C"/>
    <w:rsid w:val="00C57815"/>
    <w:rsid w:val="00C62874"/>
    <w:rsid w:val="00C85E72"/>
    <w:rsid w:val="00C87044"/>
    <w:rsid w:val="00C93E39"/>
    <w:rsid w:val="00C97834"/>
    <w:rsid w:val="00CA3DA9"/>
    <w:rsid w:val="00CA5553"/>
    <w:rsid w:val="00CB05FA"/>
    <w:rsid w:val="00CB1EEF"/>
    <w:rsid w:val="00CB6BCF"/>
    <w:rsid w:val="00CC4413"/>
    <w:rsid w:val="00CD6E5D"/>
    <w:rsid w:val="00D021E0"/>
    <w:rsid w:val="00D0711B"/>
    <w:rsid w:val="00D209D5"/>
    <w:rsid w:val="00D305A3"/>
    <w:rsid w:val="00D34763"/>
    <w:rsid w:val="00D3535A"/>
    <w:rsid w:val="00D40F53"/>
    <w:rsid w:val="00D50CA8"/>
    <w:rsid w:val="00D54498"/>
    <w:rsid w:val="00D54FEB"/>
    <w:rsid w:val="00D62018"/>
    <w:rsid w:val="00D64951"/>
    <w:rsid w:val="00D74AD8"/>
    <w:rsid w:val="00D9059C"/>
    <w:rsid w:val="00D910D7"/>
    <w:rsid w:val="00DA34DF"/>
    <w:rsid w:val="00DA7296"/>
    <w:rsid w:val="00DB4E4E"/>
    <w:rsid w:val="00DC34F1"/>
    <w:rsid w:val="00DC5130"/>
    <w:rsid w:val="00DC7334"/>
    <w:rsid w:val="00DC7418"/>
    <w:rsid w:val="00DD670A"/>
    <w:rsid w:val="00DE60BA"/>
    <w:rsid w:val="00DE6554"/>
    <w:rsid w:val="00E04B65"/>
    <w:rsid w:val="00E05CF2"/>
    <w:rsid w:val="00E17696"/>
    <w:rsid w:val="00E2366B"/>
    <w:rsid w:val="00E3056C"/>
    <w:rsid w:val="00E31429"/>
    <w:rsid w:val="00E42775"/>
    <w:rsid w:val="00E43A9B"/>
    <w:rsid w:val="00E43AF8"/>
    <w:rsid w:val="00E520CC"/>
    <w:rsid w:val="00E56389"/>
    <w:rsid w:val="00E5742A"/>
    <w:rsid w:val="00E72016"/>
    <w:rsid w:val="00E73DF6"/>
    <w:rsid w:val="00E74413"/>
    <w:rsid w:val="00E76CEA"/>
    <w:rsid w:val="00E776F9"/>
    <w:rsid w:val="00E83AE1"/>
    <w:rsid w:val="00E850C8"/>
    <w:rsid w:val="00E90802"/>
    <w:rsid w:val="00E939E6"/>
    <w:rsid w:val="00EA4C2E"/>
    <w:rsid w:val="00EA71FF"/>
    <w:rsid w:val="00EC70B2"/>
    <w:rsid w:val="00EE7201"/>
    <w:rsid w:val="00EE7F5D"/>
    <w:rsid w:val="00EF1E20"/>
    <w:rsid w:val="00EF607C"/>
    <w:rsid w:val="00EF6E79"/>
    <w:rsid w:val="00F00969"/>
    <w:rsid w:val="00F063F0"/>
    <w:rsid w:val="00F2118A"/>
    <w:rsid w:val="00F457E9"/>
    <w:rsid w:val="00F539F8"/>
    <w:rsid w:val="00F6242F"/>
    <w:rsid w:val="00F63637"/>
    <w:rsid w:val="00F64337"/>
    <w:rsid w:val="00F64EC5"/>
    <w:rsid w:val="00F71AC6"/>
    <w:rsid w:val="00F9067C"/>
    <w:rsid w:val="00F94FD1"/>
    <w:rsid w:val="00FB4118"/>
    <w:rsid w:val="00FC6DED"/>
    <w:rsid w:val="00FD4AFC"/>
    <w:rsid w:val="00FE1986"/>
    <w:rsid w:val="00FF24FA"/>
    <w:rsid w:val="00FF3319"/>
    <w:rsid w:val="00FF3B9C"/>
    <w:rsid w:val="00FF4236"/>
    <w:rsid w:val="00FF5002"/>
    <w:rsid w:val="00FF52DF"/>
    <w:rsid w:val="015FC003"/>
    <w:rsid w:val="0228A7BB"/>
    <w:rsid w:val="0264A976"/>
    <w:rsid w:val="02D021CF"/>
    <w:rsid w:val="033AFA3F"/>
    <w:rsid w:val="053E58ED"/>
    <w:rsid w:val="072B6D38"/>
    <w:rsid w:val="079B5F19"/>
    <w:rsid w:val="07A7AC5A"/>
    <w:rsid w:val="08306B48"/>
    <w:rsid w:val="0880F251"/>
    <w:rsid w:val="08A8B7B7"/>
    <w:rsid w:val="0A1B2EF4"/>
    <w:rsid w:val="0A4F391B"/>
    <w:rsid w:val="0A848964"/>
    <w:rsid w:val="0AE734A8"/>
    <w:rsid w:val="0B4F0BE5"/>
    <w:rsid w:val="0BDA4852"/>
    <w:rsid w:val="0C21E69B"/>
    <w:rsid w:val="0CFA3E7E"/>
    <w:rsid w:val="0D8135FA"/>
    <w:rsid w:val="0F031E7F"/>
    <w:rsid w:val="0F755FDA"/>
    <w:rsid w:val="11118537"/>
    <w:rsid w:val="126955A0"/>
    <w:rsid w:val="140762A8"/>
    <w:rsid w:val="155A2163"/>
    <w:rsid w:val="1672CBD8"/>
    <w:rsid w:val="16FF5CE0"/>
    <w:rsid w:val="17C12B0C"/>
    <w:rsid w:val="19D3B6F5"/>
    <w:rsid w:val="1A086C89"/>
    <w:rsid w:val="1AA6D95D"/>
    <w:rsid w:val="1B8D0DC6"/>
    <w:rsid w:val="1C1970B0"/>
    <w:rsid w:val="1C800670"/>
    <w:rsid w:val="1CA65B5D"/>
    <w:rsid w:val="1CE5ADA0"/>
    <w:rsid w:val="1DE060FF"/>
    <w:rsid w:val="1E12F49F"/>
    <w:rsid w:val="1E987C91"/>
    <w:rsid w:val="1ED50D5E"/>
    <w:rsid w:val="1F865243"/>
    <w:rsid w:val="1F8B6E9B"/>
    <w:rsid w:val="1FB70FBA"/>
    <w:rsid w:val="205E9A75"/>
    <w:rsid w:val="2086CCB9"/>
    <w:rsid w:val="212222A4"/>
    <w:rsid w:val="2154A683"/>
    <w:rsid w:val="21A9B2A2"/>
    <w:rsid w:val="21D140E7"/>
    <w:rsid w:val="221415E6"/>
    <w:rsid w:val="23E535F6"/>
    <w:rsid w:val="25B67DFB"/>
    <w:rsid w:val="26AB79BF"/>
    <w:rsid w:val="26D0DC9C"/>
    <w:rsid w:val="276AA4AE"/>
    <w:rsid w:val="27F17AA0"/>
    <w:rsid w:val="285331BB"/>
    <w:rsid w:val="28C3EC3B"/>
    <w:rsid w:val="29ADDBFE"/>
    <w:rsid w:val="2BF4BCC0"/>
    <w:rsid w:val="2DA14F22"/>
    <w:rsid w:val="2DE348A4"/>
    <w:rsid w:val="2F0C01A5"/>
    <w:rsid w:val="2F487A94"/>
    <w:rsid w:val="2F8F9E40"/>
    <w:rsid w:val="30BF5946"/>
    <w:rsid w:val="31E7633D"/>
    <w:rsid w:val="32E433CE"/>
    <w:rsid w:val="35FF8950"/>
    <w:rsid w:val="3641D3CB"/>
    <w:rsid w:val="36803D07"/>
    <w:rsid w:val="3793E5F2"/>
    <w:rsid w:val="37D986FE"/>
    <w:rsid w:val="398A2A58"/>
    <w:rsid w:val="3A5D69E1"/>
    <w:rsid w:val="3BB46321"/>
    <w:rsid w:val="3BE652DC"/>
    <w:rsid w:val="3C88A156"/>
    <w:rsid w:val="3D533A74"/>
    <w:rsid w:val="3D813555"/>
    <w:rsid w:val="3D8629F7"/>
    <w:rsid w:val="3D878012"/>
    <w:rsid w:val="3E27A87C"/>
    <w:rsid w:val="3FD2E743"/>
    <w:rsid w:val="4132B6B0"/>
    <w:rsid w:val="4198596B"/>
    <w:rsid w:val="41D9C46C"/>
    <w:rsid w:val="41EB1732"/>
    <w:rsid w:val="421B24CE"/>
    <w:rsid w:val="422C107B"/>
    <w:rsid w:val="424195B3"/>
    <w:rsid w:val="4462C1BA"/>
    <w:rsid w:val="44DD7F1E"/>
    <w:rsid w:val="44E4589B"/>
    <w:rsid w:val="467D6B45"/>
    <w:rsid w:val="4683334E"/>
    <w:rsid w:val="46C03BFC"/>
    <w:rsid w:val="46F77D6A"/>
    <w:rsid w:val="46FA37CA"/>
    <w:rsid w:val="474608C9"/>
    <w:rsid w:val="474894F5"/>
    <w:rsid w:val="47A6A4B8"/>
    <w:rsid w:val="47AA25C2"/>
    <w:rsid w:val="485FF8FD"/>
    <w:rsid w:val="4924E2FD"/>
    <w:rsid w:val="4928BB22"/>
    <w:rsid w:val="49D69543"/>
    <w:rsid w:val="4AC298B4"/>
    <w:rsid w:val="4CC1A880"/>
    <w:rsid w:val="4CDA617C"/>
    <w:rsid w:val="4DE19EAC"/>
    <w:rsid w:val="4E780B4D"/>
    <w:rsid w:val="51E33643"/>
    <w:rsid w:val="52CA13E4"/>
    <w:rsid w:val="537F2FAA"/>
    <w:rsid w:val="5392D05F"/>
    <w:rsid w:val="5467AAAD"/>
    <w:rsid w:val="55D5E4A2"/>
    <w:rsid w:val="587BFBE4"/>
    <w:rsid w:val="5886B3A2"/>
    <w:rsid w:val="58B4E84C"/>
    <w:rsid w:val="5913DFCA"/>
    <w:rsid w:val="596FD407"/>
    <w:rsid w:val="59F9B21C"/>
    <w:rsid w:val="5A66C9E9"/>
    <w:rsid w:val="5ABD2BF0"/>
    <w:rsid w:val="5AC8F7A4"/>
    <w:rsid w:val="5B317263"/>
    <w:rsid w:val="5C5FD059"/>
    <w:rsid w:val="5C79E5B7"/>
    <w:rsid w:val="5E6ABFFD"/>
    <w:rsid w:val="5EF30673"/>
    <w:rsid w:val="5F7D5FD2"/>
    <w:rsid w:val="60574DE7"/>
    <w:rsid w:val="61696D23"/>
    <w:rsid w:val="625A2849"/>
    <w:rsid w:val="633B7F6A"/>
    <w:rsid w:val="64E714FB"/>
    <w:rsid w:val="64F1A1A9"/>
    <w:rsid w:val="6504D6BB"/>
    <w:rsid w:val="6560AEC7"/>
    <w:rsid w:val="65686B36"/>
    <w:rsid w:val="6598A45E"/>
    <w:rsid w:val="65F37B56"/>
    <w:rsid w:val="668F9368"/>
    <w:rsid w:val="66A82130"/>
    <w:rsid w:val="67B31A8B"/>
    <w:rsid w:val="690FF9FB"/>
    <w:rsid w:val="696335F5"/>
    <w:rsid w:val="6977BA89"/>
    <w:rsid w:val="6A85CB65"/>
    <w:rsid w:val="6C56412F"/>
    <w:rsid w:val="6CF747A9"/>
    <w:rsid w:val="6D50E8B1"/>
    <w:rsid w:val="6DE29BF3"/>
    <w:rsid w:val="6E4A592C"/>
    <w:rsid w:val="6EEDB432"/>
    <w:rsid w:val="7133B4B3"/>
    <w:rsid w:val="72950B61"/>
    <w:rsid w:val="72E7C8CF"/>
    <w:rsid w:val="742D81C3"/>
    <w:rsid w:val="7448B85B"/>
    <w:rsid w:val="75193671"/>
    <w:rsid w:val="76B5BE5C"/>
    <w:rsid w:val="792DF068"/>
    <w:rsid w:val="79A868DC"/>
    <w:rsid w:val="79EB1E16"/>
    <w:rsid w:val="7C3074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56290254-DB77-4191-89CC-859ADB89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EE7F5D"/>
    <w:pPr>
      <w:keepNext/>
      <w:keepLines/>
      <w:numPr>
        <w:numId w:val="1"/>
      </w:numPr>
      <w:spacing w:after="0" w:line="240" w:lineRule="auto"/>
      <w:outlineLvl w:val="0"/>
    </w:pPr>
    <w:rPr>
      <w:color w:val="4472C4"/>
      <w:sz w:val="24"/>
      <w:szCs w:val="28"/>
    </w:rPr>
  </w:style>
  <w:style w:type="paragraph" w:styleId="Heading2">
    <w:name w:val="heading 2"/>
    <w:basedOn w:val="Normal"/>
    <w:next w:val="Normal"/>
    <w:link w:val="Heading2Char"/>
    <w:uiPriority w:val="9"/>
    <w:rsid w:val="00970CF0"/>
    <w:pPr>
      <w:keepNext/>
      <w:keepLines/>
      <w:numPr>
        <w:ilvl w:val="1"/>
        <w:numId w:val="1"/>
      </w:numPr>
      <w:spacing w:before="120" w:after="0"/>
      <w:ind w:left="1170" w:hanging="540"/>
      <w:outlineLvl w:val="1"/>
    </w:pPr>
    <w:rPr>
      <w:color w:val="4472C4"/>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F5D"/>
    <w:rPr>
      <w:rFonts w:ascii="Calibri" w:eastAsia="Calibri" w:hAnsi="Calibri" w:cs="Calibri"/>
      <w:color w:val="4472C4"/>
      <w:sz w:val="24"/>
      <w:szCs w:val="28"/>
    </w:rPr>
  </w:style>
  <w:style w:type="character" w:customStyle="1" w:styleId="Heading2Char">
    <w:name w:val="Heading 2 Char"/>
    <w:basedOn w:val="DefaultParagraphFont"/>
    <w:link w:val="Heading2"/>
    <w:uiPriority w:val="9"/>
    <w:rsid w:val="00970CF0"/>
    <w:rPr>
      <w:rFonts w:ascii="Calibri" w:eastAsia="Calibri" w:hAnsi="Calibri" w:cs="Calibri"/>
      <w:color w:val="4472C4"/>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440864"/>
    <w:rPr>
      <w:color w:val="2E74B5" w:themeColor="accent5" w:themeShade="BF"/>
    </w:rPr>
  </w:style>
  <w:style w:type="paragraph" w:styleId="TOC1">
    <w:name w:val="toc 1"/>
    <w:basedOn w:val="Normal"/>
    <w:next w:val="Normal"/>
    <w:autoRedefine/>
    <w:uiPriority w:val="39"/>
    <w:unhideWhenUsed/>
    <w:rsid w:val="00145007"/>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aliases w:val="Signature Table"/>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7F"/>
    <w:rPr>
      <w:rFonts w:ascii="Calibri" w:eastAsia="Calibri" w:hAnsi="Calibri" w:cs="Calibri"/>
      <w:color w:val="000000"/>
    </w:rPr>
  </w:style>
  <w:style w:type="paragraph" w:styleId="Footer">
    <w:name w:val="footer"/>
    <w:basedOn w:val="Normal"/>
    <w:link w:val="FooterChar"/>
    <w:uiPriority w:val="99"/>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 w:type="paragraph" w:styleId="NoSpacing">
    <w:name w:val="No Spacing"/>
    <w:uiPriority w:val="1"/>
    <w:qFormat/>
    <w:rsid w:val="00CB05FA"/>
    <w:pPr>
      <w:spacing w:after="0" w:line="240" w:lineRule="auto"/>
    </w:pPr>
    <w:rPr>
      <w:rFonts w:ascii="Calibri" w:eastAsia="Calibri" w:hAnsi="Calibri" w:cs="Calibri"/>
      <w:color w:val="000000"/>
    </w:rPr>
  </w:style>
  <w:style w:type="paragraph" w:styleId="Caption">
    <w:name w:val="caption"/>
    <w:basedOn w:val="Normal"/>
    <w:next w:val="Normal"/>
    <w:uiPriority w:val="35"/>
    <w:unhideWhenUsed/>
    <w:qFormat/>
    <w:rsid w:val="000040B8"/>
    <w:pPr>
      <w:spacing w:after="0" w:line="240" w:lineRule="auto"/>
    </w:pPr>
    <w:rPr>
      <w:b/>
      <w:bCs/>
      <w:color w:val="000000" w:themeColor="text1"/>
    </w:rPr>
  </w:style>
  <w:style w:type="character" w:customStyle="1" w:styleId="superscript">
    <w:name w:val="superscript"/>
    <w:basedOn w:val="DefaultParagraphFont"/>
    <w:rsid w:val="007007D8"/>
  </w:style>
  <w:style w:type="paragraph" w:customStyle="1" w:styleId="DPBodyText">
    <w:name w:val="DP Body Text"/>
    <w:link w:val="DPBodyTextChar1"/>
    <w:uiPriority w:val="99"/>
    <w:rsid w:val="00003E81"/>
    <w:pPr>
      <w:spacing w:after="240" w:line="300" w:lineRule="auto"/>
    </w:pPr>
    <w:rPr>
      <w:rFonts w:ascii="Times New Roman" w:eastAsia="Times New Roman" w:hAnsi="Times New Roman" w:cs="Times New Roman"/>
      <w:sz w:val="24"/>
      <w:szCs w:val="20"/>
    </w:rPr>
  </w:style>
  <w:style w:type="character" w:customStyle="1" w:styleId="DPBodyTextChar1">
    <w:name w:val="DP Body Text Char1"/>
    <w:basedOn w:val="DefaultParagraphFont"/>
    <w:link w:val="DPBodyText"/>
    <w:uiPriority w:val="99"/>
    <w:rsid w:val="00003E81"/>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431CA1"/>
    <w:pPr>
      <w:spacing w:after="120"/>
    </w:pPr>
  </w:style>
  <w:style w:type="character" w:customStyle="1" w:styleId="BodyTextChar">
    <w:name w:val="Body Text Char"/>
    <w:basedOn w:val="DefaultParagraphFont"/>
    <w:link w:val="BodyText"/>
    <w:uiPriority w:val="99"/>
    <w:rsid w:val="00431CA1"/>
    <w:rPr>
      <w:rFonts w:ascii="Calibri" w:eastAsia="Calibri" w:hAnsi="Calibri" w:cs="Calibri"/>
      <w:color w:val="000000"/>
    </w:rPr>
  </w:style>
  <w:style w:type="paragraph" w:styleId="TableofFigures">
    <w:name w:val="table of figures"/>
    <w:basedOn w:val="Normal"/>
    <w:next w:val="Normal"/>
    <w:uiPriority w:val="99"/>
    <w:unhideWhenUsed/>
    <w:rsid w:val="00973013"/>
    <w:pPr>
      <w:spacing w:after="0"/>
    </w:pPr>
  </w:style>
  <w:style w:type="paragraph" w:styleId="ListParagraph">
    <w:name w:val="List Paragraph"/>
    <w:basedOn w:val="Normal"/>
    <w:uiPriority w:val="34"/>
    <w:qFormat/>
    <w:rsid w:val="0097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9406">
      <w:bodyDiv w:val="1"/>
      <w:marLeft w:val="0"/>
      <w:marRight w:val="0"/>
      <w:marTop w:val="0"/>
      <w:marBottom w:val="0"/>
      <w:divBdr>
        <w:top w:val="none" w:sz="0" w:space="0" w:color="auto"/>
        <w:left w:val="none" w:sz="0" w:space="0" w:color="auto"/>
        <w:bottom w:val="none" w:sz="0" w:space="0" w:color="auto"/>
        <w:right w:val="none" w:sz="0" w:space="0" w:color="auto"/>
      </w:divBdr>
    </w:div>
    <w:div w:id="268894936">
      <w:bodyDiv w:val="1"/>
      <w:marLeft w:val="0"/>
      <w:marRight w:val="0"/>
      <w:marTop w:val="0"/>
      <w:marBottom w:val="0"/>
      <w:divBdr>
        <w:top w:val="none" w:sz="0" w:space="0" w:color="auto"/>
        <w:left w:val="none" w:sz="0" w:space="0" w:color="auto"/>
        <w:bottom w:val="none" w:sz="0" w:space="0" w:color="auto"/>
        <w:right w:val="none" w:sz="0" w:space="0" w:color="auto"/>
      </w:divBdr>
    </w:div>
    <w:div w:id="556018509">
      <w:bodyDiv w:val="1"/>
      <w:marLeft w:val="0"/>
      <w:marRight w:val="0"/>
      <w:marTop w:val="0"/>
      <w:marBottom w:val="0"/>
      <w:divBdr>
        <w:top w:val="none" w:sz="0" w:space="0" w:color="auto"/>
        <w:left w:val="none" w:sz="0" w:space="0" w:color="auto"/>
        <w:bottom w:val="none" w:sz="0" w:space="0" w:color="auto"/>
        <w:right w:val="none" w:sz="0" w:space="0" w:color="auto"/>
      </w:divBdr>
    </w:div>
    <w:div w:id="1406028922">
      <w:bodyDiv w:val="1"/>
      <w:marLeft w:val="0"/>
      <w:marRight w:val="0"/>
      <w:marTop w:val="0"/>
      <w:marBottom w:val="0"/>
      <w:divBdr>
        <w:top w:val="none" w:sz="0" w:space="0" w:color="auto"/>
        <w:left w:val="none" w:sz="0" w:space="0" w:color="auto"/>
        <w:bottom w:val="none" w:sz="0" w:space="0" w:color="auto"/>
        <w:right w:val="none" w:sz="0" w:space="0" w:color="auto"/>
      </w:divBdr>
    </w:div>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 w:id="2107380400">
      <w:bodyDiv w:val="1"/>
      <w:marLeft w:val="0"/>
      <w:marRight w:val="0"/>
      <w:marTop w:val="0"/>
      <w:marBottom w:val="0"/>
      <w:divBdr>
        <w:top w:val="none" w:sz="0" w:space="0" w:color="auto"/>
        <w:left w:val="none" w:sz="0" w:space="0" w:color="auto"/>
        <w:bottom w:val="none" w:sz="0" w:space="0" w:color="auto"/>
        <w:right w:val="none" w:sz="0" w:space="0" w:color="auto"/>
      </w:divBdr>
    </w:div>
    <w:div w:id="21293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7" Type="http://schemas.openxmlformats.org/officeDocument/2006/relationships/hyperlink" Target="https://www.epa.gov/pesticide-science-and-assessing-pesticide-risks/models-pesticide-risk-assessment%23aquatic" TargetMode="External"/><Relationship Id="rId2" Type="http://schemas.openxmlformats.org/officeDocument/2006/relationships/hyperlink" Target="http://www.irac-online.org/"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s://www.epa.gov/endangered-species/models-and-tools-endangered-species-pesticide-assessments" TargetMode="External"/><Relationship Id="rId5" Type="http://schemas.openxmlformats.org/officeDocument/2006/relationships/hyperlink" Target="https://www.epa.gov/endangered-species/models-and-tools-endangered-species-pesticide-assessments" TargetMode="External"/><Relationship Id="rId4" Type="http://schemas.openxmlformats.org/officeDocument/2006/relationships/hyperlink" Target="https://coast.noaa.gov/digitalcoast/data/ccapreg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UserInfo>
        <DisplayName>Anderson, Brian</DisplayName>
        <AccountId>650</AccountId>
        <AccountType/>
      </UserInfo>
    </SharedWithUsers>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56FC77A-F65F-46FD-AF3C-C85CFFA65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3.xml><?xml version="1.0" encoding="utf-8"?>
<ds:datastoreItem xmlns:ds="http://schemas.openxmlformats.org/officeDocument/2006/customXml" ds:itemID="{0A0A7E5D-1BA8-4481-9F65-EE282143ECB2}">
  <ds:schemaRefs>
    <ds:schemaRef ds:uri="http://schemas.openxmlformats.org/officeDocument/2006/bibliography"/>
  </ds:schemaRefs>
</ds:datastoreItem>
</file>

<file path=customXml/itemProps4.xml><?xml version="1.0" encoding="utf-8"?>
<ds:datastoreItem xmlns:ds="http://schemas.openxmlformats.org/officeDocument/2006/customXml" ds:itemID="{22ACB71E-C022-4CE7-8E4D-95E40E3937CC}">
  <ds:schemaRefs>
    <ds:schemaRef ds:uri="http://schemas.microsoft.com/office/2006/metadata/properties"/>
    <ds:schemaRef ds:uri="4ffa91fb-a0ff-4ac5-b2db-65c790d184a4"/>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a5d1ca4e-0a3f-4119-b619-e20b93ebd1aa"/>
    <ds:schemaRef ds:uri="1b69afd8-9bdb-481b-b26a-06cbd17fa30c"/>
    <ds:schemaRef ds:uri="http://purl.org/dc/elements/1.1/"/>
    <ds:schemaRef ds:uri="http://schemas.microsoft.com/sharepoint/v3/field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0973105-6CE9-43C2-8102-D80DC5C8D6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Orrick, Greg</cp:lastModifiedBy>
  <cp:revision>4</cp:revision>
  <dcterms:created xsi:type="dcterms:W3CDTF">2021-08-17T23:30:00Z</dcterms:created>
  <dcterms:modified xsi:type="dcterms:W3CDTF">2022-06-02T03:04:00Z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