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DF9879" w14:textId="77777777" w:rsidR="00613E3D" w:rsidRDefault="00DB0802">
      <w:r>
        <w:rPr>
          <w:b/>
          <w:sz w:val="24"/>
          <w:szCs w:val="24"/>
        </w:rPr>
        <w:t>Appendix 3-5. Downstream Dilution Tool Results</w:t>
      </w:r>
    </w:p>
    <w:p w14:paraId="3AE92590" w14:textId="0A3FE2FF" w:rsidR="00613E3D" w:rsidRDefault="00E05382">
      <w:r>
        <w:t xml:space="preserve">The Downstream Dilution Tool is a GIS-based algorithm designed to determine the downstream extent of exposure in flowing streams and rivers where direct/indirect effects and/or habitat modification may occur. In Step 1 of the ESA process, the aquatic exposure estimates derived from the downstream dilution tool and </w:t>
      </w:r>
      <w:proofErr w:type="spellStart"/>
      <w:r>
        <w:t>AgDRIFT</w:t>
      </w:r>
      <w:proofErr w:type="spellEnd"/>
      <w:r>
        <w:t xml:space="preserve"> are compared to toxicity thresholds to define the action area which includes the initial area of concern (</w:t>
      </w:r>
      <w:r w:rsidRPr="00B778AB">
        <w:rPr>
          <w:i/>
        </w:rPr>
        <w:t>i.e.</w:t>
      </w:r>
      <w:r>
        <w:t xml:space="preserve">, immediate area where pesticides are applied) and additional areas that may be affected directly or indirectly by the pesticide application due to offsite transport. </w:t>
      </w:r>
      <w:r w:rsidRPr="00F36C5E">
        <w:t xml:space="preserve">The downstream extent of the action area includes the area where </w:t>
      </w:r>
      <w:r>
        <w:t xml:space="preserve">the </w:t>
      </w:r>
      <w:r w:rsidRPr="00F36C5E">
        <w:t xml:space="preserve">predicted levels of </w:t>
      </w:r>
      <w:r>
        <w:t xml:space="preserve">the cumulative percent use area </w:t>
      </w:r>
      <w:r w:rsidRPr="00F36C5E">
        <w:t>exceed the highest “estimated exposure concentration (EEC) to threshold ratio” (</w:t>
      </w:r>
      <w:r w:rsidRPr="00F36C5E">
        <w:rPr>
          <w:i/>
        </w:rPr>
        <w:t>i.e.</w:t>
      </w:r>
      <w:r w:rsidRPr="00F36C5E">
        <w:t>, the ratio of the highest EEC to lowest toxicity threshold).</w:t>
      </w:r>
      <w:r>
        <w:t xml:space="preserve">  In essence this</w:t>
      </w:r>
      <w:r w:rsidRPr="00EF2042">
        <w:t xml:space="preserve"> provides an estimate of streams where estimated environmental concentrations have the potential to e</w:t>
      </w:r>
      <w:r>
        <w:t>xceed a toxicity threshold</w:t>
      </w:r>
      <w:r w:rsidRPr="00EF2042">
        <w:t xml:space="preserve">. </w:t>
      </w:r>
      <w:r>
        <w:t xml:space="preserve"> In Step 2 of the ESA process, the tool is used to assess the impact downstream from specified use sites, specific to the label, using taxa-specific thresholds in order to support the weight of evidence and effects determinations.  For Step 3, a process is being developed to generate a text delimited file which will list the stream reaches and est</w:t>
      </w:r>
      <w:r w:rsidR="00D04759">
        <w:t xml:space="preserve">imated exposure concentrations </w:t>
      </w:r>
      <w:r>
        <w:t>EECs in upstream reaches as well as for the streams in the species ranges and critical habitat.</w:t>
      </w:r>
    </w:p>
    <w:p w14:paraId="1D52CED2" w14:textId="6D6D9F05" w:rsidR="00613E3D" w:rsidRDefault="00DB0802">
      <w:bookmarkStart w:id="0" w:name="h.gjdgxs" w:colFirst="0" w:colLast="0"/>
      <w:bookmarkEnd w:id="0"/>
      <w:r>
        <w:t xml:space="preserve">Because of the widespread use of malathion and the uncertainty with where the </w:t>
      </w:r>
      <w:proofErr w:type="spellStart"/>
      <w:r>
        <w:t>adulticide</w:t>
      </w:r>
      <w:proofErr w:type="spellEnd"/>
      <w:r>
        <w:t xml:space="preserve"> and non-agricultural uses could occur, the entire United States is considered the action area for malathion for Step 1.  For Step 2, again due to the uncertainty with where the </w:t>
      </w:r>
      <w:proofErr w:type="spellStart"/>
      <w:r>
        <w:t>adulticide</w:t>
      </w:r>
      <w:proofErr w:type="spellEnd"/>
      <w:r>
        <w:t xml:space="preserve"> and non-agricultural uses could occur, any of these uses could potentially occur in any watershed, </w:t>
      </w:r>
      <w:r w:rsidR="00E05382">
        <w:t xml:space="preserve">including the watershed encompassing the species range and/or critical habitat, </w:t>
      </w:r>
      <w:r>
        <w:t xml:space="preserve">resulting in pesticide </w:t>
      </w:r>
      <w:r w:rsidR="00E05382" w:rsidRPr="00E05382">
        <w:t>contribution to a receiving stream, negating the need to assess downstream dilution for Step 2</w:t>
      </w:r>
      <w:r w:rsidR="00902437">
        <w:t xml:space="preserve">.  As mentioned above, </w:t>
      </w:r>
      <w:bookmarkStart w:id="1" w:name="_GoBack"/>
      <w:bookmarkEnd w:id="1"/>
      <w:r w:rsidR="00E05382">
        <w:t>a process is being developed to evaluate EECs in upstream reaches, as well as for the streams in the species ranges and critical habitat, for Step 3 in order to address the contribution of the upstream sources to the existing EECs.</w:t>
      </w:r>
    </w:p>
    <w:p w14:paraId="0CD50909" w14:textId="77777777" w:rsidR="00613E3D" w:rsidRDefault="00DB0802">
      <w:r>
        <w:t xml:space="preserve"> </w:t>
      </w:r>
    </w:p>
    <w:sectPr w:rsidR="00613E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3D"/>
    <w:rsid w:val="00613E3D"/>
    <w:rsid w:val="00682FB9"/>
    <w:rsid w:val="00902437"/>
    <w:rsid w:val="00D04759"/>
    <w:rsid w:val="00D6015F"/>
    <w:rsid w:val="00DB0802"/>
    <w:rsid w:val="00E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E163"/>
  <w15:docId w15:val="{2E3A8EA7-6F64-403D-B24A-4EDC733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Ryan.DeWitt</dc:creator>
  <cp:lastModifiedBy>Donovan, Elizabeth</cp:lastModifiedBy>
  <cp:revision>5</cp:revision>
  <dcterms:created xsi:type="dcterms:W3CDTF">2016-03-09T22:11:00Z</dcterms:created>
  <dcterms:modified xsi:type="dcterms:W3CDTF">2017-01-11T14:33:00Z</dcterms:modified>
</cp:coreProperties>
</file>