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31" w:rsidRPr="00E64CE3" w:rsidRDefault="00E64CE3">
      <w:pPr>
        <w:rPr>
          <w:rFonts w:asciiTheme="minorHAnsi" w:hAnsiTheme="minorHAnsi"/>
          <w:b/>
        </w:rPr>
      </w:pPr>
      <w:r w:rsidRPr="00E64CE3">
        <w:rPr>
          <w:rFonts w:asciiTheme="minorHAnsi" w:hAnsiTheme="minorHAnsi"/>
          <w:b/>
        </w:rPr>
        <w:t>A</w:t>
      </w:r>
      <w:r w:rsidR="00673667">
        <w:rPr>
          <w:rFonts w:asciiTheme="minorHAnsi" w:hAnsiTheme="minorHAnsi"/>
          <w:b/>
        </w:rPr>
        <w:t>PPENDIX</w:t>
      </w:r>
      <w:r w:rsidRPr="00E64CE3">
        <w:rPr>
          <w:rFonts w:asciiTheme="minorHAnsi" w:hAnsiTheme="minorHAnsi"/>
          <w:b/>
        </w:rPr>
        <w:t xml:space="preserve"> 2-6: Species Sensitivity Distribution analysis for Fish</w:t>
      </w:r>
    </w:p>
    <w:p w:rsidR="002324E5" w:rsidRPr="00E64CE3" w:rsidRDefault="002324E5">
      <w:pPr>
        <w:rPr>
          <w:rFonts w:asciiTheme="minorHAnsi" w:hAnsiTheme="minorHAnsi"/>
          <w:sz w:val="22"/>
          <w:szCs w:val="22"/>
        </w:rPr>
      </w:pPr>
    </w:p>
    <w:p w:rsidR="00441676" w:rsidRPr="00E64CE3" w:rsidRDefault="00BB6831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 xml:space="preserve">SSDs </w:t>
      </w:r>
      <w:r w:rsidR="00DE4FE3" w:rsidRPr="00E64CE3">
        <w:rPr>
          <w:rFonts w:asciiTheme="minorHAnsi" w:hAnsiTheme="minorHAnsi"/>
          <w:sz w:val="22"/>
          <w:szCs w:val="22"/>
        </w:rPr>
        <w:t xml:space="preserve">were fitted </w:t>
      </w:r>
      <w:r w:rsidRPr="00E64CE3">
        <w:rPr>
          <w:rFonts w:asciiTheme="minorHAnsi" w:hAnsiTheme="minorHAnsi"/>
          <w:sz w:val="22"/>
          <w:szCs w:val="22"/>
        </w:rPr>
        <w:t xml:space="preserve">to test results for aquatic vertebrates exposed to </w:t>
      </w:r>
      <w:r w:rsidR="00F30497" w:rsidRPr="00E64CE3">
        <w:rPr>
          <w:rFonts w:asciiTheme="minorHAnsi" w:hAnsiTheme="minorHAnsi"/>
          <w:sz w:val="22"/>
          <w:szCs w:val="22"/>
        </w:rPr>
        <w:t>Malathion</w:t>
      </w:r>
      <w:r w:rsidRPr="00E64CE3">
        <w:rPr>
          <w:rFonts w:asciiTheme="minorHAnsi" w:hAnsiTheme="minorHAnsi"/>
          <w:sz w:val="22"/>
          <w:szCs w:val="22"/>
        </w:rPr>
        <w:t xml:space="preserve">.  </w:t>
      </w:r>
      <w:r w:rsidR="00E703A5">
        <w:rPr>
          <w:rFonts w:asciiTheme="minorHAnsi" w:hAnsiTheme="minorHAnsi"/>
          <w:sz w:val="22"/>
          <w:szCs w:val="22"/>
        </w:rPr>
        <w:t xml:space="preserve">Four </w:t>
      </w:r>
      <w:r w:rsidRPr="00E64CE3">
        <w:rPr>
          <w:rFonts w:asciiTheme="minorHAnsi" w:hAnsiTheme="minorHAnsi"/>
          <w:sz w:val="22"/>
          <w:szCs w:val="22"/>
        </w:rPr>
        <w:t xml:space="preserve">distributions </w:t>
      </w:r>
      <w:r w:rsidR="004441DC" w:rsidRPr="00E64CE3">
        <w:rPr>
          <w:rFonts w:asciiTheme="minorHAnsi" w:hAnsiTheme="minorHAnsi"/>
          <w:sz w:val="22"/>
          <w:szCs w:val="22"/>
        </w:rPr>
        <w:t>were used</w:t>
      </w:r>
      <w:r w:rsidR="00E92116">
        <w:rPr>
          <w:rFonts w:asciiTheme="minorHAnsi" w:hAnsiTheme="minorHAnsi"/>
          <w:sz w:val="22"/>
          <w:szCs w:val="22"/>
        </w:rPr>
        <w:t xml:space="preserve"> to fit the data</w:t>
      </w:r>
      <w:r w:rsidR="00E703A5">
        <w:rPr>
          <w:rFonts w:asciiTheme="minorHAnsi" w:hAnsiTheme="minorHAnsi"/>
          <w:sz w:val="22"/>
          <w:szCs w:val="22"/>
        </w:rPr>
        <w:t xml:space="preserve"> (Burr was not used in this evaluation)</w:t>
      </w:r>
      <w:r w:rsidR="00E92116">
        <w:rPr>
          <w:rFonts w:asciiTheme="minorHAnsi" w:hAnsiTheme="minorHAnsi"/>
          <w:sz w:val="22"/>
          <w:szCs w:val="22"/>
        </w:rPr>
        <w:t xml:space="preserve">. </w:t>
      </w:r>
      <w:r w:rsidR="00441676" w:rsidRPr="00E64CE3">
        <w:rPr>
          <w:rFonts w:asciiTheme="minorHAnsi" w:hAnsiTheme="minorHAnsi"/>
          <w:sz w:val="22"/>
          <w:szCs w:val="22"/>
        </w:rPr>
        <w:t xml:space="preserve"> </w:t>
      </w:r>
      <w:r w:rsidR="00224516" w:rsidRPr="00E64CE3">
        <w:rPr>
          <w:rFonts w:asciiTheme="minorHAnsi" w:hAnsiTheme="minorHAnsi"/>
          <w:sz w:val="22"/>
          <w:szCs w:val="22"/>
        </w:rPr>
        <w:t xml:space="preserve">Summary statistics for SSDs </w:t>
      </w:r>
      <w:r w:rsidR="004441DC" w:rsidRPr="00E64CE3">
        <w:rPr>
          <w:rFonts w:asciiTheme="minorHAnsi" w:hAnsiTheme="minorHAnsi"/>
          <w:sz w:val="22"/>
          <w:szCs w:val="22"/>
        </w:rPr>
        <w:t>modeled are presented below</w:t>
      </w:r>
      <w:r w:rsidR="00224516" w:rsidRPr="00E64CE3">
        <w:rPr>
          <w:rFonts w:asciiTheme="minorHAnsi" w:hAnsiTheme="minorHAnsi"/>
          <w:sz w:val="22"/>
          <w:szCs w:val="22"/>
        </w:rPr>
        <w:t>.</w:t>
      </w:r>
      <w:r w:rsidR="009D23C9" w:rsidRPr="00E64CE3">
        <w:rPr>
          <w:rFonts w:asciiTheme="minorHAnsi" w:hAnsiTheme="minorHAnsi"/>
          <w:sz w:val="22"/>
          <w:szCs w:val="22"/>
        </w:rPr>
        <w:t xml:space="preserve">  For </w:t>
      </w:r>
      <w:r w:rsidR="00A92708">
        <w:rPr>
          <w:rFonts w:asciiTheme="minorHAnsi" w:hAnsiTheme="minorHAnsi"/>
          <w:sz w:val="22"/>
          <w:szCs w:val="22"/>
        </w:rPr>
        <w:t>both datasets (</w:t>
      </w:r>
      <w:r w:rsidR="009D23C9" w:rsidRPr="00E64CE3">
        <w:rPr>
          <w:rFonts w:asciiTheme="minorHAnsi" w:hAnsiTheme="minorHAnsi"/>
          <w:sz w:val="22"/>
          <w:szCs w:val="22"/>
        </w:rPr>
        <w:t xml:space="preserve">all vertebrates, </w:t>
      </w:r>
      <w:r w:rsidR="00A92708">
        <w:rPr>
          <w:rFonts w:asciiTheme="minorHAnsi" w:hAnsiTheme="minorHAnsi"/>
          <w:sz w:val="22"/>
          <w:szCs w:val="22"/>
        </w:rPr>
        <w:t>and</w:t>
      </w:r>
      <w:r w:rsidR="007029CD" w:rsidRPr="00E64CE3">
        <w:rPr>
          <w:rFonts w:asciiTheme="minorHAnsi" w:hAnsiTheme="minorHAnsi"/>
          <w:sz w:val="22"/>
          <w:szCs w:val="22"/>
        </w:rPr>
        <w:t xml:space="preserve"> all fish</w:t>
      </w:r>
      <w:r w:rsidR="00E72C73">
        <w:rPr>
          <w:rFonts w:asciiTheme="minorHAnsi" w:hAnsiTheme="minorHAnsi"/>
          <w:sz w:val="22"/>
          <w:szCs w:val="22"/>
        </w:rPr>
        <w:t>)</w:t>
      </w:r>
      <w:r w:rsidR="007029CD" w:rsidRPr="00E64CE3">
        <w:rPr>
          <w:rFonts w:asciiTheme="minorHAnsi" w:hAnsiTheme="minorHAnsi"/>
          <w:sz w:val="22"/>
          <w:szCs w:val="22"/>
        </w:rPr>
        <w:t>, the HC05 value</w:t>
      </w:r>
      <w:r w:rsidR="009D23C9" w:rsidRPr="00E64CE3">
        <w:rPr>
          <w:rFonts w:asciiTheme="minorHAnsi" w:hAnsiTheme="minorHAnsi"/>
          <w:sz w:val="22"/>
          <w:szCs w:val="22"/>
        </w:rPr>
        <w:t xml:space="preserve"> from the </w:t>
      </w:r>
      <w:proofErr w:type="spellStart"/>
      <w:r w:rsidR="00A92708">
        <w:rPr>
          <w:rFonts w:asciiTheme="minorHAnsi" w:hAnsiTheme="minorHAnsi"/>
          <w:sz w:val="22"/>
          <w:szCs w:val="22"/>
        </w:rPr>
        <w:t>gumbel</w:t>
      </w:r>
      <w:proofErr w:type="spellEnd"/>
      <w:r w:rsidR="009D23C9" w:rsidRPr="00E64CE3">
        <w:rPr>
          <w:rFonts w:asciiTheme="minorHAnsi" w:hAnsiTheme="minorHAnsi"/>
          <w:sz w:val="22"/>
          <w:szCs w:val="22"/>
        </w:rPr>
        <w:t xml:space="preserve"> distribution w</w:t>
      </w:r>
      <w:r w:rsidR="002324E5" w:rsidRPr="00E64CE3">
        <w:rPr>
          <w:rFonts w:asciiTheme="minorHAnsi" w:hAnsiTheme="minorHAnsi"/>
          <w:sz w:val="22"/>
          <w:szCs w:val="22"/>
        </w:rPr>
        <w:t>as</w:t>
      </w:r>
      <w:r w:rsidR="009D23C9" w:rsidRPr="00E64CE3">
        <w:rPr>
          <w:rFonts w:asciiTheme="minorHAnsi" w:hAnsiTheme="minorHAnsi"/>
          <w:sz w:val="22"/>
          <w:szCs w:val="22"/>
        </w:rPr>
        <w:t xml:space="preserve"> chosen. The</w:t>
      </w:r>
      <w:r w:rsidR="007029CD" w:rsidRPr="00E64CE3">
        <w:rPr>
          <w:rFonts w:asciiTheme="minorHAnsi" w:hAnsiTheme="minorHAnsi"/>
          <w:sz w:val="22"/>
          <w:szCs w:val="22"/>
        </w:rPr>
        <w:t xml:space="preserve">se decisions were based on the </w:t>
      </w:r>
      <w:proofErr w:type="spellStart"/>
      <w:r w:rsidR="007029CD" w:rsidRPr="00E64CE3">
        <w:rPr>
          <w:rFonts w:asciiTheme="minorHAnsi" w:hAnsiTheme="minorHAnsi"/>
          <w:sz w:val="22"/>
          <w:szCs w:val="22"/>
        </w:rPr>
        <w:t>AICc</w:t>
      </w:r>
      <w:proofErr w:type="spellEnd"/>
      <w:r w:rsidR="007029CD" w:rsidRPr="00E64CE3">
        <w:rPr>
          <w:rFonts w:asciiTheme="minorHAnsi" w:hAnsiTheme="minorHAnsi"/>
          <w:sz w:val="22"/>
          <w:szCs w:val="22"/>
        </w:rPr>
        <w:t xml:space="preserve"> weight, CVs and confidence </w:t>
      </w:r>
      <w:r w:rsidR="00C6685B" w:rsidRPr="00E64CE3">
        <w:rPr>
          <w:rFonts w:asciiTheme="minorHAnsi" w:hAnsiTheme="minorHAnsi"/>
          <w:sz w:val="22"/>
          <w:szCs w:val="22"/>
        </w:rPr>
        <w:t>limits</w:t>
      </w:r>
      <w:r w:rsidR="007029CD" w:rsidRPr="00E64CE3">
        <w:rPr>
          <w:rFonts w:asciiTheme="minorHAnsi" w:hAnsiTheme="minorHAnsi"/>
          <w:sz w:val="22"/>
          <w:szCs w:val="22"/>
        </w:rPr>
        <w:t xml:space="preserve"> for the different distributions. </w:t>
      </w:r>
      <w:r w:rsidR="00A92708">
        <w:rPr>
          <w:rFonts w:asciiTheme="minorHAnsi" w:hAnsiTheme="minorHAnsi"/>
          <w:sz w:val="22"/>
          <w:szCs w:val="22"/>
        </w:rPr>
        <w:t xml:space="preserve">For both datasets, </w:t>
      </w:r>
      <w:r w:rsidR="00A92708" w:rsidRPr="00E64CE3">
        <w:rPr>
          <w:rFonts w:asciiTheme="minorHAnsi" w:hAnsiTheme="minorHAnsi"/>
          <w:sz w:val="22"/>
          <w:szCs w:val="22"/>
        </w:rPr>
        <w:t>it is noted that the confidence limits are large for the HC05 and that the CV HC</w:t>
      </w:r>
      <w:r w:rsidR="00A92708" w:rsidRPr="00E64CE3">
        <w:rPr>
          <w:rFonts w:asciiTheme="minorHAnsi" w:hAnsiTheme="minorHAnsi"/>
          <w:sz w:val="22"/>
          <w:szCs w:val="22"/>
          <w:vertAlign w:val="subscript"/>
        </w:rPr>
        <w:t>05</w:t>
      </w:r>
      <w:r w:rsidR="00A92708" w:rsidRPr="00E64CE3">
        <w:rPr>
          <w:rFonts w:asciiTheme="minorHAnsi" w:hAnsiTheme="minorHAnsi"/>
          <w:sz w:val="22"/>
          <w:szCs w:val="22"/>
        </w:rPr>
        <w:t xml:space="preserve"> was greater than 1</w:t>
      </w:r>
      <w:r w:rsidR="00A92708">
        <w:rPr>
          <w:rFonts w:asciiTheme="minorHAnsi" w:hAnsiTheme="minorHAnsi"/>
          <w:sz w:val="22"/>
          <w:szCs w:val="22"/>
        </w:rPr>
        <w:t>, therefore, there is uncertainty in this HC05 value.  It is also noted that the HC05 value for both datasets are close to the lowest LC50 value which is for the three-spine stickleback</w:t>
      </w:r>
      <w:r w:rsidR="00A92708" w:rsidRPr="00E64CE3">
        <w:rPr>
          <w:rFonts w:asciiTheme="minorHAnsi" w:hAnsiTheme="minorHAnsi"/>
          <w:sz w:val="22"/>
          <w:szCs w:val="22"/>
        </w:rPr>
        <w:t xml:space="preserve">.  </w:t>
      </w:r>
      <w:r w:rsidR="00E72C73">
        <w:rPr>
          <w:rFonts w:asciiTheme="minorHAnsi" w:hAnsiTheme="minorHAnsi"/>
          <w:sz w:val="22"/>
          <w:szCs w:val="22"/>
        </w:rPr>
        <w:t>There were not enough toxicity values to generate separate freshwater and saltwater fish SSDs.</w:t>
      </w:r>
    </w:p>
    <w:p w:rsidR="00080D99" w:rsidRPr="00E64CE3" w:rsidRDefault="00080D99">
      <w:pPr>
        <w:rPr>
          <w:rFonts w:asciiTheme="minorHAnsi" w:hAnsiTheme="minorHAnsi"/>
          <w:sz w:val="22"/>
          <w:szCs w:val="22"/>
        </w:rPr>
      </w:pPr>
    </w:p>
    <w:p w:rsidR="00FF36C2" w:rsidRPr="00E64CE3" w:rsidRDefault="00FF36C2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E703A5">
        <w:rPr>
          <w:rFonts w:asciiTheme="minorHAnsi" w:hAnsiTheme="minorHAnsi"/>
          <w:b/>
          <w:sz w:val="22"/>
          <w:szCs w:val="22"/>
        </w:rPr>
        <w:t xml:space="preserve">B </w:t>
      </w:r>
      <w:r w:rsidR="00F07CDC">
        <w:rPr>
          <w:rFonts w:asciiTheme="minorHAnsi" w:hAnsiTheme="minorHAnsi"/>
          <w:b/>
          <w:sz w:val="22"/>
          <w:szCs w:val="22"/>
        </w:rPr>
        <w:t>2-</w:t>
      </w:r>
      <w:r w:rsidR="00E64CE3" w:rsidRPr="00E64CE3">
        <w:rPr>
          <w:rFonts w:asciiTheme="minorHAnsi" w:hAnsiTheme="minorHAnsi"/>
          <w:b/>
          <w:sz w:val="22"/>
          <w:szCs w:val="22"/>
        </w:rPr>
        <w:t>6</w:t>
      </w:r>
      <w:r w:rsidR="00F07CDC">
        <w:rPr>
          <w:rFonts w:asciiTheme="minorHAnsi" w:hAnsiTheme="minorHAnsi"/>
          <w:b/>
          <w:sz w:val="22"/>
          <w:szCs w:val="22"/>
        </w:rPr>
        <w:t>.</w:t>
      </w:r>
      <w:r w:rsidRPr="00E64CE3">
        <w:rPr>
          <w:rFonts w:asciiTheme="minorHAnsi" w:hAnsiTheme="minorHAnsi"/>
          <w:b/>
          <w:sz w:val="22"/>
          <w:szCs w:val="22"/>
        </w:rPr>
        <w:t xml:space="preserve">1. Summary statistics for SSDs fit to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  <w:r w:rsidRPr="00E64CE3">
        <w:rPr>
          <w:rFonts w:asciiTheme="minorHAnsi" w:hAnsiTheme="minorHAnsi"/>
          <w:b/>
          <w:sz w:val="22"/>
          <w:szCs w:val="22"/>
        </w:rPr>
        <w:t xml:space="preserve"> test results</w:t>
      </w:r>
    </w:p>
    <w:tbl>
      <w:tblPr>
        <w:tblStyle w:val="TableGrid"/>
        <w:tblW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242"/>
        <w:gridCol w:w="1440"/>
      </w:tblGrid>
      <w:tr w:rsidR="00E92116" w:rsidRPr="00E64CE3" w:rsidTr="00E92116"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E92116" w:rsidRPr="00E64CE3" w:rsidRDefault="00E9211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Statistic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2116" w:rsidRPr="00E64CE3" w:rsidRDefault="00E9211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All</w:t>
            </w:r>
          </w:p>
          <w:p w:rsidR="00E92116" w:rsidRPr="00E64CE3" w:rsidRDefault="00E92116" w:rsidP="000A44C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Vertebr</w:t>
            </w:r>
            <w:proofErr w:type="spellEnd"/>
            <w:r w:rsidRPr="00E64C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92116" w:rsidRPr="00E64CE3" w:rsidRDefault="00E92116" w:rsidP="000A44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Fish</w:t>
            </w:r>
          </w:p>
        </w:tc>
      </w:tr>
      <w:tr w:rsidR="00E92116" w:rsidRPr="00E64CE3" w:rsidTr="00E92116">
        <w:tc>
          <w:tcPr>
            <w:tcW w:w="2178" w:type="dxa"/>
            <w:tcBorders>
              <w:top w:val="single" w:sz="12" w:space="0" w:color="auto"/>
            </w:tcBorders>
          </w:tcPr>
          <w:p w:rsidR="00E92116" w:rsidRPr="00E64CE3" w:rsidRDefault="00E9211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Best Distribution (by </w:t>
            </w: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AIC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proofErr w:type="spellEnd"/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E92116" w:rsidRPr="00A92708" w:rsidRDefault="00E92116" w:rsidP="008D0AE6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Triangular</w:t>
            </w:r>
            <w:r w:rsidR="00A9270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</w:tcPr>
          <w:p w:rsidR="00E92116" w:rsidRPr="00E64CE3" w:rsidRDefault="00A92708" w:rsidP="00DE4FE3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Gumbel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Goodness of fit </w:t>
            </w:r>
          </w:p>
          <w:p w:rsidR="00E92116" w:rsidRPr="00E64CE3" w:rsidRDefault="00E9211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P-value</w:t>
            </w:r>
          </w:p>
        </w:tc>
        <w:tc>
          <w:tcPr>
            <w:tcW w:w="1242" w:type="dxa"/>
          </w:tcPr>
          <w:p w:rsidR="00E92116" w:rsidRPr="00E64CE3" w:rsidRDefault="00A92708" w:rsidP="008D0A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0.62</w:t>
            </w:r>
          </w:p>
        </w:tc>
        <w:tc>
          <w:tcPr>
            <w:tcW w:w="1440" w:type="dxa"/>
          </w:tcPr>
          <w:p w:rsidR="00E92116" w:rsidRPr="00E64CE3" w:rsidRDefault="00A92708" w:rsidP="00DE4F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0.63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CV of the HC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242" w:type="dxa"/>
          </w:tcPr>
          <w:p w:rsidR="00E92116" w:rsidRPr="00E64CE3" w:rsidRDefault="00A927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1.6</w:t>
            </w:r>
          </w:p>
        </w:tc>
        <w:tc>
          <w:tcPr>
            <w:tcW w:w="1440" w:type="dxa"/>
          </w:tcPr>
          <w:p w:rsidR="00E92116" w:rsidRPr="00E64CE3" w:rsidRDefault="00A92708" w:rsidP="00DE4FE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 w:rsidP="007029CD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242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20.9</w:t>
            </w:r>
          </w:p>
        </w:tc>
        <w:tc>
          <w:tcPr>
            <w:tcW w:w="1440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19.4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 w:rsidP="007029CD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242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34.0</w:t>
            </w:r>
          </w:p>
        </w:tc>
        <w:tc>
          <w:tcPr>
            <w:tcW w:w="1440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30.5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 w:rsidP="007029CD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242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315</w:t>
            </w:r>
          </w:p>
        </w:tc>
        <w:tc>
          <w:tcPr>
            <w:tcW w:w="1440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243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 w:rsidP="007029CD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242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10317</w:t>
            </w:r>
          </w:p>
        </w:tc>
        <w:tc>
          <w:tcPr>
            <w:tcW w:w="1440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6270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 w:rsidP="007029CD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1242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39143</w:t>
            </w:r>
          </w:p>
        </w:tc>
        <w:tc>
          <w:tcPr>
            <w:tcW w:w="1440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21724</w:t>
            </w:r>
          </w:p>
        </w:tc>
      </w:tr>
      <w:tr w:rsidR="00E92116" w:rsidRPr="00E64CE3" w:rsidTr="00E92116">
        <w:tc>
          <w:tcPr>
            <w:tcW w:w="2178" w:type="dxa"/>
          </w:tcPr>
          <w:p w:rsidR="00E92116" w:rsidRPr="00E64CE3" w:rsidRDefault="00E92116" w:rsidP="007029CD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Mortality Thresh.</w:t>
            </w:r>
            <w:r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E92116" w:rsidRPr="00E64CE3" w:rsidRDefault="00E92116" w:rsidP="00A9270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(slope = </w:t>
            </w:r>
            <w:r w:rsidR="00A92708">
              <w:rPr>
                <w:rFonts w:asciiTheme="minorHAnsi" w:hAnsiTheme="minorHAnsi"/>
                <w:sz w:val="22"/>
                <w:szCs w:val="22"/>
              </w:rPr>
              <w:t>3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42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0.54</w:t>
            </w:r>
          </w:p>
        </w:tc>
        <w:tc>
          <w:tcPr>
            <w:tcW w:w="1440" w:type="dxa"/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0.50</w:t>
            </w:r>
          </w:p>
        </w:tc>
      </w:tr>
      <w:tr w:rsidR="00E92116" w:rsidRPr="00E64CE3" w:rsidTr="00E92116">
        <w:tc>
          <w:tcPr>
            <w:tcW w:w="2178" w:type="dxa"/>
            <w:tcBorders>
              <w:bottom w:val="single" w:sz="12" w:space="0" w:color="auto"/>
            </w:tcBorders>
          </w:tcPr>
          <w:p w:rsidR="00E92116" w:rsidRPr="00E64CE3" w:rsidRDefault="00E92116" w:rsidP="007029CD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Indirect Effects Threshold</w:t>
            </w:r>
            <w:r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</w:p>
          <w:p w:rsidR="00E92116" w:rsidRPr="00E64CE3" w:rsidRDefault="00E92116" w:rsidP="00A9270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(slope = </w:t>
            </w:r>
            <w:r w:rsidR="00A92708">
              <w:rPr>
                <w:rFonts w:asciiTheme="minorHAnsi" w:hAnsiTheme="minorHAnsi"/>
                <w:sz w:val="22"/>
                <w:szCs w:val="22"/>
              </w:rPr>
              <w:t>3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7.8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92116" w:rsidRPr="00E64CE3" w:rsidRDefault="00A92708" w:rsidP="007029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7.3</w:t>
            </w:r>
          </w:p>
        </w:tc>
      </w:tr>
    </w:tbl>
    <w:p w:rsidR="00080D99" w:rsidRDefault="008D0AE6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  <w:vertAlign w:val="superscript"/>
        </w:rPr>
        <w:t>1</w:t>
      </w:r>
      <w:r w:rsidRPr="00E64CE3">
        <w:rPr>
          <w:rFonts w:asciiTheme="minorHAnsi" w:hAnsiTheme="minorHAnsi"/>
          <w:sz w:val="22"/>
          <w:szCs w:val="22"/>
        </w:rPr>
        <w:t xml:space="preserve">Slope of dose-response curve = </w:t>
      </w:r>
      <w:r w:rsidR="00E92116">
        <w:rPr>
          <w:rFonts w:asciiTheme="minorHAnsi" w:hAnsiTheme="minorHAnsi"/>
          <w:sz w:val="22"/>
          <w:szCs w:val="22"/>
        </w:rPr>
        <w:t>3 (based on HC05 being close to empirical LC50 value)</w:t>
      </w:r>
    </w:p>
    <w:p w:rsidR="00A92708" w:rsidRPr="00A92708" w:rsidRDefault="00A927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While the best distribution by </w:t>
      </w:r>
      <w:proofErr w:type="spellStart"/>
      <w:r>
        <w:rPr>
          <w:rFonts w:asciiTheme="minorHAnsi" w:hAnsiTheme="minorHAnsi"/>
          <w:sz w:val="22"/>
          <w:szCs w:val="22"/>
        </w:rPr>
        <w:t>AICc</w:t>
      </w:r>
      <w:proofErr w:type="spellEnd"/>
      <w:r>
        <w:rPr>
          <w:rFonts w:asciiTheme="minorHAnsi" w:hAnsiTheme="minorHAnsi"/>
          <w:sz w:val="22"/>
          <w:szCs w:val="22"/>
        </w:rPr>
        <w:t xml:space="preserve"> was triangular, overall the results from the </w:t>
      </w:r>
      <w:proofErr w:type="spellStart"/>
      <w:r>
        <w:rPr>
          <w:rFonts w:asciiTheme="minorHAnsi" w:hAnsiTheme="minorHAnsi"/>
          <w:sz w:val="22"/>
          <w:szCs w:val="22"/>
        </w:rPr>
        <w:t>gumbel</w:t>
      </w:r>
      <w:proofErr w:type="spellEnd"/>
      <w:r>
        <w:rPr>
          <w:rFonts w:asciiTheme="minorHAnsi" w:hAnsiTheme="minorHAnsi"/>
          <w:sz w:val="22"/>
          <w:szCs w:val="22"/>
        </w:rPr>
        <w:t xml:space="preserve"> distribution were selected and these results are presented in the subsequent results</w:t>
      </w:r>
    </w:p>
    <w:p w:rsidR="00651112" w:rsidRPr="00E64CE3" w:rsidRDefault="00651112">
      <w:pPr>
        <w:rPr>
          <w:rFonts w:asciiTheme="minorHAnsi" w:hAnsiTheme="minorHAnsi"/>
          <w:b/>
          <w:sz w:val="22"/>
          <w:szCs w:val="22"/>
        </w:rPr>
      </w:pPr>
    </w:p>
    <w:p w:rsidR="00EB4A67" w:rsidRPr="00E64CE3" w:rsidRDefault="00EB4A67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>I. Data</w:t>
      </w:r>
    </w:p>
    <w:p w:rsidR="00EB4A67" w:rsidRPr="00E64CE3" w:rsidRDefault="00EB4A67" w:rsidP="00EB4A67">
      <w:pPr>
        <w:rPr>
          <w:rFonts w:asciiTheme="minorHAnsi" w:hAnsiTheme="minorHAnsi"/>
          <w:sz w:val="22"/>
          <w:szCs w:val="22"/>
        </w:rPr>
      </w:pPr>
    </w:p>
    <w:p w:rsidR="00CE173B" w:rsidRPr="00E64CE3" w:rsidRDefault="00CE173B" w:rsidP="00CE173B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 xml:space="preserve">Available aquatic invertebrate toxicity data for SSDs included studies with a </w:t>
      </w:r>
      <w:proofErr w:type="gramStart"/>
      <w:r w:rsidRPr="00E64CE3">
        <w:rPr>
          <w:rFonts w:asciiTheme="minorHAnsi" w:hAnsiTheme="minorHAnsi"/>
          <w:sz w:val="22"/>
          <w:szCs w:val="22"/>
        </w:rPr>
        <w:t>96 hour</w:t>
      </w:r>
      <w:proofErr w:type="gramEnd"/>
      <w:r w:rsidRPr="00E64CE3">
        <w:rPr>
          <w:rFonts w:asciiTheme="minorHAnsi" w:hAnsiTheme="minorHAnsi"/>
          <w:sz w:val="22"/>
          <w:szCs w:val="22"/>
        </w:rPr>
        <w:t xml:space="preserve"> duration and used technical grade active ingredient</w:t>
      </w:r>
      <w:r w:rsidR="00A92708">
        <w:rPr>
          <w:rFonts w:asciiTheme="minorHAnsi" w:hAnsiTheme="minorHAnsi"/>
          <w:sz w:val="22"/>
          <w:szCs w:val="22"/>
        </w:rPr>
        <w:t xml:space="preserve"> with known source and therefore, known impurity profile</w:t>
      </w:r>
      <w:r w:rsidRPr="00E64CE3">
        <w:rPr>
          <w:rFonts w:asciiTheme="minorHAnsi" w:hAnsiTheme="minorHAnsi"/>
          <w:sz w:val="22"/>
          <w:szCs w:val="22"/>
        </w:rPr>
        <w:t xml:space="preserve">.  </w:t>
      </w:r>
    </w:p>
    <w:p w:rsidR="00CE173B" w:rsidRPr="00E64CE3" w:rsidRDefault="00CE173B" w:rsidP="00CE173B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 xml:space="preserve"> </w:t>
      </w:r>
    </w:p>
    <w:p w:rsidR="00CE173B" w:rsidRPr="00E64CE3" w:rsidRDefault="00CE173B" w:rsidP="00CE173B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 xml:space="preserve">The dataset contained </w:t>
      </w:r>
      <w:r w:rsidR="00787BEB">
        <w:rPr>
          <w:rFonts w:asciiTheme="minorHAnsi" w:hAnsiTheme="minorHAnsi"/>
          <w:sz w:val="22"/>
          <w:szCs w:val="22"/>
        </w:rPr>
        <w:t>10</w:t>
      </w:r>
      <w:r w:rsidRPr="00E64CE3">
        <w:rPr>
          <w:rFonts w:asciiTheme="minorHAnsi" w:hAnsiTheme="minorHAnsi"/>
          <w:sz w:val="22"/>
          <w:szCs w:val="22"/>
        </w:rPr>
        <w:t xml:space="preserve"> species</w:t>
      </w:r>
      <w:r w:rsidR="00787BEB">
        <w:rPr>
          <w:rFonts w:asciiTheme="minorHAnsi" w:hAnsiTheme="minorHAnsi"/>
          <w:sz w:val="22"/>
          <w:szCs w:val="22"/>
        </w:rPr>
        <w:t>, each with 1 result</w:t>
      </w:r>
      <w:r w:rsidRPr="00E64CE3">
        <w:rPr>
          <w:rFonts w:asciiTheme="minorHAnsi" w:hAnsiTheme="minorHAnsi"/>
          <w:sz w:val="22"/>
          <w:szCs w:val="22"/>
        </w:rPr>
        <w:t xml:space="preserve"> (</w:t>
      </w: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F07CDC">
        <w:rPr>
          <w:rFonts w:asciiTheme="minorHAnsi" w:hAnsiTheme="minorHAnsi"/>
          <w:b/>
          <w:sz w:val="22"/>
          <w:szCs w:val="22"/>
        </w:rPr>
        <w:t>2-</w:t>
      </w:r>
      <w:r w:rsidR="00F07CDC" w:rsidRPr="00E64CE3">
        <w:rPr>
          <w:rFonts w:asciiTheme="minorHAnsi" w:hAnsiTheme="minorHAnsi"/>
          <w:b/>
          <w:sz w:val="22"/>
          <w:szCs w:val="22"/>
        </w:rPr>
        <w:t>6</w:t>
      </w:r>
      <w:r w:rsidR="00F07CDC">
        <w:rPr>
          <w:rFonts w:asciiTheme="minorHAnsi" w:hAnsiTheme="minorHAnsi"/>
          <w:b/>
          <w:sz w:val="22"/>
          <w:szCs w:val="22"/>
        </w:rPr>
        <w:t>.</w:t>
      </w:r>
      <w:r w:rsidRPr="00E64CE3">
        <w:rPr>
          <w:rFonts w:asciiTheme="minorHAnsi" w:hAnsiTheme="minorHAnsi"/>
          <w:b/>
          <w:sz w:val="22"/>
          <w:szCs w:val="22"/>
        </w:rPr>
        <w:t>2</w:t>
      </w:r>
      <w:r w:rsidRPr="00E64CE3">
        <w:rPr>
          <w:rFonts w:asciiTheme="minorHAnsi" w:hAnsiTheme="minorHAnsi"/>
          <w:sz w:val="22"/>
          <w:szCs w:val="22"/>
        </w:rPr>
        <w:t>).</w:t>
      </w:r>
    </w:p>
    <w:p w:rsidR="00CE173B" w:rsidRPr="00E64CE3" w:rsidRDefault="00CE173B" w:rsidP="00EB4A67">
      <w:pPr>
        <w:rPr>
          <w:rFonts w:asciiTheme="minorHAnsi" w:hAnsiTheme="minorHAnsi"/>
          <w:sz w:val="22"/>
          <w:szCs w:val="22"/>
        </w:rPr>
      </w:pPr>
    </w:p>
    <w:p w:rsidR="001068EB" w:rsidRPr="00E64CE3" w:rsidRDefault="00E64CE3" w:rsidP="00EB4A67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E703A5">
        <w:rPr>
          <w:rFonts w:asciiTheme="minorHAnsi" w:hAnsiTheme="minorHAnsi"/>
          <w:b/>
          <w:sz w:val="22"/>
          <w:szCs w:val="22"/>
        </w:rPr>
        <w:t xml:space="preserve">B </w:t>
      </w:r>
      <w:r w:rsidR="00F07CDC">
        <w:rPr>
          <w:rFonts w:asciiTheme="minorHAnsi" w:hAnsiTheme="minorHAnsi"/>
          <w:b/>
          <w:sz w:val="22"/>
          <w:szCs w:val="22"/>
        </w:rPr>
        <w:t>2-</w:t>
      </w:r>
      <w:r w:rsidR="00F07CDC" w:rsidRPr="00E64CE3">
        <w:rPr>
          <w:rFonts w:asciiTheme="minorHAnsi" w:hAnsiTheme="minorHAnsi"/>
          <w:b/>
          <w:sz w:val="22"/>
          <w:szCs w:val="22"/>
        </w:rPr>
        <w:t>6</w:t>
      </w:r>
      <w:r w:rsidR="00F07CDC">
        <w:rPr>
          <w:rFonts w:asciiTheme="minorHAnsi" w:hAnsiTheme="minorHAnsi"/>
          <w:b/>
          <w:sz w:val="22"/>
          <w:szCs w:val="22"/>
        </w:rPr>
        <w:t>.</w:t>
      </w:r>
      <w:r w:rsidR="00CE173B" w:rsidRPr="00E64CE3">
        <w:rPr>
          <w:rFonts w:asciiTheme="minorHAnsi" w:hAnsiTheme="minorHAnsi"/>
          <w:b/>
          <w:sz w:val="22"/>
          <w:szCs w:val="22"/>
        </w:rPr>
        <w:t>2</w:t>
      </w:r>
      <w:r w:rsidR="001068EB" w:rsidRPr="00E64CE3">
        <w:rPr>
          <w:rFonts w:asciiTheme="minorHAnsi" w:hAnsiTheme="minorHAnsi"/>
          <w:b/>
          <w:sz w:val="22"/>
          <w:szCs w:val="22"/>
        </w:rPr>
        <w:t xml:space="preserve">. Distribution of test results available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774"/>
        <w:gridCol w:w="1220"/>
      </w:tblGrid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D9D9D9" w:themeFill="background1" w:themeFillShade="D9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377" w:type="dxa"/>
            <w:shd w:val="clear" w:color="auto" w:fill="D9D9D9" w:themeFill="background1" w:themeFillShade="D9"/>
            <w:noWrap/>
            <w:vAlign w:val="bottom"/>
            <w:hideMark/>
          </w:tcPr>
          <w:p w:rsidR="00A92708" w:rsidRDefault="00A92708" w:rsidP="00A92708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LC50</w:t>
            </w:r>
          </w:p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(ug/L)</w:t>
            </w:r>
          </w:p>
        </w:tc>
        <w:tc>
          <w:tcPr>
            <w:tcW w:w="1220" w:type="dxa"/>
            <w:shd w:val="clear" w:color="auto" w:fill="D9D9D9" w:themeFill="background1" w:themeFillShade="D9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MRID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020E53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Lepomis </w:t>
            </w:r>
            <w:proofErr w:type="spellStart"/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macrhirus</w:t>
            </w:r>
            <w:proofErr w:type="spellEnd"/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47540304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Oncorhynchus kisutch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497479003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Pimephales promelas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28300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49252802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Lepomis cyanellus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49364101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Oryzias latipes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49364102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Oncorhynchus mykiss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47540302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Gambusia affinis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49422801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Cyprinodon variegatus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49055701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Gasterosteus aculeatus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20.9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48998006</w:t>
            </w:r>
          </w:p>
        </w:tc>
      </w:tr>
      <w:tr w:rsidR="00A92708" w:rsidRPr="00A92708" w:rsidTr="00A92708">
        <w:trPr>
          <w:trHeight w:val="30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Xenopus laevis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A92708" w:rsidRPr="00A92708" w:rsidRDefault="00A92708" w:rsidP="00A92708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A92708">
              <w:rPr>
                <w:rFonts w:ascii="Calibri" w:eastAsia="Times New Roman" w:hAnsi="Calibri"/>
                <w:color w:val="000000"/>
                <w:sz w:val="22"/>
                <w:szCs w:val="22"/>
              </w:rPr>
              <w:t>48409302</w:t>
            </w:r>
          </w:p>
        </w:tc>
      </w:tr>
    </w:tbl>
    <w:p w:rsidR="00CA5868" w:rsidRPr="00E64CE3" w:rsidRDefault="00CA5868" w:rsidP="00EB4A67">
      <w:pPr>
        <w:rPr>
          <w:rFonts w:asciiTheme="minorHAnsi" w:hAnsiTheme="minorHAnsi"/>
          <w:sz w:val="22"/>
          <w:szCs w:val="22"/>
        </w:rPr>
      </w:pPr>
    </w:p>
    <w:p w:rsidR="00BF33C0" w:rsidRPr="00E64CE3" w:rsidRDefault="00BF33C0" w:rsidP="00EB4A67">
      <w:pPr>
        <w:rPr>
          <w:rFonts w:asciiTheme="minorHAnsi" w:hAnsiTheme="minorHAnsi"/>
          <w:noProof/>
          <w:sz w:val="22"/>
          <w:szCs w:val="22"/>
        </w:rPr>
      </w:pPr>
    </w:p>
    <w:p w:rsidR="00BF33C0" w:rsidRPr="00E64CE3" w:rsidRDefault="00E703A5" w:rsidP="00EB4A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Four</w:t>
      </w:r>
      <w:r w:rsidR="00C95FE7" w:rsidRPr="00E64CE3">
        <w:rPr>
          <w:rFonts w:asciiTheme="minorHAnsi" w:hAnsiTheme="minorHAnsi"/>
          <w:sz w:val="22"/>
          <w:szCs w:val="22"/>
        </w:rPr>
        <w:t xml:space="preserve"> potential distributions for the </w:t>
      </w:r>
      <w:r w:rsidR="00F30497" w:rsidRPr="00E64CE3">
        <w:rPr>
          <w:rFonts w:asciiTheme="minorHAnsi" w:hAnsiTheme="minorHAnsi"/>
          <w:sz w:val="22"/>
          <w:szCs w:val="22"/>
        </w:rPr>
        <w:t>Malathion</w:t>
      </w:r>
      <w:r w:rsidR="00C95FE7" w:rsidRPr="00E64CE3">
        <w:rPr>
          <w:rFonts w:asciiTheme="minorHAnsi" w:hAnsiTheme="minorHAnsi"/>
          <w:sz w:val="22"/>
          <w:szCs w:val="22"/>
        </w:rPr>
        <w:t xml:space="preserve"> data (log-normal, log-logistic, log-triangular,</w:t>
      </w:r>
      <w:r>
        <w:rPr>
          <w:rFonts w:asciiTheme="minorHAnsi" w:hAnsiTheme="minorHAnsi"/>
          <w:sz w:val="22"/>
          <w:szCs w:val="22"/>
        </w:rPr>
        <w:t xml:space="preserve"> and</w:t>
      </w:r>
      <w:r w:rsidR="00C95FE7" w:rsidRPr="00E64CE3">
        <w:rPr>
          <w:rFonts w:asciiTheme="minorHAnsi" w:hAnsiTheme="minorHAnsi"/>
          <w:sz w:val="22"/>
          <w:szCs w:val="22"/>
        </w:rPr>
        <w:t xml:space="preserve"> log-</w:t>
      </w:r>
      <w:proofErr w:type="spellStart"/>
      <w:r w:rsidR="00C95FE7" w:rsidRPr="00E64CE3">
        <w:rPr>
          <w:rFonts w:asciiTheme="minorHAnsi" w:hAnsiTheme="minorHAnsi"/>
          <w:sz w:val="22"/>
          <w:szCs w:val="22"/>
        </w:rPr>
        <w:t>gumbel</w:t>
      </w:r>
      <w:proofErr w:type="spellEnd"/>
      <w:r w:rsidR="00C95FE7" w:rsidRPr="00E64CE3">
        <w:rPr>
          <w:rFonts w:asciiTheme="minorHAnsi" w:hAnsiTheme="minorHAnsi"/>
          <w:sz w:val="22"/>
          <w:szCs w:val="22"/>
        </w:rPr>
        <w:t>)</w:t>
      </w:r>
      <w:r w:rsidR="00B7445E" w:rsidRPr="00E64CE3">
        <w:rPr>
          <w:rFonts w:asciiTheme="minorHAnsi" w:hAnsiTheme="minorHAnsi"/>
          <w:sz w:val="22"/>
          <w:szCs w:val="22"/>
        </w:rPr>
        <w:t xml:space="preserve"> were considered</w:t>
      </w:r>
      <w:r w:rsidR="00C95FE7" w:rsidRPr="00E64CE3">
        <w:rPr>
          <w:rFonts w:asciiTheme="minorHAnsi" w:hAnsiTheme="minorHAnsi"/>
          <w:sz w:val="22"/>
          <w:szCs w:val="22"/>
        </w:rPr>
        <w:t>.  To fit each of</w:t>
      </w:r>
      <w:r w:rsidR="00034445">
        <w:rPr>
          <w:rFonts w:asciiTheme="minorHAnsi" w:hAnsiTheme="minorHAnsi"/>
          <w:sz w:val="22"/>
          <w:szCs w:val="22"/>
        </w:rPr>
        <w:t xml:space="preserve"> the first four distributions, </w:t>
      </w:r>
      <w:r w:rsidR="00B7445E" w:rsidRPr="00E64CE3">
        <w:rPr>
          <w:rFonts w:asciiTheme="minorHAnsi" w:hAnsiTheme="minorHAnsi"/>
          <w:sz w:val="22"/>
          <w:szCs w:val="22"/>
        </w:rPr>
        <w:t xml:space="preserve">the toxicity values were </w:t>
      </w:r>
      <w:r w:rsidR="00C95FE7" w:rsidRPr="00E64CE3">
        <w:rPr>
          <w:rFonts w:asciiTheme="minorHAnsi" w:hAnsiTheme="minorHAnsi"/>
          <w:sz w:val="22"/>
          <w:szCs w:val="22"/>
        </w:rPr>
        <w:t>common log (log</w:t>
      </w:r>
      <w:r w:rsidR="00C95FE7" w:rsidRPr="00E64CE3">
        <w:rPr>
          <w:rFonts w:asciiTheme="minorHAnsi" w:hAnsiTheme="minorHAnsi"/>
          <w:sz w:val="22"/>
          <w:szCs w:val="22"/>
          <w:vertAlign w:val="subscript"/>
        </w:rPr>
        <w:t>10</w:t>
      </w:r>
      <w:r w:rsidR="00C95FE7" w:rsidRPr="00E64CE3">
        <w:rPr>
          <w:rFonts w:asciiTheme="minorHAnsi" w:hAnsiTheme="minorHAnsi"/>
          <w:sz w:val="22"/>
          <w:szCs w:val="22"/>
        </w:rPr>
        <w:t>) transformed.</w:t>
      </w:r>
      <w:r w:rsidR="005B2808" w:rsidRPr="00E64CE3">
        <w:rPr>
          <w:rFonts w:asciiTheme="minorHAnsi" w:hAnsiTheme="minorHAnsi"/>
          <w:sz w:val="22"/>
          <w:szCs w:val="22"/>
        </w:rPr>
        <w:t xml:space="preserve"> </w:t>
      </w:r>
      <w:r w:rsidR="00B7445E" w:rsidRPr="00E64CE3">
        <w:rPr>
          <w:rFonts w:asciiTheme="minorHAnsi" w:hAnsiTheme="minorHAnsi"/>
          <w:sz w:val="22"/>
          <w:szCs w:val="22"/>
        </w:rPr>
        <w:t xml:space="preserve"> Also, </w:t>
      </w:r>
      <w:r w:rsidR="005B2808" w:rsidRPr="00E64CE3">
        <w:rPr>
          <w:rFonts w:asciiTheme="minorHAnsi" w:hAnsiTheme="minorHAnsi"/>
          <w:sz w:val="22"/>
          <w:szCs w:val="22"/>
        </w:rPr>
        <w:t xml:space="preserve">fitting separate distributions using linear models and </w:t>
      </w:r>
      <w:proofErr w:type="spellStart"/>
      <w:r w:rsidR="005B2808" w:rsidRPr="00E64CE3">
        <w:rPr>
          <w:rFonts w:asciiTheme="minorHAnsi" w:hAnsiTheme="minorHAnsi"/>
          <w:sz w:val="22"/>
          <w:szCs w:val="22"/>
        </w:rPr>
        <w:t>Akaike’s</w:t>
      </w:r>
      <w:proofErr w:type="spellEnd"/>
      <w:r w:rsidR="005B2808" w:rsidRPr="00E64CE3">
        <w:rPr>
          <w:rFonts w:asciiTheme="minorHAnsi" w:hAnsiTheme="minorHAnsi"/>
          <w:sz w:val="22"/>
          <w:szCs w:val="22"/>
        </w:rPr>
        <w:t xml:space="preserve"> </w:t>
      </w:r>
      <w:r w:rsidR="00B7445E" w:rsidRPr="00E64CE3">
        <w:rPr>
          <w:rFonts w:asciiTheme="minorHAnsi" w:hAnsiTheme="minorHAnsi"/>
          <w:sz w:val="22"/>
          <w:szCs w:val="22"/>
        </w:rPr>
        <w:t xml:space="preserve">information criterion </w:t>
      </w:r>
      <w:r w:rsidR="00233CF1" w:rsidRPr="00E64CE3">
        <w:rPr>
          <w:rFonts w:asciiTheme="minorHAnsi" w:hAnsiTheme="minorHAnsi"/>
          <w:sz w:val="22"/>
          <w:szCs w:val="22"/>
        </w:rPr>
        <w:t>(</w:t>
      </w:r>
      <w:proofErr w:type="spellStart"/>
      <w:r w:rsidR="00233CF1" w:rsidRPr="00E64CE3">
        <w:rPr>
          <w:rFonts w:asciiTheme="minorHAnsi" w:hAnsiTheme="minorHAnsi"/>
          <w:sz w:val="22"/>
          <w:szCs w:val="22"/>
        </w:rPr>
        <w:t>AICc</w:t>
      </w:r>
      <w:proofErr w:type="spellEnd"/>
      <w:r w:rsidR="00233CF1" w:rsidRPr="00E64CE3">
        <w:rPr>
          <w:rFonts w:asciiTheme="minorHAnsi" w:hAnsiTheme="minorHAnsi"/>
          <w:sz w:val="22"/>
          <w:szCs w:val="22"/>
        </w:rPr>
        <w:t xml:space="preserve">) </w:t>
      </w:r>
      <w:r w:rsidR="00B7445E" w:rsidRPr="00E64CE3">
        <w:rPr>
          <w:rFonts w:asciiTheme="minorHAnsi" w:hAnsiTheme="minorHAnsi"/>
          <w:sz w:val="22"/>
          <w:szCs w:val="22"/>
        </w:rPr>
        <w:t>was conducted.</w:t>
      </w:r>
      <w:r w:rsidR="00AE4DA0" w:rsidRPr="00E64CE3">
        <w:rPr>
          <w:rFonts w:asciiTheme="minorHAnsi" w:hAnsiTheme="minorHAnsi"/>
          <w:sz w:val="22"/>
          <w:szCs w:val="22"/>
        </w:rPr>
        <w:t xml:space="preserve">  Finally</w:t>
      </w:r>
      <w:r w:rsidR="00B7445E" w:rsidRPr="00E64CE3">
        <w:rPr>
          <w:rFonts w:asciiTheme="minorHAnsi" w:hAnsiTheme="minorHAnsi"/>
          <w:sz w:val="22"/>
          <w:szCs w:val="22"/>
        </w:rPr>
        <w:t>,</w:t>
      </w:r>
      <w:r w:rsidR="00AE4DA0" w:rsidRPr="00E64CE3">
        <w:rPr>
          <w:rFonts w:asciiTheme="minorHAnsi" w:hAnsiTheme="minorHAnsi"/>
          <w:sz w:val="22"/>
          <w:szCs w:val="22"/>
        </w:rPr>
        <w:t xml:space="preserve"> the direct and indirect effect thresh</w:t>
      </w:r>
      <w:bookmarkStart w:id="0" w:name="_GoBack"/>
      <w:bookmarkEnd w:id="0"/>
      <w:r w:rsidR="00AE4DA0" w:rsidRPr="00E64CE3">
        <w:rPr>
          <w:rFonts w:asciiTheme="minorHAnsi" w:hAnsiTheme="minorHAnsi"/>
          <w:sz w:val="22"/>
          <w:szCs w:val="22"/>
        </w:rPr>
        <w:t>olds and report five quantiles from the fitted SSDs (HC</w:t>
      </w:r>
      <w:r w:rsidR="00AE4DA0" w:rsidRPr="00E64CE3">
        <w:rPr>
          <w:rFonts w:asciiTheme="minorHAnsi" w:hAnsiTheme="minorHAnsi"/>
          <w:sz w:val="22"/>
          <w:szCs w:val="22"/>
          <w:vertAlign w:val="subscript"/>
        </w:rPr>
        <w:t>05</w:t>
      </w:r>
      <w:r w:rsidR="00AE4DA0" w:rsidRPr="00E64CE3">
        <w:rPr>
          <w:rFonts w:asciiTheme="minorHAnsi" w:hAnsiTheme="minorHAnsi"/>
          <w:sz w:val="22"/>
          <w:szCs w:val="22"/>
        </w:rPr>
        <w:t>, HC</w:t>
      </w:r>
      <w:r w:rsidR="00AE4DA0" w:rsidRPr="00E64CE3">
        <w:rPr>
          <w:rFonts w:asciiTheme="minorHAnsi" w:hAnsiTheme="minorHAnsi"/>
          <w:sz w:val="22"/>
          <w:szCs w:val="22"/>
          <w:vertAlign w:val="subscript"/>
        </w:rPr>
        <w:t>10</w:t>
      </w:r>
      <w:r w:rsidR="00AE4DA0" w:rsidRPr="00E64CE3">
        <w:rPr>
          <w:rFonts w:asciiTheme="minorHAnsi" w:hAnsiTheme="minorHAnsi"/>
          <w:sz w:val="22"/>
          <w:szCs w:val="22"/>
        </w:rPr>
        <w:t>, HC</w:t>
      </w:r>
      <w:r w:rsidR="00AE4DA0" w:rsidRPr="00E64CE3">
        <w:rPr>
          <w:rFonts w:asciiTheme="minorHAnsi" w:hAnsiTheme="minorHAnsi"/>
          <w:sz w:val="22"/>
          <w:szCs w:val="22"/>
          <w:vertAlign w:val="subscript"/>
        </w:rPr>
        <w:t>50</w:t>
      </w:r>
      <w:r w:rsidR="00AE4DA0" w:rsidRPr="00E64CE3">
        <w:rPr>
          <w:rFonts w:asciiTheme="minorHAnsi" w:hAnsiTheme="minorHAnsi"/>
          <w:sz w:val="22"/>
          <w:szCs w:val="22"/>
        </w:rPr>
        <w:t>, HC</w:t>
      </w:r>
      <w:r w:rsidR="00AE4DA0" w:rsidRPr="00E64CE3">
        <w:rPr>
          <w:rFonts w:asciiTheme="minorHAnsi" w:hAnsiTheme="minorHAnsi"/>
          <w:sz w:val="22"/>
          <w:szCs w:val="22"/>
          <w:vertAlign w:val="subscript"/>
        </w:rPr>
        <w:t>90</w:t>
      </w:r>
      <w:r w:rsidR="00AE4DA0" w:rsidRPr="00E64CE3">
        <w:rPr>
          <w:rFonts w:asciiTheme="minorHAnsi" w:hAnsiTheme="minorHAnsi"/>
          <w:sz w:val="22"/>
          <w:szCs w:val="22"/>
        </w:rPr>
        <w:t>, HC</w:t>
      </w:r>
      <w:r w:rsidR="00AE4DA0" w:rsidRPr="00E64CE3">
        <w:rPr>
          <w:rFonts w:asciiTheme="minorHAnsi" w:hAnsiTheme="minorHAnsi"/>
          <w:sz w:val="22"/>
          <w:szCs w:val="22"/>
          <w:vertAlign w:val="subscript"/>
        </w:rPr>
        <w:t>95</w:t>
      </w:r>
      <w:r w:rsidR="00AE4DA0" w:rsidRPr="00E64CE3">
        <w:rPr>
          <w:rFonts w:asciiTheme="minorHAnsi" w:hAnsiTheme="minorHAnsi"/>
          <w:sz w:val="22"/>
          <w:szCs w:val="22"/>
        </w:rPr>
        <w:t>)</w:t>
      </w:r>
      <w:r w:rsidR="00B7445E" w:rsidRPr="00E64CE3">
        <w:rPr>
          <w:rFonts w:asciiTheme="minorHAnsi" w:hAnsiTheme="minorHAnsi"/>
          <w:sz w:val="22"/>
          <w:szCs w:val="22"/>
        </w:rPr>
        <w:t xml:space="preserve"> were calculated</w:t>
      </w:r>
      <w:r w:rsidR="00AE4DA0" w:rsidRPr="00E64CE3">
        <w:rPr>
          <w:rFonts w:asciiTheme="minorHAnsi" w:hAnsiTheme="minorHAnsi"/>
          <w:sz w:val="22"/>
          <w:szCs w:val="22"/>
        </w:rPr>
        <w:t>.</w:t>
      </w:r>
    </w:p>
    <w:p w:rsidR="00C95F28" w:rsidRPr="00E64CE3" w:rsidRDefault="00C95F28" w:rsidP="00EB4A67">
      <w:pPr>
        <w:rPr>
          <w:rFonts w:asciiTheme="minorHAnsi" w:hAnsiTheme="minorHAnsi"/>
          <w:sz w:val="22"/>
          <w:szCs w:val="22"/>
        </w:rPr>
      </w:pPr>
    </w:p>
    <w:p w:rsidR="00C95F28" w:rsidRPr="00E64CE3" w:rsidRDefault="00016A60" w:rsidP="00EB4A67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II. </w:t>
      </w:r>
      <w:r w:rsidR="00C95F28" w:rsidRPr="00E64CE3">
        <w:rPr>
          <w:rFonts w:asciiTheme="minorHAnsi" w:hAnsiTheme="minorHAnsi"/>
          <w:b/>
          <w:sz w:val="22"/>
          <w:szCs w:val="22"/>
        </w:rPr>
        <w:t xml:space="preserve">Comparison of distributions using </w:t>
      </w:r>
      <w:proofErr w:type="spellStart"/>
      <w:r w:rsidR="00C95F28" w:rsidRPr="00E64CE3">
        <w:rPr>
          <w:rFonts w:asciiTheme="minorHAnsi" w:hAnsiTheme="minorHAnsi"/>
          <w:b/>
          <w:sz w:val="22"/>
          <w:szCs w:val="22"/>
        </w:rPr>
        <w:t>AICc</w:t>
      </w:r>
      <w:proofErr w:type="spellEnd"/>
    </w:p>
    <w:p w:rsidR="00AE4DA0" w:rsidRPr="00E64CE3" w:rsidRDefault="00AE4DA0" w:rsidP="00EB4A67">
      <w:pPr>
        <w:rPr>
          <w:rFonts w:asciiTheme="minorHAnsi" w:hAnsiTheme="minorHAnsi"/>
          <w:b/>
          <w:sz w:val="22"/>
          <w:szCs w:val="22"/>
        </w:rPr>
      </w:pPr>
    </w:p>
    <w:p w:rsidR="00C95F28" w:rsidRPr="00E64CE3" w:rsidRDefault="00C95F28" w:rsidP="00EB4A67">
      <w:pPr>
        <w:rPr>
          <w:rFonts w:asciiTheme="minorHAnsi" w:hAnsiTheme="minorHAnsi"/>
          <w:sz w:val="22"/>
          <w:szCs w:val="22"/>
        </w:rPr>
      </w:pPr>
      <w:proofErr w:type="spellStart"/>
      <w:r w:rsidRPr="00E64CE3">
        <w:rPr>
          <w:rFonts w:asciiTheme="minorHAnsi" w:hAnsiTheme="minorHAnsi"/>
          <w:sz w:val="22"/>
          <w:szCs w:val="22"/>
        </w:rPr>
        <w:t>AIC</w:t>
      </w:r>
      <w:r w:rsidRPr="00E64CE3">
        <w:rPr>
          <w:rFonts w:asciiTheme="minorHAnsi" w:hAnsiTheme="minorHAnsi"/>
          <w:sz w:val="22"/>
          <w:szCs w:val="22"/>
          <w:vertAlign w:val="subscript"/>
        </w:rPr>
        <w:t>c</w:t>
      </w:r>
      <w:proofErr w:type="spellEnd"/>
      <w:r w:rsidRPr="00E64CE3">
        <w:rPr>
          <w:rFonts w:asciiTheme="minorHAnsi" w:hAnsiTheme="minorHAnsi"/>
          <w:sz w:val="22"/>
          <w:szCs w:val="22"/>
        </w:rPr>
        <w:t xml:space="preserve"> </w:t>
      </w:r>
      <w:r w:rsidR="00233CF1" w:rsidRPr="00E64CE3">
        <w:rPr>
          <w:rFonts w:asciiTheme="minorHAnsi" w:hAnsiTheme="minorHAnsi"/>
          <w:sz w:val="22"/>
          <w:szCs w:val="22"/>
        </w:rPr>
        <w:t xml:space="preserve">was used </w:t>
      </w:r>
      <w:r w:rsidRPr="00E64CE3">
        <w:rPr>
          <w:rFonts w:asciiTheme="minorHAnsi" w:hAnsiTheme="minorHAnsi"/>
          <w:sz w:val="22"/>
          <w:szCs w:val="22"/>
        </w:rPr>
        <w:t xml:space="preserve">to compare the five distributions for </w:t>
      </w:r>
      <w:r w:rsidR="00787BEB">
        <w:rPr>
          <w:rFonts w:asciiTheme="minorHAnsi" w:hAnsiTheme="minorHAnsi"/>
          <w:sz w:val="22"/>
          <w:szCs w:val="22"/>
        </w:rPr>
        <w:t>both</w:t>
      </w:r>
      <w:r w:rsidRPr="00E64CE3">
        <w:rPr>
          <w:rFonts w:asciiTheme="minorHAnsi" w:hAnsiTheme="minorHAnsi"/>
          <w:sz w:val="22"/>
          <w:szCs w:val="22"/>
        </w:rPr>
        <w:t xml:space="preserve"> datasets.</w:t>
      </w:r>
      <w:r w:rsidR="004B0153" w:rsidRPr="00E64CE3">
        <w:rPr>
          <w:rFonts w:asciiTheme="minorHAnsi" w:hAnsiTheme="minorHAnsi"/>
          <w:sz w:val="22"/>
          <w:szCs w:val="22"/>
        </w:rPr>
        <w:t xml:space="preserve">  For th</w:t>
      </w:r>
      <w:r w:rsidR="000A7272" w:rsidRPr="00E64CE3">
        <w:rPr>
          <w:rFonts w:asciiTheme="minorHAnsi" w:hAnsiTheme="minorHAnsi"/>
          <w:sz w:val="22"/>
          <w:szCs w:val="22"/>
        </w:rPr>
        <w:t>e</w:t>
      </w:r>
      <w:r w:rsidR="004B0153" w:rsidRPr="00E64CE3">
        <w:rPr>
          <w:rFonts w:asciiTheme="minorHAnsi" w:hAnsiTheme="minorHAnsi"/>
          <w:sz w:val="22"/>
          <w:szCs w:val="22"/>
        </w:rPr>
        <w:t>s</w:t>
      </w:r>
      <w:r w:rsidR="000A7272" w:rsidRPr="00E64CE3">
        <w:rPr>
          <w:rFonts w:asciiTheme="minorHAnsi" w:hAnsiTheme="minorHAnsi"/>
          <w:sz w:val="22"/>
          <w:szCs w:val="22"/>
        </w:rPr>
        <w:t>e</w:t>
      </w:r>
      <w:r w:rsidR="004B0153" w:rsidRPr="00E64CE3">
        <w:rPr>
          <w:rFonts w:asciiTheme="minorHAnsi" w:hAnsiTheme="minorHAnsi"/>
          <w:sz w:val="22"/>
          <w:szCs w:val="22"/>
        </w:rPr>
        <w:t xml:space="preserve"> comparison</w:t>
      </w:r>
      <w:r w:rsidR="000A7272" w:rsidRPr="00E64CE3">
        <w:rPr>
          <w:rFonts w:asciiTheme="minorHAnsi" w:hAnsiTheme="minorHAnsi"/>
          <w:sz w:val="22"/>
          <w:szCs w:val="22"/>
        </w:rPr>
        <w:t>s</w:t>
      </w:r>
      <w:r w:rsidR="004B0153" w:rsidRPr="00E64CE3">
        <w:rPr>
          <w:rFonts w:asciiTheme="minorHAnsi" w:hAnsiTheme="minorHAnsi"/>
          <w:sz w:val="22"/>
          <w:szCs w:val="22"/>
        </w:rPr>
        <w:t xml:space="preserve"> all SSDs were fit using maximum likelihood.</w:t>
      </w:r>
      <w:r w:rsidRPr="00E64CE3">
        <w:rPr>
          <w:rFonts w:asciiTheme="minorHAnsi" w:hAnsiTheme="minorHAnsi"/>
          <w:sz w:val="22"/>
          <w:szCs w:val="22"/>
        </w:rPr>
        <w:t xml:space="preserve"> </w:t>
      </w:r>
    </w:p>
    <w:p w:rsidR="00C95F28" w:rsidRPr="00E64CE3" w:rsidRDefault="00C95F28" w:rsidP="00C95F28">
      <w:pPr>
        <w:rPr>
          <w:rFonts w:asciiTheme="minorHAnsi" w:hAnsiTheme="minorHAnsi"/>
          <w:sz w:val="22"/>
          <w:szCs w:val="22"/>
        </w:rPr>
      </w:pPr>
    </w:p>
    <w:p w:rsidR="003A3578" w:rsidRPr="00E64CE3" w:rsidRDefault="003A3578" w:rsidP="003A3578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 xml:space="preserve">For </w:t>
      </w:r>
      <w:r w:rsidR="00E92116">
        <w:rPr>
          <w:rFonts w:asciiTheme="minorHAnsi" w:hAnsiTheme="minorHAnsi"/>
          <w:sz w:val="22"/>
          <w:szCs w:val="22"/>
        </w:rPr>
        <w:t xml:space="preserve">the </w:t>
      </w:r>
      <w:r w:rsidR="00787BEB">
        <w:rPr>
          <w:rFonts w:asciiTheme="minorHAnsi" w:hAnsiTheme="minorHAnsi"/>
          <w:sz w:val="22"/>
          <w:szCs w:val="22"/>
        </w:rPr>
        <w:t>all vertebrate</w:t>
      </w:r>
      <w:r w:rsidRPr="00E64CE3">
        <w:rPr>
          <w:rFonts w:asciiTheme="minorHAnsi" w:hAnsiTheme="minorHAnsi"/>
          <w:sz w:val="22"/>
          <w:szCs w:val="22"/>
        </w:rPr>
        <w:t xml:space="preserve"> dataset, </w:t>
      </w:r>
      <w:proofErr w:type="spellStart"/>
      <w:r w:rsidRPr="00E64CE3">
        <w:rPr>
          <w:rFonts w:asciiTheme="minorHAnsi" w:hAnsiTheme="minorHAnsi"/>
          <w:sz w:val="22"/>
          <w:szCs w:val="22"/>
        </w:rPr>
        <w:t>AIC</w:t>
      </w:r>
      <w:r w:rsidRPr="00E64CE3">
        <w:rPr>
          <w:rFonts w:asciiTheme="minorHAnsi" w:hAnsiTheme="minorHAnsi"/>
          <w:sz w:val="22"/>
          <w:szCs w:val="22"/>
          <w:vertAlign w:val="subscript"/>
        </w:rPr>
        <w:t>c</w:t>
      </w:r>
      <w:proofErr w:type="spellEnd"/>
      <w:r w:rsidRPr="00E64CE3">
        <w:rPr>
          <w:rFonts w:asciiTheme="minorHAnsi" w:hAnsiTheme="minorHAnsi"/>
          <w:sz w:val="22"/>
          <w:szCs w:val="22"/>
        </w:rPr>
        <w:t xml:space="preserve"> suggested that the </w:t>
      </w:r>
      <w:r w:rsidR="00E5717A" w:rsidRPr="00E64CE3">
        <w:rPr>
          <w:rFonts w:asciiTheme="minorHAnsi" w:hAnsiTheme="minorHAnsi"/>
          <w:sz w:val="22"/>
          <w:szCs w:val="22"/>
        </w:rPr>
        <w:t>triangular</w:t>
      </w:r>
      <w:r w:rsidRPr="00E64CE3">
        <w:rPr>
          <w:rFonts w:asciiTheme="minorHAnsi" w:hAnsiTheme="minorHAnsi"/>
          <w:sz w:val="22"/>
          <w:szCs w:val="22"/>
        </w:rPr>
        <w:t xml:space="preserve"> distribution provided the best fit (</w:t>
      </w:r>
      <w:r w:rsidRPr="00E64CE3">
        <w:rPr>
          <w:rFonts w:asciiTheme="minorHAnsi" w:hAnsiTheme="minorHAnsi"/>
          <w:b/>
          <w:sz w:val="22"/>
          <w:szCs w:val="22"/>
        </w:rPr>
        <w:t xml:space="preserve">Tables </w:t>
      </w:r>
      <w:r w:rsidR="00F07CDC">
        <w:rPr>
          <w:rFonts w:asciiTheme="minorHAnsi" w:hAnsiTheme="minorHAnsi"/>
          <w:b/>
          <w:sz w:val="22"/>
          <w:szCs w:val="22"/>
        </w:rPr>
        <w:t>2-</w:t>
      </w:r>
      <w:r w:rsidR="00F07CDC" w:rsidRPr="00E64CE3">
        <w:rPr>
          <w:rFonts w:asciiTheme="minorHAnsi" w:hAnsiTheme="minorHAnsi"/>
          <w:b/>
          <w:sz w:val="22"/>
          <w:szCs w:val="22"/>
        </w:rPr>
        <w:t>6</w:t>
      </w:r>
      <w:r w:rsidR="00F07CDC">
        <w:rPr>
          <w:rFonts w:asciiTheme="minorHAnsi" w:hAnsiTheme="minorHAnsi"/>
          <w:b/>
          <w:sz w:val="22"/>
          <w:szCs w:val="22"/>
        </w:rPr>
        <w:t>.</w:t>
      </w:r>
      <w:r w:rsidR="00787BEB">
        <w:rPr>
          <w:rFonts w:asciiTheme="minorHAnsi" w:hAnsiTheme="minorHAnsi"/>
          <w:b/>
          <w:sz w:val="22"/>
          <w:szCs w:val="22"/>
        </w:rPr>
        <w:t>3</w:t>
      </w:r>
      <w:r w:rsidR="00E64CE3" w:rsidRPr="00E64CE3">
        <w:rPr>
          <w:rFonts w:asciiTheme="minorHAnsi" w:hAnsiTheme="minorHAnsi"/>
          <w:b/>
          <w:sz w:val="22"/>
          <w:szCs w:val="22"/>
        </w:rPr>
        <w:t xml:space="preserve"> to </w:t>
      </w:r>
      <w:r w:rsidR="00F07CDC">
        <w:rPr>
          <w:rFonts w:asciiTheme="minorHAnsi" w:hAnsiTheme="minorHAnsi"/>
          <w:b/>
          <w:sz w:val="22"/>
          <w:szCs w:val="22"/>
        </w:rPr>
        <w:t>2-</w:t>
      </w:r>
      <w:r w:rsidR="00F07CDC" w:rsidRPr="00E64CE3">
        <w:rPr>
          <w:rFonts w:asciiTheme="minorHAnsi" w:hAnsiTheme="minorHAnsi"/>
          <w:b/>
          <w:sz w:val="22"/>
          <w:szCs w:val="22"/>
        </w:rPr>
        <w:t>6</w:t>
      </w:r>
      <w:r w:rsidR="00F07CDC">
        <w:rPr>
          <w:rFonts w:asciiTheme="minorHAnsi" w:hAnsiTheme="minorHAnsi"/>
          <w:b/>
          <w:sz w:val="22"/>
          <w:szCs w:val="22"/>
        </w:rPr>
        <w:t>.</w:t>
      </w:r>
      <w:r w:rsidR="00787BEB">
        <w:rPr>
          <w:rFonts w:asciiTheme="minorHAnsi" w:hAnsiTheme="minorHAnsi"/>
          <w:b/>
          <w:sz w:val="22"/>
          <w:szCs w:val="22"/>
        </w:rPr>
        <w:t>4</w:t>
      </w:r>
      <w:r w:rsidRPr="00E64CE3">
        <w:rPr>
          <w:rFonts w:asciiTheme="minorHAnsi" w:hAnsiTheme="minorHAnsi"/>
          <w:sz w:val="22"/>
          <w:szCs w:val="22"/>
        </w:rPr>
        <w:t>)</w:t>
      </w:r>
      <w:r w:rsidR="000A7272" w:rsidRPr="00E64CE3">
        <w:rPr>
          <w:rFonts w:asciiTheme="minorHAnsi" w:hAnsiTheme="minorHAnsi"/>
          <w:sz w:val="22"/>
          <w:szCs w:val="22"/>
        </w:rPr>
        <w:t xml:space="preserve">, </w:t>
      </w:r>
      <w:r w:rsidR="00787BEB">
        <w:rPr>
          <w:rFonts w:asciiTheme="minorHAnsi" w:hAnsiTheme="minorHAnsi"/>
          <w:sz w:val="22"/>
          <w:szCs w:val="22"/>
        </w:rPr>
        <w:t xml:space="preserve">and all fish using the </w:t>
      </w:r>
      <w:proofErr w:type="spellStart"/>
      <w:r w:rsidR="00037DE3" w:rsidRPr="00E64CE3">
        <w:rPr>
          <w:rFonts w:asciiTheme="minorHAnsi" w:hAnsiTheme="minorHAnsi"/>
          <w:sz w:val="22"/>
          <w:szCs w:val="22"/>
        </w:rPr>
        <w:t>gumbel</w:t>
      </w:r>
      <w:proofErr w:type="spellEnd"/>
      <w:r w:rsidR="00037DE3" w:rsidRPr="00E64CE3">
        <w:rPr>
          <w:rFonts w:asciiTheme="minorHAnsi" w:hAnsiTheme="minorHAnsi"/>
          <w:sz w:val="22"/>
          <w:szCs w:val="22"/>
        </w:rPr>
        <w:t xml:space="preserve"> distribution</w:t>
      </w:r>
      <w:r w:rsidRPr="00E64CE3">
        <w:rPr>
          <w:rFonts w:asciiTheme="minorHAnsi" w:hAnsiTheme="minorHAnsi"/>
          <w:sz w:val="22"/>
          <w:szCs w:val="22"/>
        </w:rPr>
        <w:t>.</w:t>
      </w:r>
      <w:r w:rsidR="00417033" w:rsidRPr="00E64CE3">
        <w:rPr>
          <w:rFonts w:asciiTheme="minorHAnsi" w:hAnsiTheme="minorHAnsi"/>
          <w:sz w:val="22"/>
          <w:szCs w:val="22"/>
        </w:rPr>
        <w:t xml:space="preserve">  </w:t>
      </w:r>
    </w:p>
    <w:p w:rsidR="003A3578" w:rsidRPr="00E64CE3" w:rsidRDefault="003A3578">
      <w:pPr>
        <w:rPr>
          <w:rFonts w:asciiTheme="minorHAnsi" w:hAnsiTheme="minorHAnsi"/>
          <w:sz w:val="22"/>
          <w:szCs w:val="22"/>
        </w:rPr>
      </w:pPr>
    </w:p>
    <w:p w:rsidR="00C95F28" w:rsidRPr="00E64CE3" w:rsidRDefault="00C95F28" w:rsidP="00C95F28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>Table</w:t>
      </w:r>
      <w:r w:rsidR="00E703A5">
        <w:rPr>
          <w:rFonts w:asciiTheme="minorHAnsi" w:hAnsiTheme="minorHAnsi"/>
          <w:b/>
          <w:sz w:val="22"/>
          <w:szCs w:val="22"/>
        </w:rPr>
        <w:t xml:space="preserve"> B</w:t>
      </w:r>
      <w:r w:rsidRPr="00E64CE3">
        <w:rPr>
          <w:rFonts w:asciiTheme="minorHAnsi" w:hAnsiTheme="minorHAnsi"/>
          <w:b/>
          <w:sz w:val="22"/>
          <w:szCs w:val="22"/>
        </w:rPr>
        <w:t xml:space="preserve"> </w:t>
      </w:r>
      <w:r w:rsidR="00F07CDC">
        <w:rPr>
          <w:rFonts w:asciiTheme="minorHAnsi" w:hAnsiTheme="minorHAnsi"/>
          <w:b/>
          <w:sz w:val="22"/>
          <w:szCs w:val="22"/>
        </w:rPr>
        <w:t>2-</w:t>
      </w:r>
      <w:r w:rsidR="00F07CDC" w:rsidRPr="00E64CE3">
        <w:rPr>
          <w:rFonts w:asciiTheme="minorHAnsi" w:hAnsiTheme="minorHAnsi"/>
          <w:b/>
          <w:sz w:val="22"/>
          <w:szCs w:val="22"/>
        </w:rPr>
        <w:t>6</w:t>
      </w:r>
      <w:r w:rsidR="00F07CDC">
        <w:rPr>
          <w:rFonts w:asciiTheme="minorHAnsi" w:hAnsiTheme="minorHAnsi"/>
          <w:b/>
          <w:sz w:val="22"/>
          <w:szCs w:val="22"/>
        </w:rPr>
        <w:t>.</w:t>
      </w:r>
      <w:r w:rsidR="00787BEB">
        <w:rPr>
          <w:rFonts w:asciiTheme="minorHAnsi" w:hAnsiTheme="minorHAnsi"/>
          <w:b/>
          <w:sz w:val="22"/>
          <w:szCs w:val="22"/>
        </w:rPr>
        <w:t>3</w:t>
      </w:r>
      <w:r w:rsidRPr="00E64CE3">
        <w:rPr>
          <w:rFonts w:asciiTheme="minorHAnsi" w:hAnsiTheme="minorHAnsi"/>
          <w:b/>
          <w:sz w:val="22"/>
          <w:szCs w:val="22"/>
        </w:rPr>
        <w:t xml:space="preserve">. Comparison of distributions for all aquatic vertebrate toxicity data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694"/>
        <w:gridCol w:w="718"/>
        <w:gridCol w:w="718"/>
        <w:gridCol w:w="876"/>
      </w:tblGrid>
      <w:tr w:rsidR="00C95F28" w:rsidRPr="00E64CE3" w:rsidTr="00C95F28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AIC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∆</w:t>
            </w: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AIC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Weight</w:t>
            </w:r>
          </w:p>
        </w:tc>
      </w:tr>
      <w:tr w:rsidR="00E703A5" w:rsidRPr="00E64CE3" w:rsidTr="001429B6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E703A5" w:rsidRPr="00E64CE3" w:rsidRDefault="00E703A5" w:rsidP="00E703A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E703A5" w:rsidRDefault="00E703A5" w:rsidP="00E703A5">
            <w:r>
              <w:t>0.3200</w:t>
            </w:r>
          </w:p>
        </w:tc>
      </w:tr>
      <w:tr w:rsidR="00E703A5" w:rsidRPr="00E64CE3" w:rsidTr="008A6B30">
        <w:tc>
          <w:tcPr>
            <w:tcW w:w="0" w:type="auto"/>
            <w:vAlign w:val="bottom"/>
          </w:tcPr>
          <w:p w:rsidR="00E703A5" w:rsidRPr="00E64CE3" w:rsidRDefault="00E703A5" w:rsidP="00E703A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20.9</w:t>
            </w:r>
          </w:p>
        </w:tc>
        <w:tc>
          <w:tcPr>
            <w:tcW w:w="0" w:type="auto"/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172.5</w:t>
            </w:r>
          </w:p>
        </w:tc>
        <w:tc>
          <w:tcPr>
            <w:tcW w:w="0" w:type="auto"/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0.175</w:t>
            </w:r>
          </w:p>
        </w:tc>
        <w:tc>
          <w:tcPr>
            <w:tcW w:w="0" w:type="auto"/>
            <w:vAlign w:val="center"/>
          </w:tcPr>
          <w:p w:rsidR="00E703A5" w:rsidRDefault="00E703A5" w:rsidP="00E703A5">
            <w:r>
              <w:t>0.2931</w:t>
            </w:r>
          </w:p>
        </w:tc>
      </w:tr>
      <w:tr w:rsidR="00E703A5" w:rsidRPr="00E64CE3" w:rsidTr="008A6B30">
        <w:tc>
          <w:tcPr>
            <w:tcW w:w="0" w:type="auto"/>
            <w:vAlign w:val="bottom"/>
          </w:tcPr>
          <w:p w:rsidR="00E703A5" w:rsidRPr="00E64CE3" w:rsidRDefault="00E703A5" w:rsidP="00E703A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</w:t>
            </w:r>
          </w:p>
        </w:tc>
        <w:tc>
          <w:tcPr>
            <w:tcW w:w="0" w:type="auto"/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172.9</w:t>
            </w:r>
          </w:p>
        </w:tc>
        <w:tc>
          <w:tcPr>
            <w:tcW w:w="0" w:type="auto"/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0.632</w:t>
            </w:r>
          </w:p>
        </w:tc>
        <w:tc>
          <w:tcPr>
            <w:tcW w:w="0" w:type="auto"/>
            <w:vAlign w:val="center"/>
          </w:tcPr>
          <w:p w:rsidR="00E703A5" w:rsidRDefault="00E703A5" w:rsidP="00E703A5">
            <w:r>
              <w:t>0.2333</w:t>
            </w:r>
          </w:p>
        </w:tc>
      </w:tr>
      <w:tr w:rsidR="00E703A5" w:rsidRPr="00E64CE3" w:rsidTr="001429B6"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703A5" w:rsidRPr="00E64CE3" w:rsidRDefault="00E703A5" w:rsidP="00E703A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173.8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703A5" w:rsidRPr="00E64CE3" w:rsidRDefault="00E703A5" w:rsidP="00E703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0" w:type="auto"/>
            <w:vAlign w:val="center"/>
          </w:tcPr>
          <w:p w:rsidR="00E703A5" w:rsidRDefault="00E703A5" w:rsidP="00E703A5">
            <w:r>
              <w:t>0.1536</w:t>
            </w:r>
          </w:p>
        </w:tc>
      </w:tr>
    </w:tbl>
    <w:p w:rsidR="00C95F28" w:rsidRPr="00E64CE3" w:rsidRDefault="00C95F28" w:rsidP="00C95F28">
      <w:pPr>
        <w:rPr>
          <w:rFonts w:asciiTheme="minorHAnsi" w:hAnsiTheme="minorHAnsi"/>
          <w:sz w:val="22"/>
          <w:szCs w:val="22"/>
        </w:rPr>
      </w:pPr>
    </w:p>
    <w:p w:rsidR="00C95F28" w:rsidRPr="00E64CE3" w:rsidRDefault="00C95F28" w:rsidP="00C95F28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E703A5">
        <w:rPr>
          <w:rFonts w:asciiTheme="minorHAnsi" w:hAnsiTheme="minorHAnsi"/>
          <w:b/>
          <w:sz w:val="22"/>
          <w:szCs w:val="22"/>
        </w:rPr>
        <w:t xml:space="preserve">B </w:t>
      </w:r>
      <w:r w:rsidR="00F07CDC">
        <w:rPr>
          <w:rFonts w:asciiTheme="minorHAnsi" w:hAnsiTheme="minorHAnsi"/>
          <w:b/>
          <w:sz w:val="22"/>
          <w:szCs w:val="22"/>
        </w:rPr>
        <w:t>2-</w:t>
      </w:r>
      <w:r w:rsidR="00F07CDC" w:rsidRPr="00E64CE3">
        <w:rPr>
          <w:rFonts w:asciiTheme="minorHAnsi" w:hAnsiTheme="minorHAnsi"/>
          <w:b/>
          <w:sz w:val="22"/>
          <w:szCs w:val="22"/>
        </w:rPr>
        <w:t>6</w:t>
      </w:r>
      <w:r w:rsidR="00F07CDC">
        <w:rPr>
          <w:rFonts w:asciiTheme="minorHAnsi" w:hAnsiTheme="minorHAnsi"/>
          <w:b/>
          <w:sz w:val="22"/>
          <w:szCs w:val="22"/>
        </w:rPr>
        <w:t>.</w:t>
      </w:r>
      <w:r w:rsidR="00787BEB">
        <w:rPr>
          <w:rFonts w:asciiTheme="minorHAnsi" w:hAnsiTheme="minorHAnsi"/>
          <w:b/>
          <w:sz w:val="22"/>
          <w:szCs w:val="22"/>
        </w:rPr>
        <w:t>4</w:t>
      </w:r>
      <w:r w:rsidRPr="00E64CE3">
        <w:rPr>
          <w:rFonts w:asciiTheme="minorHAnsi" w:hAnsiTheme="minorHAnsi"/>
          <w:b/>
          <w:sz w:val="22"/>
          <w:szCs w:val="22"/>
        </w:rPr>
        <w:t xml:space="preserve">. </w:t>
      </w:r>
      <w:r w:rsidR="000A7272" w:rsidRPr="00E64CE3">
        <w:rPr>
          <w:rFonts w:asciiTheme="minorHAnsi" w:hAnsiTheme="minorHAnsi"/>
          <w:b/>
          <w:sz w:val="22"/>
          <w:szCs w:val="22"/>
        </w:rPr>
        <w:t xml:space="preserve">Comparison of distributions for </w:t>
      </w:r>
      <w:r w:rsidR="00020E53">
        <w:rPr>
          <w:rFonts w:asciiTheme="minorHAnsi" w:hAnsiTheme="minorHAnsi"/>
          <w:b/>
          <w:sz w:val="22"/>
          <w:szCs w:val="22"/>
        </w:rPr>
        <w:t>fish</w:t>
      </w:r>
      <w:r w:rsidR="000A7272" w:rsidRPr="00E64CE3">
        <w:rPr>
          <w:rFonts w:asciiTheme="minorHAnsi" w:hAnsiTheme="minorHAnsi"/>
          <w:b/>
          <w:sz w:val="22"/>
          <w:szCs w:val="22"/>
        </w:rPr>
        <w:t xml:space="preserve"> toxicity</w:t>
      </w:r>
      <w:r w:rsidRPr="00E64CE3">
        <w:rPr>
          <w:rFonts w:asciiTheme="minorHAnsi" w:hAnsiTheme="minorHAnsi"/>
          <w:b/>
          <w:sz w:val="22"/>
          <w:szCs w:val="22"/>
        </w:rPr>
        <w:t xml:space="preserve"> data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694"/>
        <w:gridCol w:w="718"/>
        <w:gridCol w:w="718"/>
        <w:gridCol w:w="876"/>
      </w:tblGrid>
      <w:tr w:rsidR="00C95F28" w:rsidRPr="00E64CE3" w:rsidTr="00C95F2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AIC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∆</w:t>
            </w: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AIC</w:t>
            </w:r>
            <w:r w:rsidRPr="00E64CE3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95F28" w:rsidRPr="00E64CE3" w:rsidRDefault="00C95F28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Weight</w:t>
            </w:r>
          </w:p>
        </w:tc>
      </w:tr>
      <w:tr w:rsidR="00020E53" w:rsidRPr="00E64CE3" w:rsidTr="00AA6C6B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0.3767</w:t>
            </w:r>
          </w:p>
        </w:tc>
      </w:tr>
      <w:tr w:rsidR="00020E53" w:rsidRPr="00E64CE3" w:rsidTr="00AA6C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0.833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0.2484</w:t>
            </w:r>
          </w:p>
        </w:tc>
      </w:tr>
      <w:tr w:rsidR="00020E53" w:rsidRPr="00E64CE3" w:rsidTr="00AA6C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1.16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0.2106</w:t>
            </w:r>
          </w:p>
        </w:tc>
      </w:tr>
      <w:tr w:rsidR="00020E53" w:rsidRPr="00E64CE3" w:rsidTr="00AA6C6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E53" w:rsidRPr="00E64CE3" w:rsidRDefault="00020E53" w:rsidP="00020E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1.66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0.1644</w:t>
            </w:r>
          </w:p>
        </w:tc>
      </w:tr>
    </w:tbl>
    <w:p w:rsidR="00C95F28" w:rsidRPr="00E64CE3" w:rsidRDefault="00C95F28" w:rsidP="00C95F28">
      <w:pPr>
        <w:rPr>
          <w:rFonts w:asciiTheme="minorHAnsi" w:hAnsiTheme="minorHAnsi"/>
          <w:sz w:val="22"/>
          <w:szCs w:val="22"/>
        </w:rPr>
      </w:pPr>
    </w:p>
    <w:p w:rsidR="00BD006D" w:rsidRPr="00E64CE3" w:rsidRDefault="00BD006D" w:rsidP="00C95F28">
      <w:pPr>
        <w:rPr>
          <w:rFonts w:asciiTheme="minorHAnsi" w:hAnsiTheme="minorHAnsi"/>
          <w:sz w:val="22"/>
          <w:szCs w:val="22"/>
        </w:rPr>
      </w:pPr>
    </w:p>
    <w:p w:rsidR="00C95F28" w:rsidRPr="00E72C73" w:rsidRDefault="00E72C73" w:rsidP="00C95F28">
      <w:pPr>
        <w:rPr>
          <w:rFonts w:asciiTheme="minorHAnsi" w:hAnsiTheme="minorHAnsi"/>
          <w:b/>
          <w:sz w:val="22"/>
          <w:szCs w:val="22"/>
        </w:rPr>
      </w:pPr>
      <w:r w:rsidRPr="00E72C73">
        <w:rPr>
          <w:rFonts w:asciiTheme="minorHAnsi" w:hAnsiTheme="minorHAnsi"/>
          <w:b/>
          <w:sz w:val="22"/>
          <w:szCs w:val="22"/>
        </w:rPr>
        <w:t>III. Distribution Fits</w:t>
      </w:r>
    </w:p>
    <w:p w:rsidR="00E72C73" w:rsidRPr="00E64CE3" w:rsidRDefault="00E72C73" w:rsidP="00C95F28">
      <w:pPr>
        <w:rPr>
          <w:rFonts w:asciiTheme="minorHAnsi" w:hAnsiTheme="minorHAnsi"/>
          <w:sz w:val="22"/>
          <w:szCs w:val="22"/>
        </w:rPr>
      </w:pPr>
      <w:r w:rsidRPr="0008448B">
        <w:rPr>
          <w:rFonts w:asciiTheme="minorHAnsi" w:hAnsiTheme="minorHAnsi"/>
          <w:sz w:val="22"/>
          <w:szCs w:val="22"/>
        </w:rPr>
        <w:t xml:space="preserve">The cumulative distribution functions for the separated and full SSDs are presented in </w:t>
      </w:r>
      <w:r>
        <w:rPr>
          <w:rFonts w:asciiTheme="minorHAnsi" w:hAnsiTheme="minorHAnsi"/>
          <w:b/>
          <w:sz w:val="22"/>
          <w:szCs w:val="22"/>
        </w:rPr>
        <w:t xml:space="preserve">Figure </w:t>
      </w:r>
      <w:r w:rsidRPr="0008448B">
        <w:rPr>
          <w:rFonts w:asciiTheme="minorHAnsi" w:hAnsiTheme="minorHAnsi"/>
          <w:b/>
          <w:sz w:val="22"/>
          <w:szCs w:val="22"/>
        </w:rPr>
        <w:t xml:space="preserve">B </w:t>
      </w:r>
      <w:r>
        <w:rPr>
          <w:rFonts w:asciiTheme="minorHAnsi" w:hAnsiTheme="minorHAnsi"/>
          <w:b/>
          <w:sz w:val="22"/>
          <w:szCs w:val="22"/>
        </w:rPr>
        <w:t>2-6.1 and B 2.6.2</w:t>
      </w:r>
      <w:r w:rsidRPr="0008448B">
        <w:rPr>
          <w:rFonts w:asciiTheme="minorHAnsi" w:hAnsiTheme="minorHAnsi"/>
          <w:sz w:val="22"/>
          <w:szCs w:val="22"/>
        </w:rPr>
        <w:t xml:space="preserve"> below.</w:t>
      </w:r>
    </w:p>
    <w:p w:rsidR="00020E53" w:rsidRDefault="00020E53" w:rsidP="00C95F28">
      <w:pPr>
        <w:rPr>
          <w:rFonts w:asciiTheme="minorHAnsi" w:hAnsiTheme="minorHAnsi"/>
          <w:b/>
          <w:sz w:val="22"/>
          <w:szCs w:val="22"/>
        </w:rPr>
      </w:pPr>
    </w:p>
    <w:p w:rsidR="00020E53" w:rsidRDefault="00020E53" w:rsidP="00C95F28">
      <w:pPr>
        <w:rPr>
          <w:rFonts w:asciiTheme="minorHAnsi" w:hAnsiTheme="minorHAnsi"/>
          <w:b/>
          <w:sz w:val="22"/>
          <w:szCs w:val="22"/>
        </w:rPr>
      </w:pPr>
      <w:r w:rsidRPr="00020E53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943600" cy="3188138"/>
            <wp:effectExtent l="0" t="0" r="0" b="0"/>
            <wp:docPr id="2" name="Picture 2" descr="C:\Users\ablankin\Documents\My Documents\malathion_C drive\malathion\SSDs Nov 2016\aq vert s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lankin\Documents\My Documents\malathion_C drive\malathion\SSDs Nov 2016\aq vert ss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28" w:rsidRPr="00E64CE3" w:rsidRDefault="00C95F28" w:rsidP="00C95F28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Figure </w:t>
      </w:r>
      <w:r w:rsidR="00E64CE3" w:rsidRPr="00E64CE3">
        <w:rPr>
          <w:rFonts w:asciiTheme="minorHAnsi" w:hAnsiTheme="minorHAnsi"/>
          <w:b/>
          <w:sz w:val="22"/>
          <w:szCs w:val="22"/>
        </w:rPr>
        <w:t>B</w:t>
      </w:r>
      <w:r w:rsidR="008215C2">
        <w:rPr>
          <w:rFonts w:asciiTheme="minorHAnsi" w:hAnsiTheme="minorHAnsi"/>
          <w:b/>
          <w:sz w:val="22"/>
          <w:szCs w:val="22"/>
        </w:rPr>
        <w:t xml:space="preserve"> 2-</w:t>
      </w:r>
      <w:r w:rsidR="008215C2" w:rsidRPr="00E64CE3">
        <w:rPr>
          <w:rFonts w:asciiTheme="minorHAnsi" w:hAnsiTheme="minorHAnsi"/>
          <w:b/>
          <w:sz w:val="22"/>
          <w:szCs w:val="22"/>
        </w:rPr>
        <w:t>6</w:t>
      </w:r>
      <w:r w:rsidR="008215C2">
        <w:rPr>
          <w:rFonts w:asciiTheme="minorHAnsi" w:hAnsiTheme="minorHAnsi"/>
          <w:b/>
          <w:sz w:val="22"/>
          <w:szCs w:val="22"/>
        </w:rPr>
        <w:t>.</w:t>
      </w:r>
      <w:r w:rsidR="00020E53">
        <w:rPr>
          <w:rFonts w:asciiTheme="minorHAnsi" w:hAnsiTheme="minorHAnsi"/>
          <w:b/>
          <w:sz w:val="22"/>
          <w:szCs w:val="22"/>
        </w:rPr>
        <w:t>1</w:t>
      </w:r>
      <w:r w:rsidRPr="00E64CE3">
        <w:rPr>
          <w:rFonts w:asciiTheme="minorHAnsi" w:hAnsiTheme="minorHAnsi"/>
          <w:b/>
          <w:sz w:val="22"/>
          <w:szCs w:val="22"/>
        </w:rPr>
        <w:t>. Log-</w:t>
      </w:r>
      <w:proofErr w:type="spellStart"/>
      <w:r w:rsidR="00E92116">
        <w:rPr>
          <w:rFonts w:asciiTheme="minorHAnsi" w:hAnsiTheme="minorHAnsi"/>
          <w:b/>
          <w:sz w:val="22"/>
          <w:szCs w:val="22"/>
        </w:rPr>
        <w:t>gumbel</w:t>
      </w:r>
      <w:proofErr w:type="spellEnd"/>
      <w:r w:rsidRPr="00E64CE3">
        <w:rPr>
          <w:rFonts w:asciiTheme="minorHAnsi" w:hAnsiTheme="minorHAnsi"/>
          <w:b/>
          <w:sz w:val="22"/>
          <w:szCs w:val="22"/>
        </w:rPr>
        <w:t xml:space="preserve"> SSD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  <w:r w:rsidRPr="00E64CE3">
        <w:rPr>
          <w:rFonts w:asciiTheme="minorHAnsi" w:hAnsiTheme="minorHAnsi"/>
          <w:b/>
          <w:sz w:val="22"/>
          <w:szCs w:val="22"/>
        </w:rPr>
        <w:t xml:space="preserve"> toxicity values for </w:t>
      </w:r>
      <w:r w:rsidR="000C544F" w:rsidRPr="00E64CE3">
        <w:rPr>
          <w:rFonts w:asciiTheme="minorHAnsi" w:hAnsiTheme="minorHAnsi"/>
          <w:b/>
          <w:sz w:val="22"/>
          <w:szCs w:val="22"/>
        </w:rPr>
        <w:t>all aquatic vertebrates pooled</w:t>
      </w:r>
      <w:r w:rsidRPr="00E64CE3">
        <w:rPr>
          <w:rFonts w:asciiTheme="minorHAnsi" w:hAnsiTheme="minorHAnsi"/>
          <w:b/>
          <w:sz w:val="22"/>
          <w:szCs w:val="22"/>
        </w:rPr>
        <w:t xml:space="preserve">. </w:t>
      </w:r>
    </w:p>
    <w:p w:rsidR="00556ADA" w:rsidRPr="00E64CE3" w:rsidRDefault="00556ADA" w:rsidP="00C95F28">
      <w:pPr>
        <w:rPr>
          <w:rFonts w:asciiTheme="minorHAnsi" w:hAnsiTheme="minorHAnsi"/>
          <w:sz w:val="22"/>
          <w:szCs w:val="22"/>
        </w:rPr>
      </w:pPr>
    </w:p>
    <w:p w:rsidR="00C95F28" w:rsidRPr="00E64CE3" w:rsidRDefault="00020E53" w:rsidP="00C95F28">
      <w:pPr>
        <w:rPr>
          <w:rFonts w:asciiTheme="minorHAnsi" w:hAnsiTheme="minorHAnsi"/>
          <w:sz w:val="22"/>
          <w:szCs w:val="22"/>
        </w:rPr>
      </w:pPr>
      <w:r w:rsidRPr="00020E5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153150" cy="3543300"/>
            <wp:effectExtent l="0" t="0" r="0" b="0"/>
            <wp:docPr id="3" name="Picture 3" descr="C:\Users\ablankin\Documents\My Documents\malathion_C drive\malathion\SSDs Nov 2016\fish ss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lankin\Documents\My Documents\malathion_C drive\malathion\SSDs Nov 2016\fish ssd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64" cy="354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F28" w:rsidRPr="00E64CE3" w:rsidRDefault="00C95F28" w:rsidP="00C95F28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Figure </w:t>
      </w:r>
      <w:r w:rsidR="00E64CE3" w:rsidRPr="00E64CE3">
        <w:rPr>
          <w:rFonts w:asciiTheme="minorHAnsi" w:hAnsiTheme="minorHAnsi"/>
          <w:b/>
          <w:sz w:val="22"/>
          <w:szCs w:val="22"/>
        </w:rPr>
        <w:t>B</w:t>
      </w:r>
      <w:r w:rsidR="008215C2">
        <w:rPr>
          <w:rFonts w:asciiTheme="minorHAnsi" w:hAnsiTheme="minorHAnsi"/>
          <w:b/>
          <w:sz w:val="22"/>
          <w:szCs w:val="22"/>
        </w:rPr>
        <w:t xml:space="preserve"> 2-</w:t>
      </w:r>
      <w:r w:rsidR="008215C2" w:rsidRPr="00E64CE3">
        <w:rPr>
          <w:rFonts w:asciiTheme="minorHAnsi" w:hAnsiTheme="minorHAnsi"/>
          <w:b/>
          <w:sz w:val="22"/>
          <w:szCs w:val="22"/>
        </w:rPr>
        <w:t>6</w:t>
      </w:r>
      <w:r w:rsidR="008215C2">
        <w:rPr>
          <w:rFonts w:asciiTheme="minorHAnsi" w:hAnsiTheme="minorHAnsi"/>
          <w:b/>
          <w:sz w:val="22"/>
          <w:szCs w:val="22"/>
        </w:rPr>
        <w:t>.</w:t>
      </w:r>
      <w:r w:rsidR="00020E53">
        <w:rPr>
          <w:rFonts w:asciiTheme="minorHAnsi" w:hAnsiTheme="minorHAnsi"/>
          <w:b/>
          <w:sz w:val="22"/>
          <w:szCs w:val="22"/>
        </w:rPr>
        <w:t>2</w:t>
      </w:r>
      <w:r w:rsidRPr="00E64CE3">
        <w:rPr>
          <w:rFonts w:asciiTheme="minorHAnsi" w:hAnsiTheme="minorHAnsi"/>
          <w:b/>
          <w:sz w:val="22"/>
          <w:szCs w:val="22"/>
        </w:rPr>
        <w:t>. Log-</w:t>
      </w:r>
      <w:proofErr w:type="spellStart"/>
      <w:r w:rsidR="00E92116">
        <w:rPr>
          <w:rFonts w:asciiTheme="minorHAnsi" w:hAnsiTheme="minorHAnsi"/>
          <w:b/>
          <w:sz w:val="22"/>
          <w:szCs w:val="22"/>
        </w:rPr>
        <w:t>gumbel</w:t>
      </w:r>
      <w:proofErr w:type="spellEnd"/>
      <w:r w:rsidRPr="00E64CE3">
        <w:rPr>
          <w:rFonts w:asciiTheme="minorHAnsi" w:hAnsiTheme="minorHAnsi"/>
          <w:b/>
          <w:sz w:val="22"/>
          <w:szCs w:val="22"/>
        </w:rPr>
        <w:t xml:space="preserve"> SSD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  <w:r w:rsidRPr="00E64CE3">
        <w:rPr>
          <w:rFonts w:asciiTheme="minorHAnsi" w:hAnsiTheme="minorHAnsi"/>
          <w:b/>
          <w:sz w:val="22"/>
          <w:szCs w:val="22"/>
        </w:rPr>
        <w:t xml:space="preserve"> </w:t>
      </w:r>
      <w:r w:rsidR="00EF21F1" w:rsidRPr="00E64CE3">
        <w:rPr>
          <w:rFonts w:asciiTheme="minorHAnsi" w:hAnsiTheme="minorHAnsi"/>
          <w:b/>
          <w:sz w:val="22"/>
          <w:szCs w:val="22"/>
        </w:rPr>
        <w:t>LC50s</w:t>
      </w:r>
      <w:r w:rsidRPr="00E64CE3">
        <w:rPr>
          <w:rFonts w:asciiTheme="minorHAnsi" w:hAnsiTheme="minorHAnsi"/>
          <w:b/>
          <w:sz w:val="22"/>
          <w:szCs w:val="22"/>
        </w:rPr>
        <w:t xml:space="preserve"> for </w:t>
      </w:r>
      <w:r w:rsidR="00E92116">
        <w:rPr>
          <w:rFonts w:asciiTheme="minorHAnsi" w:hAnsiTheme="minorHAnsi"/>
          <w:b/>
          <w:sz w:val="22"/>
          <w:szCs w:val="22"/>
        </w:rPr>
        <w:t>fish</w:t>
      </w:r>
      <w:r w:rsidRPr="00E64CE3">
        <w:rPr>
          <w:rFonts w:asciiTheme="minorHAnsi" w:hAnsiTheme="minorHAnsi"/>
          <w:b/>
          <w:sz w:val="22"/>
          <w:szCs w:val="22"/>
        </w:rPr>
        <w:t xml:space="preserve">. </w:t>
      </w:r>
    </w:p>
    <w:p w:rsidR="00560E2B" w:rsidRPr="00E64CE3" w:rsidRDefault="00560E2B" w:rsidP="00C95F28">
      <w:pPr>
        <w:rPr>
          <w:rFonts w:asciiTheme="minorHAnsi" w:hAnsiTheme="minorHAnsi"/>
          <w:sz w:val="22"/>
          <w:szCs w:val="22"/>
        </w:rPr>
      </w:pPr>
    </w:p>
    <w:p w:rsidR="00EB07C4" w:rsidRPr="00E64CE3" w:rsidRDefault="00EB07C4" w:rsidP="00C95F28">
      <w:pPr>
        <w:rPr>
          <w:rFonts w:asciiTheme="minorHAnsi" w:hAnsiTheme="minorHAnsi"/>
          <w:sz w:val="22"/>
          <w:szCs w:val="22"/>
        </w:rPr>
      </w:pPr>
    </w:p>
    <w:p w:rsidR="00EB07C4" w:rsidRPr="00E64CE3" w:rsidRDefault="00EB07C4" w:rsidP="00C95F28">
      <w:pPr>
        <w:rPr>
          <w:rFonts w:asciiTheme="minorHAnsi" w:hAnsiTheme="minorHAnsi"/>
          <w:sz w:val="22"/>
          <w:szCs w:val="22"/>
        </w:rPr>
      </w:pPr>
    </w:p>
    <w:p w:rsidR="001A6E2B" w:rsidRPr="00E64CE3" w:rsidRDefault="00016A60" w:rsidP="001F310B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IV. </w:t>
      </w:r>
      <w:r w:rsidR="00ED4690" w:rsidRPr="00E64CE3">
        <w:rPr>
          <w:rFonts w:asciiTheme="minorHAnsi" w:hAnsiTheme="minorHAnsi"/>
          <w:b/>
          <w:sz w:val="22"/>
          <w:szCs w:val="22"/>
        </w:rPr>
        <w:t>Goodness of fit and the importance of fitting method</w:t>
      </w:r>
    </w:p>
    <w:p w:rsidR="005F3AC9" w:rsidRPr="00E64CE3" w:rsidRDefault="005F3AC9" w:rsidP="004F5BAB">
      <w:pPr>
        <w:rPr>
          <w:rFonts w:asciiTheme="minorHAnsi" w:hAnsiTheme="minorHAnsi"/>
          <w:sz w:val="22"/>
          <w:szCs w:val="22"/>
        </w:rPr>
      </w:pPr>
    </w:p>
    <w:p w:rsidR="00ED4690" w:rsidRPr="00E64CE3" w:rsidRDefault="00D20F07" w:rsidP="004F5BAB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>T</w:t>
      </w:r>
      <w:r w:rsidR="005F3AC9" w:rsidRPr="00E64CE3">
        <w:rPr>
          <w:rFonts w:asciiTheme="minorHAnsi" w:hAnsiTheme="minorHAnsi"/>
          <w:sz w:val="22"/>
          <w:szCs w:val="22"/>
        </w:rPr>
        <w:t xml:space="preserve">o </w:t>
      </w:r>
      <w:r w:rsidR="00ED4690" w:rsidRPr="00E64CE3">
        <w:rPr>
          <w:rFonts w:asciiTheme="minorHAnsi" w:hAnsiTheme="minorHAnsi"/>
          <w:sz w:val="22"/>
          <w:szCs w:val="22"/>
        </w:rPr>
        <w:t>test goodness-of-fit</w:t>
      </w:r>
      <w:r w:rsidR="008A6B30" w:rsidRPr="00E64CE3">
        <w:rPr>
          <w:rFonts w:asciiTheme="minorHAnsi" w:hAnsiTheme="minorHAnsi"/>
          <w:sz w:val="22"/>
          <w:szCs w:val="22"/>
        </w:rPr>
        <w:t>,</w:t>
      </w:r>
      <w:r w:rsidR="00ED4690" w:rsidRPr="00E64CE3">
        <w:rPr>
          <w:rFonts w:asciiTheme="minorHAnsi" w:hAnsiTheme="minorHAnsi"/>
          <w:sz w:val="22"/>
          <w:szCs w:val="22"/>
        </w:rPr>
        <w:t xml:space="preserve"> all </w:t>
      </w:r>
      <w:r w:rsidR="00020E53">
        <w:rPr>
          <w:rFonts w:asciiTheme="minorHAnsi" w:hAnsiTheme="minorHAnsi"/>
          <w:sz w:val="22"/>
          <w:szCs w:val="22"/>
        </w:rPr>
        <w:t>four</w:t>
      </w:r>
      <w:r w:rsidR="00ED4690" w:rsidRPr="00E64CE3">
        <w:rPr>
          <w:rFonts w:asciiTheme="minorHAnsi" w:hAnsiTheme="minorHAnsi"/>
          <w:sz w:val="22"/>
          <w:szCs w:val="22"/>
        </w:rPr>
        <w:t xml:space="preserve"> distributions </w:t>
      </w:r>
      <w:r w:rsidR="00020E53">
        <w:rPr>
          <w:rFonts w:asciiTheme="minorHAnsi" w:hAnsiTheme="minorHAnsi"/>
          <w:sz w:val="22"/>
          <w:szCs w:val="22"/>
        </w:rPr>
        <w:t>the</w:t>
      </w:r>
      <w:r w:rsidR="00ED4690" w:rsidRPr="00E64CE3">
        <w:rPr>
          <w:rFonts w:asciiTheme="minorHAnsi" w:hAnsiTheme="minorHAnsi"/>
          <w:sz w:val="22"/>
          <w:szCs w:val="22"/>
        </w:rPr>
        <w:t xml:space="preserve"> toxicity data for </w:t>
      </w:r>
      <w:r w:rsidR="00F30497" w:rsidRPr="00E64CE3">
        <w:rPr>
          <w:rFonts w:asciiTheme="minorHAnsi" w:hAnsiTheme="minorHAnsi"/>
          <w:sz w:val="22"/>
          <w:szCs w:val="22"/>
        </w:rPr>
        <w:t>Malathion</w:t>
      </w:r>
      <w:r w:rsidR="00ED4690" w:rsidRPr="00E64CE3">
        <w:rPr>
          <w:rFonts w:asciiTheme="minorHAnsi" w:hAnsiTheme="minorHAnsi"/>
          <w:sz w:val="22"/>
          <w:szCs w:val="22"/>
        </w:rPr>
        <w:t xml:space="preserve"> </w:t>
      </w:r>
      <w:r w:rsidR="008A6B30" w:rsidRPr="00E64CE3">
        <w:rPr>
          <w:rFonts w:asciiTheme="minorHAnsi" w:hAnsiTheme="minorHAnsi"/>
          <w:sz w:val="22"/>
          <w:szCs w:val="22"/>
        </w:rPr>
        <w:t xml:space="preserve">were fit </w:t>
      </w:r>
      <w:r w:rsidR="00ED4690" w:rsidRPr="00E64CE3">
        <w:rPr>
          <w:rFonts w:asciiTheme="minorHAnsi" w:hAnsiTheme="minorHAnsi"/>
          <w:sz w:val="22"/>
          <w:szCs w:val="22"/>
        </w:rPr>
        <w:t xml:space="preserve">and </w:t>
      </w:r>
      <w:r w:rsidR="00ED4690" w:rsidRPr="001D5434">
        <w:rPr>
          <w:rFonts w:asciiTheme="minorHAnsi" w:hAnsiTheme="minorHAnsi"/>
          <w:sz w:val="22"/>
          <w:szCs w:val="22"/>
        </w:rPr>
        <w:t>bootstrap goodness-of-fit tests with 10,000 bootstrap replicates</w:t>
      </w:r>
      <w:r w:rsidR="008A6B30" w:rsidRPr="001D5434">
        <w:rPr>
          <w:rFonts w:asciiTheme="minorHAnsi" w:hAnsiTheme="minorHAnsi"/>
          <w:sz w:val="22"/>
          <w:szCs w:val="22"/>
        </w:rPr>
        <w:t xml:space="preserve"> were run</w:t>
      </w:r>
      <w:r w:rsidR="00ED4690" w:rsidRPr="001D5434">
        <w:rPr>
          <w:rFonts w:asciiTheme="minorHAnsi" w:hAnsiTheme="minorHAnsi"/>
          <w:sz w:val="22"/>
          <w:szCs w:val="22"/>
        </w:rPr>
        <w:t xml:space="preserve">. </w:t>
      </w:r>
      <w:r w:rsidR="008A6B30" w:rsidRPr="001D5434">
        <w:rPr>
          <w:rFonts w:asciiTheme="minorHAnsi" w:hAnsiTheme="minorHAnsi"/>
          <w:sz w:val="22"/>
          <w:szCs w:val="22"/>
        </w:rPr>
        <w:t>The m</w:t>
      </w:r>
      <w:r w:rsidR="00ED4690" w:rsidRPr="001D5434">
        <w:rPr>
          <w:rFonts w:asciiTheme="minorHAnsi" w:hAnsiTheme="minorHAnsi"/>
          <w:sz w:val="22"/>
          <w:szCs w:val="22"/>
        </w:rPr>
        <w:t>aximum likelihood</w:t>
      </w:r>
      <w:r w:rsidR="008A6B30" w:rsidRPr="001D5434">
        <w:rPr>
          <w:rFonts w:asciiTheme="minorHAnsi" w:hAnsiTheme="minorHAnsi"/>
          <w:sz w:val="22"/>
          <w:szCs w:val="22"/>
        </w:rPr>
        <w:t xml:space="preserve"> (ML) fitting method was used.</w:t>
      </w:r>
      <w:r w:rsidR="00ED4690" w:rsidRPr="001D5434">
        <w:rPr>
          <w:rFonts w:asciiTheme="minorHAnsi" w:hAnsiTheme="minorHAnsi"/>
          <w:sz w:val="22"/>
          <w:szCs w:val="22"/>
        </w:rPr>
        <w:t xml:space="preserve">  </w:t>
      </w:r>
      <w:r w:rsidR="00ED4690" w:rsidRPr="001D5434">
        <w:rPr>
          <w:rFonts w:asciiTheme="minorHAnsi" w:hAnsiTheme="minorHAnsi"/>
          <w:b/>
          <w:sz w:val="22"/>
          <w:szCs w:val="22"/>
        </w:rPr>
        <w:t xml:space="preserve">Tables </w:t>
      </w:r>
      <w:r w:rsidR="006A64EB" w:rsidRPr="001D5434">
        <w:rPr>
          <w:rFonts w:asciiTheme="minorHAnsi" w:hAnsiTheme="minorHAnsi"/>
          <w:b/>
          <w:sz w:val="22"/>
          <w:szCs w:val="22"/>
        </w:rPr>
        <w:t>B</w:t>
      </w:r>
      <w:r w:rsidR="00B75EE3">
        <w:rPr>
          <w:rFonts w:asciiTheme="minorHAnsi" w:hAnsiTheme="minorHAnsi"/>
          <w:b/>
          <w:sz w:val="22"/>
          <w:szCs w:val="22"/>
        </w:rPr>
        <w:t xml:space="preserve"> 2-</w:t>
      </w:r>
      <w:r w:rsidR="00B75EE3" w:rsidRPr="00E64CE3">
        <w:rPr>
          <w:rFonts w:asciiTheme="minorHAnsi" w:hAnsiTheme="minorHAnsi"/>
          <w:b/>
          <w:sz w:val="22"/>
          <w:szCs w:val="22"/>
        </w:rPr>
        <w:t>6</w:t>
      </w:r>
      <w:r w:rsidR="00B75EE3">
        <w:rPr>
          <w:rFonts w:asciiTheme="minorHAnsi" w:hAnsiTheme="minorHAnsi"/>
          <w:b/>
          <w:sz w:val="22"/>
          <w:szCs w:val="22"/>
        </w:rPr>
        <w:t>.</w:t>
      </w:r>
      <w:r w:rsidR="00020E53">
        <w:rPr>
          <w:rFonts w:asciiTheme="minorHAnsi" w:hAnsiTheme="minorHAnsi"/>
          <w:b/>
          <w:sz w:val="22"/>
          <w:szCs w:val="22"/>
        </w:rPr>
        <w:t>5</w:t>
      </w:r>
      <w:r w:rsidR="006A64EB" w:rsidRPr="001D5434">
        <w:rPr>
          <w:rFonts w:asciiTheme="minorHAnsi" w:hAnsiTheme="minorHAnsi"/>
          <w:b/>
          <w:sz w:val="22"/>
          <w:szCs w:val="22"/>
        </w:rPr>
        <w:t xml:space="preserve"> to </w:t>
      </w:r>
      <w:r w:rsidR="00B75EE3">
        <w:rPr>
          <w:rFonts w:asciiTheme="minorHAnsi" w:hAnsiTheme="minorHAnsi"/>
          <w:b/>
          <w:sz w:val="22"/>
          <w:szCs w:val="22"/>
        </w:rPr>
        <w:t>B 2-</w:t>
      </w:r>
      <w:r w:rsidR="00B75EE3" w:rsidRPr="00E64CE3">
        <w:rPr>
          <w:rFonts w:asciiTheme="minorHAnsi" w:hAnsiTheme="minorHAnsi"/>
          <w:b/>
          <w:sz w:val="22"/>
          <w:szCs w:val="22"/>
        </w:rPr>
        <w:t>6</w:t>
      </w:r>
      <w:r w:rsidR="00B75EE3">
        <w:rPr>
          <w:rFonts w:asciiTheme="minorHAnsi" w:hAnsiTheme="minorHAnsi"/>
          <w:b/>
          <w:sz w:val="22"/>
          <w:szCs w:val="22"/>
        </w:rPr>
        <w:t>.</w:t>
      </w:r>
      <w:r w:rsidR="00020E53">
        <w:rPr>
          <w:rFonts w:asciiTheme="minorHAnsi" w:hAnsiTheme="minorHAnsi"/>
          <w:b/>
          <w:sz w:val="22"/>
          <w:szCs w:val="22"/>
        </w:rPr>
        <w:t>6</w:t>
      </w:r>
      <w:r w:rsidR="00ED4690" w:rsidRPr="001D5434">
        <w:rPr>
          <w:rFonts w:asciiTheme="minorHAnsi" w:hAnsiTheme="minorHAnsi"/>
          <w:sz w:val="22"/>
          <w:szCs w:val="22"/>
        </w:rPr>
        <w:t xml:space="preserve"> give results of these fitting exercises.  In general,</w:t>
      </w:r>
      <w:r w:rsidR="00020E53">
        <w:rPr>
          <w:rFonts w:asciiTheme="minorHAnsi" w:hAnsiTheme="minorHAnsi"/>
          <w:sz w:val="22"/>
          <w:szCs w:val="22"/>
        </w:rPr>
        <w:t xml:space="preserve"> goodness of fit was above 0.6 for the distributions and</w:t>
      </w:r>
      <w:r w:rsidR="00ED4690" w:rsidRPr="001D5434">
        <w:rPr>
          <w:rFonts w:asciiTheme="minorHAnsi" w:hAnsiTheme="minorHAnsi"/>
          <w:sz w:val="22"/>
          <w:szCs w:val="22"/>
        </w:rPr>
        <w:t xml:space="preserve"> the coefficient of variation for the HC</w:t>
      </w:r>
      <w:r w:rsidR="00ED4690" w:rsidRPr="001D5434">
        <w:rPr>
          <w:rFonts w:asciiTheme="minorHAnsi" w:hAnsiTheme="minorHAnsi"/>
          <w:sz w:val="22"/>
          <w:szCs w:val="22"/>
          <w:vertAlign w:val="subscript"/>
        </w:rPr>
        <w:t>05</w:t>
      </w:r>
      <w:r w:rsidR="00A012DF" w:rsidRPr="001D5434">
        <w:rPr>
          <w:rFonts w:asciiTheme="minorHAnsi" w:hAnsiTheme="minorHAnsi"/>
          <w:sz w:val="22"/>
          <w:szCs w:val="22"/>
        </w:rPr>
        <w:t xml:space="preserve"> </w:t>
      </w:r>
      <w:r w:rsidRPr="001D5434">
        <w:rPr>
          <w:rFonts w:asciiTheme="minorHAnsi" w:hAnsiTheme="minorHAnsi"/>
          <w:sz w:val="22"/>
          <w:szCs w:val="22"/>
        </w:rPr>
        <w:t xml:space="preserve">was </w:t>
      </w:r>
      <w:r w:rsidR="00020E53">
        <w:rPr>
          <w:rFonts w:asciiTheme="minorHAnsi" w:hAnsiTheme="minorHAnsi"/>
          <w:sz w:val="22"/>
          <w:szCs w:val="22"/>
        </w:rPr>
        <w:t>above</w:t>
      </w:r>
      <w:r w:rsidRPr="001D5434">
        <w:rPr>
          <w:rFonts w:asciiTheme="minorHAnsi" w:hAnsiTheme="minorHAnsi"/>
          <w:sz w:val="22"/>
          <w:szCs w:val="22"/>
        </w:rPr>
        <w:t xml:space="preserve"> 1 for the competitive distributions</w:t>
      </w:r>
      <w:r w:rsidR="00020E53">
        <w:rPr>
          <w:rFonts w:asciiTheme="minorHAnsi" w:hAnsiTheme="minorHAnsi"/>
          <w:sz w:val="22"/>
          <w:szCs w:val="22"/>
        </w:rPr>
        <w:t>.</w:t>
      </w:r>
      <w:r w:rsidR="00ED4690" w:rsidRPr="00E64CE3">
        <w:rPr>
          <w:rFonts w:asciiTheme="minorHAnsi" w:hAnsiTheme="minorHAnsi"/>
          <w:sz w:val="22"/>
          <w:szCs w:val="22"/>
        </w:rPr>
        <w:t xml:space="preserve"> </w:t>
      </w:r>
    </w:p>
    <w:p w:rsidR="00ED4690" w:rsidRPr="00E64CE3" w:rsidRDefault="00ED4690" w:rsidP="004F5BAB">
      <w:pPr>
        <w:rPr>
          <w:rFonts w:asciiTheme="minorHAnsi" w:hAnsiTheme="minorHAnsi"/>
          <w:sz w:val="22"/>
          <w:szCs w:val="22"/>
        </w:rPr>
      </w:pPr>
    </w:p>
    <w:p w:rsidR="005424A2" w:rsidRPr="00E64CE3" w:rsidRDefault="005424A2">
      <w:pPr>
        <w:rPr>
          <w:rFonts w:asciiTheme="minorHAnsi" w:hAnsiTheme="minorHAnsi"/>
          <w:sz w:val="22"/>
          <w:szCs w:val="22"/>
        </w:rPr>
      </w:pPr>
    </w:p>
    <w:p w:rsidR="00FE197E" w:rsidRPr="00E64CE3" w:rsidRDefault="00FE197E" w:rsidP="004F5BAB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B75EE3">
        <w:rPr>
          <w:rFonts w:asciiTheme="minorHAnsi" w:hAnsiTheme="minorHAnsi"/>
          <w:b/>
          <w:sz w:val="22"/>
          <w:szCs w:val="22"/>
        </w:rPr>
        <w:t>B 2-</w:t>
      </w:r>
      <w:r w:rsidR="00B75EE3" w:rsidRPr="00E64CE3">
        <w:rPr>
          <w:rFonts w:asciiTheme="minorHAnsi" w:hAnsiTheme="minorHAnsi"/>
          <w:b/>
          <w:sz w:val="22"/>
          <w:szCs w:val="22"/>
        </w:rPr>
        <w:t>6</w:t>
      </w:r>
      <w:r w:rsidR="00B75EE3">
        <w:rPr>
          <w:rFonts w:asciiTheme="minorHAnsi" w:hAnsiTheme="minorHAnsi"/>
          <w:b/>
          <w:sz w:val="22"/>
          <w:szCs w:val="22"/>
        </w:rPr>
        <w:t>.</w:t>
      </w:r>
      <w:r w:rsidR="00020E53">
        <w:rPr>
          <w:rFonts w:asciiTheme="minorHAnsi" w:hAnsiTheme="minorHAnsi"/>
          <w:b/>
          <w:sz w:val="22"/>
          <w:szCs w:val="22"/>
        </w:rPr>
        <w:t>5</w:t>
      </w:r>
      <w:r w:rsidRPr="00E64CE3">
        <w:rPr>
          <w:rFonts w:asciiTheme="minorHAnsi" w:hAnsiTheme="minorHAnsi"/>
          <w:b/>
          <w:sz w:val="22"/>
          <w:szCs w:val="22"/>
        </w:rPr>
        <w:t xml:space="preserve">. Range of HC05 values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  <w:r w:rsidRPr="00E64CE3">
        <w:rPr>
          <w:rFonts w:asciiTheme="minorHAnsi" w:hAnsiTheme="minorHAnsi"/>
          <w:b/>
          <w:sz w:val="22"/>
          <w:szCs w:val="22"/>
        </w:rPr>
        <w:t xml:space="preserve"> SSDs </w:t>
      </w:r>
      <w:r w:rsidR="00E05F54" w:rsidRPr="00E64CE3">
        <w:rPr>
          <w:rFonts w:asciiTheme="minorHAnsi" w:hAnsiTheme="minorHAnsi"/>
          <w:b/>
          <w:sz w:val="22"/>
          <w:szCs w:val="22"/>
        </w:rPr>
        <w:t>for all aquatic vertebrates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923"/>
        <w:gridCol w:w="996"/>
        <w:gridCol w:w="996"/>
        <w:gridCol w:w="876"/>
        <w:gridCol w:w="876"/>
        <w:gridCol w:w="1116"/>
        <w:gridCol w:w="876"/>
      </w:tblGrid>
      <w:tr w:rsidR="00FE197E" w:rsidRPr="00E64CE3" w:rsidTr="00000513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LCL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UCL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FE197E" w:rsidRPr="00E64CE3" w:rsidRDefault="00FE197E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</w:tr>
      <w:tr w:rsidR="00020E53" w:rsidRPr="00E64CE3" w:rsidTr="000E1792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12.0433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33.2033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2.7570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0.1172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105.2170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0.6563</w:t>
            </w:r>
          </w:p>
        </w:tc>
      </w:tr>
      <w:tr w:rsidR="00020E53" w:rsidRPr="00E64CE3" w:rsidTr="000E1792">
        <w:tc>
          <w:tcPr>
            <w:tcW w:w="0" w:type="auto"/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8.0986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28.7022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3.5441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0.5456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107.1404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0.4156</w:t>
            </w:r>
          </w:p>
        </w:tc>
      </w:tr>
      <w:tr w:rsidR="00020E53" w:rsidRPr="00E64CE3" w:rsidTr="000E1792">
        <w:tc>
          <w:tcPr>
            <w:tcW w:w="0" w:type="auto"/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20.7828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61.0278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2.9365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7.9701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202.8903</w:t>
            </w:r>
          </w:p>
        </w:tc>
        <w:tc>
          <w:tcPr>
            <w:tcW w:w="0" w:type="auto"/>
            <w:vAlign w:val="center"/>
          </w:tcPr>
          <w:p w:rsidR="00020E53" w:rsidRDefault="00020E53" w:rsidP="00020E53">
            <w:r>
              <w:t>0.9910</w:t>
            </w:r>
          </w:p>
        </w:tc>
      </w:tr>
      <w:tr w:rsidR="00020E53" w:rsidRPr="00E64CE3" w:rsidTr="000E1792">
        <w:tc>
          <w:tcPr>
            <w:tcW w:w="0" w:type="auto"/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20.9110</w:t>
            </w:r>
          </w:p>
        </w:tc>
        <w:tc>
          <w:tcPr>
            <w:tcW w:w="0" w:type="auto"/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33.7872</w:t>
            </w:r>
          </w:p>
        </w:tc>
        <w:tc>
          <w:tcPr>
            <w:tcW w:w="0" w:type="auto"/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1.6158</w:t>
            </w:r>
          </w:p>
        </w:tc>
        <w:tc>
          <w:tcPr>
            <w:tcW w:w="0" w:type="auto"/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7.3420</w:t>
            </w:r>
          </w:p>
        </w:tc>
        <w:tc>
          <w:tcPr>
            <w:tcW w:w="0" w:type="auto"/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112.0394</w:t>
            </w:r>
          </w:p>
        </w:tc>
        <w:tc>
          <w:tcPr>
            <w:tcW w:w="0" w:type="auto"/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0.6214</w:t>
            </w:r>
          </w:p>
        </w:tc>
      </w:tr>
      <w:tr w:rsidR="00E075AE" w:rsidRPr="00E64CE3" w:rsidTr="009B4356"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FE197E" w:rsidRPr="00E64CE3" w:rsidRDefault="00FE197E" w:rsidP="00FE197E">
      <w:pPr>
        <w:rPr>
          <w:rFonts w:asciiTheme="minorHAnsi" w:hAnsiTheme="minorHAnsi"/>
          <w:sz w:val="22"/>
          <w:szCs w:val="22"/>
        </w:rPr>
      </w:pPr>
    </w:p>
    <w:p w:rsidR="0096322C" w:rsidRPr="00E64CE3" w:rsidRDefault="0096322C" w:rsidP="0096322C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E64CE3" w:rsidRPr="00E64CE3">
        <w:rPr>
          <w:rFonts w:asciiTheme="minorHAnsi" w:hAnsiTheme="minorHAnsi"/>
          <w:b/>
          <w:sz w:val="22"/>
          <w:szCs w:val="22"/>
        </w:rPr>
        <w:t>B</w:t>
      </w:r>
      <w:r w:rsidR="00B75EE3">
        <w:rPr>
          <w:rFonts w:asciiTheme="minorHAnsi" w:hAnsiTheme="minorHAnsi"/>
          <w:b/>
          <w:sz w:val="22"/>
          <w:szCs w:val="22"/>
        </w:rPr>
        <w:t xml:space="preserve"> 2-</w:t>
      </w:r>
      <w:r w:rsidR="00B75EE3" w:rsidRPr="00E64CE3">
        <w:rPr>
          <w:rFonts w:asciiTheme="minorHAnsi" w:hAnsiTheme="minorHAnsi"/>
          <w:b/>
          <w:sz w:val="22"/>
          <w:szCs w:val="22"/>
        </w:rPr>
        <w:t>6</w:t>
      </w:r>
      <w:r w:rsidR="00B75EE3">
        <w:rPr>
          <w:rFonts w:asciiTheme="minorHAnsi" w:hAnsiTheme="minorHAnsi"/>
          <w:b/>
          <w:sz w:val="22"/>
          <w:szCs w:val="22"/>
        </w:rPr>
        <w:t>.</w:t>
      </w:r>
      <w:r w:rsidR="00020E53">
        <w:rPr>
          <w:rFonts w:asciiTheme="minorHAnsi" w:hAnsiTheme="minorHAnsi"/>
          <w:b/>
          <w:sz w:val="22"/>
          <w:szCs w:val="22"/>
        </w:rPr>
        <w:t>5</w:t>
      </w:r>
      <w:r w:rsidRPr="00E64CE3">
        <w:rPr>
          <w:rFonts w:asciiTheme="minorHAnsi" w:hAnsiTheme="minorHAnsi"/>
          <w:b/>
          <w:sz w:val="22"/>
          <w:szCs w:val="22"/>
        </w:rPr>
        <w:t xml:space="preserve">. Range of HC05 values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  <w:r w:rsidRPr="00E64CE3">
        <w:rPr>
          <w:rFonts w:asciiTheme="minorHAnsi" w:hAnsiTheme="minorHAnsi"/>
          <w:b/>
          <w:sz w:val="22"/>
          <w:szCs w:val="22"/>
        </w:rPr>
        <w:t xml:space="preserve"> SSDs </w:t>
      </w:r>
      <w:r w:rsidR="00020E53">
        <w:rPr>
          <w:rFonts w:asciiTheme="minorHAnsi" w:hAnsiTheme="minorHAnsi"/>
          <w:b/>
          <w:sz w:val="22"/>
          <w:szCs w:val="22"/>
        </w:rPr>
        <w:t>for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923"/>
        <w:gridCol w:w="996"/>
        <w:gridCol w:w="996"/>
        <w:gridCol w:w="876"/>
        <w:gridCol w:w="876"/>
        <w:gridCol w:w="1116"/>
        <w:gridCol w:w="876"/>
      </w:tblGrid>
      <w:tr w:rsidR="0096322C" w:rsidRPr="00E64CE3" w:rsidTr="00020E53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distribution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SE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CV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LCL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UCL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6322C" w:rsidRPr="00E64CE3" w:rsidRDefault="0096322C" w:rsidP="00C95F28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P</w:t>
            </w:r>
          </w:p>
        </w:tc>
      </w:tr>
      <w:tr w:rsidR="00020E53" w:rsidRPr="00E64CE3" w:rsidTr="00020E53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9.7105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33.1157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3.4103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0.7097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113.1821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0.6234</w:t>
            </w:r>
          </w:p>
        </w:tc>
      </w:tr>
      <w:tr w:rsidR="00020E53" w:rsidRPr="00E64CE3" w:rsidTr="00020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6.6970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31.7564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4.7419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0.4495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85.0237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0.3636</w:t>
            </w:r>
          </w:p>
        </w:tc>
      </w:tr>
      <w:tr w:rsidR="00020E53" w:rsidRPr="00E64CE3" w:rsidTr="00020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15.8391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54.0599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3.4131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5.6928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192.8826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Default="00020E53" w:rsidP="00020E53">
            <w:r>
              <w:t>0.9790</w:t>
            </w:r>
          </w:p>
        </w:tc>
      </w:tr>
      <w:tr w:rsidR="00020E53" w:rsidRPr="00E64CE3" w:rsidTr="00020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E53" w:rsidRPr="00E64CE3" w:rsidRDefault="00020E53" w:rsidP="00020E5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19.3911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27.9818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1.4430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6.5850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103.3621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E53" w:rsidRPr="005424C4" w:rsidRDefault="00020E53" w:rsidP="00020E53">
            <w:pPr>
              <w:rPr>
                <w:b/>
              </w:rPr>
            </w:pPr>
            <w:r w:rsidRPr="005424C4">
              <w:rPr>
                <w:b/>
              </w:rPr>
              <w:t>0.6324</w:t>
            </w:r>
          </w:p>
        </w:tc>
      </w:tr>
      <w:tr w:rsidR="00E075AE" w:rsidRPr="00E64CE3" w:rsidTr="00020E53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075AE" w:rsidRPr="00E64CE3" w:rsidRDefault="00E075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6322C" w:rsidRPr="00E64CE3" w:rsidRDefault="0096322C" w:rsidP="0096322C">
      <w:pPr>
        <w:rPr>
          <w:rFonts w:asciiTheme="minorHAnsi" w:hAnsiTheme="minorHAnsi"/>
          <w:sz w:val="22"/>
          <w:szCs w:val="22"/>
        </w:rPr>
      </w:pPr>
    </w:p>
    <w:p w:rsidR="00E05F54" w:rsidRPr="00E64CE3" w:rsidRDefault="00E05F54" w:rsidP="00E05F54">
      <w:pPr>
        <w:rPr>
          <w:rFonts w:asciiTheme="minorHAnsi" w:hAnsiTheme="minorHAnsi"/>
          <w:sz w:val="22"/>
          <w:szCs w:val="22"/>
        </w:rPr>
      </w:pPr>
    </w:p>
    <w:p w:rsidR="00E05F54" w:rsidRPr="00E64CE3" w:rsidRDefault="00E05F54">
      <w:pPr>
        <w:rPr>
          <w:rFonts w:asciiTheme="minorHAnsi" w:hAnsiTheme="minorHAnsi"/>
          <w:sz w:val="22"/>
          <w:szCs w:val="22"/>
        </w:rPr>
      </w:pPr>
    </w:p>
    <w:p w:rsidR="006B64CE" w:rsidRPr="00E64CE3" w:rsidRDefault="006B64CE">
      <w:pPr>
        <w:rPr>
          <w:rFonts w:asciiTheme="minorHAnsi" w:hAnsiTheme="minorHAnsi"/>
          <w:b/>
          <w:sz w:val="22"/>
          <w:szCs w:val="22"/>
        </w:rPr>
      </w:pPr>
    </w:p>
    <w:p w:rsidR="004A75F7" w:rsidRPr="00E64CE3" w:rsidRDefault="00016A60" w:rsidP="0096322C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V. </w:t>
      </w:r>
      <w:r w:rsidR="004A75F7" w:rsidRPr="00E64CE3">
        <w:rPr>
          <w:rFonts w:asciiTheme="minorHAnsi" w:hAnsiTheme="minorHAnsi"/>
          <w:b/>
          <w:sz w:val="22"/>
          <w:szCs w:val="22"/>
        </w:rPr>
        <w:t>Calculation of other quantiles</w:t>
      </w:r>
    </w:p>
    <w:p w:rsidR="004A75F7" w:rsidRPr="00E64CE3" w:rsidRDefault="004A75F7" w:rsidP="0096322C">
      <w:pPr>
        <w:rPr>
          <w:rFonts w:asciiTheme="minorHAnsi" w:hAnsiTheme="minorHAnsi"/>
          <w:sz w:val="22"/>
          <w:szCs w:val="22"/>
        </w:rPr>
      </w:pPr>
      <w:r w:rsidRPr="006A64EB">
        <w:rPr>
          <w:rFonts w:asciiTheme="minorHAnsi" w:hAnsiTheme="minorHAnsi"/>
          <w:b/>
          <w:sz w:val="22"/>
          <w:szCs w:val="22"/>
        </w:rPr>
        <w:t xml:space="preserve">Tables </w:t>
      </w:r>
      <w:r w:rsidR="006A64EB" w:rsidRPr="006A64EB">
        <w:rPr>
          <w:rFonts w:asciiTheme="minorHAnsi" w:hAnsiTheme="minorHAnsi"/>
          <w:b/>
          <w:sz w:val="22"/>
          <w:szCs w:val="22"/>
        </w:rPr>
        <w:t>B</w:t>
      </w:r>
      <w:r w:rsidR="00B75EE3">
        <w:rPr>
          <w:rFonts w:asciiTheme="minorHAnsi" w:hAnsiTheme="minorHAnsi"/>
          <w:b/>
          <w:sz w:val="22"/>
          <w:szCs w:val="22"/>
        </w:rPr>
        <w:t xml:space="preserve"> 2-</w:t>
      </w:r>
      <w:r w:rsidR="00B75EE3" w:rsidRPr="00E64CE3">
        <w:rPr>
          <w:rFonts w:asciiTheme="minorHAnsi" w:hAnsiTheme="minorHAnsi"/>
          <w:b/>
          <w:sz w:val="22"/>
          <w:szCs w:val="22"/>
        </w:rPr>
        <w:t>6</w:t>
      </w:r>
      <w:r w:rsidR="00B75EE3">
        <w:rPr>
          <w:rFonts w:asciiTheme="minorHAnsi" w:hAnsiTheme="minorHAnsi"/>
          <w:b/>
          <w:sz w:val="22"/>
          <w:szCs w:val="22"/>
        </w:rPr>
        <w:t>.</w:t>
      </w:r>
      <w:r w:rsidR="001D5434">
        <w:rPr>
          <w:rFonts w:asciiTheme="minorHAnsi" w:hAnsiTheme="minorHAnsi"/>
          <w:b/>
          <w:sz w:val="22"/>
          <w:szCs w:val="22"/>
        </w:rPr>
        <w:t>6</w:t>
      </w:r>
      <w:r w:rsidR="00A91681" w:rsidRPr="006A64EB">
        <w:rPr>
          <w:rFonts w:asciiTheme="minorHAnsi" w:hAnsiTheme="minorHAnsi"/>
          <w:b/>
          <w:sz w:val="22"/>
          <w:szCs w:val="22"/>
        </w:rPr>
        <w:t xml:space="preserve"> </w:t>
      </w:r>
      <w:r w:rsidR="006A64EB" w:rsidRPr="006A64EB">
        <w:rPr>
          <w:rFonts w:asciiTheme="minorHAnsi" w:hAnsiTheme="minorHAnsi"/>
          <w:b/>
          <w:sz w:val="22"/>
          <w:szCs w:val="22"/>
        </w:rPr>
        <w:t>to</w:t>
      </w:r>
      <w:r w:rsidR="00B75EE3">
        <w:rPr>
          <w:rFonts w:asciiTheme="minorHAnsi" w:hAnsiTheme="minorHAnsi"/>
          <w:b/>
          <w:sz w:val="22"/>
          <w:szCs w:val="22"/>
        </w:rPr>
        <w:t xml:space="preserve"> B 2-</w:t>
      </w:r>
      <w:r w:rsidR="00B75EE3" w:rsidRPr="00E64CE3">
        <w:rPr>
          <w:rFonts w:asciiTheme="minorHAnsi" w:hAnsiTheme="minorHAnsi"/>
          <w:b/>
          <w:sz w:val="22"/>
          <w:szCs w:val="22"/>
        </w:rPr>
        <w:t>6</w:t>
      </w:r>
      <w:r w:rsidR="00B75EE3">
        <w:rPr>
          <w:rFonts w:asciiTheme="minorHAnsi" w:hAnsiTheme="minorHAnsi"/>
          <w:b/>
          <w:sz w:val="22"/>
          <w:szCs w:val="22"/>
        </w:rPr>
        <w:t>.</w:t>
      </w:r>
      <w:r w:rsidR="00020E53">
        <w:rPr>
          <w:rFonts w:asciiTheme="minorHAnsi" w:hAnsiTheme="minorHAnsi"/>
          <w:b/>
          <w:sz w:val="22"/>
          <w:szCs w:val="22"/>
        </w:rPr>
        <w:t>7</w:t>
      </w:r>
      <w:r w:rsidRPr="00E64CE3">
        <w:rPr>
          <w:rFonts w:asciiTheme="minorHAnsi" w:hAnsiTheme="minorHAnsi"/>
          <w:sz w:val="22"/>
          <w:szCs w:val="22"/>
        </w:rPr>
        <w:t xml:space="preserve"> provide estimates of the HC05 as well as other quantiles of the fitted SSDs.</w:t>
      </w:r>
    </w:p>
    <w:p w:rsidR="004A75F7" w:rsidRPr="00E64CE3" w:rsidRDefault="004A75F7" w:rsidP="0096322C">
      <w:pPr>
        <w:rPr>
          <w:rFonts w:asciiTheme="minorHAnsi" w:hAnsiTheme="minorHAnsi"/>
          <w:sz w:val="22"/>
          <w:szCs w:val="22"/>
        </w:rPr>
      </w:pPr>
    </w:p>
    <w:p w:rsidR="004A75F7" w:rsidRPr="00E64CE3" w:rsidRDefault="004A75F7" w:rsidP="0096322C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E64CE3" w:rsidRPr="00E64CE3">
        <w:rPr>
          <w:rFonts w:asciiTheme="minorHAnsi" w:hAnsiTheme="minorHAnsi"/>
          <w:b/>
          <w:sz w:val="22"/>
          <w:szCs w:val="22"/>
        </w:rPr>
        <w:t>B</w:t>
      </w:r>
      <w:r w:rsidR="00B75EE3">
        <w:rPr>
          <w:rFonts w:asciiTheme="minorHAnsi" w:hAnsiTheme="minorHAnsi"/>
          <w:b/>
          <w:sz w:val="22"/>
          <w:szCs w:val="22"/>
        </w:rPr>
        <w:t xml:space="preserve"> 2-</w:t>
      </w:r>
      <w:r w:rsidR="00B75EE3" w:rsidRPr="00E64CE3">
        <w:rPr>
          <w:rFonts w:asciiTheme="minorHAnsi" w:hAnsiTheme="minorHAnsi"/>
          <w:b/>
          <w:sz w:val="22"/>
          <w:szCs w:val="22"/>
        </w:rPr>
        <w:t>6</w:t>
      </w:r>
      <w:r w:rsidR="00B75EE3">
        <w:rPr>
          <w:rFonts w:asciiTheme="minorHAnsi" w:hAnsiTheme="minorHAnsi"/>
          <w:b/>
          <w:sz w:val="22"/>
          <w:szCs w:val="22"/>
        </w:rPr>
        <w:t>.</w:t>
      </w:r>
      <w:r w:rsidR="001D5434">
        <w:rPr>
          <w:rFonts w:asciiTheme="minorHAnsi" w:hAnsiTheme="minorHAnsi"/>
          <w:b/>
          <w:sz w:val="22"/>
          <w:szCs w:val="22"/>
        </w:rPr>
        <w:t>6</w:t>
      </w:r>
      <w:r w:rsidRPr="00E64CE3">
        <w:rPr>
          <w:rFonts w:asciiTheme="minorHAnsi" w:hAnsiTheme="minorHAnsi"/>
          <w:b/>
          <w:sz w:val="22"/>
          <w:szCs w:val="22"/>
        </w:rPr>
        <w:t xml:space="preserve">.  Estimated quantiles of the fitted SSDs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  <w:r w:rsidR="006B64CE" w:rsidRPr="00E64CE3">
        <w:rPr>
          <w:rFonts w:asciiTheme="minorHAnsi" w:hAnsiTheme="minorHAnsi"/>
          <w:b/>
          <w:sz w:val="22"/>
          <w:szCs w:val="22"/>
        </w:rPr>
        <w:t xml:space="preserve"> LC50s for all aquatic vertebrates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923"/>
        <w:gridCol w:w="996"/>
        <w:gridCol w:w="996"/>
        <w:gridCol w:w="1116"/>
        <w:gridCol w:w="1358"/>
        <w:gridCol w:w="1358"/>
      </w:tblGrid>
      <w:tr w:rsidR="004A75F7" w:rsidRPr="00E64CE3" w:rsidTr="00A60F59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E64CE3" w:rsidRDefault="004A75F7" w:rsidP="0044167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dist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E64CE3" w:rsidRDefault="004A75F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E64CE3" w:rsidRDefault="004A75F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E64CE3" w:rsidRDefault="004A75F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E64CE3" w:rsidRDefault="004A75F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HC50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E64CE3" w:rsidRDefault="004A75F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HC90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A75F7" w:rsidRPr="00E64CE3" w:rsidRDefault="004A75F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HC95</w:t>
            </w:r>
          </w:p>
        </w:tc>
      </w:tr>
      <w:tr w:rsidR="00D82E33" w:rsidRPr="00E64CE3" w:rsidTr="001C524A"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12.0433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26.9998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465.7551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8.0344e+03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1.8012e+04</w:t>
            </w:r>
          </w:p>
        </w:tc>
      </w:tr>
      <w:tr w:rsidR="00D82E33" w:rsidRPr="00E64CE3" w:rsidTr="001C524A">
        <w:tc>
          <w:tcPr>
            <w:tcW w:w="0" w:type="auto"/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8.0986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22.1246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424.9447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8.1619e+03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2.2298e+04</w:t>
            </w:r>
          </w:p>
        </w:tc>
      </w:tr>
      <w:tr w:rsidR="00D82E33" w:rsidRPr="00E64CE3" w:rsidTr="001D40DD">
        <w:tc>
          <w:tcPr>
            <w:tcW w:w="0" w:type="auto"/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20.7828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39.6334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604.2642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9.2128e+03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1.7569e+04</w:t>
            </w:r>
          </w:p>
        </w:tc>
      </w:tr>
      <w:tr w:rsidR="00D82E33" w:rsidRPr="00E64CE3" w:rsidTr="001D40DD">
        <w:tc>
          <w:tcPr>
            <w:tcW w:w="0" w:type="auto"/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20.9110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34.0478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314.7381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1.0317e+04</w:t>
            </w:r>
          </w:p>
        </w:tc>
        <w:tc>
          <w:tcPr>
            <w:tcW w:w="0" w:type="auto"/>
            <w:vAlign w:val="center"/>
          </w:tcPr>
          <w:p w:rsidR="00D82E33" w:rsidRDefault="00D82E33" w:rsidP="00D82E33">
            <w:r>
              <w:t>3.9143e+04</w:t>
            </w:r>
          </w:p>
        </w:tc>
      </w:tr>
      <w:tr w:rsidR="00E63A0A" w:rsidRPr="00E64CE3" w:rsidTr="009B4356"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63A0A" w:rsidRPr="00E64CE3" w:rsidRDefault="00E63A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63A0A" w:rsidRPr="00E64CE3" w:rsidRDefault="00E63A0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63A0A" w:rsidRPr="00E64CE3" w:rsidRDefault="00E63A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63A0A" w:rsidRPr="00E64CE3" w:rsidRDefault="00E63A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63A0A" w:rsidRPr="00E64CE3" w:rsidRDefault="00E63A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63A0A" w:rsidRPr="00E64CE3" w:rsidRDefault="00E63A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E63A0A" w:rsidRPr="00E64CE3" w:rsidRDefault="00E63A0A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4A75F7" w:rsidRPr="00E64CE3" w:rsidRDefault="004A75F7" w:rsidP="0096322C">
      <w:pPr>
        <w:rPr>
          <w:rFonts w:asciiTheme="minorHAnsi" w:hAnsiTheme="minorHAnsi"/>
          <w:sz w:val="22"/>
          <w:szCs w:val="22"/>
        </w:rPr>
      </w:pPr>
    </w:p>
    <w:p w:rsidR="006D30A7" w:rsidRPr="00E64CE3" w:rsidRDefault="006D30A7" w:rsidP="006D30A7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Table </w:t>
      </w:r>
      <w:r w:rsidR="00E64CE3" w:rsidRPr="00E64CE3">
        <w:rPr>
          <w:rFonts w:asciiTheme="minorHAnsi" w:hAnsiTheme="minorHAnsi"/>
          <w:b/>
          <w:sz w:val="22"/>
          <w:szCs w:val="22"/>
        </w:rPr>
        <w:t>B</w:t>
      </w:r>
      <w:r w:rsidR="00FB1600">
        <w:rPr>
          <w:rFonts w:asciiTheme="minorHAnsi" w:hAnsiTheme="minorHAnsi"/>
          <w:b/>
          <w:sz w:val="22"/>
          <w:szCs w:val="22"/>
        </w:rPr>
        <w:t xml:space="preserve"> 2-</w:t>
      </w:r>
      <w:r w:rsidR="00FB1600" w:rsidRPr="00E64CE3">
        <w:rPr>
          <w:rFonts w:asciiTheme="minorHAnsi" w:hAnsiTheme="minorHAnsi"/>
          <w:b/>
          <w:sz w:val="22"/>
          <w:szCs w:val="22"/>
        </w:rPr>
        <w:t>6</w:t>
      </w:r>
      <w:r w:rsidR="00FB1600">
        <w:rPr>
          <w:rFonts w:asciiTheme="minorHAnsi" w:hAnsiTheme="minorHAnsi"/>
          <w:b/>
          <w:sz w:val="22"/>
          <w:szCs w:val="22"/>
        </w:rPr>
        <w:t>.</w:t>
      </w:r>
      <w:r w:rsidR="001D5434">
        <w:rPr>
          <w:rFonts w:asciiTheme="minorHAnsi" w:hAnsiTheme="minorHAnsi"/>
          <w:b/>
          <w:sz w:val="22"/>
          <w:szCs w:val="22"/>
        </w:rPr>
        <w:t>7</w:t>
      </w:r>
      <w:r w:rsidRPr="00E64CE3">
        <w:rPr>
          <w:rFonts w:asciiTheme="minorHAnsi" w:hAnsiTheme="minorHAnsi"/>
          <w:b/>
          <w:sz w:val="22"/>
          <w:szCs w:val="22"/>
        </w:rPr>
        <w:t xml:space="preserve">.  </w:t>
      </w:r>
      <w:r w:rsidR="004D72A2" w:rsidRPr="00E64CE3">
        <w:rPr>
          <w:rFonts w:asciiTheme="minorHAnsi" w:hAnsiTheme="minorHAnsi"/>
          <w:b/>
          <w:sz w:val="22"/>
          <w:szCs w:val="22"/>
        </w:rPr>
        <w:t xml:space="preserve">Estimated quantiles of the fitted SSDs for </w:t>
      </w:r>
      <w:r w:rsidR="00F30497" w:rsidRPr="00E64CE3">
        <w:rPr>
          <w:rFonts w:asciiTheme="minorHAnsi" w:hAnsiTheme="minorHAnsi"/>
          <w:b/>
          <w:sz w:val="22"/>
          <w:szCs w:val="22"/>
        </w:rPr>
        <w:t>Malathion</w:t>
      </w:r>
      <w:r w:rsidR="004D72A2" w:rsidRPr="00E64CE3">
        <w:rPr>
          <w:rFonts w:asciiTheme="minorHAnsi" w:hAnsiTheme="minorHAnsi"/>
          <w:b/>
          <w:sz w:val="22"/>
          <w:szCs w:val="22"/>
        </w:rPr>
        <w:t xml:space="preserve"> LC50s for </w:t>
      </w:r>
      <w:r w:rsidR="00D82E33">
        <w:rPr>
          <w:rFonts w:asciiTheme="minorHAnsi" w:hAnsiTheme="minorHAnsi"/>
          <w:b/>
          <w:sz w:val="22"/>
          <w:szCs w:val="22"/>
        </w:rPr>
        <w:t>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923"/>
        <w:gridCol w:w="996"/>
        <w:gridCol w:w="996"/>
        <w:gridCol w:w="1116"/>
        <w:gridCol w:w="1358"/>
        <w:gridCol w:w="1358"/>
      </w:tblGrid>
      <w:tr w:rsidR="006D30A7" w:rsidRPr="00E64CE3" w:rsidTr="009E2AA1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0A7" w:rsidRPr="00E64CE3" w:rsidRDefault="006D30A7" w:rsidP="0044167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dist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30A7" w:rsidRPr="00E64CE3" w:rsidRDefault="006D30A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30A7" w:rsidRPr="00E64CE3" w:rsidRDefault="006D30A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HC05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30A7" w:rsidRPr="00E64CE3" w:rsidRDefault="006D30A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30A7" w:rsidRPr="00E64CE3" w:rsidRDefault="006D30A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30A7" w:rsidRPr="00E64CE3" w:rsidRDefault="006D30A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HC90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30A7" w:rsidRPr="00E64CE3" w:rsidRDefault="006D30A7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HC95</w:t>
            </w:r>
          </w:p>
        </w:tc>
      </w:tr>
      <w:tr w:rsidR="00D82E33" w:rsidRPr="00E64CE3" w:rsidTr="009E2AA1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9.7105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21.5699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360.1689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6.0140e+03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1.3359e+04</w:t>
            </w:r>
          </w:p>
        </w:tc>
      </w:tr>
      <w:tr w:rsidR="00D82E33" w:rsidRPr="00E64CE3" w:rsidTr="009E2A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Logistic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6.6970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17.6241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303.2529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5.2180e+03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1.3732e+04</w:t>
            </w:r>
          </w:p>
        </w:tc>
      </w:tr>
      <w:tr w:rsidR="00D82E33" w:rsidRPr="00E64CE3" w:rsidTr="009E2A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Triangular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15.8391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30.6262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494.9930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8.0003e+03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1.5469e+04</w:t>
            </w:r>
          </w:p>
        </w:tc>
      </w:tr>
      <w:tr w:rsidR="00D82E33" w:rsidRPr="00E64CE3" w:rsidTr="009E2A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19.3911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30.5416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242.6296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6.2701e+03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E33" w:rsidRDefault="00D82E33" w:rsidP="00D82E33">
            <w:r>
              <w:t>2.1724e+04</w:t>
            </w:r>
          </w:p>
        </w:tc>
      </w:tr>
      <w:tr w:rsidR="008977AE" w:rsidRPr="00E64CE3" w:rsidTr="009E2AA1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977AE" w:rsidRPr="00E64CE3" w:rsidRDefault="008977A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977AE" w:rsidRPr="00E64CE3" w:rsidRDefault="008977A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977AE" w:rsidRPr="00E64CE3" w:rsidRDefault="008977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977AE" w:rsidRPr="00E64CE3" w:rsidRDefault="008977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977AE" w:rsidRPr="00E64CE3" w:rsidRDefault="008977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977AE" w:rsidRPr="00E64CE3" w:rsidRDefault="008977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977AE" w:rsidRPr="00E64CE3" w:rsidRDefault="008977AE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4A75F7" w:rsidRPr="00E64CE3" w:rsidRDefault="004A75F7" w:rsidP="0096322C">
      <w:pPr>
        <w:rPr>
          <w:rFonts w:asciiTheme="minorHAnsi" w:hAnsiTheme="minorHAnsi"/>
          <w:sz w:val="22"/>
          <w:szCs w:val="22"/>
        </w:rPr>
      </w:pPr>
    </w:p>
    <w:p w:rsidR="004D72A2" w:rsidRPr="00E64CE3" w:rsidRDefault="004D72A2">
      <w:pPr>
        <w:rPr>
          <w:rFonts w:asciiTheme="minorHAnsi" w:hAnsiTheme="minorHAnsi"/>
          <w:sz w:val="22"/>
          <w:szCs w:val="22"/>
        </w:rPr>
      </w:pPr>
    </w:p>
    <w:p w:rsidR="0051453D" w:rsidRPr="00E64CE3" w:rsidRDefault="0051453D">
      <w:pPr>
        <w:rPr>
          <w:rFonts w:asciiTheme="minorHAnsi" w:hAnsiTheme="minorHAnsi"/>
          <w:b/>
          <w:sz w:val="22"/>
          <w:szCs w:val="22"/>
        </w:rPr>
      </w:pPr>
    </w:p>
    <w:p w:rsidR="009566C8" w:rsidRPr="00E64CE3" w:rsidRDefault="00016A60" w:rsidP="0096322C">
      <w:pPr>
        <w:rPr>
          <w:rFonts w:asciiTheme="minorHAnsi" w:hAnsiTheme="minorHAnsi"/>
          <w:b/>
          <w:sz w:val="22"/>
          <w:szCs w:val="22"/>
        </w:rPr>
      </w:pPr>
      <w:r w:rsidRPr="00E64CE3">
        <w:rPr>
          <w:rFonts w:asciiTheme="minorHAnsi" w:hAnsiTheme="minorHAnsi"/>
          <w:b/>
          <w:sz w:val="22"/>
          <w:szCs w:val="22"/>
        </w:rPr>
        <w:t xml:space="preserve">VI. </w:t>
      </w:r>
      <w:r w:rsidR="00F67E54" w:rsidRPr="00E64CE3">
        <w:rPr>
          <w:rFonts w:asciiTheme="minorHAnsi" w:hAnsiTheme="minorHAnsi"/>
          <w:b/>
          <w:sz w:val="22"/>
          <w:szCs w:val="22"/>
        </w:rPr>
        <w:t>Calculation of thresholds</w:t>
      </w:r>
    </w:p>
    <w:p w:rsidR="00016A60" w:rsidRPr="00E64CE3" w:rsidRDefault="00016A60" w:rsidP="0096322C">
      <w:pPr>
        <w:rPr>
          <w:rFonts w:asciiTheme="minorHAnsi" w:hAnsiTheme="minorHAnsi"/>
          <w:sz w:val="22"/>
          <w:szCs w:val="22"/>
        </w:rPr>
      </w:pPr>
      <w:r w:rsidRPr="00E64CE3">
        <w:rPr>
          <w:rFonts w:asciiTheme="minorHAnsi" w:hAnsiTheme="minorHAnsi"/>
          <w:sz w:val="22"/>
          <w:szCs w:val="22"/>
        </w:rPr>
        <w:t xml:space="preserve">Thresholds were calculated using a </w:t>
      </w:r>
      <w:proofErr w:type="spellStart"/>
      <w:r w:rsidRPr="00E64CE3">
        <w:rPr>
          <w:rFonts w:asciiTheme="minorHAnsi" w:hAnsiTheme="minorHAnsi"/>
          <w:sz w:val="22"/>
          <w:szCs w:val="22"/>
        </w:rPr>
        <w:t>probit</w:t>
      </w:r>
      <w:proofErr w:type="spellEnd"/>
      <w:r w:rsidRPr="00E64CE3">
        <w:rPr>
          <w:rFonts w:asciiTheme="minorHAnsi" w:hAnsiTheme="minorHAnsi"/>
          <w:sz w:val="22"/>
          <w:szCs w:val="22"/>
        </w:rPr>
        <w:t xml:space="preserve"> curve with the HC</w:t>
      </w:r>
      <w:r w:rsidRPr="00E64CE3">
        <w:rPr>
          <w:rFonts w:asciiTheme="minorHAnsi" w:hAnsiTheme="minorHAnsi"/>
          <w:sz w:val="22"/>
          <w:szCs w:val="22"/>
          <w:vertAlign w:val="subscript"/>
        </w:rPr>
        <w:t>05</w:t>
      </w:r>
      <w:r w:rsidRPr="00E64CE3">
        <w:rPr>
          <w:rFonts w:asciiTheme="minorHAnsi" w:hAnsiTheme="minorHAnsi"/>
          <w:sz w:val="22"/>
          <w:szCs w:val="22"/>
        </w:rPr>
        <w:t xml:space="preserve"> as the mean and</w:t>
      </w:r>
      <w:r w:rsidR="00E72C73">
        <w:rPr>
          <w:rFonts w:asciiTheme="minorHAnsi" w:hAnsiTheme="minorHAnsi"/>
          <w:sz w:val="22"/>
          <w:szCs w:val="22"/>
        </w:rPr>
        <w:t xml:space="preserve"> the lower and upper limits based on the slope</w:t>
      </w:r>
      <w:r w:rsidRPr="00E64CE3">
        <w:rPr>
          <w:rFonts w:asciiTheme="minorHAnsi" w:hAnsiTheme="minorHAnsi"/>
          <w:sz w:val="22"/>
          <w:szCs w:val="22"/>
        </w:rPr>
        <w:t xml:space="preserve">. </w:t>
      </w:r>
      <w:r w:rsidR="00DF2241" w:rsidRPr="00E64CE3">
        <w:rPr>
          <w:rFonts w:asciiTheme="minorHAnsi" w:hAnsiTheme="minorHAnsi"/>
          <w:sz w:val="22"/>
          <w:szCs w:val="22"/>
        </w:rPr>
        <w:t xml:space="preserve">Calculated thresholds are provided in </w:t>
      </w:r>
      <w:r w:rsidR="00DF2241" w:rsidRPr="006A64EB">
        <w:rPr>
          <w:rFonts w:asciiTheme="minorHAnsi" w:hAnsiTheme="minorHAnsi"/>
          <w:b/>
          <w:sz w:val="22"/>
          <w:szCs w:val="22"/>
        </w:rPr>
        <w:t xml:space="preserve">Tables </w:t>
      </w:r>
      <w:r w:rsidR="006A64EB" w:rsidRPr="006A64EB">
        <w:rPr>
          <w:rFonts w:asciiTheme="minorHAnsi" w:hAnsiTheme="minorHAnsi"/>
          <w:b/>
          <w:sz w:val="22"/>
          <w:szCs w:val="22"/>
        </w:rPr>
        <w:t>B</w:t>
      </w:r>
      <w:r w:rsidR="00FB1600">
        <w:rPr>
          <w:rFonts w:asciiTheme="minorHAnsi" w:hAnsiTheme="minorHAnsi"/>
          <w:b/>
          <w:sz w:val="22"/>
          <w:szCs w:val="22"/>
        </w:rPr>
        <w:t xml:space="preserve"> 2-</w:t>
      </w:r>
      <w:r w:rsidR="00FB1600" w:rsidRPr="00E64CE3">
        <w:rPr>
          <w:rFonts w:asciiTheme="minorHAnsi" w:hAnsiTheme="minorHAnsi"/>
          <w:b/>
          <w:sz w:val="22"/>
          <w:szCs w:val="22"/>
        </w:rPr>
        <w:t>6</w:t>
      </w:r>
      <w:r w:rsidR="00FB1600">
        <w:rPr>
          <w:rFonts w:asciiTheme="minorHAnsi" w:hAnsiTheme="minorHAnsi"/>
          <w:b/>
          <w:sz w:val="22"/>
          <w:szCs w:val="22"/>
        </w:rPr>
        <w:t>.</w:t>
      </w:r>
      <w:r w:rsidR="00D82E33">
        <w:rPr>
          <w:rFonts w:asciiTheme="minorHAnsi" w:hAnsiTheme="minorHAnsi"/>
          <w:b/>
          <w:sz w:val="22"/>
          <w:szCs w:val="22"/>
        </w:rPr>
        <w:t>8</w:t>
      </w:r>
      <w:r w:rsidR="00DF2241" w:rsidRPr="006A64EB">
        <w:rPr>
          <w:rFonts w:asciiTheme="minorHAnsi" w:hAnsiTheme="minorHAnsi"/>
          <w:b/>
          <w:sz w:val="22"/>
          <w:szCs w:val="22"/>
        </w:rPr>
        <w:t xml:space="preserve"> </w:t>
      </w:r>
      <w:r w:rsidR="006A64EB" w:rsidRPr="006A64EB">
        <w:rPr>
          <w:rFonts w:asciiTheme="minorHAnsi" w:hAnsiTheme="minorHAnsi"/>
          <w:b/>
          <w:sz w:val="22"/>
          <w:szCs w:val="22"/>
        </w:rPr>
        <w:t>to</w:t>
      </w:r>
      <w:r w:rsidR="00DF2241" w:rsidRPr="006A64EB">
        <w:rPr>
          <w:rFonts w:asciiTheme="minorHAnsi" w:hAnsiTheme="minorHAnsi"/>
          <w:b/>
          <w:sz w:val="22"/>
          <w:szCs w:val="22"/>
        </w:rPr>
        <w:t xml:space="preserve"> </w:t>
      </w:r>
      <w:r w:rsidR="00FB1600">
        <w:rPr>
          <w:rFonts w:asciiTheme="minorHAnsi" w:hAnsiTheme="minorHAnsi"/>
          <w:b/>
          <w:sz w:val="22"/>
          <w:szCs w:val="22"/>
        </w:rPr>
        <w:t>B 2-</w:t>
      </w:r>
      <w:r w:rsidR="00FB1600" w:rsidRPr="00E64CE3">
        <w:rPr>
          <w:rFonts w:asciiTheme="minorHAnsi" w:hAnsiTheme="minorHAnsi"/>
          <w:b/>
          <w:sz w:val="22"/>
          <w:szCs w:val="22"/>
        </w:rPr>
        <w:t>6</w:t>
      </w:r>
      <w:r w:rsidR="00FB1600">
        <w:rPr>
          <w:rFonts w:asciiTheme="minorHAnsi" w:hAnsiTheme="minorHAnsi"/>
          <w:b/>
          <w:sz w:val="22"/>
          <w:szCs w:val="22"/>
        </w:rPr>
        <w:t>.</w:t>
      </w:r>
      <w:r w:rsidR="00D82E33">
        <w:rPr>
          <w:rFonts w:asciiTheme="minorHAnsi" w:hAnsiTheme="minorHAnsi"/>
          <w:b/>
          <w:sz w:val="22"/>
          <w:szCs w:val="22"/>
        </w:rPr>
        <w:t>9</w:t>
      </w:r>
      <w:r w:rsidR="00DF2241" w:rsidRPr="00E64CE3">
        <w:rPr>
          <w:rFonts w:asciiTheme="minorHAnsi" w:hAnsiTheme="minorHAnsi"/>
          <w:sz w:val="22"/>
          <w:szCs w:val="22"/>
        </w:rPr>
        <w:t>.</w:t>
      </w:r>
      <w:r w:rsidR="00F378CF" w:rsidRPr="00E64CE3">
        <w:rPr>
          <w:rFonts w:asciiTheme="minorHAnsi" w:hAnsiTheme="minorHAnsi"/>
          <w:sz w:val="22"/>
          <w:szCs w:val="22"/>
        </w:rPr>
        <w:t xml:space="preserve">  The distributions are the chosen distributions for each dataset based on </w:t>
      </w:r>
      <w:proofErr w:type="spellStart"/>
      <w:r w:rsidR="00F378CF" w:rsidRPr="00E64CE3">
        <w:rPr>
          <w:rFonts w:asciiTheme="minorHAnsi" w:hAnsiTheme="minorHAnsi"/>
          <w:sz w:val="22"/>
          <w:szCs w:val="22"/>
        </w:rPr>
        <w:t>AICc</w:t>
      </w:r>
      <w:proofErr w:type="spellEnd"/>
      <w:r w:rsidR="00F378CF" w:rsidRPr="00E64CE3">
        <w:rPr>
          <w:rFonts w:asciiTheme="minorHAnsi" w:hAnsiTheme="minorHAnsi"/>
          <w:sz w:val="22"/>
          <w:szCs w:val="22"/>
        </w:rPr>
        <w:t xml:space="preserve"> weights, CVs of the HC05, and confidence limits.</w:t>
      </w:r>
    </w:p>
    <w:p w:rsidR="00016A60" w:rsidRPr="00E64CE3" w:rsidRDefault="00016A60" w:rsidP="0096322C">
      <w:pPr>
        <w:rPr>
          <w:rFonts w:asciiTheme="minorHAnsi" w:hAnsiTheme="minorHAnsi"/>
          <w:sz w:val="22"/>
          <w:szCs w:val="22"/>
        </w:rPr>
      </w:pPr>
    </w:p>
    <w:p w:rsidR="00F21792" w:rsidRPr="00980AE1" w:rsidRDefault="00F21792" w:rsidP="0096322C">
      <w:pPr>
        <w:rPr>
          <w:rFonts w:asciiTheme="minorHAnsi" w:hAnsiTheme="minorHAnsi"/>
          <w:b/>
          <w:sz w:val="22"/>
          <w:szCs w:val="22"/>
        </w:rPr>
      </w:pPr>
      <w:r w:rsidRPr="00980AE1">
        <w:rPr>
          <w:rFonts w:asciiTheme="minorHAnsi" w:hAnsiTheme="minorHAnsi"/>
          <w:b/>
          <w:sz w:val="22"/>
          <w:szCs w:val="22"/>
        </w:rPr>
        <w:t xml:space="preserve">Table </w:t>
      </w:r>
      <w:r w:rsidR="00E64CE3" w:rsidRPr="00980AE1">
        <w:rPr>
          <w:rFonts w:asciiTheme="minorHAnsi" w:hAnsiTheme="minorHAnsi"/>
          <w:b/>
          <w:sz w:val="22"/>
          <w:szCs w:val="22"/>
        </w:rPr>
        <w:t>B</w:t>
      </w:r>
      <w:r w:rsidR="00FB1600">
        <w:rPr>
          <w:rFonts w:asciiTheme="minorHAnsi" w:hAnsiTheme="minorHAnsi"/>
          <w:b/>
          <w:sz w:val="22"/>
          <w:szCs w:val="22"/>
        </w:rPr>
        <w:t xml:space="preserve"> 2-</w:t>
      </w:r>
      <w:r w:rsidR="00FB1600" w:rsidRPr="00E64CE3">
        <w:rPr>
          <w:rFonts w:asciiTheme="minorHAnsi" w:hAnsiTheme="minorHAnsi"/>
          <w:b/>
          <w:sz w:val="22"/>
          <w:szCs w:val="22"/>
        </w:rPr>
        <w:t>6</w:t>
      </w:r>
      <w:r w:rsidR="00FB1600">
        <w:rPr>
          <w:rFonts w:asciiTheme="minorHAnsi" w:hAnsiTheme="minorHAnsi"/>
          <w:b/>
          <w:sz w:val="22"/>
          <w:szCs w:val="22"/>
        </w:rPr>
        <w:t>.</w:t>
      </w:r>
      <w:r w:rsidR="00D82E33">
        <w:rPr>
          <w:rFonts w:asciiTheme="minorHAnsi" w:hAnsiTheme="minorHAnsi"/>
          <w:b/>
          <w:sz w:val="22"/>
          <w:szCs w:val="22"/>
        </w:rPr>
        <w:t>8</w:t>
      </w:r>
      <w:r w:rsidRPr="00980AE1">
        <w:rPr>
          <w:rFonts w:asciiTheme="minorHAnsi" w:hAnsiTheme="minorHAnsi"/>
          <w:b/>
          <w:sz w:val="22"/>
          <w:szCs w:val="22"/>
        </w:rPr>
        <w:t xml:space="preserve">. Thresholds for determination of action area for </w:t>
      </w:r>
      <w:r w:rsidR="00F30497" w:rsidRPr="00980AE1">
        <w:rPr>
          <w:rFonts w:asciiTheme="minorHAnsi" w:hAnsiTheme="minorHAnsi"/>
          <w:b/>
          <w:sz w:val="22"/>
          <w:szCs w:val="22"/>
        </w:rPr>
        <w:t>Malathion</w:t>
      </w:r>
      <w:r w:rsidRPr="00980AE1">
        <w:rPr>
          <w:rFonts w:asciiTheme="minorHAnsi" w:hAnsiTheme="minorHAnsi"/>
          <w:b/>
          <w:sz w:val="22"/>
          <w:szCs w:val="22"/>
        </w:rPr>
        <w:t xml:space="preserve"> </w:t>
      </w:r>
      <w:r w:rsidR="001349F2" w:rsidRPr="00980AE1">
        <w:rPr>
          <w:rFonts w:asciiTheme="minorHAnsi" w:hAnsiTheme="minorHAnsi"/>
          <w:b/>
          <w:sz w:val="22"/>
          <w:szCs w:val="22"/>
        </w:rPr>
        <w:t>LC50s for all aquatic vertebrates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923"/>
        <w:gridCol w:w="1015"/>
        <w:gridCol w:w="1261"/>
        <w:gridCol w:w="1268"/>
        <w:gridCol w:w="1015"/>
        <w:gridCol w:w="1261"/>
        <w:gridCol w:w="1268"/>
      </w:tblGrid>
      <w:tr w:rsidR="004A00A5" w:rsidRPr="00E64CE3" w:rsidTr="00A60F59"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E64CE3" w:rsidRDefault="004A00A5" w:rsidP="009850B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distrib</w:t>
            </w:r>
            <w:proofErr w:type="spellEnd"/>
            <w:r w:rsidRPr="00E64C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E64CE3" w:rsidRDefault="004A00A5" w:rsidP="00441676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00A5" w:rsidRPr="00E64CE3" w:rsidRDefault="00A60F59" w:rsidP="00A60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</w:t>
            </w:r>
            <w:r w:rsidR="004A00A5" w:rsidRPr="00E64CE3">
              <w:rPr>
                <w:rFonts w:asciiTheme="minorHAnsi" w:hAnsiTheme="minorHAnsi"/>
                <w:sz w:val="22"/>
                <w:szCs w:val="22"/>
              </w:rPr>
              <w:t xml:space="preserve">ortality 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T</w:t>
            </w:r>
            <w:r w:rsidR="004A00A5" w:rsidRPr="00E64CE3">
              <w:rPr>
                <w:rFonts w:asciiTheme="minorHAnsi" w:hAnsiTheme="minorHAnsi"/>
                <w:sz w:val="22"/>
                <w:szCs w:val="22"/>
              </w:rPr>
              <w:t>hreshold (10</w:t>
            </w:r>
            <w:r w:rsidR="004A00A5"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-6</w:t>
            </w:r>
            <w:r w:rsidR="004A00A5"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00A5" w:rsidRPr="00E64CE3" w:rsidRDefault="004A00A5" w:rsidP="00A60F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Indirect Effects Threshold (10</w:t>
            </w:r>
            <w:r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82E33" w:rsidRPr="00E64CE3" w:rsidTr="00A60F59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E64CE3" w:rsidRDefault="004A00A5" w:rsidP="009850B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A00A5" w:rsidRPr="00E64CE3" w:rsidRDefault="004A00A5" w:rsidP="004416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E64CE3" w:rsidRDefault="004A00A5" w:rsidP="00D82E33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D82E3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E64CE3" w:rsidRDefault="00D82E33" w:rsidP="00D82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Lower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E64CE3" w:rsidRDefault="00D82E33" w:rsidP="00D82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Upper Limit</w:t>
            </w:r>
            <w:r w:rsidR="004A00A5"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E64CE3" w:rsidRDefault="004A00A5" w:rsidP="00D82E33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 w:rsidR="00D82E33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E64CE3" w:rsidRDefault="00D82E33" w:rsidP="00D82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Lower Limit</w:t>
            </w:r>
            <w:r w:rsidR="004A00A5"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0A5" w:rsidRPr="00E64CE3" w:rsidRDefault="00D82E33" w:rsidP="00D82E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Upper Limit</w:t>
            </w:r>
            <w:r w:rsidR="004A00A5"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82E33" w:rsidRPr="00E64CE3" w:rsidTr="009B4356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D82E3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0A40D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D82E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D82E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D82E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D82E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D82E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F65" w:rsidRPr="00E64CE3" w:rsidRDefault="00D82E3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42</w:t>
            </w:r>
          </w:p>
        </w:tc>
      </w:tr>
      <w:tr w:rsidR="00D82E33" w:rsidRPr="00E64CE3" w:rsidTr="009B4356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F65" w:rsidRPr="00E64CE3" w:rsidRDefault="002B7F65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9850BC" w:rsidRPr="00E64CE3" w:rsidRDefault="009850BC" w:rsidP="009850BC">
      <w:pPr>
        <w:rPr>
          <w:rFonts w:asciiTheme="minorHAnsi" w:hAnsiTheme="minorHAnsi"/>
          <w:sz w:val="22"/>
          <w:szCs w:val="22"/>
        </w:rPr>
      </w:pPr>
    </w:p>
    <w:p w:rsidR="00AD6867" w:rsidRPr="00980AE1" w:rsidRDefault="00F21792" w:rsidP="009850BC">
      <w:pPr>
        <w:rPr>
          <w:rFonts w:asciiTheme="minorHAnsi" w:hAnsiTheme="minorHAnsi"/>
          <w:b/>
          <w:sz w:val="22"/>
          <w:szCs w:val="22"/>
        </w:rPr>
      </w:pPr>
      <w:r w:rsidRPr="00980AE1">
        <w:rPr>
          <w:rFonts w:asciiTheme="minorHAnsi" w:hAnsiTheme="minorHAnsi"/>
          <w:b/>
          <w:sz w:val="22"/>
          <w:szCs w:val="22"/>
        </w:rPr>
        <w:t xml:space="preserve">Table </w:t>
      </w:r>
      <w:r w:rsidR="00980AE1" w:rsidRPr="00980AE1">
        <w:rPr>
          <w:rFonts w:asciiTheme="minorHAnsi" w:hAnsiTheme="minorHAnsi"/>
          <w:b/>
          <w:sz w:val="22"/>
          <w:szCs w:val="22"/>
        </w:rPr>
        <w:t>B</w:t>
      </w:r>
      <w:r w:rsidR="00FB1600">
        <w:rPr>
          <w:rFonts w:asciiTheme="minorHAnsi" w:hAnsiTheme="minorHAnsi"/>
          <w:b/>
          <w:sz w:val="22"/>
          <w:szCs w:val="22"/>
        </w:rPr>
        <w:t xml:space="preserve"> 2-</w:t>
      </w:r>
      <w:r w:rsidR="00FB1600" w:rsidRPr="00E64CE3">
        <w:rPr>
          <w:rFonts w:asciiTheme="minorHAnsi" w:hAnsiTheme="minorHAnsi"/>
          <w:b/>
          <w:sz w:val="22"/>
          <w:szCs w:val="22"/>
        </w:rPr>
        <w:t>6</w:t>
      </w:r>
      <w:r w:rsidR="00FB1600">
        <w:rPr>
          <w:rFonts w:asciiTheme="minorHAnsi" w:hAnsiTheme="minorHAnsi"/>
          <w:b/>
          <w:sz w:val="22"/>
          <w:szCs w:val="22"/>
        </w:rPr>
        <w:t>.</w:t>
      </w:r>
      <w:r w:rsidR="00D82E33">
        <w:rPr>
          <w:rFonts w:asciiTheme="minorHAnsi" w:hAnsiTheme="minorHAnsi"/>
          <w:b/>
          <w:sz w:val="22"/>
          <w:szCs w:val="22"/>
        </w:rPr>
        <w:t>9</w:t>
      </w:r>
      <w:r w:rsidRPr="00980AE1">
        <w:rPr>
          <w:rFonts w:asciiTheme="minorHAnsi" w:hAnsiTheme="minorHAnsi"/>
          <w:b/>
          <w:sz w:val="22"/>
          <w:szCs w:val="22"/>
        </w:rPr>
        <w:t xml:space="preserve">. </w:t>
      </w:r>
      <w:r w:rsidR="001349F2" w:rsidRPr="00980AE1">
        <w:rPr>
          <w:rFonts w:asciiTheme="minorHAnsi" w:hAnsiTheme="minorHAnsi"/>
          <w:b/>
          <w:sz w:val="22"/>
          <w:szCs w:val="22"/>
        </w:rPr>
        <w:t xml:space="preserve">Thresholds for determination of action area for </w:t>
      </w:r>
      <w:r w:rsidR="00F30497" w:rsidRPr="00980AE1">
        <w:rPr>
          <w:rFonts w:asciiTheme="minorHAnsi" w:hAnsiTheme="minorHAnsi"/>
          <w:b/>
          <w:sz w:val="22"/>
          <w:szCs w:val="22"/>
        </w:rPr>
        <w:t>Malathion</w:t>
      </w:r>
      <w:r w:rsidR="001349F2" w:rsidRPr="00980AE1">
        <w:rPr>
          <w:rFonts w:asciiTheme="minorHAnsi" w:hAnsiTheme="minorHAnsi"/>
          <w:b/>
          <w:sz w:val="22"/>
          <w:szCs w:val="22"/>
        </w:rPr>
        <w:t xml:space="preserve"> LC50s for </w:t>
      </w:r>
      <w:r w:rsidR="00D82E33">
        <w:rPr>
          <w:rFonts w:asciiTheme="minorHAnsi" w:hAnsiTheme="minorHAnsi"/>
          <w:b/>
          <w:sz w:val="22"/>
          <w:szCs w:val="22"/>
        </w:rPr>
        <w:t>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"/>
        <w:gridCol w:w="923"/>
        <w:gridCol w:w="1015"/>
        <w:gridCol w:w="1261"/>
        <w:gridCol w:w="1268"/>
        <w:gridCol w:w="1015"/>
        <w:gridCol w:w="1261"/>
        <w:gridCol w:w="1268"/>
      </w:tblGrid>
      <w:tr w:rsidR="00D82E33" w:rsidRPr="00E64CE3" w:rsidTr="00A62D04"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64CE3">
              <w:rPr>
                <w:rFonts w:asciiTheme="minorHAnsi" w:hAnsiTheme="minorHAnsi"/>
                <w:sz w:val="22"/>
                <w:szCs w:val="22"/>
              </w:rPr>
              <w:t>distrib</w:t>
            </w:r>
            <w:proofErr w:type="spellEnd"/>
            <w:r w:rsidRPr="00E64C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method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2E33" w:rsidRPr="00E64CE3" w:rsidRDefault="00D82E33" w:rsidP="00A62D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Mortality Threshold (10</w:t>
            </w:r>
            <w:r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-6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2E33" w:rsidRPr="00E64CE3" w:rsidRDefault="00D82E33" w:rsidP="00A62D0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>Indirect Effects Threshold (10</w:t>
            </w:r>
            <w:r w:rsidRPr="00E64CE3">
              <w:rPr>
                <w:rFonts w:asciiTheme="minorHAnsi" w:hAnsiTheme="minorHAnsi"/>
                <w:sz w:val="22"/>
                <w:szCs w:val="22"/>
                <w:vertAlign w:val="superscript"/>
              </w:rPr>
              <w:t>-1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82E33" w:rsidRPr="00E64CE3" w:rsidTr="00A62D04"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Lower Limit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Upper Limit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sz w:val="22"/>
                <w:szCs w:val="22"/>
              </w:rPr>
              <w:t xml:space="preserve">slope = 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Lower Limit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2E33" w:rsidRPr="00E64CE3" w:rsidRDefault="00D82E33" w:rsidP="00A62D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Upper Limit</w:t>
            </w:r>
            <w:r w:rsidRPr="00E64CE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82E33" w:rsidRPr="00E64CE3" w:rsidTr="00A62D04"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Gumbel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64CE3">
              <w:rPr>
                <w:rFonts w:asciiTheme="minorHAnsi" w:hAnsiTheme="minorHAnsi"/>
                <w:color w:val="000000"/>
                <w:sz w:val="22"/>
                <w:szCs w:val="22"/>
              </w:rPr>
              <w:t>ML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0.50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39</w:t>
            </w:r>
          </w:p>
        </w:tc>
      </w:tr>
      <w:tr w:rsidR="00D82E33" w:rsidRPr="00E64CE3" w:rsidTr="00A62D04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82E33" w:rsidRPr="00E64CE3" w:rsidRDefault="00D82E33" w:rsidP="00A62D0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349F2" w:rsidRPr="00E64CE3" w:rsidRDefault="001349F2">
      <w:pPr>
        <w:rPr>
          <w:rFonts w:asciiTheme="minorHAnsi" w:hAnsiTheme="minorHAnsi"/>
          <w:sz w:val="22"/>
          <w:szCs w:val="22"/>
        </w:rPr>
      </w:pPr>
    </w:p>
    <w:p w:rsidR="000A40DE" w:rsidRPr="00E64CE3" w:rsidRDefault="000A40DE" w:rsidP="00AD6867">
      <w:pPr>
        <w:rPr>
          <w:rFonts w:asciiTheme="minorHAnsi" w:hAnsiTheme="minorHAnsi"/>
          <w:sz w:val="22"/>
          <w:szCs w:val="22"/>
        </w:rPr>
      </w:pPr>
    </w:p>
    <w:p w:rsidR="000A40DE" w:rsidRPr="00E64CE3" w:rsidRDefault="000A40DE" w:rsidP="00AD6867">
      <w:pPr>
        <w:rPr>
          <w:rFonts w:asciiTheme="minorHAnsi" w:hAnsiTheme="minorHAnsi"/>
          <w:sz w:val="22"/>
          <w:szCs w:val="22"/>
        </w:rPr>
      </w:pPr>
    </w:p>
    <w:sectPr w:rsidR="000A40DE" w:rsidRPr="00E64CE3" w:rsidSect="00CE3F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0F" w:rsidRDefault="0072000F" w:rsidP="00421E69">
      <w:pPr>
        <w:spacing w:line="240" w:lineRule="auto"/>
      </w:pPr>
      <w:r>
        <w:separator/>
      </w:r>
    </w:p>
  </w:endnote>
  <w:endnote w:type="continuationSeparator" w:id="0">
    <w:p w:rsidR="0072000F" w:rsidRDefault="0072000F" w:rsidP="0042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E3" w:rsidRPr="00BE00F6" w:rsidRDefault="00E64CE3">
    <w:pPr>
      <w:pStyle w:val="Footer"/>
      <w:jc w:val="center"/>
      <w:rPr>
        <w:rFonts w:asciiTheme="minorHAnsi" w:hAnsiTheme="minorHAnsi"/>
        <w:sz w:val="22"/>
        <w:szCs w:val="22"/>
      </w:rPr>
    </w:pPr>
    <w:r w:rsidRPr="00BE00F6">
      <w:rPr>
        <w:rFonts w:asciiTheme="minorHAnsi" w:hAnsiTheme="minorHAnsi"/>
        <w:sz w:val="22"/>
        <w:szCs w:val="22"/>
      </w:rPr>
      <w:t xml:space="preserve">B6 (EC) - </w:t>
    </w:r>
    <w:sdt>
      <w:sdtPr>
        <w:rPr>
          <w:rFonts w:asciiTheme="minorHAnsi" w:hAnsiTheme="minorHAnsi"/>
          <w:sz w:val="22"/>
          <w:szCs w:val="22"/>
        </w:rPr>
        <w:id w:val="-157504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E00F6">
          <w:rPr>
            <w:rFonts w:asciiTheme="minorHAnsi" w:hAnsiTheme="minorHAnsi"/>
            <w:sz w:val="22"/>
            <w:szCs w:val="22"/>
          </w:rPr>
          <w:fldChar w:fldCharType="begin"/>
        </w:r>
        <w:r w:rsidRPr="00BE00F6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E00F6">
          <w:rPr>
            <w:rFonts w:asciiTheme="minorHAnsi" w:hAnsiTheme="minorHAnsi"/>
            <w:sz w:val="22"/>
            <w:szCs w:val="22"/>
          </w:rPr>
          <w:fldChar w:fldCharType="separate"/>
        </w:r>
        <w:r w:rsidR="00034445">
          <w:rPr>
            <w:rFonts w:asciiTheme="minorHAnsi" w:hAnsiTheme="minorHAnsi"/>
            <w:noProof/>
            <w:sz w:val="22"/>
            <w:szCs w:val="22"/>
          </w:rPr>
          <w:t>1</w:t>
        </w:r>
        <w:r w:rsidRPr="00BE00F6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:rsidR="00E64CE3" w:rsidRDefault="00E64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0F" w:rsidRDefault="0072000F" w:rsidP="00421E69">
      <w:pPr>
        <w:spacing w:line="240" w:lineRule="auto"/>
      </w:pPr>
      <w:r>
        <w:separator/>
      </w:r>
    </w:p>
  </w:footnote>
  <w:footnote w:type="continuationSeparator" w:id="0">
    <w:p w:rsidR="0072000F" w:rsidRDefault="0072000F" w:rsidP="00421E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anVTVmn2QYB9n3mNzRAwMBAFvb+c+hwYP7OflgSLh22o3KspnBzA6K7f0sMaJW2dwo/bcuv3S1GRAF2OmHxq2Q==" w:salt="Kg35xdOHzXuXtVW8NU1TNQ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67"/>
    <w:rsid w:val="00000513"/>
    <w:rsid w:val="0000601A"/>
    <w:rsid w:val="0000656C"/>
    <w:rsid w:val="00007088"/>
    <w:rsid w:val="00012FD1"/>
    <w:rsid w:val="0001392E"/>
    <w:rsid w:val="00013FCE"/>
    <w:rsid w:val="00014199"/>
    <w:rsid w:val="00015751"/>
    <w:rsid w:val="000162E3"/>
    <w:rsid w:val="00016A60"/>
    <w:rsid w:val="0002062E"/>
    <w:rsid w:val="00020E53"/>
    <w:rsid w:val="00024252"/>
    <w:rsid w:val="00025CD3"/>
    <w:rsid w:val="0002655C"/>
    <w:rsid w:val="00027266"/>
    <w:rsid w:val="000274A7"/>
    <w:rsid w:val="0003098B"/>
    <w:rsid w:val="0003253E"/>
    <w:rsid w:val="00033C69"/>
    <w:rsid w:val="00034445"/>
    <w:rsid w:val="00035D7C"/>
    <w:rsid w:val="00037504"/>
    <w:rsid w:val="000376DC"/>
    <w:rsid w:val="00037B22"/>
    <w:rsid w:val="00037DE3"/>
    <w:rsid w:val="00037E86"/>
    <w:rsid w:val="00040C01"/>
    <w:rsid w:val="0004340B"/>
    <w:rsid w:val="00043691"/>
    <w:rsid w:val="00047435"/>
    <w:rsid w:val="00050BE1"/>
    <w:rsid w:val="00051DDA"/>
    <w:rsid w:val="00052381"/>
    <w:rsid w:val="00053669"/>
    <w:rsid w:val="000544A0"/>
    <w:rsid w:val="000554AD"/>
    <w:rsid w:val="00060735"/>
    <w:rsid w:val="00060962"/>
    <w:rsid w:val="000649AD"/>
    <w:rsid w:val="00070708"/>
    <w:rsid w:val="00072CCF"/>
    <w:rsid w:val="00074497"/>
    <w:rsid w:val="00077FD0"/>
    <w:rsid w:val="00080D99"/>
    <w:rsid w:val="000819D4"/>
    <w:rsid w:val="00083F0D"/>
    <w:rsid w:val="000855B8"/>
    <w:rsid w:val="00085678"/>
    <w:rsid w:val="00085A8C"/>
    <w:rsid w:val="00087FD8"/>
    <w:rsid w:val="000907C7"/>
    <w:rsid w:val="0009171A"/>
    <w:rsid w:val="0009600B"/>
    <w:rsid w:val="00097DF7"/>
    <w:rsid w:val="000A01EB"/>
    <w:rsid w:val="000A1D05"/>
    <w:rsid w:val="000A2830"/>
    <w:rsid w:val="000A399B"/>
    <w:rsid w:val="000A40DE"/>
    <w:rsid w:val="000A44C3"/>
    <w:rsid w:val="000A514F"/>
    <w:rsid w:val="000A6810"/>
    <w:rsid w:val="000A6BE4"/>
    <w:rsid w:val="000A7272"/>
    <w:rsid w:val="000B277F"/>
    <w:rsid w:val="000B2A25"/>
    <w:rsid w:val="000B36E5"/>
    <w:rsid w:val="000B686D"/>
    <w:rsid w:val="000B6985"/>
    <w:rsid w:val="000B76B4"/>
    <w:rsid w:val="000C346E"/>
    <w:rsid w:val="000C3CBD"/>
    <w:rsid w:val="000C4052"/>
    <w:rsid w:val="000C4DB5"/>
    <w:rsid w:val="000C544F"/>
    <w:rsid w:val="000C70EB"/>
    <w:rsid w:val="000C7C23"/>
    <w:rsid w:val="000D0176"/>
    <w:rsid w:val="000D783D"/>
    <w:rsid w:val="000E1F82"/>
    <w:rsid w:val="000E3709"/>
    <w:rsid w:val="000E3792"/>
    <w:rsid w:val="000E3D9B"/>
    <w:rsid w:val="000E46F1"/>
    <w:rsid w:val="000E483A"/>
    <w:rsid w:val="000E677E"/>
    <w:rsid w:val="000E7269"/>
    <w:rsid w:val="000F20B2"/>
    <w:rsid w:val="000F3FFC"/>
    <w:rsid w:val="000F4464"/>
    <w:rsid w:val="000F5947"/>
    <w:rsid w:val="000F652F"/>
    <w:rsid w:val="000F775F"/>
    <w:rsid w:val="0010029A"/>
    <w:rsid w:val="0010196D"/>
    <w:rsid w:val="001021C1"/>
    <w:rsid w:val="00103F27"/>
    <w:rsid w:val="00104620"/>
    <w:rsid w:val="00104749"/>
    <w:rsid w:val="001068EB"/>
    <w:rsid w:val="001104DC"/>
    <w:rsid w:val="00113F1E"/>
    <w:rsid w:val="0011467E"/>
    <w:rsid w:val="00115815"/>
    <w:rsid w:val="00116A44"/>
    <w:rsid w:val="00117B65"/>
    <w:rsid w:val="00120C7C"/>
    <w:rsid w:val="00122C15"/>
    <w:rsid w:val="00125397"/>
    <w:rsid w:val="001264E6"/>
    <w:rsid w:val="001273D8"/>
    <w:rsid w:val="00127CFE"/>
    <w:rsid w:val="00131B9A"/>
    <w:rsid w:val="001322B2"/>
    <w:rsid w:val="001334E2"/>
    <w:rsid w:val="00133BC9"/>
    <w:rsid w:val="001349F2"/>
    <w:rsid w:val="00134B40"/>
    <w:rsid w:val="00141DCB"/>
    <w:rsid w:val="00143BAC"/>
    <w:rsid w:val="00151AF9"/>
    <w:rsid w:val="0015225E"/>
    <w:rsid w:val="00152F5E"/>
    <w:rsid w:val="00155BE3"/>
    <w:rsid w:val="00156486"/>
    <w:rsid w:val="00160F0A"/>
    <w:rsid w:val="001613F2"/>
    <w:rsid w:val="00163BDF"/>
    <w:rsid w:val="00167A1F"/>
    <w:rsid w:val="001707AD"/>
    <w:rsid w:val="00171C9D"/>
    <w:rsid w:val="0017281E"/>
    <w:rsid w:val="00172825"/>
    <w:rsid w:val="0017291D"/>
    <w:rsid w:val="00174E50"/>
    <w:rsid w:val="00175938"/>
    <w:rsid w:val="001759DF"/>
    <w:rsid w:val="00177C4C"/>
    <w:rsid w:val="00182163"/>
    <w:rsid w:val="00182380"/>
    <w:rsid w:val="00183D62"/>
    <w:rsid w:val="0018552F"/>
    <w:rsid w:val="00190AA7"/>
    <w:rsid w:val="00190B7B"/>
    <w:rsid w:val="00190D44"/>
    <w:rsid w:val="00192957"/>
    <w:rsid w:val="00192CE2"/>
    <w:rsid w:val="00193420"/>
    <w:rsid w:val="00194214"/>
    <w:rsid w:val="001A172C"/>
    <w:rsid w:val="001A2140"/>
    <w:rsid w:val="001A2BDE"/>
    <w:rsid w:val="001A4BC6"/>
    <w:rsid w:val="001A4C43"/>
    <w:rsid w:val="001A52B2"/>
    <w:rsid w:val="001A62D7"/>
    <w:rsid w:val="001A6E2B"/>
    <w:rsid w:val="001A7430"/>
    <w:rsid w:val="001B4EE4"/>
    <w:rsid w:val="001B4F93"/>
    <w:rsid w:val="001C1736"/>
    <w:rsid w:val="001D1533"/>
    <w:rsid w:val="001D2938"/>
    <w:rsid w:val="001D5434"/>
    <w:rsid w:val="001D7669"/>
    <w:rsid w:val="001D78F4"/>
    <w:rsid w:val="001E26EE"/>
    <w:rsid w:val="001E3FBD"/>
    <w:rsid w:val="001E76AF"/>
    <w:rsid w:val="001F0A18"/>
    <w:rsid w:val="001F310B"/>
    <w:rsid w:val="001F5432"/>
    <w:rsid w:val="001F5837"/>
    <w:rsid w:val="001F5F47"/>
    <w:rsid w:val="001F7285"/>
    <w:rsid w:val="00202F18"/>
    <w:rsid w:val="002031C8"/>
    <w:rsid w:val="00205284"/>
    <w:rsid w:val="00205E1A"/>
    <w:rsid w:val="00206CA2"/>
    <w:rsid w:val="002102F3"/>
    <w:rsid w:val="0021036A"/>
    <w:rsid w:val="00213B00"/>
    <w:rsid w:val="00214AEA"/>
    <w:rsid w:val="00216AAA"/>
    <w:rsid w:val="0021792F"/>
    <w:rsid w:val="002213AC"/>
    <w:rsid w:val="00221C4C"/>
    <w:rsid w:val="00224516"/>
    <w:rsid w:val="002249EE"/>
    <w:rsid w:val="00224A48"/>
    <w:rsid w:val="00225F62"/>
    <w:rsid w:val="00227875"/>
    <w:rsid w:val="002324E5"/>
    <w:rsid w:val="00233178"/>
    <w:rsid w:val="00233CF1"/>
    <w:rsid w:val="00236ADA"/>
    <w:rsid w:val="00242FAE"/>
    <w:rsid w:val="002449E5"/>
    <w:rsid w:val="00246B76"/>
    <w:rsid w:val="00253D2E"/>
    <w:rsid w:val="002553A6"/>
    <w:rsid w:val="00255A07"/>
    <w:rsid w:val="00256E7D"/>
    <w:rsid w:val="00257623"/>
    <w:rsid w:val="002613E7"/>
    <w:rsid w:val="002619E2"/>
    <w:rsid w:val="00264E4D"/>
    <w:rsid w:val="00266F7E"/>
    <w:rsid w:val="00275236"/>
    <w:rsid w:val="00275D87"/>
    <w:rsid w:val="00275DD6"/>
    <w:rsid w:val="002761CD"/>
    <w:rsid w:val="00280960"/>
    <w:rsid w:val="002815D7"/>
    <w:rsid w:val="00281F61"/>
    <w:rsid w:val="00282771"/>
    <w:rsid w:val="00283B42"/>
    <w:rsid w:val="002849BF"/>
    <w:rsid w:val="00284B5F"/>
    <w:rsid w:val="002850AB"/>
    <w:rsid w:val="002858F6"/>
    <w:rsid w:val="002908DA"/>
    <w:rsid w:val="00291E36"/>
    <w:rsid w:val="002965CD"/>
    <w:rsid w:val="002A0122"/>
    <w:rsid w:val="002A038D"/>
    <w:rsid w:val="002A3832"/>
    <w:rsid w:val="002A4D3A"/>
    <w:rsid w:val="002A56C9"/>
    <w:rsid w:val="002B108D"/>
    <w:rsid w:val="002B3EC6"/>
    <w:rsid w:val="002B5E28"/>
    <w:rsid w:val="002B7F65"/>
    <w:rsid w:val="002C299A"/>
    <w:rsid w:val="002C42FE"/>
    <w:rsid w:val="002C7A15"/>
    <w:rsid w:val="002D1371"/>
    <w:rsid w:val="002D1CA9"/>
    <w:rsid w:val="002D52B6"/>
    <w:rsid w:val="002D5FFD"/>
    <w:rsid w:val="002E48BE"/>
    <w:rsid w:val="002E48C0"/>
    <w:rsid w:val="002E6C90"/>
    <w:rsid w:val="002F1734"/>
    <w:rsid w:val="002F3C22"/>
    <w:rsid w:val="002F601C"/>
    <w:rsid w:val="002F7F84"/>
    <w:rsid w:val="00301A88"/>
    <w:rsid w:val="0030342F"/>
    <w:rsid w:val="00303EAC"/>
    <w:rsid w:val="0030799E"/>
    <w:rsid w:val="003106CC"/>
    <w:rsid w:val="00310EDC"/>
    <w:rsid w:val="0031453A"/>
    <w:rsid w:val="003145AC"/>
    <w:rsid w:val="00316266"/>
    <w:rsid w:val="00320495"/>
    <w:rsid w:val="00320BC3"/>
    <w:rsid w:val="003216D3"/>
    <w:rsid w:val="003225BC"/>
    <w:rsid w:val="00322AB9"/>
    <w:rsid w:val="003238F8"/>
    <w:rsid w:val="00327335"/>
    <w:rsid w:val="0032754D"/>
    <w:rsid w:val="00327B68"/>
    <w:rsid w:val="00333531"/>
    <w:rsid w:val="003353CF"/>
    <w:rsid w:val="00336F76"/>
    <w:rsid w:val="00340068"/>
    <w:rsid w:val="00342179"/>
    <w:rsid w:val="00342912"/>
    <w:rsid w:val="00343718"/>
    <w:rsid w:val="00344A82"/>
    <w:rsid w:val="00345C81"/>
    <w:rsid w:val="00346007"/>
    <w:rsid w:val="00350C60"/>
    <w:rsid w:val="00355709"/>
    <w:rsid w:val="00356E7B"/>
    <w:rsid w:val="00363877"/>
    <w:rsid w:val="003662C9"/>
    <w:rsid w:val="003676CE"/>
    <w:rsid w:val="003753AF"/>
    <w:rsid w:val="00385055"/>
    <w:rsid w:val="003911F5"/>
    <w:rsid w:val="003954D9"/>
    <w:rsid w:val="00395679"/>
    <w:rsid w:val="003A01CF"/>
    <w:rsid w:val="003A2669"/>
    <w:rsid w:val="003A3143"/>
    <w:rsid w:val="003A3578"/>
    <w:rsid w:val="003A4B10"/>
    <w:rsid w:val="003A5C03"/>
    <w:rsid w:val="003A614D"/>
    <w:rsid w:val="003A74A6"/>
    <w:rsid w:val="003A7887"/>
    <w:rsid w:val="003B0B46"/>
    <w:rsid w:val="003B0C1C"/>
    <w:rsid w:val="003B2B5D"/>
    <w:rsid w:val="003C7BF8"/>
    <w:rsid w:val="003D1812"/>
    <w:rsid w:val="003E25B3"/>
    <w:rsid w:val="003F4FBA"/>
    <w:rsid w:val="003F6142"/>
    <w:rsid w:val="003F6268"/>
    <w:rsid w:val="003F6B61"/>
    <w:rsid w:val="003F6C0F"/>
    <w:rsid w:val="003F7933"/>
    <w:rsid w:val="00401DEE"/>
    <w:rsid w:val="00413D29"/>
    <w:rsid w:val="00415C70"/>
    <w:rsid w:val="00417033"/>
    <w:rsid w:val="004170AC"/>
    <w:rsid w:val="0041726D"/>
    <w:rsid w:val="00421E69"/>
    <w:rsid w:val="0042627B"/>
    <w:rsid w:val="004334B1"/>
    <w:rsid w:val="00434422"/>
    <w:rsid w:val="00436F08"/>
    <w:rsid w:val="00437127"/>
    <w:rsid w:val="00441676"/>
    <w:rsid w:val="00441AC4"/>
    <w:rsid w:val="004436C1"/>
    <w:rsid w:val="004441DC"/>
    <w:rsid w:val="00445A2A"/>
    <w:rsid w:val="004473FA"/>
    <w:rsid w:val="00447611"/>
    <w:rsid w:val="00450EA9"/>
    <w:rsid w:val="00455692"/>
    <w:rsid w:val="00456CE0"/>
    <w:rsid w:val="0046364D"/>
    <w:rsid w:val="00463D15"/>
    <w:rsid w:val="004664A2"/>
    <w:rsid w:val="004669F9"/>
    <w:rsid w:val="00472A97"/>
    <w:rsid w:val="00474AC8"/>
    <w:rsid w:val="004754C6"/>
    <w:rsid w:val="00477BB7"/>
    <w:rsid w:val="00477D9B"/>
    <w:rsid w:val="00480095"/>
    <w:rsid w:val="00480441"/>
    <w:rsid w:val="00481BF6"/>
    <w:rsid w:val="00483270"/>
    <w:rsid w:val="00484575"/>
    <w:rsid w:val="0048653A"/>
    <w:rsid w:val="00491225"/>
    <w:rsid w:val="00491B04"/>
    <w:rsid w:val="0049400C"/>
    <w:rsid w:val="004A00A5"/>
    <w:rsid w:val="004A217A"/>
    <w:rsid w:val="004A26CF"/>
    <w:rsid w:val="004A75F7"/>
    <w:rsid w:val="004A781B"/>
    <w:rsid w:val="004B0153"/>
    <w:rsid w:val="004B6ED9"/>
    <w:rsid w:val="004C1643"/>
    <w:rsid w:val="004C1B3F"/>
    <w:rsid w:val="004C32D1"/>
    <w:rsid w:val="004C33D1"/>
    <w:rsid w:val="004C3D20"/>
    <w:rsid w:val="004C632A"/>
    <w:rsid w:val="004D0210"/>
    <w:rsid w:val="004D04B8"/>
    <w:rsid w:val="004D2500"/>
    <w:rsid w:val="004D363A"/>
    <w:rsid w:val="004D3C50"/>
    <w:rsid w:val="004D5A45"/>
    <w:rsid w:val="004D6354"/>
    <w:rsid w:val="004D72A2"/>
    <w:rsid w:val="004E0120"/>
    <w:rsid w:val="004E2B54"/>
    <w:rsid w:val="004E2EC3"/>
    <w:rsid w:val="004E32E2"/>
    <w:rsid w:val="004E4F79"/>
    <w:rsid w:val="004E5247"/>
    <w:rsid w:val="004E687A"/>
    <w:rsid w:val="004E78BD"/>
    <w:rsid w:val="004F2FCB"/>
    <w:rsid w:val="004F5BAB"/>
    <w:rsid w:val="004F5C77"/>
    <w:rsid w:val="00500596"/>
    <w:rsid w:val="005103B2"/>
    <w:rsid w:val="00511218"/>
    <w:rsid w:val="00511EAC"/>
    <w:rsid w:val="0051453D"/>
    <w:rsid w:val="00515809"/>
    <w:rsid w:val="00516776"/>
    <w:rsid w:val="005245EC"/>
    <w:rsid w:val="00525C57"/>
    <w:rsid w:val="00526A81"/>
    <w:rsid w:val="0053352E"/>
    <w:rsid w:val="00533F44"/>
    <w:rsid w:val="005369C0"/>
    <w:rsid w:val="00536EC4"/>
    <w:rsid w:val="00540317"/>
    <w:rsid w:val="005419CB"/>
    <w:rsid w:val="005424A2"/>
    <w:rsid w:val="00542F4D"/>
    <w:rsid w:val="00543849"/>
    <w:rsid w:val="00545050"/>
    <w:rsid w:val="00545E30"/>
    <w:rsid w:val="00547E67"/>
    <w:rsid w:val="00550369"/>
    <w:rsid w:val="00551957"/>
    <w:rsid w:val="00552A3D"/>
    <w:rsid w:val="005556B2"/>
    <w:rsid w:val="005557B3"/>
    <w:rsid w:val="00556ADA"/>
    <w:rsid w:val="00557607"/>
    <w:rsid w:val="00560E2B"/>
    <w:rsid w:val="00562505"/>
    <w:rsid w:val="00563138"/>
    <w:rsid w:val="00563692"/>
    <w:rsid w:val="00565431"/>
    <w:rsid w:val="00570DC6"/>
    <w:rsid w:val="00571DF0"/>
    <w:rsid w:val="00572F18"/>
    <w:rsid w:val="00573419"/>
    <w:rsid w:val="00576E86"/>
    <w:rsid w:val="00585E96"/>
    <w:rsid w:val="00586672"/>
    <w:rsid w:val="00592D50"/>
    <w:rsid w:val="00594D68"/>
    <w:rsid w:val="00597BB1"/>
    <w:rsid w:val="005A61C7"/>
    <w:rsid w:val="005A6ABC"/>
    <w:rsid w:val="005B0155"/>
    <w:rsid w:val="005B2808"/>
    <w:rsid w:val="005B2A06"/>
    <w:rsid w:val="005B3D97"/>
    <w:rsid w:val="005B3FF3"/>
    <w:rsid w:val="005B4E0F"/>
    <w:rsid w:val="005B5876"/>
    <w:rsid w:val="005B6C13"/>
    <w:rsid w:val="005B70FF"/>
    <w:rsid w:val="005B7824"/>
    <w:rsid w:val="005C0581"/>
    <w:rsid w:val="005C08E9"/>
    <w:rsid w:val="005C2AB5"/>
    <w:rsid w:val="005C3FE5"/>
    <w:rsid w:val="005C4418"/>
    <w:rsid w:val="005C6A63"/>
    <w:rsid w:val="005D473B"/>
    <w:rsid w:val="005D4B7C"/>
    <w:rsid w:val="005D5219"/>
    <w:rsid w:val="005D7621"/>
    <w:rsid w:val="005E0F92"/>
    <w:rsid w:val="005E3A85"/>
    <w:rsid w:val="005E6EC4"/>
    <w:rsid w:val="005F04FA"/>
    <w:rsid w:val="005F18E6"/>
    <w:rsid w:val="005F3AC9"/>
    <w:rsid w:val="0060094D"/>
    <w:rsid w:val="00602646"/>
    <w:rsid w:val="00602C01"/>
    <w:rsid w:val="0060464B"/>
    <w:rsid w:val="00606C0D"/>
    <w:rsid w:val="00606D37"/>
    <w:rsid w:val="00613C5E"/>
    <w:rsid w:val="006149BB"/>
    <w:rsid w:val="00615879"/>
    <w:rsid w:val="00617853"/>
    <w:rsid w:val="00617FBC"/>
    <w:rsid w:val="00621402"/>
    <w:rsid w:val="00621705"/>
    <w:rsid w:val="00622022"/>
    <w:rsid w:val="006266FF"/>
    <w:rsid w:val="0063159B"/>
    <w:rsid w:val="00632223"/>
    <w:rsid w:val="00632ACD"/>
    <w:rsid w:val="006335AA"/>
    <w:rsid w:val="006365D8"/>
    <w:rsid w:val="00641D5B"/>
    <w:rsid w:val="00645545"/>
    <w:rsid w:val="00651112"/>
    <w:rsid w:val="00651445"/>
    <w:rsid w:val="006552A1"/>
    <w:rsid w:val="00655C37"/>
    <w:rsid w:val="0065650A"/>
    <w:rsid w:val="006578EA"/>
    <w:rsid w:val="00657B97"/>
    <w:rsid w:val="0066241D"/>
    <w:rsid w:val="0066359D"/>
    <w:rsid w:val="00665585"/>
    <w:rsid w:val="00672AD5"/>
    <w:rsid w:val="00673667"/>
    <w:rsid w:val="00675AE0"/>
    <w:rsid w:val="006766D3"/>
    <w:rsid w:val="00676C9A"/>
    <w:rsid w:val="00680CDE"/>
    <w:rsid w:val="0068151E"/>
    <w:rsid w:val="00682E27"/>
    <w:rsid w:val="00683C7F"/>
    <w:rsid w:val="00683F9B"/>
    <w:rsid w:val="006842A3"/>
    <w:rsid w:val="00687F4B"/>
    <w:rsid w:val="00690142"/>
    <w:rsid w:val="00690476"/>
    <w:rsid w:val="006919EA"/>
    <w:rsid w:val="006944BB"/>
    <w:rsid w:val="00694556"/>
    <w:rsid w:val="006A4024"/>
    <w:rsid w:val="006A6306"/>
    <w:rsid w:val="006A64EB"/>
    <w:rsid w:val="006A700C"/>
    <w:rsid w:val="006B202F"/>
    <w:rsid w:val="006B2630"/>
    <w:rsid w:val="006B3B8C"/>
    <w:rsid w:val="006B5D06"/>
    <w:rsid w:val="006B64CE"/>
    <w:rsid w:val="006C1AE7"/>
    <w:rsid w:val="006C4800"/>
    <w:rsid w:val="006C52F0"/>
    <w:rsid w:val="006C5C21"/>
    <w:rsid w:val="006C6851"/>
    <w:rsid w:val="006C7099"/>
    <w:rsid w:val="006C762D"/>
    <w:rsid w:val="006C7950"/>
    <w:rsid w:val="006D30A7"/>
    <w:rsid w:val="006D365A"/>
    <w:rsid w:val="006D3B0C"/>
    <w:rsid w:val="006D7BC5"/>
    <w:rsid w:val="006E4802"/>
    <w:rsid w:val="006E7A27"/>
    <w:rsid w:val="006F4D9E"/>
    <w:rsid w:val="006F785D"/>
    <w:rsid w:val="007009FB"/>
    <w:rsid w:val="00700AE0"/>
    <w:rsid w:val="007029CD"/>
    <w:rsid w:val="007035D7"/>
    <w:rsid w:val="0070461C"/>
    <w:rsid w:val="007063E8"/>
    <w:rsid w:val="007064C1"/>
    <w:rsid w:val="007075D1"/>
    <w:rsid w:val="00707BEC"/>
    <w:rsid w:val="00712110"/>
    <w:rsid w:val="00715D2B"/>
    <w:rsid w:val="007169BA"/>
    <w:rsid w:val="0072000F"/>
    <w:rsid w:val="007206B4"/>
    <w:rsid w:val="00724B2D"/>
    <w:rsid w:val="00724BAB"/>
    <w:rsid w:val="00725082"/>
    <w:rsid w:val="0073025C"/>
    <w:rsid w:val="00733226"/>
    <w:rsid w:val="00735443"/>
    <w:rsid w:val="00736648"/>
    <w:rsid w:val="00737B45"/>
    <w:rsid w:val="0074077F"/>
    <w:rsid w:val="00740EA3"/>
    <w:rsid w:val="00744528"/>
    <w:rsid w:val="00745FF0"/>
    <w:rsid w:val="00750BD1"/>
    <w:rsid w:val="00751338"/>
    <w:rsid w:val="0075484E"/>
    <w:rsid w:val="007573DA"/>
    <w:rsid w:val="007623DA"/>
    <w:rsid w:val="007633CD"/>
    <w:rsid w:val="0076345B"/>
    <w:rsid w:val="00766812"/>
    <w:rsid w:val="00770178"/>
    <w:rsid w:val="00772BD1"/>
    <w:rsid w:val="00775BCE"/>
    <w:rsid w:val="00775D98"/>
    <w:rsid w:val="00781677"/>
    <w:rsid w:val="007820CE"/>
    <w:rsid w:val="00782492"/>
    <w:rsid w:val="0078350C"/>
    <w:rsid w:val="00787BEB"/>
    <w:rsid w:val="00790473"/>
    <w:rsid w:val="007911EC"/>
    <w:rsid w:val="00792A99"/>
    <w:rsid w:val="00793FA3"/>
    <w:rsid w:val="00796840"/>
    <w:rsid w:val="00796E28"/>
    <w:rsid w:val="007973AD"/>
    <w:rsid w:val="007A3500"/>
    <w:rsid w:val="007A4F47"/>
    <w:rsid w:val="007A572B"/>
    <w:rsid w:val="007A759D"/>
    <w:rsid w:val="007B1A34"/>
    <w:rsid w:val="007B37E0"/>
    <w:rsid w:val="007B5DA8"/>
    <w:rsid w:val="007B7665"/>
    <w:rsid w:val="007B782B"/>
    <w:rsid w:val="007C0FEE"/>
    <w:rsid w:val="007C1140"/>
    <w:rsid w:val="007C2016"/>
    <w:rsid w:val="007C32AE"/>
    <w:rsid w:val="007C3495"/>
    <w:rsid w:val="007C4081"/>
    <w:rsid w:val="007D420F"/>
    <w:rsid w:val="007D5090"/>
    <w:rsid w:val="007D5648"/>
    <w:rsid w:val="007D72C6"/>
    <w:rsid w:val="007D797B"/>
    <w:rsid w:val="007E0392"/>
    <w:rsid w:val="007E1EBC"/>
    <w:rsid w:val="007E2C85"/>
    <w:rsid w:val="007E4223"/>
    <w:rsid w:val="007E54BA"/>
    <w:rsid w:val="007E7B33"/>
    <w:rsid w:val="007F3032"/>
    <w:rsid w:val="007F42BE"/>
    <w:rsid w:val="007F6218"/>
    <w:rsid w:val="008002E3"/>
    <w:rsid w:val="00800854"/>
    <w:rsid w:val="008035E6"/>
    <w:rsid w:val="008053E3"/>
    <w:rsid w:val="00814909"/>
    <w:rsid w:val="00815A34"/>
    <w:rsid w:val="008168A9"/>
    <w:rsid w:val="00816FCF"/>
    <w:rsid w:val="008215C2"/>
    <w:rsid w:val="00822F3D"/>
    <w:rsid w:val="008233ED"/>
    <w:rsid w:val="0082402B"/>
    <w:rsid w:val="00824B8E"/>
    <w:rsid w:val="00825090"/>
    <w:rsid w:val="008257D8"/>
    <w:rsid w:val="00826D54"/>
    <w:rsid w:val="00830292"/>
    <w:rsid w:val="00830C75"/>
    <w:rsid w:val="00832029"/>
    <w:rsid w:val="00834218"/>
    <w:rsid w:val="00834C8A"/>
    <w:rsid w:val="00835712"/>
    <w:rsid w:val="0083663F"/>
    <w:rsid w:val="00836C07"/>
    <w:rsid w:val="008402B7"/>
    <w:rsid w:val="00841909"/>
    <w:rsid w:val="00843BD7"/>
    <w:rsid w:val="00845172"/>
    <w:rsid w:val="008453BF"/>
    <w:rsid w:val="0084663B"/>
    <w:rsid w:val="00850284"/>
    <w:rsid w:val="00850BF5"/>
    <w:rsid w:val="00851204"/>
    <w:rsid w:val="0085356B"/>
    <w:rsid w:val="00854925"/>
    <w:rsid w:val="00856ACC"/>
    <w:rsid w:val="0085711D"/>
    <w:rsid w:val="00864AE9"/>
    <w:rsid w:val="00871381"/>
    <w:rsid w:val="00872FB0"/>
    <w:rsid w:val="00873D27"/>
    <w:rsid w:val="008756C3"/>
    <w:rsid w:val="00877E83"/>
    <w:rsid w:val="00881872"/>
    <w:rsid w:val="00882018"/>
    <w:rsid w:val="00883205"/>
    <w:rsid w:val="00883502"/>
    <w:rsid w:val="008862A7"/>
    <w:rsid w:val="0088753B"/>
    <w:rsid w:val="00890A22"/>
    <w:rsid w:val="00891672"/>
    <w:rsid w:val="008926A3"/>
    <w:rsid w:val="0089363C"/>
    <w:rsid w:val="00894892"/>
    <w:rsid w:val="00896F7C"/>
    <w:rsid w:val="008977AE"/>
    <w:rsid w:val="00897AA2"/>
    <w:rsid w:val="008A0E57"/>
    <w:rsid w:val="008A14A7"/>
    <w:rsid w:val="008A1EA9"/>
    <w:rsid w:val="008A301B"/>
    <w:rsid w:val="008A3F2A"/>
    <w:rsid w:val="008A5621"/>
    <w:rsid w:val="008A6B30"/>
    <w:rsid w:val="008A7093"/>
    <w:rsid w:val="008B0223"/>
    <w:rsid w:val="008B0B8C"/>
    <w:rsid w:val="008B29D0"/>
    <w:rsid w:val="008B2D24"/>
    <w:rsid w:val="008B4B11"/>
    <w:rsid w:val="008B4BC2"/>
    <w:rsid w:val="008B4C21"/>
    <w:rsid w:val="008B5512"/>
    <w:rsid w:val="008B6B1A"/>
    <w:rsid w:val="008C1BFF"/>
    <w:rsid w:val="008C20AD"/>
    <w:rsid w:val="008C47EF"/>
    <w:rsid w:val="008D062C"/>
    <w:rsid w:val="008D0AE6"/>
    <w:rsid w:val="008D1551"/>
    <w:rsid w:val="008D1DCC"/>
    <w:rsid w:val="008D2D33"/>
    <w:rsid w:val="008D3D3B"/>
    <w:rsid w:val="008D5A7A"/>
    <w:rsid w:val="008D65F7"/>
    <w:rsid w:val="008D797E"/>
    <w:rsid w:val="008E2898"/>
    <w:rsid w:val="008E4AE4"/>
    <w:rsid w:val="008E557B"/>
    <w:rsid w:val="008F0927"/>
    <w:rsid w:val="008F3FD0"/>
    <w:rsid w:val="008F4A98"/>
    <w:rsid w:val="008F4E2D"/>
    <w:rsid w:val="008F579E"/>
    <w:rsid w:val="008F689F"/>
    <w:rsid w:val="008F692E"/>
    <w:rsid w:val="008F7D9F"/>
    <w:rsid w:val="00900A73"/>
    <w:rsid w:val="00901B9F"/>
    <w:rsid w:val="00902192"/>
    <w:rsid w:val="00903EA3"/>
    <w:rsid w:val="00904583"/>
    <w:rsid w:val="00905CFF"/>
    <w:rsid w:val="0090707A"/>
    <w:rsid w:val="009073A3"/>
    <w:rsid w:val="0091089F"/>
    <w:rsid w:val="00910A85"/>
    <w:rsid w:val="00912519"/>
    <w:rsid w:val="00914E88"/>
    <w:rsid w:val="009206C7"/>
    <w:rsid w:val="00920DFF"/>
    <w:rsid w:val="009226A3"/>
    <w:rsid w:val="00931D29"/>
    <w:rsid w:val="00933EBC"/>
    <w:rsid w:val="009351F6"/>
    <w:rsid w:val="00937D85"/>
    <w:rsid w:val="00941AF6"/>
    <w:rsid w:val="00942FD0"/>
    <w:rsid w:val="009464DB"/>
    <w:rsid w:val="00952541"/>
    <w:rsid w:val="00952D8C"/>
    <w:rsid w:val="009532A2"/>
    <w:rsid w:val="00953BE4"/>
    <w:rsid w:val="009566C8"/>
    <w:rsid w:val="0095723D"/>
    <w:rsid w:val="0095777F"/>
    <w:rsid w:val="009613C5"/>
    <w:rsid w:val="009630D8"/>
    <w:rsid w:val="0096322C"/>
    <w:rsid w:val="00967F05"/>
    <w:rsid w:val="00970290"/>
    <w:rsid w:val="00970872"/>
    <w:rsid w:val="00971138"/>
    <w:rsid w:val="0097165B"/>
    <w:rsid w:val="00971FBB"/>
    <w:rsid w:val="0097487D"/>
    <w:rsid w:val="00974C38"/>
    <w:rsid w:val="0098098A"/>
    <w:rsid w:val="00980AE1"/>
    <w:rsid w:val="009826F1"/>
    <w:rsid w:val="00983D7C"/>
    <w:rsid w:val="009850BC"/>
    <w:rsid w:val="009871C2"/>
    <w:rsid w:val="0098792E"/>
    <w:rsid w:val="00991CB4"/>
    <w:rsid w:val="00993EB4"/>
    <w:rsid w:val="00995AE8"/>
    <w:rsid w:val="00995F90"/>
    <w:rsid w:val="00996855"/>
    <w:rsid w:val="00997FDB"/>
    <w:rsid w:val="009A167D"/>
    <w:rsid w:val="009A1A88"/>
    <w:rsid w:val="009A33F2"/>
    <w:rsid w:val="009A470E"/>
    <w:rsid w:val="009A4A2A"/>
    <w:rsid w:val="009B2044"/>
    <w:rsid w:val="009B26D7"/>
    <w:rsid w:val="009B2741"/>
    <w:rsid w:val="009B4304"/>
    <w:rsid w:val="009B4356"/>
    <w:rsid w:val="009C1238"/>
    <w:rsid w:val="009C2992"/>
    <w:rsid w:val="009C7383"/>
    <w:rsid w:val="009D1C94"/>
    <w:rsid w:val="009D2203"/>
    <w:rsid w:val="009D23C9"/>
    <w:rsid w:val="009D2409"/>
    <w:rsid w:val="009D3F13"/>
    <w:rsid w:val="009D4C92"/>
    <w:rsid w:val="009E06F8"/>
    <w:rsid w:val="009E1128"/>
    <w:rsid w:val="009E1C55"/>
    <w:rsid w:val="009E249E"/>
    <w:rsid w:val="009E2AA1"/>
    <w:rsid w:val="009E5C62"/>
    <w:rsid w:val="009E6610"/>
    <w:rsid w:val="009F1BFA"/>
    <w:rsid w:val="009F1FAE"/>
    <w:rsid w:val="009F26DD"/>
    <w:rsid w:val="00A012DF"/>
    <w:rsid w:val="00A02CC3"/>
    <w:rsid w:val="00A02F49"/>
    <w:rsid w:val="00A04338"/>
    <w:rsid w:val="00A04C3C"/>
    <w:rsid w:val="00A07A51"/>
    <w:rsid w:val="00A11840"/>
    <w:rsid w:val="00A15792"/>
    <w:rsid w:val="00A200E0"/>
    <w:rsid w:val="00A20876"/>
    <w:rsid w:val="00A21511"/>
    <w:rsid w:val="00A22CAA"/>
    <w:rsid w:val="00A236B5"/>
    <w:rsid w:val="00A34597"/>
    <w:rsid w:val="00A3723D"/>
    <w:rsid w:val="00A416B3"/>
    <w:rsid w:val="00A46199"/>
    <w:rsid w:val="00A52AD4"/>
    <w:rsid w:val="00A54258"/>
    <w:rsid w:val="00A54D36"/>
    <w:rsid w:val="00A57E09"/>
    <w:rsid w:val="00A60F59"/>
    <w:rsid w:val="00A61B11"/>
    <w:rsid w:val="00A62B52"/>
    <w:rsid w:val="00A63222"/>
    <w:rsid w:val="00A63AD7"/>
    <w:rsid w:val="00A67640"/>
    <w:rsid w:val="00A67A34"/>
    <w:rsid w:val="00A70BA5"/>
    <w:rsid w:val="00A70D44"/>
    <w:rsid w:val="00A75E46"/>
    <w:rsid w:val="00A80BDA"/>
    <w:rsid w:val="00A8125D"/>
    <w:rsid w:val="00A851CE"/>
    <w:rsid w:val="00A86084"/>
    <w:rsid w:val="00A86EC8"/>
    <w:rsid w:val="00A9089A"/>
    <w:rsid w:val="00A91681"/>
    <w:rsid w:val="00A919A3"/>
    <w:rsid w:val="00A92627"/>
    <w:rsid w:val="00A92708"/>
    <w:rsid w:val="00AA1674"/>
    <w:rsid w:val="00AA45A6"/>
    <w:rsid w:val="00AA7054"/>
    <w:rsid w:val="00AA7437"/>
    <w:rsid w:val="00AA7E1A"/>
    <w:rsid w:val="00AB045D"/>
    <w:rsid w:val="00AB0885"/>
    <w:rsid w:val="00AB0E59"/>
    <w:rsid w:val="00AB364A"/>
    <w:rsid w:val="00AB52FC"/>
    <w:rsid w:val="00AB77DF"/>
    <w:rsid w:val="00AC59E2"/>
    <w:rsid w:val="00AC5FD2"/>
    <w:rsid w:val="00AD0BEB"/>
    <w:rsid w:val="00AD2015"/>
    <w:rsid w:val="00AD3F3D"/>
    <w:rsid w:val="00AD4100"/>
    <w:rsid w:val="00AD6867"/>
    <w:rsid w:val="00AD7FEF"/>
    <w:rsid w:val="00AE003D"/>
    <w:rsid w:val="00AE0443"/>
    <w:rsid w:val="00AE212F"/>
    <w:rsid w:val="00AE30C9"/>
    <w:rsid w:val="00AE4DA0"/>
    <w:rsid w:val="00AE4E58"/>
    <w:rsid w:val="00AF231A"/>
    <w:rsid w:val="00AF24F0"/>
    <w:rsid w:val="00AF3187"/>
    <w:rsid w:val="00AF62C9"/>
    <w:rsid w:val="00AF69AE"/>
    <w:rsid w:val="00B0308B"/>
    <w:rsid w:val="00B038A4"/>
    <w:rsid w:val="00B04628"/>
    <w:rsid w:val="00B05E96"/>
    <w:rsid w:val="00B06158"/>
    <w:rsid w:val="00B0687A"/>
    <w:rsid w:val="00B079B8"/>
    <w:rsid w:val="00B11D82"/>
    <w:rsid w:val="00B12789"/>
    <w:rsid w:val="00B149DE"/>
    <w:rsid w:val="00B157BD"/>
    <w:rsid w:val="00B17D54"/>
    <w:rsid w:val="00B2053D"/>
    <w:rsid w:val="00B223E7"/>
    <w:rsid w:val="00B22B16"/>
    <w:rsid w:val="00B2747A"/>
    <w:rsid w:val="00B30C96"/>
    <w:rsid w:val="00B376DF"/>
    <w:rsid w:val="00B41626"/>
    <w:rsid w:val="00B42B5B"/>
    <w:rsid w:val="00B44B7F"/>
    <w:rsid w:val="00B45D89"/>
    <w:rsid w:val="00B46385"/>
    <w:rsid w:val="00B51072"/>
    <w:rsid w:val="00B53C80"/>
    <w:rsid w:val="00B53E8D"/>
    <w:rsid w:val="00B54514"/>
    <w:rsid w:val="00B54FED"/>
    <w:rsid w:val="00B56C5D"/>
    <w:rsid w:val="00B613A7"/>
    <w:rsid w:val="00B61FAE"/>
    <w:rsid w:val="00B62317"/>
    <w:rsid w:val="00B62BB0"/>
    <w:rsid w:val="00B65B13"/>
    <w:rsid w:val="00B66FC7"/>
    <w:rsid w:val="00B7268C"/>
    <w:rsid w:val="00B72F8B"/>
    <w:rsid w:val="00B7445E"/>
    <w:rsid w:val="00B747C5"/>
    <w:rsid w:val="00B74821"/>
    <w:rsid w:val="00B7526E"/>
    <w:rsid w:val="00B75EE3"/>
    <w:rsid w:val="00B77052"/>
    <w:rsid w:val="00B77F35"/>
    <w:rsid w:val="00B80DE3"/>
    <w:rsid w:val="00B81E4D"/>
    <w:rsid w:val="00B85150"/>
    <w:rsid w:val="00B870EB"/>
    <w:rsid w:val="00B92516"/>
    <w:rsid w:val="00B92769"/>
    <w:rsid w:val="00B932AD"/>
    <w:rsid w:val="00B94208"/>
    <w:rsid w:val="00B95114"/>
    <w:rsid w:val="00B955F4"/>
    <w:rsid w:val="00B95864"/>
    <w:rsid w:val="00B97177"/>
    <w:rsid w:val="00B97553"/>
    <w:rsid w:val="00BA1172"/>
    <w:rsid w:val="00BA3B00"/>
    <w:rsid w:val="00BA3CA6"/>
    <w:rsid w:val="00BB052E"/>
    <w:rsid w:val="00BB098A"/>
    <w:rsid w:val="00BB1C86"/>
    <w:rsid w:val="00BB4910"/>
    <w:rsid w:val="00BB4D32"/>
    <w:rsid w:val="00BB5C76"/>
    <w:rsid w:val="00BB6831"/>
    <w:rsid w:val="00BC053C"/>
    <w:rsid w:val="00BC5380"/>
    <w:rsid w:val="00BC569F"/>
    <w:rsid w:val="00BC5BBF"/>
    <w:rsid w:val="00BD006D"/>
    <w:rsid w:val="00BD0074"/>
    <w:rsid w:val="00BD0994"/>
    <w:rsid w:val="00BD1D1B"/>
    <w:rsid w:val="00BD2FAC"/>
    <w:rsid w:val="00BD5E15"/>
    <w:rsid w:val="00BD6801"/>
    <w:rsid w:val="00BD7E13"/>
    <w:rsid w:val="00BE00F6"/>
    <w:rsid w:val="00BE08DC"/>
    <w:rsid w:val="00BE10EA"/>
    <w:rsid w:val="00BE29D3"/>
    <w:rsid w:val="00BF0E8C"/>
    <w:rsid w:val="00BF33C0"/>
    <w:rsid w:val="00BF473B"/>
    <w:rsid w:val="00BF487B"/>
    <w:rsid w:val="00BF49CE"/>
    <w:rsid w:val="00BF6B53"/>
    <w:rsid w:val="00C002EF"/>
    <w:rsid w:val="00C00ABD"/>
    <w:rsid w:val="00C01193"/>
    <w:rsid w:val="00C03117"/>
    <w:rsid w:val="00C03595"/>
    <w:rsid w:val="00C06148"/>
    <w:rsid w:val="00C0666A"/>
    <w:rsid w:val="00C102D7"/>
    <w:rsid w:val="00C11A96"/>
    <w:rsid w:val="00C1208E"/>
    <w:rsid w:val="00C1214B"/>
    <w:rsid w:val="00C1329C"/>
    <w:rsid w:val="00C15D2A"/>
    <w:rsid w:val="00C20194"/>
    <w:rsid w:val="00C206BC"/>
    <w:rsid w:val="00C20DF3"/>
    <w:rsid w:val="00C21452"/>
    <w:rsid w:val="00C21A0D"/>
    <w:rsid w:val="00C21A50"/>
    <w:rsid w:val="00C304E2"/>
    <w:rsid w:val="00C30978"/>
    <w:rsid w:val="00C315AA"/>
    <w:rsid w:val="00C32E64"/>
    <w:rsid w:val="00C33039"/>
    <w:rsid w:val="00C33167"/>
    <w:rsid w:val="00C36876"/>
    <w:rsid w:val="00C4075F"/>
    <w:rsid w:val="00C40E2C"/>
    <w:rsid w:val="00C41DF9"/>
    <w:rsid w:val="00C42AA6"/>
    <w:rsid w:val="00C457D5"/>
    <w:rsid w:val="00C45DC6"/>
    <w:rsid w:val="00C53299"/>
    <w:rsid w:val="00C53807"/>
    <w:rsid w:val="00C543D2"/>
    <w:rsid w:val="00C564B0"/>
    <w:rsid w:val="00C577F1"/>
    <w:rsid w:val="00C57CA8"/>
    <w:rsid w:val="00C60C33"/>
    <w:rsid w:val="00C62E63"/>
    <w:rsid w:val="00C63AC5"/>
    <w:rsid w:val="00C6408E"/>
    <w:rsid w:val="00C65801"/>
    <w:rsid w:val="00C6685B"/>
    <w:rsid w:val="00C701E2"/>
    <w:rsid w:val="00C721F8"/>
    <w:rsid w:val="00C7420F"/>
    <w:rsid w:val="00C76749"/>
    <w:rsid w:val="00C83793"/>
    <w:rsid w:val="00C83F9C"/>
    <w:rsid w:val="00C872ED"/>
    <w:rsid w:val="00C873E3"/>
    <w:rsid w:val="00C87F2E"/>
    <w:rsid w:val="00C92F04"/>
    <w:rsid w:val="00C93DB5"/>
    <w:rsid w:val="00C949AE"/>
    <w:rsid w:val="00C9521B"/>
    <w:rsid w:val="00C95F28"/>
    <w:rsid w:val="00C95FE7"/>
    <w:rsid w:val="00C968A4"/>
    <w:rsid w:val="00C977CE"/>
    <w:rsid w:val="00CA27FD"/>
    <w:rsid w:val="00CA3FDF"/>
    <w:rsid w:val="00CA5868"/>
    <w:rsid w:val="00CA7290"/>
    <w:rsid w:val="00CB0A14"/>
    <w:rsid w:val="00CB3106"/>
    <w:rsid w:val="00CB3CD6"/>
    <w:rsid w:val="00CB4689"/>
    <w:rsid w:val="00CB4A38"/>
    <w:rsid w:val="00CB6D13"/>
    <w:rsid w:val="00CC2D9F"/>
    <w:rsid w:val="00CC348C"/>
    <w:rsid w:val="00CC3642"/>
    <w:rsid w:val="00CC532A"/>
    <w:rsid w:val="00CC5CEA"/>
    <w:rsid w:val="00CD1AA4"/>
    <w:rsid w:val="00CD1F6B"/>
    <w:rsid w:val="00CD3031"/>
    <w:rsid w:val="00CD6BF6"/>
    <w:rsid w:val="00CE0F7C"/>
    <w:rsid w:val="00CE173B"/>
    <w:rsid w:val="00CE256F"/>
    <w:rsid w:val="00CE3EC1"/>
    <w:rsid w:val="00CE3FFB"/>
    <w:rsid w:val="00CE474C"/>
    <w:rsid w:val="00CE6831"/>
    <w:rsid w:val="00CE6853"/>
    <w:rsid w:val="00CE79A5"/>
    <w:rsid w:val="00CF0655"/>
    <w:rsid w:val="00CF2A81"/>
    <w:rsid w:val="00CF531A"/>
    <w:rsid w:val="00CF6279"/>
    <w:rsid w:val="00D00B2B"/>
    <w:rsid w:val="00D00D74"/>
    <w:rsid w:val="00D013FB"/>
    <w:rsid w:val="00D01826"/>
    <w:rsid w:val="00D03BD2"/>
    <w:rsid w:val="00D05158"/>
    <w:rsid w:val="00D05B5F"/>
    <w:rsid w:val="00D062AC"/>
    <w:rsid w:val="00D108EA"/>
    <w:rsid w:val="00D152B3"/>
    <w:rsid w:val="00D15DF3"/>
    <w:rsid w:val="00D16896"/>
    <w:rsid w:val="00D169BA"/>
    <w:rsid w:val="00D20F07"/>
    <w:rsid w:val="00D22ACF"/>
    <w:rsid w:val="00D2411C"/>
    <w:rsid w:val="00D24E0F"/>
    <w:rsid w:val="00D25114"/>
    <w:rsid w:val="00D30B62"/>
    <w:rsid w:val="00D359A2"/>
    <w:rsid w:val="00D4154C"/>
    <w:rsid w:val="00D43DA1"/>
    <w:rsid w:val="00D45968"/>
    <w:rsid w:val="00D56451"/>
    <w:rsid w:val="00D6243B"/>
    <w:rsid w:val="00D67ECD"/>
    <w:rsid w:val="00D736A4"/>
    <w:rsid w:val="00D80DD1"/>
    <w:rsid w:val="00D80F8E"/>
    <w:rsid w:val="00D82E33"/>
    <w:rsid w:val="00D8363D"/>
    <w:rsid w:val="00D87A2B"/>
    <w:rsid w:val="00D94274"/>
    <w:rsid w:val="00D94C57"/>
    <w:rsid w:val="00D94D04"/>
    <w:rsid w:val="00D95173"/>
    <w:rsid w:val="00D951F7"/>
    <w:rsid w:val="00D95B81"/>
    <w:rsid w:val="00DA1AF2"/>
    <w:rsid w:val="00DA7560"/>
    <w:rsid w:val="00DA7BC4"/>
    <w:rsid w:val="00DB0A40"/>
    <w:rsid w:val="00DB1C7C"/>
    <w:rsid w:val="00DB4A47"/>
    <w:rsid w:val="00DB5FC1"/>
    <w:rsid w:val="00DB6625"/>
    <w:rsid w:val="00DC3B46"/>
    <w:rsid w:val="00DC43D2"/>
    <w:rsid w:val="00DC5117"/>
    <w:rsid w:val="00DD0058"/>
    <w:rsid w:val="00DD2D16"/>
    <w:rsid w:val="00DD5D2F"/>
    <w:rsid w:val="00DD6495"/>
    <w:rsid w:val="00DD6B64"/>
    <w:rsid w:val="00DD6ED2"/>
    <w:rsid w:val="00DE22B0"/>
    <w:rsid w:val="00DE2A6C"/>
    <w:rsid w:val="00DE3202"/>
    <w:rsid w:val="00DE4009"/>
    <w:rsid w:val="00DE4FE3"/>
    <w:rsid w:val="00DF2241"/>
    <w:rsid w:val="00DF2EF9"/>
    <w:rsid w:val="00DF64FB"/>
    <w:rsid w:val="00E00E8B"/>
    <w:rsid w:val="00E03351"/>
    <w:rsid w:val="00E03DE8"/>
    <w:rsid w:val="00E0552E"/>
    <w:rsid w:val="00E05F54"/>
    <w:rsid w:val="00E075AE"/>
    <w:rsid w:val="00E0763A"/>
    <w:rsid w:val="00E07A74"/>
    <w:rsid w:val="00E11776"/>
    <w:rsid w:val="00E13E10"/>
    <w:rsid w:val="00E146BF"/>
    <w:rsid w:val="00E20CAD"/>
    <w:rsid w:val="00E20FB5"/>
    <w:rsid w:val="00E220C2"/>
    <w:rsid w:val="00E22737"/>
    <w:rsid w:val="00E235F0"/>
    <w:rsid w:val="00E2596B"/>
    <w:rsid w:val="00E27B4B"/>
    <w:rsid w:val="00E30181"/>
    <w:rsid w:val="00E32E5D"/>
    <w:rsid w:val="00E3359A"/>
    <w:rsid w:val="00E33AB5"/>
    <w:rsid w:val="00E35B7C"/>
    <w:rsid w:val="00E36FA6"/>
    <w:rsid w:val="00E4095F"/>
    <w:rsid w:val="00E415AD"/>
    <w:rsid w:val="00E41ACC"/>
    <w:rsid w:val="00E420F9"/>
    <w:rsid w:val="00E42718"/>
    <w:rsid w:val="00E4285C"/>
    <w:rsid w:val="00E44C07"/>
    <w:rsid w:val="00E50A39"/>
    <w:rsid w:val="00E537C3"/>
    <w:rsid w:val="00E53FA2"/>
    <w:rsid w:val="00E54498"/>
    <w:rsid w:val="00E565ED"/>
    <w:rsid w:val="00E5717A"/>
    <w:rsid w:val="00E63A0A"/>
    <w:rsid w:val="00E64CE3"/>
    <w:rsid w:val="00E703A5"/>
    <w:rsid w:val="00E7158D"/>
    <w:rsid w:val="00E71FCB"/>
    <w:rsid w:val="00E72C73"/>
    <w:rsid w:val="00E72F1E"/>
    <w:rsid w:val="00E73997"/>
    <w:rsid w:val="00E74073"/>
    <w:rsid w:val="00E7521C"/>
    <w:rsid w:val="00E75F2A"/>
    <w:rsid w:val="00E76032"/>
    <w:rsid w:val="00E76C09"/>
    <w:rsid w:val="00E774C2"/>
    <w:rsid w:val="00E77907"/>
    <w:rsid w:val="00E834E9"/>
    <w:rsid w:val="00E83D92"/>
    <w:rsid w:val="00E86392"/>
    <w:rsid w:val="00E92116"/>
    <w:rsid w:val="00E93719"/>
    <w:rsid w:val="00E94C8C"/>
    <w:rsid w:val="00E961A1"/>
    <w:rsid w:val="00EA46A9"/>
    <w:rsid w:val="00EA4F94"/>
    <w:rsid w:val="00EA747B"/>
    <w:rsid w:val="00EA7919"/>
    <w:rsid w:val="00EB0791"/>
    <w:rsid w:val="00EB07C4"/>
    <w:rsid w:val="00EB388D"/>
    <w:rsid w:val="00EB3CCB"/>
    <w:rsid w:val="00EB4A67"/>
    <w:rsid w:val="00EC0186"/>
    <w:rsid w:val="00EC05D5"/>
    <w:rsid w:val="00EC0BF6"/>
    <w:rsid w:val="00EC19DA"/>
    <w:rsid w:val="00EC7109"/>
    <w:rsid w:val="00EC7C76"/>
    <w:rsid w:val="00ED22EA"/>
    <w:rsid w:val="00ED29A4"/>
    <w:rsid w:val="00ED36A7"/>
    <w:rsid w:val="00ED4012"/>
    <w:rsid w:val="00ED4690"/>
    <w:rsid w:val="00ED4EE9"/>
    <w:rsid w:val="00ED540F"/>
    <w:rsid w:val="00ED7700"/>
    <w:rsid w:val="00EE58F5"/>
    <w:rsid w:val="00EE6FAF"/>
    <w:rsid w:val="00EE7B94"/>
    <w:rsid w:val="00EF071F"/>
    <w:rsid w:val="00EF1B0C"/>
    <w:rsid w:val="00EF21F1"/>
    <w:rsid w:val="00EF25C4"/>
    <w:rsid w:val="00EF425C"/>
    <w:rsid w:val="00EF505B"/>
    <w:rsid w:val="00EF66C6"/>
    <w:rsid w:val="00EF6841"/>
    <w:rsid w:val="00EF6B61"/>
    <w:rsid w:val="00F007CF"/>
    <w:rsid w:val="00F02A1A"/>
    <w:rsid w:val="00F03A15"/>
    <w:rsid w:val="00F04BC2"/>
    <w:rsid w:val="00F06784"/>
    <w:rsid w:val="00F07CDC"/>
    <w:rsid w:val="00F1036D"/>
    <w:rsid w:val="00F126E1"/>
    <w:rsid w:val="00F157F3"/>
    <w:rsid w:val="00F15A20"/>
    <w:rsid w:val="00F1627E"/>
    <w:rsid w:val="00F16BE9"/>
    <w:rsid w:val="00F17108"/>
    <w:rsid w:val="00F20282"/>
    <w:rsid w:val="00F20797"/>
    <w:rsid w:val="00F20BC5"/>
    <w:rsid w:val="00F21792"/>
    <w:rsid w:val="00F229A9"/>
    <w:rsid w:val="00F240E8"/>
    <w:rsid w:val="00F30497"/>
    <w:rsid w:val="00F32ACB"/>
    <w:rsid w:val="00F36EC5"/>
    <w:rsid w:val="00F3729C"/>
    <w:rsid w:val="00F378CF"/>
    <w:rsid w:val="00F408CD"/>
    <w:rsid w:val="00F41944"/>
    <w:rsid w:val="00F45AB6"/>
    <w:rsid w:val="00F45EF9"/>
    <w:rsid w:val="00F45F76"/>
    <w:rsid w:val="00F4771F"/>
    <w:rsid w:val="00F5088B"/>
    <w:rsid w:val="00F50C46"/>
    <w:rsid w:val="00F525D5"/>
    <w:rsid w:val="00F55262"/>
    <w:rsid w:val="00F55828"/>
    <w:rsid w:val="00F55931"/>
    <w:rsid w:val="00F628E1"/>
    <w:rsid w:val="00F67E54"/>
    <w:rsid w:val="00F71E4A"/>
    <w:rsid w:val="00F72E28"/>
    <w:rsid w:val="00F77C1C"/>
    <w:rsid w:val="00F8237A"/>
    <w:rsid w:val="00F83C2E"/>
    <w:rsid w:val="00F859A3"/>
    <w:rsid w:val="00F86411"/>
    <w:rsid w:val="00F86AE9"/>
    <w:rsid w:val="00F92C5D"/>
    <w:rsid w:val="00F92CC7"/>
    <w:rsid w:val="00F945A7"/>
    <w:rsid w:val="00F95E4D"/>
    <w:rsid w:val="00F96875"/>
    <w:rsid w:val="00FA5986"/>
    <w:rsid w:val="00FA602D"/>
    <w:rsid w:val="00FA60ED"/>
    <w:rsid w:val="00FA689C"/>
    <w:rsid w:val="00FB0E7E"/>
    <w:rsid w:val="00FB1600"/>
    <w:rsid w:val="00FB6941"/>
    <w:rsid w:val="00FC0942"/>
    <w:rsid w:val="00FC6513"/>
    <w:rsid w:val="00FD0E47"/>
    <w:rsid w:val="00FD15E1"/>
    <w:rsid w:val="00FD3DD0"/>
    <w:rsid w:val="00FD5E21"/>
    <w:rsid w:val="00FE197E"/>
    <w:rsid w:val="00FE3166"/>
    <w:rsid w:val="00FE3523"/>
    <w:rsid w:val="00FE4EB2"/>
    <w:rsid w:val="00FE7D50"/>
    <w:rsid w:val="00FF36C2"/>
    <w:rsid w:val="00FF453D"/>
    <w:rsid w:val="00FF5EFE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EFBE"/>
  <w15:docId w15:val="{70A7A6CC-615C-4536-BEAB-5883092B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3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A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E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69"/>
  </w:style>
  <w:style w:type="paragraph" w:styleId="Footer">
    <w:name w:val="footer"/>
    <w:basedOn w:val="Normal"/>
    <w:link w:val="FooterChar"/>
    <w:uiPriority w:val="99"/>
    <w:unhideWhenUsed/>
    <w:rsid w:val="00421E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69"/>
  </w:style>
  <w:style w:type="character" w:styleId="CommentReference">
    <w:name w:val="annotation reference"/>
    <w:basedOn w:val="DefaultParagraphFont"/>
    <w:uiPriority w:val="99"/>
    <w:semiHidden/>
    <w:unhideWhenUsed/>
    <w:rsid w:val="002C4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1043</Words>
  <Characters>5951</Characters>
  <Application>Microsoft Office Word</Application>
  <DocSecurity>6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Etterson, Matthew</dc:creator>
  <cp:keywords/>
  <dc:description/>
  <cp:lastModifiedBy>Donovan, Elizabeth</cp:lastModifiedBy>
  <cp:revision>3</cp:revision>
  <cp:lastPrinted>2014-07-08T21:40:00Z</cp:lastPrinted>
  <dcterms:created xsi:type="dcterms:W3CDTF">2017-01-10T14:09:00Z</dcterms:created>
  <dcterms:modified xsi:type="dcterms:W3CDTF">2017-01-11T14:29:00Z</dcterms:modified>
</cp:coreProperties>
</file>