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6824" w14:textId="0832B09F" w:rsidR="00307537" w:rsidRPr="008B1A6C" w:rsidRDefault="00D90338" w:rsidP="00307537">
      <w:pPr>
        <w:rPr>
          <w:b/>
          <w:color w:val="44546A" w:themeColor="text2"/>
          <w:sz w:val="32"/>
          <w:szCs w:val="32"/>
        </w:rPr>
      </w:pPr>
      <w:r w:rsidRPr="008B1A6C">
        <w:rPr>
          <w:b/>
          <w:color w:val="4472C4" w:themeColor="accent1"/>
          <w:sz w:val="32"/>
          <w:szCs w:val="32"/>
        </w:rPr>
        <w:t>Imidacloprid</w:t>
      </w:r>
      <w:r w:rsidR="00307537" w:rsidRPr="008B1A6C">
        <w:rPr>
          <w:b/>
          <w:color w:val="4472C4" w:themeColor="accent1"/>
          <w:sz w:val="32"/>
          <w:szCs w:val="32"/>
        </w:rPr>
        <w:t xml:space="preserve"> Executive Summary for Biological Evaluation</w:t>
      </w:r>
    </w:p>
    <w:p w14:paraId="37C7FC94" w14:textId="77777777" w:rsidR="00307537" w:rsidRDefault="00307537" w:rsidP="00307537"/>
    <w:p w14:paraId="02C9512B" w14:textId="697D2759" w:rsidR="00A64A27" w:rsidRDefault="2722DE76" w:rsidP="00307537">
      <w:r>
        <w:t xml:space="preserve">A biological evaluation (BE) is a generic term for an analysis that a federal agency conducts when it </w:t>
      </w:r>
      <w:proofErr w:type="gramStart"/>
      <w:r>
        <w:t>takes action</w:t>
      </w:r>
      <w:proofErr w:type="gramEnd"/>
      <w:r>
        <w:t xml:space="preserve"> subject to review under the Endangered Species Ac</w:t>
      </w:r>
      <w:r w:rsidR="41BA7F1C">
        <w:t xml:space="preserve">t (ESA). </w:t>
      </w:r>
      <w:r w:rsidR="566F971E">
        <w:t xml:space="preserve">EPA prepares </w:t>
      </w:r>
      <w:r w:rsidR="3DEC0BC3">
        <w:t xml:space="preserve">a </w:t>
      </w:r>
      <w:r w:rsidR="566F971E">
        <w:t>BE to evaluate the potential effects of an agency</w:t>
      </w:r>
      <w:r w:rsidR="00A01120">
        <w:t>’s</w:t>
      </w:r>
      <w:r w:rsidR="566F971E">
        <w:t xml:space="preserve"> action (here</w:t>
      </w:r>
      <w:r w:rsidR="00A01120">
        <w:t>,</w:t>
      </w:r>
      <w:r w:rsidR="00307537">
        <w:t xml:space="preserve"> registered uses of imidacloprid (PC code 129099)</w:t>
      </w:r>
      <w:r w:rsidR="39C89594">
        <w:t xml:space="preserve">) on </w:t>
      </w:r>
      <w:r w:rsidR="00A01120">
        <w:t xml:space="preserve">federally threatened and endangered </w:t>
      </w:r>
      <w:r w:rsidR="39C89594">
        <w:t xml:space="preserve">species and designated critical habitat. </w:t>
      </w:r>
      <w:r w:rsidR="18B9C5E4">
        <w:t>This BE</w:t>
      </w:r>
      <w:r w:rsidR="00307537">
        <w:t xml:space="preserve"> </w:t>
      </w:r>
      <w:proofErr w:type="gramStart"/>
      <w:r w:rsidR="00307537">
        <w:t>encompasses</w:t>
      </w:r>
      <w:proofErr w:type="gramEnd"/>
      <w:r w:rsidR="00307537">
        <w:t xml:space="preserve"> the review of all the registered uses and the approved product labels for all pesticide products containing </w:t>
      </w:r>
      <w:r w:rsidR="00FF5475">
        <w:t>imidacloprid</w:t>
      </w:r>
      <w:r w:rsidR="00307537">
        <w:t>.</w:t>
      </w:r>
      <w:r w:rsidR="7AEA847B">
        <w:t xml:space="preserve"> </w:t>
      </w:r>
    </w:p>
    <w:p w14:paraId="6D9668A1" w14:textId="77777777" w:rsidR="00307537" w:rsidRDefault="00307537" w:rsidP="00307537"/>
    <w:p w14:paraId="713A4A8B" w14:textId="3A58C653" w:rsidR="00307537" w:rsidRDefault="3381CD22" w:rsidP="00D957E6">
      <w:pPr>
        <w:rPr>
          <w:rFonts w:eastAsiaTheme="minorEastAsia"/>
        </w:rPr>
      </w:pPr>
      <w:r>
        <w:rPr>
          <w:rStyle w:val="eop"/>
        </w:rPr>
        <w:t>Under its current approach for registration review</w:t>
      </w:r>
      <w:r w:rsidR="4113407E">
        <w:rPr>
          <w:rStyle w:val="eop"/>
        </w:rPr>
        <w:t xml:space="preserve"> </w:t>
      </w:r>
      <w:r>
        <w:rPr>
          <w:rStyle w:val="eop"/>
        </w:rPr>
        <w:t>for conventional pesticides</w:t>
      </w:r>
      <w:r w:rsidR="575B892E">
        <w:rPr>
          <w:rStyle w:val="eop"/>
        </w:rPr>
        <w:t>, EPA meet</w:t>
      </w:r>
      <w:r w:rsidR="00012FF7">
        <w:rPr>
          <w:rStyle w:val="eop"/>
        </w:rPr>
        <w:t>s</w:t>
      </w:r>
      <w:r w:rsidR="53C2D188">
        <w:rPr>
          <w:rStyle w:val="eop"/>
        </w:rPr>
        <w:t xml:space="preserve"> </w:t>
      </w:r>
      <w:r w:rsidR="00012FF7">
        <w:rPr>
          <w:rStyle w:val="eop"/>
        </w:rPr>
        <w:t xml:space="preserve">its </w:t>
      </w:r>
      <w:r w:rsidR="575B892E">
        <w:rPr>
          <w:rStyle w:val="eop"/>
        </w:rPr>
        <w:t>ESA obligations through a three</w:t>
      </w:r>
      <w:r w:rsidR="00BB5BE9">
        <w:rPr>
          <w:rStyle w:val="eop"/>
        </w:rPr>
        <w:t>-</w:t>
      </w:r>
      <w:r w:rsidR="575B892E">
        <w:rPr>
          <w:rStyle w:val="eop"/>
        </w:rPr>
        <w:t xml:space="preserve">step process. </w:t>
      </w:r>
      <w:r w:rsidR="00307537" w:rsidRPr="14F7C6B6">
        <w:rPr>
          <w:rStyle w:val="eop"/>
        </w:rPr>
        <w:t xml:space="preserve">EPA’s development of this BE includes two steps. </w:t>
      </w:r>
      <w:r w:rsidR="00307537" w:rsidRPr="14F7C6B6">
        <w:rPr>
          <w:rFonts w:eastAsiaTheme="minorEastAsia"/>
        </w:rPr>
        <w:t xml:space="preserve">In Step 1, for </w:t>
      </w:r>
      <w:r w:rsidR="2D333CC9" w:rsidRPr="14F7C6B6">
        <w:rPr>
          <w:rFonts w:eastAsiaTheme="minorEastAsia"/>
        </w:rPr>
        <w:t>each</w:t>
      </w:r>
      <w:r w:rsidR="00307537" w:rsidRPr="14F7C6B6">
        <w:rPr>
          <w:rFonts w:eastAsiaTheme="minorEastAsia"/>
        </w:rPr>
        <w:t xml:space="preserve"> listed species and </w:t>
      </w:r>
      <w:r w:rsidR="20C1E962" w:rsidRPr="14F7C6B6">
        <w:rPr>
          <w:rFonts w:eastAsiaTheme="minorEastAsia"/>
        </w:rPr>
        <w:t xml:space="preserve">each </w:t>
      </w:r>
      <w:r w:rsidR="00307537" w:rsidRPr="14F7C6B6">
        <w:rPr>
          <w:rFonts w:eastAsiaTheme="minorEastAsia"/>
        </w:rPr>
        <w:t xml:space="preserve">designated critical habitat, EPA </w:t>
      </w:r>
      <w:r w:rsidR="0C85AF62" w:rsidRPr="14F7C6B6">
        <w:rPr>
          <w:rFonts w:eastAsiaTheme="minorEastAsia"/>
        </w:rPr>
        <w:t>evaluates</w:t>
      </w:r>
      <w:r w:rsidR="00307537" w:rsidRPr="14F7C6B6">
        <w:rPr>
          <w:rFonts w:eastAsiaTheme="minorEastAsia"/>
        </w:rPr>
        <w:t xml:space="preserve"> whether</w:t>
      </w:r>
      <w:r w:rsidR="6344CA59" w:rsidRPr="14F7C6B6">
        <w:rPr>
          <w:rFonts w:eastAsiaTheme="minorEastAsia"/>
        </w:rPr>
        <w:t xml:space="preserve"> the registered uses of </w:t>
      </w:r>
      <w:r w:rsidR="00307537" w:rsidRPr="14F7C6B6">
        <w:rPr>
          <w:rFonts w:eastAsiaTheme="minorEastAsia"/>
        </w:rPr>
        <w:t xml:space="preserve">imidacloprid will have No Effect (NE) or </w:t>
      </w:r>
      <w:r w:rsidR="1DAFDA64" w:rsidRPr="14F7C6B6">
        <w:rPr>
          <w:rFonts w:eastAsiaTheme="minorEastAsia"/>
        </w:rPr>
        <w:t>if the</w:t>
      </w:r>
      <w:r w:rsidR="6A63C97E" w:rsidRPr="14F7C6B6">
        <w:rPr>
          <w:rFonts w:eastAsiaTheme="minorEastAsia"/>
        </w:rPr>
        <w:t xml:space="preserve"> registered uses </w:t>
      </w:r>
      <w:r w:rsidR="00307537" w:rsidRPr="14F7C6B6">
        <w:rPr>
          <w:rFonts w:eastAsiaTheme="minorEastAsia"/>
        </w:rPr>
        <w:t xml:space="preserve">May Affect (MA) </w:t>
      </w:r>
      <w:r w:rsidR="1E732586" w:rsidRPr="14F7C6B6">
        <w:rPr>
          <w:rFonts w:eastAsiaTheme="minorEastAsia"/>
        </w:rPr>
        <w:t xml:space="preserve">an individual of </w:t>
      </w:r>
      <w:r w:rsidR="54D5B347" w:rsidRPr="14F7C6B6">
        <w:rPr>
          <w:rFonts w:eastAsiaTheme="minorEastAsia"/>
        </w:rPr>
        <w:t xml:space="preserve">such species or habitat </w:t>
      </w:r>
      <w:r w:rsidR="00307537" w:rsidRPr="14F7C6B6">
        <w:rPr>
          <w:rFonts w:eastAsiaTheme="minorEastAsia"/>
        </w:rPr>
        <w:t>(separate determinations made for each species and critical habitat).</w:t>
      </w:r>
      <w:r w:rsidR="006B4A81">
        <w:rPr>
          <w:rFonts w:eastAsiaTheme="minorEastAsia"/>
        </w:rPr>
        <w:t xml:space="preserve"> </w:t>
      </w:r>
      <w:r w:rsidR="56725B53" w:rsidRPr="14F7C6B6">
        <w:rPr>
          <w:rFonts w:eastAsiaTheme="minorEastAsia"/>
        </w:rPr>
        <w:t xml:space="preserve">More specifically, </w:t>
      </w:r>
      <w:r w:rsidR="00D957E6" w:rsidRPr="00D957E6">
        <w:rPr>
          <w:rFonts w:eastAsiaTheme="minorEastAsia"/>
        </w:rPr>
        <w:t xml:space="preserve">Step 1 is intended to be a conservative screen that is heavily reliant upon overlap of </w:t>
      </w:r>
      <w:r w:rsidR="00012FF7">
        <w:rPr>
          <w:rFonts w:eastAsiaTheme="minorEastAsia"/>
        </w:rPr>
        <w:t xml:space="preserve">(1) </w:t>
      </w:r>
      <w:r w:rsidR="00D957E6" w:rsidRPr="00D957E6">
        <w:rPr>
          <w:rFonts w:eastAsiaTheme="minorEastAsia"/>
        </w:rPr>
        <w:t xml:space="preserve">areas where </w:t>
      </w:r>
      <w:r w:rsidR="00012FF7">
        <w:rPr>
          <w:rFonts w:eastAsiaTheme="minorEastAsia"/>
        </w:rPr>
        <w:t xml:space="preserve">an environmentally discernable effect could occur from any labeled use of </w:t>
      </w:r>
      <w:r w:rsidR="00D957E6" w:rsidRPr="00D957E6">
        <w:rPr>
          <w:rFonts w:eastAsiaTheme="minorEastAsia"/>
        </w:rPr>
        <w:t xml:space="preserve">the pesticide being assessed </w:t>
      </w:r>
      <w:r w:rsidR="004606B4">
        <w:rPr>
          <w:rFonts w:eastAsiaTheme="minorEastAsia"/>
        </w:rPr>
        <w:t xml:space="preserve">(assumes the pesticide </w:t>
      </w:r>
      <w:r w:rsidR="00012FF7">
        <w:rPr>
          <w:rFonts w:eastAsiaTheme="minorEastAsia"/>
        </w:rPr>
        <w:t xml:space="preserve">could </w:t>
      </w:r>
      <w:r w:rsidR="004606B4">
        <w:rPr>
          <w:rFonts w:eastAsiaTheme="minorEastAsia"/>
        </w:rPr>
        <w:t xml:space="preserve">be used in all areas allowable on the label) </w:t>
      </w:r>
      <w:r w:rsidR="00D957E6" w:rsidRPr="00D957E6">
        <w:rPr>
          <w:rFonts w:eastAsiaTheme="minorEastAsia"/>
        </w:rPr>
        <w:t xml:space="preserve">with </w:t>
      </w:r>
      <w:r w:rsidR="00012FF7">
        <w:rPr>
          <w:rFonts w:eastAsiaTheme="minorEastAsia"/>
        </w:rPr>
        <w:t xml:space="preserve">(2) areas where </w:t>
      </w:r>
      <w:r w:rsidR="00D957E6" w:rsidRPr="00D957E6">
        <w:rPr>
          <w:rFonts w:eastAsiaTheme="minorEastAsia"/>
        </w:rPr>
        <w:t>species range/designated critical</w:t>
      </w:r>
      <w:r w:rsidR="004606B4">
        <w:rPr>
          <w:rFonts w:eastAsiaTheme="minorEastAsia"/>
        </w:rPr>
        <w:t xml:space="preserve"> </w:t>
      </w:r>
      <w:r w:rsidR="00D957E6" w:rsidRPr="00D957E6">
        <w:rPr>
          <w:rFonts w:eastAsiaTheme="minorEastAsia"/>
        </w:rPr>
        <w:t>habitat</w:t>
      </w:r>
      <w:r w:rsidR="00012FF7">
        <w:rPr>
          <w:rFonts w:eastAsiaTheme="minorEastAsia"/>
        </w:rPr>
        <w:t xml:space="preserve"> occurs</w:t>
      </w:r>
      <w:r w:rsidR="00D957E6" w:rsidRPr="00D957E6">
        <w:rPr>
          <w:rFonts w:eastAsiaTheme="minorEastAsia"/>
        </w:rPr>
        <w:t>.</w:t>
      </w:r>
      <w:r w:rsidR="004606B4">
        <w:rPr>
          <w:rFonts w:eastAsiaTheme="minorEastAsia"/>
        </w:rPr>
        <w:t xml:space="preserve"> </w:t>
      </w:r>
      <w:r w:rsidR="00D957E6" w:rsidRPr="00D957E6">
        <w:rPr>
          <w:rFonts w:eastAsiaTheme="minorEastAsia"/>
        </w:rPr>
        <w:t xml:space="preserve">It uses conservative assumptions and is intended to screen out species that are not reasonably expected to be exposed </w:t>
      </w:r>
      <w:r w:rsidR="004606B4">
        <w:rPr>
          <w:rFonts w:eastAsiaTheme="minorEastAsia"/>
        </w:rPr>
        <w:t xml:space="preserve">to the pesticide </w:t>
      </w:r>
      <w:r w:rsidR="00D957E6" w:rsidRPr="00D957E6">
        <w:rPr>
          <w:rFonts w:eastAsiaTheme="minorEastAsia"/>
        </w:rPr>
        <w:t xml:space="preserve">because they are outside of the </w:t>
      </w:r>
      <w:r w:rsidR="004606B4">
        <w:rPr>
          <w:rFonts w:eastAsiaTheme="minorEastAsia"/>
        </w:rPr>
        <w:t xml:space="preserve">pesticide use area. </w:t>
      </w:r>
      <w:r w:rsidR="56725B53" w:rsidRPr="14F7C6B6">
        <w:rPr>
          <w:rFonts w:eastAsiaTheme="minorEastAsia"/>
        </w:rPr>
        <w:t>If EPA determines there is no effect, that is the end of the analysis for th</w:t>
      </w:r>
      <w:r w:rsidR="21603B2B" w:rsidRPr="14F7C6B6">
        <w:rPr>
          <w:rFonts w:eastAsiaTheme="minorEastAsia"/>
        </w:rPr>
        <w:t xml:space="preserve">at </w:t>
      </w:r>
      <w:proofErr w:type="gramStart"/>
      <w:r w:rsidR="21603B2B" w:rsidRPr="14F7C6B6">
        <w:rPr>
          <w:rFonts w:eastAsiaTheme="minorEastAsia"/>
        </w:rPr>
        <w:t>particular species</w:t>
      </w:r>
      <w:proofErr w:type="gramEnd"/>
      <w:r w:rsidR="21603B2B" w:rsidRPr="14F7C6B6">
        <w:rPr>
          <w:rFonts w:eastAsiaTheme="minorEastAsia"/>
        </w:rPr>
        <w:t>.</w:t>
      </w:r>
    </w:p>
    <w:p w14:paraId="2B3D4AE8" w14:textId="162C5555" w:rsidR="00307537" w:rsidRDefault="00307537" w:rsidP="14F7C6B6">
      <w:pPr>
        <w:rPr>
          <w:rFonts w:eastAsiaTheme="minorEastAsia"/>
        </w:rPr>
      </w:pPr>
    </w:p>
    <w:p w14:paraId="49880C4B" w14:textId="0145DC05" w:rsidR="00307537" w:rsidRDefault="72C2AEE3" w:rsidP="004606B4">
      <w:pPr>
        <w:rPr>
          <w:rFonts w:eastAsiaTheme="minorEastAsia"/>
        </w:rPr>
      </w:pPr>
      <w:r w:rsidRPr="14F7C6B6">
        <w:rPr>
          <w:rFonts w:eastAsiaTheme="minorEastAsia"/>
        </w:rPr>
        <w:t>In Step 2, f</w:t>
      </w:r>
      <w:r w:rsidR="00307537" w:rsidRPr="14F7C6B6">
        <w:rPr>
          <w:rFonts w:eastAsiaTheme="minorEastAsia"/>
        </w:rPr>
        <w:t xml:space="preserve">or those species and critical habitats </w:t>
      </w:r>
      <w:r w:rsidR="474353C4" w:rsidRPr="14F7C6B6">
        <w:rPr>
          <w:rFonts w:eastAsiaTheme="minorEastAsia"/>
        </w:rPr>
        <w:t xml:space="preserve">that EPA determines </w:t>
      </w:r>
      <w:r w:rsidR="37E88222" w:rsidRPr="14F7C6B6">
        <w:rPr>
          <w:rFonts w:eastAsiaTheme="minorEastAsia"/>
        </w:rPr>
        <w:t xml:space="preserve">an individual </w:t>
      </w:r>
      <w:r w:rsidR="474353C4" w:rsidRPr="14F7C6B6">
        <w:rPr>
          <w:rFonts w:eastAsiaTheme="minorEastAsia"/>
        </w:rPr>
        <w:t>may be affected, EPA uses additional information</w:t>
      </w:r>
      <w:r w:rsidR="0E80D2D5" w:rsidRPr="14F7C6B6">
        <w:rPr>
          <w:rFonts w:eastAsiaTheme="minorEastAsia"/>
        </w:rPr>
        <w:t xml:space="preserve"> to</w:t>
      </w:r>
      <w:r w:rsidR="00307537" w:rsidRPr="14F7C6B6">
        <w:rPr>
          <w:rFonts w:eastAsiaTheme="minorEastAsia"/>
        </w:rPr>
        <w:t xml:space="preserve"> determine if imidacloprid </w:t>
      </w:r>
      <w:r w:rsidR="0FE9C515" w:rsidRPr="14F7C6B6">
        <w:rPr>
          <w:rFonts w:eastAsiaTheme="minorEastAsia"/>
        </w:rPr>
        <w:t xml:space="preserve">may affect but </w:t>
      </w:r>
      <w:r w:rsidR="004606B4">
        <w:rPr>
          <w:rFonts w:eastAsiaTheme="minorEastAsia"/>
        </w:rPr>
        <w:t xml:space="preserve">is </w:t>
      </w:r>
      <w:r w:rsidR="006B4A81">
        <w:rPr>
          <w:rFonts w:eastAsiaTheme="minorEastAsia"/>
        </w:rPr>
        <w:t>N</w:t>
      </w:r>
      <w:r w:rsidR="00307537" w:rsidRPr="14F7C6B6">
        <w:rPr>
          <w:rFonts w:eastAsiaTheme="minorEastAsia"/>
        </w:rPr>
        <w:t xml:space="preserve">ot Likely to Adversely Affect (NLAA) or </w:t>
      </w:r>
      <w:r w:rsidR="7C5573EC" w:rsidRPr="14F7C6B6">
        <w:rPr>
          <w:rFonts w:eastAsiaTheme="minorEastAsia"/>
        </w:rPr>
        <w:t xml:space="preserve">may affect and is </w:t>
      </w:r>
      <w:r w:rsidR="00307537" w:rsidRPr="14F7C6B6">
        <w:rPr>
          <w:rFonts w:eastAsiaTheme="minorEastAsia"/>
        </w:rPr>
        <w:t xml:space="preserve">Likely to Adversely Affect (LAA) each individual species or critical habitat. </w:t>
      </w:r>
      <w:r w:rsidR="004606B4" w:rsidRPr="004606B4">
        <w:rPr>
          <w:rFonts w:eastAsiaTheme="minorEastAsia"/>
        </w:rPr>
        <w:t>Step 2</w:t>
      </w:r>
      <w:r w:rsidR="004606B4">
        <w:rPr>
          <w:rFonts w:eastAsiaTheme="minorEastAsia"/>
        </w:rPr>
        <w:t xml:space="preserve"> </w:t>
      </w:r>
      <w:r w:rsidR="004606B4" w:rsidRPr="004606B4">
        <w:rPr>
          <w:rFonts w:eastAsiaTheme="minorEastAsia"/>
        </w:rPr>
        <w:t>uses a more refined spatial overlap with specific pesticide use sites to calculate the portion of the</w:t>
      </w:r>
      <w:r w:rsidR="004606B4">
        <w:rPr>
          <w:rFonts w:eastAsiaTheme="minorEastAsia"/>
        </w:rPr>
        <w:t xml:space="preserve"> </w:t>
      </w:r>
      <w:r w:rsidR="004606B4" w:rsidRPr="004606B4">
        <w:rPr>
          <w:rFonts w:eastAsiaTheme="minorEastAsia"/>
        </w:rPr>
        <w:t xml:space="preserve">population exposed, considers life history information, </w:t>
      </w:r>
      <w:r w:rsidR="004606B4">
        <w:rPr>
          <w:rFonts w:eastAsiaTheme="minorEastAsia"/>
        </w:rPr>
        <w:t xml:space="preserve">considers actual pesticide applications (usage data), </w:t>
      </w:r>
      <w:r w:rsidR="00EF04FD">
        <w:rPr>
          <w:rFonts w:eastAsiaTheme="minorEastAsia"/>
        </w:rPr>
        <w:t>additional</w:t>
      </w:r>
      <w:r w:rsidR="004606B4" w:rsidRPr="004606B4">
        <w:rPr>
          <w:rFonts w:eastAsiaTheme="minorEastAsia"/>
        </w:rPr>
        <w:t xml:space="preserve"> toxicity data</w:t>
      </w:r>
      <w:r w:rsidR="004606B4">
        <w:rPr>
          <w:rFonts w:eastAsiaTheme="minorEastAsia"/>
        </w:rPr>
        <w:t>,</w:t>
      </w:r>
      <w:r w:rsidR="004606B4" w:rsidRPr="004606B4">
        <w:rPr>
          <w:rFonts w:eastAsiaTheme="minorEastAsia"/>
        </w:rPr>
        <w:t xml:space="preserve"> and </w:t>
      </w:r>
      <w:r w:rsidR="00EF04FD">
        <w:rPr>
          <w:rFonts w:eastAsiaTheme="minorEastAsia"/>
        </w:rPr>
        <w:t xml:space="preserve">a range of </w:t>
      </w:r>
      <w:r w:rsidR="004606B4" w:rsidRPr="004606B4">
        <w:rPr>
          <w:rFonts w:eastAsiaTheme="minorEastAsia"/>
        </w:rPr>
        <w:t>potential exposure</w:t>
      </w:r>
      <w:r w:rsidR="004606B4">
        <w:rPr>
          <w:rFonts w:eastAsiaTheme="minorEastAsia"/>
        </w:rPr>
        <w:t xml:space="preserve"> </w:t>
      </w:r>
      <w:r w:rsidR="004606B4" w:rsidRPr="004606B4">
        <w:rPr>
          <w:rFonts w:eastAsiaTheme="minorEastAsia"/>
        </w:rPr>
        <w:t xml:space="preserve">concentrations. </w:t>
      </w:r>
      <w:r w:rsidR="4AF3B48B" w:rsidRPr="14F7C6B6">
        <w:rPr>
          <w:rFonts w:eastAsiaTheme="minorEastAsia"/>
        </w:rPr>
        <w:t>I</w:t>
      </w:r>
      <w:r w:rsidR="799F3E4F" w:rsidRPr="14F7C6B6">
        <w:rPr>
          <w:rFonts w:eastAsiaTheme="minorEastAsia"/>
        </w:rPr>
        <w:t>f</w:t>
      </w:r>
      <w:r w:rsidR="79D5C16D" w:rsidRPr="14F7C6B6">
        <w:rPr>
          <w:rFonts w:eastAsiaTheme="minorEastAsia"/>
        </w:rPr>
        <w:t xml:space="preserve"> </w:t>
      </w:r>
      <w:r w:rsidR="799F3E4F" w:rsidRPr="14F7C6B6">
        <w:rPr>
          <w:rFonts w:eastAsiaTheme="minorEastAsia"/>
        </w:rPr>
        <w:t>EPA makes a NLAA determination, then EPA must informally consult with the Services</w:t>
      </w:r>
      <w:r w:rsidR="1D78FA5C" w:rsidRPr="14F7C6B6">
        <w:rPr>
          <w:rFonts w:eastAsiaTheme="minorEastAsia"/>
        </w:rPr>
        <w:t>.</w:t>
      </w:r>
      <w:r w:rsidR="799F3E4F" w:rsidRPr="14F7C6B6">
        <w:rPr>
          <w:rFonts w:eastAsiaTheme="minorEastAsia"/>
        </w:rPr>
        <w:t xml:space="preserve"> Otherwise, if EPA</w:t>
      </w:r>
      <w:r w:rsidR="0BE85423" w:rsidRPr="14F7C6B6">
        <w:rPr>
          <w:rFonts w:eastAsiaTheme="minorEastAsia"/>
        </w:rPr>
        <w:t xml:space="preserve"> makes a LAA determination</w:t>
      </w:r>
      <w:r w:rsidR="4EFCA9CD" w:rsidRPr="14F7C6B6">
        <w:rPr>
          <w:rFonts w:eastAsiaTheme="minorEastAsia"/>
        </w:rPr>
        <w:t xml:space="preserve">, EPA must engage in formal consultation with the Services. </w:t>
      </w:r>
      <w:r w:rsidR="00307537" w:rsidRPr="14F7C6B6">
        <w:rPr>
          <w:rFonts w:eastAsiaTheme="minorEastAsia"/>
        </w:rPr>
        <w:t>Details on the method, models and tools used for making NE, NLAA and LAA determinations are provided in the Revised Method document.</w:t>
      </w:r>
      <w:r w:rsidR="00EF04FD">
        <w:rPr>
          <w:rStyle w:val="FootnoteReference"/>
          <w:rFonts w:eastAsiaTheme="minorEastAsia"/>
        </w:rPr>
        <w:footnoteReference w:id="2"/>
      </w:r>
    </w:p>
    <w:p w14:paraId="68AFB468" w14:textId="2103DE78" w:rsidR="14F7C6B6" w:rsidRDefault="14F7C6B6" w:rsidP="14F7C6B6">
      <w:pPr>
        <w:rPr>
          <w:rFonts w:eastAsiaTheme="minorEastAsia"/>
        </w:rPr>
      </w:pPr>
    </w:p>
    <w:p w14:paraId="2089DCBA" w14:textId="12E2859E" w:rsidR="67B16B41" w:rsidRPr="005043BC" w:rsidRDefault="67B16B41" w:rsidP="14F7C6B6">
      <w:pPr>
        <w:rPr>
          <w:rFonts w:ascii="Calibri" w:eastAsia="Calibri" w:hAnsi="Calibri" w:cs="Calibri"/>
        </w:rPr>
      </w:pPr>
      <w:r w:rsidRPr="14F7C6B6">
        <w:rPr>
          <w:rFonts w:eastAsiaTheme="minorEastAsia"/>
        </w:rPr>
        <w:t xml:space="preserve">Practically, </w:t>
      </w:r>
      <w:r w:rsidR="7F422CA7" w:rsidRPr="14F7C6B6">
        <w:rPr>
          <w:rFonts w:eastAsiaTheme="minorEastAsia"/>
        </w:rPr>
        <w:t xml:space="preserve">the LAA </w:t>
      </w:r>
      <w:r w:rsidRPr="005043BC">
        <w:rPr>
          <w:rFonts w:ascii="Calibri" w:eastAsia="Calibri" w:hAnsi="Calibri" w:cs="Calibri"/>
        </w:rPr>
        <w:t xml:space="preserve">threshold </w:t>
      </w:r>
      <w:r w:rsidR="30275444" w:rsidRPr="005043BC">
        <w:rPr>
          <w:rFonts w:ascii="Calibri" w:eastAsia="Calibri" w:hAnsi="Calibri" w:cs="Calibri"/>
        </w:rPr>
        <w:t xml:space="preserve">for a BE </w:t>
      </w:r>
      <w:r w:rsidRPr="005043BC">
        <w:rPr>
          <w:rFonts w:ascii="Calibri" w:eastAsia="Calibri" w:hAnsi="Calibri" w:cs="Calibri"/>
        </w:rPr>
        <w:t xml:space="preserve">is very </w:t>
      </w:r>
      <w:r w:rsidR="00EF04FD">
        <w:rPr>
          <w:rFonts w:ascii="Calibri" w:eastAsia="Calibri" w:hAnsi="Calibri" w:cs="Calibri"/>
        </w:rPr>
        <w:t>conservative</w:t>
      </w:r>
      <w:r w:rsidRPr="005043BC">
        <w:rPr>
          <w:rFonts w:ascii="Calibri" w:eastAsia="Calibri" w:hAnsi="Calibri" w:cs="Calibri"/>
        </w:rPr>
        <w:t xml:space="preserve"> </w:t>
      </w:r>
      <w:r w:rsidR="5B23EBF0" w:rsidRPr="005043BC">
        <w:rPr>
          <w:rFonts w:ascii="Calibri" w:eastAsia="Calibri" w:hAnsi="Calibri" w:cs="Calibri"/>
        </w:rPr>
        <w:t>as</w:t>
      </w:r>
      <w:r w:rsidRPr="005043BC">
        <w:rPr>
          <w:rFonts w:ascii="Calibri" w:eastAsia="Calibri" w:hAnsi="Calibri" w:cs="Calibri"/>
        </w:rPr>
        <w:t xml:space="preserve"> the </w:t>
      </w:r>
      <w:r w:rsidR="00126976">
        <w:rPr>
          <w:rFonts w:ascii="Calibri" w:eastAsia="Calibri" w:hAnsi="Calibri" w:cs="Calibri"/>
        </w:rPr>
        <w:t xml:space="preserve">likely </w:t>
      </w:r>
      <w:r w:rsidRPr="005043BC">
        <w:rPr>
          <w:rFonts w:ascii="Calibri" w:eastAsia="Calibri" w:hAnsi="Calibri" w:cs="Calibri"/>
        </w:rPr>
        <w:t>“take” of even one individual of a species triggers LAA (even if that species is almost recovered</w:t>
      </w:r>
      <w:r w:rsidR="65712EAC" w:rsidRPr="14F7C6B6">
        <w:rPr>
          <w:rFonts w:ascii="Calibri" w:eastAsia="Calibri" w:hAnsi="Calibri" w:cs="Calibri"/>
        </w:rPr>
        <w:t>).</w:t>
      </w:r>
      <w:r w:rsidR="501270C1" w:rsidRPr="005043BC">
        <w:rPr>
          <w:rFonts w:ascii="Calibri" w:eastAsia="Calibri" w:hAnsi="Calibri" w:cs="Calibri"/>
        </w:rPr>
        <w:t xml:space="preserve"> This often results in a high number of </w:t>
      </w:r>
      <w:r w:rsidR="00242D8B">
        <w:rPr>
          <w:rFonts w:ascii="Calibri" w:eastAsia="Calibri" w:hAnsi="Calibri" w:cs="Calibri"/>
        </w:rPr>
        <w:t>M</w:t>
      </w:r>
      <w:r w:rsidR="501270C1" w:rsidRPr="005043BC">
        <w:rPr>
          <w:rFonts w:ascii="Calibri" w:eastAsia="Calibri" w:hAnsi="Calibri" w:cs="Calibri"/>
        </w:rPr>
        <w:t xml:space="preserve">ay </w:t>
      </w:r>
      <w:r w:rsidR="00242D8B">
        <w:rPr>
          <w:rFonts w:ascii="Calibri" w:eastAsia="Calibri" w:hAnsi="Calibri" w:cs="Calibri"/>
        </w:rPr>
        <w:t>A</w:t>
      </w:r>
      <w:r w:rsidR="00242D8B" w:rsidRPr="005043BC">
        <w:rPr>
          <w:rFonts w:ascii="Calibri" w:eastAsia="Calibri" w:hAnsi="Calibri" w:cs="Calibri"/>
        </w:rPr>
        <w:t>ffect</w:t>
      </w:r>
      <w:r w:rsidR="501270C1" w:rsidRPr="005043BC">
        <w:rPr>
          <w:rFonts w:ascii="Calibri" w:eastAsia="Calibri" w:hAnsi="Calibri" w:cs="Calibri"/>
        </w:rPr>
        <w:t xml:space="preserve"> determinations in a BE. </w:t>
      </w:r>
      <w:r w:rsidR="00EF04FD">
        <w:rPr>
          <w:rFonts w:ascii="Calibri" w:eastAsia="Calibri" w:hAnsi="Calibri" w:cs="Calibri"/>
        </w:rPr>
        <w:t>An LAA determination in the</w:t>
      </w:r>
      <w:r w:rsidR="501270C1" w:rsidRPr="005043BC">
        <w:rPr>
          <w:rFonts w:ascii="Calibri" w:eastAsia="Calibri" w:hAnsi="Calibri" w:cs="Calibri"/>
        </w:rPr>
        <w:t xml:space="preserve"> BE, however, should not be inte</w:t>
      </w:r>
      <w:r w:rsidR="3BADDE00" w:rsidRPr="005043BC">
        <w:rPr>
          <w:rFonts w:ascii="Calibri" w:eastAsia="Calibri" w:hAnsi="Calibri" w:cs="Calibri"/>
        </w:rPr>
        <w:t xml:space="preserve">rpreted to mean that EPA has </w:t>
      </w:r>
      <w:proofErr w:type="gramStart"/>
      <w:r w:rsidR="3BADDE00" w:rsidRPr="005043BC">
        <w:rPr>
          <w:rFonts w:ascii="Calibri" w:eastAsia="Calibri" w:hAnsi="Calibri" w:cs="Calibri"/>
        </w:rPr>
        <w:t>made a determination</w:t>
      </w:r>
      <w:proofErr w:type="gramEnd"/>
      <w:r w:rsidR="3BADDE00" w:rsidRPr="005043BC">
        <w:rPr>
          <w:rFonts w:ascii="Calibri" w:eastAsia="Calibri" w:hAnsi="Calibri" w:cs="Calibri"/>
        </w:rPr>
        <w:t xml:space="preserve"> that </w:t>
      </w:r>
      <w:r w:rsidR="5C56D4B4" w:rsidRPr="14F7C6B6">
        <w:rPr>
          <w:rFonts w:ascii="Calibri" w:eastAsia="Calibri" w:hAnsi="Calibri" w:cs="Calibri"/>
        </w:rPr>
        <w:t>imidacloprid</w:t>
      </w:r>
      <w:r w:rsidR="3BADDE00" w:rsidRPr="005043BC">
        <w:rPr>
          <w:rFonts w:ascii="Calibri" w:eastAsia="Calibri" w:hAnsi="Calibri" w:cs="Calibri"/>
        </w:rPr>
        <w:t xml:space="preserve"> is putting a species in </w:t>
      </w:r>
      <w:r w:rsidR="6452C02B" w:rsidRPr="14F7C6B6">
        <w:rPr>
          <w:rFonts w:ascii="Calibri" w:eastAsia="Calibri" w:hAnsi="Calibri" w:cs="Calibri"/>
        </w:rPr>
        <w:t>jeopardy</w:t>
      </w:r>
      <w:r w:rsidR="5F879A0C" w:rsidRPr="005043BC">
        <w:rPr>
          <w:rFonts w:ascii="Calibri" w:eastAsia="Calibri" w:hAnsi="Calibri" w:cs="Calibri"/>
        </w:rPr>
        <w:t xml:space="preserve">. Those determinations are made </w:t>
      </w:r>
      <w:proofErr w:type="gramStart"/>
      <w:r w:rsidR="5F879A0C" w:rsidRPr="005043BC">
        <w:rPr>
          <w:rFonts w:ascii="Calibri" w:eastAsia="Calibri" w:hAnsi="Calibri" w:cs="Calibri"/>
        </w:rPr>
        <w:t>in the course of</w:t>
      </w:r>
      <w:proofErr w:type="gramEnd"/>
      <w:r w:rsidR="5F879A0C" w:rsidRPr="005043BC">
        <w:rPr>
          <w:rFonts w:ascii="Calibri" w:eastAsia="Calibri" w:hAnsi="Calibri" w:cs="Calibri"/>
        </w:rPr>
        <w:t xml:space="preserve"> Step 3</w:t>
      </w:r>
      <w:r w:rsidR="00EF04FD">
        <w:rPr>
          <w:rFonts w:ascii="Calibri" w:eastAsia="Calibri" w:hAnsi="Calibri" w:cs="Calibri"/>
        </w:rPr>
        <w:t xml:space="preserve"> by the National Marine Fisheries Service and the Fish and Wildlife Service (referred to as The Services)</w:t>
      </w:r>
      <w:r w:rsidR="5F879A0C" w:rsidRPr="005043BC">
        <w:rPr>
          <w:rFonts w:ascii="Calibri" w:eastAsia="Calibri" w:hAnsi="Calibri" w:cs="Calibri"/>
        </w:rPr>
        <w:t>.</w:t>
      </w:r>
    </w:p>
    <w:p w14:paraId="302042E6" w14:textId="53D1FDDB" w:rsidR="14F7C6B6" w:rsidRDefault="14F7C6B6" w:rsidP="14F7C6B6">
      <w:pPr>
        <w:rPr>
          <w:rFonts w:eastAsiaTheme="minorEastAsia"/>
        </w:rPr>
      </w:pPr>
    </w:p>
    <w:p w14:paraId="787FFB0D" w14:textId="19F1776E" w:rsidR="099899BD" w:rsidRDefault="099899BD" w:rsidP="14F7C6B6">
      <w:pPr>
        <w:rPr>
          <w:rFonts w:eastAsiaTheme="minorEastAsia"/>
        </w:rPr>
      </w:pPr>
      <w:r w:rsidRPr="14F7C6B6">
        <w:rPr>
          <w:rFonts w:eastAsiaTheme="minorEastAsia"/>
        </w:rPr>
        <w:t>Step 3 is part of the formal consultation process. Here, the Services prepare a biological opinion (</w:t>
      </w:r>
      <w:r w:rsidR="00C90FAC">
        <w:rPr>
          <w:rFonts w:eastAsiaTheme="minorEastAsia"/>
        </w:rPr>
        <w:t>BiOp</w:t>
      </w:r>
      <w:r w:rsidRPr="14F7C6B6">
        <w:rPr>
          <w:rFonts w:eastAsiaTheme="minorEastAsia"/>
        </w:rPr>
        <w:t>), which builds upon EPA’s BE to determine</w:t>
      </w:r>
      <w:r w:rsidR="483D7EEE" w:rsidRPr="14F7C6B6">
        <w:rPr>
          <w:rFonts w:eastAsiaTheme="minorEastAsia"/>
        </w:rPr>
        <w:t xml:space="preserve"> whether </w:t>
      </w:r>
      <w:r w:rsidR="62231069" w:rsidRPr="14F7C6B6">
        <w:rPr>
          <w:rFonts w:eastAsiaTheme="minorEastAsia"/>
        </w:rPr>
        <w:t xml:space="preserve">the potential </w:t>
      </w:r>
      <w:r w:rsidR="483D7EEE" w:rsidRPr="14F7C6B6">
        <w:rPr>
          <w:rFonts w:eastAsiaTheme="minorEastAsia"/>
        </w:rPr>
        <w:t xml:space="preserve">adverse effect will </w:t>
      </w:r>
      <w:r w:rsidR="1DAF7D7A" w:rsidRPr="14F7C6B6">
        <w:rPr>
          <w:rFonts w:eastAsiaTheme="minorEastAsia"/>
        </w:rPr>
        <w:t>jeopardize</w:t>
      </w:r>
      <w:r w:rsidR="483D7EEE" w:rsidRPr="14F7C6B6">
        <w:rPr>
          <w:rFonts w:eastAsiaTheme="minorEastAsia"/>
        </w:rPr>
        <w:t xml:space="preserve"> the continued existence of a species or destroy or advers</w:t>
      </w:r>
      <w:r w:rsidR="02D09DD1" w:rsidRPr="14F7C6B6">
        <w:rPr>
          <w:rFonts w:eastAsiaTheme="minorEastAsia"/>
        </w:rPr>
        <w:t>e</w:t>
      </w:r>
      <w:r w:rsidR="483D7EEE" w:rsidRPr="14F7C6B6">
        <w:rPr>
          <w:rFonts w:eastAsiaTheme="minorEastAsia"/>
        </w:rPr>
        <w:t>ly modify critical habitat. Th</w:t>
      </w:r>
      <w:r w:rsidR="41758302" w:rsidRPr="14F7C6B6">
        <w:rPr>
          <w:rFonts w:eastAsiaTheme="minorEastAsia"/>
        </w:rPr>
        <w:t>e analysis in Step 3</w:t>
      </w:r>
      <w:r w:rsidR="06E26420" w:rsidRPr="14F7C6B6">
        <w:rPr>
          <w:rFonts w:eastAsiaTheme="minorEastAsia"/>
        </w:rPr>
        <w:t xml:space="preserve"> considers whether the anticipated adverse </w:t>
      </w:r>
      <w:r w:rsidR="04AEC3BC" w:rsidRPr="14F7C6B6">
        <w:rPr>
          <w:rFonts w:eastAsiaTheme="minorEastAsia"/>
        </w:rPr>
        <w:t>e</w:t>
      </w:r>
      <w:r w:rsidR="06E26420" w:rsidRPr="14F7C6B6">
        <w:rPr>
          <w:rFonts w:eastAsiaTheme="minorEastAsia"/>
        </w:rPr>
        <w:t xml:space="preserve">ffects to individuals </w:t>
      </w:r>
      <w:r w:rsidR="09B485AB" w:rsidRPr="14F7C6B6">
        <w:rPr>
          <w:rFonts w:eastAsiaTheme="minorEastAsia"/>
        </w:rPr>
        <w:t xml:space="preserve">described </w:t>
      </w:r>
      <w:r w:rsidR="06E26420" w:rsidRPr="14F7C6B6">
        <w:rPr>
          <w:rFonts w:eastAsiaTheme="minorEastAsia"/>
        </w:rPr>
        <w:t xml:space="preserve">in the BE will negatively </w:t>
      </w:r>
      <w:r w:rsidR="06E26420" w:rsidRPr="14F7C6B6">
        <w:rPr>
          <w:rFonts w:eastAsiaTheme="minorEastAsia"/>
        </w:rPr>
        <w:lastRenderedPageBreak/>
        <w:t>affect populations and the species they comprise</w:t>
      </w:r>
      <w:r w:rsidR="2B295FCD" w:rsidRPr="14F7C6B6">
        <w:rPr>
          <w:rFonts w:eastAsiaTheme="minorEastAsia"/>
        </w:rPr>
        <w:t xml:space="preserve"> such that they jeopardize the continued existence of the species</w:t>
      </w:r>
      <w:r w:rsidR="06E26420" w:rsidRPr="14F7C6B6">
        <w:rPr>
          <w:rFonts w:eastAsiaTheme="minorEastAsia"/>
        </w:rPr>
        <w:t xml:space="preserve">. </w:t>
      </w:r>
    </w:p>
    <w:p w14:paraId="08067334" w14:textId="3B87F4AD" w:rsidR="14F7C6B6" w:rsidRPr="008B1A6C" w:rsidRDefault="14F7C6B6" w:rsidP="14F7C6B6">
      <w:pPr>
        <w:rPr>
          <w:rFonts w:eastAsiaTheme="minorEastAsia"/>
          <w:color w:val="4472C4" w:themeColor="accent1"/>
        </w:rPr>
      </w:pPr>
    </w:p>
    <w:p w14:paraId="13193762" w14:textId="77777777" w:rsidR="00307537" w:rsidRPr="0093373E" w:rsidRDefault="00307537" w:rsidP="008B1A6C">
      <w:pPr>
        <w:pStyle w:val="Heading1"/>
      </w:pPr>
      <w:r w:rsidRPr="008B1A6C">
        <w:rPr>
          <w:color w:val="4472C4" w:themeColor="accent1"/>
        </w:rPr>
        <w:t>General Information</w:t>
      </w:r>
    </w:p>
    <w:p w14:paraId="496E5589" w14:textId="77777777" w:rsidR="00307537" w:rsidRDefault="00307537" w:rsidP="00307537"/>
    <w:p w14:paraId="28D445AF" w14:textId="1F3C6569" w:rsidR="00307537" w:rsidRDefault="00307537" w:rsidP="00307537">
      <w:pPr>
        <w:rPr>
          <w:rFonts w:cstheme="minorHAnsi"/>
        </w:rPr>
      </w:pPr>
      <w:r>
        <w:rPr>
          <w:rFonts w:cstheme="minorHAnsi"/>
        </w:rPr>
        <w:t>Imidacloprid</w:t>
      </w:r>
      <w:r w:rsidRPr="009B4E42">
        <w:rPr>
          <w:rFonts w:cstheme="minorHAnsi"/>
        </w:rPr>
        <w:t xml:space="preserve"> is </w:t>
      </w:r>
      <w:r w:rsidRPr="009B4E42">
        <w:t xml:space="preserve">one of the most widely used </w:t>
      </w:r>
      <w:r>
        <w:t>insecticides</w:t>
      </w:r>
      <w:r w:rsidRPr="009B4E42">
        <w:t xml:space="preserve"> in North America</w:t>
      </w:r>
      <w:r>
        <w:rPr>
          <w:rFonts w:cstheme="minorHAnsi"/>
        </w:rPr>
        <w:t xml:space="preserve">. </w:t>
      </w:r>
      <w:r w:rsidRPr="009B4E42">
        <w:rPr>
          <w:rFonts w:cstheme="minorHAnsi"/>
        </w:rPr>
        <w:t xml:space="preserve">It is a </w:t>
      </w:r>
      <w:r>
        <w:rPr>
          <w:rFonts w:cstheme="minorHAnsi"/>
        </w:rPr>
        <w:t>neonicotinoid insecticide</w:t>
      </w:r>
      <w:r w:rsidRPr="009B4E42">
        <w:rPr>
          <w:rFonts w:cstheme="minorHAnsi"/>
        </w:rPr>
        <w:t xml:space="preserve"> registered in the U.S. to control </w:t>
      </w:r>
      <w:r w:rsidR="00D173AF">
        <w:rPr>
          <w:rFonts w:cstheme="minorHAnsi"/>
        </w:rPr>
        <w:t>piercing and sucking insects</w:t>
      </w:r>
      <w:r>
        <w:rPr>
          <w:rFonts w:cstheme="minorHAnsi"/>
        </w:rPr>
        <w:t xml:space="preserve">. </w:t>
      </w:r>
      <w:r>
        <w:t>Imidacloprid</w:t>
      </w:r>
      <w:r w:rsidRPr="003516E7">
        <w:t xml:space="preserve"> is used </w:t>
      </w:r>
      <w:r>
        <w:t>o</w:t>
      </w:r>
      <w:r w:rsidRPr="003516E7">
        <w:t>n several crops (orchard crops</w:t>
      </w:r>
      <w:r>
        <w:t xml:space="preserve">, cereal grains, berry/small </w:t>
      </w:r>
      <w:proofErr w:type="gramStart"/>
      <w:r>
        <w:t>fruits</w:t>
      </w:r>
      <w:proofErr w:type="gramEnd"/>
      <w:r w:rsidRPr="003516E7">
        <w:t xml:space="preserve"> and vegetable crops), Christmas tree plantations</w:t>
      </w:r>
      <w:r>
        <w:t xml:space="preserve"> and</w:t>
      </w:r>
      <w:r w:rsidRPr="003516E7">
        <w:t xml:space="preserve"> tur</w:t>
      </w:r>
      <w:r w:rsidRPr="003F60A7">
        <w:t>f.</w:t>
      </w:r>
      <w:r w:rsidRPr="003F60A7">
        <w:rPr>
          <w:rFonts w:cstheme="minorHAnsi"/>
        </w:rPr>
        <w:t xml:space="preserve"> </w:t>
      </w:r>
      <w:r w:rsidRPr="008204F8">
        <w:t xml:space="preserve"> </w:t>
      </w:r>
      <w:r w:rsidRPr="00D173AF">
        <w:rPr>
          <w:rFonts w:cstheme="minorHAnsi"/>
        </w:rPr>
        <w:t>Between 201</w:t>
      </w:r>
      <w:r w:rsidR="001277F1" w:rsidRPr="00D173AF">
        <w:rPr>
          <w:rFonts w:cstheme="minorHAnsi"/>
        </w:rPr>
        <w:t>4</w:t>
      </w:r>
      <w:r w:rsidRPr="00D173AF">
        <w:rPr>
          <w:rFonts w:cstheme="minorHAnsi"/>
        </w:rPr>
        <w:t xml:space="preserve"> and 201</w:t>
      </w:r>
      <w:r w:rsidR="001277F1" w:rsidRPr="00D173AF">
        <w:rPr>
          <w:rFonts w:cstheme="minorHAnsi"/>
        </w:rPr>
        <w:t>8</w:t>
      </w:r>
      <w:r w:rsidRPr="00D173AF">
        <w:rPr>
          <w:rFonts w:cstheme="minorHAnsi"/>
        </w:rPr>
        <w:t xml:space="preserve">, </w:t>
      </w:r>
      <w:bookmarkStart w:id="0" w:name="_Hlk78454362"/>
      <w:r w:rsidR="001277F1" w:rsidRPr="00D173AF">
        <w:rPr>
          <w:rFonts w:cstheme="minorHAnsi"/>
        </w:rPr>
        <w:t>across states and all agricultural usage, the estimated cumulative us</w:t>
      </w:r>
      <w:r w:rsidR="00F618F3">
        <w:rPr>
          <w:rFonts w:cstheme="minorHAnsi"/>
        </w:rPr>
        <w:t>ag</w:t>
      </w:r>
      <w:r w:rsidR="001277F1" w:rsidRPr="00D173AF">
        <w:rPr>
          <w:rFonts w:cstheme="minorHAnsi"/>
        </w:rPr>
        <w:t xml:space="preserve">e </w:t>
      </w:r>
      <w:r w:rsidR="007A14BA">
        <w:rPr>
          <w:rFonts w:cstheme="minorHAnsi"/>
        </w:rPr>
        <w:t xml:space="preserve">of </w:t>
      </w:r>
      <w:r w:rsidR="001277F1" w:rsidRPr="00D173AF">
        <w:rPr>
          <w:rFonts w:cstheme="minorHAnsi"/>
        </w:rPr>
        <w:t xml:space="preserve">891,400 pounds of </w:t>
      </w:r>
      <w:r w:rsidR="007A14BA">
        <w:rPr>
          <w:rFonts w:cstheme="minorHAnsi"/>
        </w:rPr>
        <w:t>i</w:t>
      </w:r>
      <w:r w:rsidR="001277F1" w:rsidRPr="00D173AF">
        <w:rPr>
          <w:rFonts w:cstheme="minorHAnsi"/>
        </w:rPr>
        <w:t>midacloprid w</w:t>
      </w:r>
      <w:r w:rsidR="00F618F3">
        <w:rPr>
          <w:rFonts w:cstheme="minorHAnsi"/>
        </w:rPr>
        <w:t>as</w:t>
      </w:r>
      <w:r w:rsidR="001277F1" w:rsidRPr="00D173AF">
        <w:rPr>
          <w:rFonts w:cstheme="minorHAnsi"/>
        </w:rPr>
        <w:t xml:space="preserve"> applied to agricultural crops.</w:t>
      </w:r>
      <w:bookmarkEnd w:id="0"/>
      <w:r w:rsidR="001277F1" w:rsidRPr="00D173AF">
        <w:rPr>
          <w:rFonts w:cstheme="minorHAnsi"/>
        </w:rPr>
        <w:t xml:space="preserve"> The agricultural use in a single state that had the highest annual average pounds active ingredient applied w</w:t>
      </w:r>
      <w:r w:rsidR="00F618F3">
        <w:rPr>
          <w:rFonts w:cstheme="minorHAnsi"/>
        </w:rPr>
        <w:t>as</w:t>
      </w:r>
      <w:r w:rsidR="001277F1" w:rsidRPr="00D173AF">
        <w:rPr>
          <w:rFonts w:cstheme="minorHAnsi"/>
        </w:rPr>
        <w:t xml:space="preserve"> grapes grown for vineyards (90,000 lb.). Across all states with agricultural uses of </w:t>
      </w:r>
      <w:r w:rsidR="00F618F3">
        <w:rPr>
          <w:rFonts w:cstheme="minorHAnsi"/>
        </w:rPr>
        <w:t>i</w:t>
      </w:r>
      <w:r w:rsidR="001277F1" w:rsidRPr="00D173AF">
        <w:rPr>
          <w:rFonts w:cstheme="minorHAnsi"/>
        </w:rPr>
        <w:t xml:space="preserve">midacloprid, cotton had the highest average pounds active ingredient applied annually (200,000 lb.) </w:t>
      </w:r>
      <w:r w:rsidR="001277F1" w:rsidRPr="00D173AF">
        <w:rPr>
          <w:rFonts w:cstheme="minorHAnsi"/>
          <w:b/>
          <w:bCs/>
        </w:rPr>
        <w:t>(APPENDIX 1-4)</w:t>
      </w:r>
      <w:r w:rsidR="001277F1" w:rsidRPr="00D173AF">
        <w:rPr>
          <w:rFonts w:cstheme="minorHAnsi"/>
        </w:rPr>
        <w:t xml:space="preserve">. </w:t>
      </w:r>
    </w:p>
    <w:p w14:paraId="7282070A" w14:textId="77777777" w:rsidR="00307537" w:rsidRDefault="00307537" w:rsidP="00307537">
      <w:pPr>
        <w:rPr>
          <w:rFonts w:cstheme="minorHAnsi"/>
        </w:rPr>
      </w:pPr>
    </w:p>
    <w:p w14:paraId="2DB3B1EE" w14:textId="52978839" w:rsidR="00307537" w:rsidRPr="00BE105A" w:rsidRDefault="00D173AF" w:rsidP="00307537">
      <w:r w:rsidRPr="00D173AF">
        <w:rPr>
          <w:rStyle w:val="normaltextrun"/>
          <w:rFonts w:ascii="Calibri" w:hAnsi="Calibri" w:cs="Calibri"/>
          <w:shd w:val="clear" w:color="auto" w:fill="FFFFFF"/>
        </w:rPr>
        <w:t>Imidacloprid has a high solubility, low octanol-water partitioning coefficient, low vapor pressure, and low Henry’s Constant</w:t>
      </w:r>
      <w:r w:rsidR="008B1A6C">
        <w:rPr>
          <w:rStyle w:val="normaltextrun"/>
          <w:rFonts w:ascii="Calibri" w:hAnsi="Calibri" w:cs="Calibri"/>
          <w:shd w:val="clear" w:color="auto" w:fill="FFFFFF"/>
        </w:rPr>
        <w:tab/>
      </w:r>
      <w:r w:rsidRPr="00D173AF">
        <w:rPr>
          <w:rStyle w:val="normaltextrun"/>
          <w:rFonts w:ascii="Calibri" w:hAnsi="Calibri" w:cs="Calibri"/>
          <w:shd w:val="clear" w:color="auto" w:fill="FFFFFF"/>
        </w:rPr>
        <w:t>. These data suggest that imidacloprid has a low potential for volatilization and bioaccumulation. However, the chemical will be readily soluble and thus available for leaching and movement with run-off water. The chemical will initially enter the environment via direct application (</w:t>
      </w:r>
      <w:r w:rsidRPr="00D173AF">
        <w:rPr>
          <w:rStyle w:val="normaltextrun"/>
          <w:rFonts w:ascii="Calibri" w:hAnsi="Calibri" w:cs="Calibri"/>
          <w:i/>
          <w:iCs/>
          <w:shd w:val="clear" w:color="auto" w:fill="FFFFFF"/>
        </w:rPr>
        <w:t>e.g.</w:t>
      </w:r>
      <w:r w:rsidRPr="00D173AF">
        <w:rPr>
          <w:rStyle w:val="normaltextrun"/>
          <w:rFonts w:ascii="Calibri" w:hAnsi="Calibri" w:cs="Calibri"/>
          <w:shd w:val="clear" w:color="auto" w:fill="FFFFFF"/>
        </w:rPr>
        <w:t>, as liquid sprays, dusts, seed coatings, granular formulations) to use sites (</w:t>
      </w:r>
      <w:r w:rsidRPr="00D173AF">
        <w:rPr>
          <w:rStyle w:val="normaltextrun"/>
          <w:rFonts w:ascii="Calibri" w:hAnsi="Calibri" w:cs="Calibri"/>
          <w:i/>
          <w:iCs/>
          <w:shd w:val="clear" w:color="auto" w:fill="FFFFFF"/>
        </w:rPr>
        <w:t>e.g.</w:t>
      </w:r>
      <w:r w:rsidRPr="00D173AF">
        <w:rPr>
          <w:rStyle w:val="normaltextrun"/>
          <w:rFonts w:ascii="Calibri" w:hAnsi="Calibri" w:cs="Calibri"/>
          <w:shd w:val="clear" w:color="auto" w:fill="FFFFFF"/>
        </w:rPr>
        <w:t>, seed treatment, soil, foliage).  It may move off-site via spray drift, dissolved in runoff, and/or as residue sorbed to eroded sediment.</w:t>
      </w:r>
      <w:r w:rsidRPr="00D173AF">
        <w:rPr>
          <w:rStyle w:val="eop"/>
          <w:rFonts w:ascii="Calibri" w:hAnsi="Calibri" w:cs="Calibri"/>
          <w:shd w:val="clear" w:color="auto" w:fill="FFFFFF"/>
        </w:rPr>
        <w:t> </w:t>
      </w:r>
      <w:r w:rsidRPr="00D173AF">
        <w:rPr>
          <w:rStyle w:val="normaltextrun"/>
          <w:rFonts w:ascii="Calibri" w:hAnsi="Calibri" w:cs="Calibri"/>
          <w:shd w:val="clear" w:color="auto" w:fill="FFFFFF"/>
        </w:rPr>
        <w:t xml:space="preserve">The chemical is highly susceptible to photodegradation in water with an observed half-life of 0.2 day. Aerobic and anaerobic </w:t>
      </w:r>
      <w:r w:rsidRPr="00FF5475">
        <w:t>aquatic transformation are expected to contribute to dissipation of imidacloprid reaching aquatic systems by run-off and drift. Persistence in soils may lead to accumulation over the years with repeated applications. However, the magnitude of soil</w:t>
      </w:r>
      <w:r w:rsidR="00FF5475" w:rsidRPr="00FF5475">
        <w:t xml:space="preserve"> </w:t>
      </w:r>
      <w:r w:rsidR="00FF5475">
        <w:t xml:space="preserve">accumulation </w:t>
      </w:r>
      <w:r w:rsidRPr="00FF5475">
        <w:t>is expected to be highly affected by other important rout</w:t>
      </w:r>
      <w:r w:rsidR="00DA7C19">
        <w:t>e</w:t>
      </w:r>
      <w:r w:rsidRPr="00FF5475">
        <w:t>s of dissipation</w:t>
      </w:r>
      <w:r w:rsidR="00FF5475">
        <w:t xml:space="preserve"> including </w:t>
      </w:r>
      <w:r w:rsidRPr="00FF5475">
        <w:t>leaching, run-off and plant up-take which are expected to reduce</w:t>
      </w:r>
      <w:r w:rsidRPr="00D173AF">
        <w:rPr>
          <w:rStyle w:val="normaltextrun"/>
          <w:rFonts w:ascii="Calibri" w:hAnsi="Calibri" w:cs="Calibri"/>
          <w:shd w:val="clear" w:color="auto" w:fill="FFFFFF"/>
        </w:rPr>
        <w:t xml:space="preserve"> this accumulation.</w:t>
      </w:r>
      <w:r w:rsidRPr="00D173AF">
        <w:rPr>
          <w:rStyle w:val="eop"/>
          <w:rFonts w:ascii="Calibri" w:hAnsi="Calibri" w:cs="Calibri"/>
          <w:shd w:val="clear" w:color="auto" w:fill="FFFFFF"/>
        </w:rPr>
        <w:t> </w:t>
      </w:r>
      <w:r w:rsidRPr="00D173AF">
        <w:t xml:space="preserve"> </w:t>
      </w:r>
      <w:r w:rsidR="00307537" w:rsidRPr="00D173AF">
        <w:t xml:space="preserve">Additional details on the fate of </w:t>
      </w:r>
      <w:r w:rsidR="00FF5475">
        <w:t>imidacloprid</w:t>
      </w:r>
      <w:r w:rsidR="00FF5475" w:rsidRPr="00D173AF">
        <w:t xml:space="preserve"> </w:t>
      </w:r>
      <w:r w:rsidR="00307537" w:rsidRPr="00D173AF">
        <w:t xml:space="preserve">are provided in </w:t>
      </w:r>
      <w:r w:rsidR="00307537" w:rsidRPr="00D173AF">
        <w:rPr>
          <w:b/>
        </w:rPr>
        <w:t>Chapter 3</w:t>
      </w:r>
      <w:r w:rsidR="00307537" w:rsidRPr="00D173AF">
        <w:t xml:space="preserve"> of the Biological Evaluation. Residues of concern are discussed in </w:t>
      </w:r>
      <w:r w:rsidR="00307537" w:rsidRPr="00D173AF">
        <w:rPr>
          <w:b/>
          <w:bCs/>
        </w:rPr>
        <w:t>APPENDIX 1-8</w:t>
      </w:r>
      <w:r w:rsidR="00307537" w:rsidRPr="00D173AF">
        <w:t>.</w:t>
      </w:r>
    </w:p>
    <w:p w14:paraId="61BDC5DF" w14:textId="77777777" w:rsidR="00307537" w:rsidRPr="00761978" w:rsidRDefault="00307537" w:rsidP="00307537"/>
    <w:p w14:paraId="238B87A5" w14:textId="77777777" w:rsidR="00BB5BE9" w:rsidRPr="008B1A6C" w:rsidRDefault="00BB5BE9" w:rsidP="008B1A6C">
      <w:pPr>
        <w:pStyle w:val="Heading1"/>
        <w:rPr>
          <w:color w:val="4472C4" w:themeColor="accent1"/>
        </w:rPr>
      </w:pPr>
      <w:r w:rsidRPr="008B1A6C">
        <w:rPr>
          <w:color w:val="4472C4" w:themeColor="accent1"/>
        </w:rPr>
        <w:t>Toxicity Summary</w:t>
      </w:r>
    </w:p>
    <w:p w14:paraId="1A82B5F7" w14:textId="77777777" w:rsidR="00BB5BE9" w:rsidRDefault="00BB5BE9" w:rsidP="00307537">
      <w:pPr>
        <w:rPr>
          <w:rFonts w:cstheme="minorHAnsi"/>
        </w:rPr>
      </w:pPr>
    </w:p>
    <w:p w14:paraId="485CEC5E" w14:textId="03ACE2BA" w:rsidR="00307537" w:rsidRPr="00946398" w:rsidRDefault="00307537" w:rsidP="00307537">
      <w:pPr>
        <w:rPr>
          <w:rFonts w:cstheme="minorHAnsi"/>
        </w:rPr>
      </w:pPr>
      <w:proofErr w:type="gramStart"/>
      <w:r>
        <w:rPr>
          <w:rFonts w:cstheme="minorHAnsi"/>
        </w:rPr>
        <w:t>Similar to</w:t>
      </w:r>
      <w:proofErr w:type="gramEnd"/>
      <w:r>
        <w:rPr>
          <w:rFonts w:cstheme="minorHAnsi"/>
        </w:rPr>
        <w:t xml:space="preserve"> the other </w:t>
      </w:r>
      <w:r w:rsidR="00A26EE5">
        <w:rPr>
          <w:rFonts w:cstheme="minorHAnsi"/>
        </w:rPr>
        <w:t>neonicotinoid</w:t>
      </w:r>
      <w:r w:rsidR="00F0151E">
        <w:rPr>
          <w:rFonts w:cstheme="minorHAnsi"/>
        </w:rPr>
        <w:t xml:space="preserve"> insecticides</w:t>
      </w:r>
      <w:r>
        <w:rPr>
          <w:rFonts w:cstheme="minorHAnsi"/>
        </w:rPr>
        <w:t xml:space="preserve"> with</w:t>
      </w:r>
      <w:r w:rsidRPr="00946398">
        <w:rPr>
          <w:rFonts w:cstheme="minorHAnsi"/>
        </w:rPr>
        <w:t xml:space="preserve"> current registrations in the United States</w:t>
      </w:r>
      <w:r w:rsidR="00FF5475">
        <w:rPr>
          <w:rFonts w:cstheme="minorHAnsi"/>
        </w:rPr>
        <w:t xml:space="preserve"> </w:t>
      </w:r>
      <w:r>
        <w:rPr>
          <w:rFonts w:cstheme="minorHAnsi"/>
        </w:rPr>
        <w:t>(</w:t>
      </w:r>
      <w:r w:rsidR="00A26EE5">
        <w:rPr>
          <w:rFonts w:cstheme="minorHAnsi"/>
        </w:rPr>
        <w:t>imidacloprid, thiamethoxam, clothianidin, dinotefuran)</w:t>
      </w:r>
      <w:r>
        <w:rPr>
          <w:rFonts w:cstheme="minorHAnsi"/>
        </w:rPr>
        <w:t xml:space="preserve">, </w:t>
      </w:r>
      <w:r w:rsidR="00A26EE5">
        <w:rPr>
          <w:rFonts w:cstheme="minorHAnsi"/>
        </w:rPr>
        <w:t>imidacloprid</w:t>
      </w:r>
      <w:r>
        <w:rPr>
          <w:rFonts w:cstheme="minorHAnsi"/>
        </w:rPr>
        <w:t xml:space="preserve"> works </w:t>
      </w:r>
      <w:r w:rsidR="00DA7C19">
        <w:rPr>
          <w:rFonts w:cstheme="minorHAnsi"/>
        </w:rPr>
        <w:t xml:space="preserve">by </w:t>
      </w:r>
      <w:r w:rsidR="00A26EE5">
        <w:rPr>
          <w:rFonts w:cstheme="minorHAnsi"/>
        </w:rPr>
        <w:t>acting on the insect nicotinic acetylcholine receptor (nAChRs) of the central nervous system via competitive modulation.  Its mode of action on target insects involves out-competing the neurotransmitter, acetylcholine for available binding sies on the</w:t>
      </w:r>
      <w:r w:rsidR="00D173AF">
        <w:rPr>
          <w:rFonts w:cstheme="minorHAnsi"/>
        </w:rPr>
        <w:t xml:space="preserve"> nAChRs (Zhang et al. 2008).  </w:t>
      </w:r>
      <w:r w:rsidR="00A26EE5">
        <w:rPr>
          <w:rFonts w:cstheme="minorHAnsi"/>
        </w:rPr>
        <w:t xml:space="preserve">At low concentrations, neonicotinoids cause excessive nervous stimulation and at high concentrations, insect paralysis and death (Tomizwa and Casida, 2005).  Imidacloprid is a xylem-mobile systemic compound that is readily taken up by the roots of the plant and translocated throughout the plant via the transpiration stream (Sur and Stork, 2003).  </w:t>
      </w:r>
      <w:r w:rsidRPr="00946398">
        <w:rPr>
          <w:rFonts w:cstheme="minorHAnsi"/>
        </w:rPr>
        <w:t> </w:t>
      </w:r>
    </w:p>
    <w:p w14:paraId="2FE4A6F8" w14:textId="77777777" w:rsidR="00307537" w:rsidRDefault="00307537" w:rsidP="00307537">
      <w:pPr>
        <w:rPr>
          <w:rFonts w:ascii="Calibri" w:eastAsia="Calibri" w:hAnsi="Calibri" w:cs="Calibri"/>
          <w:color w:val="000000"/>
          <w:highlight w:val="yellow"/>
        </w:rPr>
      </w:pPr>
    </w:p>
    <w:p w14:paraId="29AEA8D8" w14:textId="48B88939" w:rsidR="00307537" w:rsidRPr="008B1A6C" w:rsidRDefault="00D173AF" w:rsidP="00D173AF">
      <w:pPr>
        <w:pStyle w:val="paragraph"/>
        <w:spacing w:before="0" w:beforeAutospacing="0" w:after="0" w:afterAutospacing="0"/>
        <w:textAlignment w:val="baseline"/>
        <w:rPr>
          <w:rFonts w:asciiTheme="minorHAnsi" w:hAnsiTheme="minorHAnsi" w:cstheme="minorHAnsi"/>
          <w:color w:val="4472C4" w:themeColor="accent1"/>
          <w:sz w:val="22"/>
          <w:szCs w:val="22"/>
        </w:rPr>
      </w:pPr>
      <w:r>
        <w:rPr>
          <w:rStyle w:val="normaltextrun"/>
          <w:rFonts w:ascii="Calibri" w:eastAsiaTheme="majorEastAsia" w:hAnsi="Calibri" w:cs="Calibri"/>
          <w:color w:val="000000"/>
          <w:sz w:val="22"/>
          <w:szCs w:val="22"/>
        </w:rPr>
        <w:t>On an acute exposure basis, imidacloprid is classified as very highly toxic to aquatic invertebrates. The available data suggest that aquatic insect species (class Insecta) are more sensitive on an acute exposure basis compared to other species of aquatic invertebrates (</w:t>
      </w:r>
      <w:r>
        <w:rPr>
          <w:rStyle w:val="normaltextrun"/>
          <w:rFonts w:ascii="Calibri" w:eastAsiaTheme="majorEastAsia" w:hAnsi="Calibri" w:cs="Calibri"/>
          <w:i/>
          <w:iCs/>
          <w:color w:val="000000"/>
          <w:sz w:val="22"/>
          <w:szCs w:val="22"/>
        </w:rPr>
        <w:t>e.g.</w:t>
      </w:r>
      <w:r>
        <w:rPr>
          <w:rStyle w:val="normaltextrun"/>
          <w:rFonts w:ascii="Calibri" w:eastAsiaTheme="majorEastAsia" w:hAnsi="Calibri" w:cs="Calibri"/>
          <w:color w:val="000000"/>
          <w:sz w:val="22"/>
          <w:szCs w:val="22"/>
        </w:rPr>
        <w:t>, crustaceans</w:t>
      </w:r>
      <w:r>
        <w:rPr>
          <w:rStyle w:val="normaltextrun"/>
          <w:rFonts w:ascii="Calibri" w:eastAsiaTheme="majorEastAsia" w:hAnsi="Calibri" w:cs="Calibri"/>
          <w:sz w:val="22"/>
          <w:szCs w:val="22"/>
        </w:rPr>
        <w:t xml:space="preserve">). By comparison, fish and aquatic plants are several orders of magnitude less sensitive following acute exposure to imidacloprid. On a chronic exposure basis, a decrease in survival was observed in aquatic insects. As with acute exposure, daphnids, mysid shrimp, and fish are orders of magnitude less sensitive compared to aquatic insects when chronically exposed to imidacloprid. For terrestrial organisms, imidacloprid is characterized as highly toxic to bees, highly toxic to birds and moderately toxic to mammals on an acute exposure basis. Available data suggest potential effects to honey bee and bumble bee colonies that </w:t>
      </w:r>
      <w:r>
        <w:rPr>
          <w:rStyle w:val="normaltextrun"/>
          <w:rFonts w:ascii="Calibri" w:eastAsiaTheme="majorEastAsia" w:hAnsi="Calibri" w:cs="Calibri"/>
          <w:sz w:val="22"/>
          <w:szCs w:val="22"/>
        </w:rPr>
        <w:lastRenderedPageBreak/>
        <w:t xml:space="preserve">manifest as impacts to </w:t>
      </w:r>
      <w:r w:rsidRPr="00D173AF">
        <w:rPr>
          <w:rStyle w:val="normaltextrun"/>
          <w:rFonts w:ascii="Calibri" w:eastAsiaTheme="majorEastAsia" w:hAnsi="Calibri" w:cs="Calibri"/>
          <w:sz w:val="22"/>
          <w:szCs w:val="22"/>
        </w:rPr>
        <w:t xml:space="preserve">numbers of adults and decreases in brood. Chronic exposures to birds and mammals lead to decreases in body weight and egg production in birds. Generally, no effects were observed in terrestrial plant </w:t>
      </w:r>
      <w:r w:rsidRPr="00D173AF">
        <w:rPr>
          <w:rStyle w:val="normaltextrun"/>
          <w:rFonts w:asciiTheme="minorHAnsi" w:eastAsiaTheme="majorEastAsia" w:hAnsiTheme="minorHAnsi" w:cstheme="minorHAnsi"/>
          <w:sz w:val="22"/>
          <w:szCs w:val="22"/>
        </w:rPr>
        <w:t>studies that tested up to the currently registered single maximum application rate. </w:t>
      </w:r>
      <w:r w:rsidR="00307537" w:rsidRPr="00D173AF">
        <w:rPr>
          <w:rFonts w:asciiTheme="minorHAnsi" w:hAnsiTheme="minorHAnsi" w:cstheme="minorHAnsi"/>
          <w:sz w:val="22"/>
          <w:szCs w:val="22"/>
        </w:rPr>
        <w:t xml:space="preserve"> There are reported ecological incidents involving </w:t>
      </w:r>
      <w:r>
        <w:rPr>
          <w:rFonts w:asciiTheme="minorHAnsi" w:hAnsiTheme="minorHAnsi" w:cstheme="minorHAnsi"/>
          <w:sz w:val="22"/>
          <w:szCs w:val="22"/>
        </w:rPr>
        <w:t>imidacloprid use for birds</w:t>
      </w:r>
      <w:r w:rsidR="00307537" w:rsidRPr="00D173AF">
        <w:rPr>
          <w:rFonts w:asciiTheme="minorHAnsi" w:hAnsiTheme="minorHAnsi" w:cstheme="minorHAnsi"/>
          <w:sz w:val="22"/>
          <w:szCs w:val="22"/>
        </w:rPr>
        <w:t xml:space="preserve">, </w:t>
      </w:r>
      <w:r>
        <w:rPr>
          <w:rFonts w:asciiTheme="minorHAnsi" w:hAnsiTheme="minorHAnsi" w:cstheme="minorHAnsi"/>
          <w:sz w:val="22"/>
          <w:szCs w:val="22"/>
        </w:rPr>
        <w:t xml:space="preserve">fish, </w:t>
      </w:r>
      <w:r w:rsidR="00307537" w:rsidRPr="00D173AF">
        <w:rPr>
          <w:rFonts w:asciiTheme="minorHAnsi" w:hAnsiTheme="minorHAnsi" w:cstheme="minorHAnsi"/>
          <w:sz w:val="22"/>
          <w:szCs w:val="22"/>
        </w:rPr>
        <w:t>terrestrial plants</w:t>
      </w:r>
      <w:r>
        <w:rPr>
          <w:rFonts w:asciiTheme="minorHAnsi" w:hAnsiTheme="minorHAnsi" w:cstheme="minorHAnsi"/>
          <w:sz w:val="22"/>
          <w:szCs w:val="22"/>
        </w:rPr>
        <w:t>, and terrestrial and aquatic invertebrates</w:t>
      </w:r>
      <w:r w:rsidR="00307537" w:rsidRPr="00D173AF">
        <w:rPr>
          <w:rFonts w:asciiTheme="minorHAnsi" w:hAnsiTheme="minorHAnsi" w:cstheme="minorHAnsi"/>
          <w:sz w:val="22"/>
          <w:szCs w:val="22"/>
        </w:rPr>
        <w:t xml:space="preserve">. More details on the available toxicity data </w:t>
      </w:r>
      <w:r w:rsidR="00307537" w:rsidRPr="008B1A6C">
        <w:rPr>
          <w:rFonts w:asciiTheme="minorHAnsi" w:hAnsiTheme="minorHAnsi" w:cstheme="minorHAnsi"/>
          <w:color w:val="000000" w:themeColor="text1"/>
          <w:sz w:val="22"/>
          <w:szCs w:val="22"/>
        </w:rPr>
        <w:t xml:space="preserve">and incident reports are provided in </w:t>
      </w:r>
      <w:r w:rsidR="00307537" w:rsidRPr="008B1A6C">
        <w:rPr>
          <w:rFonts w:asciiTheme="minorHAnsi" w:hAnsiTheme="minorHAnsi" w:cstheme="minorHAnsi"/>
          <w:b/>
          <w:bCs/>
          <w:color w:val="000000" w:themeColor="text1"/>
          <w:sz w:val="22"/>
          <w:szCs w:val="22"/>
        </w:rPr>
        <w:t>Chapter 2</w:t>
      </w:r>
      <w:r w:rsidR="00307537" w:rsidRPr="008B1A6C">
        <w:rPr>
          <w:rFonts w:asciiTheme="minorHAnsi" w:hAnsiTheme="minorHAnsi" w:cstheme="minorHAnsi"/>
          <w:color w:val="000000" w:themeColor="text1"/>
          <w:sz w:val="22"/>
          <w:szCs w:val="22"/>
        </w:rPr>
        <w:t>.</w:t>
      </w:r>
    </w:p>
    <w:p w14:paraId="2C90421C" w14:textId="77777777" w:rsidR="00307537" w:rsidRPr="008B1A6C" w:rsidRDefault="00307537" w:rsidP="00307537">
      <w:pPr>
        <w:rPr>
          <w:rFonts w:ascii="Calibri" w:eastAsia="Calibri" w:hAnsi="Calibri" w:cs="Calibri"/>
          <w:color w:val="4472C4" w:themeColor="accent1"/>
        </w:rPr>
      </w:pPr>
    </w:p>
    <w:p w14:paraId="3544E545" w14:textId="77777777" w:rsidR="00307537" w:rsidRPr="008B1A6C" w:rsidRDefault="00307537" w:rsidP="00307537">
      <w:pPr>
        <w:pStyle w:val="Heading1"/>
        <w:rPr>
          <w:color w:val="4472C4" w:themeColor="accent1"/>
        </w:rPr>
      </w:pPr>
      <w:r w:rsidRPr="008B1A6C">
        <w:rPr>
          <w:color w:val="4472C4" w:themeColor="accent1"/>
        </w:rPr>
        <w:t>Exposure Methods</w:t>
      </w:r>
    </w:p>
    <w:p w14:paraId="2F1C4B47" w14:textId="77777777" w:rsidR="00307537" w:rsidRPr="00507E9A" w:rsidRDefault="00307537" w:rsidP="00307537"/>
    <w:p w14:paraId="6B80BA02" w14:textId="6A7524D3" w:rsidR="00307537" w:rsidRDefault="00307537" w:rsidP="00307537">
      <w:r w:rsidRPr="00994F37">
        <w:t xml:space="preserve">Exposure estimates are based primarily on fate and transport model results. </w:t>
      </w:r>
      <w:r w:rsidRPr="00994F37">
        <w:rPr>
          <w:rFonts w:cs="Times New Roman"/>
        </w:rPr>
        <w:t xml:space="preserve">Aquatic exposures (surface water and benthic sediment pore water) are quantitatively estimated for representative </w:t>
      </w:r>
      <w:r w:rsidR="2A650121">
        <w:rPr>
          <w:rFonts w:cs="Times New Roman"/>
        </w:rPr>
        <w:t>imidacloprid</w:t>
      </w:r>
      <w:r w:rsidRPr="00994F37">
        <w:rPr>
          <w:rFonts w:cs="Times New Roman"/>
        </w:rPr>
        <w:t xml:space="preserve"> uses in specific geographic regions within generic habitats (referred to as bins) using the </w:t>
      </w:r>
      <w:r w:rsidRPr="00994F37">
        <w:t>Pesticide Root Zone Model (PRZM5) and the Variable Volume Water Model (VVWM)</w:t>
      </w:r>
      <w:r w:rsidRPr="00994F37">
        <w:rPr>
          <w:rStyle w:val="FootnoteReference"/>
        </w:rPr>
        <w:footnoteReference w:id="3"/>
      </w:r>
      <w:r w:rsidRPr="00994F37">
        <w:t xml:space="preserve"> in the Pesticides in Water Calculator (PWC). Aquatic exposure results for the bin(s) most appropriate for the species and/or critical habitat are discussed in </w:t>
      </w:r>
      <w:r w:rsidRPr="14F7C6B6">
        <w:rPr>
          <w:b/>
          <w:bCs/>
        </w:rPr>
        <w:t>Chapter 3</w:t>
      </w:r>
      <w:r w:rsidRPr="00994F37">
        <w:t xml:space="preserve">. Also discussed in </w:t>
      </w:r>
      <w:r w:rsidRPr="00994F37">
        <w:rPr>
          <w:b/>
          <w:bCs/>
        </w:rPr>
        <w:t>Chapter 3</w:t>
      </w:r>
      <w:r w:rsidRPr="00994F37">
        <w:t xml:space="preserve"> are available water monitoring data for </w:t>
      </w:r>
      <w:r w:rsidR="2A650121">
        <w:t>imidacloprid</w:t>
      </w:r>
      <w:r w:rsidRPr="00994F37">
        <w:t>. For terrestrial exposures, existing models [</w:t>
      </w:r>
      <w:r w:rsidRPr="14F7C6B6">
        <w:rPr>
          <w:i/>
          <w:iCs/>
        </w:rPr>
        <w:t>i.e.</w:t>
      </w:r>
      <w:r w:rsidRPr="00994F37">
        <w:t>, AgDRIFT, earthworm fugacity model, Terrestrial Herpetofaunal Exposure Residue Program Simulation (T-HERPS), Terrestrial Residue Exposure model (T-REX) and portions of the Terrestrial Investigation Model (TIM)] were combined and modified into a single tool that is referred to as the MAGTool (</w:t>
      </w:r>
      <w:r w:rsidRPr="14F7C6B6">
        <w:rPr>
          <w:b/>
          <w:bCs/>
        </w:rPr>
        <w:t>Chapter 4</w:t>
      </w:r>
      <w:r w:rsidRPr="00994F37">
        <w:t>).</w:t>
      </w:r>
      <w:r w:rsidRPr="000C6A3E">
        <w:t xml:space="preserve"> </w:t>
      </w:r>
      <w:r>
        <w:t>This assessment replaces EPA’s TerrPlant model with the Plant Assessment Tool (PAT)</w:t>
      </w:r>
      <w:r w:rsidR="00831BC8">
        <w:t>. T</w:t>
      </w:r>
      <w:r>
        <w:t>he latter is a more refined exposure model for terrestrial, wetland and aquatic plants.</w:t>
      </w:r>
    </w:p>
    <w:p w14:paraId="1C69C7F9" w14:textId="77777777" w:rsidR="00307537" w:rsidRPr="008B1A6C" w:rsidRDefault="00307537" w:rsidP="00307537">
      <w:pPr>
        <w:rPr>
          <w:color w:val="4472C4" w:themeColor="accent1"/>
        </w:rPr>
      </w:pPr>
    </w:p>
    <w:p w14:paraId="2129638A" w14:textId="77777777" w:rsidR="00307537" w:rsidRPr="008B1A6C" w:rsidRDefault="00307537" w:rsidP="00307537">
      <w:pPr>
        <w:pStyle w:val="Heading1"/>
        <w:rPr>
          <w:color w:val="4472C4" w:themeColor="accent1"/>
        </w:rPr>
      </w:pPr>
      <w:r w:rsidRPr="008B1A6C">
        <w:rPr>
          <w:color w:val="4472C4" w:themeColor="accent1"/>
        </w:rPr>
        <w:t>Overlap Analyses</w:t>
      </w:r>
    </w:p>
    <w:p w14:paraId="4BDC74EE" w14:textId="77777777" w:rsidR="00307537" w:rsidRDefault="00307537" w:rsidP="00307537"/>
    <w:p w14:paraId="637EB975" w14:textId="5A415492" w:rsidR="00307537" w:rsidRDefault="00307537" w:rsidP="00307537">
      <w:r>
        <w:t>Step 1 of the BE involves an analysis of the potential overlap of the action area and individual species ranges and critical habitat. The action area was derived in ArcGIS 10.</w:t>
      </w:r>
      <w:r w:rsidR="1F54285F">
        <w:t>8</w:t>
      </w:r>
      <w:r>
        <w:t xml:space="preserve"> by combining the data layers representative of </w:t>
      </w:r>
      <w:r w:rsidR="00FF5475">
        <w:t xml:space="preserve">imidacloprid </w:t>
      </w:r>
      <w:r>
        <w:t>uses and then buffering them out to the off-site transport distance estimated using the AgDRIFT model (</w:t>
      </w:r>
      <w:r w:rsidRPr="3B7812F3">
        <w:rPr>
          <w:b/>
          <w:bCs/>
        </w:rPr>
        <w:t>APPENDIX 1-6</w:t>
      </w:r>
      <w:r>
        <w:t>). The overlaps of action area and individual species’ ranges or critical habitats were calculated. This analysis used spatial data of species’ ranges and critical habitats from the FWS and NMFS. In the contiguous United States (ConUS), agricultural potential use sites are represented using the USDA Crop Data Layer (CDL) (</w:t>
      </w:r>
      <w:r w:rsidRPr="3B7812F3">
        <w:rPr>
          <w:b/>
          <w:bCs/>
        </w:rPr>
        <w:t>APPENDIX 1-5</w:t>
      </w:r>
      <w:r>
        <w:t>). All species or critical habitats with some overlap of the action area and their range or designated critical habitat, or with some overlap on species that the listed species depends on (</w:t>
      </w:r>
      <w:r w:rsidRPr="3B7812F3">
        <w:rPr>
          <w:b/>
          <w:bCs/>
        </w:rPr>
        <w:t>Chapter 4</w:t>
      </w:r>
      <w:r>
        <w:t xml:space="preserve">) </w:t>
      </w:r>
      <w:r w:rsidR="7D01F012">
        <w:t xml:space="preserve">move on to step 2 and </w:t>
      </w:r>
      <w:r>
        <w:t>are assessed to make LAA/NLAA determinations.</w:t>
      </w:r>
    </w:p>
    <w:p w14:paraId="2DF7434B" w14:textId="77777777" w:rsidR="00307537" w:rsidRDefault="00307537" w:rsidP="00307537"/>
    <w:p w14:paraId="01DD6B8B" w14:textId="5865FE78" w:rsidR="00307537" w:rsidRPr="008B1A6C" w:rsidRDefault="005043BC" w:rsidP="00307537">
      <w:pPr>
        <w:pStyle w:val="Heading1"/>
        <w:rPr>
          <w:color w:val="4472C4" w:themeColor="accent1"/>
        </w:rPr>
      </w:pPr>
      <w:r w:rsidRPr="008B1A6C">
        <w:rPr>
          <w:color w:val="4472C4" w:themeColor="accent1"/>
        </w:rPr>
        <w:t xml:space="preserve">Summary of </w:t>
      </w:r>
      <w:r w:rsidR="00307537" w:rsidRPr="008B1A6C">
        <w:rPr>
          <w:color w:val="4472C4" w:themeColor="accent1"/>
        </w:rPr>
        <w:t>Effects Determinations</w:t>
      </w:r>
      <w:r w:rsidRPr="008B1A6C">
        <w:rPr>
          <w:color w:val="4472C4" w:themeColor="accent1"/>
        </w:rPr>
        <w:t xml:space="preserve"> for Imidacloprid</w:t>
      </w:r>
    </w:p>
    <w:p w14:paraId="26735810" w14:textId="77777777" w:rsidR="00307537" w:rsidRDefault="00307537" w:rsidP="00307537"/>
    <w:p w14:paraId="320629DE" w14:textId="57800C51" w:rsidR="00307537" w:rsidRDefault="00307537" w:rsidP="14F7C6B6">
      <w:pPr>
        <w:rPr>
          <w:b/>
          <w:bCs/>
        </w:rPr>
      </w:pPr>
      <w:r>
        <w:t xml:space="preserve">This BE makes effects determinations (NE, </w:t>
      </w:r>
      <w:r w:rsidRPr="008B4300">
        <w:t>NLAA or LAA) for 1</w:t>
      </w:r>
      <w:r w:rsidR="53E669A7" w:rsidRPr="008B4300">
        <w:t>821 listed species, and 791</w:t>
      </w:r>
      <w:r w:rsidRPr="008B4300">
        <w:t xml:space="preserve"> designated critical habitats. </w:t>
      </w:r>
      <w:r w:rsidR="0450CC87" w:rsidRPr="008B4300">
        <w:t>Under Step 1, EPA made NE determinations for 20</w:t>
      </w:r>
      <w:r w:rsidR="004C07F5">
        <w:t>9</w:t>
      </w:r>
      <w:r w:rsidR="0450CC87" w:rsidRPr="008B4300">
        <w:t xml:space="preserve"> species and </w:t>
      </w:r>
      <w:r w:rsidR="004C07F5">
        <w:t>78</w:t>
      </w:r>
      <w:r w:rsidR="0450CC87" w:rsidRPr="008B4300">
        <w:t xml:space="preserve"> critical habitats</w:t>
      </w:r>
      <w:r w:rsidR="006261E1">
        <w:t xml:space="preserve">. </w:t>
      </w:r>
      <w:r w:rsidR="2A63BC6C" w:rsidRPr="008B4300">
        <w:t xml:space="preserve">EPA made </w:t>
      </w:r>
      <w:r w:rsidR="2A63BC6C">
        <w:t>MA determinations for 161</w:t>
      </w:r>
      <w:r w:rsidR="004C07F5">
        <w:t>2</w:t>
      </w:r>
      <w:r w:rsidR="2A63BC6C" w:rsidRPr="14F7C6B6">
        <w:rPr>
          <w:sz w:val="20"/>
          <w:szCs w:val="20"/>
        </w:rPr>
        <w:t xml:space="preserve"> </w:t>
      </w:r>
      <w:r w:rsidR="2A63BC6C">
        <w:t xml:space="preserve">species and </w:t>
      </w:r>
      <w:r w:rsidR="004C07F5">
        <w:t>713</w:t>
      </w:r>
      <w:r w:rsidR="2A63BC6C">
        <w:t xml:space="preserve"> critical habitats. As explained above, a</w:t>
      </w:r>
      <w:r w:rsidR="2A63BC6C" w:rsidRPr="14F7C6B6">
        <w:rPr>
          <w:rFonts w:ascii="Calibri" w:eastAsia="Calibri" w:hAnsi="Calibri" w:cs="Calibri"/>
          <w:color w:val="000000" w:themeColor="text1"/>
        </w:rPr>
        <w:t xml:space="preserve">ll species and critical habitats with a MA determination progressed to the Step 2 analysis where an NLAA or LAA determination is made </w:t>
      </w:r>
      <w:r w:rsidRPr="008B4300">
        <w:rPr>
          <w:rStyle w:val="FootnoteReference"/>
        </w:rPr>
        <w:footnoteReference w:id="4"/>
      </w:r>
      <w:r w:rsidRPr="008B4300">
        <w:t xml:space="preserve">. </w:t>
      </w:r>
      <w:r w:rsidR="60ED0982" w:rsidRPr="14F7C6B6">
        <w:t xml:space="preserve">In Step 2, EPA made </w:t>
      </w:r>
      <w:r w:rsidRPr="14F7C6B6">
        <w:t xml:space="preserve">NLAA determinations for </w:t>
      </w:r>
      <w:r w:rsidR="004C07F5">
        <w:rPr>
          <w:rFonts w:eastAsia="Calibri" w:cs="Calibri"/>
        </w:rPr>
        <w:t>167</w:t>
      </w:r>
      <w:r w:rsidRPr="008B4300">
        <w:rPr>
          <w:rFonts w:eastAsia="Calibri" w:cs="Calibri"/>
        </w:rPr>
        <w:t xml:space="preserve"> species and </w:t>
      </w:r>
      <w:r w:rsidR="53E669A7" w:rsidRPr="14F7C6B6">
        <w:rPr>
          <w:rFonts w:eastAsia="Calibri" w:cs="Calibri"/>
        </w:rPr>
        <w:t>5</w:t>
      </w:r>
      <w:r w:rsidR="004C07F5">
        <w:rPr>
          <w:rFonts w:eastAsia="Calibri" w:cs="Calibri"/>
        </w:rPr>
        <w:t>5</w:t>
      </w:r>
      <w:r w:rsidRPr="008B4300">
        <w:t xml:space="preserve"> critical </w:t>
      </w:r>
      <w:r w:rsidRPr="008B4300">
        <w:lastRenderedPageBreak/>
        <w:t xml:space="preserve">habitats. </w:t>
      </w:r>
      <w:r w:rsidR="236F48BC" w:rsidRPr="008B4300">
        <w:t xml:space="preserve">EPA made </w:t>
      </w:r>
      <w:r w:rsidRPr="008B4300">
        <w:t xml:space="preserve">LAA determinations for </w:t>
      </w:r>
      <w:r w:rsidR="004C07F5">
        <w:t>1445</w:t>
      </w:r>
      <w:r w:rsidRPr="008B4300">
        <w:t xml:space="preserve"> species and </w:t>
      </w:r>
      <w:r w:rsidR="004C07F5">
        <w:t>658</w:t>
      </w:r>
      <w:r w:rsidRPr="000C2F82">
        <w:t xml:space="preserve"> critical habitats. Specific species determinations are provided</w:t>
      </w:r>
      <w:r w:rsidR="00BB5BE9">
        <w:t xml:space="preserve"> and described</w:t>
      </w:r>
      <w:r w:rsidRPr="14F7C6B6">
        <w:t xml:space="preserve"> in </w:t>
      </w:r>
      <w:r w:rsidRPr="14F7C6B6">
        <w:rPr>
          <w:b/>
          <w:bCs/>
        </w:rPr>
        <w:t>APPENDIX 4-1.</w:t>
      </w:r>
    </w:p>
    <w:p w14:paraId="31810224" w14:textId="77777777" w:rsidR="00307537" w:rsidRDefault="00307537" w:rsidP="00307537"/>
    <w:p w14:paraId="3D3BE669" w14:textId="54C84629" w:rsidR="00307537" w:rsidRDefault="00307537" w:rsidP="00307537">
      <w:r>
        <w:t xml:space="preserve">For each LAA determination, </w:t>
      </w:r>
      <w:r w:rsidR="005043BC">
        <w:t xml:space="preserve">EPA also characterized these determinations into </w:t>
      </w:r>
      <w:r>
        <w:t>three categories (</w:t>
      </w:r>
      <w:r w:rsidRPr="14F7C6B6">
        <w:rPr>
          <w:i/>
          <w:iCs/>
        </w:rPr>
        <w:t>i.e.,</w:t>
      </w:r>
      <w:r>
        <w:t xml:space="preserve"> strongest, </w:t>
      </w:r>
      <w:proofErr w:type="gramStart"/>
      <w:r>
        <w:t>moderate</w:t>
      </w:r>
      <w:proofErr w:type="gramEnd"/>
      <w:r>
        <w:t xml:space="preserve"> and weakest) </w:t>
      </w:r>
      <w:r w:rsidR="005043BC">
        <w:t xml:space="preserve">which </w:t>
      </w:r>
      <w:r>
        <w:t>characterize</w:t>
      </w:r>
      <w:r w:rsidR="005043BC">
        <w:t>s</w:t>
      </w:r>
      <w:r>
        <w:t xml:space="preserve"> the strength of the weight of evidence. Each species or critical habitat was assigned a weak, moderate or strong evidence in the LAA determination based on multiple factors, including: the impact of using less conservative assumptions in the analysis, the quality of the species range or usage data, </w:t>
      </w:r>
      <w:r w:rsidR="00BB5BE9">
        <w:t xml:space="preserve">whether </w:t>
      </w:r>
      <w:r>
        <w:t xml:space="preserve">impacts </w:t>
      </w:r>
      <w:r w:rsidR="00BB5BE9">
        <w:t xml:space="preserve">could occur due to direct toxicity </w:t>
      </w:r>
      <w:r>
        <w:t xml:space="preserve">to the species </w:t>
      </w:r>
      <w:r w:rsidR="00BB5BE9">
        <w:t xml:space="preserve">or to both direct toxicity </w:t>
      </w:r>
      <w:r>
        <w:t xml:space="preserve">and </w:t>
      </w:r>
      <w:r w:rsidR="00BB5BE9">
        <w:t xml:space="preserve">to its </w:t>
      </w:r>
      <w:r>
        <w:t xml:space="preserve">prey, pollination, habitat, and dispersal (PPHD), the presence of reported incidents involving the species taxa or PPHD taxa, the presence of monitoring data that exceeds endpoints, </w:t>
      </w:r>
      <w:r w:rsidR="00BB5BE9">
        <w:t xml:space="preserve">whether species’ habitats are potential use sites or if they could only be </w:t>
      </w:r>
      <w:r>
        <w:t>expos</w:t>
      </w:r>
      <w:r w:rsidR="00BB5BE9">
        <w:t xml:space="preserve">ed </w:t>
      </w:r>
      <w:r>
        <w:t xml:space="preserve"> </w:t>
      </w:r>
      <w:r w:rsidR="00BB5BE9">
        <w:t>from s</w:t>
      </w:r>
      <w:r>
        <w:t>pray drift</w:t>
      </w:r>
      <w:r w:rsidR="00BB5BE9">
        <w:t>,</w:t>
      </w:r>
      <w:r>
        <w:t xml:space="preserve"> and the likelihood of drift into a species habitat (</w:t>
      </w:r>
      <w:r w:rsidRPr="00BB5BE9">
        <w:rPr>
          <w:i/>
          <w:iCs/>
        </w:rPr>
        <w:t>e.g</w:t>
      </w:r>
      <w:r>
        <w:t xml:space="preserve">., if the species inhabits forests). </w:t>
      </w:r>
    </w:p>
    <w:p w14:paraId="3E0320FD" w14:textId="77777777" w:rsidR="00307537" w:rsidRPr="007B79A6" w:rsidRDefault="00307537" w:rsidP="00307537">
      <w:r w:rsidRPr="00DC04D5">
        <w:t xml:space="preserve">  </w:t>
      </w:r>
    </w:p>
    <w:p w14:paraId="19155165" w14:textId="1CD7E432" w:rsidR="00307537" w:rsidRDefault="00307537" w:rsidP="00307537">
      <w:r w:rsidRPr="008B4300">
        <w:t>Of the LAA determinations, the majority (</w:t>
      </w:r>
      <w:r w:rsidR="008B4300" w:rsidRPr="008B4300">
        <w:t>9</w:t>
      </w:r>
      <w:r w:rsidR="004C07F5">
        <w:t>2</w:t>
      </w:r>
      <w:r w:rsidRPr="008B4300">
        <w:t xml:space="preserve">% of species and </w:t>
      </w:r>
      <w:r w:rsidR="008B4300" w:rsidRPr="008B4300">
        <w:t>9</w:t>
      </w:r>
      <w:r w:rsidR="004C07F5">
        <w:t>7</w:t>
      </w:r>
      <w:r w:rsidRPr="008B4300">
        <w:t xml:space="preserve">% of critical habitats) were considered to have moderate evidence. Strongest evidence was found for </w:t>
      </w:r>
      <w:r w:rsidR="008B4300" w:rsidRPr="008B4300">
        <w:t xml:space="preserve">none of the </w:t>
      </w:r>
      <w:r w:rsidRPr="008B4300">
        <w:t xml:space="preserve">species </w:t>
      </w:r>
      <w:r w:rsidR="008B4300" w:rsidRPr="008B4300">
        <w:t xml:space="preserve">or </w:t>
      </w:r>
      <w:r w:rsidRPr="008B4300">
        <w:t xml:space="preserve">critical habitat LAA determinations. Weakest evidence was found for </w:t>
      </w:r>
      <w:r w:rsidR="004C07F5">
        <w:t>8</w:t>
      </w:r>
      <w:r w:rsidRPr="008B4300">
        <w:t xml:space="preserve">% of species and </w:t>
      </w:r>
      <w:r w:rsidR="004C07F5">
        <w:t>3</w:t>
      </w:r>
      <w:r w:rsidRPr="008B4300">
        <w:t xml:space="preserve">% of critical habitat LAA determinations. Developed, Open Space Developed and </w:t>
      </w:r>
      <w:r w:rsidR="008B4300" w:rsidRPr="008B4300">
        <w:t>Managed Forests</w:t>
      </w:r>
      <w:r w:rsidRPr="008B4300">
        <w:t>, were the use sites most frequently associated with impacts to species or critical habitats with LAA determinations. LAA determinations were made for species across all taxa.</w:t>
      </w:r>
      <w:r w:rsidRPr="008B4300">
        <w:rPr>
          <w:i/>
          <w:iCs/>
        </w:rPr>
        <w:t xml:space="preserve"> </w:t>
      </w:r>
      <w:r w:rsidR="0084739B">
        <w:rPr>
          <w:rStyle w:val="normaltextrun"/>
          <w:rFonts w:ascii="Calibri" w:hAnsi="Calibri" w:cs="Calibri"/>
          <w:color w:val="000000"/>
          <w:shd w:val="clear" w:color="auto" w:fill="FFFFFF"/>
        </w:rPr>
        <w:t>Because imidacloprid is highly toxic to terrestrial and aquatic invertebrates but is much less toxic to other vertebrate and plant taxa, 1107 of the 1444 LAA determinations were based on effects to PPHD alone (see </w:t>
      </w:r>
      <w:r w:rsidR="0084739B">
        <w:rPr>
          <w:rStyle w:val="normaltextrun"/>
          <w:rFonts w:ascii="Calibri" w:hAnsi="Calibri" w:cs="Calibri"/>
          <w:b/>
          <w:bCs/>
          <w:color w:val="000000"/>
          <w:shd w:val="clear" w:color="auto" w:fill="FFFFFF"/>
        </w:rPr>
        <w:t>Table 4-7</w:t>
      </w:r>
      <w:r w:rsidR="0010686A">
        <w:rPr>
          <w:rStyle w:val="normaltextrun"/>
          <w:rFonts w:ascii="Calibri" w:hAnsi="Calibri" w:cs="Calibri"/>
          <w:b/>
          <w:bCs/>
          <w:color w:val="000000"/>
          <w:shd w:val="clear" w:color="auto" w:fill="FFFFFF"/>
        </w:rPr>
        <w:t xml:space="preserve"> </w:t>
      </w:r>
      <w:r w:rsidR="0010686A" w:rsidRPr="0010686A">
        <w:rPr>
          <w:rStyle w:val="normaltextrun"/>
          <w:rFonts w:ascii="Calibri" w:hAnsi="Calibri" w:cs="Calibri"/>
          <w:color w:val="000000"/>
          <w:shd w:val="clear" w:color="auto" w:fill="FFFFFF"/>
        </w:rPr>
        <w:t>in</w:t>
      </w:r>
      <w:r w:rsidR="0010686A">
        <w:rPr>
          <w:rStyle w:val="normaltextrun"/>
          <w:rFonts w:ascii="Calibri" w:hAnsi="Calibri" w:cs="Calibri"/>
          <w:b/>
          <w:bCs/>
          <w:color w:val="000000"/>
          <w:shd w:val="clear" w:color="auto" w:fill="FFFFFF"/>
        </w:rPr>
        <w:t xml:space="preserve"> Chapter 4</w:t>
      </w:r>
      <w:r w:rsidR="0084739B">
        <w:rPr>
          <w:rStyle w:val="normaltextrun"/>
          <w:rFonts w:ascii="Calibri" w:hAnsi="Calibri" w:cs="Calibri"/>
          <w:color w:val="000000"/>
          <w:shd w:val="clear" w:color="auto" w:fill="FFFFFF"/>
        </w:rPr>
        <w:t>). Having impacts only to PPHD also contributes to the high number of moderate strength of evidence classifications.</w:t>
      </w:r>
      <w:r w:rsidR="0084739B">
        <w:rPr>
          <w:rStyle w:val="normaltextrun"/>
          <w:rFonts w:ascii="Calibri" w:hAnsi="Calibri" w:cs="Calibri"/>
          <w:i/>
          <w:iCs/>
          <w:color w:val="000000"/>
          <w:shd w:val="clear" w:color="auto" w:fill="FFFFFF"/>
        </w:rPr>
        <w:t> </w:t>
      </w:r>
      <w:r w:rsidR="0084739B">
        <w:rPr>
          <w:rStyle w:val="normaltextrun"/>
          <w:rFonts w:ascii="Calibri" w:hAnsi="Calibri" w:cs="Calibri"/>
          <w:color w:val="000000"/>
          <w:shd w:val="clear" w:color="auto" w:fill="FFFFFF"/>
        </w:rPr>
        <w:t>For certain species, there were uncertainties in the </w:t>
      </w:r>
      <w:r w:rsidR="006C160C">
        <w:rPr>
          <w:rStyle w:val="normaltextrun"/>
          <w:rFonts w:ascii="Calibri" w:hAnsi="Calibri" w:cs="Calibri"/>
          <w:color w:val="000000"/>
          <w:shd w:val="clear" w:color="auto" w:fill="FFFFFF"/>
        </w:rPr>
        <w:t>imidacloprid</w:t>
      </w:r>
      <w:r w:rsidR="0084739B">
        <w:rPr>
          <w:rStyle w:val="normaltextrun"/>
          <w:rFonts w:ascii="Calibri" w:hAnsi="Calibri" w:cs="Calibri"/>
          <w:color w:val="000000"/>
          <w:shd w:val="clear" w:color="auto" w:fill="FFFFFF"/>
        </w:rPr>
        <w:t> effects determinations based on the resolution of spatial data. For species and critical habitats, there were uncertainties in the resolution of usage data and the threshold for assessing impacts on PPHD (detailed in </w:t>
      </w:r>
      <w:r w:rsidR="0084739B">
        <w:rPr>
          <w:rStyle w:val="normaltextrun"/>
          <w:rFonts w:ascii="Calibri" w:hAnsi="Calibri" w:cs="Calibri"/>
          <w:b/>
          <w:bCs/>
          <w:color w:val="000000"/>
          <w:shd w:val="clear" w:color="auto" w:fill="FFFFFF"/>
        </w:rPr>
        <w:t>Chapter 4</w:t>
      </w:r>
      <w:r w:rsidR="0084739B">
        <w:rPr>
          <w:rStyle w:val="normaltextrun"/>
          <w:rFonts w:ascii="Calibri" w:hAnsi="Calibri" w:cs="Calibri"/>
          <w:color w:val="000000"/>
          <w:shd w:val="clear" w:color="auto" w:fill="FFFFFF"/>
        </w:rPr>
        <w:t>).</w:t>
      </w:r>
      <w:r w:rsidR="0084739B">
        <w:rPr>
          <w:rStyle w:val="normaltextrun"/>
          <w:rFonts w:ascii="Calibri" w:hAnsi="Calibri" w:cs="Calibri"/>
          <w:i/>
          <w:iCs/>
          <w:color w:val="000000"/>
          <w:shd w:val="clear" w:color="auto" w:fill="FFFFFF"/>
        </w:rPr>
        <w:t> </w:t>
      </w:r>
      <w:r w:rsidR="0010686A" w:rsidRPr="0010686A">
        <w:rPr>
          <w:b/>
        </w:rPr>
        <w:fldChar w:fldCharType="begin"/>
      </w:r>
      <w:r w:rsidR="0010686A" w:rsidRPr="0010686A">
        <w:rPr>
          <w:rStyle w:val="normaltextrun"/>
          <w:rFonts w:ascii="Calibri" w:hAnsi="Calibri" w:cs="Calibri"/>
          <w:color w:val="000000"/>
          <w:shd w:val="clear" w:color="auto" w:fill="FFFFFF"/>
        </w:rPr>
        <w:instrText xml:space="preserve"> REF _Ref80262871 \h </w:instrText>
      </w:r>
      <w:r w:rsidR="0010686A" w:rsidRPr="0010686A">
        <w:rPr>
          <w:b/>
        </w:rPr>
        <w:instrText xml:space="preserve"> \* MERGEFORMAT </w:instrText>
      </w:r>
      <w:r w:rsidR="0010686A" w:rsidRPr="0010686A">
        <w:rPr>
          <w:b/>
        </w:rPr>
      </w:r>
      <w:r w:rsidR="0010686A" w:rsidRPr="0010686A">
        <w:rPr>
          <w:b/>
        </w:rPr>
        <w:fldChar w:fldCharType="separate"/>
      </w:r>
      <w:r w:rsidR="0010686A" w:rsidRPr="0010686A">
        <w:rPr>
          <w:b/>
          <w:bCs/>
          <w:color w:val="000000" w:themeColor="text1"/>
        </w:rPr>
        <w:t xml:space="preserve">Table </w:t>
      </w:r>
      <w:r w:rsidR="0010686A" w:rsidRPr="0010686A">
        <w:rPr>
          <w:b/>
          <w:bCs/>
          <w:noProof/>
          <w:color w:val="000000" w:themeColor="text1"/>
        </w:rPr>
        <w:t>1</w:t>
      </w:r>
      <w:r w:rsidR="0010686A" w:rsidRPr="0010686A">
        <w:rPr>
          <w:b/>
        </w:rPr>
        <w:fldChar w:fldCharType="end"/>
      </w:r>
      <w:r w:rsidR="0010686A" w:rsidRPr="0010686A">
        <w:rPr>
          <w:b/>
        </w:rPr>
        <w:t xml:space="preserve"> </w:t>
      </w:r>
      <w:r w:rsidR="0010686A" w:rsidRPr="0010686A">
        <w:rPr>
          <w:bCs/>
        </w:rPr>
        <w:t>and</w:t>
      </w:r>
      <w:r w:rsidR="0010686A" w:rsidRPr="0010686A">
        <w:rPr>
          <w:b/>
        </w:rPr>
        <w:t xml:space="preserve"> </w:t>
      </w:r>
      <w:r w:rsidR="0010686A" w:rsidRPr="0010686A">
        <w:rPr>
          <w:b/>
        </w:rPr>
        <w:fldChar w:fldCharType="begin"/>
      </w:r>
      <w:r w:rsidR="0010686A" w:rsidRPr="0010686A">
        <w:rPr>
          <w:b/>
        </w:rPr>
        <w:instrText xml:space="preserve"> REF _Ref80262874 \h  \* MERGEFORMAT </w:instrText>
      </w:r>
      <w:r w:rsidR="0010686A" w:rsidRPr="0010686A">
        <w:rPr>
          <w:b/>
        </w:rPr>
      </w:r>
      <w:r w:rsidR="0010686A" w:rsidRPr="0010686A">
        <w:rPr>
          <w:b/>
        </w:rPr>
        <w:fldChar w:fldCharType="separate"/>
      </w:r>
      <w:r w:rsidR="0010686A" w:rsidRPr="0010686A">
        <w:rPr>
          <w:b/>
          <w:bCs/>
          <w:color w:val="000000" w:themeColor="text1"/>
        </w:rPr>
        <w:t xml:space="preserve">Table </w:t>
      </w:r>
      <w:r w:rsidR="0010686A" w:rsidRPr="0010686A">
        <w:rPr>
          <w:b/>
          <w:bCs/>
          <w:noProof/>
          <w:color w:val="000000" w:themeColor="text1"/>
        </w:rPr>
        <w:t>2</w:t>
      </w:r>
      <w:r w:rsidR="0010686A" w:rsidRPr="0010686A">
        <w:rPr>
          <w:b/>
        </w:rPr>
        <w:fldChar w:fldCharType="end"/>
      </w:r>
      <w:r w:rsidRPr="008B4300">
        <w:t xml:space="preserve">summarize the NE, NLAA and LAA determinations for species and critical habitats. </w:t>
      </w:r>
      <w:r w:rsidR="0010686A" w:rsidRPr="0010686A">
        <w:rPr>
          <w:b/>
        </w:rPr>
        <w:fldChar w:fldCharType="begin"/>
      </w:r>
      <w:r w:rsidR="0010686A" w:rsidRPr="0010686A">
        <w:instrText xml:space="preserve"> REF _Ref80262906 \h </w:instrText>
      </w:r>
      <w:r w:rsidR="0010686A" w:rsidRPr="0010686A">
        <w:rPr>
          <w:b/>
        </w:rPr>
        <w:instrText xml:space="preserve"> \* MERGEFORMAT </w:instrText>
      </w:r>
      <w:r w:rsidR="0010686A" w:rsidRPr="0010686A">
        <w:rPr>
          <w:b/>
        </w:rPr>
      </w:r>
      <w:r w:rsidR="0010686A" w:rsidRPr="0010686A">
        <w:rPr>
          <w:b/>
        </w:rPr>
        <w:fldChar w:fldCharType="separate"/>
      </w:r>
      <w:r w:rsidR="0010686A" w:rsidRPr="0010686A">
        <w:rPr>
          <w:b/>
          <w:bCs/>
          <w:color w:val="000000" w:themeColor="text1"/>
        </w:rPr>
        <w:t xml:space="preserve">Table </w:t>
      </w:r>
      <w:r w:rsidR="0010686A" w:rsidRPr="0010686A">
        <w:rPr>
          <w:b/>
          <w:bCs/>
          <w:noProof/>
          <w:color w:val="000000" w:themeColor="text1"/>
        </w:rPr>
        <w:t>3</w:t>
      </w:r>
      <w:r w:rsidR="0010686A" w:rsidRPr="0010686A">
        <w:rPr>
          <w:b/>
        </w:rPr>
        <w:fldChar w:fldCharType="end"/>
      </w:r>
      <w:r w:rsidRPr="008B4300">
        <w:t xml:space="preserve"> summarizes the strength of evidence classifications for the LAA determinations.</w:t>
      </w:r>
    </w:p>
    <w:p w14:paraId="7E41BDD3" w14:textId="3B1C478E" w:rsidR="0021431D" w:rsidRDefault="0021431D" w:rsidP="00307537"/>
    <w:p w14:paraId="76353219" w14:textId="3D3DE729" w:rsidR="008B1A6C" w:rsidRPr="008E6AC4" w:rsidRDefault="24B54984" w:rsidP="008E6AC4">
      <w:pPr>
        <w:rPr>
          <w:rFonts w:ascii="Calibri" w:eastAsia="Calibri" w:hAnsi="Calibri" w:cs="Calibri"/>
        </w:rPr>
      </w:pPr>
      <w:r w:rsidRPr="28E83263">
        <w:rPr>
          <w:rFonts w:ascii="Calibri" w:eastAsia="Calibri" w:hAnsi="Calibri" w:cs="Calibri"/>
        </w:rPr>
        <w:t xml:space="preserve">EPA makes an LAA determination when there is the potential for a single individual of a species to be affected by the labeled use of a pesticide, which is a conservative threshold. </w:t>
      </w:r>
      <w:r w:rsidR="4CB84F79" w:rsidRPr="28E83263">
        <w:rPr>
          <w:rFonts w:ascii="Calibri" w:eastAsia="Calibri" w:hAnsi="Calibri" w:cs="Calibri"/>
        </w:rPr>
        <w:t xml:space="preserve">This often results in a high number of LAA determinations. </w:t>
      </w:r>
      <w:r w:rsidR="00F72CA1" w:rsidRPr="28E83263">
        <w:rPr>
          <w:rFonts w:ascii="Calibri" w:eastAsia="Calibri" w:hAnsi="Calibri" w:cs="Calibri"/>
        </w:rPr>
        <w:t xml:space="preserve">An LAA determination in the BE should not be interpreted to mean that EPA has </w:t>
      </w:r>
      <w:r w:rsidR="5C5FE19E" w:rsidRPr="28E83263">
        <w:rPr>
          <w:rFonts w:ascii="Calibri" w:eastAsia="Calibri" w:hAnsi="Calibri" w:cs="Calibri"/>
        </w:rPr>
        <w:t>determined</w:t>
      </w:r>
      <w:r w:rsidR="00F72CA1" w:rsidRPr="28E83263">
        <w:rPr>
          <w:rFonts w:ascii="Calibri" w:eastAsia="Calibri" w:hAnsi="Calibri" w:cs="Calibri"/>
        </w:rPr>
        <w:t xml:space="preserve"> that the registered use of imidacloprid is putting a listed species in jeopardy. The National Marine Fisheries Service and the Fish and Wildlife Service</w:t>
      </w:r>
      <w:r w:rsidR="62440654" w:rsidRPr="28E83263">
        <w:rPr>
          <w:rFonts w:ascii="Calibri" w:eastAsia="Calibri" w:hAnsi="Calibri" w:cs="Calibri"/>
        </w:rPr>
        <w:t xml:space="preserve"> make those determinations. </w:t>
      </w:r>
    </w:p>
    <w:p w14:paraId="558E1454" w14:textId="77777777" w:rsidR="008B1A6C" w:rsidRPr="0093373E" w:rsidRDefault="008B1A6C" w:rsidP="008E6AC4">
      <w:pPr>
        <w:rPr>
          <w:b/>
          <w:sz w:val="20"/>
          <w:szCs w:val="20"/>
        </w:rPr>
      </w:pPr>
    </w:p>
    <w:p w14:paraId="403A6855" w14:textId="2BF5DFBC" w:rsidR="0093373E" w:rsidRPr="0093373E" w:rsidRDefault="0093373E" w:rsidP="008E6AC4">
      <w:pPr>
        <w:pStyle w:val="Caption"/>
        <w:keepNext/>
        <w:keepLines/>
        <w:rPr>
          <w:b/>
          <w:bCs/>
          <w:i w:val="0"/>
          <w:iCs w:val="0"/>
          <w:color w:val="000000" w:themeColor="text1"/>
          <w:sz w:val="22"/>
          <w:szCs w:val="22"/>
        </w:rPr>
      </w:pPr>
      <w:bookmarkStart w:id="1" w:name="_Ref80262871"/>
      <w:r w:rsidRPr="0093373E">
        <w:rPr>
          <w:b/>
          <w:bCs/>
          <w:i w:val="0"/>
          <w:iCs w:val="0"/>
          <w:color w:val="000000" w:themeColor="text1"/>
          <w:sz w:val="22"/>
          <w:szCs w:val="22"/>
        </w:rPr>
        <w:lastRenderedPageBreak/>
        <w:t xml:space="preserve">Table </w:t>
      </w:r>
      <w:r w:rsidRPr="0093373E">
        <w:rPr>
          <w:b/>
          <w:bCs/>
          <w:i w:val="0"/>
          <w:iCs w:val="0"/>
          <w:color w:val="000000" w:themeColor="text1"/>
          <w:sz w:val="22"/>
          <w:szCs w:val="22"/>
        </w:rPr>
        <w:fldChar w:fldCharType="begin"/>
      </w:r>
      <w:r w:rsidRPr="0093373E">
        <w:rPr>
          <w:b/>
          <w:bCs/>
          <w:i w:val="0"/>
          <w:iCs w:val="0"/>
          <w:color w:val="000000" w:themeColor="text1"/>
          <w:sz w:val="22"/>
          <w:szCs w:val="22"/>
        </w:rPr>
        <w:instrText xml:space="preserve"> SEQ Table \* ARABIC </w:instrText>
      </w:r>
      <w:r w:rsidRPr="0093373E">
        <w:rPr>
          <w:b/>
          <w:bCs/>
          <w:i w:val="0"/>
          <w:iCs w:val="0"/>
          <w:color w:val="000000" w:themeColor="text1"/>
          <w:sz w:val="22"/>
          <w:szCs w:val="22"/>
        </w:rPr>
        <w:fldChar w:fldCharType="separate"/>
      </w:r>
      <w:r w:rsidRPr="0093373E">
        <w:rPr>
          <w:b/>
          <w:bCs/>
          <w:i w:val="0"/>
          <w:iCs w:val="0"/>
          <w:noProof/>
          <w:color w:val="000000" w:themeColor="text1"/>
          <w:sz w:val="22"/>
          <w:szCs w:val="22"/>
        </w:rPr>
        <w:t>1</w:t>
      </w:r>
      <w:r w:rsidRPr="0093373E">
        <w:rPr>
          <w:b/>
          <w:bCs/>
          <w:i w:val="0"/>
          <w:iCs w:val="0"/>
          <w:color w:val="000000" w:themeColor="text1"/>
          <w:sz w:val="22"/>
          <w:szCs w:val="22"/>
        </w:rPr>
        <w:fldChar w:fldCharType="end"/>
      </w:r>
      <w:bookmarkEnd w:id="1"/>
      <w:r w:rsidRPr="0093373E">
        <w:rPr>
          <w:b/>
          <w:bCs/>
          <w:i w:val="0"/>
          <w:iCs w:val="0"/>
          <w:color w:val="000000" w:themeColor="text1"/>
          <w:sz w:val="22"/>
          <w:szCs w:val="22"/>
        </w:rPr>
        <w:t>. Summary of Species Effects Determinations for Imidacloprid (Counts by Taxon).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990"/>
        <w:gridCol w:w="1170"/>
        <w:gridCol w:w="1980"/>
        <w:gridCol w:w="1799"/>
        <w:gridCol w:w="744"/>
      </w:tblGrid>
      <w:tr w:rsidR="00307537" w:rsidRPr="008B4300" w14:paraId="4FC56E33" w14:textId="77777777" w:rsidTr="00A92645">
        <w:trPr>
          <w:trHeight w:val="288"/>
        </w:trPr>
        <w:tc>
          <w:tcPr>
            <w:tcW w:w="2245" w:type="dxa"/>
            <w:vMerge w:val="restart"/>
            <w:shd w:val="clear" w:color="auto" w:fill="D9D9D9" w:themeFill="background1" w:themeFillShade="D9"/>
            <w:noWrap/>
            <w:vAlign w:val="center"/>
            <w:hideMark/>
          </w:tcPr>
          <w:p w14:paraId="18BD6CAD" w14:textId="77777777" w:rsidR="00307537" w:rsidRPr="008B4300" w:rsidRDefault="00307537" w:rsidP="008E6AC4">
            <w:pPr>
              <w:keepNext/>
              <w:keepLines/>
              <w:jc w:val="center"/>
              <w:rPr>
                <w:rFonts w:cstheme="minorHAnsi"/>
                <w:b/>
                <w:sz w:val="20"/>
                <w:szCs w:val="20"/>
              </w:rPr>
            </w:pPr>
            <w:r w:rsidRPr="008B4300">
              <w:rPr>
                <w:rFonts w:cstheme="minorHAnsi"/>
                <w:b/>
                <w:sz w:val="20"/>
                <w:szCs w:val="20"/>
              </w:rPr>
              <w:t>Taxon</w:t>
            </w:r>
          </w:p>
        </w:tc>
        <w:tc>
          <w:tcPr>
            <w:tcW w:w="2160" w:type="dxa"/>
            <w:gridSpan w:val="2"/>
            <w:shd w:val="clear" w:color="auto" w:fill="D9D9D9" w:themeFill="background1" w:themeFillShade="D9"/>
            <w:vAlign w:val="center"/>
            <w:hideMark/>
          </w:tcPr>
          <w:p w14:paraId="35FEE11F" w14:textId="77777777" w:rsidR="00307537" w:rsidRPr="008B4300" w:rsidRDefault="00307537" w:rsidP="008E6AC4">
            <w:pPr>
              <w:keepNext/>
              <w:keepLines/>
              <w:jc w:val="center"/>
              <w:rPr>
                <w:rFonts w:cstheme="minorHAnsi"/>
                <w:b/>
                <w:sz w:val="20"/>
                <w:szCs w:val="20"/>
              </w:rPr>
            </w:pPr>
            <w:r w:rsidRPr="008B4300">
              <w:rPr>
                <w:rFonts w:cstheme="minorHAnsi"/>
                <w:b/>
                <w:sz w:val="20"/>
                <w:szCs w:val="20"/>
              </w:rPr>
              <w:t>Step 1 Effects Determinations</w:t>
            </w:r>
          </w:p>
        </w:tc>
        <w:tc>
          <w:tcPr>
            <w:tcW w:w="3779" w:type="dxa"/>
            <w:gridSpan w:val="2"/>
            <w:shd w:val="clear" w:color="auto" w:fill="D9D9D9" w:themeFill="background1" w:themeFillShade="D9"/>
            <w:noWrap/>
            <w:vAlign w:val="center"/>
            <w:hideMark/>
          </w:tcPr>
          <w:p w14:paraId="0E0F258D" w14:textId="77777777" w:rsidR="00307537" w:rsidRPr="008B4300" w:rsidRDefault="00307537" w:rsidP="008E6AC4">
            <w:pPr>
              <w:keepNext/>
              <w:keepLines/>
              <w:jc w:val="center"/>
              <w:rPr>
                <w:rFonts w:cstheme="minorHAnsi"/>
                <w:b/>
                <w:sz w:val="20"/>
                <w:szCs w:val="20"/>
              </w:rPr>
            </w:pPr>
            <w:r w:rsidRPr="008B4300">
              <w:rPr>
                <w:rFonts w:cstheme="minorHAnsi"/>
                <w:b/>
                <w:sz w:val="20"/>
                <w:szCs w:val="20"/>
              </w:rPr>
              <w:t>Step 2 Effects Determinations</w:t>
            </w:r>
          </w:p>
        </w:tc>
        <w:tc>
          <w:tcPr>
            <w:tcW w:w="744" w:type="dxa"/>
            <w:vMerge w:val="restart"/>
            <w:shd w:val="clear" w:color="auto" w:fill="D9D9D9" w:themeFill="background1" w:themeFillShade="D9"/>
            <w:noWrap/>
            <w:vAlign w:val="center"/>
            <w:hideMark/>
          </w:tcPr>
          <w:p w14:paraId="76204A0B" w14:textId="77777777" w:rsidR="00307537" w:rsidRPr="008B4300" w:rsidRDefault="00307537" w:rsidP="008E6AC4">
            <w:pPr>
              <w:keepNext/>
              <w:keepLines/>
              <w:jc w:val="center"/>
              <w:rPr>
                <w:rFonts w:cstheme="minorHAnsi"/>
                <w:b/>
                <w:sz w:val="20"/>
                <w:szCs w:val="20"/>
              </w:rPr>
            </w:pPr>
            <w:r w:rsidRPr="008B4300">
              <w:rPr>
                <w:rFonts w:cstheme="minorHAnsi"/>
                <w:b/>
                <w:sz w:val="20"/>
                <w:szCs w:val="20"/>
              </w:rPr>
              <w:t>Totals</w:t>
            </w:r>
          </w:p>
        </w:tc>
      </w:tr>
      <w:tr w:rsidR="00307537" w:rsidRPr="008B4300" w14:paraId="63B90279" w14:textId="77777777" w:rsidTr="00A92645">
        <w:trPr>
          <w:trHeight w:val="288"/>
        </w:trPr>
        <w:tc>
          <w:tcPr>
            <w:tcW w:w="2245" w:type="dxa"/>
            <w:vMerge/>
            <w:vAlign w:val="center"/>
            <w:hideMark/>
          </w:tcPr>
          <w:p w14:paraId="64216B13" w14:textId="77777777" w:rsidR="00307537" w:rsidRPr="008B4300" w:rsidRDefault="00307537" w:rsidP="008E6AC4">
            <w:pPr>
              <w:keepNext/>
              <w:keepLines/>
              <w:rPr>
                <w:rFonts w:cstheme="minorHAnsi"/>
                <w:b/>
                <w:sz w:val="20"/>
                <w:szCs w:val="20"/>
              </w:rPr>
            </w:pPr>
          </w:p>
        </w:tc>
        <w:tc>
          <w:tcPr>
            <w:tcW w:w="990" w:type="dxa"/>
            <w:shd w:val="clear" w:color="auto" w:fill="D9D9D9" w:themeFill="background1" w:themeFillShade="D9"/>
            <w:vAlign w:val="center"/>
            <w:hideMark/>
          </w:tcPr>
          <w:p w14:paraId="71159BDB" w14:textId="77777777" w:rsidR="00307537" w:rsidRPr="008B4300" w:rsidRDefault="00307537" w:rsidP="008E6AC4">
            <w:pPr>
              <w:keepNext/>
              <w:keepLines/>
              <w:jc w:val="center"/>
              <w:rPr>
                <w:rFonts w:cstheme="minorHAnsi"/>
                <w:b/>
                <w:sz w:val="20"/>
                <w:szCs w:val="20"/>
              </w:rPr>
            </w:pPr>
            <w:r w:rsidRPr="008B4300">
              <w:rPr>
                <w:rFonts w:cstheme="minorHAnsi"/>
                <w:b/>
                <w:sz w:val="20"/>
                <w:szCs w:val="20"/>
              </w:rPr>
              <w:t>No Effect</w:t>
            </w:r>
          </w:p>
        </w:tc>
        <w:tc>
          <w:tcPr>
            <w:tcW w:w="1170" w:type="dxa"/>
            <w:shd w:val="clear" w:color="auto" w:fill="D9D9D9" w:themeFill="background1" w:themeFillShade="D9"/>
            <w:vAlign w:val="center"/>
            <w:hideMark/>
          </w:tcPr>
          <w:p w14:paraId="6509063C" w14:textId="77777777" w:rsidR="00307537" w:rsidRPr="008B4300" w:rsidRDefault="00307537" w:rsidP="008E6AC4">
            <w:pPr>
              <w:keepNext/>
              <w:keepLines/>
              <w:jc w:val="center"/>
              <w:rPr>
                <w:rFonts w:cstheme="minorHAnsi"/>
                <w:b/>
                <w:sz w:val="20"/>
                <w:szCs w:val="20"/>
              </w:rPr>
            </w:pPr>
            <w:r w:rsidRPr="008B4300">
              <w:rPr>
                <w:rFonts w:cstheme="minorHAnsi"/>
                <w:b/>
                <w:sz w:val="20"/>
                <w:szCs w:val="20"/>
              </w:rPr>
              <w:t>May Affect</w:t>
            </w:r>
          </w:p>
        </w:tc>
        <w:tc>
          <w:tcPr>
            <w:tcW w:w="1980" w:type="dxa"/>
            <w:shd w:val="clear" w:color="auto" w:fill="D9D9D9" w:themeFill="background1" w:themeFillShade="D9"/>
            <w:noWrap/>
            <w:vAlign w:val="center"/>
            <w:hideMark/>
          </w:tcPr>
          <w:p w14:paraId="2641185F" w14:textId="77777777" w:rsidR="00307537" w:rsidRPr="008B4300" w:rsidRDefault="00307537" w:rsidP="008E6AC4">
            <w:pPr>
              <w:keepNext/>
              <w:keepLines/>
              <w:jc w:val="center"/>
              <w:rPr>
                <w:rFonts w:cstheme="minorHAnsi"/>
                <w:b/>
                <w:sz w:val="20"/>
                <w:szCs w:val="20"/>
              </w:rPr>
            </w:pPr>
            <w:r w:rsidRPr="008B4300">
              <w:rPr>
                <w:rFonts w:cstheme="minorHAnsi"/>
                <w:b/>
                <w:sz w:val="20"/>
                <w:szCs w:val="20"/>
              </w:rPr>
              <w:t>Not Likely to Adversely Affect</w:t>
            </w:r>
          </w:p>
        </w:tc>
        <w:tc>
          <w:tcPr>
            <w:tcW w:w="1799" w:type="dxa"/>
            <w:shd w:val="clear" w:color="auto" w:fill="D9D9D9" w:themeFill="background1" w:themeFillShade="D9"/>
            <w:noWrap/>
            <w:vAlign w:val="center"/>
            <w:hideMark/>
          </w:tcPr>
          <w:p w14:paraId="2A50AF8F" w14:textId="77777777" w:rsidR="00307537" w:rsidRPr="008B4300" w:rsidRDefault="00307537" w:rsidP="008E6AC4">
            <w:pPr>
              <w:keepNext/>
              <w:keepLines/>
              <w:jc w:val="center"/>
              <w:rPr>
                <w:rFonts w:cstheme="minorHAnsi"/>
                <w:b/>
                <w:sz w:val="20"/>
                <w:szCs w:val="20"/>
              </w:rPr>
            </w:pPr>
            <w:r w:rsidRPr="008B4300">
              <w:rPr>
                <w:rFonts w:cstheme="minorHAnsi"/>
                <w:b/>
                <w:sz w:val="20"/>
                <w:szCs w:val="20"/>
              </w:rPr>
              <w:t>Likely to Adversely Affect</w:t>
            </w:r>
          </w:p>
        </w:tc>
        <w:tc>
          <w:tcPr>
            <w:tcW w:w="744" w:type="dxa"/>
            <w:vMerge/>
            <w:shd w:val="clear" w:color="auto" w:fill="D9D9D9" w:themeFill="background1" w:themeFillShade="D9"/>
            <w:vAlign w:val="center"/>
            <w:hideMark/>
          </w:tcPr>
          <w:p w14:paraId="746BB984" w14:textId="77777777" w:rsidR="00307537" w:rsidRPr="008B4300" w:rsidRDefault="00307537" w:rsidP="008E6AC4">
            <w:pPr>
              <w:keepNext/>
              <w:keepLines/>
              <w:rPr>
                <w:rFonts w:cstheme="minorHAnsi"/>
                <w:b/>
                <w:sz w:val="20"/>
                <w:szCs w:val="20"/>
              </w:rPr>
            </w:pPr>
          </w:p>
        </w:tc>
      </w:tr>
      <w:tr w:rsidR="004C07F5" w:rsidRPr="008B4300" w14:paraId="650B0FBD" w14:textId="77777777" w:rsidTr="0093373E">
        <w:trPr>
          <w:trHeight w:val="288"/>
        </w:trPr>
        <w:tc>
          <w:tcPr>
            <w:tcW w:w="2245" w:type="dxa"/>
            <w:shd w:val="clear" w:color="auto" w:fill="auto"/>
            <w:noWrap/>
            <w:vAlign w:val="center"/>
            <w:hideMark/>
          </w:tcPr>
          <w:p w14:paraId="4BA0D02C" w14:textId="7594535C" w:rsidR="004C07F5" w:rsidRPr="008B4300" w:rsidRDefault="004C07F5" w:rsidP="008E6AC4">
            <w:pPr>
              <w:keepNext/>
              <w:keepLines/>
              <w:rPr>
                <w:rFonts w:cstheme="minorHAnsi"/>
                <w:sz w:val="20"/>
                <w:szCs w:val="20"/>
              </w:rPr>
            </w:pPr>
            <w:r w:rsidRPr="008B4300">
              <w:rPr>
                <w:rStyle w:val="normaltextrun"/>
                <w:rFonts w:ascii="Calibri" w:hAnsi="Calibri" w:cs="Calibri"/>
                <w:color w:val="000000"/>
                <w:sz w:val="20"/>
                <w:szCs w:val="20"/>
              </w:rPr>
              <w:t>Mammals</w:t>
            </w:r>
            <w:r w:rsidRPr="008B4300">
              <w:rPr>
                <w:rStyle w:val="eop"/>
                <w:rFonts w:ascii="Calibri" w:hAnsi="Calibri" w:cs="Calibri"/>
                <w:color w:val="000000"/>
                <w:sz w:val="20"/>
                <w:szCs w:val="20"/>
              </w:rPr>
              <w:t> </w:t>
            </w:r>
          </w:p>
        </w:tc>
        <w:tc>
          <w:tcPr>
            <w:tcW w:w="990" w:type="dxa"/>
            <w:shd w:val="clear" w:color="auto" w:fill="auto"/>
            <w:vAlign w:val="center"/>
            <w:hideMark/>
          </w:tcPr>
          <w:p w14:paraId="735EF741" w14:textId="5285632C" w:rsidR="004C07F5" w:rsidRPr="004C07F5" w:rsidRDefault="004C07F5" w:rsidP="008E6AC4">
            <w:pPr>
              <w:keepNext/>
              <w:keepLines/>
              <w:jc w:val="center"/>
              <w:rPr>
                <w:rFonts w:cstheme="minorHAnsi"/>
                <w:sz w:val="20"/>
                <w:szCs w:val="20"/>
              </w:rPr>
            </w:pPr>
            <w:r w:rsidRPr="004C07F5">
              <w:rPr>
                <w:rFonts w:ascii="Calibri" w:hAnsi="Calibri" w:cs="Calibri"/>
                <w:color w:val="000000"/>
                <w:sz w:val="20"/>
                <w:szCs w:val="20"/>
              </w:rPr>
              <w:t>1</w:t>
            </w:r>
          </w:p>
        </w:tc>
        <w:tc>
          <w:tcPr>
            <w:tcW w:w="1170" w:type="dxa"/>
            <w:shd w:val="clear" w:color="auto" w:fill="auto"/>
            <w:vAlign w:val="center"/>
          </w:tcPr>
          <w:p w14:paraId="1D407F90" w14:textId="78525B9C" w:rsidR="004C07F5" w:rsidRPr="004C07F5" w:rsidRDefault="004C07F5" w:rsidP="008E6AC4">
            <w:pPr>
              <w:keepNext/>
              <w:keepLines/>
              <w:jc w:val="center"/>
              <w:rPr>
                <w:rFonts w:cstheme="minorHAnsi"/>
                <w:sz w:val="20"/>
                <w:szCs w:val="20"/>
              </w:rPr>
            </w:pPr>
            <w:r w:rsidRPr="004C07F5">
              <w:rPr>
                <w:rFonts w:ascii="Calibri" w:hAnsi="Calibri" w:cs="Calibri"/>
                <w:color w:val="000000"/>
                <w:sz w:val="20"/>
                <w:szCs w:val="20"/>
              </w:rPr>
              <w:t>101</w:t>
            </w:r>
          </w:p>
        </w:tc>
        <w:tc>
          <w:tcPr>
            <w:tcW w:w="1980" w:type="dxa"/>
            <w:shd w:val="clear" w:color="auto" w:fill="auto"/>
            <w:noWrap/>
            <w:vAlign w:val="center"/>
            <w:hideMark/>
          </w:tcPr>
          <w:p w14:paraId="4E6A7008" w14:textId="094CACD0" w:rsidR="004C07F5" w:rsidRPr="004C07F5" w:rsidRDefault="004C07F5" w:rsidP="008E6AC4">
            <w:pPr>
              <w:keepNext/>
              <w:keepLines/>
              <w:jc w:val="center"/>
              <w:rPr>
                <w:rFonts w:cstheme="minorHAnsi"/>
                <w:sz w:val="20"/>
                <w:szCs w:val="20"/>
              </w:rPr>
            </w:pPr>
            <w:r w:rsidRPr="004C07F5">
              <w:rPr>
                <w:rFonts w:ascii="Calibri" w:hAnsi="Calibri" w:cs="Calibri"/>
                <w:color w:val="000000"/>
                <w:sz w:val="20"/>
                <w:szCs w:val="20"/>
              </w:rPr>
              <w:t>32</w:t>
            </w:r>
          </w:p>
        </w:tc>
        <w:tc>
          <w:tcPr>
            <w:tcW w:w="1799" w:type="dxa"/>
            <w:shd w:val="clear" w:color="auto" w:fill="auto"/>
            <w:noWrap/>
            <w:vAlign w:val="center"/>
            <w:hideMark/>
          </w:tcPr>
          <w:p w14:paraId="6458D000" w14:textId="3BC86377" w:rsidR="004C07F5" w:rsidRPr="004C07F5" w:rsidRDefault="004C07F5" w:rsidP="008E6AC4">
            <w:pPr>
              <w:keepNext/>
              <w:keepLines/>
              <w:jc w:val="center"/>
              <w:rPr>
                <w:rFonts w:cstheme="minorHAnsi"/>
                <w:sz w:val="20"/>
                <w:szCs w:val="20"/>
              </w:rPr>
            </w:pPr>
            <w:r w:rsidRPr="004C07F5">
              <w:rPr>
                <w:rFonts w:ascii="Calibri" w:hAnsi="Calibri" w:cs="Calibri"/>
                <w:color w:val="000000"/>
                <w:sz w:val="20"/>
                <w:szCs w:val="20"/>
              </w:rPr>
              <w:t>69</w:t>
            </w:r>
          </w:p>
        </w:tc>
        <w:tc>
          <w:tcPr>
            <w:tcW w:w="744" w:type="dxa"/>
            <w:shd w:val="clear" w:color="auto" w:fill="auto"/>
            <w:noWrap/>
            <w:vAlign w:val="center"/>
          </w:tcPr>
          <w:p w14:paraId="3E307BD2" w14:textId="56769604" w:rsidR="004C07F5" w:rsidRPr="0084739B" w:rsidRDefault="004C07F5" w:rsidP="008E6AC4">
            <w:pPr>
              <w:keepNext/>
              <w:keepLines/>
              <w:jc w:val="center"/>
              <w:rPr>
                <w:rFonts w:cstheme="minorHAnsi"/>
                <w:sz w:val="20"/>
                <w:szCs w:val="20"/>
              </w:rPr>
            </w:pPr>
            <w:r w:rsidRPr="0084739B">
              <w:rPr>
                <w:rFonts w:ascii="Calibri" w:hAnsi="Calibri" w:cs="Calibri"/>
                <w:color w:val="000000"/>
                <w:sz w:val="20"/>
                <w:szCs w:val="20"/>
              </w:rPr>
              <w:t>102</w:t>
            </w:r>
          </w:p>
        </w:tc>
      </w:tr>
      <w:tr w:rsidR="004C07F5" w:rsidRPr="00D90338" w14:paraId="0FA12C1F" w14:textId="77777777" w:rsidTr="0093373E">
        <w:trPr>
          <w:trHeight w:val="288"/>
        </w:trPr>
        <w:tc>
          <w:tcPr>
            <w:tcW w:w="2245" w:type="dxa"/>
            <w:shd w:val="clear" w:color="auto" w:fill="auto"/>
            <w:noWrap/>
            <w:vAlign w:val="center"/>
            <w:hideMark/>
          </w:tcPr>
          <w:p w14:paraId="7467A770" w14:textId="44343839" w:rsidR="004C07F5" w:rsidRPr="008B4300" w:rsidRDefault="004C07F5" w:rsidP="008E6AC4">
            <w:pPr>
              <w:keepNext/>
              <w:keepLines/>
              <w:rPr>
                <w:rFonts w:cstheme="minorHAnsi"/>
                <w:sz w:val="20"/>
                <w:szCs w:val="20"/>
              </w:rPr>
            </w:pPr>
            <w:r w:rsidRPr="008B4300">
              <w:rPr>
                <w:rStyle w:val="normaltextrun"/>
                <w:rFonts w:ascii="Calibri" w:hAnsi="Calibri" w:cs="Calibri"/>
                <w:color w:val="000000"/>
                <w:sz w:val="20"/>
                <w:szCs w:val="20"/>
              </w:rPr>
              <w:t>Birds</w:t>
            </w:r>
            <w:r w:rsidRPr="008B4300">
              <w:rPr>
                <w:rStyle w:val="eop"/>
                <w:rFonts w:ascii="Calibri" w:hAnsi="Calibri" w:cs="Calibri"/>
                <w:color w:val="000000"/>
                <w:sz w:val="20"/>
                <w:szCs w:val="20"/>
              </w:rPr>
              <w:t> </w:t>
            </w:r>
          </w:p>
        </w:tc>
        <w:tc>
          <w:tcPr>
            <w:tcW w:w="990" w:type="dxa"/>
            <w:shd w:val="clear" w:color="auto" w:fill="auto"/>
            <w:vAlign w:val="center"/>
            <w:hideMark/>
          </w:tcPr>
          <w:p w14:paraId="478F7577" w14:textId="41CCB003" w:rsidR="004C07F5" w:rsidRPr="004C07F5" w:rsidRDefault="004C07F5" w:rsidP="008E6AC4">
            <w:pPr>
              <w:keepNext/>
              <w:keepLines/>
              <w:jc w:val="center"/>
              <w:rPr>
                <w:rFonts w:cstheme="minorHAnsi"/>
                <w:sz w:val="20"/>
                <w:szCs w:val="20"/>
              </w:rPr>
            </w:pPr>
            <w:r w:rsidRPr="004C07F5">
              <w:rPr>
                <w:rFonts w:ascii="Calibri" w:hAnsi="Calibri" w:cs="Calibri"/>
                <w:color w:val="000000"/>
                <w:sz w:val="20"/>
                <w:szCs w:val="20"/>
              </w:rPr>
              <w:t>0</w:t>
            </w:r>
          </w:p>
        </w:tc>
        <w:tc>
          <w:tcPr>
            <w:tcW w:w="1170" w:type="dxa"/>
            <w:shd w:val="clear" w:color="auto" w:fill="auto"/>
            <w:vAlign w:val="center"/>
          </w:tcPr>
          <w:p w14:paraId="659A20C8" w14:textId="00E1DD67" w:rsidR="004C07F5" w:rsidRPr="004C07F5" w:rsidRDefault="004C07F5" w:rsidP="008E6AC4">
            <w:pPr>
              <w:keepNext/>
              <w:keepLines/>
              <w:jc w:val="center"/>
              <w:rPr>
                <w:rFonts w:cstheme="minorHAnsi"/>
                <w:sz w:val="20"/>
                <w:szCs w:val="20"/>
              </w:rPr>
            </w:pPr>
            <w:r w:rsidRPr="004C07F5">
              <w:rPr>
                <w:rFonts w:ascii="Calibri" w:hAnsi="Calibri" w:cs="Calibri"/>
                <w:color w:val="000000"/>
                <w:sz w:val="20"/>
                <w:szCs w:val="20"/>
              </w:rPr>
              <w:t>108</w:t>
            </w:r>
          </w:p>
        </w:tc>
        <w:tc>
          <w:tcPr>
            <w:tcW w:w="1980" w:type="dxa"/>
            <w:shd w:val="clear" w:color="auto" w:fill="auto"/>
            <w:noWrap/>
            <w:vAlign w:val="center"/>
            <w:hideMark/>
          </w:tcPr>
          <w:p w14:paraId="64E88E97" w14:textId="765D5D14" w:rsidR="004C07F5" w:rsidRPr="004C07F5" w:rsidRDefault="004C07F5" w:rsidP="008E6AC4">
            <w:pPr>
              <w:keepNext/>
              <w:keepLines/>
              <w:jc w:val="center"/>
              <w:rPr>
                <w:rFonts w:cstheme="minorHAnsi"/>
                <w:sz w:val="20"/>
                <w:szCs w:val="20"/>
              </w:rPr>
            </w:pPr>
            <w:r w:rsidRPr="004C07F5">
              <w:rPr>
                <w:rFonts w:ascii="Calibri" w:hAnsi="Calibri" w:cs="Calibri"/>
                <w:color w:val="000000"/>
                <w:sz w:val="20"/>
                <w:szCs w:val="20"/>
              </w:rPr>
              <w:t>31</w:t>
            </w:r>
          </w:p>
        </w:tc>
        <w:tc>
          <w:tcPr>
            <w:tcW w:w="1799" w:type="dxa"/>
            <w:shd w:val="clear" w:color="auto" w:fill="auto"/>
            <w:noWrap/>
            <w:vAlign w:val="center"/>
            <w:hideMark/>
          </w:tcPr>
          <w:p w14:paraId="48B33350" w14:textId="0BD1629C" w:rsidR="004C07F5" w:rsidRPr="004C07F5" w:rsidRDefault="004C07F5" w:rsidP="008E6AC4">
            <w:pPr>
              <w:keepNext/>
              <w:keepLines/>
              <w:jc w:val="center"/>
              <w:rPr>
                <w:rFonts w:cstheme="minorHAnsi"/>
                <w:sz w:val="20"/>
                <w:szCs w:val="20"/>
              </w:rPr>
            </w:pPr>
            <w:r w:rsidRPr="004C07F5">
              <w:rPr>
                <w:rFonts w:ascii="Calibri" w:hAnsi="Calibri" w:cs="Calibri"/>
                <w:color w:val="000000"/>
                <w:sz w:val="20"/>
                <w:szCs w:val="20"/>
              </w:rPr>
              <w:t>77</w:t>
            </w:r>
          </w:p>
        </w:tc>
        <w:tc>
          <w:tcPr>
            <w:tcW w:w="744" w:type="dxa"/>
            <w:shd w:val="clear" w:color="auto" w:fill="auto"/>
            <w:noWrap/>
            <w:vAlign w:val="center"/>
          </w:tcPr>
          <w:p w14:paraId="1DC45297" w14:textId="0F3977AE" w:rsidR="004C07F5" w:rsidRPr="0084739B" w:rsidRDefault="004C07F5" w:rsidP="008E6AC4">
            <w:pPr>
              <w:keepNext/>
              <w:keepLines/>
              <w:jc w:val="center"/>
              <w:rPr>
                <w:rFonts w:cstheme="minorHAnsi"/>
                <w:sz w:val="20"/>
                <w:szCs w:val="20"/>
              </w:rPr>
            </w:pPr>
            <w:r w:rsidRPr="0084739B">
              <w:rPr>
                <w:rFonts w:ascii="Calibri" w:hAnsi="Calibri" w:cs="Calibri"/>
                <w:color w:val="000000"/>
                <w:sz w:val="20"/>
                <w:szCs w:val="20"/>
              </w:rPr>
              <w:t>108</w:t>
            </w:r>
          </w:p>
        </w:tc>
      </w:tr>
      <w:tr w:rsidR="004C07F5" w:rsidRPr="00D90338" w14:paraId="15482F3C" w14:textId="77777777" w:rsidTr="0093373E">
        <w:trPr>
          <w:trHeight w:val="288"/>
        </w:trPr>
        <w:tc>
          <w:tcPr>
            <w:tcW w:w="2245" w:type="dxa"/>
            <w:shd w:val="clear" w:color="auto" w:fill="auto"/>
            <w:noWrap/>
            <w:vAlign w:val="center"/>
            <w:hideMark/>
          </w:tcPr>
          <w:p w14:paraId="35265CC1" w14:textId="7847B207" w:rsidR="004C07F5" w:rsidRPr="00D90338" w:rsidRDefault="004C07F5" w:rsidP="008E6AC4">
            <w:pPr>
              <w:keepNext/>
              <w:keepLines/>
              <w:rPr>
                <w:rFonts w:cstheme="minorHAnsi"/>
                <w:sz w:val="20"/>
                <w:szCs w:val="20"/>
                <w:highlight w:val="yellow"/>
              </w:rPr>
            </w:pPr>
            <w:r>
              <w:rPr>
                <w:rStyle w:val="normaltextrun"/>
                <w:rFonts w:ascii="Calibri" w:hAnsi="Calibri" w:cs="Calibri"/>
                <w:color w:val="000000"/>
                <w:sz w:val="20"/>
                <w:szCs w:val="20"/>
              </w:rPr>
              <w:t>Amphibians</w:t>
            </w:r>
            <w:r>
              <w:rPr>
                <w:rStyle w:val="eop"/>
                <w:rFonts w:ascii="Calibri" w:hAnsi="Calibri" w:cs="Calibri"/>
                <w:color w:val="000000"/>
                <w:sz w:val="20"/>
                <w:szCs w:val="20"/>
              </w:rPr>
              <w:t> </w:t>
            </w:r>
          </w:p>
        </w:tc>
        <w:tc>
          <w:tcPr>
            <w:tcW w:w="990" w:type="dxa"/>
            <w:shd w:val="clear" w:color="auto" w:fill="auto"/>
            <w:vAlign w:val="center"/>
            <w:hideMark/>
          </w:tcPr>
          <w:p w14:paraId="1BC13A7F" w14:textId="4B9288BD"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0</w:t>
            </w:r>
          </w:p>
        </w:tc>
        <w:tc>
          <w:tcPr>
            <w:tcW w:w="1170" w:type="dxa"/>
            <w:shd w:val="clear" w:color="auto" w:fill="auto"/>
            <w:vAlign w:val="center"/>
          </w:tcPr>
          <w:p w14:paraId="5EEDE091" w14:textId="10235A6B"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38</w:t>
            </w:r>
          </w:p>
        </w:tc>
        <w:tc>
          <w:tcPr>
            <w:tcW w:w="1980" w:type="dxa"/>
            <w:shd w:val="clear" w:color="auto" w:fill="auto"/>
            <w:noWrap/>
            <w:vAlign w:val="center"/>
            <w:hideMark/>
          </w:tcPr>
          <w:p w14:paraId="66CD10FC" w14:textId="26523F3A"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0</w:t>
            </w:r>
          </w:p>
        </w:tc>
        <w:tc>
          <w:tcPr>
            <w:tcW w:w="1799" w:type="dxa"/>
            <w:shd w:val="clear" w:color="auto" w:fill="auto"/>
            <w:noWrap/>
            <w:vAlign w:val="center"/>
            <w:hideMark/>
          </w:tcPr>
          <w:p w14:paraId="64118C7B" w14:textId="71427B98"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38</w:t>
            </w:r>
          </w:p>
        </w:tc>
        <w:tc>
          <w:tcPr>
            <w:tcW w:w="744" w:type="dxa"/>
            <w:shd w:val="clear" w:color="auto" w:fill="auto"/>
            <w:noWrap/>
            <w:vAlign w:val="center"/>
          </w:tcPr>
          <w:p w14:paraId="10472AF8" w14:textId="39245A88" w:rsidR="004C07F5" w:rsidRPr="0084739B" w:rsidRDefault="004C07F5" w:rsidP="008E6AC4">
            <w:pPr>
              <w:keepNext/>
              <w:keepLines/>
              <w:jc w:val="center"/>
              <w:rPr>
                <w:rFonts w:cstheme="minorHAnsi"/>
                <w:sz w:val="20"/>
                <w:szCs w:val="20"/>
                <w:highlight w:val="yellow"/>
              </w:rPr>
            </w:pPr>
            <w:r w:rsidRPr="0084739B">
              <w:rPr>
                <w:rFonts w:ascii="Calibri" w:hAnsi="Calibri" w:cs="Calibri"/>
                <w:color w:val="000000"/>
                <w:sz w:val="20"/>
                <w:szCs w:val="20"/>
              </w:rPr>
              <w:t>38</w:t>
            </w:r>
          </w:p>
        </w:tc>
      </w:tr>
      <w:tr w:rsidR="004C07F5" w:rsidRPr="00D90338" w14:paraId="4D64FF4F" w14:textId="77777777" w:rsidTr="0093373E">
        <w:trPr>
          <w:trHeight w:val="288"/>
        </w:trPr>
        <w:tc>
          <w:tcPr>
            <w:tcW w:w="2245" w:type="dxa"/>
            <w:shd w:val="clear" w:color="auto" w:fill="auto"/>
            <w:noWrap/>
            <w:vAlign w:val="center"/>
            <w:hideMark/>
          </w:tcPr>
          <w:p w14:paraId="0D48BAAF" w14:textId="1720A714" w:rsidR="004C07F5" w:rsidRPr="00D90338" w:rsidRDefault="004C07F5" w:rsidP="008E6AC4">
            <w:pPr>
              <w:keepNext/>
              <w:keepLines/>
              <w:rPr>
                <w:rFonts w:cstheme="minorHAnsi"/>
                <w:sz w:val="20"/>
                <w:szCs w:val="20"/>
                <w:highlight w:val="yellow"/>
              </w:rPr>
            </w:pPr>
            <w:r>
              <w:rPr>
                <w:rStyle w:val="normaltextrun"/>
                <w:rFonts w:ascii="Calibri" w:hAnsi="Calibri" w:cs="Calibri"/>
                <w:color w:val="000000"/>
                <w:sz w:val="20"/>
                <w:szCs w:val="20"/>
              </w:rPr>
              <w:t>Reptiles</w:t>
            </w:r>
            <w:r>
              <w:rPr>
                <w:rStyle w:val="eop"/>
                <w:rFonts w:ascii="Calibri" w:hAnsi="Calibri" w:cs="Calibri"/>
                <w:color w:val="000000"/>
                <w:sz w:val="20"/>
                <w:szCs w:val="20"/>
              </w:rPr>
              <w:t> </w:t>
            </w:r>
          </w:p>
        </w:tc>
        <w:tc>
          <w:tcPr>
            <w:tcW w:w="990" w:type="dxa"/>
            <w:shd w:val="clear" w:color="auto" w:fill="auto"/>
            <w:vAlign w:val="center"/>
            <w:hideMark/>
          </w:tcPr>
          <w:p w14:paraId="3A2E93A8" w14:textId="0C6BAD36"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1</w:t>
            </w:r>
          </w:p>
        </w:tc>
        <w:tc>
          <w:tcPr>
            <w:tcW w:w="1170" w:type="dxa"/>
            <w:shd w:val="clear" w:color="auto" w:fill="auto"/>
            <w:vAlign w:val="center"/>
          </w:tcPr>
          <w:p w14:paraId="27E363D5" w14:textId="59EFDF4B"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46</w:t>
            </w:r>
          </w:p>
        </w:tc>
        <w:tc>
          <w:tcPr>
            <w:tcW w:w="1980" w:type="dxa"/>
            <w:shd w:val="clear" w:color="auto" w:fill="auto"/>
            <w:noWrap/>
            <w:vAlign w:val="center"/>
            <w:hideMark/>
          </w:tcPr>
          <w:p w14:paraId="5979A703" w14:textId="2074FEA7"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16</w:t>
            </w:r>
          </w:p>
        </w:tc>
        <w:tc>
          <w:tcPr>
            <w:tcW w:w="1799" w:type="dxa"/>
            <w:shd w:val="clear" w:color="auto" w:fill="auto"/>
            <w:noWrap/>
            <w:vAlign w:val="center"/>
            <w:hideMark/>
          </w:tcPr>
          <w:p w14:paraId="2B09069E" w14:textId="7059AAE0"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30</w:t>
            </w:r>
          </w:p>
        </w:tc>
        <w:tc>
          <w:tcPr>
            <w:tcW w:w="744" w:type="dxa"/>
            <w:shd w:val="clear" w:color="auto" w:fill="auto"/>
            <w:noWrap/>
            <w:vAlign w:val="center"/>
          </w:tcPr>
          <w:p w14:paraId="144F9DCA" w14:textId="21D966BF" w:rsidR="004C07F5" w:rsidRPr="0084739B" w:rsidRDefault="004C07F5" w:rsidP="008E6AC4">
            <w:pPr>
              <w:keepNext/>
              <w:keepLines/>
              <w:jc w:val="center"/>
              <w:rPr>
                <w:rFonts w:cstheme="minorHAnsi"/>
                <w:sz w:val="20"/>
                <w:szCs w:val="20"/>
                <w:highlight w:val="yellow"/>
              </w:rPr>
            </w:pPr>
            <w:r w:rsidRPr="0084739B">
              <w:rPr>
                <w:rFonts w:ascii="Calibri" w:hAnsi="Calibri" w:cs="Calibri"/>
                <w:color w:val="000000"/>
                <w:sz w:val="20"/>
                <w:szCs w:val="20"/>
              </w:rPr>
              <w:t>47</w:t>
            </w:r>
          </w:p>
        </w:tc>
      </w:tr>
      <w:tr w:rsidR="004C07F5" w:rsidRPr="00D90338" w14:paraId="10B74112" w14:textId="77777777" w:rsidTr="0093373E">
        <w:trPr>
          <w:trHeight w:val="288"/>
        </w:trPr>
        <w:tc>
          <w:tcPr>
            <w:tcW w:w="2245" w:type="dxa"/>
            <w:shd w:val="clear" w:color="auto" w:fill="auto"/>
            <w:noWrap/>
            <w:vAlign w:val="center"/>
            <w:hideMark/>
          </w:tcPr>
          <w:p w14:paraId="36A36AFE" w14:textId="19DE9893" w:rsidR="004C07F5" w:rsidRPr="00D90338" w:rsidRDefault="004C07F5" w:rsidP="008E6AC4">
            <w:pPr>
              <w:keepNext/>
              <w:keepLines/>
              <w:rPr>
                <w:rFonts w:cstheme="minorHAnsi"/>
                <w:sz w:val="20"/>
                <w:szCs w:val="20"/>
                <w:highlight w:val="yellow"/>
              </w:rPr>
            </w:pPr>
            <w:r>
              <w:rPr>
                <w:rStyle w:val="normaltextrun"/>
                <w:rFonts w:ascii="Calibri" w:hAnsi="Calibri" w:cs="Calibri"/>
                <w:color w:val="000000"/>
                <w:sz w:val="20"/>
                <w:szCs w:val="20"/>
              </w:rPr>
              <w:t>Fish</w:t>
            </w:r>
            <w:r>
              <w:rPr>
                <w:rStyle w:val="eop"/>
                <w:rFonts w:ascii="Calibri" w:hAnsi="Calibri" w:cs="Calibri"/>
                <w:color w:val="000000"/>
                <w:sz w:val="20"/>
                <w:szCs w:val="20"/>
              </w:rPr>
              <w:t> </w:t>
            </w:r>
          </w:p>
        </w:tc>
        <w:tc>
          <w:tcPr>
            <w:tcW w:w="990" w:type="dxa"/>
            <w:shd w:val="clear" w:color="auto" w:fill="auto"/>
            <w:vAlign w:val="center"/>
            <w:hideMark/>
          </w:tcPr>
          <w:p w14:paraId="364C5E54" w14:textId="22935111"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4</w:t>
            </w:r>
          </w:p>
        </w:tc>
        <w:tc>
          <w:tcPr>
            <w:tcW w:w="1170" w:type="dxa"/>
            <w:shd w:val="clear" w:color="auto" w:fill="auto"/>
            <w:vAlign w:val="center"/>
          </w:tcPr>
          <w:p w14:paraId="2ACB7E01" w14:textId="0ACEF0DA"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188</w:t>
            </w:r>
          </w:p>
        </w:tc>
        <w:tc>
          <w:tcPr>
            <w:tcW w:w="1980" w:type="dxa"/>
            <w:shd w:val="clear" w:color="auto" w:fill="auto"/>
            <w:noWrap/>
            <w:vAlign w:val="center"/>
            <w:hideMark/>
          </w:tcPr>
          <w:p w14:paraId="5BADBCC3" w14:textId="0AC18857"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13</w:t>
            </w:r>
          </w:p>
        </w:tc>
        <w:tc>
          <w:tcPr>
            <w:tcW w:w="1799" w:type="dxa"/>
            <w:shd w:val="clear" w:color="auto" w:fill="auto"/>
            <w:noWrap/>
            <w:vAlign w:val="center"/>
            <w:hideMark/>
          </w:tcPr>
          <w:p w14:paraId="332F5ADC" w14:textId="11B67E16"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175</w:t>
            </w:r>
          </w:p>
        </w:tc>
        <w:tc>
          <w:tcPr>
            <w:tcW w:w="744" w:type="dxa"/>
            <w:shd w:val="clear" w:color="auto" w:fill="auto"/>
            <w:noWrap/>
            <w:vAlign w:val="center"/>
          </w:tcPr>
          <w:p w14:paraId="3ABD717B" w14:textId="129F3E6B" w:rsidR="004C07F5" w:rsidRPr="0084739B" w:rsidRDefault="004C07F5" w:rsidP="008E6AC4">
            <w:pPr>
              <w:keepNext/>
              <w:keepLines/>
              <w:jc w:val="center"/>
              <w:rPr>
                <w:rFonts w:cstheme="minorHAnsi"/>
                <w:sz w:val="20"/>
                <w:szCs w:val="20"/>
                <w:highlight w:val="yellow"/>
              </w:rPr>
            </w:pPr>
            <w:r w:rsidRPr="0084739B">
              <w:rPr>
                <w:rFonts w:ascii="Calibri" w:hAnsi="Calibri" w:cs="Calibri"/>
                <w:color w:val="000000"/>
                <w:sz w:val="20"/>
                <w:szCs w:val="20"/>
              </w:rPr>
              <w:t>192</w:t>
            </w:r>
          </w:p>
        </w:tc>
      </w:tr>
      <w:tr w:rsidR="004C07F5" w:rsidRPr="00D90338" w14:paraId="79AA0355" w14:textId="77777777" w:rsidTr="0093373E">
        <w:trPr>
          <w:trHeight w:val="288"/>
        </w:trPr>
        <w:tc>
          <w:tcPr>
            <w:tcW w:w="2245" w:type="dxa"/>
            <w:shd w:val="clear" w:color="auto" w:fill="auto"/>
            <w:noWrap/>
            <w:vAlign w:val="center"/>
            <w:hideMark/>
          </w:tcPr>
          <w:p w14:paraId="61480AA8" w14:textId="3277342E" w:rsidR="004C07F5" w:rsidRPr="00D90338" w:rsidRDefault="004C07F5" w:rsidP="008E6AC4">
            <w:pPr>
              <w:keepNext/>
              <w:keepLines/>
              <w:rPr>
                <w:rFonts w:cstheme="minorHAnsi"/>
                <w:sz w:val="20"/>
                <w:szCs w:val="20"/>
                <w:highlight w:val="yellow"/>
              </w:rPr>
            </w:pPr>
            <w:r>
              <w:rPr>
                <w:rStyle w:val="normaltextrun"/>
                <w:rFonts w:ascii="Calibri" w:hAnsi="Calibri" w:cs="Calibri"/>
                <w:color w:val="000000"/>
                <w:sz w:val="20"/>
                <w:szCs w:val="20"/>
              </w:rPr>
              <w:t>Plants</w:t>
            </w:r>
            <w:r>
              <w:rPr>
                <w:rStyle w:val="eop"/>
                <w:rFonts w:ascii="Calibri" w:hAnsi="Calibri" w:cs="Calibri"/>
                <w:color w:val="000000"/>
                <w:sz w:val="20"/>
                <w:szCs w:val="20"/>
              </w:rPr>
              <w:t> </w:t>
            </w:r>
          </w:p>
        </w:tc>
        <w:tc>
          <w:tcPr>
            <w:tcW w:w="990" w:type="dxa"/>
            <w:shd w:val="clear" w:color="auto" w:fill="auto"/>
            <w:vAlign w:val="center"/>
            <w:hideMark/>
          </w:tcPr>
          <w:p w14:paraId="23CDB4F0" w14:textId="77FA1D07"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49</w:t>
            </w:r>
          </w:p>
        </w:tc>
        <w:tc>
          <w:tcPr>
            <w:tcW w:w="1170" w:type="dxa"/>
            <w:shd w:val="clear" w:color="auto" w:fill="auto"/>
            <w:vAlign w:val="center"/>
          </w:tcPr>
          <w:p w14:paraId="25A30FDD" w14:textId="7F465B34"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901</w:t>
            </w:r>
          </w:p>
        </w:tc>
        <w:tc>
          <w:tcPr>
            <w:tcW w:w="1980" w:type="dxa"/>
            <w:shd w:val="clear" w:color="auto" w:fill="auto"/>
            <w:noWrap/>
            <w:vAlign w:val="center"/>
            <w:hideMark/>
          </w:tcPr>
          <w:p w14:paraId="7BA45F5B" w14:textId="48BFE3FC"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17</w:t>
            </w:r>
          </w:p>
        </w:tc>
        <w:tc>
          <w:tcPr>
            <w:tcW w:w="1799" w:type="dxa"/>
            <w:shd w:val="clear" w:color="auto" w:fill="auto"/>
            <w:noWrap/>
            <w:vAlign w:val="center"/>
            <w:hideMark/>
          </w:tcPr>
          <w:p w14:paraId="6BEB3099" w14:textId="26B68402"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884</w:t>
            </w:r>
          </w:p>
        </w:tc>
        <w:tc>
          <w:tcPr>
            <w:tcW w:w="744" w:type="dxa"/>
            <w:shd w:val="clear" w:color="auto" w:fill="auto"/>
            <w:noWrap/>
            <w:vAlign w:val="center"/>
          </w:tcPr>
          <w:p w14:paraId="38B4583E" w14:textId="2C5F7C14" w:rsidR="004C07F5" w:rsidRPr="0084739B" w:rsidRDefault="004C07F5" w:rsidP="008E6AC4">
            <w:pPr>
              <w:keepNext/>
              <w:keepLines/>
              <w:jc w:val="center"/>
              <w:rPr>
                <w:rFonts w:cstheme="minorHAnsi"/>
                <w:sz w:val="20"/>
                <w:szCs w:val="20"/>
                <w:highlight w:val="yellow"/>
              </w:rPr>
            </w:pPr>
            <w:r w:rsidRPr="0084739B">
              <w:rPr>
                <w:rFonts w:ascii="Calibri" w:hAnsi="Calibri" w:cs="Calibri"/>
                <w:color w:val="000000"/>
                <w:sz w:val="20"/>
                <w:szCs w:val="20"/>
              </w:rPr>
              <w:t>950</w:t>
            </w:r>
          </w:p>
        </w:tc>
      </w:tr>
      <w:tr w:rsidR="004C07F5" w:rsidRPr="00D90338" w14:paraId="78B197B7" w14:textId="77777777" w:rsidTr="0093373E">
        <w:trPr>
          <w:trHeight w:val="288"/>
        </w:trPr>
        <w:tc>
          <w:tcPr>
            <w:tcW w:w="2245" w:type="dxa"/>
            <w:shd w:val="clear" w:color="auto" w:fill="auto"/>
            <w:noWrap/>
            <w:vAlign w:val="center"/>
            <w:hideMark/>
          </w:tcPr>
          <w:p w14:paraId="0A4ED8A8" w14:textId="6DFD058C" w:rsidR="004C07F5" w:rsidRPr="00D90338" w:rsidRDefault="004C07F5" w:rsidP="008E6AC4">
            <w:pPr>
              <w:keepNext/>
              <w:keepLines/>
              <w:rPr>
                <w:rFonts w:cstheme="minorHAnsi"/>
                <w:sz w:val="20"/>
                <w:szCs w:val="20"/>
                <w:highlight w:val="yellow"/>
              </w:rPr>
            </w:pPr>
            <w:r>
              <w:rPr>
                <w:rStyle w:val="normaltextrun"/>
                <w:rFonts w:ascii="Calibri" w:hAnsi="Calibri" w:cs="Calibri"/>
                <w:color w:val="000000"/>
                <w:sz w:val="20"/>
                <w:szCs w:val="20"/>
              </w:rPr>
              <w:t>Aquatic Invertebrates</w:t>
            </w:r>
            <w:r>
              <w:rPr>
                <w:rStyle w:val="eop"/>
                <w:rFonts w:ascii="Calibri" w:hAnsi="Calibri" w:cs="Calibri"/>
                <w:color w:val="000000"/>
                <w:sz w:val="20"/>
                <w:szCs w:val="20"/>
              </w:rPr>
              <w:t> </w:t>
            </w:r>
          </w:p>
        </w:tc>
        <w:tc>
          <w:tcPr>
            <w:tcW w:w="990" w:type="dxa"/>
            <w:shd w:val="clear" w:color="auto" w:fill="auto"/>
            <w:vAlign w:val="center"/>
            <w:hideMark/>
          </w:tcPr>
          <w:p w14:paraId="0DDA536A" w14:textId="014C7580"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151</w:t>
            </w:r>
          </w:p>
        </w:tc>
        <w:tc>
          <w:tcPr>
            <w:tcW w:w="1170" w:type="dxa"/>
            <w:shd w:val="clear" w:color="auto" w:fill="auto"/>
            <w:vAlign w:val="center"/>
          </w:tcPr>
          <w:p w14:paraId="0BBECDB2" w14:textId="74D4F423"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72</w:t>
            </w:r>
          </w:p>
        </w:tc>
        <w:tc>
          <w:tcPr>
            <w:tcW w:w="1980" w:type="dxa"/>
            <w:shd w:val="clear" w:color="auto" w:fill="auto"/>
            <w:noWrap/>
            <w:vAlign w:val="center"/>
            <w:hideMark/>
          </w:tcPr>
          <w:p w14:paraId="31E5E461" w14:textId="21B8CD06"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33</w:t>
            </w:r>
          </w:p>
        </w:tc>
        <w:tc>
          <w:tcPr>
            <w:tcW w:w="1799" w:type="dxa"/>
            <w:shd w:val="clear" w:color="auto" w:fill="auto"/>
            <w:noWrap/>
            <w:vAlign w:val="center"/>
            <w:hideMark/>
          </w:tcPr>
          <w:p w14:paraId="5B77385A" w14:textId="50192A62" w:rsidR="004C07F5" w:rsidRPr="004C07F5" w:rsidRDefault="004C07F5" w:rsidP="008E6AC4">
            <w:pPr>
              <w:keepNext/>
              <w:keepLines/>
              <w:jc w:val="center"/>
              <w:rPr>
                <w:rFonts w:cstheme="minorHAnsi"/>
                <w:sz w:val="20"/>
                <w:szCs w:val="20"/>
                <w:highlight w:val="yellow"/>
              </w:rPr>
            </w:pPr>
            <w:r w:rsidRPr="004C07F5">
              <w:rPr>
                <w:rFonts w:ascii="Calibri" w:hAnsi="Calibri" w:cs="Calibri"/>
                <w:color w:val="000000"/>
                <w:sz w:val="20"/>
                <w:szCs w:val="20"/>
              </w:rPr>
              <w:t>39</w:t>
            </w:r>
          </w:p>
        </w:tc>
        <w:tc>
          <w:tcPr>
            <w:tcW w:w="744" w:type="dxa"/>
            <w:shd w:val="clear" w:color="auto" w:fill="auto"/>
            <w:noWrap/>
            <w:vAlign w:val="center"/>
          </w:tcPr>
          <w:p w14:paraId="07B9A9BE" w14:textId="07DE084F" w:rsidR="004C07F5" w:rsidRPr="0084739B" w:rsidRDefault="004C07F5" w:rsidP="008E6AC4">
            <w:pPr>
              <w:keepNext/>
              <w:keepLines/>
              <w:jc w:val="center"/>
              <w:rPr>
                <w:rFonts w:cstheme="minorHAnsi"/>
                <w:sz w:val="20"/>
                <w:szCs w:val="20"/>
                <w:highlight w:val="yellow"/>
              </w:rPr>
            </w:pPr>
            <w:r w:rsidRPr="0084739B">
              <w:rPr>
                <w:rFonts w:ascii="Calibri" w:hAnsi="Calibri" w:cs="Calibri"/>
                <w:color w:val="000000"/>
                <w:sz w:val="20"/>
                <w:szCs w:val="20"/>
              </w:rPr>
              <w:t>223</w:t>
            </w:r>
          </w:p>
        </w:tc>
      </w:tr>
      <w:tr w:rsidR="004C07F5" w:rsidRPr="00D90338" w14:paraId="52F839B3" w14:textId="77777777" w:rsidTr="0093373E">
        <w:trPr>
          <w:trHeight w:val="288"/>
        </w:trPr>
        <w:tc>
          <w:tcPr>
            <w:tcW w:w="2245" w:type="dxa"/>
            <w:shd w:val="clear" w:color="auto" w:fill="auto"/>
            <w:noWrap/>
            <w:vAlign w:val="center"/>
            <w:hideMark/>
          </w:tcPr>
          <w:p w14:paraId="50164270" w14:textId="3AEAE7BE" w:rsidR="004C07F5" w:rsidRPr="00D90338" w:rsidRDefault="004C07F5" w:rsidP="004C07F5">
            <w:pPr>
              <w:rPr>
                <w:rFonts w:cstheme="minorHAnsi"/>
                <w:sz w:val="20"/>
                <w:szCs w:val="20"/>
                <w:highlight w:val="yellow"/>
              </w:rPr>
            </w:pPr>
            <w:r>
              <w:rPr>
                <w:rStyle w:val="normaltextrun"/>
                <w:rFonts w:ascii="Calibri" w:hAnsi="Calibri" w:cs="Calibri"/>
                <w:color w:val="000000"/>
                <w:sz w:val="20"/>
                <w:szCs w:val="20"/>
              </w:rPr>
              <w:t>Terrestrial Invertebrates</w:t>
            </w:r>
            <w:r>
              <w:rPr>
                <w:rStyle w:val="eop"/>
                <w:rFonts w:ascii="Calibri" w:hAnsi="Calibri" w:cs="Calibri"/>
                <w:color w:val="000000"/>
                <w:sz w:val="20"/>
                <w:szCs w:val="20"/>
              </w:rPr>
              <w:t> </w:t>
            </w:r>
          </w:p>
        </w:tc>
        <w:tc>
          <w:tcPr>
            <w:tcW w:w="990" w:type="dxa"/>
            <w:shd w:val="clear" w:color="auto" w:fill="auto"/>
            <w:vAlign w:val="center"/>
            <w:hideMark/>
          </w:tcPr>
          <w:p w14:paraId="00FF9F61" w14:textId="5A6EC63F"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3</w:t>
            </w:r>
          </w:p>
        </w:tc>
        <w:tc>
          <w:tcPr>
            <w:tcW w:w="1170" w:type="dxa"/>
            <w:shd w:val="clear" w:color="auto" w:fill="auto"/>
            <w:vAlign w:val="center"/>
          </w:tcPr>
          <w:p w14:paraId="6991F3CC" w14:textId="4368149F"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158</w:t>
            </w:r>
          </w:p>
        </w:tc>
        <w:tc>
          <w:tcPr>
            <w:tcW w:w="1980" w:type="dxa"/>
            <w:shd w:val="clear" w:color="auto" w:fill="auto"/>
            <w:noWrap/>
            <w:vAlign w:val="center"/>
            <w:hideMark/>
          </w:tcPr>
          <w:p w14:paraId="1F42D5B8" w14:textId="1B2A1564"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25</w:t>
            </w:r>
          </w:p>
        </w:tc>
        <w:tc>
          <w:tcPr>
            <w:tcW w:w="1799" w:type="dxa"/>
            <w:shd w:val="clear" w:color="auto" w:fill="auto"/>
            <w:noWrap/>
            <w:vAlign w:val="center"/>
            <w:hideMark/>
          </w:tcPr>
          <w:p w14:paraId="620DB567" w14:textId="24D6116F"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133</w:t>
            </w:r>
          </w:p>
        </w:tc>
        <w:tc>
          <w:tcPr>
            <w:tcW w:w="744" w:type="dxa"/>
            <w:shd w:val="clear" w:color="auto" w:fill="auto"/>
            <w:noWrap/>
            <w:vAlign w:val="center"/>
          </w:tcPr>
          <w:p w14:paraId="42F52E26" w14:textId="6099D6F3" w:rsidR="004C07F5" w:rsidRPr="0084739B" w:rsidRDefault="004C07F5" w:rsidP="004C07F5">
            <w:pPr>
              <w:jc w:val="center"/>
              <w:rPr>
                <w:rFonts w:cstheme="minorHAnsi"/>
                <w:sz w:val="20"/>
                <w:szCs w:val="20"/>
                <w:highlight w:val="yellow"/>
              </w:rPr>
            </w:pPr>
            <w:r w:rsidRPr="0084739B">
              <w:rPr>
                <w:rFonts w:ascii="Calibri" w:hAnsi="Calibri" w:cs="Calibri"/>
                <w:color w:val="000000"/>
                <w:sz w:val="20"/>
                <w:szCs w:val="20"/>
              </w:rPr>
              <w:t>161</w:t>
            </w:r>
          </w:p>
        </w:tc>
      </w:tr>
      <w:tr w:rsidR="004C07F5" w:rsidRPr="00D90338" w14:paraId="6F91E117" w14:textId="77777777" w:rsidTr="0093373E">
        <w:trPr>
          <w:trHeight w:val="288"/>
        </w:trPr>
        <w:tc>
          <w:tcPr>
            <w:tcW w:w="2245" w:type="dxa"/>
            <w:shd w:val="clear" w:color="000000" w:fill="D9D9D9"/>
            <w:noWrap/>
            <w:vAlign w:val="center"/>
            <w:hideMark/>
          </w:tcPr>
          <w:p w14:paraId="17CA7653" w14:textId="0AF111E0" w:rsidR="004C07F5" w:rsidRPr="0093373E" w:rsidRDefault="004C07F5" w:rsidP="004C07F5">
            <w:pPr>
              <w:rPr>
                <w:rFonts w:cstheme="minorHAnsi"/>
                <w:b/>
                <w:bCs/>
                <w:sz w:val="20"/>
                <w:szCs w:val="20"/>
                <w:highlight w:val="yellow"/>
              </w:rPr>
            </w:pPr>
            <w:r w:rsidRPr="0093373E">
              <w:rPr>
                <w:rStyle w:val="normaltextrun"/>
                <w:rFonts w:ascii="Calibri" w:hAnsi="Calibri" w:cs="Calibri"/>
                <w:b/>
                <w:bCs/>
                <w:color w:val="000000"/>
                <w:sz w:val="20"/>
                <w:szCs w:val="20"/>
              </w:rPr>
              <w:t>Total</w:t>
            </w:r>
            <w:r w:rsidRPr="0093373E">
              <w:rPr>
                <w:rStyle w:val="eop"/>
                <w:rFonts w:ascii="Calibri" w:hAnsi="Calibri" w:cs="Calibri"/>
                <w:b/>
                <w:bCs/>
                <w:color w:val="000000"/>
                <w:sz w:val="20"/>
                <w:szCs w:val="20"/>
              </w:rPr>
              <w:t> </w:t>
            </w:r>
          </w:p>
        </w:tc>
        <w:tc>
          <w:tcPr>
            <w:tcW w:w="990" w:type="dxa"/>
            <w:shd w:val="clear" w:color="000000" w:fill="D9D9D9"/>
            <w:vAlign w:val="center"/>
          </w:tcPr>
          <w:p w14:paraId="4D2A1004" w14:textId="7A2AC96D"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209</w:t>
            </w:r>
          </w:p>
        </w:tc>
        <w:tc>
          <w:tcPr>
            <w:tcW w:w="1170" w:type="dxa"/>
            <w:shd w:val="clear" w:color="000000" w:fill="D9D9D9"/>
            <w:vAlign w:val="center"/>
          </w:tcPr>
          <w:p w14:paraId="61B53654" w14:textId="49B02DBC"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1612</w:t>
            </w:r>
          </w:p>
        </w:tc>
        <w:tc>
          <w:tcPr>
            <w:tcW w:w="1980" w:type="dxa"/>
            <w:shd w:val="clear" w:color="000000" w:fill="D9D9D9"/>
            <w:noWrap/>
            <w:vAlign w:val="center"/>
          </w:tcPr>
          <w:p w14:paraId="7FF21C4A" w14:textId="1035AA35"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167</w:t>
            </w:r>
          </w:p>
        </w:tc>
        <w:tc>
          <w:tcPr>
            <w:tcW w:w="1799" w:type="dxa"/>
            <w:shd w:val="clear" w:color="000000" w:fill="D9D9D9"/>
            <w:noWrap/>
            <w:vAlign w:val="center"/>
          </w:tcPr>
          <w:p w14:paraId="063432AE" w14:textId="32B8ADAE"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1445</w:t>
            </w:r>
          </w:p>
        </w:tc>
        <w:tc>
          <w:tcPr>
            <w:tcW w:w="744" w:type="dxa"/>
            <w:shd w:val="clear" w:color="000000" w:fill="D9D9D9"/>
            <w:noWrap/>
            <w:vAlign w:val="center"/>
          </w:tcPr>
          <w:p w14:paraId="1B88F0FD" w14:textId="0080EF10"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1821</w:t>
            </w:r>
          </w:p>
        </w:tc>
      </w:tr>
      <w:tr w:rsidR="004C07F5" w:rsidRPr="00D90338" w14:paraId="71487D35" w14:textId="77777777" w:rsidTr="0093373E">
        <w:trPr>
          <w:trHeight w:val="288"/>
        </w:trPr>
        <w:tc>
          <w:tcPr>
            <w:tcW w:w="2245" w:type="dxa"/>
            <w:shd w:val="clear" w:color="000000" w:fill="D9D9D9"/>
            <w:noWrap/>
            <w:vAlign w:val="center"/>
            <w:hideMark/>
          </w:tcPr>
          <w:p w14:paraId="4A751EA0" w14:textId="490A4EB5" w:rsidR="004C07F5" w:rsidRPr="0093373E" w:rsidRDefault="004C07F5" w:rsidP="004C07F5">
            <w:pPr>
              <w:rPr>
                <w:rFonts w:cstheme="minorHAnsi"/>
                <w:b/>
                <w:bCs/>
                <w:sz w:val="20"/>
                <w:szCs w:val="20"/>
                <w:highlight w:val="yellow"/>
              </w:rPr>
            </w:pPr>
            <w:r w:rsidRPr="0093373E">
              <w:rPr>
                <w:rStyle w:val="normaltextrun"/>
                <w:rFonts w:ascii="Calibri" w:hAnsi="Calibri" w:cs="Calibri"/>
                <w:b/>
                <w:bCs/>
                <w:color w:val="000000"/>
                <w:sz w:val="20"/>
                <w:szCs w:val="20"/>
              </w:rPr>
              <w:t>Percent of total</w:t>
            </w:r>
            <w:r w:rsidRPr="0093373E">
              <w:rPr>
                <w:rStyle w:val="eop"/>
                <w:rFonts w:ascii="Calibri" w:hAnsi="Calibri" w:cs="Calibri"/>
                <w:b/>
                <w:bCs/>
                <w:color w:val="000000"/>
                <w:sz w:val="20"/>
                <w:szCs w:val="20"/>
              </w:rPr>
              <w:t> </w:t>
            </w:r>
          </w:p>
        </w:tc>
        <w:tc>
          <w:tcPr>
            <w:tcW w:w="990" w:type="dxa"/>
            <w:shd w:val="clear" w:color="000000" w:fill="D9D9D9"/>
            <w:noWrap/>
            <w:vAlign w:val="center"/>
          </w:tcPr>
          <w:p w14:paraId="0A24AFED" w14:textId="7DC62AA2"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11%</w:t>
            </w:r>
          </w:p>
        </w:tc>
        <w:tc>
          <w:tcPr>
            <w:tcW w:w="1170" w:type="dxa"/>
            <w:shd w:val="clear" w:color="000000" w:fill="D9D9D9"/>
            <w:noWrap/>
            <w:vAlign w:val="center"/>
          </w:tcPr>
          <w:p w14:paraId="3C7DDBBC" w14:textId="6121CDD6"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89%</w:t>
            </w:r>
          </w:p>
        </w:tc>
        <w:tc>
          <w:tcPr>
            <w:tcW w:w="1980" w:type="dxa"/>
            <w:shd w:val="clear" w:color="000000" w:fill="D9D9D9"/>
            <w:noWrap/>
            <w:vAlign w:val="center"/>
          </w:tcPr>
          <w:p w14:paraId="43637D75" w14:textId="50C093B9"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9%</w:t>
            </w:r>
          </w:p>
        </w:tc>
        <w:tc>
          <w:tcPr>
            <w:tcW w:w="1799" w:type="dxa"/>
            <w:shd w:val="clear" w:color="000000" w:fill="D9D9D9"/>
            <w:noWrap/>
            <w:vAlign w:val="center"/>
          </w:tcPr>
          <w:p w14:paraId="5AD0DA41" w14:textId="3EFF540A"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79%</w:t>
            </w:r>
          </w:p>
        </w:tc>
        <w:tc>
          <w:tcPr>
            <w:tcW w:w="744" w:type="dxa"/>
            <w:shd w:val="clear" w:color="000000" w:fill="D9D9D9"/>
            <w:noWrap/>
            <w:vAlign w:val="center"/>
            <w:hideMark/>
          </w:tcPr>
          <w:p w14:paraId="1951C6E8" w14:textId="5FC6D458" w:rsidR="004C07F5" w:rsidRPr="0093373E" w:rsidRDefault="004C07F5" w:rsidP="004C07F5">
            <w:pPr>
              <w:jc w:val="center"/>
              <w:rPr>
                <w:rFonts w:cstheme="minorHAnsi"/>
                <w:b/>
                <w:bCs/>
                <w:sz w:val="20"/>
                <w:szCs w:val="20"/>
                <w:highlight w:val="yellow"/>
              </w:rPr>
            </w:pPr>
            <w:r w:rsidRPr="0093373E">
              <w:rPr>
                <w:b/>
                <w:bCs/>
                <w:color w:val="000000"/>
                <w:sz w:val="20"/>
                <w:szCs w:val="20"/>
              </w:rPr>
              <w:t> </w:t>
            </w:r>
          </w:p>
        </w:tc>
      </w:tr>
    </w:tbl>
    <w:p w14:paraId="52DC6051" w14:textId="77777777" w:rsidR="008B4300" w:rsidRDefault="008B4300" w:rsidP="00307537">
      <w:pPr>
        <w:rPr>
          <w:b/>
          <w:highlight w:val="yellow"/>
        </w:rPr>
      </w:pPr>
    </w:p>
    <w:p w14:paraId="377B4591" w14:textId="66BFD3FE" w:rsidR="0093373E" w:rsidRPr="0093373E" w:rsidRDefault="0093373E" w:rsidP="0093373E">
      <w:pPr>
        <w:pStyle w:val="Caption"/>
        <w:keepNext/>
        <w:rPr>
          <w:b/>
          <w:bCs/>
          <w:i w:val="0"/>
          <w:iCs w:val="0"/>
          <w:color w:val="000000" w:themeColor="text1"/>
          <w:sz w:val="22"/>
          <w:szCs w:val="22"/>
        </w:rPr>
      </w:pPr>
      <w:bookmarkStart w:id="2" w:name="_Ref80262874"/>
      <w:r w:rsidRPr="0093373E">
        <w:rPr>
          <w:b/>
          <w:bCs/>
          <w:i w:val="0"/>
          <w:iCs w:val="0"/>
          <w:color w:val="000000" w:themeColor="text1"/>
          <w:sz w:val="22"/>
          <w:szCs w:val="22"/>
        </w:rPr>
        <w:t xml:space="preserve">Table </w:t>
      </w:r>
      <w:r w:rsidRPr="0093373E">
        <w:rPr>
          <w:b/>
          <w:bCs/>
          <w:i w:val="0"/>
          <w:iCs w:val="0"/>
          <w:color w:val="000000" w:themeColor="text1"/>
          <w:sz w:val="22"/>
          <w:szCs w:val="22"/>
        </w:rPr>
        <w:fldChar w:fldCharType="begin"/>
      </w:r>
      <w:r w:rsidRPr="0093373E">
        <w:rPr>
          <w:b/>
          <w:bCs/>
          <w:i w:val="0"/>
          <w:iCs w:val="0"/>
          <w:color w:val="000000" w:themeColor="text1"/>
          <w:sz w:val="22"/>
          <w:szCs w:val="22"/>
        </w:rPr>
        <w:instrText xml:space="preserve"> SEQ Table \* ARABIC </w:instrText>
      </w:r>
      <w:r w:rsidRPr="0093373E">
        <w:rPr>
          <w:b/>
          <w:bCs/>
          <w:i w:val="0"/>
          <w:iCs w:val="0"/>
          <w:color w:val="000000" w:themeColor="text1"/>
          <w:sz w:val="22"/>
          <w:szCs w:val="22"/>
        </w:rPr>
        <w:fldChar w:fldCharType="separate"/>
      </w:r>
      <w:r>
        <w:rPr>
          <w:b/>
          <w:bCs/>
          <w:i w:val="0"/>
          <w:iCs w:val="0"/>
          <w:noProof/>
          <w:color w:val="000000" w:themeColor="text1"/>
          <w:sz w:val="22"/>
          <w:szCs w:val="22"/>
        </w:rPr>
        <w:t>2</w:t>
      </w:r>
      <w:r w:rsidRPr="0093373E">
        <w:rPr>
          <w:b/>
          <w:bCs/>
          <w:i w:val="0"/>
          <w:iCs w:val="0"/>
          <w:color w:val="000000" w:themeColor="text1"/>
          <w:sz w:val="22"/>
          <w:szCs w:val="22"/>
        </w:rPr>
        <w:fldChar w:fldCharType="end"/>
      </w:r>
      <w:bookmarkEnd w:id="2"/>
      <w:r w:rsidRPr="0093373E">
        <w:rPr>
          <w:b/>
          <w:bCs/>
          <w:i w:val="0"/>
          <w:iCs w:val="0"/>
          <w:color w:val="000000" w:themeColor="text1"/>
          <w:sz w:val="22"/>
          <w:szCs w:val="22"/>
        </w:rPr>
        <w:t>.  Summary of Critical Habitat Effects Determinations for Imidacloprid (Counts by Taxon).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018"/>
        <w:gridCol w:w="947"/>
        <w:gridCol w:w="2230"/>
        <w:gridCol w:w="2113"/>
        <w:gridCol w:w="974"/>
      </w:tblGrid>
      <w:tr w:rsidR="00307537" w:rsidRPr="008B4300" w14:paraId="075C5FE9" w14:textId="77777777" w:rsidTr="00A92645">
        <w:trPr>
          <w:trHeight w:val="288"/>
        </w:trPr>
        <w:tc>
          <w:tcPr>
            <w:tcW w:w="1646" w:type="dxa"/>
            <w:vMerge w:val="restart"/>
            <w:shd w:val="clear" w:color="auto" w:fill="D9D9D9" w:themeFill="background1" w:themeFillShade="D9"/>
            <w:noWrap/>
            <w:vAlign w:val="center"/>
            <w:hideMark/>
          </w:tcPr>
          <w:p w14:paraId="44A2240C" w14:textId="77777777" w:rsidR="00307537" w:rsidRPr="008B4300" w:rsidRDefault="00307537" w:rsidP="00A92645">
            <w:pPr>
              <w:jc w:val="center"/>
              <w:rPr>
                <w:rFonts w:cstheme="minorHAnsi"/>
                <w:b/>
                <w:sz w:val="20"/>
                <w:szCs w:val="20"/>
              </w:rPr>
            </w:pPr>
            <w:r w:rsidRPr="008B4300">
              <w:rPr>
                <w:rFonts w:cstheme="minorHAnsi"/>
                <w:b/>
                <w:sz w:val="20"/>
                <w:szCs w:val="20"/>
              </w:rPr>
              <w:t>Taxon</w:t>
            </w:r>
          </w:p>
        </w:tc>
        <w:tc>
          <w:tcPr>
            <w:tcW w:w="1965" w:type="dxa"/>
            <w:gridSpan w:val="2"/>
            <w:shd w:val="clear" w:color="auto" w:fill="D9D9D9" w:themeFill="background1" w:themeFillShade="D9"/>
            <w:vAlign w:val="center"/>
            <w:hideMark/>
          </w:tcPr>
          <w:p w14:paraId="1B4DB7BA" w14:textId="77777777" w:rsidR="00307537" w:rsidRPr="008B4300" w:rsidRDefault="00307537" w:rsidP="00A92645">
            <w:pPr>
              <w:jc w:val="center"/>
              <w:rPr>
                <w:rFonts w:cstheme="minorHAnsi"/>
                <w:b/>
                <w:sz w:val="20"/>
                <w:szCs w:val="20"/>
              </w:rPr>
            </w:pPr>
            <w:r w:rsidRPr="008B4300">
              <w:rPr>
                <w:rFonts w:cstheme="minorHAnsi"/>
                <w:b/>
                <w:sz w:val="20"/>
                <w:szCs w:val="20"/>
              </w:rPr>
              <w:t>Step 1 Effects Determinations</w:t>
            </w:r>
          </w:p>
        </w:tc>
        <w:tc>
          <w:tcPr>
            <w:tcW w:w="4343" w:type="dxa"/>
            <w:gridSpan w:val="2"/>
            <w:shd w:val="clear" w:color="auto" w:fill="D9D9D9" w:themeFill="background1" w:themeFillShade="D9"/>
            <w:noWrap/>
            <w:vAlign w:val="center"/>
            <w:hideMark/>
          </w:tcPr>
          <w:p w14:paraId="0F8E2C78" w14:textId="77777777" w:rsidR="00307537" w:rsidRPr="008B4300" w:rsidRDefault="00307537" w:rsidP="00A92645">
            <w:pPr>
              <w:jc w:val="center"/>
              <w:rPr>
                <w:rFonts w:cstheme="minorHAnsi"/>
                <w:b/>
                <w:sz w:val="20"/>
                <w:szCs w:val="20"/>
              </w:rPr>
            </w:pPr>
            <w:r w:rsidRPr="008B4300">
              <w:rPr>
                <w:rFonts w:cstheme="minorHAnsi"/>
                <w:b/>
                <w:sz w:val="20"/>
                <w:szCs w:val="20"/>
              </w:rPr>
              <w:t>Step 2 Effects Determinations</w:t>
            </w:r>
          </w:p>
        </w:tc>
        <w:tc>
          <w:tcPr>
            <w:tcW w:w="974" w:type="dxa"/>
            <w:vMerge w:val="restart"/>
            <w:shd w:val="clear" w:color="auto" w:fill="D9D9D9" w:themeFill="background1" w:themeFillShade="D9"/>
            <w:noWrap/>
            <w:vAlign w:val="center"/>
            <w:hideMark/>
          </w:tcPr>
          <w:p w14:paraId="5C4CBF86" w14:textId="77777777" w:rsidR="00307537" w:rsidRPr="008B4300" w:rsidRDefault="00307537" w:rsidP="00A92645">
            <w:pPr>
              <w:jc w:val="center"/>
              <w:rPr>
                <w:rFonts w:cstheme="minorHAnsi"/>
                <w:b/>
                <w:sz w:val="20"/>
                <w:szCs w:val="20"/>
              </w:rPr>
            </w:pPr>
            <w:r w:rsidRPr="008B4300">
              <w:rPr>
                <w:rFonts w:cstheme="minorHAnsi"/>
                <w:b/>
                <w:sz w:val="20"/>
                <w:szCs w:val="20"/>
              </w:rPr>
              <w:t>Totals</w:t>
            </w:r>
          </w:p>
        </w:tc>
      </w:tr>
      <w:tr w:rsidR="00307537" w:rsidRPr="00D90338" w14:paraId="5546AD08" w14:textId="77777777" w:rsidTr="00A92645">
        <w:trPr>
          <w:trHeight w:val="288"/>
        </w:trPr>
        <w:tc>
          <w:tcPr>
            <w:tcW w:w="1646" w:type="dxa"/>
            <w:vMerge/>
            <w:shd w:val="clear" w:color="auto" w:fill="D9D9D9" w:themeFill="background1" w:themeFillShade="D9"/>
            <w:vAlign w:val="center"/>
            <w:hideMark/>
          </w:tcPr>
          <w:p w14:paraId="7DD81427" w14:textId="77777777" w:rsidR="00307537" w:rsidRPr="008B4300" w:rsidRDefault="00307537" w:rsidP="00A92645">
            <w:pPr>
              <w:rPr>
                <w:rFonts w:cstheme="minorHAnsi"/>
                <w:b/>
                <w:sz w:val="20"/>
                <w:szCs w:val="20"/>
              </w:rPr>
            </w:pPr>
          </w:p>
        </w:tc>
        <w:tc>
          <w:tcPr>
            <w:tcW w:w="1018" w:type="dxa"/>
            <w:shd w:val="clear" w:color="auto" w:fill="D9D9D9" w:themeFill="background1" w:themeFillShade="D9"/>
            <w:vAlign w:val="center"/>
            <w:hideMark/>
          </w:tcPr>
          <w:p w14:paraId="658A2A4E" w14:textId="77777777" w:rsidR="00307537" w:rsidRPr="008B4300" w:rsidRDefault="00307537" w:rsidP="00A92645">
            <w:pPr>
              <w:jc w:val="center"/>
              <w:rPr>
                <w:rFonts w:cstheme="minorHAnsi"/>
                <w:b/>
                <w:sz w:val="20"/>
                <w:szCs w:val="20"/>
              </w:rPr>
            </w:pPr>
            <w:r w:rsidRPr="008B4300">
              <w:rPr>
                <w:rFonts w:cstheme="minorHAnsi"/>
                <w:b/>
                <w:sz w:val="20"/>
                <w:szCs w:val="20"/>
              </w:rPr>
              <w:t>No Effect</w:t>
            </w:r>
          </w:p>
        </w:tc>
        <w:tc>
          <w:tcPr>
            <w:tcW w:w="947" w:type="dxa"/>
            <w:shd w:val="clear" w:color="auto" w:fill="D9D9D9" w:themeFill="background1" w:themeFillShade="D9"/>
            <w:vAlign w:val="center"/>
            <w:hideMark/>
          </w:tcPr>
          <w:p w14:paraId="0085E235" w14:textId="77777777" w:rsidR="00307537" w:rsidRPr="008B4300" w:rsidRDefault="00307537" w:rsidP="00A92645">
            <w:pPr>
              <w:jc w:val="center"/>
              <w:rPr>
                <w:rFonts w:cstheme="minorHAnsi"/>
                <w:b/>
                <w:sz w:val="20"/>
                <w:szCs w:val="20"/>
              </w:rPr>
            </w:pPr>
            <w:r w:rsidRPr="008B4300">
              <w:rPr>
                <w:rFonts w:cstheme="minorHAnsi"/>
                <w:b/>
                <w:sz w:val="20"/>
                <w:szCs w:val="20"/>
              </w:rPr>
              <w:t>May Affect</w:t>
            </w:r>
          </w:p>
        </w:tc>
        <w:tc>
          <w:tcPr>
            <w:tcW w:w="2230" w:type="dxa"/>
            <w:shd w:val="clear" w:color="auto" w:fill="D9D9D9" w:themeFill="background1" w:themeFillShade="D9"/>
            <w:noWrap/>
            <w:vAlign w:val="center"/>
            <w:hideMark/>
          </w:tcPr>
          <w:p w14:paraId="2B43C600" w14:textId="77777777" w:rsidR="00307537" w:rsidRPr="008B4300" w:rsidRDefault="00307537" w:rsidP="00A92645">
            <w:pPr>
              <w:jc w:val="center"/>
              <w:rPr>
                <w:rFonts w:cstheme="minorHAnsi"/>
                <w:b/>
                <w:sz w:val="20"/>
                <w:szCs w:val="20"/>
              </w:rPr>
            </w:pPr>
            <w:r w:rsidRPr="008B4300">
              <w:rPr>
                <w:rFonts w:cstheme="minorHAnsi"/>
                <w:b/>
                <w:sz w:val="20"/>
                <w:szCs w:val="20"/>
              </w:rPr>
              <w:t>Not Likely to Adversely Affect</w:t>
            </w:r>
          </w:p>
        </w:tc>
        <w:tc>
          <w:tcPr>
            <w:tcW w:w="2113" w:type="dxa"/>
            <w:shd w:val="clear" w:color="auto" w:fill="D9D9D9" w:themeFill="background1" w:themeFillShade="D9"/>
            <w:noWrap/>
            <w:vAlign w:val="center"/>
            <w:hideMark/>
          </w:tcPr>
          <w:p w14:paraId="620FB10F" w14:textId="77777777" w:rsidR="00307537" w:rsidRPr="008B4300" w:rsidRDefault="00307537" w:rsidP="00A92645">
            <w:pPr>
              <w:jc w:val="center"/>
              <w:rPr>
                <w:rFonts w:cstheme="minorHAnsi"/>
                <w:b/>
                <w:sz w:val="20"/>
                <w:szCs w:val="20"/>
              </w:rPr>
            </w:pPr>
            <w:r w:rsidRPr="008B4300">
              <w:rPr>
                <w:rFonts w:cstheme="minorHAnsi"/>
                <w:b/>
                <w:sz w:val="20"/>
                <w:szCs w:val="20"/>
              </w:rPr>
              <w:t>Likely to Adversely Affect</w:t>
            </w:r>
          </w:p>
        </w:tc>
        <w:tc>
          <w:tcPr>
            <w:tcW w:w="974" w:type="dxa"/>
            <w:vMerge/>
            <w:vAlign w:val="center"/>
            <w:hideMark/>
          </w:tcPr>
          <w:p w14:paraId="0F088799" w14:textId="77777777" w:rsidR="00307537" w:rsidRPr="008B4300" w:rsidRDefault="00307537" w:rsidP="00A92645">
            <w:pPr>
              <w:rPr>
                <w:rFonts w:cstheme="minorHAnsi"/>
                <w:b/>
                <w:sz w:val="20"/>
                <w:szCs w:val="20"/>
              </w:rPr>
            </w:pPr>
          </w:p>
        </w:tc>
      </w:tr>
      <w:tr w:rsidR="004C07F5" w:rsidRPr="00D90338" w14:paraId="66239381" w14:textId="77777777" w:rsidTr="0093373E">
        <w:trPr>
          <w:trHeight w:val="288"/>
        </w:trPr>
        <w:tc>
          <w:tcPr>
            <w:tcW w:w="1646" w:type="dxa"/>
            <w:shd w:val="clear" w:color="auto" w:fill="auto"/>
            <w:noWrap/>
            <w:vAlign w:val="center"/>
            <w:hideMark/>
          </w:tcPr>
          <w:p w14:paraId="1368EB71" w14:textId="0EB0513B" w:rsidR="004C07F5" w:rsidRPr="00D90338" w:rsidRDefault="004C07F5" w:rsidP="004C07F5">
            <w:pPr>
              <w:rPr>
                <w:rFonts w:cstheme="minorHAnsi"/>
                <w:sz w:val="20"/>
                <w:szCs w:val="20"/>
                <w:highlight w:val="yellow"/>
              </w:rPr>
            </w:pPr>
            <w:r>
              <w:rPr>
                <w:rStyle w:val="normaltextrun"/>
                <w:rFonts w:ascii="Calibri" w:hAnsi="Calibri" w:cs="Calibri"/>
                <w:color w:val="000000"/>
                <w:sz w:val="20"/>
                <w:szCs w:val="20"/>
              </w:rPr>
              <w:t>Mammals</w:t>
            </w:r>
            <w:r>
              <w:rPr>
                <w:rStyle w:val="eop"/>
                <w:rFonts w:ascii="Calibri" w:hAnsi="Calibri" w:cs="Calibri"/>
                <w:color w:val="000000"/>
                <w:sz w:val="20"/>
                <w:szCs w:val="20"/>
              </w:rPr>
              <w:t> </w:t>
            </w:r>
          </w:p>
        </w:tc>
        <w:tc>
          <w:tcPr>
            <w:tcW w:w="1018" w:type="dxa"/>
            <w:shd w:val="clear" w:color="auto" w:fill="auto"/>
            <w:vAlign w:val="center"/>
            <w:hideMark/>
          </w:tcPr>
          <w:p w14:paraId="3B1D183B" w14:textId="50805317"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0</w:t>
            </w:r>
          </w:p>
        </w:tc>
        <w:tc>
          <w:tcPr>
            <w:tcW w:w="947" w:type="dxa"/>
            <w:shd w:val="clear" w:color="auto" w:fill="auto"/>
            <w:vAlign w:val="center"/>
          </w:tcPr>
          <w:p w14:paraId="66376287" w14:textId="3CA8DBCF"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33</w:t>
            </w:r>
          </w:p>
        </w:tc>
        <w:tc>
          <w:tcPr>
            <w:tcW w:w="2230" w:type="dxa"/>
            <w:shd w:val="clear" w:color="auto" w:fill="auto"/>
            <w:noWrap/>
            <w:vAlign w:val="center"/>
            <w:hideMark/>
          </w:tcPr>
          <w:p w14:paraId="75CBBFBD" w14:textId="29B205F5"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14</w:t>
            </w:r>
          </w:p>
        </w:tc>
        <w:tc>
          <w:tcPr>
            <w:tcW w:w="2113" w:type="dxa"/>
            <w:shd w:val="clear" w:color="auto" w:fill="auto"/>
            <w:noWrap/>
            <w:vAlign w:val="center"/>
            <w:hideMark/>
          </w:tcPr>
          <w:p w14:paraId="2487A8AD" w14:textId="39D7F1BE"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19</w:t>
            </w:r>
          </w:p>
        </w:tc>
        <w:tc>
          <w:tcPr>
            <w:tcW w:w="974" w:type="dxa"/>
            <w:shd w:val="clear" w:color="auto" w:fill="auto"/>
            <w:noWrap/>
            <w:vAlign w:val="center"/>
          </w:tcPr>
          <w:p w14:paraId="035EC7CC" w14:textId="32BC0E43" w:rsidR="004C07F5" w:rsidRPr="0084739B" w:rsidRDefault="004C07F5" w:rsidP="004C07F5">
            <w:pPr>
              <w:jc w:val="center"/>
              <w:rPr>
                <w:rFonts w:cstheme="minorHAnsi"/>
                <w:sz w:val="20"/>
                <w:szCs w:val="20"/>
                <w:highlight w:val="yellow"/>
              </w:rPr>
            </w:pPr>
            <w:r w:rsidRPr="0084739B">
              <w:rPr>
                <w:rFonts w:ascii="Calibri" w:hAnsi="Calibri" w:cs="Calibri"/>
                <w:color w:val="000000"/>
                <w:sz w:val="20"/>
                <w:szCs w:val="20"/>
              </w:rPr>
              <w:t>33</w:t>
            </w:r>
          </w:p>
        </w:tc>
      </w:tr>
      <w:tr w:rsidR="004C07F5" w:rsidRPr="00D90338" w14:paraId="74DCABB5" w14:textId="77777777" w:rsidTr="0093373E">
        <w:trPr>
          <w:trHeight w:val="288"/>
        </w:trPr>
        <w:tc>
          <w:tcPr>
            <w:tcW w:w="1646" w:type="dxa"/>
            <w:shd w:val="clear" w:color="auto" w:fill="auto"/>
            <w:noWrap/>
            <w:vAlign w:val="center"/>
            <w:hideMark/>
          </w:tcPr>
          <w:p w14:paraId="7DDEB71E" w14:textId="299022D2" w:rsidR="004C07F5" w:rsidRPr="00D90338" w:rsidRDefault="004C07F5" w:rsidP="004C07F5">
            <w:pPr>
              <w:rPr>
                <w:rFonts w:cstheme="minorHAnsi"/>
                <w:sz w:val="20"/>
                <w:szCs w:val="20"/>
                <w:highlight w:val="yellow"/>
              </w:rPr>
            </w:pPr>
            <w:r>
              <w:rPr>
                <w:rStyle w:val="normaltextrun"/>
                <w:rFonts w:ascii="Calibri" w:hAnsi="Calibri" w:cs="Calibri"/>
                <w:color w:val="000000"/>
                <w:sz w:val="20"/>
                <w:szCs w:val="20"/>
              </w:rPr>
              <w:t>Birds</w:t>
            </w:r>
            <w:r>
              <w:rPr>
                <w:rStyle w:val="eop"/>
                <w:rFonts w:ascii="Calibri" w:hAnsi="Calibri" w:cs="Calibri"/>
                <w:color w:val="000000"/>
                <w:sz w:val="20"/>
                <w:szCs w:val="20"/>
              </w:rPr>
              <w:t> </w:t>
            </w:r>
          </w:p>
        </w:tc>
        <w:tc>
          <w:tcPr>
            <w:tcW w:w="1018" w:type="dxa"/>
            <w:shd w:val="clear" w:color="auto" w:fill="auto"/>
            <w:vAlign w:val="center"/>
            <w:hideMark/>
          </w:tcPr>
          <w:p w14:paraId="6423F262" w14:textId="3E523B70"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0</w:t>
            </w:r>
          </w:p>
        </w:tc>
        <w:tc>
          <w:tcPr>
            <w:tcW w:w="947" w:type="dxa"/>
            <w:shd w:val="clear" w:color="auto" w:fill="auto"/>
            <w:vAlign w:val="center"/>
          </w:tcPr>
          <w:p w14:paraId="52167670" w14:textId="01D43374"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31</w:t>
            </w:r>
          </w:p>
        </w:tc>
        <w:tc>
          <w:tcPr>
            <w:tcW w:w="2230" w:type="dxa"/>
            <w:shd w:val="clear" w:color="auto" w:fill="auto"/>
            <w:noWrap/>
            <w:vAlign w:val="center"/>
            <w:hideMark/>
          </w:tcPr>
          <w:p w14:paraId="42CA828D" w14:textId="148F92C3"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5</w:t>
            </w:r>
          </w:p>
        </w:tc>
        <w:tc>
          <w:tcPr>
            <w:tcW w:w="2113" w:type="dxa"/>
            <w:shd w:val="clear" w:color="auto" w:fill="auto"/>
            <w:noWrap/>
            <w:vAlign w:val="center"/>
            <w:hideMark/>
          </w:tcPr>
          <w:p w14:paraId="6DFF2938" w14:textId="4621191A"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26</w:t>
            </w:r>
          </w:p>
        </w:tc>
        <w:tc>
          <w:tcPr>
            <w:tcW w:w="974" w:type="dxa"/>
            <w:shd w:val="clear" w:color="auto" w:fill="auto"/>
            <w:noWrap/>
            <w:vAlign w:val="center"/>
          </w:tcPr>
          <w:p w14:paraId="70DD4CEA" w14:textId="6A27AE9B" w:rsidR="004C07F5" w:rsidRPr="0084739B" w:rsidRDefault="004C07F5" w:rsidP="004C07F5">
            <w:pPr>
              <w:jc w:val="center"/>
              <w:rPr>
                <w:rFonts w:cstheme="minorHAnsi"/>
                <w:sz w:val="20"/>
                <w:szCs w:val="20"/>
                <w:highlight w:val="yellow"/>
              </w:rPr>
            </w:pPr>
            <w:r w:rsidRPr="0084739B">
              <w:rPr>
                <w:rFonts w:ascii="Calibri" w:hAnsi="Calibri" w:cs="Calibri"/>
                <w:color w:val="000000"/>
                <w:sz w:val="20"/>
                <w:szCs w:val="20"/>
              </w:rPr>
              <w:t>31</w:t>
            </w:r>
          </w:p>
        </w:tc>
      </w:tr>
      <w:tr w:rsidR="004C07F5" w:rsidRPr="00D90338" w14:paraId="1F05F754" w14:textId="77777777" w:rsidTr="0093373E">
        <w:trPr>
          <w:trHeight w:val="288"/>
        </w:trPr>
        <w:tc>
          <w:tcPr>
            <w:tcW w:w="1646" w:type="dxa"/>
            <w:shd w:val="clear" w:color="auto" w:fill="auto"/>
            <w:noWrap/>
            <w:vAlign w:val="center"/>
            <w:hideMark/>
          </w:tcPr>
          <w:p w14:paraId="50B444F3" w14:textId="7CF31C38" w:rsidR="004C07F5" w:rsidRPr="00D90338" w:rsidRDefault="004C07F5" w:rsidP="004C07F5">
            <w:pPr>
              <w:rPr>
                <w:rFonts w:cstheme="minorHAnsi"/>
                <w:sz w:val="20"/>
                <w:szCs w:val="20"/>
                <w:highlight w:val="yellow"/>
              </w:rPr>
            </w:pPr>
            <w:r>
              <w:rPr>
                <w:rStyle w:val="normaltextrun"/>
                <w:rFonts w:ascii="Calibri" w:hAnsi="Calibri" w:cs="Calibri"/>
                <w:color w:val="000000"/>
                <w:sz w:val="20"/>
                <w:szCs w:val="20"/>
              </w:rPr>
              <w:t>Amphibians</w:t>
            </w:r>
            <w:r>
              <w:rPr>
                <w:rStyle w:val="eop"/>
                <w:rFonts w:ascii="Calibri" w:hAnsi="Calibri" w:cs="Calibri"/>
                <w:color w:val="000000"/>
                <w:sz w:val="20"/>
                <w:szCs w:val="20"/>
              </w:rPr>
              <w:t> </w:t>
            </w:r>
          </w:p>
        </w:tc>
        <w:tc>
          <w:tcPr>
            <w:tcW w:w="1018" w:type="dxa"/>
            <w:shd w:val="clear" w:color="auto" w:fill="auto"/>
            <w:vAlign w:val="center"/>
            <w:hideMark/>
          </w:tcPr>
          <w:p w14:paraId="2EC60468" w14:textId="15404BF1"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0</w:t>
            </w:r>
          </w:p>
        </w:tc>
        <w:tc>
          <w:tcPr>
            <w:tcW w:w="947" w:type="dxa"/>
            <w:shd w:val="clear" w:color="auto" w:fill="auto"/>
            <w:vAlign w:val="center"/>
          </w:tcPr>
          <w:p w14:paraId="7DA3D35B" w14:textId="57B7E20F"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25</w:t>
            </w:r>
          </w:p>
        </w:tc>
        <w:tc>
          <w:tcPr>
            <w:tcW w:w="2230" w:type="dxa"/>
            <w:shd w:val="clear" w:color="auto" w:fill="auto"/>
            <w:noWrap/>
            <w:vAlign w:val="center"/>
            <w:hideMark/>
          </w:tcPr>
          <w:p w14:paraId="10F05880" w14:textId="6BE376CB"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0</w:t>
            </w:r>
          </w:p>
        </w:tc>
        <w:tc>
          <w:tcPr>
            <w:tcW w:w="2113" w:type="dxa"/>
            <w:shd w:val="clear" w:color="auto" w:fill="auto"/>
            <w:noWrap/>
            <w:vAlign w:val="center"/>
            <w:hideMark/>
          </w:tcPr>
          <w:p w14:paraId="6F7FE583" w14:textId="199480C5"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25</w:t>
            </w:r>
          </w:p>
        </w:tc>
        <w:tc>
          <w:tcPr>
            <w:tcW w:w="974" w:type="dxa"/>
            <w:shd w:val="clear" w:color="auto" w:fill="auto"/>
            <w:noWrap/>
            <w:vAlign w:val="center"/>
          </w:tcPr>
          <w:p w14:paraId="1894C994" w14:textId="59DB3568" w:rsidR="004C07F5" w:rsidRPr="0084739B" w:rsidRDefault="004C07F5" w:rsidP="004C07F5">
            <w:pPr>
              <w:jc w:val="center"/>
              <w:rPr>
                <w:rFonts w:cstheme="minorHAnsi"/>
                <w:sz w:val="20"/>
                <w:szCs w:val="20"/>
                <w:highlight w:val="yellow"/>
              </w:rPr>
            </w:pPr>
            <w:r w:rsidRPr="0084739B">
              <w:rPr>
                <w:rFonts w:ascii="Calibri" w:hAnsi="Calibri" w:cs="Calibri"/>
                <w:color w:val="000000"/>
                <w:sz w:val="20"/>
                <w:szCs w:val="20"/>
              </w:rPr>
              <w:t>25</w:t>
            </w:r>
          </w:p>
        </w:tc>
      </w:tr>
      <w:tr w:rsidR="004C07F5" w:rsidRPr="00D90338" w14:paraId="1E74F4B4" w14:textId="77777777" w:rsidTr="0093373E">
        <w:trPr>
          <w:trHeight w:val="288"/>
        </w:trPr>
        <w:tc>
          <w:tcPr>
            <w:tcW w:w="1646" w:type="dxa"/>
            <w:shd w:val="clear" w:color="auto" w:fill="auto"/>
            <w:noWrap/>
            <w:vAlign w:val="center"/>
            <w:hideMark/>
          </w:tcPr>
          <w:p w14:paraId="42EE0CB6" w14:textId="37DE4F53" w:rsidR="004C07F5" w:rsidRPr="00D90338" w:rsidRDefault="004C07F5" w:rsidP="004C07F5">
            <w:pPr>
              <w:rPr>
                <w:rFonts w:cstheme="minorHAnsi"/>
                <w:sz w:val="20"/>
                <w:szCs w:val="20"/>
                <w:highlight w:val="yellow"/>
              </w:rPr>
            </w:pPr>
            <w:r>
              <w:rPr>
                <w:rStyle w:val="normaltextrun"/>
                <w:rFonts w:ascii="Calibri" w:hAnsi="Calibri" w:cs="Calibri"/>
                <w:color w:val="000000"/>
                <w:sz w:val="20"/>
                <w:szCs w:val="20"/>
              </w:rPr>
              <w:t>Reptiles</w:t>
            </w:r>
            <w:r>
              <w:rPr>
                <w:rStyle w:val="eop"/>
                <w:rFonts w:ascii="Calibri" w:hAnsi="Calibri" w:cs="Calibri"/>
                <w:color w:val="000000"/>
                <w:sz w:val="20"/>
                <w:szCs w:val="20"/>
              </w:rPr>
              <w:t> </w:t>
            </w:r>
          </w:p>
        </w:tc>
        <w:tc>
          <w:tcPr>
            <w:tcW w:w="1018" w:type="dxa"/>
            <w:shd w:val="clear" w:color="auto" w:fill="auto"/>
            <w:vAlign w:val="center"/>
            <w:hideMark/>
          </w:tcPr>
          <w:p w14:paraId="416A68A0" w14:textId="75B18FA4"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2</w:t>
            </w:r>
          </w:p>
        </w:tc>
        <w:tc>
          <w:tcPr>
            <w:tcW w:w="947" w:type="dxa"/>
            <w:shd w:val="clear" w:color="auto" w:fill="auto"/>
            <w:vAlign w:val="center"/>
          </w:tcPr>
          <w:p w14:paraId="2A3C990B" w14:textId="38861C19"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14</w:t>
            </w:r>
          </w:p>
        </w:tc>
        <w:tc>
          <w:tcPr>
            <w:tcW w:w="2230" w:type="dxa"/>
            <w:shd w:val="clear" w:color="auto" w:fill="auto"/>
            <w:noWrap/>
            <w:vAlign w:val="center"/>
            <w:hideMark/>
          </w:tcPr>
          <w:p w14:paraId="71C80971" w14:textId="2DB40F6F"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8</w:t>
            </w:r>
          </w:p>
        </w:tc>
        <w:tc>
          <w:tcPr>
            <w:tcW w:w="2113" w:type="dxa"/>
            <w:shd w:val="clear" w:color="auto" w:fill="auto"/>
            <w:noWrap/>
            <w:vAlign w:val="center"/>
            <w:hideMark/>
          </w:tcPr>
          <w:p w14:paraId="221F3B13" w14:textId="5784515A"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6</w:t>
            </w:r>
          </w:p>
        </w:tc>
        <w:tc>
          <w:tcPr>
            <w:tcW w:w="974" w:type="dxa"/>
            <w:shd w:val="clear" w:color="auto" w:fill="auto"/>
            <w:noWrap/>
            <w:vAlign w:val="center"/>
          </w:tcPr>
          <w:p w14:paraId="232A07AB" w14:textId="679E6AB0" w:rsidR="004C07F5" w:rsidRPr="0084739B" w:rsidRDefault="004C07F5" w:rsidP="004C07F5">
            <w:pPr>
              <w:jc w:val="center"/>
              <w:rPr>
                <w:rFonts w:cstheme="minorHAnsi"/>
                <w:sz w:val="20"/>
                <w:szCs w:val="20"/>
                <w:highlight w:val="yellow"/>
              </w:rPr>
            </w:pPr>
            <w:r w:rsidRPr="0084739B">
              <w:rPr>
                <w:rFonts w:ascii="Calibri" w:hAnsi="Calibri" w:cs="Calibri"/>
                <w:color w:val="000000"/>
                <w:sz w:val="20"/>
                <w:szCs w:val="20"/>
              </w:rPr>
              <w:t>16</w:t>
            </w:r>
          </w:p>
        </w:tc>
      </w:tr>
      <w:tr w:rsidR="004C07F5" w:rsidRPr="00D90338" w14:paraId="36C7EB46" w14:textId="77777777" w:rsidTr="0093373E">
        <w:trPr>
          <w:trHeight w:val="288"/>
        </w:trPr>
        <w:tc>
          <w:tcPr>
            <w:tcW w:w="1646" w:type="dxa"/>
            <w:shd w:val="clear" w:color="auto" w:fill="auto"/>
            <w:noWrap/>
            <w:vAlign w:val="center"/>
            <w:hideMark/>
          </w:tcPr>
          <w:p w14:paraId="07DC5F1B" w14:textId="5B765E30" w:rsidR="004C07F5" w:rsidRPr="00D90338" w:rsidRDefault="004C07F5" w:rsidP="004C07F5">
            <w:pPr>
              <w:rPr>
                <w:rFonts w:cstheme="minorHAnsi"/>
                <w:sz w:val="20"/>
                <w:szCs w:val="20"/>
                <w:highlight w:val="yellow"/>
              </w:rPr>
            </w:pPr>
            <w:r>
              <w:rPr>
                <w:rStyle w:val="normaltextrun"/>
                <w:rFonts w:ascii="Calibri" w:hAnsi="Calibri" w:cs="Calibri"/>
                <w:color w:val="000000"/>
                <w:sz w:val="20"/>
                <w:szCs w:val="20"/>
              </w:rPr>
              <w:t>Fish</w:t>
            </w:r>
            <w:r>
              <w:rPr>
                <w:rStyle w:val="eop"/>
                <w:rFonts w:ascii="Calibri" w:hAnsi="Calibri" w:cs="Calibri"/>
                <w:color w:val="000000"/>
                <w:sz w:val="20"/>
                <w:szCs w:val="20"/>
              </w:rPr>
              <w:t> </w:t>
            </w:r>
          </w:p>
        </w:tc>
        <w:tc>
          <w:tcPr>
            <w:tcW w:w="1018" w:type="dxa"/>
            <w:shd w:val="clear" w:color="auto" w:fill="auto"/>
            <w:vAlign w:val="center"/>
            <w:hideMark/>
          </w:tcPr>
          <w:p w14:paraId="2C394DC0" w14:textId="33242510"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3</w:t>
            </w:r>
          </w:p>
        </w:tc>
        <w:tc>
          <w:tcPr>
            <w:tcW w:w="947" w:type="dxa"/>
            <w:shd w:val="clear" w:color="auto" w:fill="auto"/>
            <w:vAlign w:val="center"/>
          </w:tcPr>
          <w:p w14:paraId="2D688868" w14:textId="220FA71F"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103</w:t>
            </w:r>
          </w:p>
        </w:tc>
        <w:tc>
          <w:tcPr>
            <w:tcW w:w="2230" w:type="dxa"/>
            <w:shd w:val="clear" w:color="auto" w:fill="auto"/>
            <w:noWrap/>
            <w:vAlign w:val="center"/>
            <w:hideMark/>
          </w:tcPr>
          <w:p w14:paraId="1E45C677" w14:textId="6C4B969A"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5</w:t>
            </w:r>
          </w:p>
        </w:tc>
        <w:tc>
          <w:tcPr>
            <w:tcW w:w="2113" w:type="dxa"/>
            <w:shd w:val="clear" w:color="auto" w:fill="auto"/>
            <w:noWrap/>
            <w:vAlign w:val="center"/>
            <w:hideMark/>
          </w:tcPr>
          <w:p w14:paraId="75DB7E0C" w14:textId="0E3FEFF5"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98</w:t>
            </w:r>
          </w:p>
        </w:tc>
        <w:tc>
          <w:tcPr>
            <w:tcW w:w="974" w:type="dxa"/>
            <w:shd w:val="clear" w:color="auto" w:fill="auto"/>
            <w:noWrap/>
            <w:vAlign w:val="center"/>
          </w:tcPr>
          <w:p w14:paraId="007F82C2" w14:textId="76CE5886" w:rsidR="004C07F5" w:rsidRPr="0084739B" w:rsidRDefault="004C07F5" w:rsidP="004C07F5">
            <w:pPr>
              <w:jc w:val="center"/>
              <w:rPr>
                <w:rFonts w:cstheme="minorHAnsi"/>
                <w:sz w:val="20"/>
                <w:szCs w:val="20"/>
                <w:highlight w:val="yellow"/>
              </w:rPr>
            </w:pPr>
            <w:r w:rsidRPr="0084739B">
              <w:rPr>
                <w:rFonts w:ascii="Calibri" w:hAnsi="Calibri" w:cs="Calibri"/>
                <w:color w:val="000000"/>
                <w:sz w:val="20"/>
                <w:szCs w:val="20"/>
              </w:rPr>
              <w:t>106</w:t>
            </w:r>
          </w:p>
        </w:tc>
      </w:tr>
      <w:tr w:rsidR="004C07F5" w:rsidRPr="00D90338" w14:paraId="78499248" w14:textId="77777777" w:rsidTr="0093373E">
        <w:trPr>
          <w:trHeight w:val="288"/>
        </w:trPr>
        <w:tc>
          <w:tcPr>
            <w:tcW w:w="1646" w:type="dxa"/>
            <w:shd w:val="clear" w:color="auto" w:fill="auto"/>
            <w:noWrap/>
            <w:vAlign w:val="center"/>
            <w:hideMark/>
          </w:tcPr>
          <w:p w14:paraId="2E99A902" w14:textId="6F0936E7" w:rsidR="004C07F5" w:rsidRPr="00D90338" w:rsidRDefault="004C07F5" w:rsidP="004C07F5">
            <w:pPr>
              <w:rPr>
                <w:rFonts w:cstheme="minorHAnsi"/>
                <w:sz w:val="20"/>
                <w:szCs w:val="20"/>
                <w:highlight w:val="yellow"/>
              </w:rPr>
            </w:pPr>
            <w:r>
              <w:rPr>
                <w:rStyle w:val="normaltextrun"/>
                <w:rFonts w:ascii="Calibri" w:hAnsi="Calibri" w:cs="Calibri"/>
                <w:color w:val="000000"/>
                <w:sz w:val="20"/>
                <w:szCs w:val="20"/>
              </w:rPr>
              <w:t>Plants</w:t>
            </w:r>
            <w:r>
              <w:rPr>
                <w:rStyle w:val="eop"/>
                <w:rFonts w:ascii="Calibri" w:hAnsi="Calibri" w:cs="Calibri"/>
                <w:color w:val="000000"/>
                <w:sz w:val="20"/>
                <w:szCs w:val="20"/>
              </w:rPr>
              <w:t> </w:t>
            </w:r>
          </w:p>
        </w:tc>
        <w:tc>
          <w:tcPr>
            <w:tcW w:w="1018" w:type="dxa"/>
            <w:shd w:val="clear" w:color="auto" w:fill="auto"/>
            <w:vAlign w:val="center"/>
            <w:hideMark/>
          </w:tcPr>
          <w:p w14:paraId="57F58918" w14:textId="04FBDA4D"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22</w:t>
            </w:r>
          </w:p>
        </w:tc>
        <w:tc>
          <w:tcPr>
            <w:tcW w:w="947" w:type="dxa"/>
            <w:shd w:val="clear" w:color="auto" w:fill="auto"/>
            <w:vAlign w:val="center"/>
          </w:tcPr>
          <w:p w14:paraId="01992F9F" w14:textId="0C037C72"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438</w:t>
            </w:r>
          </w:p>
        </w:tc>
        <w:tc>
          <w:tcPr>
            <w:tcW w:w="2230" w:type="dxa"/>
            <w:shd w:val="clear" w:color="auto" w:fill="auto"/>
            <w:noWrap/>
            <w:vAlign w:val="center"/>
            <w:hideMark/>
          </w:tcPr>
          <w:p w14:paraId="6CC48854" w14:textId="6401F721"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9</w:t>
            </w:r>
          </w:p>
        </w:tc>
        <w:tc>
          <w:tcPr>
            <w:tcW w:w="2113" w:type="dxa"/>
            <w:shd w:val="clear" w:color="auto" w:fill="auto"/>
            <w:noWrap/>
            <w:vAlign w:val="center"/>
            <w:hideMark/>
          </w:tcPr>
          <w:p w14:paraId="4AAEE6BE" w14:textId="5B349070"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429</w:t>
            </w:r>
          </w:p>
        </w:tc>
        <w:tc>
          <w:tcPr>
            <w:tcW w:w="974" w:type="dxa"/>
            <w:shd w:val="clear" w:color="auto" w:fill="auto"/>
            <w:noWrap/>
            <w:vAlign w:val="center"/>
          </w:tcPr>
          <w:p w14:paraId="32D6DF84" w14:textId="4B82C6EA" w:rsidR="004C07F5" w:rsidRPr="0084739B" w:rsidRDefault="004C07F5" w:rsidP="004C07F5">
            <w:pPr>
              <w:jc w:val="center"/>
              <w:rPr>
                <w:rFonts w:cstheme="minorHAnsi"/>
                <w:sz w:val="20"/>
                <w:szCs w:val="20"/>
                <w:highlight w:val="yellow"/>
              </w:rPr>
            </w:pPr>
            <w:r w:rsidRPr="0084739B">
              <w:rPr>
                <w:rFonts w:ascii="Calibri" w:hAnsi="Calibri" w:cs="Calibri"/>
                <w:color w:val="000000"/>
                <w:sz w:val="20"/>
                <w:szCs w:val="20"/>
              </w:rPr>
              <w:t>460</w:t>
            </w:r>
          </w:p>
        </w:tc>
      </w:tr>
      <w:tr w:rsidR="004C07F5" w:rsidRPr="00D90338" w14:paraId="369BC1F6" w14:textId="77777777" w:rsidTr="0093373E">
        <w:trPr>
          <w:trHeight w:val="288"/>
        </w:trPr>
        <w:tc>
          <w:tcPr>
            <w:tcW w:w="1646" w:type="dxa"/>
            <w:shd w:val="clear" w:color="auto" w:fill="auto"/>
            <w:noWrap/>
            <w:vAlign w:val="center"/>
            <w:hideMark/>
          </w:tcPr>
          <w:p w14:paraId="397DD15D" w14:textId="7A2F26B2" w:rsidR="004C07F5" w:rsidRPr="00D90338" w:rsidRDefault="004C07F5" w:rsidP="004C07F5">
            <w:pPr>
              <w:rPr>
                <w:rFonts w:cstheme="minorHAnsi"/>
                <w:sz w:val="20"/>
                <w:szCs w:val="20"/>
                <w:highlight w:val="yellow"/>
              </w:rPr>
            </w:pPr>
            <w:r>
              <w:rPr>
                <w:rStyle w:val="normaltextrun"/>
                <w:rFonts w:ascii="Calibri" w:hAnsi="Calibri" w:cs="Calibri"/>
                <w:color w:val="000000"/>
                <w:sz w:val="20"/>
                <w:szCs w:val="20"/>
              </w:rPr>
              <w:t>Aquatic Invertebrates</w:t>
            </w:r>
            <w:r>
              <w:rPr>
                <w:rStyle w:val="eop"/>
                <w:rFonts w:ascii="Calibri" w:hAnsi="Calibri" w:cs="Calibri"/>
                <w:color w:val="000000"/>
                <w:sz w:val="20"/>
                <w:szCs w:val="20"/>
              </w:rPr>
              <w:t> </w:t>
            </w:r>
          </w:p>
        </w:tc>
        <w:tc>
          <w:tcPr>
            <w:tcW w:w="1018" w:type="dxa"/>
            <w:shd w:val="clear" w:color="auto" w:fill="auto"/>
            <w:vAlign w:val="center"/>
            <w:hideMark/>
          </w:tcPr>
          <w:p w14:paraId="2AD5A458" w14:textId="38EA0FA9"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50</w:t>
            </w:r>
          </w:p>
        </w:tc>
        <w:tc>
          <w:tcPr>
            <w:tcW w:w="947" w:type="dxa"/>
            <w:shd w:val="clear" w:color="auto" w:fill="auto"/>
            <w:vAlign w:val="center"/>
          </w:tcPr>
          <w:p w14:paraId="610E895A" w14:textId="4DE00D79"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21</w:t>
            </w:r>
          </w:p>
        </w:tc>
        <w:tc>
          <w:tcPr>
            <w:tcW w:w="2230" w:type="dxa"/>
            <w:shd w:val="clear" w:color="auto" w:fill="auto"/>
            <w:noWrap/>
            <w:vAlign w:val="center"/>
            <w:hideMark/>
          </w:tcPr>
          <w:p w14:paraId="05B8232E" w14:textId="4FAD8DBB"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3</w:t>
            </w:r>
          </w:p>
        </w:tc>
        <w:tc>
          <w:tcPr>
            <w:tcW w:w="2113" w:type="dxa"/>
            <w:shd w:val="clear" w:color="auto" w:fill="auto"/>
            <w:noWrap/>
            <w:vAlign w:val="center"/>
            <w:hideMark/>
          </w:tcPr>
          <w:p w14:paraId="042A5B41" w14:textId="6D12BA41"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18</w:t>
            </w:r>
          </w:p>
        </w:tc>
        <w:tc>
          <w:tcPr>
            <w:tcW w:w="974" w:type="dxa"/>
            <w:shd w:val="clear" w:color="auto" w:fill="auto"/>
            <w:noWrap/>
            <w:vAlign w:val="center"/>
          </w:tcPr>
          <w:p w14:paraId="67FB8149" w14:textId="718EACDF" w:rsidR="004C07F5" w:rsidRPr="0084739B" w:rsidRDefault="004C07F5" w:rsidP="004C07F5">
            <w:pPr>
              <w:jc w:val="center"/>
              <w:rPr>
                <w:rFonts w:cstheme="minorHAnsi"/>
                <w:sz w:val="20"/>
                <w:szCs w:val="20"/>
                <w:highlight w:val="yellow"/>
              </w:rPr>
            </w:pPr>
            <w:r w:rsidRPr="0084739B">
              <w:rPr>
                <w:rFonts w:ascii="Calibri" w:hAnsi="Calibri" w:cs="Calibri"/>
                <w:color w:val="000000"/>
                <w:sz w:val="20"/>
                <w:szCs w:val="20"/>
              </w:rPr>
              <w:t>71</w:t>
            </w:r>
          </w:p>
        </w:tc>
      </w:tr>
      <w:tr w:rsidR="004C07F5" w:rsidRPr="00D90338" w14:paraId="5E1717A7" w14:textId="77777777" w:rsidTr="0093373E">
        <w:trPr>
          <w:trHeight w:val="288"/>
        </w:trPr>
        <w:tc>
          <w:tcPr>
            <w:tcW w:w="1646" w:type="dxa"/>
            <w:shd w:val="clear" w:color="auto" w:fill="auto"/>
            <w:noWrap/>
            <w:vAlign w:val="center"/>
            <w:hideMark/>
          </w:tcPr>
          <w:p w14:paraId="106CB830" w14:textId="33AE4E51" w:rsidR="004C07F5" w:rsidRPr="00D90338" w:rsidRDefault="004C07F5" w:rsidP="004C07F5">
            <w:pPr>
              <w:rPr>
                <w:rFonts w:cstheme="minorHAnsi"/>
                <w:sz w:val="20"/>
                <w:szCs w:val="20"/>
                <w:highlight w:val="yellow"/>
              </w:rPr>
            </w:pPr>
            <w:r>
              <w:rPr>
                <w:rStyle w:val="normaltextrun"/>
                <w:rFonts w:ascii="Calibri" w:hAnsi="Calibri" w:cs="Calibri"/>
                <w:color w:val="000000"/>
                <w:sz w:val="20"/>
                <w:szCs w:val="20"/>
              </w:rPr>
              <w:t>Terrestrial Invertebrates</w:t>
            </w:r>
            <w:r>
              <w:rPr>
                <w:rStyle w:val="eop"/>
                <w:rFonts w:ascii="Calibri" w:hAnsi="Calibri" w:cs="Calibri"/>
                <w:color w:val="000000"/>
                <w:sz w:val="20"/>
                <w:szCs w:val="20"/>
              </w:rPr>
              <w:t> </w:t>
            </w:r>
          </w:p>
        </w:tc>
        <w:tc>
          <w:tcPr>
            <w:tcW w:w="1018" w:type="dxa"/>
            <w:shd w:val="clear" w:color="auto" w:fill="auto"/>
            <w:vAlign w:val="center"/>
            <w:hideMark/>
          </w:tcPr>
          <w:p w14:paraId="35E2B74B" w14:textId="0EAE203F"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1</w:t>
            </w:r>
          </w:p>
        </w:tc>
        <w:tc>
          <w:tcPr>
            <w:tcW w:w="947" w:type="dxa"/>
            <w:shd w:val="clear" w:color="auto" w:fill="auto"/>
            <w:vAlign w:val="center"/>
          </w:tcPr>
          <w:p w14:paraId="559E9861" w14:textId="30846493"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48</w:t>
            </w:r>
          </w:p>
        </w:tc>
        <w:tc>
          <w:tcPr>
            <w:tcW w:w="2230" w:type="dxa"/>
            <w:shd w:val="clear" w:color="auto" w:fill="auto"/>
            <w:noWrap/>
            <w:vAlign w:val="center"/>
            <w:hideMark/>
          </w:tcPr>
          <w:p w14:paraId="40489CCD" w14:textId="1153D239"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11</w:t>
            </w:r>
          </w:p>
        </w:tc>
        <w:tc>
          <w:tcPr>
            <w:tcW w:w="2113" w:type="dxa"/>
            <w:shd w:val="clear" w:color="auto" w:fill="auto"/>
            <w:noWrap/>
            <w:vAlign w:val="center"/>
            <w:hideMark/>
          </w:tcPr>
          <w:p w14:paraId="3CB43CF7" w14:textId="440742AD" w:rsidR="004C07F5" w:rsidRPr="004C07F5" w:rsidRDefault="004C07F5" w:rsidP="004C07F5">
            <w:pPr>
              <w:jc w:val="center"/>
              <w:rPr>
                <w:rFonts w:cstheme="minorHAnsi"/>
                <w:sz w:val="20"/>
                <w:szCs w:val="20"/>
                <w:highlight w:val="yellow"/>
              </w:rPr>
            </w:pPr>
            <w:r w:rsidRPr="004C07F5">
              <w:rPr>
                <w:rFonts w:ascii="Calibri" w:hAnsi="Calibri" w:cs="Calibri"/>
                <w:color w:val="000000"/>
                <w:sz w:val="20"/>
                <w:szCs w:val="20"/>
              </w:rPr>
              <w:t>37</w:t>
            </w:r>
          </w:p>
        </w:tc>
        <w:tc>
          <w:tcPr>
            <w:tcW w:w="974" w:type="dxa"/>
            <w:shd w:val="clear" w:color="auto" w:fill="auto"/>
            <w:noWrap/>
            <w:vAlign w:val="center"/>
          </w:tcPr>
          <w:p w14:paraId="6993970F" w14:textId="648276A9" w:rsidR="004C07F5" w:rsidRPr="0084739B" w:rsidRDefault="004C07F5" w:rsidP="004C07F5">
            <w:pPr>
              <w:jc w:val="center"/>
              <w:rPr>
                <w:rFonts w:cstheme="minorHAnsi"/>
                <w:sz w:val="20"/>
                <w:szCs w:val="20"/>
                <w:highlight w:val="yellow"/>
              </w:rPr>
            </w:pPr>
            <w:r w:rsidRPr="0084739B">
              <w:rPr>
                <w:rFonts w:ascii="Calibri" w:hAnsi="Calibri" w:cs="Calibri"/>
                <w:color w:val="000000"/>
                <w:sz w:val="20"/>
                <w:szCs w:val="20"/>
              </w:rPr>
              <w:t>49</w:t>
            </w:r>
          </w:p>
        </w:tc>
      </w:tr>
      <w:tr w:rsidR="004C07F5" w:rsidRPr="00D90338" w14:paraId="0CD4EF54" w14:textId="77777777" w:rsidTr="0093373E">
        <w:trPr>
          <w:trHeight w:val="288"/>
        </w:trPr>
        <w:tc>
          <w:tcPr>
            <w:tcW w:w="1646" w:type="dxa"/>
            <w:shd w:val="clear" w:color="000000" w:fill="D9D9D9"/>
            <w:noWrap/>
            <w:vAlign w:val="center"/>
            <w:hideMark/>
          </w:tcPr>
          <w:p w14:paraId="36F34F84" w14:textId="6B79A301" w:rsidR="004C07F5" w:rsidRPr="0093373E" w:rsidRDefault="004C07F5" w:rsidP="004C07F5">
            <w:pPr>
              <w:rPr>
                <w:rFonts w:cstheme="minorHAnsi"/>
                <w:b/>
                <w:bCs/>
                <w:sz w:val="20"/>
                <w:szCs w:val="20"/>
                <w:highlight w:val="yellow"/>
              </w:rPr>
            </w:pPr>
            <w:r w:rsidRPr="0093373E">
              <w:rPr>
                <w:rStyle w:val="normaltextrun"/>
                <w:rFonts w:ascii="Calibri" w:hAnsi="Calibri" w:cs="Calibri"/>
                <w:b/>
                <w:bCs/>
                <w:color w:val="000000"/>
                <w:sz w:val="20"/>
                <w:szCs w:val="20"/>
              </w:rPr>
              <w:t>Total</w:t>
            </w:r>
            <w:r w:rsidRPr="0093373E">
              <w:rPr>
                <w:rStyle w:val="eop"/>
                <w:rFonts w:ascii="Calibri" w:hAnsi="Calibri" w:cs="Calibri"/>
                <w:b/>
                <w:bCs/>
                <w:color w:val="000000"/>
                <w:sz w:val="20"/>
                <w:szCs w:val="20"/>
              </w:rPr>
              <w:t> </w:t>
            </w:r>
          </w:p>
        </w:tc>
        <w:tc>
          <w:tcPr>
            <w:tcW w:w="1018" w:type="dxa"/>
            <w:shd w:val="clear" w:color="000000" w:fill="D9D9D9"/>
            <w:vAlign w:val="center"/>
            <w:hideMark/>
          </w:tcPr>
          <w:p w14:paraId="2F3E395F" w14:textId="3E9A9FC3"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78</w:t>
            </w:r>
          </w:p>
        </w:tc>
        <w:tc>
          <w:tcPr>
            <w:tcW w:w="947" w:type="dxa"/>
            <w:shd w:val="clear" w:color="000000" w:fill="D9D9D9"/>
            <w:vAlign w:val="center"/>
            <w:hideMark/>
          </w:tcPr>
          <w:p w14:paraId="012BB0C1" w14:textId="28D6BB05"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713</w:t>
            </w:r>
          </w:p>
        </w:tc>
        <w:tc>
          <w:tcPr>
            <w:tcW w:w="2230" w:type="dxa"/>
            <w:shd w:val="clear" w:color="000000" w:fill="D9D9D9"/>
            <w:noWrap/>
            <w:vAlign w:val="center"/>
            <w:hideMark/>
          </w:tcPr>
          <w:p w14:paraId="04289B48" w14:textId="1140A909"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55</w:t>
            </w:r>
          </w:p>
        </w:tc>
        <w:tc>
          <w:tcPr>
            <w:tcW w:w="2113" w:type="dxa"/>
            <w:shd w:val="clear" w:color="000000" w:fill="D9D9D9"/>
            <w:noWrap/>
            <w:vAlign w:val="center"/>
            <w:hideMark/>
          </w:tcPr>
          <w:p w14:paraId="24D9D15B" w14:textId="6422833B"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658</w:t>
            </w:r>
          </w:p>
        </w:tc>
        <w:tc>
          <w:tcPr>
            <w:tcW w:w="974" w:type="dxa"/>
            <w:shd w:val="clear" w:color="000000" w:fill="D9D9D9"/>
            <w:noWrap/>
            <w:vAlign w:val="center"/>
            <w:hideMark/>
          </w:tcPr>
          <w:p w14:paraId="534157DF" w14:textId="764F9F63"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791</w:t>
            </w:r>
          </w:p>
        </w:tc>
      </w:tr>
      <w:tr w:rsidR="004C07F5" w:rsidRPr="00D90338" w14:paraId="7E156CE7" w14:textId="77777777" w:rsidTr="0093373E">
        <w:trPr>
          <w:trHeight w:val="288"/>
        </w:trPr>
        <w:tc>
          <w:tcPr>
            <w:tcW w:w="1646" w:type="dxa"/>
            <w:shd w:val="clear" w:color="000000" w:fill="D9D9D9"/>
            <w:noWrap/>
            <w:vAlign w:val="center"/>
            <w:hideMark/>
          </w:tcPr>
          <w:p w14:paraId="5FEE151F" w14:textId="0642162D" w:rsidR="004C07F5" w:rsidRPr="0093373E" w:rsidRDefault="004C07F5" w:rsidP="004C07F5">
            <w:pPr>
              <w:rPr>
                <w:rFonts w:cstheme="minorHAnsi"/>
                <w:b/>
                <w:bCs/>
                <w:sz w:val="20"/>
                <w:szCs w:val="20"/>
                <w:highlight w:val="yellow"/>
              </w:rPr>
            </w:pPr>
            <w:r w:rsidRPr="0093373E">
              <w:rPr>
                <w:rStyle w:val="normaltextrun"/>
                <w:rFonts w:ascii="Calibri" w:hAnsi="Calibri" w:cs="Calibri"/>
                <w:b/>
                <w:bCs/>
                <w:color w:val="000000"/>
                <w:sz w:val="20"/>
                <w:szCs w:val="20"/>
              </w:rPr>
              <w:t>Percent of total</w:t>
            </w:r>
            <w:r w:rsidRPr="0093373E">
              <w:rPr>
                <w:rStyle w:val="eop"/>
                <w:rFonts w:ascii="Calibri" w:hAnsi="Calibri" w:cs="Calibri"/>
                <w:b/>
                <w:bCs/>
                <w:color w:val="000000"/>
                <w:sz w:val="20"/>
                <w:szCs w:val="20"/>
              </w:rPr>
              <w:t> </w:t>
            </w:r>
          </w:p>
        </w:tc>
        <w:tc>
          <w:tcPr>
            <w:tcW w:w="1018" w:type="dxa"/>
            <w:shd w:val="clear" w:color="000000" w:fill="D9D9D9"/>
            <w:noWrap/>
            <w:vAlign w:val="center"/>
            <w:hideMark/>
          </w:tcPr>
          <w:p w14:paraId="4BAD3B86" w14:textId="02B7E3F7"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10%</w:t>
            </w:r>
          </w:p>
        </w:tc>
        <w:tc>
          <w:tcPr>
            <w:tcW w:w="947" w:type="dxa"/>
            <w:shd w:val="clear" w:color="000000" w:fill="D9D9D9"/>
            <w:noWrap/>
            <w:vAlign w:val="center"/>
            <w:hideMark/>
          </w:tcPr>
          <w:p w14:paraId="4FD167C9" w14:textId="1FCAB2FB"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90%</w:t>
            </w:r>
          </w:p>
        </w:tc>
        <w:tc>
          <w:tcPr>
            <w:tcW w:w="2230" w:type="dxa"/>
            <w:shd w:val="clear" w:color="000000" w:fill="D9D9D9"/>
            <w:noWrap/>
            <w:vAlign w:val="center"/>
            <w:hideMark/>
          </w:tcPr>
          <w:p w14:paraId="2F875746" w14:textId="61946C42"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7%</w:t>
            </w:r>
          </w:p>
        </w:tc>
        <w:tc>
          <w:tcPr>
            <w:tcW w:w="2113" w:type="dxa"/>
            <w:shd w:val="clear" w:color="000000" w:fill="D9D9D9"/>
            <w:noWrap/>
            <w:vAlign w:val="center"/>
            <w:hideMark/>
          </w:tcPr>
          <w:p w14:paraId="762BD651" w14:textId="1A3CDC05" w:rsidR="004C07F5" w:rsidRPr="0093373E" w:rsidRDefault="004C07F5" w:rsidP="004C07F5">
            <w:pPr>
              <w:jc w:val="center"/>
              <w:rPr>
                <w:rFonts w:cstheme="minorHAnsi"/>
                <w:b/>
                <w:bCs/>
                <w:sz w:val="20"/>
                <w:szCs w:val="20"/>
                <w:highlight w:val="yellow"/>
              </w:rPr>
            </w:pPr>
            <w:r w:rsidRPr="0093373E">
              <w:rPr>
                <w:rFonts w:ascii="Calibri" w:hAnsi="Calibri" w:cs="Calibri"/>
                <w:b/>
                <w:bCs/>
                <w:color w:val="000000"/>
                <w:sz w:val="20"/>
                <w:szCs w:val="20"/>
              </w:rPr>
              <w:t>83%</w:t>
            </w:r>
          </w:p>
        </w:tc>
        <w:tc>
          <w:tcPr>
            <w:tcW w:w="974" w:type="dxa"/>
            <w:shd w:val="clear" w:color="000000" w:fill="D9D9D9"/>
            <w:noWrap/>
            <w:vAlign w:val="center"/>
            <w:hideMark/>
          </w:tcPr>
          <w:p w14:paraId="0AC9E2FB" w14:textId="699E1780" w:rsidR="004C07F5" w:rsidRPr="0093373E" w:rsidRDefault="004C07F5" w:rsidP="004C07F5">
            <w:pPr>
              <w:jc w:val="center"/>
              <w:rPr>
                <w:rFonts w:cstheme="minorHAnsi"/>
                <w:b/>
                <w:bCs/>
                <w:sz w:val="20"/>
                <w:szCs w:val="20"/>
                <w:highlight w:val="yellow"/>
              </w:rPr>
            </w:pPr>
            <w:r w:rsidRPr="0093373E">
              <w:rPr>
                <w:b/>
                <w:bCs/>
                <w:color w:val="000000"/>
                <w:sz w:val="20"/>
                <w:szCs w:val="20"/>
              </w:rPr>
              <w:t> </w:t>
            </w:r>
          </w:p>
        </w:tc>
      </w:tr>
    </w:tbl>
    <w:p w14:paraId="4028BEFC" w14:textId="7A8F69A9" w:rsidR="00307537" w:rsidRPr="008B4300" w:rsidRDefault="00307537" w:rsidP="00307537">
      <w:pPr>
        <w:rPr>
          <w:noProof/>
          <w:sz w:val="20"/>
        </w:rPr>
      </w:pPr>
    </w:p>
    <w:p w14:paraId="48B8C13D" w14:textId="091F6BE1" w:rsidR="0093373E" w:rsidRPr="0093373E" w:rsidRDefault="0093373E" w:rsidP="0093373E">
      <w:pPr>
        <w:pStyle w:val="Caption"/>
        <w:keepNext/>
        <w:rPr>
          <w:b/>
          <w:bCs/>
          <w:i w:val="0"/>
          <w:iCs w:val="0"/>
          <w:color w:val="000000" w:themeColor="text1"/>
          <w:sz w:val="22"/>
          <w:szCs w:val="22"/>
        </w:rPr>
      </w:pPr>
      <w:bookmarkStart w:id="3" w:name="_Ref80262906"/>
      <w:r w:rsidRPr="0093373E">
        <w:rPr>
          <w:b/>
          <w:bCs/>
          <w:i w:val="0"/>
          <w:iCs w:val="0"/>
          <w:color w:val="000000" w:themeColor="text1"/>
          <w:sz w:val="22"/>
          <w:szCs w:val="22"/>
        </w:rPr>
        <w:t xml:space="preserve">Table </w:t>
      </w:r>
      <w:r w:rsidRPr="0093373E">
        <w:rPr>
          <w:b/>
          <w:bCs/>
          <w:i w:val="0"/>
          <w:iCs w:val="0"/>
          <w:color w:val="000000" w:themeColor="text1"/>
          <w:sz w:val="22"/>
          <w:szCs w:val="22"/>
        </w:rPr>
        <w:fldChar w:fldCharType="begin"/>
      </w:r>
      <w:r w:rsidRPr="0093373E">
        <w:rPr>
          <w:b/>
          <w:bCs/>
          <w:i w:val="0"/>
          <w:iCs w:val="0"/>
          <w:color w:val="000000" w:themeColor="text1"/>
          <w:sz w:val="22"/>
          <w:szCs w:val="22"/>
        </w:rPr>
        <w:instrText xml:space="preserve"> SEQ Table \* ARABIC </w:instrText>
      </w:r>
      <w:r w:rsidRPr="0093373E">
        <w:rPr>
          <w:b/>
          <w:bCs/>
          <w:i w:val="0"/>
          <w:iCs w:val="0"/>
          <w:color w:val="000000" w:themeColor="text1"/>
          <w:sz w:val="22"/>
          <w:szCs w:val="22"/>
        </w:rPr>
        <w:fldChar w:fldCharType="separate"/>
      </w:r>
      <w:r w:rsidRPr="0093373E">
        <w:rPr>
          <w:b/>
          <w:bCs/>
          <w:i w:val="0"/>
          <w:iCs w:val="0"/>
          <w:noProof/>
          <w:color w:val="000000" w:themeColor="text1"/>
          <w:sz w:val="22"/>
          <w:szCs w:val="22"/>
        </w:rPr>
        <w:t>3</w:t>
      </w:r>
      <w:r w:rsidRPr="0093373E">
        <w:rPr>
          <w:b/>
          <w:bCs/>
          <w:i w:val="0"/>
          <w:iCs w:val="0"/>
          <w:color w:val="000000" w:themeColor="text1"/>
          <w:sz w:val="22"/>
          <w:szCs w:val="22"/>
        </w:rPr>
        <w:fldChar w:fldCharType="end"/>
      </w:r>
      <w:bookmarkEnd w:id="3"/>
      <w:r w:rsidRPr="0093373E">
        <w:rPr>
          <w:b/>
          <w:bCs/>
          <w:i w:val="0"/>
          <w:iCs w:val="0"/>
          <w:color w:val="000000" w:themeColor="text1"/>
          <w:sz w:val="22"/>
          <w:szCs w:val="22"/>
        </w:rPr>
        <w:t>. Classification of LAA Determinations by Strength of Evidence.</w:t>
      </w:r>
    </w:p>
    <w:tbl>
      <w:tblPr>
        <w:tblStyle w:val="TableGrid"/>
        <w:tblW w:w="8928" w:type="dxa"/>
        <w:tblLook w:val="04A0" w:firstRow="1" w:lastRow="0" w:firstColumn="1" w:lastColumn="0" w:noHBand="0" w:noVBand="1"/>
      </w:tblPr>
      <w:tblGrid>
        <w:gridCol w:w="3020"/>
        <w:gridCol w:w="1655"/>
        <w:gridCol w:w="1497"/>
        <w:gridCol w:w="1168"/>
        <w:gridCol w:w="1588"/>
      </w:tblGrid>
      <w:tr w:rsidR="00307537" w:rsidRPr="008B4300" w14:paraId="0590B81D" w14:textId="77777777" w:rsidTr="00A92645">
        <w:trPr>
          <w:trHeight w:val="300"/>
        </w:trPr>
        <w:tc>
          <w:tcPr>
            <w:tcW w:w="3020" w:type="dxa"/>
            <w:vMerge w:val="restart"/>
            <w:shd w:val="clear" w:color="auto" w:fill="D9D9D9" w:themeFill="background1" w:themeFillShade="D9"/>
            <w:noWrap/>
            <w:vAlign w:val="center"/>
          </w:tcPr>
          <w:p w14:paraId="76339EE3" w14:textId="6F69915F" w:rsidR="00307537" w:rsidRPr="008B4300" w:rsidRDefault="00307537" w:rsidP="00A92645">
            <w:pPr>
              <w:jc w:val="center"/>
              <w:rPr>
                <w:b/>
                <w:sz w:val="20"/>
                <w:szCs w:val="20"/>
              </w:rPr>
            </w:pPr>
            <w:r w:rsidRPr="008B4300">
              <w:rPr>
                <w:b/>
                <w:sz w:val="20"/>
                <w:szCs w:val="20"/>
              </w:rPr>
              <w:t xml:space="preserve">Strength of LAA </w:t>
            </w:r>
            <w:r w:rsidR="003459E7">
              <w:rPr>
                <w:b/>
                <w:sz w:val="20"/>
                <w:szCs w:val="20"/>
              </w:rPr>
              <w:t>C</w:t>
            </w:r>
            <w:r w:rsidRPr="008B4300">
              <w:rPr>
                <w:b/>
                <w:sz w:val="20"/>
                <w:szCs w:val="20"/>
              </w:rPr>
              <w:t>all</w:t>
            </w:r>
          </w:p>
        </w:tc>
        <w:tc>
          <w:tcPr>
            <w:tcW w:w="3152" w:type="dxa"/>
            <w:gridSpan w:val="2"/>
            <w:shd w:val="clear" w:color="auto" w:fill="D9D9D9" w:themeFill="background1" w:themeFillShade="D9"/>
            <w:noWrap/>
            <w:vAlign w:val="center"/>
          </w:tcPr>
          <w:p w14:paraId="35636666" w14:textId="3FFADB07" w:rsidR="00307537" w:rsidRPr="008B4300" w:rsidRDefault="00307537" w:rsidP="00A92645">
            <w:pPr>
              <w:jc w:val="center"/>
              <w:rPr>
                <w:b/>
                <w:sz w:val="20"/>
                <w:szCs w:val="20"/>
              </w:rPr>
            </w:pPr>
            <w:r w:rsidRPr="008B4300">
              <w:rPr>
                <w:b/>
                <w:sz w:val="20"/>
                <w:szCs w:val="20"/>
              </w:rPr>
              <w:t xml:space="preserve">Species </w:t>
            </w:r>
            <w:r w:rsidR="003459E7">
              <w:rPr>
                <w:b/>
                <w:sz w:val="20"/>
                <w:szCs w:val="20"/>
              </w:rPr>
              <w:t>R</w:t>
            </w:r>
            <w:r w:rsidRPr="008B4300">
              <w:rPr>
                <w:b/>
                <w:sz w:val="20"/>
                <w:szCs w:val="20"/>
              </w:rPr>
              <w:t>ange</w:t>
            </w:r>
          </w:p>
        </w:tc>
        <w:tc>
          <w:tcPr>
            <w:tcW w:w="2756" w:type="dxa"/>
            <w:gridSpan w:val="2"/>
            <w:shd w:val="clear" w:color="auto" w:fill="D9D9D9" w:themeFill="background1" w:themeFillShade="D9"/>
            <w:vAlign w:val="center"/>
          </w:tcPr>
          <w:p w14:paraId="415C1B51" w14:textId="77777777" w:rsidR="00307537" w:rsidRPr="008B4300" w:rsidRDefault="00307537" w:rsidP="00A92645">
            <w:pPr>
              <w:jc w:val="center"/>
              <w:rPr>
                <w:b/>
                <w:sz w:val="20"/>
                <w:szCs w:val="20"/>
              </w:rPr>
            </w:pPr>
            <w:r w:rsidRPr="008B4300">
              <w:rPr>
                <w:b/>
                <w:sz w:val="20"/>
                <w:szCs w:val="20"/>
              </w:rPr>
              <w:t>Critical Habitat</w:t>
            </w:r>
          </w:p>
        </w:tc>
      </w:tr>
      <w:tr w:rsidR="00307537" w:rsidRPr="008B4300" w14:paraId="45BABB3B" w14:textId="77777777" w:rsidTr="0093373E">
        <w:trPr>
          <w:trHeight w:val="300"/>
        </w:trPr>
        <w:tc>
          <w:tcPr>
            <w:tcW w:w="3020" w:type="dxa"/>
            <w:vMerge/>
            <w:shd w:val="clear" w:color="auto" w:fill="D9D9D9" w:themeFill="background1" w:themeFillShade="D9"/>
            <w:noWrap/>
            <w:vAlign w:val="center"/>
          </w:tcPr>
          <w:p w14:paraId="1BF3E12B" w14:textId="77777777" w:rsidR="00307537" w:rsidRPr="008B4300" w:rsidRDefault="00307537" w:rsidP="00A92645">
            <w:pPr>
              <w:jc w:val="center"/>
              <w:rPr>
                <w:b/>
                <w:sz w:val="20"/>
                <w:szCs w:val="20"/>
              </w:rPr>
            </w:pPr>
          </w:p>
        </w:tc>
        <w:tc>
          <w:tcPr>
            <w:tcW w:w="1655" w:type="dxa"/>
            <w:shd w:val="clear" w:color="auto" w:fill="D9D9D9" w:themeFill="background1" w:themeFillShade="D9"/>
            <w:noWrap/>
            <w:vAlign w:val="center"/>
          </w:tcPr>
          <w:p w14:paraId="7611DDAC" w14:textId="77777777" w:rsidR="00307537" w:rsidRPr="008B4300" w:rsidRDefault="00307537" w:rsidP="00A92645">
            <w:pPr>
              <w:jc w:val="center"/>
              <w:rPr>
                <w:b/>
                <w:sz w:val="20"/>
                <w:szCs w:val="20"/>
              </w:rPr>
            </w:pPr>
            <w:r w:rsidRPr="008B4300">
              <w:rPr>
                <w:b/>
                <w:sz w:val="20"/>
                <w:szCs w:val="20"/>
              </w:rPr>
              <w:t>Number</w:t>
            </w:r>
          </w:p>
        </w:tc>
        <w:tc>
          <w:tcPr>
            <w:tcW w:w="1497" w:type="dxa"/>
            <w:shd w:val="clear" w:color="auto" w:fill="D9D9D9" w:themeFill="background1" w:themeFillShade="D9"/>
            <w:vAlign w:val="center"/>
          </w:tcPr>
          <w:p w14:paraId="26721263" w14:textId="77777777" w:rsidR="00307537" w:rsidRPr="008B4300" w:rsidRDefault="00307537" w:rsidP="00A92645">
            <w:pPr>
              <w:jc w:val="center"/>
              <w:rPr>
                <w:b/>
                <w:sz w:val="20"/>
                <w:szCs w:val="20"/>
              </w:rPr>
            </w:pPr>
            <w:r w:rsidRPr="008B4300">
              <w:rPr>
                <w:b/>
                <w:sz w:val="20"/>
                <w:szCs w:val="20"/>
              </w:rPr>
              <w:t xml:space="preserve">% </w:t>
            </w:r>
            <w:proofErr w:type="gramStart"/>
            <w:r w:rsidRPr="008B4300">
              <w:rPr>
                <w:b/>
                <w:sz w:val="20"/>
                <w:szCs w:val="20"/>
              </w:rPr>
              <w:t>of</w:t>
            </w:r>
            <w:proofErr w:type="gramEnd"/>
            <w:r w:rsidRPr="008B4300">
              <w:rPr>
                <w:b/>
                <w:sz w:val="20"/>
                <w:szCs w:val="20"/>
              </w:rPr>
              <w:t xml:space="preserve"> LAA determinations</w:t>
            </w:r>
          </w:p>
        </w:tc>
        <w:tc>
          <w:tcPr>
            <w:tcW w:w="1168" w:type="dxa"/>
            <w:shd w:val="clear" w:color="auto" w:fill="D9D9D9" w:themeFill="background1" w:themeFillShade="D9"/>
            <w:vAlign w:val="center"/>
          </w:tcPr>
          <w:p w14:paraId="01382008" w14:textId="77777777" w:rsidR="00307537" w:rsidRPr="008B4300" w:rsidRDefault="00307537" w:rsidP="00A92645">
            <w:pPr>
              <w:jc w:val="center"/>
              <w:rPr>
                <w:b/>
                <w:sz w:val="20"/>
                <w:szCs w:val="20"/>
              </w:rPr>
            </w:pPr>
            <w:r w:rsidRPr="008B4300">
              <w:rPr>
                <w:b/>
                <w:sz w:val="20"/>
                <w:szCs w:val="20"/>
              </w:rPr>
              <w:t>Number</w:t>
            </w:r>
          </w:p>
        </w:tc>
        <w:tc>
          <w:tcPr>
            <w:tcW w:w="1588" w:type="dxa"/>
            <w:shd w:val="clear" w:color="auto" w:fill="D9D9D9" w:themeFill="background1" w:themeFillShade="D9"/>
            <w:vAlign w:val="center"/>
          </w:tcPr>
          <w:p w14:paraId="613191FF" w14:textId="77777777" w:rsidR="00307537" w:rsidRPr="008B4300" w:rsidRDefault="00307537" w:rsidP="00A92645">
            <w:pPr>
              <w:jc w:val="center"/>
              <w:rPr>
                <w:b/>
                <w:sz w:val="20"/>
                <w:szCs w:val="20"/>
              </w:rPr>
            </w:pPr>
            <w:r w:rsidRPr="008B4300">
              <w:rPr>
                <w:b/>
                <w:sz w:val="20"/>
                <w:szCs w:val="20"/>
              </w:rPr>
              <w:t xml:space="preserve">% </w:t>
            </w:r>
            <w:proofErr w:type="gramStart"/>
            <w:r w:rsidRPr="008B4300">
              <w:rPr>
                <w:b/>
                <w:sz w:val="20"/>
                <w:szCs w:val="20"/>
              </w:rPr>
              <w:t>of</w:t>
            </w:r>
            <w:proofErr w:type="gramEnd"/>
            <w:r w:rsidRPr="008B4300">
              <w:rPr>
                <w:b/>
                <w:sz w:val="20"/>
                <w:szCs w:val="20"/>
              </w:rPr>
              <w:t xml:space="preserve"> LAA determinations</w:t>
            </w:r>
          </w:p>
        </w:tc>
      </w:tr>
      <w:tr w:rsidR="004C07F5" w:rsidRPr="008B4300" w14:paraId="3619E0F4" w14:textId="77777777" w:rsidTr="0093373E">
        <w:trPr>
          <w:trHeight w:val="300"/>
        </w:trPr>
        <w:tc>
          <w:tcPr>
            <w:tcW w:w="3020" w:type="dxa"/>
            <w:shd w:val="clear" w:color="auto" w:fill="auto"/>
            <w:noWrap/>
            <w:vAlign w:val="center"/>
            <w:hideMark/>
          </w:tcPr>
          <w:p w14:paraId="27AD9256" w14:textId="77777777" w:rsidR="004C07F5" w:rsidRPr="008B4300" w:rsidRDefault="004C07F5" w:rsidP="004C07F5">
            <w:pPr>
              <w:rPr>
                <w:sz w:val="20"/>
                <w:szCs w:val="20"/>
              </w:rPr>
            </w:pPr>
            <w:r w:rsidRPr="008B4300">
              <w:rPr>
                <w:rFonts w:ascii="Calibri" w:hAnsi="Calibri" w:cs="Calibri"/>
                <w:sz w:val="20"/>
                <w:szCs w:val="20"/>
              </w:rPr>
              <w:t>Strongest evidence of LAA</w:t>
            </w:r>
          </w:p>
        </w:tc>
        <w:tc>
          <w:tcPr>
            <w:tcW w:w="1655" w:type="dxa"/>
            <w:shd w:val="clear" w:color="auto" w:fill="auto"/>
            <w:noWrap/>
            <w:vAlign w:val="center"/>
            <w:hideMark/>
          </w:tcPr>
          <w:p w14:paraId="48D3C728" w14:textId="563E61AE" w:rsidR="004C07F5" w:rsidRPr="008B4300" w:rsidRDefault="004C07F5" w:rsidP="004C07F5">
            <w:pPr>
              <w:jc w:val="center"/>
              <w:rPr>
                <w:sz w:val="20"/>
                <w:szCs w:val="20"/>
              </w:rPr>
            </w:pPr>
            <w:r>
              <w:rPr>
                <w:rFonts w:ascii="Calibri" w:hAnsi="Calibri" w:cs="Calibri"/>
                <w:sz w:val="20"/>
                <w:szCs w:val="20"/>
              </w:rPr>
              <w:t>0</w:t>
            </w:r>
          </w:p>
        </w:tc>
        <w:tc>
          <w:tcPr>
            <w:tcW w:w="1497" w:type="dxa"/>
            <w:shd w:val="clear" w:color="auto" w:fill="auto"/>
            <w:vAlign w:val="center"/>
          </w:tcPr>
          <w:p w14:paraId="7F8C222B" w14:textId="658D28A6" w:rsidR="004C07F5" w:rsidRPr="008B4300" w:rsidRDefault="004C07F5" w:rsidP="004C07F5">
            <w:pPr>
              <w:jc w:val="center"/>
              <w:rPr>
                <w:sz w:val="20"/>
                <w:szCs w:val="20"/>
              </w:rPr>
            </w:pPr>
            <w:r>
              <w:rPr>
                <w:rFonts w:ascii="Calibri" w:hAnsi="Calibri" w:cs="Calibri"/>
                <w:color w:val="000000"/>
                <w:sz w:val="20"/>
                <w:szCs w:val="20"/>
              </w:rPr>
              <w:t>0%</w:t>
            </w:r>
          </w:p>
        </w:tc>
        <w:tc>
          <w:tcPr>
            <w:tcW w:w="1168" w:type="dxa"/>
            <w:shd w:val="clear" w:color="auto" w:fill="auto"/>
            <w:vAlign w:val="center"/>
          </w:tcPr>
          <w:p w14:paraId="3E07C741" w14:textId="5D5D447D" w:rsidR="004C07F5" w:rsidRPr="008B4300" w:rsidRDefault="004C07F5" w:rsidP="004C07F5">
            <w:pPr>
              <w:jc w:val="center"/>
              <w:rPr>
                <w:sz w:val="20"/>
                <w:szCs w:val="20"/>
              </w:rPr>
            </w:pPr>
            <w:r>
              <w:rPr>
                <w:rFonts w:ascii="Calibri" w:hAnsi="Calibri" w:cs="Calibri"/>
                <w:sz w:val="20"/>
                <w:szCs w:val="20"/>
              </w:rPr>
              <w:t>0</w:t>
            </w:r>
          </w:p>
        </w:tc>
        <w:tc>
          <w:tcPr>
            <w:tcW w:w="1588" w:type="dxa"/>
            <w:shd w:val="clear" w:color="auto" w:fill="auto"/>
            <w:vAlign w:val="center"/>
          </w:tcPr>
          <w:p w14:paraId="4B73D75D" w14:textId="0E1E4B44" w:rsidR="004C07F5" w:rsidRPr="008B4300" w:rsidRDefault="004C07F5" w:rsidP="004C07F5">
            <w:pPr>
              <w:jc w:val="center"/>
              <w:rPr>
                <w:sz w:val="20"/>
                <w:szCs w:val="20"/>
              </w:rPr>
            </w:pPr>
            <w:r>
              <w:rPr>
                <w:rFonts w:ascii="Calibri" w:hAnsi="Calibri" w:cs="Calibri"/>
                <w:color w:val="000000"/>
                <w:sz w:val="20"/>
                <w:szCs w:val="20"/>
              </w:rPr>
              <w:t>0%</w:t>
            </w:r>
          </w:p>
        </w:tc>
      </w:tr>
      <w:tr w:rsidR="004C07F5" w:rsidRPr="008B4300" w14:paraId="3649540B" w14:textId="77777777" w:rsidTr="0093373E">
        <w:trPr>
          <w:trHeight w:val="300"/>
        </w:trPr>
        <w:tc>
          <w:tcPr>
            <w:tcW w:w="3020" w:type="dxa"/>
            <w:shd w:val="clear" w:color="auto" w:fill="auto"/>
            <w:noWrap/>
            <w:vAlign w:val="center"/>
            <w:hideMark/>
          </w:tcPr>
          <w:p w14:paraId="19D7C623" w14:textId="77777777" w:rsidR="004C07F5" w:rsidRPr="008B4300" w:rsidRDefault="004C07F5" w:rsidP="004C07F5">
            <w:pPr>
              <w:rPr>
                <w:sz w:val="20"/>
                <w:szCs w:val="20"/>
              </w:rPr>
            </w:pPr>
            <w:r w:rsidRPr="008B4300">
              <w:rPr>
                <w:rFonts w:ascii="Calibri" w:hAnsi="Calibri" w:cs="Calibri"/>
                <w:sz w:val="20"/>
                <w:szCs w:val="20"/>
              </w:rPr>
              <w:t>Moderate evidence of LAA</w:t>
            </w:r>
          </w:p>
        </w:tc>
        <w:tc>
          <w:tcPr>
            <w:tcW w:w="1655" w:type="dxa"/>
            <w:shd w:val="clear" w:color="auto" w:fill="auto"/>
            <w:noWrap/>
            <w:vAlign w:val="center"/>
            <w:hideMark/>
          </w:tcPr>
          <w:p w14:paraId="05D8E9DC" w14:textId="4189A031" w:rsidR="004C07F5" w:rsidRPr="008B4300" w:rsidRDefault="004C07F5" w:rsidP="004C07F5">
            <w:pPr>
              <w:jc w:val="center"/>
              <w:rPr>
                <w:sz w:val="20"/>
                <w:szCs w:val="20"/>
              </w:rPr>
            </w:pPr>
            <w:r>
              <w:rPr>
                <w:rFonts w:ascii="Calibri" w:hAnsi="Calibri" w:cs="Calibri"/>
                <w:sz w:val="20"/>
                <w:szCs w:val="20"/>
              </w:rPr>
              <w:t>1336</w:t>
            </w:r>
          </w:p>
        </w:tc>
        <w:tc>
          <w:tcPr>
            <w:tcW w:w="1497" w:type="dxa"/>
            <w:shd w:val="clear" w:color="auto" w:fill="auto"/>
            <w:vAlign w:val="center"/>
          </w:tcPr>
          <w:p w14:paraId="6D9058CA" w14:textId="611DD02E" w:rsidR="004C07F5" w:rsidRPr="008B4300" w:rsidRDefault="004C07F5" w:rsidP="004C07F5">
            <w:pPr>
              <w:jc w:val="center"/>
              <w:rPr>
                <w:sz w:val="20"/>
                <w:szCs w:val="20"/>
              </w:rPr>
            </w:pPr>
            <w:r>
              <w:rPr>
                <w:rFonts w:ascii="Calibri" w:hAnsi="Calibri" w:cs="Calibri"/>
                <w:color w:val="000000"/>
                <w:sz w:val="20"/>
                <w:szCs w:val="20"/>
              </w:rPr>
              <w:t>92%</w:t>
            </w:r>
          </w:p>
        </w:tc>
        <w:tc>
          <w:tcPr>
            <w:tcW w:w="1168" w:type="dxa"/>
            <w:shd w:val="clear" w:color="auto" w:fill="auto"/>
            <w:vAlign w:val="center"/>
          </w:tcPr>
          <w:p w14:paraId="55AB1C3E" w14:textId="5406F70C" w:rsidR="004C07F5" w:rsidRPr="008B4300" w:rsidRDefault="004C07F5" w:rsidP="004C07F5">
            <w:pPr>
              <w:jc w:val="center"/>
              <w:rPr>
                <w:sz w:val="20"/>
                <w:szCs w:val="20"/>
              </w:rPr>
            </w:pPr>
            <w:r>
              <w:rPr>
                <w:rFonts w:ascii="Calibri" w:hAnsi="Calibri" w:cs="Calibri"/>
                <w:sz w:val="20"/>
                <w:szCs w:val="20"/>
              </w:rPr>
              <w:t>635</w:t>
            </w:r>
          </w:p>
        </w:tc>
        <w:tc>
          <w:tcPr>
            <w:tcW w:w="1588" w:type="dxa"/>
            <w:shd w:val="clear" w:color="auto" w:fill="auto"/>
            <w:vAlign w:val="center"/>
          </w:tcPr>
          <w:p w14:paraId="20674EDE" w14:textId="03CF2857" w:rsidR="004C07F5" w:rsidRPr="008B4300" w:rsidRDefault="004C07F5" w:rsidP="004C07F5">
            <w:pPr>
              <w:jc w:val="center"/>
              <w:rPr>
                <w:sz w:val="20"/>
                <w:szCs w:val="20"/>
              </w:rPr>
            </w:pPr>
            <w:r>
              <w:rPr>
                <w:rFonts w:ascii="Calibri" w:hAnsi="Calibri" w:cs="Calibri"/>
                <w:color w:val="000000"/>
                <w:sz w:val="20"/>
                <w:szCs w:val="20"/>
              </w:rPr>
              <w:t>97%</w:t>
            </w:r>
          </w:p>
        </w:tc>
      </w:tr>
      <w:tr w:rsidR="004C07F5" w:rsidRPr="003C3E42" w14:paraId="1A7CF593" w14:textId="77777777" w:rsidTr="0093373E">
        <w:trPr>
          <w:trHeight w:val="300"/>
        </w:trPr>
        <w:tc>
          <w:tcPr>
            <w:tcW w:w="3020" w:type="dxa"/>
            <w:shd w:val="clear" w:color="auto" w:fill="auto"/>
            <w:noWrap/>
            <w:vAlign w:val="center"/>
          </w:tcPr>
          <w:p w14:paraId="362A0915" w14:textId="77777777" w:rsidR="004C07F5" w:rsidRPr="008B4300" w:rsidRDefault="004C07F5" w:rsidP="004C07F5">
            <w:pPr>
              <w:rPr>
                <w:sz w:val="20"/>
                <w:szCs w:val="20"/>
              </w:rPr>
            </w:pPr>
            <w:r w:rsidRPr="008B4300">
              <w:rPr>
                <w:rFonts w:ascii="Calibri" w:hAnsi="Calibri" w:cs="Calibri"/>
                <w:sz w:val="20"/>
                <w:szCs w:val="20"/>
              </w:rPr>
              <w:t>Weakest evidence of LAA</w:t>
            </w:r>
          </w:p>
        </w:tc>
        <w:tc>
          <w:tcPr>
            <w:tcW w:w="1655" w:type="dxa"/>
            <w:shd w:val="clear" w:color="auto" w:fill="auto"/>
            <w:noWrap/>
            <w:vAlign w:val="center"/>
          </w:tcPr>
          <w:p w14:paraId="05AB315D" w14:textId="0B724AA2" w:rsidR="004C07F5" w:rsidRPr="008B4300" w:rsidRDefault="004C07F5" w:rsidP="004C07F5">
            <w:pPr>
              <w:jc w:val="center"/>
              <w:rPr>
                <w:sz w:val="20"/>
                <w:szCs w:val="20"/>
              </w:rPr>
            </w:pPr>
            <w:r>
              <w:rPr>
                <w:rFonts w:ascii="Calibri" w:hAnsi="Calibri" w:cs="Calibri"/>
                <w:sz w:val="20"/>
                <w:szCs w:val="20"/>
              </w:rPr>
              <w:t>109</w:t>
            </w:r>
          </w:p>
        </w:tc>
        <w:tc>
          <w:tcPr>
            <w:tcW w:w="1497" w:type="dxa"/>
            <w:shd w:val="clear" w:color="auto" w:fill="auto"/>
            <w:vAlign w:val="center"/>
          </w:tcPr>
          <w:p w14:paraId="1391823F" w14:textId="078F595D" w:rsidR="004C07F5" w:rsidRPr="008B4300" w:rsidRDefault="004C07F5" w:rsidP="004C07F5">
            <w:pPr>
              <w:jc w:val="center"/>
              <w:rPr>
                <w:sz w:val="20"/>
                <w:szCs w:val="20"/>
              </w:rPr>
            </w:pPr>
            <w:r>
              <w:rPr>
                <w:rFonts w:ascii="Calibri" w:hAnsi="Calibri" w:cs="Calibri"/>
                <w:color w:val="000000"/>
                <w:sz w:val="20"/>
                <w:szCs w:val="20"/>
              </w:rPr>
              <w:t>8%</w:t>
            </w:r>
          </w:p>
        </w:tc>
        <w:tc>
          <w:tcPr>
            <w:tcW w:w="1168" w:type="dxa"/>
            <w:shd w:val="clear" w:color="auto" w:fill="auto"/>
            <w:vAlign w:val="center"/>
          </w:tcPr>
          <w:p w14:paraId="503E6CF9" w14:textId="14DBA122" w:rsidR="004C07F5" w:rsidRPr="008B4300" w:rsidRDefault="004C07F5" w:rsidP="004C07F5">
            <w:pPr>
              <w:jc w:val="center"/>
              <w:rPr>
                <w:sz w:val="20"/>
                <w:szCs w:val="20"/>
              </w:rPr>
            </w:pPr>
            <w:r>
              <w:rPr>
                <w:rFonts w:ascii="Calibri" w:hAnsi="Calibri" w:cs="Calibri"/>
                <w:sz w:val="20"/>
                <w:szCs w:val="20"/>
              </w:rPr>
              <w:t>23</w:t>
            </w:r>
          </w:p>
        </w:tc>
        <w:tc>
          <w:tcPr>
            <w:tcW w:w="1588" w:type="dxa"/>
            <w:shd w:val="clear" w:color="auto" w:fill="auto"/>
            <w:vAlign w:val="center"/>
          </w:tcPr>
          <w:p w14:paraId="05E76E3E" w14:textId="3BD42A83" w:rsidR="004C07F5" w:rsidRPr="00DE00CB" w:rsidRDefault="004C07F5" w:rsidP="004C07F5">
            <w:pPr>
              <w:jc w:val="center"/>
              <w:rPr>
                <w:sz w:val="20"/>
                <w:szCs w:val="20"/>
              </w:rPr>
            </w:pPr>
            <w:r>
              <w:rPr>
                <w:rFonts w:ascii="Calibri" w:hAnsi="Calibri" w:cs="Calibri"/>
                <w:color w:val="000000"/>
                <w:sz w:val="20"/>
                <w:szCs w:val="20"/>
              </w:rPr>
              <w:t>3%</w:t>
            </w:r>
          </w:p>
        </w:tc>
      </w:tr>
    </w:tbl>
    <w:p w14:paraId="34A27EE6" w14:textId="77777777" w:rsidR="00DF56CA" w:rsidRDefault="00DF56CA"/>
    <w:sectPr w:rsidR="00DF56C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A93D" w14:textId="77777777" w:rsidR="00D034E5" w:rsidRDefault="00D034E5" w:rsidP="00307537">
      <w:r>
        <w:separator/>
      </w:r>
    </w:p>
  </w:endnote>
  <w:endnote w:type="continuationSeparator" w:id="0">
    <w:p w14:paraId="0C26A995" w14:textId="77777777" w:rsidR="00D034E5" w:rsidRDefault="00D034E5" w:rsidP="00307537">
      <w:r>
        <w:continuationSeparator/>
      </w:r>
    </w:p>
  </w:endnote>
  <w:endnote w:type="continuationNotice" w:id="1">
    <w:p w14:paraId="06C77B82" w14:textId="77777777" w:rsidR="00E06C7D" w:rsidRDefault="00E06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099039"/>
      <w:docPartObj>
        <w:docPartGallery w:val="Page Numbers (Bottom of Page)"/>
        <w:docPartUnique/>
      </w:docPartObj>
    </w:sdtPr>
    <w:sdtEndPr>
      <w:rPr>
        <w:noProof/>
      </w:rPr>
    </w:sdtEndPr>
    <w:sdtContent>
      <w:p w14:paraId="105DB7C1" w14:textId="3B383142" w:rsidR="00894677" w:rsidRDefault="008946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02E3DB" w14:textId="77777777" w:rsidR="00894677" w:rsidRDefault="0089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25A3" w14:textId="77777777" w:rsidR="00D034E5" w:rsidRDefault="00D034E5" w:rsidP="00307537">
      <w:r>
        <w:separator/>
      </w:r>
    </w:p>
  </w:footnote>
  <w:footnote w:type="continuationSeparator" w:id="0">
    <w:p w14:paraId="2DC1EC50" w14:textId="77777777" w:rsidR="00D034E5" w:rsidRDefault="00D034E5" w:rsidP="00307537">
      <w:r>
        <w:continuationSeparator/>
      </w:r>
    </w:p>
  </w:footnote>
  <w:footnote w:type="continuationNotice" w:id="1">
    <w:p w14:paraId="3D703C7E" w14:textId="77777777" w:rsidR="00E06C7D" w:rsidRDefault="00E06C7D"/>
  </w:footnote>
  <w:footnote w:id="2">
    <w:p w14:paraId="003CCFF9" w14:textId="1461144D" w:rsidR="00EF04FD" w:rsidRDefault="00EF04FD">
      <w:pPr>
        <w:pStyle w:val="FootnoteText"/>
      </w:pPr>
      <w:r>
        <w:rPr>
          <w:rStyle w:val="FootnoteReference"/>
        </w:rPr>
        <w:footnoteRef/>
      </w:r>
      <w:r>
        <w:t xml:space="preserve"> </w:t>
      </w:r>
      <w:r w:rsidRPr="00EF04FD">
        <w:t>https://www3.epa.gov/pesticides/nas/revised/revised-method-march2020.pdf</w:t>
      </w:r>
      <w:r>
        <w:t xml:space="preserve"> </w:t>
      </w:r>
    </w:p>
  </w:footnote>
  <w:footnote w:id="3">
    <w:p w14:paraId="11B52D86" w14:textId="77777777" w:rsidR="00307537" w:rsidRDefault="00307537" w:rsidP="00307537">
      <w:pPr>
        <w:pStyle w:val="FootnoteText"/>
      </w:pPr>
      <w:r w:rsidRPr="00B1575D">
        <w:rPr>
          <w:rStyle w:val="FootnoteReference"/>
        </w:rPr>
        <w:footnoteRef/>
      </w:r>
      <w:r w:rsidRPr="00B1575D">
        <w:t xml:space="preserve"> </w:t>
      </w:r>
      <w:r w:rsidRPr="009174AE">
        <w:t>The exposure models can be found at:</w:t>
      </w:r>
      <w:r w:rsidRPr="006461A4">
        <w:t xml:space="preserve"> </w:t>
      </w:r>
      <w:r w:rsidRPr="000C244B">
        <w:t xml:space="preserve"> </w:t>
      </w:r>
      <w:hyperlink r:id="rId1" w:history="1">
        <w:r w:rsidRPr="000C244B">
          <w:t>https://www.epa.gov/pesticide-science-and-assessing-pesticide-risks/models-pesticide-risk-assessment</w:t>
        </w:r>
      </w:hyperlink>
    </w:p>
  </w:footnote>
  <w:footnote w:id="4">
    <w:p w14:paraId="6EA035E8" w14:textId="77777777" w:rsidR="00307537" w:rsidRDefault="00307537" w:rsidP="00307537">
      <w:pPr>
        <w:pStyle w:val="FootnoteText"/>
      </w:pPr>
      <w:r>
        <w:rPr>
          <w:rStyle w:val="FootnoteReference"/>
        </w:rPr>
        <w:footnoteRef/>
      </w:r>
      <w:r>
        <w:t xml:space="preserve"> Available at: </w:t>
      </w:r>
      <w:hyperlink r:id="rId2"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1A4"/>
    <w:multiLevelType w:val="multilevel"/>
    <w:tmpl w:val="C34490E8"/>
    <w:lvl w:ilvl="0">
      <w:start w:val="1"/>
      <w:numFmt w:val="decimal"/>
      <w:pStyle w:val="Heading1"/>
      <w:lvlText w:val="%1"/>
      <w:lvlJc w:val="left"/>
      <w:pPr>
        <w:ind w:left="864" w:hanging="432"/>
      </w:pPr>
    </w:lvl>
    <w:lvl w:ilvl="1">
      <w:start w:val="1"/>
      <w:numFmt w:val="decimal"/>
      <w:pStyle w:val="Heading2"/>
      <w:lvlText w:val="%1.%2"/>
      <w:lvlJc w:val="left"/>
      <w:pPr>
        <w:ind w:left="1008" w:hanging="576"/>
      </w:pPr>
    </w:lvl>
    <w:lvl w:ilvl="2">
      <w:start w:val="1"/>
      <w:numFmt w:val="decimal"/>
      <w:pStyle w:val="Heading3"/>
      <w:lvlText w:val="%1.%2.%3"/>
      <w:lvlJc w:val="left"/>
      <w:pPr>
        <w:ind w:left="1152"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440" w:hanging="1008"/>
      </w:pPr>
    </w:lvl>
    <w:lvl w:ilvl="5">
      <w:start w:val="1"/>
      <w:numFmt w:val="decimal"/>
      <w:pStyle w:val="Heading6"/>
      <w:lvlText w:val="%1.%2.%3.%4.%5.%6"/>
      <w:lvlJc w:val="left"/>
      <w:pPr>
        <w:ind w:left="1584" w:hanging="1152"/>
      </w:pPr>
    </w:lvl>
    <w:lvl w:ilvl="6">
      <w:start w:val="1"/>
      <w:numFmt w:val="decimal"/>
      <w:pStyle w:val="Heading7"/>
      <w:lvlText w:val="%1.%2.%3.%4.%5.%6.%7"/>
      <w:lvlJc w:val="left"/>
      <w:pPr>
        <w:ind w:left="1728" w:hanging="1296"/>
      </w:pPr>
    </w:lvl>
    <w:lvl w:ilvl="7">
      <w:start w:val="1"/>
      <w:numFmt w:val="decimal"/>
      <w:pStyle w:val="Heading8"/>
      <w:lvlText w:val="%1.%2.%3.%4.%5.%6.%7.%8"/>
      <w:lvlJc w:val="left"/>
      <w:pPr>
        <w:ind w:left="1872" w:hanging="1440"/>
      </w:pPr>
    </w:lvl>
    <w:lvl w:ilvl="8">
      <w:start w:val="1"/>
      <w:numFmt w:val="decimal"/>
      <w:pStyle w:val="Heading9"/>
      <w:lvlText w:val="%1.%2.%3.%4.%5.%6.%7.%8.%9"/>
      <w:lvlJc w:val="left"/>
      <w:pPr>
        <w:ind w:left="2016"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EvHkasegw0Ura8KNE8W3e21FvfmA5UZASzFgj9nLrXW1/y5Dj70EpPnYz4yjhOjZB20udpgiAmi/2Q2qaZomQ==" w:salt="NvWiHoikOaxPtNUOnD4fVQ=="/>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537"/>
    <w:rsid w:val="00012FF7"/>
    <w:rsid w:val="00014ACE"/>
    <w:rsid w:val="000809C3"/>
    <w:rsid w:val="000C1731"/>
    <w:rsid w:val="0010686A"/>
    <w:rsid w:val="00126976"/>
    <w:rsid w:val="001277F1"/>
    <w:rsid w:val="0021431D"/>
    <w:rsid w:val="00242D8B"/>
    <w:rsid w:val="002F0E43"/>
    <w:rsid w:val="00307537"/>
    <w:rsid w:val="00314D36"/>
    <w:rsid w:val="00330B7C"/>
    <w:rsid w:val="003459E7"/>
    <w:rsid w:val="00454589"/>
    <w:rsid w:val="004606B4"/>
    <w:rsid w:val="004978BC"/>
    <w:rsid w:val="004C07F5"/>
    <w:rsid w:val="004F214E"/>
    <w:rsid w:val="005043BC"/>
    <w:rsid w:val="006261E1"/>
    <w:rsid w:val="006703E1"/>
    <w:rsid w:val="006B4A81"/>
    <w:rsid w:val="006C160C"/>
    <w:rsid w:val="006F0581"/>
    <w:rsid w:val="007A14BA"/>
    <w:rsid w:val="00831BC8"/>
    <w:rsid w:val="0084739B"/>
    <w:rsid w:val="00894677"/>
    <w:rsid w:val="008B1A6C"/>
    <w:rsid w:val="008B4300"/>
    <w:rsid w:val="008E6AC4"/>
    <w:rsid w:val="0093373E"/>
    <w:rsid w:val="00A01120"/>
    <w:rsid w:val="00A26EE5"/>
    <w:rsid w:val="00A64A27"/>
    <w:rsid w:val="00A92645"/>
    <w:rsid w:val="00AC1D20"/>
    <w:rsid w:val="00B21EDA"/>
    <w:rsid w:val="00BB5BE9"/>
    <w:rsid w:val="00C90FAC"/>
    <w:rsid w:val="00D034E5"/>
    <w:rsid w:val="00D173AF"/>
    <w:rsid w:val="00D33AE1"/>
    <w:rsid w:val="00D4515F"/>
    <w:rsid w:val="00D90338"/>
    <w:rsid w:val="00D957E6"/>
    <w:rsid w:val="00DA7C19"/>
    <w:rsid w:val="00DC65EC"/>
    <w:rsid w:val="00DF56CA"/>
    <w:rsid w:val="00E06C7D"/>
    <w:rsid w:val="00E838ED"/>
    <w:rsid w:val="00ED5084"/>
    <w:rsid w:val="00EF04FD"/>
    <w:rsid w:val="00F0151E"/>
    <w:rsid w:val="00F53278"/>
    <w:rsid w:val="00F618F3"/>
    <w:rsid w:val="00F72CA1"/>
    <w:rsid w:val="00FF5475"/>
    <w:rsid w:val="02459B6D"/>
    <w:rsid w:val="02D09DD1"/>
    <w:rsid w:val="02E5B1B8"/>
    <w:rsid w:val="02E6ADD7"/>
    <w:rsid w:val="0450CC87"/>
    <w:rsid w:val="04AEC3BC"/>
    <w:rsid w:val="04C6C58F"/>
    <w:rsid w:val="058529B5"/>
    <w:rsid w:val="05961C5C"/>
    <w:rsid w:val="06E26420"/>
    <w:rsid w:val="099899BD"/>
    <w:rsid w:val="09B485AB"/>
    <w:rsid w:val="0A00009A"/>
    <w:rsid w:val="0BE85423"/>
    <w:rsid w:val="0C85AF62"/>
    <w:rsid w:val="0D37A15C"/>
    <w:rsid w:val="0E647E44"/>
    <w:rsid w:val="0E80D2D5"/>
    <w:rsid w:val="0ED9FD82"/>
    <w:rsid w:val="0F1D2371"/>
    <w:rsid w:val="0F23DEF4"/>
    <w:rsid w:val="0F7AFDFF"/>
    <w:rsid w:val="0F836CB1"/>
    <w:rsid w:val="0F89F876"/>
    <w:rsid w:val="0FE9C515"/>
    <w:rsid w:val="10245593"/>
    <w:rsid w:val="1125C8D7"/>
    <w:rsid w:val="11B3B1C9"/>
    <w:rsid w:val="11C025F4"/>
    <w:rsid w:val="134E8453"/>
    <w:rsid w:val="135BF655"/>
    <w:rsid w:val="144EF04E"/>
    <w:rsid w:val="14F7C6B6"/>
    <w:rsid w:val="15733C98"/>
    <w:rsid w:val="16C55B45"/>
    <w:rsid w:val="17958C74"/>
    <w:rsid w:val="18B9C5E4"/>
    <w:rsid w:val="1BF166A6"/>
    <w:rsid w:val="1CF9F761"/>
    <w:rsid w:val="1D78FA5C"/>
    <w:rsid w:val="1D7D525E"/>
    <w:rsid w:val="1DAF7D7A"/>
    <w:rsid w:val="1DAFDA64"/>
    <w:rsid w:val="1E732586"/>
    <w:rsid w:val="1F30F4EE"/>
    <w:rsid w:val="1F4C002A"/>
    <w:rsid w:val="1F54285F"/>
    <w:rsid w:val="1F5D2D24"/>
    <w:rsid w:val="2011FB52"/>
    <w:rsid w:val="20C1E962"/>
    <w:rsid w:val="21603B2B"/>
    <w:rsid w:val="22496906"/>
    <w:rsid w:val="227A1BE3"/>
    <w:rsid w:val="236F48BC"/>
    <w:rsid w:val="24B54984"/>
    <w:rsid w:val="253FAEAE"/>
    <w:rsid w:val="2558D70B"/>
    <w:rsid w:val="2608D1FF"/>
    <w:rsid w:val="265119E5"/>
    <w:rsid w:val="2713637D"/>
    <w:rsid w:val="2722DE76"/>
    <w:rsid w:val="28774F70"/>
    <w:rsid w:val="28E83263"/>
    <w:rsid w:val="2A3C68F8"/>
    <w:rsid w:val="2A63BC6C"/>
    <w:rsid w:val="2A650121"/>
    <w:rsid w:val="2B295FCD"/>
    <w:rsid w:val="2BAEF032"/>
    <w:rsid w:val="2D333CC9"/>
    <w:rsid w:val="2EE690F4"/>
    <w:rsid w:val="2EEE7E7A"/>
    <w:rsid w:val="30195715"/>
    <w:rsid w:val="30275444"/>
    <w:rsid w:val="3077B243"/>
    <w:rsid w:val="308A4EDB"/>
    <w:rsid w:val="31A5B180"/>
    <w:rsid w:val="321382A4"/>
    <w:rsid w:val="3287A1F8"/>
    <w:rsid w:val="3381CD22"/>
    <w:rsid w:val="33C1EF9D"/>
    <w:rsid w:val="355DBFFE"/>
    <w:rsid w:val="374245F4"/>
    <w:rsid w:val="37E88222"/>
    <w:rsid w:val="39C89594"/>
    <w:rsid w:val="3B6465F5"/>
    <w:rsid w:val="3B7812F3"/>
    <w:rsid w:val="3BADDE00"/>
    <w:rsid w:val="3C28B95A"/>
    <w:rsid w:val="3C4056B9"/>
    <w:rsid w:val="3DEC0BC3"/>
    <w:rsid w:val="4113407E"/>
    <w:rsid w:val="4113C7DC"/>
    <w:rsid w:val="4123AC85"/>
    <w:rsid w:val="41758302"/>
    <w:rsid w:val="41BA7F1C"/>
    <w:rsid w:val="436F77DA"/>
    <w:rsid w:val="445B4D47"/>
    <w:rsid w:val="44B939C2"/>
    <w:rsid w:val="44E23B35"/>
    <w:rsid w:val="44FB6392"/>
    <w:rsid w:val="467E0B96"/>
    <w:rsid w:val="474353C4"/>
    <w:rsid w:val="483D7EEE"/>
    <w:rsid w:val="48AB848A"/>
    <w:rsid w:val="4A02BA9F"/>
    <w:rsid w:val="4A9C9580"/>
    <w:rsid w:val="4AF3B48B"/>
    <w:rsid w:val="4B21EF81"/>
    <w:rsid w:val="4B616162"/>
    <w:rsid w:val="4C058954"/>
    <w:rsid w:val="4C1B9C29"/>
    <w:rsid w:val="4CB84F79"/>
    <w:rsid w:val="4D067577"/>
    <w:rsid w:val="4D077196"/>
    <w:rsid w:val="4D74469B"/>
    <w:rsid w:val="4EA245D8"/>
    <w:rsid w:val="4EB22A81"/>
    <w:rsid w:val="4EFCA9CD"/>
    <w:rsid w:val="501270C1"/>
    <w:rsid w:val="52F67C73"/>
    <w:rsid w:val="53352F5F"/>
    <w:rsid w:val="53C2D188"/>
    <w:rsid w:val="53E372C0"/>
    <w:rsid w:val="53E669A7"/>
    <w:rsid w:val="54D5B347"/>
    <w:rsid w:val="56615E04"/>
    <w:rsid w:val="566F971E"/>
    <w:rsid w:val="56725B53"/>
    <w:rsid w:val="575B892E"/>
    <w:rsid w:val="5787F253"/>
    <w:rsid w:val="5B23EBF0"/>
    <w:rsid w:val="5BA7E685"/>
    <w:rsid w:val="5C56D4B4"/>
    <w:rsid w:val="5C5FE19E"/>
    <w:rsid w:val="5D1CEEF3"/>
    <w:rsid w:val="5F879A0C"/>
    <w:rsid w:val="600B846E"/>
    <w:rsid w:val="60ED0982"/>
    <w:rsid w:val="6103C748"/>
    <w:rsid w:val="62231069"/>
    <w:rsid w:val="62440654"/>
    <w:rsid w:val="6344CA59"/>
    <w:rsid w:val="6452C02B"/>
    <w:rsid w:val="65712EAC"/>
    <w:rsid w:val="66122A65"/>
    <w:rsid w:val="66B33CCF"/>
    <w:rsid w:val="67B16B41"/>
    <w:rsid w:val="69979B73"/>
    <w:rsid w:val="69A7B7A2"/>
    <w:rsid w:val="69D254CB"/>
    <w:rsid w:val="6A63C97E"/>
    <w:rsid w:val="6A95C966"/>
    <w:rsid w:val="6AD429DF"/>
    <w:rsid w:val="6C3D1DB3"/>
    <w:rsid w:val="6D65DCE0"/>
    <w:rsid w:val="6DC4A20C"/>
    <w:rsid w:val="717C9D78"/>
    <w:rsid w:val="721F92F9"/>
    <w:rsid w:val="72C2AEE3"/>
    <w:rsid w:val="74DCE7F0"/>
    <w:rsid w:val="76072EAF"/>
    <w:rsid w:val="76171358"/>
    <w:rsid w:val="7958F3ED"/>
    <w:rsid w:val="799F3E4F"/>
    <w:rsid w:val="79D5C16D"/>
    <w:rsid w:val="7ADA9FD2"/>
    <w:rsid w:val="7ADB9BF1"/>
    <w:rsid w:val="7AEA847B"/>
    <w:rsid w:val="7C5573EC"/>
    <w:rsid w:val="7D01F012"/>
    <w:rsid w:val="7D024CFC"/>
    <w:rsid w:val="7DE2B35C"/>
    <w:rsid w:val="7E602F2A"/>
    <w:rsid w:val="7F422CA7"/>
    <w:rsid w:val="7F7E83BD"/>
    <w:rsid w:val="7FFBE8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FA5B"/>
  <w15:chartTrackingRefBased/>
  <w15:docId w15:val="{9130C011-EC65-47A1-80A8-23B2AD75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537"/>
    <w:pPr>
      <w:spacing w:after="0" w:line="240" w:lineRule="auto"/>
    </w:pPr>
  </w:style>
  <w:style w:type="paragraph" w:styleId="Heading1">
    <w:name w:val="heading 1"/>
    <w:basedOn w:val="Normal"/>
    <w:next w:val="Normal"/>
    <w:link w:val="Heading1Char"/>
    <w:uiPriority w:val="9"/>
    <w:qFormat/>
    <w:rsid w:val="00307537"/>
    <w:pPr>
      <w:keepNext/>
      <w:keepLines/>
      <w:numPr>
        <w:numId w:val="1"/>
      </w:numPr>
      <w:ind w:left="450" w:hanging="450"/>
      <w:outlineLvl w:val="0"/>
    </w:pPr>
    <w:rPr>
      <w:rFonts w:eastAsiaTheme="majorEastAsia" w:cstheme="minorHAnsi"/>
      <w:color w:val="2F5496" w:themeColor="accent1" w:themeShade="BF"/>
      <w:sz w:val="24"/>
      <w:szCs w:val="24"/>
    </w:rPr>
  </w:style>
  <w:style w:type="paragraph" w:styleId="Heading2">
    <w:name w:val="heading 2"/>
    <w:basedOn w:val="Normal"/>
    <w:next w:val="Normal"/>
    <w:link w:val="Heading2Char"/>
    <w:uiPriority w:val="9"/>
    <w:unhideWhenUsed/>
    <w:qFormat/>
    <w:rsid w:val="0030753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7537"/>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53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0753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753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0753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0753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753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537"/>
    <w:rPr>
      <w:rFonts w:eastAsiaTheme="majorEastAsia" w:cstheme="minorHAnsi"/>
      <w:color w:val="2F5496" w:themeColor="accent1" w:themeShade="BF"/>
      <w:sz w:val="24"/>
      <w:szCs w:val="24"/>
    </w:rPr>
  </w:style>
  <w:style w:type="character" w:customStyle="1" w:styleId="Heading2Char">
    <w:name w:val="Heading 2 Char"/>
    <w:basedOn w:val="DefaultParagraphFont"/>
    <w:link w:val="Heading2"/>
    <w:uiPriority w:val="9"/>
    <w:rsid w:val="003075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0753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5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0753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0753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0753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075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7537"/>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307537"/>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rsid w:val="00307537"/>
    <w:rPr>
      <w:rFonts w:ascii="Calibri" w:eastAsia="Calibri" w:hAnsi="Calibri" w:cs="Calibri"/>
      <w:color w:val="000000"/>
      <w:sz w:val="20"/>
      <w:szCs w:val="20"/>
    </w:rPr>
  </w:style>
  <w:style w:type="character" w:styleId="FootnoteReference">
    <w:name w:val="footnote reference"/>
    <w:basedOn w:val="DefaultParagraphFont"/>
    <w:unhideWhenUsed/>
    <w:rsid w:val="00307537"/>
    <w:rPr>
      <w:vertAlign w:val="superscript"/>
    </w:rPr>
  </w:style>
  <w:style w:type="character" w:styleId="Hyperlink">
    <w:name w:val="Hyperlink"/>
    <w:basedOn w:val="DefaultParagraphFont"/>
    <w:uiPriority w:val="99"/>
    <w:unhideWhenUsed/>
    <w:rsid w:val="00307537"/>
    <w:rPr>
      <w:color w:val="0563C1" w:themeColor="hyperlink"/>
      <w:u w:val="single"/>
    </w:rPr>
  </w:style>
  <w:style w:type="table" w:styleId="TableGrid">
    <w:name w:val="Table Grid"/>
    <w:basedOn w:val="TableNormal"/>
    <w:uiPriority w:val="39"/>
    <w:rsid w:val="00307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07537"/>
  </w:style>
  <w:style w:type="character" w:customStyle="1" w:styleId="normaltextrun">
    <w:name w:val="normaltextrun"/>
    <w:basedOn w:val="DefaultParagraphFont"/>
    <w:rsid w:val="00307537"/>
  </w:style>
  <w:style w:type="character" w:styleId="CommentReference">
    <w:name w:val="annotation reference"/>
    <w:basedOn w:val="DefaultParagraphFont"/>
    <w:uiPriority w:val="99"/>
    <w:semiHidden/>
    <w:unhideWhenUsed/>
    <w:rsid w:val="00307537"/>
    <w:rPr>
      <w:sz w:val="16"/>
      <w:szCs w:val="16"/>
    </w:rPr>
  </w:style>
  <w:style w:type="paragraph" w:styleId="CommentText">
    <w:name w:val="annotation text"/>
    <w:basedOn w:val="Normal"/>
    <w:link w:val="CommentTextChar"/>
    <w:uiPriority w:val="99"/>
    <w:semiHidden/>
    <w:unhideWhenUsed/>
    <w:rsid w:val="00307537"/>
    <w:rPr>
      <w:sz w:val="20"/>
      <w:szCs w:val="20"/>
    </w:rPr>
  </w:style>
  <w:style w:type="character" w:customStyle="1" w:styleId="CommentTextChar">
    <w:name w:val="Comment Text Char"/>
    <w:basedOn w:val="DefaultParagraphFont"/>
    <w:link w:val="CommentText"/>
    <w:uiPriority w:val="99"/>
    <w:semiHidden/>
    <w:rsid w:val="00307537"/>
    <w:rPr>
      <w:sz w:val="20"/>
      <w:szCs w:val="20"/>
    </w:rPr>
  </w:style>
  <w:style w:type="paragraph" w:styleId="CommentSubject">
    <w:name w:val="annotation subject"/>
    <w:basedOn w:val="CommentText"/>
    <w:next w:val="CommentText"/>
    <w:link w:val="CommentSubjectChar"/>
    <w:uiPriority w:val="99"/>
    <w:semiHidden/>
    <w:unhideWhenUsed/>
    <w:rsid w:val="00307537"/>
    <w:rPr>
      <w:b/>
      <w:bCs/>
    </w:rPr>
  </w:style>
  <w:style w:type="character" w:customStyle="1" w:styleId="CommentSubjectChar">
    <w:name w:val="Comment Subject Char"/>
    <w:basedOn w:val="CommentTextChar"/>
    <w:link w:val="CommentSubject"/>
    <w:uiPriority w:val="99"/>
    <w:semiHidden/>
    <w:rsid w:val="00307537"/>
    <w:rPr>
      <w:b/>
      <w:bCs/>
      <w:sz w:val="20"/>
      <w:szCs w:val="20"/>
    </w:rPr>
  </w:style>
  <w:style w:type="paragraph" w:styleId="BalloonText">
    <w:name w:val="Balloon Text"/>
    <w:basedOn w:val="Normal"/>
    <w:link w:val="BalloonTextChar"/>
    <w:uiPriority w:val="99"/>
    <w:semiHidden/>
    <w:unhideWhenUsed/>
    <w:rsid w:val="00307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537"/>
    <w:rPr>
      <w:rFonts w:ascii="Segoe UI" w:hAnsi="Segoe UI" w:cs="Segoe UI"/>
      <w:sz w:val="18"/>
      <w:szCs w:val="18"/>
    </w:rPr>
  </w:style>
  <w:style w:type="paragraph" w:customStyle="1" w:styleId="paragraph">
    <w:name w:val="paragraph"/>
    <w:basedOn w:val="Normal"/>
    <w:rsid w:val="00D173AF"/>
    <w:pPr>
      <w:spacing w:before="100" w:beforeAutospacing="1" w:after="100" w:afterAutospacing="1"/>
    </w:pPr>
    <w:rPr>
      <w:rFonts w:ascii="Times New Roman" w:eastAsia="Times New Roman" w:hAnsi="Times New Roman" w:cs="Times New Roman"/>
      <w:sz w:val="24"/>
      <w:szCs w:val="24"/>
    </w:rPr>
  </w:style>
  <w:style w:type="character" w:customStyle="1" w:styleId="superscript">
    <w:name w:val="superscript"/>
    <w:basedOn w:val="DefaultParagraphFont"/>
    <w:rsid w:val="00D173AF"/>
  </w:style>
  <w:style w:type="character" w:styleId="UnresolvedMention">
    <w:name w:val="Unresolved Mention"/>
    <w:basedOn w:val="DefaultParagraphFont"/>
    <w:uiPriority w:val="99"/>
    <w:semiHidden/>
    <w:unhideWhenUsed/>
    <w:rsid w:val="00EF04FD"/>
    <w:rPr>
      <w:color w:val="605E5C"/>
      <w:shd w:val="clear" w:color="auto" w:fill="E1DFDD"/>
    </w:rPr>
  </w:style>
  <w:style w:type="paragraph" w:styleId="Header">
    <w:name w:val="header"/>
    <w:basedOn w:val="Normal"/>
    <w:link w:val="HeaderChar"/>
    <w:uiPriority w:val="99"/>
    <w:unhideWhenUsed/>
    <w:rsid w:val="00E06C7D"/>
    <w:pPr>
      <w:tabs>
        <w:tab w:val="center" w:pos="4680"/>
        <w:tab w:val="right" w:pos="9360"/>
      </w:tabs>
    </w:pPr>
  </w:style>
  <w:style w:type="character" w:customStyle="1" w:styleId="HeaderChar">
    <w:name w:val="Header Char"/>
    <w:basedOn w:val="DefaultParagraphFont"/>
    <w:link w:val="Header"/>
    <w:uiPriority w:val="99"/>
    <w:rsid w:val="00E06C7D"/>
  </w:style>
  <w:style w:type="paragraph" w:styleId="Footer">
    <w:name w:val="footer"/>
    <w:basedOn w:val="Normal"/>
    <w:link w:val="FooterChar"/>
    <w:uiPriority w:val="99"/>
    <w:unhideWhenUsed/>
    <w:rsid w:val="00E06C7D"/>
    <w:pPr>
      <w:tabs>
        <w:tab w:val="center" w:pos="4680"/>
        <w:tab w:val="right" w:pos="9360"/>
      </w:tabs>
    </w:pPr>
  </w:style>
  <w:style w:type="character" w:customStyle="1" w:styleId="FooterChar">
    <w:name w:val="Footer Char"/>
    <w:basedOn w:val="DefaultParagraphFont"/>
    <w:link w:val="Footer"/>
    <w:uiPriority w:val="99"/>
    <w:rsid w:val="00E06C7D"/>
  </w:style>
  <w:style w:type="paragraph" w:styleId="Caption">
    <w:name w:val="caption"/>
    <w:basedOn w:val="Normal"/>
    <w:next w:val="Normal"/>
    <w:uiPriority w:val="35"/>
    <w:unhideWhenUsed/>
    <w:qFormat/>
    <w:rsid w:val="0093373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905752">
      <w:bodyDiv w:val="1"/>
      <w:marLeft w:val="0"/>
      <w:marRight w:val="0"/>
      <w:marTop w:val="0"/>
      <w:marBottom w:val="0"/>
      <w:divBdr>
        <w:top w:val="none" w:sz="0" w:space="0" w:color="auto"/>
        <w:left w:val="none" w:sz="0" w:space="0" w:color="auto"/>
        <w:bottom w:val="none" w:sz="0" w:space="0" w:color="auto"/>
        <w:right w:val="none" w:sz="0" w:space="0" w:color="auto"/>
      </w:divBdr>
    </w:div>
    <w:div w:id="1178814690">
      <w:bodyDiv w:val="1"/>
      <w:marLeft w:val="0"/>
      <w:marRight w:val="0"/>
      <w:marTop w:val="0"/>
      <w:marBottom w:val="0"/>
      <w:divBdr>
        <w:top w:val="none" w:sz="0" w:space="0" w:color="auto"/>
        <w:left w:val="none" w:sz="0" w:space="0" w:color="auto"/>
        <w:bottom w:val="none" w:sz="0" w:space="0" w:color="auto"/>
        <w:right w:val="none" w:sz="0" w:space="0" w:color="auto"/>
      </w:divBdr>
      <w:divsChild>
        <w:div w:id="547693780">
          <w:marLeft w:val="0"/>
          <w:marRight w:val="0"/>
          <w:marTop w:val="0"/>
          <w:marBottom w:val="0"/>
          <w:divBdr>
            <w:top w:val="none" w:sz="0" w:space="0" w:color="auto"/>
            <w:left w:val="none" w:sz="0" w:space="0" w:color="auto"/>
            <w:bottom w:val="none" w:sz="0" w:space="0" w:color="auto"/>
            <w:right w:val="none" w:sz="0" w:space="0" w:color="auto"/>
          </w:divBdr>
        </w:div>
        <w:div w:id="579023140">
          <w:marLeft w:val="0"/>
          <w:marRight w:val="0"/>
          <w:marTop w:val="0"/>
          <w:marBottom w:val="0"/>
          <w:divBdr>
            <w:top w:val="none" w:sz="0" w:space="0" w:color="auto"/>
            <w:left w:val="none" w:sz="0" w:space="0" w:color="auto"/>
            <w:bottom w:val="none" w:sz="0" w:space="0" w:color="auto"/>
            <w:right w:val="none" w:sz="0" w:space="0" w:color="auto"/>
          </w:divBdr>
        </w:div>
        <w:div w:id="1888758998">
          <w:marLeft w:val="0"/>
          <w:marRight w:val="0"/>
          <w:marTop w:val="0"/>
          <w:marBottom w:val="0"/>
          <w:divBdr>
            <w:top w:val="none" w:sz="0" w:space="0" w:color="auto"/>
            <w:left w:val="none" w:sz="0" w:space="0" w:color="auto"/>
            <w:bottom w:val="none" w:sz="0" w:space="0" w:color="auto"/>
            <w:right w:val="none" w:sz="0" w:space="0" w:color="auto"/>
          </w:divBdr>
        </w:div>
      </w:divsChild>
    </w:div>
    <w:div w:id="15067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dangered-species/revised-method-national-level-listed-species-biological-evaluations-conventional" TargetMode="External"/><Relationship Id="rId1" Type="http://schemas.openxmlformats.org/officeDocument/2006/relationships/hyperlink" Target="https://www.epa.gov/pesticide-science-and-assessing-pesticide-risks/models-pesticide-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2021-08-02T15:30:59+00:00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Update xmlns="1b69afd8-9bdb-481b-b26a-06cbd17fa30c"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432E8CA9-8500-4A10-B536-728308555F62}">
  <ds:schemaRefs>
    <ds:schemaRef ds:uri="http://schemas.openxmlformats.org/officeDocument/2006/bibliography"/>
  </ds:schemaRefs>
</ds:datastoreItem>
</file>

<file path=customXml/itemProps2.xml><?xml version="1.0" encoding="utf-8"?>
<ds:datastoreItem xmlns:ds="http://schemas.openxmlformats.org/officeDocument/2006/customXml" ds:itemID="{1C6CAE33-0ECA-4675-B5D3-1D2AD808B80F}">
  <ds:schemaRefs>
    <ds:schemaRef ds:uri="a5d1ca4e-0a3f-4119-b619-e20b93ebd1aa"/>
    <ds:schemaRef ds:uri="http://purl.org/dc/dcmitype/"/>
    <ds:schemaRef ds:uri="http://schemas.microsoft.com/office/infopath/2007/PartnerControls"/>
    <ds:schemaRef ds:uri="http://www.w3.org/XML/1998/namespace"/>
    <ds:schemaRef ds:uri="http://schemas.openxmlformats.org/package/2006/metadata/core-properties"/>
    <ds:schemaRef ds:uri="4ffa91fb-a0ff-4ac5-b2db-65c790d184a4"/>
    <ds:schemaRef ds:uri="1b69afd8-9bdb-481b-b26a-06cbd17fa30c"/>
    <ds:schemaRef ds:uri="http://schemas.microsoft.com/office/2006/documentManagement/types"/>
    <ds:schemaRef ds:uri="http://schemas.microsoft.com/sharepoint/v3/fields"/>
    <ds:schemaRef ds:uri="http://schemas.microsoft.com/sharepoint.v3"/>
    <ds:schemaRef ds:uri="http://purl.org/dc/elements/1.1/"/>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130DC94-F2EF-4FDD-A45B-F23DB6F99134}">
  <ds:schemaRefs>
    <ds:schemaRef ds:uri="http://schemas.microsoft.com/sharepoint/v3/contenttype/forms"/>
  </ds:schemaRefs>
</ds:datastoreItem>
</file>

<file path=customXml/itemProps4.xml><?xml version="1.0" encoding="utf-8"?>
<ds:datastoreItem xmlns:ds="http://schemas.openxmlformats.org/officeDocument/2006/customXml" ds:itemID="{148FD9DB-289D-4648-9DD7-3F798FF78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786803-D610-4C80-BE48-654F7AC3EF6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Housenger, Justin</dc:creator>
  <cp:keywords/>
  <dc:description/>
  <cp:lastModifiedBy>Orrick, Greg</cp:lastModifiedBy>
  <cp:revision>2</cp:revision>
  <dcterms:created xsi:type="dcterms:W3CDTF">2022-06-02T03:43:00Z</dcterms:created>
  <dcterms:modified xsi:type="dcterms:W3CDTF">2022-06-02T03:43:00Z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