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98E4" w14:textId="0CA295F8" w:rsidR="009D14F7" w:rsidRPr="008A5FE6" w:rsidRDefault="009D14F7" w:rsidP="009F5D71">
      <w:pPr>
        <w:rPr>
          <w:b/>
          <w:bCs/>
          <w:color w:val="5B9BD5"/>
          <w:sz w:val="32"/>
          <w:szCs w:val="32"/>
        </w:rPr>
      </w:pPr>
      <w:bookmarkStart w:id="0" w:name="_Toc31193294"/>
      <w:bookmarkStart w:id="1" w:name="_Toc31193349"/>
      <w:bookmarkStart w:id="2" w:name="_Toc31220268"/>
      <w:bookmarkEnd w:id="0"/>
      <w:bookmarkEnd w:id="1"/>
      <w:r w:rsidRPr="008A5FE6">
        <w:rPr>
          <w:b/>
          <w:bCs/>
          <w:color w:val="5B9BD5"/>
          <w:sz w:val="32"/>
          <w:szCs w:val="32"/>
        </w:rPr>
        <w:t xml:space="preserve">Chapter 1 – </w:t>
      </w:r>
      <w:bookmarkStart w:id="3" w:name="_Hlk57091016"/>
      <w:r w:rsidR="006B10F2" w:rsidRPr="008A5FE6">
        <w:rPr>
          <w:b/>
          <w:bCs/>
          <w:color w:val="5B9BD5"/>
          <w:sz w:val="32"/>
          <w:szCs w:val="32"/>
        </w:rPr>
        <w:t>Imidacloprid</w:t>
      </w:r>
      <w:r w:rsidRPr="008A5FE6">
        <w:rPr>
          <w:b/>
          <w:bCs/>
          <w:color w:val="5B9BD5"/>
          <w:sz w:val="32"/>
          <w:szCs w:val="32"/>
        </w:rPr>
        <w:t xml:space="preserve"> Problem Formulation</w:t>
      </w:r>
      <w:bookmarkEnd w:id="3"/>
    </w:p>
    <w:sdt>
      <w:sdtPr>
        <w:rPr>
          <w:color w:val="2B579A"/>
          <w:shd w:val="clear" w:color="auto" w:fill="E6E6E6"/>
        </w:rPr>
        <w:id w:val="-138042689"/>
        <w:docPartObj>
          <w:docPartGallery w:val="Table of Contents"/>
          <w:docPartUnique/>
        </w:docPartObj>
      </w:sdtPr>
      <w:sdtEndPr>
        <w:rPr>
          <w:b/>
          <w:bCs/>
          <w:noProof/>
          <w:color w:val="000000"/>
          <w:shd w:val="clear" w:color="auto" w:fill="auto"/>
        </w:rPr>
      </w:sdtEndPr>
      <w:sdtContent>
        <w:p w14:paraId="0E6F4D28" w14:textId="77777777" w:rsidR="009D14F7" w:rsidRPr="00440864" w:rsidRDefault="009D14F7" w:rsidP="009F5D71">
          <w:pPr>
            <w:rPr>
              <w:color w:val="2E74B5" w:themeColor="accent5" w:themeShade="BF"/>
              <w:sz w:val="32"/>
              <w:szCs w:val="32"/>
            </w:rPr>
          </w:pPr>
          <w:r w:rsidRPr="00440864">
            <w:rPr>
              <w:color w:val="2E74B5" w:themeColor="accent5" w:themeShade="BF"/>
              <w:sz w:val="32"/>
              <w:szCs w:val="32"/>
            </w:rPr>
            <w:t>Contents</w:t>
          </w:r>
        </w:p>
        <w:p w14:paraId="6DFBF6C3" w14:textId="271462AA" w:rsidR="007C6FB4" w:rsidRDefault="009D14F7">
          <w:pPr>
            <w:pStyle w:val="TOC1"/>
            <w:rPr>
              <w:rFonts w:asciiTheme="minorHAnsi" w:eastAsiaTheme="minorEastAsia" w:hAnsiTheme="minorHAnsi" w:cstheme="minorBidi"/>
              <w:noProof/>
              <w:color w:val="auto"/>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80121135" w:history="1">
            <w:r w:rsidR="007C6FB4" w:rsidRPr="00A67A9A">
              <w:rPr>
                <w:rStyle w:val="Hyperlink"/>
                <w:noProof/>
              </w:rPr>
              <w:t>1</w:t>
            </w:r>
            <w:r w:rsidR="007C6FB4">
              <w:rPr>
                <w:rFonts w:asciiTheme="minorHAnsi" w:eastAsiaTheme="minorEastAsia" w:hAnsiTheme="minorHAnsi" w:cstheme="minorBidi"/>
                <w:noProof/>
                <w:color w:val="auto"/>
              </w:rPr>
              <w:tab/>
            </w:r>
            <w:r w:rsidR="007C6FB4" w:rsidRPr="00A67A9A">
              <w:rPr>
                <w:rStyle w:val="Hyperlink"/>
                <w:noProof/>
              </w:rPr>
              <w:t>Introduction</w:t>
            </w:r>
            <w:r w:rsidR="007C6FB4">
              <w:rPr>
                <w:noProof/>
                <w:webHidden/>
              </w:rPr>
              <w:tab/>
            </w:r>
            <w:r w:rsidR="007C6FB4">
              <w:rPr>
                <w:noProof/>
                <w:webHidden/>
              </w:rPr>
              <w:fldChar w:fldCharType="begin"/>
            </w:r>
            <w:r w:rsidR="007C6FB4">
              <w:rPr>
                <w:noProof/>
                <w:webHidden/>
              </w:rPr>
              <w:instrText xml:space="preserve"> PAGEREF _Toc80121135 \h </w:instrText>
            </w:r>
            <w:r w:rsidR="007C6FB4">
              <w:rPr>
                <w:noProof/>
                <w:webHidden/>
              </w:rPr>
            </w:r>
            <w:r w:rsidR="007C6FB4">
              <w:rPr>
                <w:noProof/>
                <w:webHidden/>
              </w:rPr>
              <w:fldChar w:fldCharType="separate"/>
            </w:r>
            <w:r w:rsidR="007C6FB4">
              <w:rPr>
                <w:noProof/>
                <w:webHidden/>
              </w:rPr>
              <w:t>1</w:t>
            </w:r>
            <w:r w:rsidR="007C6FB4">
              <w:rPr>
                <w:noProof/>
                <w:webHidden/>
              </w:rPr>
              <w:fldChar w:fldCharType="end"/>
            </w:r>
          </w:hyperlink>
        </w:p>
        <w:p w14:paraId="763681E9" w14:textId="6BEEDE5A" w:rsidR="007C6FB4" w:rsidRDefault="00FB01C9">
          <w:pPr>
            <w:pStyle w:val="TOC1"/>
            <w:rPr>
              <w:rFonts w:asciiTheme="minorHAnsi" w:eastAsiaTheme="minorEastAsia" w:hAnsiTheme="minorHAnsi" w:cstheme="minorBidi"/>
              <w:noProof/>
              <w:color w:val="auto"/>
            </w:rPr>
          </w:pPr>
          <w:hyperlink w:anchor="_Toc80121136" w:history="1">
            <w:r w:rsidR="007C6FB4" w:rsidRPr="00A67A9A">
              <w:rPr>
                <w:rStyle w:val="Hyperlink"/>
                <w:noProof/>
              </w:rPr>
              <w:t>2</w:t>
            </w:r>
            <w:r w:rsidR="007C6FB4">
              <w:rPr>
                <w:rFonts w:asciiTheme="minorHAnsi" w:eastAsiaTheme="minorEastAsia" w:hAnsiTheme="minorHAnsi" w:cstheme="minorBidi"/>
                <w:noProof/>
                <w:color w:val="auto"/>
              </w:rPr>
              <w:tab/>
            </w:r>
            <w:r w:rsidR="007C6FB4" w:rsidRPr="00A67A9A">
              <w:rPr>
                <w:rStyle w:val="Hyperlink"/>
                <w:noProof/>
              </w:rPr>
              <w:t>Description of the Federal Action</w:t>
            </w:r>
            <w:r w:rsidR="007C6FB4">
              <w:rPr>
                <w:noProof/>
                <w:webHidden/>
              </w:rPr>
              <w:tab/>
            </w:r>
            <w:r w:rsidR="007C6FB4">
              <w:rPr>
                <w:noProof/>
                <w:webHidden/>
              </w:rPr>
              <w:fldChar w:fldCharType="begin"/>
            </w:r>
            <w:r w:rsidR="007C6FB4">
              <w:rPr>
                <w:noProof/>
                <w:webHidden/>
              </w:rPr>
              <w:instrText xml:space="preserve"> PAGEREF _Toc80121136 \h </w:instrText>
            </w:r>
            <w:r w:rsidR="007C6FB4">
              <w:rPr>
                <w:noProof/>
                <w:webHidden/>
              </w:rPr>
            </w:r>
            <w:r w:rsidR="007C6FB4">
              <w:rPr>
                <w:noProof/>
                <w:webHidden/>
              </w:rPr>
              <w:fldChar w:fldCharType="separate"/>
            </w:r>
            <w:r w:rsidR="007C6FB4">
              <w:rPr>
                <w:noProof/>
                <w:webHidden/>
              </w:rPr>
              <w:t>2</w:t>
            </w:r>
            <w:r w:rsidR="007C6FB4">
              <w:rPr>
                <w:noProof/>
                <w:webHidden/>
              </w:rPr>
              <w:fldChar w:fldCharType="end"/>
            </w:r>
          </w:hyperlink>
        </w:p>
        <w:p w14:paraId="2422B737" w14:textId="2E648CC4" w:rsidR="007C6FB4" w:rsidRDefault="00FB01C9">
          <w:pPr>
            <w:pStyle w:val="TOC1"/>
            <w:rPr>
              <w:rFonts w:asciiTheme="minorHAnsi" w:eastAsiaTheme="minorEastAsia" w:hAnsiTheme="minorHAnsi" w:cstheme="minorBidi"/>
              <w:noProof/>
              <w:color w:val="auto"/>
            </w:rPr>
          </w:pPr>
          <w:hyperlink w:anchor="_Toc80121137" w:history="1">
            <w:r w:rsidR="007C6FB4" w:rsidRPr="00A67A9A">
              <w:rPr>
                <w:rStyle w:val="Hyperlink"/>
                <w:noProof/>
              </w:rPr>
              <w:t>3</w:t>
            </w:r>
            <w:r w:rsidR="007C6FB4">
              <w:rPr>
                <w:rFonts w:asciiTheme="minorHAnsi" w:eastAsiaTheme="minorEastAsia" w:hAnsiTheme="minorHAnsi" w:cstheme="minorBidi"/>
                <w:noProof/>
                <w:color w:val="auto"/>
              </w:rPr>
              <w:tab/>
            </w:r>
            <w:r w:rsidR="007C6FB4" w:rsidRPr="00A67A9A">
              <w:rPr>
                <w:rStyle w:val="Hyperlink"/>
                <w:noProof/>
              </w:rPr>
              <w:t>Mode and Mechanism of Action</w:t>
            </w:r>
            <w:r w:rsidR="007C6FB4">
              <w:rPr>
                <w:noProof/>
                <w:webHidden/>
              </w:rPr>
              <w:tab/>
            </w:r>
            <w:r w:rsidR="007C6FB4">
              <w:rPr>
                <w:noProof/>
                <w:webHidden/>
              </w:rPr>
              <w:fldChar w:fldCharType="begin"/>
            </w:r>
            <w:r w:rsidR="007C6FB4">
              <w:rPr>
                <w:noProof/>
                <w:webHidden/>
              </w:rPr>
              <w:instrText xml:space="preserve"> PAGEREF _Toc80121137 \h </w:instrText>
            </w:r>
            <w:r w:rsidR="007C6FB4">
              <w:rPr>
                <w:noProof/>
                <w:webHidden/>
              </w:rPr>
            </w:r>
            <w:r w:rsidR="007C6FB4">
              <w:rPr>
                <w:noProof/>
                <w:webHidden/>
              </w:rPr>
              <w:fldChar w:fldCharType="separate"/>
            </w:r>
            <w:r w:rsidR="007C6FB4">
              <w:rPr>
                <w:noProof/>
                <w:webHidden/>
              </w:rPr>
              <w:t>2</w:t>
            </w:r>
            <w:r w:rsidR="007C6FB4">
              <w:rPr>
                <w:noProof/>
                <w:webHidden/>
              </w:rPr>
              <w:fldChar w:fldCharType="end"/>
            </w:r>
          </w:hyperlink>
        </w:p>
        <w:p w14:paraId="62DB7E4A" w14:textId="2DCE535F" w:rsidR="007C6FB4" w:rsidRDefault="00FB01C9">
          <w:pPr>
            <w:pStyle w:val="TOC1"/>
            <w:rPr>
              <w:rFonts w:asciiTheme="minorHAnsi" w:eastAsiaTheme="minorEastAsia" w:hAnsiTheme="minorHAnsi" w:cstheme="minorBidi"/>
              <w:noProof/>
              <w:color w:val="auto"/>
            </w:rPr>
          </w:pPr>
          <w:hyperlink w:anchor="_Toc80121138" w:history="1">
            <w:r w:rsidR="007C6FB4" w:rsidRPr="00A67A9A">
              <w:rPr>
                <w:rStyle w:val="Hyperlink"/>
                <w:noProof/>
              </w:rPr>
              <w:t>4</w:t>
            </w:r>
            <w:r w:rsidR="007C6FB4">
              <w:rPr>
                <w:rFonts w:asciiTheme="minorHAnsi" w:eastAsiaTheme="minorEastAsia" w:hAnsiTheme="minorHAnsi" w:cstheme="minorBidi"/>
                <w:noProof/>
                <w:color w:val="auto"/>
              </w:rPr>
              <w:tab/>
            </w:r>
            <w:r w:rsidR="007C6FB4" w:rsidRPr="00A67A9A">
              <w:rPr>
                <w:rStyle w:val="Hyperlink"/>
                <w:noProof/>
              </w:rPr>
              <w:t>Use and Usage Characterization</w:t>
            </w:r>
            <w:r w:rsidR="007C6FB4">
              <w:rPr>
                <w:noProof/>
                <w:webHidden/>
              </w:rPr>
              <w:tab/>
            </w:r>
            <w:r w:rsidR="007C6FB4">
              <w:rPr>
                <w:noProof/>
                <w:webHidden/>
              </w:rPr>
              <w:fldChar w:fldCharType="begin"/>
            </w:r>
            <w:r w:rsidR="007C6FB4">
              <w:rPr>
                <w:noProof/>
                <w:webHidden/>
              </w:rPr>
              <w:instrText xml:space="preserve"> PAGEREF _Toc80121138 \h </w:instrText>
            </w:r>
            <w:r w:rsidR="007C6FB4">
              <w:rPr>
                <w:noProof/>
                <w:webHidden/>
              </w:rPr>
            </w:r>
            <w:r w:rsidR="007C6FB4">
              <w:rPr>
                <w:noProof/>
                <w:webHidden/>
              </w:rPr>
              <w:fldChar w:fldCharType="separate"/>
            </w:r>
            <w:r w:rsidR="007C6FB4">
              <w:rPr>
                <w:noProof/>
                <w:webHidden/>
              </w:rPr>
              <w:t>2</w:t>
            </w:r>
            <w:r w:rsidR="007C6FB4">
              <w:rPr>
                <w:noProof/>
                <w:webHidden/>
              </w:rPr>
              <w:fldChar w:fldCharType="end"/>
            </w:r>
          </w:hyperlink>
        </w:p>
        <w:p w14:paraId="1988B766" w14:textId="310B1FCE" w:rsidR="007C6FB4" w:rsidRDefault="00FB01C9">
          <w:pPr>
            <w:pStyle w:val="TOC2"/>
            <w:tabs>
              <w:tab w:val="left" w:pos="880"/>
              <w:tab w:val="right" w:leader="dot" w:pos="9350"/>
            </w:tabs>
            <w:rPr>
              <w:rFonts w:asciiTheme="minorHAnsi" w:eastAsiaTheme="minorEastAsia" w:hAnsiTheme="minorHAnsi" w:cstheme="minorBidi"/>
              <w:noProof/>
              <w:color w:val="auto"/>
            </w:rPr>
          </w:pPr>
          <w:hyperlink w:anchor="_Toc80121139" w:history="1">
            <w:r w:rsidR="007C6FB4" w:rsidRPr="00A67A9A">
              <w:rPr>
                <w:rStyle w:val="Hyperlink"/>
                <w:noProof/>
              </w:rPr>
              <w:t>4.1</w:t>
            </w:r>
            <w:r w:rsidR="007C6FB4">
              <w:rPr>
                <w:rFonts w:asciiTheme="minorHAnsi" w:eastAsiaTheme="minorEastAsia" w:hAnsiTheme="minorHAnsi" w:cstheme="minorBidi"/>
                <w:noProof/>
                <w:color w:val="auto"/>
              </w:rPr>
              <w:tab/>
            </w:r>
            <w:r w:rsidR="007C6FB4" w:rsidRPr="00A67A9A">
              <w:rPr>
                <w:rStyle w:val="Hyperlink"/>
                <w:noProof/>
              </w:rPr>
              <w:t>Use Data (as Defined on Registered Product Labels)</w:t>
            </w:r>
            <w:r w:rsidR="007C6FB4">
              <w:rPr>
                <w:noProof/>
                <w:webHidden/>
              </w:rPr>
              <w:tab/>
            </w:r>
            <w:r w:rsidR="007C6FB4">
              <w:rPr>
                <w:noProof/>
                <w:webHidden/>
              </w:rPr>
              <w:fldChar w:fldCharType="begin"/>
            </w:r>
            <w:r w:rsidR="007C6FB4">
              <w:rPr>
                <w:noProof/>
                <w:webHidden/>
              </w:rPr>
              <w:instrText xml:space="preserve"> PAGEREF _Toc80121139 \h </w:instrText>
            </w:r>
            <w:r w:rsidR="007C6FB4">
              <w:rPr>
                <w:noProof/>
                <w:webHidden/>
              </w:rPr>
            </w:r>
            <w:r w:rsidR="007C6FB4">
              <w:rPr>
                <w:noProof/>
                <w:webHidden/>
              </w:rPr>
              <w:fldChar w:fldCharType="separate"/>
            </w:r>
            <w:r w:rsidR="007C6FB4">
              <w:rPr>
                <w:noProof/>
                <w:webHidden/>
              </w:rPr>
              <w:t>3</w:t>
            </w:r>
            <w:r w:rsidR="007C6FB4">
              <w:rPr>
                <w:noProof/>
                <w:webHidden/>
              </w:rPr>
              <w:fldChar w:fldCharType="end"/>
            </w:r>
          </w:hyperlink>
        </w:p>
        <w:p w14:paraId="2CF087B7" w14:textId="194E79A0" w:rsidR="007C6FB4" w:rsidRDefault="00FB01C9">
          <w:pPr>
            <w:pStyle w:val="TOC2"/>
            <w:tabs>
              <w:tab w:val="left" w:pos="880"/>
              <w:tab w:val="right" w:leader="dot" w:pos="9350"/>
            </w:tabs>
            <w:rPr>
              <w:rFonts w:asciiTheme="minorHAnsi" w:eastAsiaTheme="minorEastAsia" w:hAnsiTheme="minorHAnsi" w:cstheme="minorBidi"/>
              <w:noProof/>
              <w:color w:val="auto"/>
            </w:rPr>
          </w:pPr>
          <w:hyperlink w:anchor="_Toc80121140" w:history="1">
            <w:r w:rsidR="007C6FB4" w:rsidRPr="00A67A9A">
              <w:rPr>
                <w:rStyle w:val="Hyperlink"/>
                <w:noProof/>
              </w:rPr>
              <w:t>4.2</w:t>
            </w:r>
            <w:r w:rsidR="007C6FB4">
              <w:rPr>
                <w:rFonts w:asciiTheme="minorHAnsi" w:eastAsiaTheme="minorEastAsia" w:hAnsiTheme="minorHAnsi" w:cstheme="minorBidi"/>
                <w:noProof/>
                <w:color w:val="auto"/>
              </w:rPr>
              <w:tab/>
            </w:r>
            <w:r w:rsidR="007C6FB4" w:rsidRPr="00A67A9A">
              <w:rPr>
                <w:rStyle w:val="Hyperlink"/>
                <w:noProof/>
              </w:rPr>
              <w:t>Usage Data</w:t>
            </w:r>
            <w:r w:rsidR="007C6FB4">
              <w:rPr>
                <w:noProof/>
                <w:webHidden/>
              </w:rPr>
              <w:tab/>
            </w:r>
            <w:r w:rsidR="007C6FB4">
              <w:rPr>
                <w:noProof/>
                <w:webHidden/>
              </w:rPr>
              <w:fldChar w:fldCharType="begin"/>
            </w:r>
            <w:r w:rsidR="007C6FB4">
              <w:rPr>
                <w:noProof/>
                <w:webHidden/>
              </w:rPr>
              <w:instrText xml:space="preserve"> PAGEREF _Toc80121140 \h </w:instrText>
            </w:r>
            <w:r w:rsidR="007C6FB4">
              <w:rPr>
                <w:noProof/>
                <w:webHidden/>
              </w:rPr>
            </w:r>
            <w:r w:rsidR="007C6FB4">
              <w:rPr>
                <w:noProof/>
                <w:webHidden/>
              </w:rPr>
              <w:fldChar w:fldCharType="separate"/>
            </w:r>
            <w:r w:rsidR="007C6FB4">
              <w:rPr>
                <w:noProof/>
                <w:webHidden/>
              </w:rPr>
              <w:t>5</w:t>
            </w:r>
            <w:r w:rsidR="007C6FB4">
              <w:rPr>
                <w:noProof/>
                <w:webHidden/>
              </w:rPr>
              <w:fldChar w:fldCharType="end"/>
            </w:r>
          </w:hyperlink>
        </w:p>
        <w:p w14:paraId="22935225" w14:textId="11202987" w:rsidR="007C6FB4" w:rsidRDefault="00FB01C9">
          <w:pPr>
            <w:pStyle w:val="TOC1"/>
            <w:rPr>
              <w:rFonts w:asciiTheme="minorHAnsi" w:eastAsiaTheme="minorEastAsia" w:hAnsiTheme="minorHAnsi" w:cstheme="minorBidi"/>
              <w:noProof/>
              <w:color w:val="auto"/>
            </w:rPr>
          </w:pPr>
          <w:hyperlink w:anchor="_Toc80121141" w:history="1">
            <w:r w:rsidR="007C6FB4" w:rsidRPr="00A67A9A">
              <w:rPr>
                <w:rStyle w:val="Hyperlink"/>
                <w:noProof/>
              </w:rPr>
              <w:t>5</w:t>
            </w:r>
            <w:r w:rsidR="007C6FB4">
              <w:rPr>
                <w:rFonts w:asciiTheme="minorHAnsi" w:eastAsiaTheme="minorEastAsia" w:hAnsiTheme="minorHAnsi" w:cstheme="minorBidi"/>
                <w:noProof/>
                <w:color w:val="auto"/>
              </w:rPr>
              <w:tab/>
            </w:r>
            <w:r w:rsidR="007C6FB4" w:rsidRPr="00A67A9A">
              <w:rPr>
                <w:rStyle w:val="Hyperlink"/>
                <w:noProof/>
              </w:rPr>
              <w:t>Overview of Environmental Fate</w:t>
            </w:r>
            <w:r w:rsidR="007C6FB4">
              <w:rPr>
                <w:noProof/>
                <w:webHidden/>
              </w:rPr>
              <w:tab/>
            </w:r>
            <w:r w:rsidR="007C6FB4">
              <w:rPr>
                <w:noProof/>
                <w:webHidden/>
              </w:rPr>
              <w:fldChar w:fldCharType="begin"/>
            </w:r>
            <w:r w:rsidR="007C6FB4">
              <w:rPr>
                <w:noProof/>
                <w:webHidden/>
              </w:rPr>
              <w:instrText xml:space="preserve"> PAGEREF _Toc80121141 \h </w:instrText>
            </w:r>
            <w:r w:rsidR="007C6FB4">
              <w:rPr>
                <w:noProof/>
                <w:webHidden/>
              </w:rPr>
            </w:r>
            <w:r w:rsidR="007C6FB4">
              <w:rPr>
                <w:noProof/>
                <w:webHidden/>
              </w:rPr>
              <w:fldChar w:fldCharType="separate"/>
            </w:r>
            <w:r w:rsidR="007C6FB4">
              <w:rPr>
                <w:noProof/>
                <w:webHidden/>
              </w:rPr>
              <w:t>5</w:t>
            </w:r>
            <w:r w:rsidR="007C6FB4">
              <w:rPr>
                <w:noProof/>
                <w:webHidden/>
              </w:rPr>
              <w:fldChar w:fldCharType="end"/>
            </w:r>
          </w:hyperlink>
        </w:p>
        <w:p w14:paraId="08C3270B" w14:textId="448B7D0B" w:rsidR="007C6FB4" w:rsidRDefault="00FB01C9">
          <w:pPr>
            <w:pStyle w:val="TOC1"/>
            <w:rPr>
              <w:rFonts w:asciiTheme="minorHAnsi" w:eastAsiaTheme="minorEastAsia" w:hAnsiTheme="minorHAnsi" w:cstheme="minorBidi"/>
              <w:noProof/>
              <w:color w:val="auto"/>
            </w:rPr>
          </w:pPr>
          <w:hyperlink w:anchor="_Toc80121142" w:history="1">
            <w:r w:rsidR="007C6FB4" w:rsidRPr="00A67A9A">
              <w:rPr>
                <w:rStyle w:val="Hyperlink"/>
                <w:noProof/>
              </w:rPr>
              <w:t>6</w:t>
            </w:r>
            <w:r w:rsidR="007C6FB4">
              <w:rPr>
                <w:rFonts w:asciiTheme="minorHAnsi" w:eastAsiaTheme="minorEastAsia" w:hAnsiTheme="minorHAnsi" w:cstheme="minorBidi"/>
                <w:noProof/>
                <w:color w:val="auto"/>
              </w:rPr>
              <w:tab/>
            </w:r>
            <w:r w:rsidR="007C6FB4" w:rsidRPr="00A67A9A">
              <w:rPr>
                <w:rStyle w:val="Hyperlink"/>
                <w:noProof/>
              </w:rPr>
              <w:t>Residue of Concern</w:t>
            </w:r>
            <w:r w:rsidR="007C6FB4">
              <w:rPr>
                <w:noProof/>
                <w:webHidden/>
              </w:rPr>
              <w:tab/>
            </w:r>
            <w:r w:rsidR="007C6FB4">
              <w:rPr>
                <w:noProof/>
                <w:webHidden/>
              </w:rPr>
              <w:fldChar w:fldCharType="begin"/>
            </w:r>
            <w:r w:rsidR="007C6FB4">
              <w:rPr>
                <w:noProof/>
                <w:webHidden/>
              </w:rPr>
              <w:instrText xml:space="preserve"> PAGEREF _Toc80121142 \h </w:instrText>
            </w:r>
            <w:r w:rsidR="007C6FB4">
              <w:rPr>
                <w:noProof/>
                <w:webHidden/>
              </w:rPr>
            </w:r>
            <w:r w:rsidR="007C6FB4">
              <w:rPr>
                <w:noProof/>
                <w:webHidden/>
              </w:rPr>
              <w:fldChar w:fldCharType="separate"/>
            </w:r>
            <w:r w:rsidR="007C6FB4">
              <w:rPr>
                <w:noProof/>
                <w:webHidden/>
              </w:rPr>
              <w:t>6</w:t>
            </w:r>
            <w:r w:rsidR="007C6FB4">
              <w:rPr>
                <w:noProof/>
                <w:webHidden/>
              </w:rPr>
              <w:fldChar w:fldCharType="end"/>
            </w:r>
          </w:hyperlink>
        </w:p>
        <w:p w14:paraId="41BD7D0E" w14:textId="769D6FB2" w:rsidR="007C6FB4" w:rsidRDefault="00FB01C9">
          <w:pPr>
            <w:pStyle w:val="TOC1"/>
            <w:rPr>
              <w:rFonts w:asciiTheme="minorHAnsi" w:eastAsiaTheme="minorEastAsia" w:hAnsiTheme="minorHAnsi" w:cstheme="minorBidi"/>
              <w:noProof/>
              <w:color w:val="auto"/>
            </w:rPr>
          </w:pPr>
          <w:hyperlink w:anchor="_Toc80121143" w:history="1">
            <w:r w:rsidR="007C6FB4" w:rsidRPr="00A67A9A">
              <w:rPr>
                <w:rStyle w:val="Hyperlink"/>
                <w:noProof/>
              </w:rPr>
              <w:t>7</w:t>
            </w:r>
            <w:r w:rsidR="007C6FB4">
              <w:rPr>
                <w:rFonts w:asciiTheme="minorHAnsi" w:eastAsiaTheme="minorEastAsia" w:hAnsiTheme="minorHAnsi" w:cstheme="minorBidi"/>
                <w:noProof/>
                <w:color w:val="auto"/>
              </w:rPr>
              <w:tab/>
            </w:r>
            <w:r w:rsidR="007C6FB4" w:rsidRPr="00A67A9A">
              <w:rPr>
                <w:rStyle w:val="Hyperlink"/>
                <w:noProof/>
              </w:rPr>
              <w:t>Analysis Plan</w:t>
            </w:r>
            <w:r w:rsidR="007C6FB4">
              <w:rPr>
                <w:noProof/>
                <w:webHidden/>
              </w:rPr>
              <w:tab/>
            </w:r>
            <w:r w:rsidR="007C6FB4">
              <w:rPr>
                <w:noProof/>
                <w:webHidden/>
              </w:rPr>
              <w:fldChar w:fldCharType="begin"/>
            </w:r>
            <w:r w:rsidR="007C6FB4">
              <w:rPr>
                <w:noProof/>
                <w:webHidden/>
              </w:rPr>
              <w:instrText xml:space="preserve"> PAGEREF _Toc80121143 \h </w:instrText>
            </w:r>
            <w:r w:rsidR="007C6FB4">
              <w:rPr>
                <w:noProof/>
                <w:webHidden/>
              </w:rPr>
            </w:r>
            <w:r w:rsidR="007C6FB4">
              <w:rPr>
                <w:noProof/>
                <w:webHidden/>
              </w:rPr>
              <w:fldChar w:fldCharType="separate"/>
            </w:r>
            <w:r w:rsidR="007C6FB4">
              <w:rPr>
                <w:noProof/>
                <w:webHidden/>
              </w:rPr>
              <w:t>6</w:t>
            </w:r>
            <w:r w:rsidR="007C6FB4">
              <w:rPr>
                <w:noProof/>
                <w:webHidden/>
              </w:rPr>
              <w:fldChar w:fldCharType="end"/>
            </w:r>
          </w:hyperlink>
        </w:p>
        <w:p w14:paraId="755DC7CC" w14:textId="1D73546F" w:rsidR="009D14F7" w:rsidRDefault="009D14F7" w:rsidP="006D01AD">
          <w:pPr>
            <w:spacing w:after="0"/>
            <w:rPr>
              <w:b/>
              <w:bCs/>
              <w:noProof/>
            </w:rPr>
          </w:pPr>
          <w:r>
            <w:rPr>
              <w:b/>
              <w:bCs/>
              <w:noProof/>
              <w:color w:val="2B579A"/>
              <w:shd w:val="clear" w:color="auto" w:fill="E6E6E6"/>
            </w:rPr>
            <w:fldChar w:fldCharType="end"/>
          </w:r>
        </w:p>
      </w:sdtContent>
    </w:sdt>
    <w:p w14:paraId="4D60F49A" w14:textId="6DCF744C" w:rsidR="002C7A28" w:rsidRPr="008A5FE6" w:rsidRDefault="002C7A28" w:rsidP="009F5D71">
      <w:pPr>
        <w:pStyle w:val="TableofFigures"/>
        <w:tabs>
          <w:tab w:val="right" w:leader="dot" w:pos="9350"/>
        </w:tabs>
        <w:rPr>
          <w:color w:val="2E74B5" w:themeColor="accent5" w:themeShade="BF"/>
          <w:sz w:val="32"/>
          <w:szCs w:val="32"/>
        </w:rPr>
      </w:pPr>
      <w:r w:rsidRPr="008A5FE6">
        <w:rPr>
          <w:color w:val="2E74B5" w:themeColor="accent5" w:themeShade="BF"/>
          <w:sz w:val="32"/>
          <w:szCs w:val="32"/>
        </w:rPr>
        <w:t>Tables</w:t>
      </w:r>
    </w:p>
    <w:p w14:paraId="18C4FD9D" w14:textId="7BA4D97D" w:rsidR="007C6FB4" w:rsidRDefault="006D01AD">
      <w:pPr>
        <w:pStyle w:val="TableofFigures"/>
        <w:tabs>
          <w:tab w:val="right" w:leader="dot" w:pos="9350"/>
        </w:tabs>
        <w:rPr>
          <w:rFonts w:asciiTheme="minorHAnsi" w:eastAsiaTheme="minorEastAsia" w:hAnsiTheme="minorHAnsi" w:cstheme="minorBidi"/>
          <w:noProof/>
          <w:color w:val="auto"/>
        </w:rPr>
      </w:pPr>
      <w:r>
        <w:rPr>
          <w:color w:val="2E74B5" w:themeColor="accent5" w:themeShade="BF"/>
          <w:sz w:val="24"/>
          <w:szCs w:val="28"/>
        </w:rPr>
        <w:fldChar w:fldCharType="begin"/>
      </w:r>
      <w:r>
        <w:rPr>
          <w:color w:val="2E74B5" w:themeColor="accent5" w:themeShade="BF"/>
          <w:sz w:val="24"/>
          <w:szCs w:val="28"/>
        </w:rPr>
        <w:instrText xml:space="preserve"> TOC \c "Table" </w:instrText>
      </w:r>
      <w:r>
        <w:rPr>
          <w:color w:val="2E74B5" w:themeColor="accent5" w:themeShade="BF"/>
          <w:sz w:val="24"/>
          <w:szCs w:val="28"/>
        </w:rPr>
        <w:fldChar w:fldCharType="separate"/>
      </w:r>
      <w:r w:rsidR="007C6FB4" w:rsidRPr="004A1B76">
        <w:rPr>
          <w:noProof/>
          <w:color w:val="auto"/>
        </w:rPr>
        <w:t>Table 1-1. Summary of Registered Agricultural Use Patterns for Imidacloprid</w:t>
      </w:r>
      <w:r w:rsidR="007C6FB4">
        <w:rPr>
          <w:noProof/>
        </w:rPr>
        <w:tab/>
      </w:r>
      <w:r w:rsidR="007C6FB4">
        <w:rPr>
          <w:noProof/>
        </w:rPr>
        <w:fldChar w:fldCharType="begin"/>
      </w:r>
      <w:r w:rsidR="007C6FB4">
        <w:rPr>
          <w:noProof/>
        </w:rPr>
        <w:instrText xml:space="preserve"> PAGEREF _Toc80121144 \h </w:instrText>
      </w:r>
      <w:r w:rsidR="007C6FB4">
        <w:rPr>
          <w:noProof/>
        </w:rPr>
      </w:r>
      <w:r w:rsidR="007C6FB4">
        <w:rPr>
          <w:noProof/>
        </w:rPr>
        <w:fldChar w:fldCharType="separate"/>
      </w:r>
      <w:r w:rsidR="007C6FB4">
        <w:rPr>
          <w:noProof/>
        </w:rPr>
        <w:t>4</w:t>
      </w:r>
      <w:r w:rsidR="007C6FB4">
        <w:rPr>
          <w:noProof/>
        </w:rPr>
        <w:fldChar w:fldCharType="end"/>
      </w:r>
    </w:p>
    <w:p w14:paraId="7F136A17" w14:textId="58423CC3" w:rsidR="006B10F2" w:rsidRDefault="006D01AD" w:rsidP="009F5D71">
      <w:pPr>
        <w:rPr>
          <w:color w:val="2E74B5" w:themeColor="accent5" w:themeShade="BF"/>
          <w:sz w:val="24"/>
          <w:szCs w:val="28"/>
        </w:rPr>
      </w:pPr>
      <w:r>
        <w:rPr>
          <w:color w:val="2E74B5" w:themeColor="accent5" w:themeShade="BF"/>
          <w:sz w:val="24"/>
          <w:szCs w:val="28"/>
        </w:rPr>
        <w:fldChar w:fldCharType="end"/>
      </w:r>
    </w:p>
    <w:p w14:paraId="29C6D3DF" w14:textId="4530E023" w:rsidR="009D14F7" w:rsidRPr="00444670" w:rsidRDefault="009D14F7" w:rsidP="00BC2CC7">
      <w:pPr>
        <w:pStyle w:val="Heading1"/>
        <w:spacing w:line="259" w:lineRule="auto"/>
      </w:pPr>
      <w:bookmarkStart w:id="4" w:name="_Toc80121135"/>
      <w:r w:rsidRPr="00444670">
        <w:t>Introduction</w:t>
      </w:r>
      <w:bookmarkEnd w:id="4"/>
    </w:p>
    <w:p w14:paraId="4BBAE81B" w14:textId="77777777" w:rsidR="009D14F7" w:rsidRDefault="009D14F7" w:rsidP="00BC2CC7">
      <w:pPr>
        <w:spacing w:after="0"/>
      </w:pPr>
    </w:p>
    <w:p w14:paraId="5C672255" w14:textId="0FDD7689" w:rsidR="009D14F7" w:rsidRPr="00D31228" w:rsidRDefault="009D14F7" w:rsidP="00BC2CC7">
      <w:pPr>
        <w:spacing w:after="0"/>
        <w:rPr>
          <w:rStyle w:val="eop"/>
          <w:color w:val="auto"/>
        </w:rPr>
      </w:pPr>
      <w:bookmarkStart w:id="5" w:name="_Hlk57091075"/>
      <w:r w:rsidRPr="00D31228">
        <w:rPr>
          <w:color w:val="auto"/>
        </w:rPr>
        <w:t xml:space="preserve">This </w:t>
      </w:r>
      <w:r w:rsidR="00A76C4E" w:rsidRPr="00D31228">
        <w:rPr>
          <w:rStyle w:val="eop"/>
          <w:rFonts w:asciiTheme="minorHAnsi" w:hAnsiTheme="minorHAnsi" w:cstheme="minorHAnsi"/>
          <w:color w:val="auto"/>
        </w:rPr>
        <w:t xml:space="preserve">Biological Evaluation (BE) </w:t>
      </w:r>
      <w:r w:rsidR="00A76C4E">
        <w:rPr>
          <w:rStyle w:val="eop"/>
          <w:rFonts w:asciiTheme="minorHAnsi" w:hAnsiTheme="minorHAnsi" w:cstheme="minorHAnsi"/>
          <w:color w:val="auto"/>
        </w:rPr>
        <w:t xml:space="preserve">for </w:t>
      </w:r>
      <w:r w:rsidRPr="00D31228">
        <w:rPr>
          <w:rStyle w:val="eop"/>
          <w:rFonts w:asciiTheme="minorHAnsi" w:hAnsiTheme="minorHAnsi" w:cstheme="minorHAnsi"/>
          <w:color w:val="auto"/>
        </w:rPr>
        <w:t>imidacloprid</w:t>
      </w:r>
      <w:r w:rsidR="00EC3E0F">
        <w:rPr>
          <w:rStyle w:val="eop"/>
          <w:rFonts w:asciiTheme="minorHAnsi" w:hAnsiTheme="minorHAnsi" w:cstheme="minorHAnsi"/>
          <w:color w:val="auto"/>
        </w:rPr>
        <w:t xml:space="preserve"> makes </w:t>
      </w:r>
      <w:r w:rsidR="00EC3E0F" w:rsidRPr="00017D8E">
        <w:t>effects determinations</w:t>
      </w:r>
      <w:r w:rsidRPr="00D31228">
        <w:rPr>
          <w:rStyle w:val="eop"/>
          <w:rFonts w:asciiTheme="minorHAnsi" w:hAnsiTheme="minorHAnsi" w:cstheme="minorHAnsi"/>
          <w:color w:val="auto"/>
        </w:rPr>
        <w:t xml:space="preserve"> for all federally listed endangered and threatened species, as well as those that are proposed and candidates for listing and experimental populations (in sum referred to as “listed species”). In addition, </w:t>
      </w:r>
      <w:r w:rsidR="00FA7EF3" w:rsidRPr="00D31228">
        <w:rPr>
          <w:rStyle w:val="eop"/>
          <w:rFonts w:asciiTheme="minorHAnsi" w:hAnsiTheme="minorHAnsi" w:cstheme="minorHAnsi"/>
          <w:color w:val="auto"/>
        </w:rPr>
        <w:t xml:space="preserve">this </w:t>
      </w:r>
      <w:r w:rsidR="00A76C4E">
        <w:rPr>
          <w:rStyle w:val="eop"/>
          <w:rFonts w:asciiTheme="minorHAnsi" w:hAnsiTheme="minorHAnsi" w:cstheme="minorHAnsi"/>
          <w:color w:val="auto"/>
        </w:rPr>
        <w:t>BE</w:t>
      </w:r>
      <w:r w:rsidRPr="00D31228">
        <w:rPr>
          <w:rStyle w:val="eop"/>
          <w:color w:val="auto"/>
        </w:rPr>
        <w:t xml:space="preserve"> </w:t>
      </w:r>
      <w:proofErr w:type="gramStart"/>
      <w:r w:rsidRPr="00D31228">
        <w:rPr>
          <w:rStyle w:val="eop"/>
          <w:color w:val="auto"/>
        </w:rPr>
        <w:t>includes</w:t>
      </w:r>
      <w:proofErr w:type="gramEnd"/>
      <w:r w:rsidRPr="00D31228">
        <w:rPr>
          <w:rStyle w:val="eop"/>
          <w:color w:val="auto"/>
        </w:rPr>
        <w:t xml:space="preserve"> an analysis of designated critical habitats</w:t>
      </w:r>
      <w:r w:rsidR="00A76C4E">
        <w:rPr>
          <w:rStyle w:val="eop"/>
          <w:color w:val="auto"/>
        </w:rPr>
        <w:t xml:space="preserve"> for listed species that may overlap with the registered use areas for imidacloprid</w:t>
      </w:r>
      <w:r w:rsidRPr="00D31228">
        <w:rPr>
          <w:rStyle w:val="eop"/>
          <w:color w:val="auto"/>
        </w:rPr>
        <w:t>.</w:t>
      </w:r>
      <w:r w:rsidRPr="00D31228">
        <w:rPr>
          <w:color w:val="auto"/>
        </w:rPr>
        <w:t xml:space="preserve"> The methods employed in this BE follow the </w:t>
      </w:r>
      <w:r w:rsidRPr="00D31228">
        <w:rPr>
          <w:rStyle w:val="normaltextrun"/>
          <w:color w:val="auto"/>
        </w:rPr>
        <w:t>Revised Method</w:t>
      </w:r>
      <w:r w:rsidRPr="00D31228">
        <w:rPr>
          <w:rStyle w:val="eop"/>
          <w:color w:val="auto"/>
        </w:rPr>
        <w:t> </w:t>
      </w:r>
      <w:r w:rsidRPr="00D31228">
        <w:rPr>
          <w:rStyle w:val="normaltextrun"/>
          <w:color w:val="auto"/>
        </w:rPr>
        <w:t xml:space="preserve">for National Level Listed Species Biological Evaluations of conventional pesticides (referred to </w:t>
      </w:r>
      <w:r w:rsidRPr="00D31228">
        <w:rPr>
          <w:rStyle w:val="eop"/>
          <w:color w:val="auto"/>
        </w:rPr>
        <w:t>as the “Revised Method”)</w:t>
      </w:r>
      <w:r w:rsidRPr="00D31228">
        <w:rPr>
          <w:rStyle w:val="eop"/>
          <w:color w:val="auto"/>
          <w:vertAlign w:val="superscript"/>
        </w:rPr>
        <w:t xml:space="preserve"> [</w:t>
      </w:r>
      <w:r w:rsidRPr="00D31228">
        <w:rPr>
          <w:rStyle w:val="FootnoteReference"/>
          <w:color w:val="auto"/>
        </w:rPr>
        <w:footnoteReference w:id="2"/>
      </w:r>
      <w:r w:rsidRPr="00D31228">
        <w:rPr>
          <w:rStyle w:val="eop"/>
          <w:color w:val="auto"/>
          <w:vertAlign w:val="superscript"/>
        </w:rPr>
        <w:t>]</w:t>
      </w:r>
      <w:r w:rsidRPr="00D31228">
        <w:rPr>
          <w:rStyle w:val="eop"/>
          <w:color w:val="auto"/>
        </w:rPr>
        <w:t>.</w:t>
      </w:r>
    </w:p>
    <w:p w14:paraId="7B9CFE80" w14:textId="77777777" w:rsidR="009D14F7" w:rsidRPr="00D31228" w:rsidRDefault="009D14F7" w:rsidP="00BC2CC7">
      <w:pPr>
        <w:spacing w:after="0"/>
        <w:rPr>
          <w:rStyle w:val="eop"/>
          <w:color w:val="auto"/>
        </w:rPr>
      </w:pPr>
    </w:p>
    <w:p w14:paraId="50DC7CB8" w14:textId="15634899" w:rsidR="009D14F7" w:rsidRPr="00D31228" w:rsidRDefault="009D14F7" w:rsidP="00BC2CC7">
      <w:pPr>
        <w:spacing w:after="0"/>
        <w:rPr>
          <w:color w:val="auto"/>
        </w:rPr>
      </w:pPr>
      <w:r w:rsidRPr="00D31228">
        <w:rPr>
          <w:color w:val="auto"/>
        </w:rPr>
        <w:t xml:space="preserve">This chapter describes the problem formulation (PF) which is the first step of ecological risk assessment. </w:t>
      </w:r>
      <w:r w:rsidR="00A76C4E">
        <w:rPr>
          <w:color w:val="auto"/>
        </w:rPr>
        <w:t xml:space="preserve">The </w:t>
      </w:r>
      <w:r w:rsidRPr="00D31228">
        <w:rPr>
          <w:color w:val="auto"/>
        </w:rPr>
        <w:t>PF establishes the goals, scope, and focus of the assessment. It is a systematic planning step that identifies major factors to be considered in a particular assessment.</w:t>
      </w:r>
    </w:p>
    <w:p w14:paraId="35A98160" w14:textId="77777777" w:rsidR="009D14F7" w:rsidRPr="00D31228" w:rsidRDefault="009D14F7" w:rsidP="00BC2CC7">
      <w:pPr>
        <w:spacing w:after="0"/>
        <w:rPr>
          <w:color w:val="auto"/>
        </w:rPr>
      </w:pPr>
    </w:p>
    <w:p w14:paraId="42D5143F" w14:textId="6F3E1C0B" w:rsidR="009D14F7" w:rsidRPr="00D31228" w:rsidRDefault="009D14F7" w:rsidP="00BC2CC7">
      <w:pPr>
        <w:spacing w:after="0"/>
        <w:rPr>
          <w:color w:val="auto"/>
        </w:rPr>
      </w:pPr>
      <w:r w:rsidRPr="00D31228">
        <w:rPr>
          <w:color w:val="auto"/>
        </w:rPr>
        <w:t xml:space="preserve">Included in this chapter is a description of the federal action, the mode and mechanism of action of </w:t>
      </w:r>
      <w:r w:rsidR="006B10F2" w:rsidRPr="00D31228">
        <w:rPr>
          <w:color w:val="auto"/>
        </w:rPr>
        <w:t>imidacloprid</w:t>
      </w:r>
      <w:r w:rsidRPr="00D31228">
        <w:rPr>
          <w:color w:val="auto"/>
        </w:rPr>
        <w:t xml:space="preserve">, summaries of its uses (based on registered product labels), usage, overview of environmental fate, identification of the residue of concern, and an analysis plan for how the BE will be conducted. </w:t>
      </w:r>
    </w:p>
    <w:bookmarkEnd w:id="5"/>
    <w:p w14:paraId="0BE2523C" w14:textId="77777777" w:rsidR="00B00736" w:rsidRPr="00D31228" w:rsidRDefault="00B00736" w:rsidP="009F5D71">
      <w:pPr>
        <w:spacing w:after="0" w:line="240" w:lineRule="auto"/>
        <w:rPr>
          <w:color w:val="auto"/>
        </w:rPr>
      </w:pPr>
    </w:p>
    <w:p w14:paraId="757FD55F" w14:textId="538D0976" w:rsidR="009D14F7" w:rsidRPr="0017444E" w:rsidRDefault="009D14F7" w:rsidP="00BC2CC7">
      <w:pPr>
        <w:pStyle w:val="TOCHeading"/>
        <w:spacing w:line="259" w:lineRule="auto"/>
      </w:pPr>
      <w:bookmarkStart w:id="6" w:name="_Toc80121136"/>
      <w:bookmarkEnd w:id="2"/>
      <w:r w:rsidRPr="0017444E">
        <w:lastRenderedPageBreak/>
        <w:t>Description of the Federal Action</w:t>
      </w:r>
      <w:bookmarkEnd w:id="6"/>
      <w:r w:rsidRPr="0017444E">
        <w:t xml:space="preserve"> </w:t>
      </w:r>
    </w:p>
    <w:p w14:paraId="4429843D" w14:textId="77777777" w:rsidR="009D14F7" w:rsidRDefault="009D14F7" w:rsidP="00BC2CC7">
      <w:pPr>
        <w:keepNext/>
        <w:spacing w:after="0"/>
      </w:pPr>
    </w:p>
    <w:p w14:paraId="07C2F334" w14:textId="448F9FC7" w:rsidR="009D14F7" w:rsidRPr="00D31228" w:rsidRDefault="009D14F7" w:rsidP="00BC2CC7">
      <w:pPr>
        <w:keepNext/>
        <w:spacing w:after="0"/>
        <w:rPr>
          <w:color w:val="auto"/>
        </w:rPr>
      </w:pPr>
      <w:r w:rsidRPr="00D31228">
        <w:rPr>
          <w:color w:val="auto"/>
        </w:rPr>
        <w:t xml:space="preserve">In 2006, the U.S. Environmental Protection Agency (EPA) initiated Registration Review to reevaluate all registered pesticide active ingredients on a regular cycle. EPA is required to review each pesticide active ingredient at least every 15 years to </w:t>
      </w:r>
      <w:r w:rsidR="00B11BF5">
        <w:rPr>
          <w:color w:val="auto"/>
        </w:rPr>
        <w:t>ensure</w:t>
      </w:r>
      <w:r w:rsidRPr="00D31228">
        <w:rPr>
          <w:color w:val="auto"/>
        </w:rPr>
        <w:t xml:space="preserve"> that it </w:t>
      </w:r>
      <w:proofErr w:type="gramStart"/>
      <w:r w:rsidRPr="00D31228">
        <w:rPr>
          <w:color w:val="auto"/>
        </w:rPr>
        <w:t>has the ability to</w:t>
      </w:r>
      <w:proofErr w:type="gramEnd"/>
      <w:r w:rsidRPr="00D31228">
        <w:rPr>
          <w:color w:val="auto"/>
        </w:rPr>
        <w:t xml:space="preserve"> assess risks to human health and the environment as science evolves and policies and practices may change, </w:t>
      </w:r>
      <w:bookmarkStart w:id="7" w:name="_Hlk33448916"/>
      <w:r w:rsidRPr="00D31228">
        <w:rPr>
          <w:color w:val="auto"/>
        </w:rPr>
        <w:t>all pesticide products in the marketplace continue to meet the standard of registration</w:t>
      </w:r>
      <w:bookmarkEnd w:id="7"/>
      <w:r w:rsidRPr="00D31228">
        <w:rPr>
          <w:color w:val="auto"/>
        </w:rPr>
        <w:t xml:space="preserve">. Registration Review includes labels registered under Sections 3, 24(c), and 18 of FIFRA.  The federal action relevant to this BE is the Registration Review for </w:t>
      </w:r>
      <w:r w:rsidR="006B10F2" w:rsidRPr="00D31228">
        <w:rPr>
          <w:color w:val="auto"/>
        </w:rPr>
        <w:t>imidacloprid</w:t>
      </w:r>
      <w:r w:rsidRPr="00D31228">
        <w:rPr>
          <w:color w:val="auto"/>
        </w:rPr>
        <w:t xml:space="preserve">, which encompasses the review of all the registered uses and the approved product labels for all pesticide products containing </w:t>
      </w:r>
      <w:r w:rsidR="006B10F2" w:rsidRPr="00D31228">
        <w:rPr>
          <w:color w:val="auto"/>
        </w:rPr>
        <w:t>imidacloprid</w:t>
      </w:r>
      <w:r w:rsidRPr="00D31228">
        <w:rPr>
          <w:color w:val="auto"/>
        </w:rPr>
        <w:t xml:space="preserve">.   </w:t>
      </w:r>
    </w:p>
    <w:p w14:paraId="5CF8B99A" w14:textId="77777777" w:rsidR="009D14F7" w:rsidRPr="00D31228" w:rsidRDefault="009D14F7" w:rsidP="00BC2CC7">
      <w:pPr>
        <w:keepNext/>
        <w:spacing w:after="0"/>
        <w:rPr>
          <w:color w:val="auto"/>
        </w:rPr>
      </w:pPr>
    </w:p>
    <w:p w14:paraId="74D0F8D7" w14:textId="77777777" w:rsidR="009D14F7" w:rsidRPr="001561C2" w:rsidRDefault="009D14F7" w:rsidP="00BC2CC7">
      <w:pPr>
        <w:pStyle w:val="TOCHeading"/>
        <w:spacing w:line="259" w:lineRule="auto"/>
      </w:pPr>
      <w:bookmarkStart w:id="8" w:name="_Toc31220272"/>
      <w:bookmarkStart w:id="9" w:name="_Toc80121137"/>
      <w:r w:rsidRPr="001561C2">
        <w:t>Mode and Mechanism of Action</w:t>
      </w:r>
      <w:bookmarkEnd w:id="8"/>
      <w:bookmarkEnd w:id="9"/>
      <w:r w:rsidRPr="001561C2">
        <w:t xml:space="preserve"> </w:t>
      </w:r>
    </w:p>
    <w:p w14:paraId="0FE7569B" w14:textId="77777777" w:rsidR="009D14F7" w:rsidRPr="00BB3BB8" w:rsidRDefault="009D14F7" w:rsidP="00BC2CC7">
      <w:pPr>
        <w:keepNext/>
        <w:keepLines/>
        <w:spacing w:after="0"/>
      </w:pPr>
    </w:p>
    <w:p w14:paraId="59C12C75" w14:textId="1D7D9E5D" w:rsidR="00A34A0C" w:rsidRPr="00D31228" w:rsidRDefault="00A34A0C" w:rsidP="00BC2CC7">
      <w:pPr>
        <w:pStyle w:val="BodyText"/>
        <w:spacing w:before="37"/>
        <w:ind w:right="202"/>
        <w:rPr>
          <w:color w:val="auto"/>
        </w:rPr>
      </w:pPr>
      <w:bookmarkStart w:id="10" w:name="_Hlk51846377"/>
      <w:r w:rsidRPr="00D31228">
        <w:rPr>
          <w:noProof/>
          <w:color w:val="auto"/>
          <w:shd w:val="clear" w:color="auto" w:fill="E6E6E6"/>
        </w:rPr>
        <mc:AlternateContent>
          <mc:Choice Requires="wps">
            <w:drawing>
              <wp:anchor distT="0" distB="0" distL="114300" distR="114300" simplePos="0" relativeHeight="251656192" behindDoc="1" locked="0" layoutInCell="1" allowOverlap="1" wp14:anchorId="62D36935" wp14:editId="6377F4E3">
                <wp:simplePos x="0" y="0"/>
                <wp:positionH relativeFrom="page">
                  <wp:posOffset>6551295</wp:posOffset>
                </wp:positionH>
                <wp:positionV relativeFrom="paragraph">
                  <wp:posOffset>793115</wp:posOffset>
                </wp:positionV>
                <wp:extent cx="6350" cy="12700"/>
                <wp:effectExtent l="0" t="635" r="0" b="0"/>
                <wp:wrapNone/>
                <wp:docPr id="2991" name="Text Box 2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FD694" w14:textId="77777777" w:rsidR="004B3E32" w:rsidRDefault="004B3E32" w:rsidP="00A34A0C">
                            <w:pPr>
                              <w:spacing w:before="3"/>
                              <w:rPr>
                                <w:rFonts w:ascii="ZWAdobeF"/>
                                <w:sz w:val="2"/>
                              </w:rPr>
                            </w:pPr>
                            <w:r>
                              <w:rPr>
                                <w:rFonts w:ascii="ZWAdobeF"/>
                                <w:w w:val="60"/>
                                <w:sz w:val="2"/>
                              </w:rPr>
                              <w:t>4F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36935" id="_x0000_t202" coordsize="21600,21600" o:spt="202" path="m,l,21600r21600,l21600,xe">
                <v:stroke joinstyle="miter"/>
                <v:path gradientshapeok="t" o:connecttype="rect"/>
              </v:shapetype>
              <v:shape id="Text Box 2939" o:spid="_x0000_s1026" type="#_x0000_t202" style="position:absolute;margin-left:515.85pt;margin-top:62.45pt;width:.5pt;height: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" filled="f" stroked="f">
                <v:textbox inset="0,0,0,0">
                  <w:txbxContent>
                    <w:p w14:paraId="2AFFD694" w14:textId="77777777" w:rsidR="004B3E32" w:rsidRDefault="004B3E32" w:rsidP="00A34A0C">
                      <w:pPr>
                        <w:spacing w:before="3"/>
                        <w:rPr>
                          <w:rFonts w:ascii="ZWAdobeF"/>
                          <w:sz w:val="2"/>
                        </w:rPr>
                      </w:pPr>
                      <w:r>
                        <w:rPr>
                          <w:rFonts w:ascii="ZWAdobeF"/>
                          <w:w w:val="60"/>
                          <w:sz w:val="2"/>
                        </w:rPr>
                        <w:t>4F</w:t>
                      </w:r>
                    </w:p>
                  </w:txbxContent>
                </v:textbox>
                <w10:wrap anchorx="page"/>
              </v:shape>
            </w:pict>
          </mc:Fallback>
        </mc:AlternateContent>
      </w:r>
      <w:r w:rsidRPr="00D31228">
        <w:rPr>
          <w:color w:val="auto"/>
        </w:rPr>
        <w:t>Imidacloprid (IUPAC name: N-[1-[(6-chloropyridin-3-</w:t>
      </w:r>
      <w:proofErr w:type="gramStart"/>
      <w:r w:rsidRPr="00D31228">
        <w:rPr>
          <w:color w:val="auto"/>
        </w:rPr>
        <w:t>yl)methyl</w:t>
      </w:r>
      <w:proofErr w:type="gramEnd"/>
      <w:r w:rsidRPr="00D31228">
        <w:rPr>
          <w:color w:val="auto"/>
        </w:rPr>
        <w:t>]-4,5-dihydroimidazol-2-yl]nitramide) is a systemic, neonicotinoid insecticide which acts on the insect nicotinic acetylcholine receptors (nAChRs) of the nervous system via competitive modulation (IRAC 2016). Imidacloprid is in the N-nitroguanidine group of neonicotinoids (IRAC subclass 4A) along with clothianidin, thiamethoxam and dinotefuran</w:t>
      </w:r>
      <w:r w:rsidRPr="00D31228">
        <w:rPr>
          <w:rStyle w:val="FootnoteReference"/>
          <w:color w:val="auto"/>
        </w:rPr>
        <w:footnoteReference w:id="3"/>
      </w:r>
      <w:r w:rsidRPr="00D31228">
        <w:rPr>
          <w:color w:val="auto"/>
        </w:rPr>
        <w:t>.</w:t>
      </w:r>
      <w:r w:rsidRPr="00D31228">
        <w:rPr>
          <w:color w:val="auto"/>
          <w:position w:val="8"/>
          <w:sz w:val="14"/>
        </w:rPr>
        <w:t xml:space="preserve">  </w:t>
      </w:r>
      <w:r w:rsidRPr="00D31228">
        <w:rPr>
          <w:color w:val="auto"/>
        </w:rPr>
        <w:t>Its</w:t>
      </w:r>
      <w:r w:rsidRPr="00D31228">
        <w:rPr>
          <w:noProof/>
          <w:color w:val="auto"/>
          <w:shd w:val="clear" w:color="auto" w:fill="E6E6E6"/>
        </w:rPr>
        <mc:AlternateContent>
          <mc:Choice Requires="wps">
            <w:drawing>
              <wp:anchor distT="0" distB="0" distL="114300" distR="114300" simplePos="0" relativeHeight="251666432" behindDoc="1" locked="0" layoutInCell="1" allowOverlap="1" wp14:anchorId="0BFA921E" wp14:editId="26C440B9">
                <wp:simplePos x="0" y="0"/>
                <wp:positionH relativeFrom="page">
                  <wp:posOffset>2303145</wp:posOffset>
                </wp:positionH>
                <wp:positionV relativeFrom="paragraph">
                  <wp:posOffset>1064895</wp:posOffset>
                </wp:positionV>
                <wp:extent cx="6350" cy="12700"/>
                <wp:effectExtent l="0" t="1270" r="0" b="0"/>
                <wp:wrapNone/>
                <wp:docPr id="2989" name="Text Box 2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69F0C" w14:textId="77777777" w:rsidR="004B3E32" w:rsidRDefault="004B3E32" w:rsidP="00A34A0C">
                            <w:pPr>
                              <w:spacing w:before="3"/>
                              <w:rPr>
                                <w:rFonts w:ascii="ZWAdobeF"/>
                                <w:sz w:val="2"/>
                              </w:rPr>
                            </w:pPr>
                            <w:r>
                              <w:rPr>
                                <w:rFonts w:ascii="ZWAdobeF"/>
                                <w:w w:val="60"/>
                                <w:sz w:val="2"/>
                              </w:rPr>
                              <w:t>5F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A921E" id="Text Box 2937" o:spid="_x0000_s1027" type="#_x0000_t202" style="position:absolute;margin-left:181.35pt;margin-top:83.85pt;width:.5pt;height: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" filled="f" stroked="f">
                <v:textbox inset="0,0,0,0">
                  <w:txbxContent>
                    <w:p w14:paraId="77969F0C" w14:textId="77777777" w:rsidR="004B3E32" w:rsidRDefault="004B3E32" w:rsidP="00A34A0C">
                      <w:pPr>
                        <w:spacing w:before="3"/>
                        <w:rPr>
                          <w:rFonts w:ascii="ZWAdobeF"/>
                          <w:sz w:val="2"/>
                        </w:rPr>
                      </w:pPr>
                      <w:r>
                        <w:rPr>
                          <w:rFonts w:ascii="ZWAdobeF"/>
                          <w:w w:val="60"/>
                          <w:sz w:val="2"/>
                        </w:rPr>
                        <w:t>5F</w:t>
                      </w:r>
                    </w:p>
                  </w:txbxContent>
                </v:textbox>
                <w10:wrap anchorx="page"/>
              </v:shape>
            </w:pict>
          </mc:Fallback>
        </mc:AlternateContent>
      </w:r>
      <w:r w:rsidRPr="00D31228">
        <w:rPr>
          <w:color w:val="auto"/>
        </w:rPr>
        <w:t xml:space="preserve"> mode of action on target insects (terrestrial and aquatic) involves out-competing the neurotransmitter acetylcholine for available binding sites on the nAChRs (Zhang et al. 2008)</w:t>
      </w:r>
      <w:r w:rsidR="00366800" w:rsidRPr="00D31228">
        <w:rPr>
          <w:rStyle w:val="FootnoteReference"/>
          <w:color w:val="auto"/>
        </w:rPr>
        <w:footnoteReference w:id="4"/>
      </w:r>
      <w:r w:rsidRPr="00D31228">
        <w:rPr>
          <w:color w:val="auto"/>
        </w:rPr>
        <w:t>. At low concentrations, neonicotinoids cause excessive nervous stimulation and at high concentrations, insect paralysis and death will occur (Tomizawa and Casida 2005)</w:t>
      </w:r>
      <w:r w:rsidR="00366800" w:rsidRPr="00D31228">
        <w:rPr>
          <w:rStyle w:val="FootnoteReference"/>
          <w:color w:val="auto"/>
        </w:rPr>
        <w:footnoteReference w:id="5"/>
      </w:r>
      <w:r w:rsidRPr="00D31228">
        <w:rPr>
          <w:color w:val="auto"/>
        </w:rPr>
        <w:t>. Imidacloprid is a xylem and phloem-mobile systemic compound that is readily taken up by the roots of the plant and translocated throughout the plant via the transpiration stream</w:t>
      </w:r>
      <w:r w:rsidRPr="00D31228">
        <w:rPr>
          <w:rStyle w:val="FootnoteReference"/>
          <w:color w:val="auto"/>
        </w:rPr>
        <w:footnoteReference w:id="6"/>
      </w:r>
      <w:r w:rsidRPr="00D31228">
        <w:rPr>
          <w:color w:val="auto"/>
        </w:rPr>
        <w:t>.</w:t>
      </w:r>
    </w:p>
    <w:bookmarkEnd w:id="10"/>
    <w:p w14:paraId="3ECD514F" w14:textId="77777777" w:rsidR="009D14F7" w:rsidRPr="005A3707" w:rsidRDefault="009D14F7" w:rsidP="009F5D71">
      <w:pPr>
        <w:spacing w:after="0" w:line="240" w:lineRule="auto"/>
      </w:pPr>
    </w:p>
    <w:p w14:paraId="65B51A2A" w14:textId="47BFCC18" w:rsidR="009D14F7" w:rsidRPr="001561C2" w:rsidRDefault="009D14F7" w:rsidP="00444670">
      <w:pPr>
        <w:pStyle w:val="TOCHeading"/>
      </w:pPr>
      <w:bookmarkStart w:id="11" w:name="_Toc31220269"/>
      <w:bookmarkStart w:id="12" w:name="_Toc80121138"/>
      <w:r w:rsidRPr="001561C2">
        <w:t>Use and Usage Characterization</w:t>
      </w:r>
      <w:bookmarkEnd w:id="11"/>
      <w:bookmarkEnd w:id="12"/>
    </w:p>
    <w:p w14:paraId="6FB9AE9F" w14:textId="77777777" w:rsidR="009D14F7" w:rsidRDefault="009D14F7" w:rsidP="009F5D71">
      <w:pPr>
        <w:spacing w:after="0" w:line="240" w:lineRule="auto"/>
      </w:pPr>
    </w:p>
    <w:p w14:paraId="63115891" w14:textId="643DDA83" w:rsidR="00A34A0C" w:rsidRPr="00D31228" w:rsidRDefault="00A34A0C" w:rsidP="00BC2CC7">
      <w:pPr>
        <w:spacing w:after="0"/>
        <w:rPr>
          <w:color w:val="auto"/>
        </w:rPr>
      </w:pPr>
      <w:r w:rsidRPr="00D31228">
        <w:rPr>
          <w:color w:val="auto"/>
        </w:rPr>
        <w:t>Use data are based on registered product labels and include pesticide application information relevant to a treatment site (</w:t>
      </w:r>
      <w:r w:rsidRPr="00D31228">
        <w:rPr>
          <w:i/>
          <w:iCs/>
          <w:color w:val="auto"/>
        </w:rPr>
        <w:t>e.g.</w:t>
      </w:r>
      <w:r w:rsidRPr="00D31228">
        <w:rPr>
          <w:color w:val="auto"/>
        </w:rPr>
        <w:t>, an orchard). EPA determines the uses based on registered labels and define</w:t>
      </w:r>
      <w:r w:rsidR="000C74EB">
        <w:rPr>
          <w:color w:val="auto"/>
        </w:rPr>
        <w:t>s</w:t>
      </w:r>
      <w:r w:rsidRPr="00D31228">
        <w:rPr>
          <w:color w:val="auto"/>
        </w:rPr>
        <w:t xml:space="preserve"> crop or non-crop sites to which a pesticide may be applied. Use data also describe </w:t>
      </w:r>
      <w:r w:rsidR="000C74EB">
        <w:rPr>
          <w:color w:val="auto"/>
        </w:rPr>
        <w:t xml:space="preserve">the </w:t>
      </w:r>
      <w:r w:rsidRPr="00D31228">
        <w:rPr>
          <w:color w:val="auto"/>
        </w:rPr>
        <w:t xml:space="preserve">labeled maximum single </w:t>
      </w:r>
      <w:r w:rsidR="00050A68">
        <w:rPr>
          <w:color w:val="auto"/>
        </w:rPr>
        <w:t xml:space="preserve">use </w:t>
      </w:r>
      <w:r w:rsidRPr="00D31228">
        <w:rPr>
          <w:color w:val="auto"/>
        </w:rPr>
        <w:t>rates</w:t>
      </w:r>
      <w:r w:rsidR="00050A68">
        <w:rPr>
          <w:color w:val="auto"/>
        </w:rPr>
        <w:t xml:space="preserve">, </w:t>
      </w:r>
      <w:r w:rsidRPr="00D31228">
        <w:rPr>
          <w:color w:val="auto"/>
        </w:rPr>
        <w:t>number</w:t>
      </w:r>
      <w:r w:rsidR="00050A68">
        <w:rPr>
          <w:color w:val="auto"/>
        </w:rPr>
        <w:t>s</w:t>
      </w:r>
      <w:r w:rsidRPr="00D31228">
        <w:rPr>
          <w:color w:val="auto"/>
        </w:rPr>
        <w:t xml:space="preserve"> of applications, minimum re-treatment intervals and method(s) of application (</w:t>
      </w:r>
      <w:r w:rsidRPr="00D31228">
        <w:rPr>
          <w:i/>
          <w:color w:val="auto"/>
        </w:rPr>
        <w:t>e.g.,</w:t>
      </w:r>
      <w:r w:rsidRPr="00D31228">
        <w:rPr>
          <w:color w:val="auto"/>
        </w:rPr>
        <w:t xml:space="preserve"> aerial, ground and/or seed treatment).</w:t>
      </w:r>
    </w:p>
    <w:p w14:paraId="0E1E862D" w14:textId="77777777" w:rsidR="009D14F7" w:rsidRPr="00D31228" w:rsidRDefault="009D14F7" w:rsidP="00BC2CC7">
      <w:pPr>
        <w:spacing w:after="0"/>
        <w:rPr>
          <w:color w:val="auto"/>
        </w:rPr>
      </w:pPr>
    </w:p>
    <w:p w14:paraId="440E16C2" w14:textId="50A5EEA4" w:rsidR="009D14F7" w:rsidRPr="00D31228" w:rsidRDefault="009D14F7" w:rsidP="00BC2CC7">
      <w:pPr>
        <w:spacing w:after="0"/>
        <w:rPr>
          <w:color w:val="auto"/>
        </w:rPr>
      </w:pPr>
      <w:r w:rsidRPr="00D31228">
        <w:rPr>
          <w:color w:val="auto"/>
        </w:rPr>
        <w:t xml:space="preserve">Usage data describe how the pesticide has been applied to multiple use sites within a state, </w:t>
      </w:r>
      <w:proofErr w:type="gramStart"/>
      <w:r w:rsidRPr="00D31228">
        <w:rPr>
          <w:color w:val="auto"/>
        </w:rPr>
        <w:t>region</w:t>
      </w:r>
      <w:proofErr w:type="gramEnd"/>
      <w:r w:rsidRPr="00D31228">
        <w:rPr>
          <w:color w:val="auto"/>
        </w:rPr>
        <w:t xml:space="preserve"> or the</w:t>
      </w:r>
      <w:r w:rsidR="000C74EB">
        <w:rPr>
          <w:color w:val="auto"/>
        </w:rPr>
        <w:t xml:space="preserve"> entirety of the </w:t>
      </w:r>
      <w:r w:rsidRPr="00D31228">
        <w:rPr>
          <w:color w:val="auto"/>
        </w:rPr>
        <w:t>U</w:t>
      </w:r>
      <w:r w:rsidR="000C74EB">
        <w:rPr>
          <w:color w:val="auto"/>
        </w:rPr>
        <w:t xml:space="preserve">nited </w:t>
      </w:r>
      <w:r w:rsidRPr="00D31228">
        <w:rPr>
          <w:color w:val="auto"/>
        </w:rPr>
        <w:t>S</w:t>
      </w:r>
      <w:r w:rsidR="000C74EB">
        <w:rPr>
          <w:color w:val="auto"/>
        </w:rPr>
        <w:t>tates</w:t>
      </w:r>
      <w:r w:rsidRPr="00D31228">
        <w:rPr>
          <w:color w:val="auto"/>
        </w:rPr>
        <w:t>. EPA also reviews actual usage data that documents the actual applications of a pesticide, including information such as actual application rates and timing, and spatial distribution of applications across multiple sites (usually based on survey data). The key difference between use and usage is potential applications</w:t>
      </w:r>
      <w:r w:rsidR="000C74EB">
        <w:rPr>
          <w:color w:val="auto"/>
        </w:rPr>
        <w:t xml:space="preserve"> </w:t>
      </w:r>
      <w:r w:rsidR="003E6547">
        <w:rPr>
          <w:color w:val="auto"/>
        </w:rPr>
        <w:t>verses</w:t>
      </w:r>
      <w:r w:rsidRPr="00D31228">
        <w:rPr>
          <w:color w:val="auto"/>
        </w:rPr>
        <w:t xml:space="preserve"> actual applications</w:t>
      </w:r>
      <w:r w:rsidR="000C74EB">
        <w:rPr>
          <w:color w:val="auto"/>
        </w:rPr>
        <w:t>, respectively</w:t>
      </w:r>
      <w:r w:rsidRPr="00D31228">
        <w:rPr>
          <w:color w:val="auto"/>
        </w:rPr>
        <w:t xml:space="preserve">. </w:t>
      </w:r>
    </w:p>
    <w:p w14:paraId="6B8BE2F8" w14:textId="77777777" w:rsidR="009D14F7" w:rsidRPr="003516E7" w:rsidRDefault="009D14F7" w:rsidP="009F5D71">
      <w:pPr>
        <w:spacing w:after="0" w:line="240" w:lineRule="auto"/>
      </w:pPr>
    </w:p>
    <w:p w14:paraId="708F43C5" w14:textId="77777777" w:rsidR="009D14F7" w:rsidRPr="003516E7" w:rsidRDefault="009D14F7" w:rsidP="00441CD8">
      <w:pPr>
        <w:pStyle w:val="Heading2"/>
      </w:pPr>
      <w:bookmarkStart w:id="13" w:name="_Toc31220270"/>
      <w:bookmarkStart w:id="14" w:name="_Toc80121139"/>
      <w:r w:rsidRPr="003516E7">
        <w:t>Use Data (as Defined on Registered Product Labels)</w:t>
      </w:r>
      <w:bookmarkEnd w:id="13"/>
      <w:bookmarkEnd w:id="14"/>
    </w:p>
    <w:p w14:paraId="4327CA30" w14:textId="77777777" w:rsidR="009D14F7" w:rsidRPr="003516E7" w:rsidRDefault="009D14F7" w:rsidP="009F5D71">
      <w:pPr>
        <w:keepNext/>
        <w:keepLines/>
        <w:spacing w:after="0" w:line="240" w:lineRule="auto"/>
      </w:pPr>
      <w:r w:rsidRPr="003516E7">
        <w:rPr>
          <w:i/>
          <w:color w:val="2E75B5"/>
        </w:rPr>
        <w:tab/>
      </w:r>
    </w:p>
    <w:p w14:paraId="10C0AAC0" w14:textId="215DA480" w:rsidR="007E6C00" w:rsidRPr="00D31228" w:rsidRDefault="007E6C00" w:rsidP="00BC2CC7">
      <w:pPr>
        <w:spacing w:after="0"/>
        <w:rPr>
          <w:color w:val="auto"/>
        </w:rPr>
      </w:pPr>
      <w:r w:rsidRPr="00D31228">
        <w:rPr>
          <w:color w:val="auto"/>
        </w:rPr>
        <w:t xml:space="preserve">The label on a pesticide package or container is legally enforceable. The label provides information about how to handle and safely use the pesticide product and avoid harm to human health and the environment.  Using a pesticide in a manner that is inconsistent with the use directions on the label is a violation of FIFRA and can result in enforcement actions to correct the violations. </w:t>
      </w:r>
      <w:bookmarkStart w:id="15" w:name="_Hlk33465917"/>
      <w:r w:rsidRPr="00D31228">
        <w:rPr>
          <w:color w:val="auto"/>
        </w:rPr>
        <w:t xml:space="preserve">This BE </w:t>
      </w:r>
      <w:proofErr w:type="gramStart"/>
      <w:r w:rsidRPr="00D31228">
        <w:rPr>
          <w:color w:val="auto"/>
        </w:rPr>
        <w:t>assesses</w:t>
      </w:r>
      <w:proofErr w:type="gramEnd"/>
      <w:r w:rsidRPr="00D31228">
        <w:rPr>
          <w:color w:val="auto"/>
        </w:rPr>
        <w:t xml:space="preserve"> the legal uses of imidacloprid </w:t>
      </w:r>
      <w:r w:rsidR="00947EF4">
        <w:rPr>
          <w:color w:val="auto"/>
        </w:rPr>
        <w:t>as</w:t>
      </w:r>
      <w:r w:rsidR="00947EF4" w:rsidRPr="00D31228">
        <w:rPr>
          <w:color w:val="auto"/>
        </w:rPr>
        <w:t xml:space="preserve"> </w:t>
      </w:r>
      <w:r w:rsidRPr="00D31228">
        <w:rPr>
          <w:color w:val="auto"/>
        </w:rPr>
        <w:t>described on registered pesticide labels.</w:t>
      </w:r>
      <w:bookmarkEnd w:id="15"/>
    </w:p>
    <w:p w14:paraId="4A634843" w14:textId="77777777" w:rsidR="007E6C00" w:rsidRPr="00D31228" w:rsidRDefault="007E6C00" w:rsidP="00BC2CC7">
      <w:pPr>
        <w:spacing w:after="0"/>
        <w:rPr>
          <w:color w:val="auto"/>
        </w:rPr>
      </w:pPr>
    </w:p>
    <w:p w14:paraId="5DD81B3D" w14:textId="77777777" w:rsidR="007E6C00" w:rsidRPr="00D31228" w:rsidRDefault="007E6C00" w:rsidP="00BC2CC7">
      <w:pPr>
        <w:autoSpaceDE w:val="0"/>
        <w:autoSpaceDN w:val="0"/>
        <w:adjustRightInd w:val="0"/>
        <w:spacing w:after="0"/>
        <w:rPr>
          <w:color w:val="auto"/>
        </w:rPr>
      </w:pPr>
      <w:r w:rsidRPr="00D31228">
        <w:rPr>
          <w:color w:val="auto"/>
        </w:rPr>
        <w:t xml:space="preserve">Imidacloprid is used on a wide variety of terrestrial food </w:t>
      </w:r>
      <w:r w:rsidRPr="00D31228">
        <w:rPr>
          <w:rFonts w:asciiTheme="minorHAnsi" w:hAnsiTheme="minorHAnsi" w:cstheme="minorHAnsi"/>
          <w:color w:val="auto"/>
        </w:rPr>
        <w:t>crops, as well as uses in turf management, ornamental production, and residential settings. There</w:t>
      </w:r>
      <w:r w:rsidRPr="00D31228">
        <w:rPr>
          <w:color w:val="auto"/>
        </w:rPr>
        <w:t xml:space="preserve"> are currently twenty registrations for technical grade active ingredient and twelve formulation intermediates.  Typical end use products (TEPs) include the following formulations: granules; ready-to- use solutions; emulsifiable concentrates; flowable concentrates; water soluble packaging; pelleted/tableted products; water dispersible granules; wettable powders; impregnated materials; dust; solid soluble concentrates; and pressurized liquids. End use products are applied as: liquid spray or drench; broadcast or in-band granules; broadcast or in station baits; and as seed coating. </w:t>
      </w:r>
    </w:p>
    <w:p w14:paraId="4699D863" w14:textId="77777777" w:rsidR="007E6C00" w:rsidRPr="00276A45" w:rsidRDefault="007E6C00" w:rsidP="00BC2CC7">
      <w:pPr>
        <w:autoSpaceDE w:val="0"/>
        <w:autoSpaceDN w:val="0"/>
        <w:adjustRightInd w:val="0"/>
        <w:spacing w:after="0"/>
        <w:rPr>
          <w:color w:val="006600"/>
        </w:rPr>
      </w:pPr>
    </w:p>
    <w:p w14:paraId="170F3704" w14:textId="77777777" w:rsidR="007E6C00" w:rsidRPr="00D31228" w:rsidRDefault="007E6C00" w:rsidP="00BC2CC7">
      <w:pPr>
        <w:tabs>
          <w:tab w:val="left" w:pos="504"/>
        </w:tabs>
        <w:autoSpaceDE w:val="0"/>
        <w:autoSpaceDN w:val="0"/>
        <w:spacing w:before="19" w:after="0"/>
        <w:ind w:right="149"/>
        <w:rPr>
          <w:color w:val="auto"/>
        </w:rPr>
      </w:pPr>
      <w:r w:rsidRPr="00D31228">
        <w:rPr>
          <w:color w:val="auto"/>
        </w:rPr>
        <w:t xml:space="preserve">TEP use patterns may be categorized into two main categories: </w:t>
      </w:r>
      <w:r w:rsidRPr="00D31228">
        <w:rPr>
          <w:b/>
          <w:i/>
          <w:color w:val="auto"/>
        </w:rPr>
        <w:t xml:space="preserve">agricultural </w:t>
      </w:r>
      <w:r w:rsidRPr="00D31228">
        <w:rPr>
          <w:color w:val="auto"/>
        </w:rPr>
        <w:t>and</w:t>
      </w:r>
      <w:r w:rsidRPr="00D31228">
        <w:rPr>
          <w:color w:val="auto"/>
          <w:spacing w:val="-10"/>
        </w:rPr>
        <w:t xml:space="preserve"> </w:t>
      </w:r>
      <w:r w:rsidRPr="00D31228">
        <w:rPr>
          <w:b/>
          <w:i/>
          <w:color w:val="auto"/>
        </w:rPr>
        <w:t>non-agricultural</w:t>
      </w:r>
      <w:r w:rsidRPr="00D31228">
        <w:rPr>
          <w:color w:val="auto"/>
        </w:rPr>
        <w:t>.</w:t>
      </w:r>
    </w:p>
    <w:p w14:paraId="3187B37B" w14:textId="77777777" w:rsidR="002C4936" w:rsidRPr="00D31228" w:rsidRDefault="002C4936" w:rsidP="00BC2CC7">
      <w:pPr>
        <w:autoSpaceDE w:val="0"/>
        <w:autoSpaceDN w:val="0"/>
        <w:spacing w:after="0"/>
        <w:rPr>
          <w:b/>
          <w:i/>
          <w:color w:val="auto"/>
        </w:rPr>
      </w:pPr>
    </w:p>
    <w:p w14:paraId="3DBE6141" w14:textId="58683A0C" w:rsidR="007E6C00" w:rsidRPr="00D31228" w:rsidRDefault="007E6C00" w:rsidP="00BC2CC7">
      <w:pPr>
        <w:autoSpaceDE w:val="0"/>
        <w:autoSpaceDN w:val="0"/>
        <w:spacing w:after="0"/>
        <w:rPr>
          <w:color w:val="auto"/>
        </w:rPr>
      </w:pPr>
      <w:r w:rsidRPr="00D31228">
        <w:rPr>
          <w:b/>
          <w:i/>
          <w:color w:val="auto"/>
        </w:rPr>
        <w:t xml:space="preserve">Agricultural </w:t>
      </w:r>
      <w:r w:rsidRPr="00D31228">
        <w:rPr>
          <w:color w:val="auto"/>
        </w:rPr>
        <w:t>use patterns include the following:</w:t>
      </w:r>
    </w:p>
    <w:p w14:paraId="4BA5DB6C" w14:textId="77777777" w:rsidR="007E6C00" w:rsidRPr="00D31228" w:rsidRDefault="007E6C00" w:rsidP="00BC2CC7">
      <w:pPr>
        <w:numPr>
          <w:ilvl w:val="2"/>
          <w:numId w:val="2"/>
        </w:numPr>
        <w:tabs>
          <w:tab w:val="left" w:pos="1111"/>
        </w:tabs>
        <w:autoSpaceDE w:val="0"/>
        <w:autoSpaceDN w:val="0"/>
        <w:spacing w:after="0"/>
        <w:ind w:right="377"/>
        <w:rPr>
          <w:color w:val="auto"/>
        </w:rPr>
      </w:pPr>
      <w:r w:rsidRPr="00D31228">
        <w:rPr>
          <w:color w:val="auto"/>
        </w:rPr>
        <w:t>Foliar use patterns where TEPs are diluted and applied directly to the crop foliage as liquid spray mainly by ground, air or airblast for tree</w:t>
      </w:r>
      <w:r w:rsidRPr="00D31228">
        <w:rPr>
          <w:color w:val="auto"/>
          <w:spacing w:val="-17"/>
        </w:rPr>
        <w:t xml:space="preserve"> </w:t>
      </w:r>
      <w:r w:rsidRPr="00D31228">
        <w:rPr>
          <w:color w:val="auto"/>
        </w:rPr>
        <w:t>crops;</w:t>
      </w:r>
    </w:p>
    <w:p w14:paraId="34DF8BC9" w14:textId="77777777" w:rsidR="007E6C00" w:rsidRPr="00D31228" w:rsidRDefault="007E6C00" w:rsidP="00BC2CC7">
      <w:pPr>
        <w:numPr>
          <w:ilvl w:val="2"/>
          <w:numId w:val="2"/>
        </w:numPr>
        <w:tabs>
          <w:tab w:val="left" w:pos="1121"/>
        </w:tabs>
        <w:autoSpaceDE w:val="0"/>
        <w:autoSpaceDN w:val="0"/>
        <w:spacing w:before="1" w:after="0"/>
        <w:ind w:right="716"/>
        <w:rPr>
          <w:color w:val="auto"/>
        </w:rPr>
      </w:pPr>
      <w:r w:rsidRPr="00D31228">
        <w:rPr>
          <w:color w:val="auto"/>
        </w:rPr>
        <w:t>Soil use patterns where TEPs are either diluted and applied directly to the soil as liquid spray/drench, or applie</w:t>
      </w:r>
      <w:r w:rsidRPr="00050A68">
        <w:rPr>
          <w:color w:val="auto"/>
        </w:rPr>
        <w:t xml:space="preserve">d </w:t>
      </w:r>
      <w:r w:rsidRPr="00AF1822">
        <w:rPr>
          <w:iCs/>
          <w:color w:val="auto"/>
        </w:rPr>
        <w:t xml:space="preserve">as is </w:t>
      </w:r>
      <w:r w:rsidRPr="00050A68">
        <w:rPr>
          <w:color w:val="auto"/>
        </w:rPr>
        <w:t>d</w:t>
      </w:r>
      <w:r w:rsidRPr="00D31228">
        <w:rPr>
          <w:color w:val="auto"/>
        </w:rPr>
        <w:t>irectly into the soil (</w:t>
      </w:r>
      <w:r w:rsidRPr="00D31228">
        <w:rPr>
          <w:i/>
          <w:color w:val="auto"/>
        </w:rPr>
        <w:t xml:space="preserve">e.g., </w:t>
      </w:r>
      <w:r w:rsidRPr="00D31228">
        <w:rPr>
          <w:color w:val="auto"/>
        </w:rPr>
        <w:t>granules);</w:t>
      </w:r>
      <w:r w:rsidRPr="00D31228">
        <w:rPr>
          <w:color w:val="auto"/>
          <w:spacing w:val="-11"/>
        </w:rPr>
        <w:t xml:space="preserve"> </w:t>
      </w:r>
      <w:r w:rsidRPr="00D31228">
        <w:rPr>
          <w:color w:val="auto"/>
        </w:rPr>
        <w:t>and</w:t>
      </w:r>
    </w:p>
    <w:p w14:paraId="7F0277C8" w14:textId="77777777" w:rsidR="007E6C00" w:rsidRPr="00D31228" w:rsidRDefault="007E6C00" w:rsidP="00BC2CC7">
      <w:pPr>
        <w:numPr>
          <w:ilvl w:val="2"/>
          <w:numId w:val="2"/>
        </w:numPr>
        <w:tabs>
          <w:tab w:val="left" w:pos="1121"/>
        </w:tabs>
        <w:autoSpaceDE w:val="0"/>
        <w:autoSpaceDN w:val="0"/>
        <w:spacing w:before="1" w:after="0"/>
        <w:ind w:right="716"/>
        <w:rPr>
          <w:color w:val="auto"/>
        </w:rPr>
      </w:pPr>
      <w:r w:rsidRPr="00D31228">
        <w:rPr>
          <w:color w:val="auto"/>
        </w:rPr>
        <w:t>Seed treatment use patterns where TEPs are applied to the seeds in various</w:t>
      </w:r>
      <w:r w:rsidRPr="00D31228">
        <w:rPr>
          <w:color w:val="auto"/>
          <w:spacing w:val="-20"/>
        </w:rPr>
        <w:t xml:space="preserve"> </w:t>
      </w:r>
      <w:r w:rsidRPr="00D31228">
        <w:rPr>
          <w:color w:val="auto"/>
        </w:rPr>
        <w:t>procedures.</w:t>
      </w:r>
    </w:p>
    <w:p w14:paraId="1CBA24BA" w14:textId="77777777" w:rsidR="007E6C00" w:rsidRPr="00D31228" w:rsidRDefault="007E6C00" w:rsidP="00BC2CC7">
      <w:pPr>
        <w:autoSpaceDE w:val="0"/>
        <w:autoSpaceDN w:val="0"/>
        <w:spacing w:before="4" w:after="0"/>
        <w:rPr>
          <w:color w:val="auto"/>
          <w:sz w:val="25"/>
        </w:rPr>
      </w:pPr>
    </w:p>
    <w:p w14:paraId="2C1FAACB" w14:textId="0B20BB71" w:rsidR="007E6C00" w:rsidRPr="00D31228" w:rsidRDefault="007E6C00" w:rsidP="00BC2CC7">
      <w:pPr>
        <w:autoSpaceDE w:val="0"/>
        <w:autoSpaceDN w:val="0"/>
        <w:spacing w:before="1" w:after="0"/>
        <w:ind w:left="101" w:right="302"/>
        <w:rPr>
          <w:color w:val="auto"/>
        </w:rPr>
      </w:pPr>
      <w:r w:rsidRPr="00D31228">
        <w:rPr>
          <w:color w:val="auto"/>
        </w:rPr>
        <w:t xml:space="preserve">Additionally, for certain use patterns, imidacloprid can be applied to the same crop through various application methods within the same growing season. For example, imidacloprid can be applied to stone fruits via a soil application which is then followed by a foliar application so long as the maximum annual </w:t>
      </w:r>
      <w:r w:rsidR="009F5D71">
        <w:rPr>
          <w:color w:val="auto"/>
        </w:rPr>
        <w:t xml:space="preserve">use </w:t>
      </w:r>
      <w:r w:rsidRPr="00D31228">
        <w:rPr>
          <w:color w:val="auto"/>
        </w:rPr>
        <w:t xml:space="preserve">rate does not exceed 0.5 lbs. a.i/A; in </w:t>
      </w:r>
      <w:r w:rsidR="009F5D71">
        <w:rPr>
          <w:color w:val="auto"/>
        </w:rPr>
        <w:t xml:space="preserve">a </w:t>
      </w:r>
      <w:r w:rsidRPr="00D31228">
        <w:rPr>
          <w:color w:val="auto"/>
        </w:rPr>
        <w:t xml:space="preserve">few crops, this maximum annual </w:t>
      </w:r>
      <w:r w:rsidR="009F5D71">
        <w:rPr>
          <w:color w:val="auto"/>
        </w:rPr>
        <w:t xml:space="preserve">use </w:t>
      </w:r>
      <w:r w:rsidRPr="00D31228">
        <w:rPr>
          <w:color w:val="auto"/>
        </w:rPr>
        <w:t>rate is &lt;0.5 lbs. a.i/A.</w:t>
      </w:r>
    </w:p>
    <w:p w14:paraId="55E80290" w14:textId="77777777" w:rsidR="007E6C00" w:rsidRPr="00D31228" w:rsidRDefault="007E6C00" w:rsidP="00BC2CC7">
      <w:pPr>
        <w:autoSpaceDE w:val="0"/>
        <w:autoSpaceDN w:val="0"/>
        <w:adjustRightInd w:val="0"/>
        <w:spacing w:after="0"/>
        <w:rPr>
          <w:color w:val="auto"/>
        </w:rPr>
      </w:pPr>
    </w:p>
    <w:p w14:paraId="4280FB7F" w14:textId="53B925D7" w:rsidR="00E91A97" w:rsidRPr="00D31228" w:rsidRDefault="007E6C00" w:rsidP="00BC2CC7">
      <w:pPr>
        <w:pStyle w:val="BodyText"/>
        <w:spacing w:before="1"/>
        <w:ind w:left="101" w:right="187"/>
        <w:rPr>
          <w:color w:val="auto"/>
        </w:rPr>
      </w:pPr>
      <w:r w:rsidRPr="00D31228">
        <w:rPr>
          <w:b/>
          <w:color w:val="auto"/>
        </w:rPr>
        <w:t>APPENDIX 1-1</w:t>
      </w:r>
      <w:r w:rsidRPr="00D31228">
        <w:rPr>
          <w:color w:val="auto"/>
        </w:rPr>
        <w:t xml:space="preserve"> contains a list of the crops belonging to designated crop groups and subgroups on various imidacloprid labels. Detailed information on agricultural use patterns was extracted from the labels and is presented in summary tables in </w:t>
      </w:r>
      <w:r w:rsidRPr="00D31228">
        <w:rPr>
          <w:b/>
          <w:color w:val="auto"/>
        </w:rPr>
        <w:t>APPENDIX 1-1</w:t>
      </w:r>
      <w:r w:rsidR="002C4936" w:rsidRPr="00D31228">
        <w:rPr>
          <w:b/>
          <w:color w:val="auto"/>
        </w:rPr>
        <w:t xml:space="preserve"> </w:t>
      </w:r>
      <w:r w:rsidRPr="00D31228">
        <w:rPr>
          <w:color w:val="auto"/>
        </w:rPr>
        <w:t>for foliar application</w:t>
      </w:r>
      <w:r w:rsidR="002C4936" w:rsidRPr="00D31228">
        <w:rPr>
          <w:color w:val="auto"/>
        </w:rPr>
        <w:t>,</w:t>
      </w:r>
      <w:r w:rsidRPr="00D31228">
        <w:rPr>
          <w:color w:val="auto"/>
        </w:rPr>
        <w:t xml:space="preserve"> soil application</w:t>
      </w:r>
      <w:r w:rsidR="002C4936" w:rsidRPr="00D31228">
        <w:rPr>
          <w:color w:val="auto"/>
        </w:rPr>
        <w:t xml:space="preserve"> and </w:t>
      </w:r>
      <w:r w:rsidRPr="00D31228">
        <w:rPr>
          <w:color w:val="auto"/>
        </w:rPr>
        <w:t>seed treatment.</w:t>
      </w:r>
      <w:r w:rsidR="00E91A97" w:rsidRPr="00D31228">
        <w:rPr>
          <w:color w:val="auto"/>
        </w:rPr>
        <w:t xml:space="preserve"> </w:t>
      </w:r>
      <w:r w:rsidR="00F35B8D" w:rsidRPr="00F35B8D">
        <w:rPr>
          <w:b/>
          <w:bCs/>
          <w:color w:val="auto"/>
          <w:shd w:val="clear" w:color="auto" w:fill="E6E6E6"/>
        </w:rPr>
        <w:fldChar w:fldCharType="begin"/>
      </w:r>
      <w:r w:rsidR="00F35B8D" w:rsidRPr="00F35B8D">
        <w:rPr>
          <w:b/>
          <w:bCs/>
          <w:color w:val="auto"/>
          <w:shd w:val="clear" w:color="auto" w:fill="E6E6E6"/>
        </w:rPr>
        <w:instrText xml:space="preserve"> REF _Ref80120525 \h  \* MERGEFORMAT </w:instrText>
      </w:r>
      <w:r w:rsidR="00F35B8D" w:rsidRPr="00F35B8D">
        <w:rPr>
          <w:b/>
          <w:bCs/>
          <w:color w:val="auto"/>
          <w:shd w:val="clear" w:color="auto" w:fill="E6E6E6"/>
        </w:rPr>
      </w:r>
      <w:r w:rsidR="00F35B8D" w:rsidRPr="00F35B8D">
        <w:rPr>
          <w:b/>
          <w:bCs/>
          <w:color w:val="auto"/>
          <w:shd w:val="clear" w:color="auto" w:fill="E6E6E6"/>
        </w:rPr>
        <w:fldChar w:fldCharType="separate"/>
      </w:r>
      <w:r w:rsidR="007C6FB4" w:rsidRPr="007C6FB4">
        <w:rPr>
          <w:b/>
          <w:bCs/>
          <w:color w:val="auto"/>
        </w:rPr>
        <w:t>Table 1-1</w:t>
      </w:r>
      <w:r w:rsidR="00F35B8D" w:rsidRPr="00F35B8D">
        <w:rPr>
          <w:b/>
          <w:bCs/>
          <w:color w:val="auto"/>
          <w:shd w:val="clear" w:color="auto" w:fill="E6E6E6"/>
        </w:rPr>
        <w:fldChar w:fldCharType="end"/>
      </w:r>
      <w:r w:rsidR="002C4936" w:rsidRPr="00F35B8D">
        <w:rPr>
          <w:b/>
          <w:bCs/>
          <w:color w:val="auto"/>
        </w:rPr>
        <w:t xml:space="preserve"> </w:t>
      </w:r>
      <w:r w:rsidR="00E91A97" w:rsidRPr="00D31228">
        <w:rPr>
          <w:color w:val="auto"/>
        </w:rPr>
        <w:t>contains a summary of registered agricultural use patterns of imidacloprid showing registered combinations for each use.</w:t>
      </w:r>
    </w:p>
    <w:p w14:paraId="32D5D5C7" w14:textId="77777777" w:rsidR="00E91A97" w:rsidRPr="00D31228" w:rsidRDefault="00E91A97" w:rsidP="009F5D71">
      <w:pPr>
        <w:pStyle w:val="BodyText"/>
        <w:spacing w:after="0"/>
        <w:ind w:left="100" w:right="186"/>
        <w:rPr>
          <w:color w:val="auto"/>
        </w:rPr>
      </w:pPr>
    </w:p>
    <w:p w14:paraId="6454346D" w14:textId="05B42E0B" w:rsidR="00E91A97" w:rsidRPr="00D31228" w:rsidRDefault="00E91A97" w:rsidP="006D01AD">
      <w:pPr>
        <w:pStyle w:val="Caption"/>
        <w:keepNext/>
        <w:keepLines/>
        <w:rPr>
          <w:b w:val="0"/>
          <w:bCs w:val="0"/>
          <w:color w:val="auto"/>
        </w:rPr>
      </w:pPr>
      <w:bookmarkStart w:id="16" w:name="_bookmark27"/>
      <w:bookmarkStart w:id="17" w:name="_Ref66092847"/>
      <w:bookmarkStart w:id="18" w:name="_Ref80120525"/>
      <w:bookmarkStart w:id="19" w:name="_Ref66092647"/>
      <w:bookmarkStart w:id="20" w:name="_Toc80121144"/>
      <w:bookmarkEnd w:id="16"/>
      <w:r w:rsidRPr="00D31228">
        <w:rPr>
          <w:color w:val="auto"/>
        </w:rPr>
        <w:lastRenderedPageBreak/>
        <w:t xml:space="preserve">Table </w:t>
      </w:r>
      <w:r w:rsidR="00B477DD" w:rsidRPr="006D01AD">
        <w:rPr>
          <w:color w:val="auto"/>
        </w:rPr>
        <w:t>1-</w:t>
      </w:r>
      <w:bookmarkEnd w:id="17"/>
      <w:r w:rsidR="006D01AD" w:rsidRPr="006D01AD">
        <w:rPr>
          <w:color w:val="auto"/>
        </w:rPr>
        <w:fldChar w:fldCharType="begin"/>
      </w:r>
      <w:r w:rsidR="006D01AD" w:rsidRPr="006D01AD">
        <w:rPr>
          <w:color w:val="auto"/>
        </w:rPr>
        <w:instrText xml:space="preserve"> SEQ Table \* ARABIC </w:instrText>
      </w:r>
      <w:r w:rsidR="006D01AD" w:rsidRPr="006D01AD">
        <w:rPr>
          <w:color w:val="auto"/>
        </w:rPr>
        <w:fldChar w:fldCharType="separate"/>
      </w:r>
      <w:r w:rsidR="007C6FB4">
        <w:rPr>
          <w:noProof/>
          <w:color w:val="auto"/>
        </w:rPr>
        <w:t>1</w:t>
      </w:r>
      <w:r w:rsidR="006D01AD" w:rsidRPr="006D01AD">
        <w:rPr>
          <w:color w:val="auto"/>
        </w:rPr>
        <w:fldChar w:fldCharType="end"/>
      </w:r>
      <w:bookmarkEnd w:id="18"/>
      <w:r w:rsidRPr="006D01AD">
        <w:rPr>
          <w:color w:val="auto"/>
        </w:rPr>
        <w:t>. Sum</w:t>
      </w:r>
      <w:r w:rsidRPr="00D31228">
        <w:rPr>
          <w:color w:val="auto"/>
        </w:rPr>
        <w:t>mary of Registered Agricultural Use Patterns for Imidacloprid</w:t>
      </w:r>
      <w:bookmarkEnd w:id="19"/>
      <w:bookmarkEnd w:id="2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49"/>
        <w:gridCol w:w="2149"/>
        <w:gridCol w:w="2319"/>
        <w:gridCol w:w="2233"/>
      </w:tblGrid>
      <w:tr w:rsidR="004A7D73" w:rsidRPr="00D31228" w14:paraId="40F4AF4C" w14:textId="77777777" w:rsidTr="009D0B88">
        <w:trPr>
          <w:trHeight w:hRule="exact" w:val="274"/>
          <w:tblHeader/>
          <w:jc w:val="center"/>
        </w:trPr>
        <w:tc>
          <w:tcPr>
            <w:tcW w:w="1417" w:type="pct"/>
            <w:shd w:val="clear" w:color="auto" w:fill="D9D9D9"/>
            <w:vAlign w:val="bottom"/>
          </w:tcPr>
          <w:p w14:paraId="0D6C1AC8" w14:textId="77777777" w:rsidR="00E91A97" w:rsidRPr="003E6547" w:rsidRDefault="00E91A97" w:rsidP="00BC2CC7">
            <w:pPr>
              <w:pStyle w:val="TableParagraph"/>
              <w:keepNext/>
              <w:keepLines/>
              <w:widowControl/>
              <w:spacing w:line="243" w:lineRule="exact"/>
              <w:jc w:val="center"/>
              <w:rPr>
                <w:b/>
                <w:sz w:val="20"/>
              </w:rPr>
            </w:pPr>
            <w:r w:rsidRPr="003E6547">
              <w:rPr>
                <w:b/>
                <w:sz w:val="20"/>
              </w:rPr>
              <w:t>Crop or Crop Group</w:t>
            </w:r>
          </w:p>
        </w:tc>
        <w:tc>
          <w:tcPr>
            <w:tcW w:w="1149" w:type="pct"/>
            <w:shd w:val="clear" w:color="auto" w:fill="D9D9D9"/>
            <w:vAlign w:val="bottom"/>
          </w:tcPr>
          <w:p w14:paraId="074C34B0" w14:textId="77777777" w:rsidR="00E91A97" w:rsidRPr="003E6547" w:rsidRDefault="00E91A97" w:rsidP="00BC2CC7">
            <w:pPr>
              <w:pStyle w:val="TableParagraph"/>
              <w:keepNext/>
              <w:keepLines/>
              <w:widowControl/>
              <w:spacing w:line="243" w:lineRule="exact"/>
              <w:jc w:val="center"/>
              <w:rPr>
                <w:b/>
                <w:sz w:val="20"/>
              </w:rPr>
            </w:pPr>
            <w:r w:rsidRPr="003E6547">
              <w:rPr>
                <w:b/>
                <w:sz w:val="20"/>
              </w:rPr>
              <w:t>Foliar</w:t>
            </w:r>
            <w:r w:rsidRPr="003E6547">
              <w:rPr>
                <w:b/>
                <w:sz w:val="20"/>
                <w:vertAlign w:val="superscript"/>
              </w:rPr>
              <w:t>1</w:t>
            </w:r>
          </w:p>
        </w:tc>
        <w:tc>
          <w:tcPr>
            <w:tcW w:w="1240" w:type="pct"/>
            <w:shd w:val="clear" w:color="auto" w:fill="D9D9D9"/>
            <w:vAlign w:val="bottom"/>
          </w:tcPr>
          <w:p w14:paraId="118E0919" w14:textId="77777777" w:rsidR="00E91A97" w:rsidRPr="003E6547" w:rsidRDefault="00E91A97" w:rsidP="00BC2CC7">
            <w:pPr>
              <w:pStyle w:val="TableParagraph"/>
              <w:keepNext/>
              <w:keepLines/>
              <w:widowControl/>
              <w:spacing w:line="243" w:lineRule="exact"/>
              <w:jc w:val="center"/>
              <w:rPr>
                <w:b/>
                <w:sz w:val="20"/>
              </w:rPr>
            </w:pPr>
            <w:r w:rsidRPr="003E6547">
              <w:rPr>
                <w:b/>
                <w:sz w:val="20"/>
              </w:rPr>
              <w:t>Soil</w:t>
            </w:r>
            <w:r w:rsidRPr="003E6547">
              <w:rPr>
                <w:b/>
                <w:sz w:val="20"/>
                <w:vertAlign w:val="superscript"/>
              </w:rPr>
              <w:t>1</w:t>
            </w:r>
          </w:p>
        </w:tc>
        <w:tc>
          <w:tcPr>
            <w:tcW w:w="1194" w:type="pct"/>
            <w:shd w:val="clear" w:color="auto" w:fill="D9D9D9"/>
            <w:vAlign w:val="bottom"/>
          </w:tcPr>
          <w:p w14:paraId="10FFD0A9" w14:textId="77777777" w:rsidR="00E91A97" w:rsidRPr="003E6547" w:rsidRDefault="00E91A97" w:rsidP="00BC2CC7">
            <w:pPr>
              <w:pStyle w:val="TableParagraph"/>
              <w:keepNext/>
              <w:keepLines/>
              <w:widowControl/>
              <w:spacing w:line="243" w:lineRule="exact"/>
              <w:jc w:val="center"/>
              <w:rPr>
                <w:b/>
                <w:sz w:val="20"/>
              </w:rPr>
            </w:pPr>
            <w:r w:rsidRPr="003E6547">
              <w:rPr>
                <w:b/>
                <w:sz w:val="20"/>
              </w:rPr>
              <w:t>Seed Treatment</w:t>
            </w:r>
            <w:r w:rsidRPr="003E6547">
              <w:rPr>
                <w:b/>
                <w:sz w:val="20"/>
                <w:vertAlign w:val="superscript"/>
              </w:rPr>
              <w:t>1</w:t>
            </w:r>
          </w:p>
        </w:tc>
      </w:tr>
      <w:tr w:rsidR="00B95E3D" w:rsidRPr="00D31228" w14:paraId="7B6298F3" w14:textId="77777777" w:rsidTr="003E6547">
        <w:trPr>
          <w:trHeight w:hRule="exact" w:val="325"/>
          <w:jc w:val="center"/>
        </w:trPr>
        <w:tc>
          <w:tcPr>
            <w:tcW w:w="1417" w:type="pct"/>
            <w:vAlign w:val="center"/>
          </w:tcPr>
          <w:p w14:paraId="05F5D087" w14:textId="77777777" w:rsidR="00B95E3D" w:rsidRPr="002565C5" w:rsidRDefault="00B95E3D" w:rsidP="00BC2CC7">
            <w:pPr>
              <w:pStyle w:val="TableParagraph"/>
              <w:keepNext/>
              <w:keepLines/>
              <w:widowControl/>
              <w:spacing w:line="243" w:lineRule="exact"/>
              <w:rPr>
                <w:rFonts w:asciiTheme="minorHAnsi" w:hAnsiTheme="minorHAnsi" w:cstheme="minorHAnsi"/>
                <w:sz w:val="20"/>
                <w:szCs w:val="20"/>
              </w:rPr>
            </w:pPr>
            <w:r w:rsidRPr="002565C5">
              <w:rPr>
                <w:rFonts w:asciiTheme="minorHAnsi" w:hAnsiTheme="minorHAnsi" w:cstheme="minorHAnsi"/>
                <w:sz w:val="20"/>
                <w:szCs w:val="20"/>
              </w:rPr>
              <w:t>Artichoke, Globe</w:t>
            </w:r>
          </w:p>
        </w:tc>
        <w:tc>
          <w:tcPr>
            <w:tcW w:w="1149" w:type="pct"/>
            <w:vAlign w:val="center"/>
          </w:tcPr>
          <w:p w14:paraId="424D7D52" w14:textId="28B3E567" w:rsidR="00B95E3D" w:rsidRPr="002565C5" w:rsidRDefault="003E6547" w:rsidP="00BC2CC7">
            <w:pPr>
              <w:pStyle w:val="TableParagraph"/>
              <w:keepNext/>
              <w:keepLines/>
              <w:widowControl/>
              <w:spacing w:line="243" w:lineRule="exact"/>
              <w:jc w:val="center"/>
              <w:rPr>
                <w:rFonts w:asciiTheme="minorHAnsi" w:hAnsiTheme="minorHAnsi" w:cstheme="minorHAnsi"/>
                <w:b/>
                <w:bCs/>
                <w:sz w:val="20"/>
                <w:szCs w:val="20"/>
              </w:rPr>
            </w:pPr>
            <w:r>
              <w:rPr>
                <w:rFonts w:asciiTheme="minorHAnsi" w:hAnsiTheme="minorHAnsi" w:cstheme="minorHAnsi"/>
                <w:b/>
                <w:bCs/>
                <w:w w:val="99"/>
                <w:sz w:val="20"/>
                <w:szCs w:val="20"/>
              </w:rPr>
              <w:t>X</w:t>
            </w:r>
          </w:p>
        </w:tc>
        <w:tc>
          <w:tcPr>
            <w:tcW w:w="1240" w:type="pct"/>
            <w:vAlign w:val="center"/>
          </w:tcPr>
          <w:p w14:paraId="31CD880F" w14:textId="037375E5" w:rsidR="00B95E3D" w:rsidRPr="002565C5" w:rsidRDefault="003E6547" w:rsidP="00BC2CC7">
            <w:pPr>
              <w:pStyle w:val="TableParagraph"/>
              <w:keepNext/>
              <w:keepLines/>
              <w:widowControl/>
              <w:spacing w:line="243" w:lineRule="exact"/>
              <w:jc w:val="center"/>
              <w:rPr>
                <w:rFonts w:asciiTheme="minorHAnsi" w:hAnsiTheme="minorHAnsi" w:cstheme="minorHAnsi"/>
                <w:sz w:val="20"/>
                <w:szCs w:val="20"/>
              </w:rPr>
            </w:pPr>
            <w:r>
              <w:rPr>
                <w:rFonts w:asciiTheme="minorHAnsi" w:hAnsiTheme="minorHAnsi" w:cstheme="minorHAnsi"/>
                <w:b/>
                <w:bCs/>
                <w:w w:val="99"/>
                <w:sz w:val="20"/>
                <w:szCs w:val="20"/>
              </w:rPr>
              <w:t>X</w:t>
            </w:r>
          </w:p>
        </w:tc>
        <w:tc>
          <w:tcPr>
            <w:tcW w:w="1194" w:type="pct"/>
            <w:vAlign w:val="center"/>
          </w:tcPr>
          <w:p w14:paraId="34E9760D" w14:textId="10EDF572" w:rsidR="00B95E3D" w:rsidRPr="002565C5" w:rsidRDefault="003E6547" w:rsidP="00BC2CC7">
            <w:pPr>
              <w:keepNext/>
              <w:keepLines/>
              <w:jc w:val="center"/>
              <w:rPr>
                <w:rFonts w:asciiTheme="minorHAnsi" w:hAnsiTheme="minorHAnsi" w:cstheme="minorHAnsi"/>
                <w:color w:val="auto"/>
                <w:sz w:val="20"/>
                <w:szCs w:val="20"/>
              </w:rPr>
            </w:pPr>
            <w:r>
              <w:rPr>
                <w:rFonts w:asciiTheme="minorHAnsi" w:hAnsiTheme="minorHAnsi" w:cstheme="minorHAnsi"/>
                <w:color w:val="auto"/>
                <w:sz w:val="20"/>
                <w:szCs w:val="20"/>
              </w:rPr>
              <w:t>Not Registered</w:t>
            </w:r>
          </w:p>
        </w:tc>
      </w:tr>
      <w:tr w:rsidR="00D31228" w:rsidRPr="00D31228" w14:paraId="18428182" w14:textId="77777777" w:rsidTr="003E6547">
        <w:trPr>
          <w:trHeight w:hRule="exact" w:val="748"/>
          <w:jc w:val="center"/>
        </w:trPr>
        <w:tc>
          <w:tcPr>
            <w:tcW w:w="1417" w:type="pct"/>
            <w:vAlign w:val="center"/>
          </w:tcPr>
          <w:p w14:paraId="1092A661" w14:textId="77777777" w:rsidR="00E91A97" w:rsidRPr="002565C5" w:rsidRDefault="00E91A97" w:rsidP="009F5D71">
            <w:pPr>
              <w:pStyle w:val="TableParagraph"/>
              <w:widowControl/>
              <w:spacing w:line="243" w:lineRule="exact"/>
              <w:rPr>
                <w:rFonts w:asciiTheme="minorHAnsi" w:hAnsiTheme="minorHAnsi" w:cstheme="minorHAnsi"/>
                <w:sz w:val="20"/>
                <w:szCs w:val="20"/>
              </w:rPr>
            </w:pPr>
            <w:r w:rsidRPr="002565C5">
              <w:rPr>
                <w:rFonts w:asciiTheme="minorHAnsi" w:hAnsiTheme="minorHAnsi" w:cstheme="minorHAnsi"/>
                <w:sz w:val="20"/>
                <w:szCs w:val="20"/>
              </w:rPr>
              <w:t>Berries and Small Fruits</w:t>
            </w:r>
          </w:p>
        </w:tc>
        <w:tc>
          <w:tcPr>
            <w:tcW w:w="1149" w:type="pct"/>
            <w:vAlign w:val="center"/>
          </w:tcPr>
          <w:p w14:paraId="650593B4" w14:textId="77777777" w:rsidR="00E91A97" w:rsidRPr="002565C5" w:rsidRDefault="00E91A97" w:rsidP="009F5D71">
            <w:pPr>
              <w:pStyle w:val="TableParagraph"/>
              <w:widowControl/>
              <w:spacing w:line="244" w:lineRule="exact"/>
              <w:jc w:val="center"/>
              <w:rPr>
                <w:rFonts w:asciiTheme="minorHAnsi" w:hAnsiTheme="minorHAnsi" w:cstheme="minorHAnsi"/>
                <w:sz w:val="20"/>
                <w:szCs w:val="20"/>
              </w:rPr>
            </w:pPr>
            <w:r w:rsidRPr="002565C5">
              <w:rPr>
                <w:rFonts w:asciiTheme="minorHAnsi" w:hAnsiTheme="minorHAnsi" w:cstheme="minorHAnsi"/>
                <w:sz w:val="20"/>
                <w:szCs w:val="20"/>
              </w:rPr>
              <w:t>Caneberry, bushberry, grape and strawberry</w:t>
            </w:r>
          </w:p>
        </w:tc>
        <w:tc>
          <w:tcPr>
            <w:tcW w:w="1240" w:type="pct"/>
            <w:vAlign w:val="center"/>
          </w:tcPr>
          <w:p w14:paraId="220050A3" w14:textId="77777777" w:rsidR="00E91A97" w:rsidRPr="002565C5" w:rsidRDefault="00E91A97" w:rsidP="009F5D71">
            <w:pPr>
              <w:pStyle w:val="TableParagraph"/>
              <w:widowControl/>
              <w:spacing w:line="244" w:lineRule="exact"/>
              <w:jc w:val="center"/>
              <w:rPr>
                <w:rFonts w:asciiTheme="minorHAnsi" w:hAnsiTheme="minorHAnsi" w:cstheme="minorHAnsi"/>
                <w:sz w:val="20"/>
                <w:szCs w:val="20"/>
              </w:rPr>
            </w:pPr>
            <w:r w:rsidRPr="002565C5">
              <w:rPr>
                <w:rFonts w:asciiTheme="minorHAnsi" w:hAnsiTheme="minorHAnsi" w:cstheme="minorHAnsi"/>
                <w:sz w:val="20"/>
                <w:szCs w:val="20"/>
              </w:rPr>
              <w:t>Caneberry, bushberry, grape, cranberry, and strawberry</w:t>
            </w:r>
          </w:p>
        </w:tc>
        <w:tc>
          <w:tcPr>
            <w:tcW w:w="1194" w:type="pct"/>
            <w:vAlign w:val="center"/>
          </w:tcPr>
          <w:p w14:paraId="01223471" w14:textId="004ACE22" w:rsidR="00E91A97" w:rsidRPr="002565C5" w:rsidRDefault="003E6547" w:rsidP="009F5D71">
            <w:pPr>
              <w:spacing w:after="0"/>
              <w:jc w:val="center"/>
              <w:rPr>
                <w:rFonts w:asciiTheme="minorHAnsi" w:hAnsiTheme="minorHAnsi" w:cstheme="minorHAnsi"/>
                <w:color w:val="auto"/>
                <w:sz w:val="20"/>
                <w:szCs w:val="20"/>
              </w:rPr>
            </w:pPr>
            <w:r>
              <w:rPr>
                <w:rFonts w:asciiTheme="minorHAnsi" w:hAnsiTheme="minorHAnsi" w:cstheme="minorHAnsi"/>
                <w:color w:val="auto"/>
                <w:sz w:val="20"/>
                <w:szCs w:val="20"/>
              </w:rPr>
              <w:t>Not Registered</w:t>
            </w:r>
          </w:p>
        </w:tc>
      </w:tr>
      <w:tr w:rsidR="003E6547" w:rsidRPr="00D31228" w14:paraId="74DB036E" w14:textId="77777777" w:rsidTr="003E6547">
        <w:trPr>
          <w:trHeight w:hRule="exact" w:val="478"/>
          <w:jc w:val="center"/>
        </w:trPr>
        <w:tc>
          <w:tcPr>
            <w:tcW w:w="1417" w:type="pct"/>
            <w:vAlign w:val="center"/>
          </w:tcPr>
          <w:p w14:paraId="4A6F2361" w14:textId="77777777" w:rsidR="003E6547" w:rsidRPr="002565C5" w:rsidRDefault="003E6547" w:rsidP="009F5D71">
            <w:pPr>
              <w:pStyle w:val="TableParagraph"/>
              <w:widowControl/>
              <w:spacing w:line="243" w:lineRule="exact"/>
              <w:rPr>
                <w:rFonts w:asciiTheme="minorHAnsi" w:hAnsiTheme="minorHAnsi" w:cstheme="minorHAnsi"/>
                <w:sz w:val="20"/>
                <w:szCs w:val="20"/>
              </w:rPr>
            </w:pPr>
            <w:r w:rsidRPr="002565C5">
              <w:rPr>
                <w:rFonts w:asciiTheme="minorHAnsi" w:hAnsiTheme="minorHAnsi" w:cstheme="minorHAnsi"/>
                <w:sz w:val="20"/>
                <w:szCs w:val="20"/>
              </w:rPr>
              <w:t>Brassica (Cole) Leafy Vegetables</w:t>
            </w:r>
          </w:p>
        </w:tc>
        <w:tc>
          <w:tcPr>
            <w:tcW w:w="1149" w:type="pct"/>
            <w:vAlign w:val="center"/>
          </w:tcPr>
          <w:p w14:paraId="24AD2CB3" w14:textId="1ED01618" w:rsidR="003E6547" w:rsidRPr="002565C5" w:rsidRDefault="003E6547" w:rsidP="009F5D71">
            <w:pPr>
              <w:pStyle w:val="TableParagraph"/>
              <w:widowControl/>
              <w:spacing w:line="243" w:lineRule="exact"/>
              <w:jc w:val="center"/>
              <w:rPr>
                <w:rFonts w:asciiTheme="minorHAnsi" w:hAnsiTheme="minorHAnsi" w:cstheme="minorHAnsi"/>
                <w:sz w:val="20"/>
                <w:szCs w:val="20"/>
              </w:rPr>
            </w:pPr>
            <w:r>
              <w:rPr>
                <w:rFonts w:asciiTheme="minorHAnsi" w:hAnsiTheme="minorHAnsi" w:cstheme="minorHAnsi"/>
                <w:b/>
                <w:bCs/>
                <w:w w:val="99"/>
                <w:sz w:val="20"/>
                <w:szCs w:val="20"/>
              </w:rPr>
              <w:t>X</w:t>
            </w:r>
          </w:p>
        </w:tc>
        <w:tc>
          <w:tcPr>
            <w:tcW w:w="1240" w:type="pct"/>
            <w:vAlign w:val="center"/>
          </w:tcPr>
          <w:p w14:paraId="229892C4" w14:textId="1AFD82C4" w:rsidR="003E6547" w:rsidRPr="002565C5" w:rsidRDefault="003E6547" w:rsidP="009F5D71">
            <w:pPr>
              <w:pStyle w:val="TableParagraph"/>
              <w:widowControl/>
              <w:spacing w:line="243" w:lineRule="exact"/>
              <w:jc w:val="center"/>
              <w:rPr>
                <w:rFonts w:asciiTheme="minorHAnsi" w:hAnsiTheme="minorHAnsi" w:cstheme="minorHAnsi"/>
                <w:sz w:val="20"/>
                <w:szCs w:val="20"/>
              </w:rPr>
            </w:pPr>
            <w:r>
              <w:rPr>
                <w:rFonts w:asciiTheme="minorHAnsi" w:hAnsiTheme="minorHAnsi" w:cstheme="minorHAnsi"/>
                <w:b/>
                <w:bCs/>
                <w:w w:val="99"/>
                <w:sz w:val="20"/>
                <w:szCs w:val="20"/>
              </w:rPr>
              <w:t>X</w:t>
            </w:r>
          </w:p>
        </w:tc>
        <w:tc>
          <w:tcPr>
            <w:tcW w:w="1194" w:type="pct"/>
            <w:vAlign w:val="center"/>
          </w:tcPr>
          <w:p w14:paraId="52432478" w14:textId="77777777" w:rsidR="003E6547" w:rsidRPr="002565C5" w:rsidRDefault="003E6547" w:rsidP="009F5D71">
            <w:pPr>
              <w:pStyle w:val="TableParagraph"/>
              <w:widowControl/>
              <w:spacing w:line="244" w:lineRule="exact"/>
              <w:jc w:val="center"/>
              <w:rPr>
                <w:rFonts w:asciiTheme="minorHAnsi" w:hAnsiTheme="minorHAnsi" w:cstheme="minorHAnsi"/>
                <w:sz w:val="20"/>
                <w:szCs w:val="20"/>
              </w:rPr>
            </w:pPr>
            <w:r w:rsidRPr="002565C5">
              <w:rPr>
                <w:rFonts w:asciiTheme="minorHAnsi" w:hAnsiTheme="minorHAnsi" w:cstheme="minorHAnsi"/>
                <w:sz w:val="20"/>
                <w:szCs w:val="20"/>
              </w:rPr>
              <w:t>Broccoli and mustard</w:t>
            </w:r>
          </w:p>
        </w:tc>
      </w:tr>
      <w:tr w:rsidR="003E6547" w:rsidRPr="00D31228" w14:paraId="4DCEAC82" w14:textId="77777777" w:rsidTr="003E6547">
        <w:trPr>
          <w:trHeight w:hRule="exact" w:val="307"/>
          <w:jc w:val="center"/>
        </w:trPr>
        <w:tc>
          <w:tcPr>
            <w:tcW w:w="1417" w:type="pct"/>
            <w:vAlign w:val="center"/>
          </w:tcPr>
          <w:p w14:paraId="111F8C20" w14:textId="77777777" w:rsidR="003E6547" w:rsidRPr="002565C5" w:rsidRDefault="003E6547" w:rsidP="009F5D71">
            <w:pPr>
              <w:pStyle w:val="TableParagraph"/>
              <w:widowControl/>
              <w:spacing w:line="244" w:lineRule="exact"/>
              <w:rPr>
                <w:rFonts w:asciiTheme="minorHAnsi" w:hAnsiTheme="minorHAnsi" w:cstheme="minorHAnsi"/>
                <w:sz w:val="20"/>
                <w:szCs w:val="20"/>
              </w:rPr>
            </w:pPr>
            <w:r w:rsidRPr="002565C5">
              <w:rPr>
                <w:rFonts w:asciiTheme="minorHAnsi" w:hAnsiTheme="minorHAnsi" w:cstheme="minorHAnsi"/>
                <w:sz w:val="20"/>
                <w:szCs w:val="20"/>
              </w:rPr>
              <w:t>Bulb Vegetables</w:t>
            </w:r>
          </w:p>
        </w:tc>
        <w:tc>
          <w:tcPr>
            <w:tcW w:w="1149" w:type="pct"/>
          </w:tcPr>
          <w:p w14:paraId="024F502A" w14:textId="2F3EFA1C" w:rsidR="003E6547" w:rsidRPr="002565C5" w:rsidRDefault="003E6547" w:rsidP="009F5D71">
            <w:pPr>
              <w:pStyle w:val="TableParagraph"/>
              <w:widowControl/>
              <w:ind w:left="0" w:right="-51"/>
              <w:jc w:val="center"/>
              <w:rPr>
                <w:rFonts w:asciiTheme="minorHAnsi" w:hAnsiTheme="minorHAnsi" w:cstheme="minorHAnsi"/>
                <w:sz w:val="20"/>
                <w:szCs w:val="20"/>
              </w:rPr>
            </w:pPr>
            <w:r w:rsidRPr="00B82500">
              <w:rPr>
                <w:rFonts w:asciiTheme="minorHAnsi" w:hAnsiTheme="minorHAnsi" w:cstheme="minorHAnsi"/>
                <w:sz w:val="20"/>
                <w:szCs w:val="20"/>
              </w:rPr>
              <w:t>Not Registered</w:t>
            </w:r>
          </w:p>
        </w:tc>
        <w:tc>
          <w:tcPr>
            <w:tcW w:w="1240" w:type="pct"/>
            <w:vAlign w:val="center"/>
          </w:tcPr>
          <w:p w14:paraId="37C31900" w14:textId="3D8D37B3" w:rsidR="003E6547" w:rsidRPr="002565C5" w:rsidRDefault="003E6547" w:rsidP="009F5D71">
            <w:pPr>
              <w:pStyle w:val="TableParagraph"/>
              <w:widowControl/>
              <w:spacing w:line="244" w:lineRule="exact"/>
              <w:jc w:val="center"/>
              <w:rPr>
                <w:rFonts w:asciiTheme="minorHAnsi" w:hAnsiTheme="minorHAnsi" w:cstheme="minorHAnsi"/>
                <w:sz w:val="20"/>
                <w:szCs w:val="20"/>
              </w:rPr>
            </w:pPr>
            <w:r>
              <w:rPr>
                <w:rFonts w:asciiTheme="minorHAnsi" w:hAnsiTheme="minorHAnsi" w:cstheme="minorHAnsi"/>
                <w:b/>
                <w:bCs/>
                <w:w w:val="99"/>
                <w:sz w:val="20"/>
                <w:szCs w:val="20"/>
              </w:rPr>
              <w:t>X</w:t>
            </w:r>
          </w:p>
        </w:tc>
        <w:tc>
          <w:tcPr>
            <w:tcW w:w="1194" w:type="pct"/>
            <w:vAlign w:val="center"/>
          </w:tcPr>
          <w:p w14:paraId="52A2E241" w14:textId="77777777" w:rsidR="003E6547" w:rsidRPr="002565C5" w:rsidRDefault="003E6547" w:rsidP="009F5D71">
            <w:pPr>
              <w:pStyle w:val="TableParagraph"/>
              <w:widowControl/>
              <w:spacing w:line="244" w:lineRule="exact"/>
              <w:jc w:val="center"/>
              <w:rPr>
                <w:rFonts w:asciiTheme="minorHAnsi" w:hAnsiTheme="minorHAnsi" w:cstheme="minorHAnsi"/>
                <w:sz w:val="20"/>
                <w:szCs w:val="20"/>
              </w:rPr>
            </w:pPr>
            <w:r w:rsidRPr="002565C5">
              <w:rPr>
                <w:rFonts w:asciiTheme="minorHAnsi" w:hAnsiTheme="minorHAnsi" w:cstheme="minorHAnsi"/>
                <w:sz w:val="20"/>
                <w:szCs w:val="20"/>
              </w:rPr>
              <w:t>Onion, leek, and scallion</w:t>
            </w:r>
          </w:p>
        </w:tc>
      </w:tr>
      <w:tr w:rsidR="003E6547" w:rsidRPr="00D31228" w14:paraId="16822D93" w14:textId="77777777" w:rsidTr="003E6547">
        <w:trPr>
          <w:trHeight w:hRule="exact" w:val="325"/>
          <w:jc w:val="center"/>
        </w:trPr>
        <w:tc>
          <w:tcPr>
            <w:tcW w:w="1417" w:type="pct"/>
            <w:vAlign w:val="center"/>
          </w:tcPr>
          <w:p w14:paraId="0CBCC95A" w14:textId="77777777" w:rsidR="003E6547" w:rsidRPr="002565C5" w:rsidRDefault="003E6547" w:rsidP="009F5D71">
            <w:pPr>
              <w:pStyle w:val="TableParagraph"/>
              <w:widowControl/>
              <w:spacing w:line="243" w:lineRule="exact"/>
              <w:rPr>
                <w:rFonts w:asciiTheme="minorHAnsi" w:hAnsiTheme="minorHAnsi" w:cstheme="minorHAnsi"/>
                <w:sz w:val="20"/>
                <w:szCs w:val="20"/>
              </w:rPr>
            </w:pPr>
            <w:r w:rsidRPr="002565C5">
              <w:rPr>
                <w:rFonts w:asciiTheme="minorHAnsi" w:hAnsiTheme="minorHAnsi" w:cstheme="minorHAnsi"/>
                <w:sz w:val="20"/>
                <w:szCs w:val="20"/>
              </w:rPr>
              <w:t>Cereal Grains</w:t>
            </w:r>
          </w:p>
        </w:tc>
        <w:tc>
          <w:tcPr>
            <w:tcW w:w="1149" w:type="pct"/>
          </w:tcPr>
          <w:p w14:paraId="4185382B" w14:textId="12928737" w:rsidR="003E6547" w:rsidRPr="002565C5" w:rsidRDefault="003E6547" w:rsidP="009F5D71">
            <w:pPr>
              <w:pStyle w:val="TableParagraph"/>
              <w:widowControl/>
              <w:ind w:left="0" w:right="-51"/>
              <w:jc w:val="center"/>
              <w:rPr>
                <w:rFonts w:asciiTheme="minorHAnsi" w:hAnsiTheme="minorHAnsi" w:cstheme="minorHAnsi"/>
                <w:sz w:val="20"/>
                <w:szCs w:val="20"/>
              </w:rPr>
            </w:pPr>
            <w:r w:rsidRPr="00B82500">
              <w:rPr>
                <w:rFonts w:asciiTheme="minorHAnsi" w:hAnsiTheme="minorHAnsi" w:cstheme="minorHAnsi"/>
                <w:sz w:val="20"/>
                <w:szCs w:val="20"/>
              </w:rPr>
              <w:t>Not Registered</w:t>
            </w:r>
          </w:p>
        </w:tc>
        <w:tc>
          <w:tcPr>
            <w:tcW w:w="1240" w:type="pct"/>
            <w:vAlign w:val="center"/>
          </w:tcPr>
          <w:p w14:paraId="2EC8A57C" w14:textId="338B276F" w:rsidR="003E6547" w:rsidRPr="002565C5" w:rsidRDefault="003E6547" w:rsidP="009F5D71">
            <w:pPr>
              <w:pStyle w:val="TableParagraph"/>
              <w:widowControl/>
              <w:ind w:left="0" w:right="-51"/>
              <w:jc w:val="center"/>
              <w:rPr>
                <w:rFonts w:asciiTheme="minorHAnsi" w:hAnsiTheme="minorHAnsi" w:cstheme="minorHAnsi"/>
                <w:sz w:val="20"/>
                <w:szCs w:val="20"/>
              </w:rPr>
            </w:pPr>
            <w:r>
              <w:rPr>
                <w:rFonts w:asciiTheme="minorHAnsi" w:hAnsiTheme="minorHAnsi" w:cstheme="minorHAnsi"/>
                <w:sz w:val="20"/>
                <w:szCs w:val="20"/>
              </w:rPr>
              <w:t>Not Registered</w:t>
            </w:r>
          </w:p>
        </w:tc>
        <w:tc>
          <w:tcPr>
            <w:tcW w:w="1194" w:type="pct"/>
            <w:vAlign w:val="center"/>
          </w:tcPr>
          <w:p w14:paraId="6281540C" w14:textId="7EB21B65" w:rsidR="003E6547" w:rsidRPr="002565C5" w:rsidRDefault="003E6547" w:rsidP="009F5D71">
            <w:pPr>
              <w:pStyle w:val="TableParagraph"/>
              <w:widowControl/>
              <w:spacing w:line="244" w:lineRule="exact"/>
              <w:jc w:val="center"/>
              <w:rPr>
                <w:rFonts w:asciiTheme="minorHAnsi" w:hAnsiTheme="minorHAnsi" w:cstheme="minorHAnsi"/>
                <w:sz w:val="20"/>
                <w:szCs w:val="20"/>
              </w:rPr>
            </w:pPr>
            <w:r>
              <w:rPr>
                <w:rFonts w:asciiTheme="minorHAnsi" w:hAnsiTheme="minorHAnsi" w:cstheme="minorHAnsi"/>
                <w:b/>
                <w:bCs/>
                <w:w w:val="99"/>
                <w:sz w:val="20"/>
                <w:szCs w:val="20"/>
              </w:rPr>
              <w:t>X</w:t>
            </w:r>
          </w:p>
        </w:tc>
      </w:tr>
      <w:tr w:rsidR="003E6547" w:rsidRPr="00D31228" w14:paraId="26811CE2" w14:textId="77777777" w:rsidTr="003E6547">
        <w:trPr>
          <w:trHeight w:hRule="exact" w:val="325"/>
          <w:jc w:val="center"/>
        </w:trPr>
        <w:tc>
          <w:tcPr>
            <w:tcW w:w="1417" w:type="pct"/>
            <w:vAlign w:val="center"/>
          </w:tcPr>
          <w:p w14:paraId="1B1B1262" w14:textId="1E95E084" w:rsidR="003E6547" w:rsidRPr="002565C5" w:rsidRDefault="003E6547" w:rsidP="009F5D71">
            <w:pPr>
              <w:pStyle w:val="TableParagraph"/>
              <w:widowControl/>
              <w:spacing w:line="243" w:lineRule="exact"/>
              <w:rPr>
                <w:rFonts w:asciiTheme="minorHAnsi" w:hAnsiTheme="minorHAnsi" w:cstheme="minorHAnsi"/>
                <w:sz w:val="20"/>
                <w:szCs w:val="20"/>
              </w:rPr>
            </w:pPr>
            <w:r w:rsidRPr="002565C5">
              <w:rPr>
                <w:rFonts w:asciiTheme="minorHAnsi" w:hAnsiTheme="minorHAnsi" w:cstheme="minorHAnsi"/>
                <w:sz w:val="20"/>
                <w:szCs w:val="20"/>
              </w:rPr>
              <w:t>Citrus Fruits</w:t>
            </w:r>
          </w:p>
        </w:tc>
        <w:tc>
          <w:tcPr>
            <w:tcW w:w="1149" w:type="pct"/>
            <w:vAlign w:val="center"/>
          </w:tcPr>
          <w:p w14:paraId="789CF2FE" w14:textId="4EE44644" w:rsidR="003E6547" w:rsidRPr="002565C5" w:rsidRDefault="003E6547" w:rsidP="009F5D71">
            <w:pPr>
              <w:pStyle w:val="TableParagraph"/>
              <w:widowControl/>
              <w:spacing w:line="244" w:lineRule="exact"/>
              <w:jc w:val="center"/>
              <w:rPr>
                <w:rFonts w:asciiTheme="minorHAnsi" w:hAnsiTheme="minorHAnsi" w:cstheme="minorHAnsi"/>
                <w:sz w:val="20"/>
                <w:szCs w:val="20"/>
              </w:rPr>
            </w:pPr>
            <w:r>
              <w:rPr>
                <w:rFonts w:asciiTheme="minorHAnsi" w:hAnsiTheme="minorHAnsi" w:cstheme="minorHAnsi"/>
                <w:b/>
                <w:bCs/>
                <w:w w:val="99"/>
                <w:sz w:val="20"/>
                <w:szCs w:val="20"/>
              </w:rPr>
              <w:t>X</w:t>
            </w:r>
          </w:p>
        </w:tc>
        <w:tc>
          <w:tcPr>
            <w:tcW w:w="1240" w:type="pct"/>
            <w:vAlign w:val="center"/>
          </w:tcPr>
          <w:p w14:paraId="3822FFB9" w14:textId="12272FB0" w:rsidR="003E6547" w:rsidRPr="002565C5" w:rsidRDefault="003E6547" w:rsidP="009F5D71">
            <w:pPr>
              <w:pStyle w:val="TableParagraph"/>
              <w:widowControl/>
              <w:spacing w:line="244" w:lineRule="exact"/>
              <w:jc w:val="center"/>
              <w:rPr>
                <w:rFonts w:asciiTheme="minorHAnsi" w:hAnsiTheme="minorHAnsi" w:cstheme="minorHAnsi"/>
                <w:sz w:val="20"/>
                <w:szCs w:val="20"/>
              </w:rPr>
            </w:pPr>
            <w:r>
              <w:rPr>
                <w:rFonts w:asciiTheme="minorHAnsi" w:hAnsiTheme="minorHAnsi" w:cstheme="minorHAnsi"/>
                <w:b/>
                <w:bCs/>
                <w:w w:val="99"/>
                <w:sz w:val="20"/>
                <w:szCs w:val="20"/>
              </w:rPr>
              <w:t>X</w:t>
            </w:r>
          </w:p>
        </w:tc>
        <w:tc>
          <w:tcPr>
            <w:tcW w:w="1194" w:type="pct"/>
          </w:tcPr>
          <w:p w14:paraId="31B92304" w14:textId="47EB07C5" w:rsidR="003E6547" w:rsidRPr="002565C5" w:rsidRDefault="003E6547" w:rsidP="009F5D71">
            <w:pPr>
              <w:pStyle w:val="TableParagraph"/>
              <w:widowControl/>
              <w:ind w:left="0" w:right="-51"/>
              <w:jc w:val="center"/>
              <w:rPr>
                <w:rFonts w:asciiTheme="minorHAnsi" w:hAnsiTheme="minorHAnsi" w:cstheme="minorHAnsi"/>
                <w:sz w:val="20"/>
                <w:szCs w:val="20"/>
              </w:rPr>
            </w:pPr>
            <w:r w:rsidRPr="00912B51">
              <w:rPr>
                <w:rFonts w:asciiTheme="minorHAnsi" w:hAnsiTheme="minorHAnsi" w:cstheme="minorHAnsi"/>
                <w:sz w:val="20"/>
                <w:szCs w:val="20"/>
              </w:rPr>
              <w:t>Not Registered</w:t>
            </w:r>
          </w:p>
        </w:tc>
      </w:tr>
      <w:tr w:rsidR="003E6547" w:rsidRPr="00D31228" w14:paraId="08786830" w14:textId="77777777" w:rsidTr="003E6547">
        <w:trPr>
          <w:trHeight w:hRule="exact" w:val="325"/>
          <w:jc w:val="center"/>
        </w:trPr>
        <w:tc>
          <w:tcPr>
            <w:tcW w:w="1417" w:type="pct"/>
            <w:vAlign w:val="center"/>
          </w:tcPr>
          <w:p w14:paraId="423DC811" w14:textId="7A87D45E" w:rsidR="003E6547" w:rsidRPr="002565C5" w:rsidRDefault="003E6547" w:rsidP="009F5D71">
            <w:pPr>
              <w:pStyle w:val="TableParagraph"/>
              <w:widowControl/>
              <w:spacing w:line="243" w:lineRule="exact"/>
              <w:rPr>
                <w:rFonts w:asciiTheme="minorHAnsi" w:hAnsiTheme="minorHAnsi" w:cstheme="minorHAnsi"/>
                <w:sz w:val="20"/>
                <w:szCs w:val="20"/>
              </w:rPr>
            </w:pPr>
            <w:r w:rsidRPr="002565C5">
              <w:rPr>
                <w:rFonts w:asciiTheme="minorHAnsi" w:hAnsiTheme="minorHAnsi" w:cstheme="minorHAnsi"/>
                <w:sz w:val="20"/>
                <w:szCs w:val="20"/>
              </w:rPr>
              <w:t>Coffee</w:t>
            </w:r>
          </w:p>
        </w:tc>
        <w:tc>
          <w:tcPr>
            <w:tcW w:w="1149" w:type="pct"/>
            <w:vAlign w:val="center"/>
          </w:tcPr>
          <w:p w14:paraId="57311655" w14:textId="04584507" w:rsidR="003E6547" w:rsidRPr="002565C5" w:rsidRDefault="003E6547" w:rsidP="009F5D71">
            <w:pPr>
              <w:pStyle w:val="TableParagraph"/>
              <w:widowControl/>
              <w:spacing w:line="244" w:lineRule="exact"/>
              <w:jc w:val="center"/>
              <w:rPr>
                <w:rFonts w:asciiTheme="minorHAnsi" w:hAnsiTheme="minorHAnsi" w:cstheme="minorHAnsi"/>
                <w:sz w:val="20"/>
                <w:szCs w:val="20"/>
              </w:rPr>
            </w:pPr>
            <w:r>
              <w:rPr>
                <w:rFonts w:asciiTheme="minorHAnsi" w:hAnsiTheme="minorHAnsi" w:cstheme="minorHAnsi"/>
                <w:b/>
                <w:bCs/>
                <w:w w:val="99"/>
                <w:sz w:val="20"/>
                <w:szCs w:val="20"/>
              </w:rPr>
              <w:t>X</w:t>
            </w:r>
          </w:p>
        </w:tc>
        <w:tc>
          <w:tcPr>
            <w:tcW w:w="1240" w:type="pct"/>
            <w:vAlign w:val="center"/>
          </w:tcPr>
          <w:p w14:paraId="113292C6" w14:textId="0AD0E737" w:rsidR="003E6547" w:rsidRPr="002565C5" w:rsidRDefault="003E6547" w:rsidP="009F5D71">
            <w:pPr>
              <w:pStyle w:val="TableParagraph"/>
              <w:widowControl/>
              <w:spacing w:line="244" w:lineRule="exact"/>
              <w:jc w:val="center"/>
              <w:rPr>
                <w:rFonts w:asciiTheme="minorHAnsi" w:hAnsiTheme="minorHAnsi" w:cstheme="minorHAnsi"/>
                <w:sz w:val="20"/>
                <w:szCs w:val="20"/>
              </w:rPr>
            </w:pPr>
            <w:r>
              <w:rPr>
                <w:rFonts w:asciiTheme="minorHAnsi" w:hAnsiTheme="minorHAnsi" w:cstheme="minorHAnsi"/>
                <w:b/>
                <w:bCs/>
                <w:w w:val="99"/>
                <w:sz w:val="20"/>
                <w:szCs w:val="20"/>
              </w:rPr>
              <w:t>X</w:t>
            </w:r>
          </w:p>
        </w:tc>
        <w:tc>
          <w:tcPr>
            <w:tcW w:w="1194" w:type="pct"/>
          </w:tcPr>
          <w:p w14:paraId="5C356BE0" w14:textId="76677887" w:rsidR="003E6547" w:rsidRPr="002565C5" w:rsidRDefault="003E6547" w:rsidP="009F5D71">
            <w:pPr>
              <w:pStyle w:val="TableParagraph"/>
              <w:widowControl/>
              <w:ind w:left="0" w:right="-51"/>
              <w:jc w:val="center"/>
              <w:rPr>
                <w:rFonts w:asciiTheme="minorHAnsi" w:hAnsiTheme="minorHAnsi" w:cstheme="minorHAnsi"/>
                <w:sz w:val="20"/>
                <w:szCs w:val="20"/>
              </w:rPr>
            </w:pPr>
            <w:r w:rsidRPr="00912B51">
              <w:rPr>
                <w:rFonts w:asciiTheme="minorHAnsi" w:hAnsiTheme="minorHAnsi" w:cstheme="minorHAnsi"/>
                <w:sz w:val="20"/>
                <w:szCs w:val="20"/>
              </w:rPr>
              <w:t>Not Registered</w:t>
            </w:r>
          </w:p>
        </w:tc>
      </w:tr>
      <w:tr w:rsidR="003E6547" w:rsidRPr="00D31228" w14:paraId="13639880" w14:textId="77777777" w:rsidTr="003E6547">
        <w:trPr>
          <w:trHeight w:hRule="exact" w:val="325"/>
          <w:jc w:val="center"/>
        </w:trPr>
        <w:tc>
          <w:tcPr>
            <w:tcW w:w="1417" w:type="pct"/>
            <w:vAlign w:val="center"/>
          </w:tcPr>
          <w:p w14:paraId="0E41BDED" w14:textId="77777777" w:rsidR="003E6547" w:rsidRPr="002565C5" w:rsidRDefault="003E6547" w:rsidP="009F5D71">
            <w:pPr>
              <w:pStyle w:val="TableParagraph"/>
              <w:widowControl/>
              <w:spacing w:line="243" w:lineRule="exact"/>
              <w:rPr>
                <w:rFonts w:asciiTheme="minorHAnsi" w:hAnsiTheme="minorHAnsi" w:cstheme="minorHAnsi"/>
                <w:sz w:val="20"/>
                <w:szCs w:val="20"/>
              </w:rPr>
            </w:pPr>
            <w:r w:rsidRPr="002565C5">
              <w:rPr>
                <w:rFonts w:asciiTheme="minorHAnsi" w:hAnsiTheme="minorHAnsi" w:cstheme="minorHAnsi"/>
                <w:sz w:val="20"/>
                <w:szCs w:val="20"/>
              </w:rPr>
              <w:t>Cucurbit Vegetables</w:t>
            </w:r>
          </w:p>
        </w:tc>
        <w:tc>
          <w:tcPr>
            <w:tcW w:w="1149" w:type="pct"/>
            <w:vAlign w:val="center"/>
          </w:tcPr>
          <w:p w14:paraId="0B1FE154" w14:textId="4C312F48" w:rsidR="003E6547" w:rsidRPr="002565C5" w:rsidRDefault="003E6547" w:rsidP="009F5D71">
            <w:pPr>
              <w:pStyle w:val="TableParagraph"/>
              <w:widowControl/>
              <w:ind w:left="0" w:right="-51"/>
              <w:jc w:val="center"/>
              <w:rPr>
                <w:rFonts w:asciiTheme="minorHAnsi" w:hAnsiTheme="minorHAnsi" w:cstheme="minorHAnsi"/>
                <w:sz w:val="20"/>
                <w:szCs w:val="20"/>
              </w:rPr>
            </w:pPr>
            <w:r>
              <w:rPr>
                <w:rFonts w:asciiTheme="minorHAnsi" w:hAnsiTheme="minorHAnsi" w:cstheme="minorHAnsi"/>
                <w:sz w:val="20"/>
                <w:szCs w:val="20"/>
              </w:rPr>
              <w:t>Not Registered</w:t>
            </w:r>
          </w:p>
        </w:tc>
        <w:tc>
          <w:tcPr>
            <w:tcW w:w="1240" w:type="pct"/>
            <w:vAlign w:val="center"/>
          </w:tcPr>
          <w:p w14:paraId="6113F7C7" w14:textId="0D9A6027" w:rsidR="003E6547" w:rsidRPr="002565C5" w:rsidRDefault="003E6547" w:rsidP="009F5D71">
            <w:pPr>
              <w:pStyle w:val="TableParagraph"/>
              <w:widowControl/>
              <w:spacing w:line="244" w:lineRule="exact"/>
              <w:jc w:val="center"/>
              <w:rPr>
                <w:rFonts w:asciiTheme="minorHAnsi" w:hAnsiTheme="minorHAnsi" w:cstheme="minorHAnsi"/>
                <w:sz w:val="20"/>
                <w:szCs w:val="20"/>
              </w:rPr>
            </w:pPr>
            <w:r>
              <w:rPr>
                <w:rFonts w:asciiTheme="minorHAnsi" w:hAnsiTheme="minorHAnsi" w:cstheme="minorHAnsi"/>
                <w:b/>
                <w:bCs/>
                <w:w w:val="99"/>
                <w:sz w:val="20"/>
                <w:szCs w:val="20"/>
              </w:rPr>
              <w:t>X</w:t>
            </w:r>
          </w:p>
        </w:tc>
        <w:tc>
          <w:tcPr>
            <w:tcW w:w="1194" w:type="pct"/>
          </w:tcPr>
          <w:p w14:paraId="56158A33" w14:textId="1BCF7EAE" w:rsidR="003E6547" w:rsidRPr="002565C5" w:rsidRDefault="003E6547" w:rsidP="009F5D71">
            <w:pPr>
              <w:pStyle w:val="TableParagraph"/>
              <w:widowControl/>
              <w:ind w:left="0" w:right="-51"/>
              <w:jc w:val="center"/>
              <w:rPr>
                <w:rFonts w:asciiTheme="minorHAnsi" w:hAnsiTheme="minorHAnsi" w:cstheme="minorHAnsi"/>
                <w:sz w:val="20"/>
                <w:szCs w:val="20"/>
              </w:rPr>
            </w:pPr>
            <w:r w:rsidRPr="00912B51">
              <w:rPr>
                <w:rFonts w:asciiTheme="minorHAnsi" w:hAnsiTheme="minorHAnsi" w:cstheme="minorHAnsi"/>
                <w:sz w:val="20"/>
                <w:szCs w:val="20"/>
              </w:rPr>
              <w:t>Not Registered</w:t>
            </w:r>
          </w:p>
        </w:tc>
      </w:tr>
      <w:tr w:rsidR="003E6547" w:rsidRPr="00D31228" w14:paraId="264F02DB" w14:textId="77777777" w:rsidTr="003E6547">
        <w:trPr>
          <w:trHeight w:hRule="exact" w:val="325"/>
          <w:jc w:val="center"/>
        </w:trPr>
        <w:tc>
          <w:tcPr>
            <w:tcW w:w="1417" w:type="pct"/>
            <w:vAlign w:val="center"/>
          </w:tcPr>
          <w:p w14:paraId="6EDE3566" w14:textId="418B161D" w:rsidR="003E6547" w:rsidRPr="002565C5" w:rsidRDefault="003E6547" w:rsidP="009F5D71">
            <w:pPr>
              <w:pStyle w:val="TableParagraph"/>
              <w:widowControl/>
              <w:spacing w:line="243" w:lineRule="exact"/>
              <w:rPr>
                <w:rFonts w:asciiTheme="minorHAnsi" w:hAnsiTheme="minorHAnsi" w:cstheme="minorHAnsi"/>
                <w:sz w:val="20"/>
                <w:szCs w:val="20"/>
              </w:rPr>
            </w:pPr>
            <w:r w:rsidRPr="002565C5">
              <w:rPr>
                <w:rFonts w:asciiTheme="minorHAnsi" w:hAnsiTheme="minorHAnsi" w:cstheme="minorHAnsi"/>
                <w:sz w:val="20"/>
                <w:szCs w:val="20"/>
              </w:rPr>
              <w:t>Fruiting Vegetables</w:t>
            </w:r>
          </w:p>
        </w:tc>
        <w:tc>
          <w:tcPr>
            <w:tcW w:w="1149" w:type="pct"/>
            <w:vAlign w:val="center"/>
          </w:tcPr>
          <w:p w14:paraId="5DB36E28" w14:textId="533905C7" w:rsidR="003E6547" w:rsidRPr="002565C5" w:rsidRDefault="003E6547" w:rsidP="009F5D71">
            <w:pPr>
              <w:pStyle w:val="TableParagraph"/>
              <w:widowControl/>
              <w:spacing w:line="244" w:lineRule="exact"/>
              <w:jc w:val="center"/>
              <w:rPr>
                <w:rFonts w:asciiTheme="minorHAnsi" w:hAnsiTheme="minorHAnsi" w:cstheme="minorHAnsi"/>
                <w:sz w:val="20"/>
                <w:szCs w:val="20"/>
              </w:rPr>
            </w:pPr>
            <w:r>
              <w:rPr>
                <w:rFonts w:asciiTheme="minorHAnsi" w:hAnsiTheme="minorHAnsi" w:cstheme="minorHAnsi"/>
                <w:b/>
                <w:bCs/>
                <w:w w:val="99"/>
                <w:sz w:val="20"/>
                <w:szCs w:val="20"/>
              </w:rPr>
              <w:t>X</w:t>
            </w:r>
          </w:p>
        </w:tc>
        <w:tc>
          <w:tcPr>
            <w:tcW w:w="1240" w:type="pct"/>
            <w:vAlign w:val="center"/>
          </w:tcPr>
          <w:p w14:paraId="4795E825" w14:textId="7C0BC1F3" w:rsidR="003E6547" w:rsidRPr="002565C5" w:rsidRDefault="003E6547" w:rsidP="009F5D71">
            <w:pPr>
              <w:pStyle w:val="TableParagraph"/>
              <w:widowControl/>
              <w:spacing w:line="244" w:lineRule="exact"/>
              <w:jc w:val="center"/>
              <w:rPr>
                <w:rFonts w:asciiTheme="minorHAnsi" w:hAnsiTheme="minorHAnsi" w:cstheme="minorHAnsi"/>
                <w:sz w:val="20"/>
                <w:szCs w:val="20"/>
              </w:rPr>
            </w:pPr>
            <w:r>
              <w:rPr>
                <w:rFonts w:asciiTheme="minorHAnsi" w:hAnsiTheme="minorHAnsi" w:cstheme="minorHAnsi"/>
                <w:b/>
                <w:bCs/>
                <w:w w:val="99"/>
                <w:sz w:val="20"/>
                <w:szCs w:val="20"/>
              </w:rPr>
              <w:t>X</w:t>
            </w:r>
          </w:p>
        </w:tc>
        <w:tc>
          <w:tcPr>
            <w:tcW w:w="1194" w:type="pct"/>
          </w:tcPr>
          <w:p w14:paraId="5CF7B7B2" w14:textId="20CBB27D" w:rsidR="003E6547" w:rsidRPr="002565C5" w:rsidRDefault="003E6547" w:rsidP="009F5D71">
            <w:pPr>
              <w:pStyle w:val="TableParagraph"/>
              <w:widowControl/>
              <w:ind w:left="0" w:right="-51"/>
              <w:jc w:val="center"/>
              <w:rPr>
                <w:rFonts w:asciiTheme="minorHAnsi" w:hAnsiTheme="minorHAnsi" w:cstheme="minorHAnsi"/>
                <w:sz w:val="20"/>
                <w:szCs w:val="20"/>
              </w:rPr>
            </w:pPr>
            <w:r w:rsidRPr="00912B51">
              <w:rPr>
                <w:rFonts w:asciiTheme="minorHAnsi" w:hAnsiTheme="minorHAnsi" w:cstheme="minorHAnsi"/>
                <w:sz w:val="20"/>
                <w:szCs w:val="20"/>
              </w:rPr>
              <w:t>Not Registered</w:t>
            </w:r>
          </w:p>
        </w:tc>
      </w:tr>
      <w:tr w:rsidR="003E6547" w:rsidRPr="00D31228" w14:paraId="3779C9BF" w14:textId="77777777" w:rsidTr="003E6547">
        <w:trPr>
          <w:trHeight w:hRule="exact" w:val="325"/>
          <w:jc w:val="center"/>
        </w:trPr>
        <w:tc>
          <w:tcPr>
            <w:tcW w:w="1417" w:type="pct"/>
            <w:vAlign w:val="center"/>
          </w:tcPr>
          <w:p w14:paraId="402D4135" w14:textId="77777777" w:rsidR="003E6547" w:rsidRPr="002565C5" w:rsidRDefault="003E6547" w:rsidP="009F5D71">
            <w:pPr>
              <w:pStyle w:val="TableParagraph"/>
              <w:widowControl/>
              <w:spacing w:before="2"/>
              <w:rPr>
                <w:rFonts w:asciiTheme="minorHAnsi" w:hAnsiTheme="minorHAnsi" w:cstheme="minorHAnsi"/>
                <w:sz w:val="20"/>
                <w:szCs w:val="20"/>
              </w:rPr>
            </w:pPr>
            <w:r w:rsidRPr="002565C5">
              <w:rPr>
                <w:rFonts w:asciiTheme="minorHAnsi" w:hAnsiTheme="minorHAnsi" w:cstheme="minorHAnsi"/>
                <w:sz w:val="20"/>
                <w:szCs w:val="20"/>
              </w:rPr>
              <w:t>Herbs and Spices</w:t>
            </w:r>
          </w:p>
        </w:tc>
        <w:tc>
          <w:tcPr>
            <w:tcW w:w="1149" w:type="pct"/>
            <w:vAlign w:val="center"/>
          </w:tcPr>
          <w:p w14:paraId="232B6A31" w14:textId="626C981A" w:rsidR="003E6547" w:rsidRPr="002565C5" w:rsidRDefault="003E6547" w:rsidP="009F5D71">
            <w:pPr>
              <w:pStyle w:val="TableParagraph"/>
              <w:widowControl/>
              <w:spacing w:line="244" w:lineRule="exact"/>
              <w:jc w:val="center"/>
              <w:rPr>
                <w:rFonts w:asciiTheme="minorHAnsi" w:hAnsiTheme="minorHAnsi" w:cstheme="minorHAnsi"/>
                <w:sz w:val="20"/>
                <w:szCs w:val="20"/>
              </w:rPr>
            </w:pPr>
            <w:r>
              <w:rPr>
                <w:rFonts w:asciiTheme="minorHAnsi" w:hAnsiTheme="minorHAnsi" w:cstheme="minorHAnsi"/>
                <w:b/>
                <w:bCs/>
                <w:w w:val="99"/>
                <w:sz w:val="20"/>
                <w:szCs w:val="20"/>
              </w:rPr>
              <w:t>X</w:t>
            </w:r>
          </w:p>
        </w:tc>
        <w:tc>
          <w:tcPr>
            <w:tcW w:w="1240" w:type="pct"/>
            <w:vAlign w:val="center"/>
          </w:tcPr>
          <w:p w14:paraId="5395AEC5" w14:textId="4C04AF06" w:rsidR="003E6547" w:rsidRPr="002565C5" w:rsidRDefault="003E6547" w:rsidP="009F5D71">
            <w:pPr>
              <w:pStyle w:val="TableParagraph"/>
              <w:widowControl/>
              <w:spacing w:line="244" w:lineRule="exact"/>
              <w:jc w:val="center"/>
              <w:rPr>
                <w:rFonts w:asciiTheme="minorHAnsi" w:hAnsiTheme="minorHAnsi" w:cstheme="minorHAnsi"/>
                <w:sz w:val="20"/>
                <w:szCs w:val="20"/>
              </w:rPr>
            </w:pPr>
            <w:r>
              <w:rPr>
                <w:rFonts w:asciiTheme="minorHAnsi" w:hAnsiTheme="minorHAnsi" w:cstheme="minorHAnsi"/>
                <w:b/>
                <w:bCs/>
                <w:w w:val="99"/>
                <w:sz w:val="20"/>
                <w:szCs w:val="20"/>
              </w:rPr>
              <w:t>X</w:t>
            </w:r>
          </w:p>
        </w:tc>
        <w:tc>
          <w:tcPr>
            <w:tcW w:w="1194" w:type="pct"/>
            <w:vAlign w:val="center"/>
          </w:tcPr>
          <w:p w14:paraId="305E94A8" w14:textId="77777777" w:rsidR="003E6547" w:rsidRPr="002565C5" w:rsidRDefault="003E6547" w:rsidP="009F5D71">
            <w:pPr>
              <w:pStyle w:val="TableParagraph"/>
              <w:widowControl/>
              <w:spacing w:before="2"/>
              <w:jc w:val="center"/>
              <w:rPr>
                <w:rFonts w:asciiTheme="minorHAnsi" w:hAnsiTheme="minorHAnsi" w:cstheme="minorHAnsi"/>
                <w:w w:val="99"/>
                <w:sz w:val="20"/>
                <w:szCs w:val="20"/>
              </w:rPr>
            </w:pPr>
            <w:r w:rsidRPr="002565C5">
              <w:rPr>
                <w:rFonts w:asciiTheme="minorHAnsi" w:hAnsiTheme="minorHAnsi" w:cstheme="minorHAnsi"/>
                <w:sz w:val="20"/>
                <w:szCs w:val="20"/>
              </w:rPr>
              <w:t>Borage and mustard</w:t>
            </w:r>
          </w:p>
        </w:tc>
      </w:tr>
      <w:tr w:rsidR="003E6547" w:rsidRPr="00D31228" w14:paraId="6EAC9DDB" w14:textId="77777777" w:rsidTr="003E6547">
        <w:trPr>
          <w:trHeight w:hRule="exact" w:val="370"/>
          <w:jc w:val="center"/>
        </w:trPr>
        <w:tc>
          <w:tcPr>
            <w:tcW w:w="1417" w:type="pct"/>
            <w:vAlign w:val="center"/>
          </w:tcPr>
          <w:p w14:paraId="563D809F" w14:textId="17E48EFF" w:rsidR="003E6547" w:rsidRPr="002565C5" w:rsidRDefault="003E6547" w:rsidP="009F5D71">
            <w:pPr>
              <w:pStyle w:val="TableParagraph"/>
              <w:widowControl/>
              <w:spacing w:line="243" w:lineRule="exact"/>
              <w:rPr>
                <w:rFonts w:asciiTheme="minorHAnsi" w:hAnsiTheme="minorHAnsi" w:cstheme="minorHAnsi"/>
                <w:sz w:val="20"/>
                <w:szCs w:val="20"/>
              </w:rPr>
            </w:pPr>
            <w:r w:rsidRPr="002565C5">
              <w:rPr>
                <w:rFonts w:asciiTheme="minorHAnsi" w:hAnsiTheme="minorHAnsi" w:cstheme="minorHAnsi"/>
                <w:sz w:val="20"/>
                <w:szCs w:val="20"/>
              </w:rPr>
              <w:t>Hops</w:t>
            </w:r>
          </w:p>
        </w:tc>
        <w:tc>
          <w:tcPr>
            <w:tcW w:w="1149" w:type="pct"/>
            <w:vAlign w:val="center"/>
          </w:tcPr>
          <w:p w14:paraId="107C449B" w14:textId="2D5BD049" w:rsidR="003E6547" w:rsidRPr="002565C5" w:rsidRDefault="003E6547" w:rsidP="009F5D71">
            <w:pPr>
              <w:pStyle w:val="TableParagraph"/>
              <w:widowControl/>
              <w:spacing w:line="244" w:lineRule="exact"/>
              <w:jc w:val="center"/>
              <w:rPr>
                <w:rFonts w:asciiTheme="minorHAnsi" w:hAnsiTheme="minorHAnsi" w:cstheme="minorHAnsi"/>
                <w:sz w:val="20"/>
                <w:szCs w:val="20"/>
              </w:rPr>
            </w:pPr>
            <w:r>
              <w:rPr>
                <w:rFonts w:asciiTheme="minorHAnsi" w:hAnsiTheme="minorHAnsi" w:cstheme="minorHAnsi"/>
                <w:b/>
                <w:bCs/>
                <w:w w:val="99"/>
                <w:sz w:val="20"/>
                <w:szCs w:val="20"/>
              </w:rPr>
              <w:t>X</w:t>
            </w:r>
          </w:p>
        </w:tc>
        <w:tc>
          <w:tcPr>
            <w:tcW w:w="1240" w:type="pct"/>
            <w:vAlign w:val="center"/>
          </w:tcPr>
          <w:p w14:paraId="0A60B6EB" w14:textId="0EF71D64" w:rsidR="003E6547" w:rsidRPr="002565C5" w:rsidRDefault="003E6547" w:rsidP="009F5D71">
            <w:pPr>
              <w:pStyle w:val="TableParagraph"/>
              <w:widowControl/>
              <w:spacing w:line="244" w:lineRule="exact"/>
              <w:jc w:val="center"/>
              <w:rPr>
                <w:rFonts w:asciiTheme="minorHAnsi" w:hAnsiTheme="minorHAnsi" w:cstheme="minorHAnsi"/>
                <w:sz w:val="20"/>
                <w:szCs w:val="20"/>
              </w:rPr>
            </w:pPr>
            <w:r>
              <w:rPr>
                <w:rFonts w:asciiTheme="minorHAnsi" w:hAnsiTheme="minorHAnsi" w:cstheme="minorHAnsi"/>
                <w:b/>
                <w:bCs/>
                <w:w w:val="99"/>
                <w:sz w:val="20"/>
                <w:szCs w:val="20"/>
              </w:rPr>
              <w:t>X</w:t>
            </w:r>
          </w:p>
        </w:tc>
        <w:tc>
          <w:tcPr>
            <w:tcW w:w="1194" w:type="pct"/>
          </w:tcPr>
          <w:p w14:paraId="3B560939" w14:textId="0F0041AF" w:rsidR="003E6547" w:rsidRPr="002565C5" w:rsidRDefault="003E6547" w:rsidP="009F5D71">
            <w:pPr>
              <w:pStyle w:val="TableParagraph"/>
              <w:widowControl/>
              <w:ind w:left="0" w:right="-51"/>
              <w:jc w:val="center"/>
              <w:rPr>
                <w:rFonts w:asciiTheme="minorHAnsi" w:hAnsiTheme="minorHAnsi" w:cstheme="minorHAnsi"/>
                <w:sz w:val="20"/>
                <w:szCs w:val="20"/>
              </w:rPr>
            </w:pPr>
            <w:r w:rsidRPr="00AA6CD1">
              <w:rPr>
                <w:rFonts w:asciiTheme="minorHAnsi" w:hAnsiTheme="minorHAnsi" w:cstheme="minorHAnsi"/>
                <w:sz w:val="20"/>
                <w:szCs w:val="20"/>
              </w:rPr>
              <w:t>Not Registered</w:t>
            </w:r>
          </w:p>
        </w:tc>
      </w:tr>
      <w:tr w:rsidR="003E6547" w:rsidRPr="00D31228" w14:paraId="3F6E0081" w14:textId="77777777" w:rsidTr="003E6547">
        <w:trPr>
          <w:trHeight w:hRule="exact" w:val="325"/>
          <w:jc w:val="center"/>
        </w:trPr>
        <w:tc>
          <w:tcPr>
            <w:tcW w:w="1417" w:type="pct"/>
            <w:vAlign w:val="center"/>
          </w:tcPr>
          <w:p w14:paraId="6F30C5B4" w14:textId="77777777" w:rsidR="003E6547" w:rsidRPr="002565C5" w:rsidRDefault="003E6547" w:rsidP="009F5D71">
            <w:pPr>
              <w:pStyle w:val="TableParagraph"/>
              <w:widowControl/>
              <w:spacing w:line="243" w:lineRule="exact"/>
              <w:rPr>
                <w:rFonts w:asciiTheme="minorHAnsi" w:hAnsiTheme="minorHAnsi" w:cstheme="minorHAnsi"/>
                <w:sz w:val="20"/>
                <w:szCs w:val="20"/>
              </w:rPr>
            </w:pPr>
            <w:r w:rsidRPr="002565C5">
              <w:rPr>
                <w:rFonts w:asciiTheme="minorHAnsi" w:hAnsiTheme="minorHAnsi" w:cstheme="minorHAnsi"/>
                <w:sz w:val="20"/>
                <w:szCs w:val="20"/>
              </w:rPr>
              <w:t>Leafy Green Vegetables</w:t>
            </w:r>
          </w:p>
        </w:tc>
        <w:tc>
          <w:tcPr>
            <w:tcW w:w="1149" w:type="pct"/>
            <w:vAlign w:val="center"/>
          </w:tcPr>
          <w:p w14:paraId="3D1D8101" w14:textId="77777777" w:rsidR="003E6547" w:rsidRPr="002565C5" w:rsidRDefault="003E6547" w:rsidP="009F5D71">
            <w:pPr>
              <w:pStyle w:val="TableParagraph"/>
              <w:widowControl/>
              <w:spacing w:line="244" w:lineRule="exact"/>
              <w:jc w:val="center"/>
              <w:rPr>
                <w:rFonts w:asciiTheme="minorHAnsi" w:hAnsiTheme="minorHAnsi" w:cstheme="minorHAnsi"/>
                <w:sz w:val="20"/>
                <w:szCs w:val="20"/>
              </w:rPr>
            </w:pPr>
            <w:r w:rsidRPr="002565C5">
              <w:rPr>
                <w:rFonts w:asciiTheme="minorHAnsi" w:hAnsiTheme="minorHAnsi" w:cstheme="minorHAnsi"/>
                <w:sz w:val="20"/>
                <w:szCs w:val="20"/>
              </w:rPr>
              <w:t>Leafy green vegetables</w:t>
            </w:r>
          </w:p>
        </w:tc>
        <w:tc>
          <w:tcPr>
            <w:tcW w:w="1240" w:type="pct"/>
            <w:vAlign w:val="center"/>
          </w:tcPr>
          <w:p w14:paraId="2FEACB85" w14:textId="1B39AF21" w:rsidR="003E6547" w:rsidRPr="002565C5" w:rsidRDefault="003E6547" w:rsidP="009F5D71">
            <w:pPr>
              <w:pStyle w:val="TableParagraph"/>
              <w:widowControl/>
              <w:spacing w:line="243" w:lineRule="exact"/>
              <w:jc w:val="center"/>
              <w:rPr>
                <w:rFonts w:asciiTheme="minorHAnsi" w:hAnsiTheme="minorHAnsi" w:cstheme="minorHAnsi"/>
                <w:sz w:val="20"/>
                <w:szCs w:val="20"/>
              </w:rPr>
            </w:pPr>
            <w:r>
              <w:rPr>
                <w:rFonts w:asciiTheme="minorHAnsi" w:hAnsiTheme="minorHAnsi" w:cstheme="minorHAnsi"/>
                <w:b/>
                <w:bCs/>
                <w:w w:val="99"/>
                <w:sz w:val="20"/>
                <w:szCs w:val="20"/>
              </w:rPr>
              <w:t>X</w:t>
            </w:r>
          </w:p>
        </w:tc>
        <w:tc>
          <w:tcPr>
            <w:tcW w:w="1194" w:type="pct"/>
          </w:tcPr>
          <w:p w14:paraId="5D8E8415" w14:textId="6202D0DE" w:rsidR="003E6547" w:rsidRPr="002565C5" w:rsidRDefault="003E6547" w:rsidP="009F5D71">
            <w:pPr>
              <w:pStyle w:val="TableParagraph"/>
              <w:widowControl/>
              <w:ind w:left="0" w:right="-51"/>
              <w:jc w:val="center"/>
              <w:rPr>
                <w:rFonts w:asciiTheme="minorHAnsi" w:hAnsiTheme="minorHAnsi" w:cstheme="minorHAnsi"/>
                <w:sz w:val="20"/>
                <w:szCs w:val="20"/>
              </w:rPr>
            </w:pPr>
            <w:r w:rsidRPr="00AA6CD1">
              <w:rPr>
                <w:rFonts w:asciiTheme="minorHAnsi" w:hAnsiTheme="minorHAnsi" w:cstheme="minorHAnsi"/>
                <w:sz w:val="20"/>
                <w:szCs w:val="20"/>
              </w:rPr>
              <w:t>Not Registered</w:t>
            </w:r>
          </w:p>
        </w:tc>
      </w:tr>
      <w:tr w:rsidR="003E6547" w:rsidRPr="00D31228" w14:paraId="6C4A5EB6" w14:textId="77777777" w:rsidTr="003E6547">
        <w:trPr>
          <w:trHeight w:hRule="exact" w:val="505"/>
          <w:jc w:val="center"/>
        </w:trPr>
        <w:tc>
          <w:tcPr>
            <w:tcW w:w="1417" w:type="pct"/>
            <w:vAlign w:val="center"/>
          </w:tcPr>
          <w:p w14:paraId="7A163DC2" w14:textId="77777777" w:rsidR="003E6547" w:rsidRPr="002565C5" w:rsidRDefault="003E6547" w:rsidP="009F5D71">
            <w:pPr>
              <w:pStyle w:val="TableParagraph"/>
              <w:widowControl/>
              <w:spacing w:line="243" w:lineRule="exact"/>
              <w:rPr>
                <w:rFonts w:asciiTheme="minorHAnsi" w:hAnsiTheme="minorHAnsi" w:cstheme="minorHAnsi"/>
                <w:sz w:val="20"/>
                <w:szCs w:val="20"/>
              </w:rPr>
            </w:pPr>
            <w:r w:rsidRPr="002565C5">
              <w:rPr>
                <w:rFonts w:asciiTheme="minorHAnsi" w:hAnsiTheme="minorHAnsi" w:cstheme="minorHAnsi"/>
                <w:sz w:val="20"/>
                <w:szCs w:val="20"/>
              </w:rPr>
              <w:t>Legume Vegetables</w:t>
            </w:r>
          </w:p>
        </w:tc>
        <w:tc>
          <w:tcPr>
            <w:tcW w:w="1149" w:type="pct"/>
            <w:vAlign w:val="center"/>
          </w:tcPr>
          <w:p w14:paraId="424C4711" w14:textId="6B45DC47" w:rsidR="003E6547" w:rsidRPr="002565C5" w:rsidRDefault="003E6547" w:rsidP="009F5D71">
            <w:pPr>
              <w:pStyle w:val="TableParagraph"/>
              <w:widowControl/>
              <w:spacing w:line="243" w:lineRule="exact"/>
              <w:jc w:val="center"/>
              <w:rPr>
                <w:rFonts w:asciiTheme="minorHAnsi" w:hAnsiTheme="minorHAnsi" w:cstheme="minorHAnsi"/>
                <w:sz w:val="20"/>
                <w:szCs w:val="20"/>
              </w:rPr>
            </w:pPr>
            <w:r>
              <w:rPr>
                <w:rFonts w:asciiTheme="minorHAnsi" w:hAnsiTheme="minorHAnsi" w:cstheme="minorHAnsi"/>
                <w:b/>
                <w:bCs/>
                <w:w w:val="99"/>
                <w:sz w:val="20"/>
                <w:szCs w:val="20"/>
              </w:rPr>
              <w:t>X</w:t>
            </w:r>
          </w:p>
        </w:tc>
        <w:tc>
          <w:tcPr>
            <w:tcW w:w="1240" w:type="pct"/>
            <w:vAlign w:val="center"/>
          </w:tcPr>
          <w:p w14:paraId="034F404E" w14:textId="77777777" w:rsidR="003E6547" w:rsidRPr="002565C5" w:rsidRDefault="003E6547" w:rsidP="009F5D71">
            <w:pPr>
              <w:pStyle w:val="TableParagraph"/>
              <w:widowControl/>
              <w:spacing w:line="244" w:lineRule="exact"/>
              <w:jc w:val="center"/>
              <w:rPr>
                <w:rFonts w:asciiTheme="minorHAnsi" w:hAnsiTheme="minorHAnsi" w:cstheme="minorHAnsi"/>
                <w:sz w:val="20"/>
                <w:szCs w:val="20"/>
              </w:rPr>
            </w:pPr>
            <w:r w:rsidRPr="002565C5">
              <w:rPr>
                <w:rFonts w:asciiTheme="minorHAnsi" w:hAnsiTheme="minorHAnsi" w:cstheme="minorHAnsi"/>
                <w:sz w:val="20"/>
                <w:szCs w:val="20"/>
              </w:rPr>
              <w:t>Legumes vegetables except soybean</w:t>
            </w:r>
          </w:p>
        </w:tc>
        <w:tc>
          <w:tcPr>
            <w:tcW w:w="1194" w:type="pct"/>
          </w:tcPr>
          <w:p w14:paraId="12629DBF" w14:textId="321B99DA" w:rsidR="003E6547" w:rsidRPr="002565C5" w:rsidRDefault="003E6547" w:rsidP="009F5D71">
            <w:pPr>
              <w:pStyle w:val="TableParagraph"/>
              <w:widowControl/>
              <w:spacing w:line="244" w:lineRule="exact"/>
              <w:jc w:val="center"/>
              <w:rPr>
                <w:rFonts w:asciiTheme="minorHAnsi" w:hAnsiTheme="minorHAnsi" w:cstheme="minorHAnsi"/>
                <w:sz w:val="20"/>
                <w:szCs w:val="20"/>
              </w:rPr>
            </w:pPr>
            <w:r w:rsidRPr="005A75B1">
              <w:rPr>
                <w:rFonts w:asciiTheme="minorHAnsi" w:hAnsiTheme="minorHAnsi" w:cstheme="minorHAnsi"/>
                <w:b/>
                <w:bCs/>
                <w:w w:val="99"/>
                <w:sz w:val="20"/>
                <w:szCs w:val="20"/>
              </w:rPr>
              <w:t>X</w:t>
            </w:r>
          </w:p>
        </w:tc>
      </w:tr>
      <w:tr w:rsidR="003E6547" w:rsidRPr="00D31228" w14:paraId="6A851B4A" w14:textId="77777777" w:rsidTr="003E6547">
        <w:trPr>
          <w:trHeight w:hRule="exact" w:val="325"/>
          <w:jc w:val="center"/>
        </w:trPr>
        <w:tc>
          <w:tcPr>
            <w:tcW w:w="1417" w:type="pct"/>
            <w:vAlign w:val="center"/>
          </w:tcPr>
          <w:p w14:paraId="7C20510B" w14:textId="77777777" w:rsidR="003E6547" w:rsidRPr="002565C5" w:rsidRDefault="003E6547" w:rsidP="009F5D71">
            <w:pPr>
              <w:pStyle w:val="TableParagraph"/>
              <w:widowControl/>
              <w:spacing w:before="1"/>
              <w:rPr>
                <w:rFonts w:asciiTheme="minorHAnsi" w:hAnsiTheme="minorHAnsi" w:cstheme="minorHAnsi"/>
                <w:sz w:val="20"/>
                <w:szCs w:val="20"/>
              </w:rPr>
            </w:pPr>
            <w:r w:rsidRPr="002565C5">
              <w:rPr>
                <w:rFonts w:asciiTheme="minorHAnsi" w:hAnsiTheme="minorHAnsi" w:cstheme="minorHAnsi"/>
                <w:sz w:val="20"/>
                <w:szCs w:val="20"/>
              </w:rPr>
              <w:t>Oilseeds</w:t>
            </w:r>
          </w:p>
        </w:tc>
        <w:tc>
          <w:tcPr>
            <w:tcW w:w="1149" w:type="pct"/>
            <w:vAlign w:val="center"/>
          </w:tcPr>
          <w:p w14:paraId="7ED2069B" w14:textId="77777777" w:rsidR="003E6547" w:rsidRPr="002565C5" w:rsidRDefault="003E6547" w:rsidP="009F5D71">
            <w:pPr>
              <w:pStyle w:val="TableParagraph"/>
              <w:widowControl/>
              <w:spacing w:line="246" w:lineRule="exact"/>
              <w:jc w:val="center"/>
              <w:rPr>
                <w:rFonts w:asciiTheme="minorHAnsi" w:hAnsiTheme="minorHAnsi" w:cstheme="minorHAnsi"/>
                <w:sz w:val="20"/>
                <w:szCs w:val="20"/>
              </w:rPr>
            </w:pPr>
            <w:r w:rsidRPr="002565C5">
              <w:rPr>
                <w:rFonts w:asciiTheme="minorHAnsi" w:hAnsiTheme="minorHAnsi" w:cstheme="minorHAnsi"/>
                <w:sz w:val="20"/>
                <w:szCs w:val="20"/>
              </w:rPr>
              <w:t>Cotton</w:t>
            </w:r>
          </w:p>
        </w:tc>
        <w:tc>
          <w:tcPr>
            <w:tcW w:w="1240" w:type="pct"/>
            <w:vAlign w:val="center"/>
          </w:tcPr>
          <w:p w14:paraId="5A547300" w14:textId="77777777" w:rsidR="003E6547" w:rsidRPr="002565C5" w:rsidRDefault="003E6547" w:rsidP="009F5D71">
            <w:pPr>
              <w:pStyle w:val="TableParagraph"/>
              <w:widowControl/>
              <w:spacing w:line="246" w:lineRule="exact"/>
              <w:jc w:val="center"/>
              <w:rPr>
                <w:rFonts w:asciiTheme="minorHAnsi" w:hAnsiTheme="minorHAnsi" w:cstheme="minorHAnsi"/>
                <w:sz w:val="20"/>
                <w:szCs w:val="20"/>
              </w:rPr>
            </w:pPr>
            <w:r w:rsidRPr="002565C5">
              <w:rPr>
                <w:rFonts w:asciiTheme="minorHAnsi" w:hAnsiTheme="minorHAnsi" w:cstheme="minorHAnsi"/>
                <w:sz w:val="20"/>
                <w:szCs w:val="20"/>
              </w:rPr>
              <w:t>Cotton</w:t>
            </w:r>
          </w:p>
        </w:tc>
        <w:tc>
          <w:tcPr>
            <w:tcW w:w="1194" w:type="pct"/>
          </w:tcPr>
          <w:p w14:paraId="74CCA93A" w14:textId="165DF1D7" w:rsidR="003E6547" w:rsidRPr="002565C5" w:rsidRDefault="003E6547" w:rsidP="009F5D71">
            <w:pPr>
              <w:pStyle w:val="TableParagraph"/>
              <w:widowControl/>
              <w:spacing w:line="244" w:lineRule="exact"/>
              <w:jc w:val="center"/>
              <w:rPr>
                <w:rFonts w:asciiTheme="minorHAnsi" w:hAnsiTheme="minorHAnsi" w:cstheme="minorHAnsi"/>
                <w:sz w:val="20"/>
                <w:szCs w:val="20"/>
              </w:rPr>
            </w:pPr>
            <w:r w:rsidRPr="005A75B1">
              <w:rPr>
                <w:rFonts w:asciiTheme="minorHAnsi" w:hAnsiTheme="minorHAnsi" w:cstheme="minorHAnsi"/>
                <w:b/>
                <w:bCs/>
                <w:w w:val="99"/>
                <w:sz w:val="20"/>
                <w:szCs w:val="20"/>
              </w:rPr>
              <w:t>X</w:t>
            </w:r>
          </w:p>
        </w:tc>
      </w:tr>
      <w:tr w:rsidR="003E6547" w:rsidRPr="00D31228" w14:paraId="20862D48" w14:textId="77777777" w:rsidTr="003E6547">
        <w:trPr>
          <w:trHeight w:hRule="exact" w:val="325"/>
          <w:jc w:val="center"/>
        </w:trPr>
        <w:tc>
          <w:tcPr>
            <w:tcW w:w="1417" w:type="pct"/>
            <w:vAlign w:val="center"/>
          </w:tcPr>
          <w:p w14:paraId="0F74E497" w14:textId="64B36F55" w:rsidR="003E6547" w:rsidRPr="002565C5" w:rsidRDefault="003E6547" w:rsidP="009F5D71">
            <w:pPr>
              <w:pStyle w:val="TableParagraph"/>
              <w:widowControl/>
              <w:spacing w:line="243" w:lineRule="exact"/>
              <w:rPr>
                <w:rFonts w:asciiTheme="minorHAnsi" w:hAnsiTheme="minorHAnsi" w:cstheme="minorHAnsi"/>
                <w:sz w:val="20"/>
                <w:szCs w:val="20"/>
              </w:rPr>
            </w:pPr>
            <w:r w:rsidRPr="002565C5">
              <w:rPr>
                <w:rFonts w:asciiTheme="minorHAnsi" w:hAnsiTheme="minorHAnsi" w:cstheme="minorHAnsi"/>
                <w:sz w:val="20"/>
                <w:szCs w:val="20"/>
              </w:rPr>
              <w:t>Peanuts</w:t>
            </w:r>
          </w:p>
        </w:tc>
        <w:tc>
          <w:tcPr>
            <w:tcW w:w="1149" w:type="pct"/>
          </w:tcPr>
          <w:p w14:paraId="12722E41" w14:textId="0961F571" w:rsidR="003E6547" w:rsidRPr="002565C5" w:rsidRDefault="003E6547" w:rsidP="009F5D71">
            <w:pPr>
              <w:pStyle w:val="TableParagraph"/>
              <w:widowControl/>
              <w:spacing w:line="244" w:lineRule="exact"/>
              <w:jc w:val="center"/>
              <w:rPr>
                <w:rFonts w:asciiTheme="minorHAnsi" w:hAnsiTheme="minorHAnsi" w:cstheme="minorHAnsi"/>
                <w:sz w:val="20"/>
                <w:szCs w:val="20"/>
              </w:rPr>
            </w:pPr>
            <w:r w:rsidRPr="00E10393">
              <w:rPr>
                <w:rFonts w:asciiTheme="minorHAnsi" w:hAnsiTheme="minorHAnsi" w:cstheme="minorHAnsi"/>
                <w:b/>
                <w:bCs/>
                <w:w w:val="99"/>
                <w:sz w:val="20"/>
                <w:szCs w:val="20"/>
              </w:rPr>
              <w:t>X</w:t>
            </w:r>
          </w:p>
        </w:tc>
        <w:tc>
          <w:tcPr>
            <w:tcW w:w="1240" w:type="pct"/>
          </w:tcPr>
          <w:p w14:paraId="41652C56" w14:textId="4FB36A1A" w:rsidR="003E6547" w:rsidRPr="002565C5" w:rsidRDefault="003E6547" w:rsidP="009F5D71">
            <w:pPr>
              <w:pStyle w:val="TableParagraph"/>
              <w:widowControl/>
              <w:spacing w:line="244" w:lineRule="exact"/>
              <w:jc w:val="center"/>
              <w:rPr>
                <w:rFonts w:asciiTheme="minorHAnsi" w:hAnsiTheme="minorHAnsi" w:cstheme="minorHAnsi"/>
                <w:sz w:val="20"/>
                <w:szCs w:val="20"/>
              </w:rPr>
            </w:pPr>
            <w:r w:rsidRPr="00E10393">
              <w:rPr>
                <w:rFonts w:asciiTheme="minorHAnsi" w:hAnsiTheme="minorHAnsi" w:cstheme="minorHAnsi"/>
                <w:b/>
                <w:bCs/>
                <w:w w:val="99"/>
                <w:sz w:val="20"/>
                <w:szCs w:val="20"/>
              </w:rPr>
              <w:t>X</w:t>
            </w:r>
          </w:p>
        </w:tc>
        <w:tc>
          <w:tcPr>
            <w:tcW w:w="1194" w:type="pct"/>
          </w:tcPr>
          <w:p w14:paraId="6162A5F9" w14:textId="77DC97AB" w:rsidR="003E6547" w:rsidRPr="002565C5" w:rsidRDefault="003E6547" w:rsidP="009F5D71">
            <w:pPr>
              <w:pStyle w:val="TableParagraph"/>
              <w:widowControl/>
              <w:spacing w:line="244" w:lineRule="exact"/>
              <w:jc w:val="center"/>
              <w:rPr>
                <w:rFonts w:asciiTheme="minorHAnsi" w:hAnsiTheme="minorHAnsi" w:cstheme="minorHAnsi"/>
                <w:sz w:val="20"/>
                <w:szCs w:val="20"/>
              </w:rPr>
            </w:pPr>
            <w:r w:rsidRPr="005A75B1">
              <w:rPr>
                <w:rFonts w:asciiTheme="minorHAnsi" w:hAnsiTheme="minorHAnsi" w:cstheme="minorHAnsi"/>
                <w:b/>
                <w:bCs/>
                <w:w w:val="99"/>
                <w:sz w:val="20"/>
                <w:szCs w:val="20"/>
              </w:rPr>
              <w:t>X</w:t>
            </w:r>
          </w:p>
        </w:tc>
      </w:tr>
      <w:tr w:rsidR="003E6547" w:rsidRPr="00D31228" w14:paraId="2F15C3E9" w14:textId="77777777" w:rsidTr="003E6547">
        <w:trPr>
          <w:trHeight w:hRule="exact" w:val="325"/>
          <w:jc w:val="center"/>
        </w:trPr>
        <w:tc>
          <w:tcPr>
            <w:tcW w:w="1417" w:type="pct"/>
            <w:vAlign w:val="center"/>
          </w:tcPr>
          <w:p w14:paraId="5683E53E" w14:textId="77777777" w:rsidR="003E6547" w:rsidRPr="002565C5" w:rsidRDefault="003E6547" w:rsidP="009F5D71">
            <w:pPr>
              <w:pStyle w:val="TableParagraph"/>
              <w:widowControl/>
              <w:spacing w:line="243" w:lineRule="exact"/>
              <w:rPr>
                <w:rFonts w:asciiTheme="minorHAnsi" w:hAnsiTheme="minorHAnsi" w:cstheme="minorHAnsi"/>
                <w:sz w:val="20"/>
                <w:szCs w:val="20"/>
              </w:rPr>
            </w:pPr>
            <w:r w:rsidRPr="002565C5">
              <w:rPr>
                <w:rFonts w:asciiTheme="minorHAnsi" w:hAnsiTheme="minorHAnsi" w:cstheme="minorHAnsi"/>
                <w:sz w:val="20"/>
                <w:szCs w:val="20"/>
              </w:rPr>
              <w:t>Pome Fruits</w:t>
            </w:r>
          </w:p>
        </w:tc>
        <w:tc>
          <w:tcPr>
            <w:tcW w:w="1149" w:type="pct"/>
          </w:tcPr>
          <w:p w14:paraId="1CFE5D4F" w14:textId="5600409C" w:rsidR="003E6547" w:rsidRPr="002565C5" w:rsidRDefault="003E6547" w:rsidP="009F5D71">
            <w:pPr>
              <w:pStyle w:val="TableParagraph"/>
              <w:widowControl/>
              <w:spacing w:line="244" w:lineRule="exact"/>
              <w:jc w:val="center"/>
              <w:rPr>
                <w:rFonts w:asciiTheme="minorHAnsi" w:hAnsiTheme="minorHAnsi" w:cstheme="minorHAnsi"/>
                <w:sz w:val="20"/>
                <w:szCs w:val="20"/>
              </w:rPr>
            </w:pPr>
            <w:r w:rsidRPr="00E10393">
              <w:rPr>
                <w:rFonts w:asciiTheme="minorHAnsi" w:hAnsiTheme="minorHAnsi" w:cstheme="minorHAnsi"/>
                <w:b/>
                <w:bCs/>
                <w:w w:val="99"/>
                <w:sz w:val="20"/>
                <w:szCs w:val="20"/>
              </w:rPr>
              <w:t>X</w:t>
            </w:r>
          </w:p>
        </w:tc>
        <w:tc>
          <w:tcPr>
            <w:tcW w:w="1240" w:type="pct"/>
          </w:tcPr>
          <w:p w14:paraId="654E54BF" w14:textId="0E1FC2BE" w:rsidR="003E6547" w:rsidRPr="002565C5" w:rsidRDefault="003E6547" w:rsidP="009F5D71">
            <w:pPr>
              <w:pStyle w:val="TableParagraph"/>
              <w:widowControl/>
              <w:spacing w:line="244" w:lineRule="exact"/>
              <w:jc w:val="center"/>
              <w:rPr>
                <w:rFonts w:asciiTheme="minorHAnsi" w:hAnsiTheme="minorHAnsi" w:cstheme="minorHAnsi"/>
                <w:sz w:val="20"/>
                <w:szCs w:val="20"/>
              </w:rPr>
            </w:pPr>
            <w:r w:rsidRPr="00E10393">
              <w:rPr>
                <w:rFonts w:asciiTheme="minorHAnsi" w:hAnsiTheme="minorHAnsi" w:cstheme="minorHAnsi"/>
                <w:b/>
                <w:bCs/>
                <w:w w:val="99"/>
                <w:sz w:val="20"/>
                <w:szCs w:val="20"/>
              </w:rPr>
              <w:t>X</w:t>
            </w:r>
          </w:p>
        </w:tc>
        <w:tc>
          <w:tcPr>
            <w:tcW w:w="1194" w:type="pct"/>
            <w:vAlign w:val="center"/>
          </w:tcPr>
          <w:p w14:paraId="0916144F" w14:textId="06104CCF" w:rsidR="003E6547" w:rsidRPr="002565C5" w:rsidRDefault="003E6547" w:rsidP="009F5D71">
            <w:pPr>
              <w:pStyle w:val="TableParagraph"/>
              <w:widowControl/>
              <w:ind w:left="0" w:right="-51"/>
              <w:jc w:val="center"/>
              <w:rPr>
                <w:rFonts w:asciiTheme="minorHAnsi" w:hAnsiTheme="minorHAnsi" w:cstheme="minorHAnsi"/>
                <w:sz w:val="20"/>
                <w:szCs w:val="20"/>
              </w:rPr>
            </w:pPr>
            <w:r>
              <w:rPr>
                <w:rFonts w:asciiTheme="minorHAnsi" w:hAnsiTheme="minorHAnsi" w:cstheme="minorHAnsi"/>
                <w:sz w:val="20"/>
                <w:szCs w:val="20"/>
              </w:rPr>
              <w:t>Not Registered</w:t>
            </w:r>
          </w:p>
        </w:tc>
      </w:tr>
      <w:tr w:rsidR="00D31228" w:rsidRPr="00D31228" w14:paraId="48D1127B" w14:textId="77777777" w:rsidTr="003E6547">
        <w:trPr>
          <w:trHeight w:hRule="exact" w:val="550"/>
          <w:jc w:val="center"/>
        </w:trPr>
        <w:tc>
          <w:tcPr>
            <w:tcW w:w="1417" w:type="pct"/>
            <w:vAlign w:val="center"/>
          </w:tcPr>
          <w:p w14:paraId="710997BC" w14:textId="77777777" w:rsidR="00E91A97" w:rsidRPr="002565C5" w:rsidRDefault="00E91A97" w:rsidP="009F5D71">
            <w:pPr>
              <w:pStyle w:val="TableParagraph"/>
              <w:widowControl/>
              <w:spacing w:line="243" w:lineRule="exact"/>
              <w:rPr>
                <w:rFonts w:asciiTheme="minorHAnsi" w:hAnsiTheme="minorHAnsi" w:cstheme="minorHAnsi"/>
                <w:sz w:val="20"/>
                <w:szCs w:val="20"/>
              </w:rPr>
            </w:pPr>
            <w:r w:rsidRPr="002565C5">
              <w:rPr>
                <w:rFonts w:asciiTheme="minorHAnsi" w:hAnsiTheme="minorHAnsi" w:cstheme="minorHAnsi"/>
                <w:sz w:val="20"/>
                <w:szCs w:val="20"/>
              </w:rPr>
              <w:t>Root and Tuber Vegetables</w:t>
            </w:r>
          </w:p>
        </w:tc>
        <w:tc>
          <w:tcPr>
            <w:tcW w:w="1149" w:type="pct"/>
            <w:vAlign w:val="center"/>
          </w:tcPr>
          <w:p w14:paraId="180EFC30" w14:textId="4D0E3497" w:rsidR="00E91A97" w:rsidRPr="002565C5" w:rsidRDefault="00E91A97" w:rsidP="009F5D71">
            <w:pPr>
              <w:pStyle w:val="TableParagraph"/>
              <w:widowControl/>
              <w:spacing w:line="244" w:lineRule="exact"/>
              <w:jc w:val="center"/>
              <w:rPr>
                <w:rFonts w:asciiTheme="minorHAnsi" w:hAnsiTheme="minorHAnsi" w:cstheme="minorHAnsi"/>
                <w:sz w:val="20"/>
                <w:szCs w:val="20"/>
              </w:rPr>
            </w:pPr>
            <w:r w:rsidRPr="002565C5">
              <w:rPr>
                <w:rFonts w:asciiTheme="minorHAnsi" w:hAnsiTheme="minorHAnsi" w:cstheme="minorHAnsi"/>
                <w:sz w:val="20"/>
                <w:szCs w:val="20"/>
              </w:rPr>
              <w:t>Potato</w:t>
            </w:r>
            <w:r w:rsidR="002565C5" w:rsidRPr="002565C5">
              <w:rPr>
                <w:rFonts w:asciiTheme="minorHAnsi" w:hAnsiTheme="minorHAnsi" w:cstheme="minorHAnsi"/>
                <w:sz w:val="20"/>
                <w:szCs w:val="20"/>
              </w:rPr>
              <w:t>,</w:t>
            </w:r>
            <w:r w:rsidRPr="002565C5">
              <w:rPr>
                <w:rFonts w:asciiTheme="minorHAnsi" w:hAnsiTheme="minorHAnsi" w:cstheme="minorHAnsi"/>
                <w:sz w:val="20"/>
                <w:szCs w:val="20"/>
              </w:rPr>
              <w:t xml:space="preserve"> tuberous</w:t>
            </w:r>
            <w:r w:rsidR="002565C5" w:rsidRPr="002565C5">
              <w:rPr>
                <w:rFonts w:asciiTheme="minorHAnsi" w:hAnsiTheme="minorHAnsi" w:cstheme="minorHAnsi"/>
                <w:sz w:val="20"/>
                <w:szCs w:val="20"/>
              </w:rPr>
              <w:t>,</w:t>
            </w:r>
            <w:r w:rsidRPr="002565C5">
              <w:rPr>
                <w:rFonts w:asciiTheme="minorHAnsi" w:hAnsiTheme="minorHAnsi" w:cstheme="minorHAnsi"/>
                <w:sz w:val="20"/>
                <w:szCs w:val="20"/>
              </w:rPr>
              <w:t xml:space="preserve"> and corm</w:t>
            </w:r>
          </w:p>
        </w:tc>
        <w:tc>
          <w:tcPr>
            <w:tcW w:w="1240" w:type="pct"/>
            <w:vAlign w:val="center"/>
          </w:tcPr>
          <w:p w14:paraId="11ED7EB4" w14:textId="4CFE74E0" w:rsidR="00E91A97" w:rsidRPr="002565C5" w:rsidRDefault="003E6547" w:rsidP="009F5D71">
            <w:pPr>
              <w:pStyle w:val="TableParagraph"/>
              <w:widowControl/>
              <w:spacing w:line="243" w:lineRule="exact"/>
              <w:jc w:val="center"/>
              <w:rPr>
                <w:rFonts w:asciiTheme="minorHAnsi" w:hAnsiTheme="minorHAnsi" w:cstheme="minorHAnsi"/>
                <w:sz w:val="20"/>
                <w:szCs w:val="20"/>
              </w:rPr>
            </w:pPr>
            <w:r>
              <w:rPr>
                <w:rFonts w:asciiTheme="minorHAnsi" w:hAnsiTheme="minorHAnsi" w:cstheme="minorHAnsi"/>
                <w:b/>
                <w:bCs/>
                <w:w w:val="99"/>
                <w:sz w:val="20"/>
                <w:szCs w:val="20"/>
              </w:rPr>
              <w:t>X</w:t>
            </w:r>
          </w:p>
        </w:tc>
        <w:tc>
          <w:tcPr>
            <w:tcW w:w="1194" w:type="pct"/>
            <w:vAlign w:val="center"/>
          </w:tcPr>
          <w:p w14:paraId="5F227AE2" w14:textId="77777777" w:rsidR="00E91A97" w:rsidRPr="002565C5" w:rsidRDefault="00E91A97" w:rsidP="009F5D71">
            <w:pPr>
              <w:pStyle w:val="TableParagraph"/>
              <w:widowControl/>
              <w:spacing w:line="244" w:lineRule="exact"/>
              <w:jc w:val="center"/>
              <w:rPr>
                <w:rFonts w:asciiTheme="minorHAnsi" w:hAnsiTheme="minorHAnsi" w:cstheme="minorHAnsi"/>
                <w:sz w:val="20"/>
                <w:szCs w:val="20"/>
              </w:rPr>
            </w:pPr>
            <w:r w:rsidRPr="002565C5">
              <w:rPr>
                <w:rFonts w:asciiTheme="minorHAnsi" w:hAnsiTheme="minorHAnsi" w:cstheme="minorHAnsi"/>
                <w:sz w:val="20"/>
                <w:szCs w:val="20"/>
              </w:rPr>
              <w:t>Sugar beet, root vegetables, and potato</w:t>
            </w:r>
          </w:p>
        </w:tc>
      </w:tr>
      <w:tr w:rsidR="003E6547" w:rsidRPr="00D31228" w14:paraId="7A86F073" w14:textId="77777777" w:rsidTr="003E6547">
        <w:trPr>
          <w:trHeight w:hRule="exact" w:val="325"/>
          <w:jc w:val="center"/>
        </w:trPr>
        <w:tc>
          <w:tcPr>
            <w:tcW w:w="1417" w:type="pct"/>
            <w:vAlign w:val="center"/>
          </w:tcPr>
          <w:p w14:paraId="17BEE57B" w14:textId="5916F819" w:rsidR="003E6547" w:rsidRPr="00D31228" w:rsidRDefault="003E6547" w:rsidP="009F5D71">
            <w:pPr>
              <w:pStyle w:val="TableParagraph"/>
              <w:widowControl/>
              <w:spacing w:line="243" w:lineRule="exact"/>
              <w:rPr>
                <w:rFonts w:asciiTheme="minorHAnsi" w:hAnsiTheme="minorHAnsi" w:cstheme="minorHAnsi"/>
                <w:sz w:val="20"/>
                <w:szCs w:val="20"/>
              </w:rPr>
            </w:pPr>
            <w:r w:rsidRPr="00D31228">
              <w:rPr>
                <w:rFonts w:asciiTheme="minorHAnsi" w:hAnsiTheme="minorHAnsi" w:cstheme="minorHAnsi"/>
                <w:sz w:val="20"/>
                <w:szCs w:val="20"/>
              </w:rPr>
              <w:t>Stone Fruits</w:t>
            </w:r>
          </w:p>
        </w:tc>
        <w:tc>
          <w:tcPr>
            <w:tcW w:w="1149" w:type="pct"/>
          </w:tcPr>
          <w:p w14:paraId="11766FA3" w14:textId="105E27B7" w:rsidR="003E6547" w:rsidRPr="00D31228" w:rsidRDefault="003E6547" w:rsidP="009F5D71">
            <w:pPr>
              <w:pStyle w:val="TableParagraph"/>
              <w:widowControl/>
              <w:spacing w:line="244" w:lineRule="exact"/>
              <w:jc w:val="center"/>
              <w:rPr>
                <w:rFonts w:asciiTheme="minorHAnsi" w:hAnsiTheme="minorHAnsi" w:cstheme="minorHAnsi"/>
                <w:sz w:val="20"/>
                <w:szCs w:val="20"/>
              </w:rPr>
            </w:pPr>
            <w:r w:rsidRPr="00190CA0">
              <w:rPr>
                <w:rFonts w:asciiTheme="minorHAnsi" w:hAnsiTheme="minorHAnsi" w:cstheme="minorHAnsi"/>
                <w:b/>
                <w:bCs/>
                <w:w w:val="99"/>
                <w:sz w:val="20"/>
                <w:szCs w:val="20"/>
              </w:rPr>
              <w:t>X</w:t>
            </w:r>
          </w:p>
        </w:tc>
        <w:tc>
          <w:tcPr>
            <w:tcW w:w="1240" w:type="pct"/>
          </w:tcPr>
          <w:p w14:paraId="07A56C6D" w14:textId="473BA37B" w:rsidR="003E6547" w:rsidRPr="00D31228" w:rsidRDefault="003E6547" w:rsidP="009F5D71">
            <w:pPr>
              <w:pStyle w:val="TableParagraph"/>
              <w:widowControl/>
              <w:spacing w:line="244" w:lineRule="exact"/>
              <w:jc w:val="center"/>
              <w:rPr>
                <w:rFonts w:asciiTheme="minorHAnsi" w:hAnsiTheme="minorHAnsi" w:cstheme="minorHAnsi"/>
                <w:sz w:val="20"/>
                <w:szCs w:val="20"/>
              </w:rPr>
            </w:pPr>
            <w:r w:rsidRPr="00190CA0">
              <w:rPr>
                <w:rFonts w:asciiTheme="minorHAnsi" w:hAnsiTheme="minorHAnsi" w:cstheme="minorHAnsi"/>
                <w:b/>
                <w:bCs/>
                <w:w w:val="99"/>
                <w:sz w:val="20"/>
                <w:szCs w:val="20"/>
              </w:rPr>
              <w:t>X</w:t>
            </w:r>
          </w:p>
        </w:tc>
        <w:tc>
          <w:tcPr>
            <w:tcW w:w="1194" w:type="pct"/>
          </w:tcPr>
          <w:p w14:paraId="703D4B84" w14:textId="24EDFD31" w:rsidR="003E6547" w:rsidRPr="00D31228" w:rsidRDefault="003E6547" w:rsidP="009F5D71">
            <w:pPr>
              <w:pStyle w:val="TableParagraph"/>
              <w:widowControl/>
              <w:ind w:left="0" w:right="-51"/>
              <w:jc w:val="center"/>
              <w:rPr>
                <w:rFonts w:asciiTheme="minorHAnsi" w:hAnsiTheme="minorHAnsi" w:cstheme="minorHAnsi"/>
                <w:sz w:val="20"/>
                <w:szCs w:val="20"/>
              </w:rPr>
            </w:pPr>
            <w:r w:rsidRPr="00A56829">
              <w:rPr>
                <w:rFonts w:asciiTheme="minorHAnsi" w:hAnsiTheme="minorHAnsi" w:cstheme="minorHAnsi"/>
                <w:sz w:val="20"/>
                <w:szCs w:val="20"/>
              </w:rPr>
              <w:t>Not Registered</w:t>
            </w:r>
          </w:p>
        </w:tc>
      </w:tr>
      <w:tr w:rsidR="003E6547" w:rsidRPr="00D31228" w14:paraId="4D121496" w14:textId="77777777" w:rsidTr="008D1461">
        <w:trPr>
          <w:trHeight w:hRule="exact" w:val="325"/>
          <w:jc w:val="center"/>
        </w:trPr>
        <w:tc>
          <w:tcPr>
            <w:tcW w:w="1417" w:type="pct"/>
            <w:vAlign w:val="bottom"/>
          </w:tcPr>
          <w:p w14:paraId="25C36264" w14:textId="366A3E8A" w:rsidR="003E6547" w:rsidRPr="00D31228" w:rsidRDefault="003E6547" w:rsidP="009F5D71">
            <w:pPr>
              <w:pStyle w:val="TableParagraph"/>
              <w:widowControl/>
              <w:spacing w:line="243" w:lineRule="exact"/>
              <w:rPr>
                <w:rFonts w:asciiTheme="minorHAnsi" w:hAnsiTheme="minorHAnsi" w:cstheme="minorHAnsi"/>
                <w:sz w:val="20"/>
                <w:szCs w:val="20"/>
              </w:rPr>
            </w:pPr>
            <w:r w:rsidRPr="00D31228">
              <w:rPr>
                <w:rFonts w:asciiTheme="minorHAnsi" w:hAnsiTheme="minorHAnsi" w:cstheme="minorHAnsi"/>
                <w:sz w:val="20"/>
                <w:szCs w:val="20"/>
              </w:rPr>
              <w:t>Tobacco</w:t>
            </w:r>
          </w:p>
        </w:tc>
        <w:tc>
          <w:tcPr>
            <w:tcW w:w="1149" w:type="pct"/>
          </w:tcPr>
          <w:p w14:paraId="53A25E7C" w14:textId="666F0422" w:rsidR="003E6547" w:rsidRPr="00D31228" w:rsidRDefault="003E6547" w:rsidP="009F5D71">
            <w:pPr>
              <w:pStyle w:val="TableParagraph"/>
              <w:widowControl/>
              <w:spacing w:line="244" w:lineRule="exact"/>
              <w:jc w:val="center"/>
              <w:rPr>
                <w:rFonts w:asciiTheme="minorHAnsi" w:hAnsiTheme="minorHAnsi" w:cstheme="minorHAnsi"/>
                <w:sz w:val="20"/>
                <w:szCs w:val="20"/>
              </w:rPr>
            </w:pPr>
            <w:r w:rsidRPr="00190CA0">
              <w:rPr>
                <w:rFonts w:asciiTheme="minorHAnsi" w:hAnsiTheme="minorHAnsi" w:cstheme="minorHAnsi"/>
                <w:b/>
                <w:bCs/>
                <w:w w:val="99"/>
                <w:sz w:val="20"/>
                <w:szCs w:val="20"/>
              </w:rPr>
              <w:t>X</w:t>
            </w:r>
          </w:p>
        </w:tc>
        <w:tc>
          <w:tcPr>
            <w:tcW w:w="1240" w:type="pct"/>
          </w:tcPr>
          <w:p w14:paraId="170F91D1" w14:textId="2A192338" w:rsidR="003E6547" w:rsidRPr="00D31228" w:rsidRDefault="003E6547" w:rsidP="009F5D71">
            <w:pPr>
              <w:pStyle w:val="TableParagraph"/>
              <w:widowControl/>
              <w:spacing w:line="244" w:lineRule="exact"/>
              <w:jc w:val="center"/>
              <w:rPr>
                <w:rFonts w:asciiTheme="minorHAnsi" w:hAnsiTheme="minorHAnsi" w:cstheme="minorHAnsi"/>
                <w:sz w:val="20"/>
                <w:szCs w:val="20"/>
              </w:rPr>
            </w:pPr>
            <w:r w:rsidRPr="00190CA0">
              <w:rPr>
                <w:rFonts w:asciiTheme="minorHAnsi" w:hAnsiTheme="minorHAnsi" w:cstheme="minorHAnsi"/>
                <w:b/>
                <w:bCs/>
                <w:w w:val="99"/>
                <w:sz w:val="20"/>
                <w:szCs w:val="20"/>
              </w:rPr>
              <w:t>X</w:t>
            </w:r>
          </w:p>
        </w:tc>
        <w:tc>
          <w:tcPr>
            <w:tcW w:w="1194" w:type="pct"/>
          </w:tcPr>
          <w:p w14:paraId="4B59BF70" w14:textId="0ECBAAF5" w:rsidR="003E6547" w:rsidRPr="00D31228" w:rsidRDefault="003E6547" w:rsidP="009F5D71">
            <w:pPr>
              <w:pStyle w:val="TableParagraph"/>
              <w:widowControl/>
              <w:ind w:left="0" w:right="-51"/>
              <w:jc w:val="center"/>
              <w:rPr>
                <w:rFonts w:asciiTheme="minorHAnsi" w:hAnsiTheme="minorHAnsi" w:cstheme="minorHAnsi"/>
                <w:sz w:val="20"/>
                <w:szCs w:val="20"/>
              </w:rPr>
            </w:pPr>
            <w:r w:rsidRPr="00A56829">
              <w:rPr>
                <w:rFonts w:asciiTheme="minorHAnsi" w:hAnsiTheme="minorHAnsi" w:cstheme="minorHAnsi"/>
                <w:sz w:val="20"/>
                <w:szCs w:val="20"/>
              </w:rPr>
              <w:t>Not Registered</w:t>
            </w:r>
          </w:p>
        </w:tc>
      </w:tr>
      <w:tr w:rsidR="003E6547" w:rsidRPr="00B95E3D" w14:paraId="54299F0D" w14:textId="77777777" w:rsidTr="008D1461">
        <w:trPr>
          <w:trHeight w:hRule="exact" w:val="325"/>
          <w:jc w:val="center"/>
        </w:trPr>
        <w:tc>
          <w:tcPr>
            <w:tcW w:w="1417" w:type="pct"/>
            <w:vAlign w:val="bottom"/>
          </w:tcPr>
          <w:p w14:paraId="49ACA3B8" w14:textId="44F8907B" w:rsidR="003E6547" w:rsidRPr="00B95E3D" w:rsidRDefault="003E6547" w:rsidP="009F5D71">
            <w:pPr>
              <w:pStyle w:val="TableParagraph"/>
              <w:widowControl/>
              <w:spacing w:line="243" w:lineRule="exact"/>
              <w:rPr>
                <w:rFonts w:asciiTheme="minorHAnsi" w:hAnsiTheme="minorHAnsi" w:cstheme="minorHAnsi"/>
                <w:sz w:val="20"/>
                <w:szCs w:val="20"/>
              </w:rPr>
            </w:pPr>
            <w:r w:rsidRPr="00B95E3D">
              <w:rPr>
                <w:rFonts w:asciiTheme="minorHAnsi" w:hAnsiTheme="minorHAnsi" w:cstheme="minorHAnsi"/>
                <w:sz w:val="20"/>
                <w:szCs w:val="20"/>
              </w:rPr>
              <w:t>Tree Nuts</w:t>
            </w:r>
          </w:p>
        </w:tc>
        <w:tc>
          <w:tcPr>
            <w:tcW w:w="1149" w:type="pct"/>
          </w:tcPr>
          <w:p w14:paraId="7F11B2E4" w14:textId="7F4076CE" w:rsidR="003E6547" w:rsidRPr="00B95E3D" w:rsidRDefault="003E6547" w:rsidP="009F5D71">
            <w:pPr>
              <w:pStyle w:val="TableParagraph"/>
              <w:widowControl/>
              <w:spacing w:line="244" w:lineRule="exact"/>
              <w:jc w:val="center"/>
              <w:rPr>
                <w:rFonts w:asciiTheme="minorHAnsi" w:hAnsiTheme="minorHAnsi" w:cstheme="minorHAnsi"/>
                <w:sz w:val="20"/>
                <w:szCs w:val="20"/>
              </w:rPr>
            </w:pPr>
            <w:r w:rsidRPr="00190CA0">
              <w:rPr>
                <w:rFonts w:asciiTheme="minorHAnsi" w:hAnsiTheme="minorHAnsi" w:cstheme="minorHAnsi"/>
                <w:b/>
                <w:bCs/>
                <w:w w:val="99"/>
                <w:sz w:val="20"/>
                <w:szCs w:val="20"/>
              </w:rPr>
              <w:t>X</w:t>
            </w:r>
          </w:p>
        </w:tc>
        <w:tc>
          <w:tcPr>
            <w:tcW w:w="1240" w:type="pct"/>
          </w:tcPr>
          <w:p w14:paraId="6508C7FE" w14:textId="4F8AC0AA" w:rsidR="003E6547" w:rsidRPr="00B95E3D" w:rsidRDefault="003E6547" w:rsidP="009F5D71">
            <w:pPr>
              <w:pStyle w:val="TableParagraph"/>
              <w:widowControl/>
              <w:spacing w:line="244" w:lineRule="exact"/>
              <w:jc w:val="center"/>
              <w:rPr>
                <w:rFonts w:asciiTheme="minorHAnsi" w:hAnsiTheme="minorHAnsi" w:cstheme="minorHAnsi"/>
                <w:sz w:val="20"/>
                <w:szCs w:val="20"/>
              </w:rPr>
            </w:pPr>
            <w:r w:rsidRPr="00190CA0">
              <w:rPr>
                <w:rFonts w:asciiTheme="minorHAnsi" w:hAnsiTheme="minorHAnsi" w:cstheme="minorHAnsi"/>
                <w:b/>
                <w:bCs/>
                <w:w w:val="99"/>
                <w:sz w:val="20"/>
                <w:szCs w:val="20"/>
              </w:rPr>
              <w:t>X</w:t>
            </w:r>
          </w:p>
        </w:tc>
        <w:tc>
          <w:tcPr>
            <w:tcW w:w="1194" w:type="pct"/>
          </w:tcPr>
          <w:p w14:paraId="1CED3C28" w14:textId="108E7A5A" w:rsidR="003E6547" w:rsidRPr="00B95E3D" w:rsidRDefault="003E6547" w:rsidP="009F5D71">
            <w:pPr>
              <w:pStyle w:val="TableParagraph"/>
              <w:widowControl/>
              <w:ind w:left="0" w:right="-51"/>
              <w:jc w:val="center"/>
              <w:rPr>
                <w:rFonts w:asciiTheme="minorHAnsi" w:hAnsiTheme="minorHAnsi" w:cstheme="minorHAnsi"/>
                <w:sz w:val="20"/>
                <w:szCs w:val="20"/>
              </w:rPr>
            </w:pPr>
            <w:r w:rsidRPr="00A56829">
              <w:rPr>
                <w:rFonts w:asciiTheme="minorHAnsi" w:hAnsiTheme="minorHAnsi" w:cstheme="minorHAnsi"/>
                <w:sz w:val="20"/>
                <w:szCs w:val="20"/>
              </w:rPr>
              <w:t>Not Registered</w:t>
            </w:r>
          </w:p>
        </w:tc>
      </w:tr>
      <w:tr w:rsidR="003E6547" w:rsidRPr="00B95E3D" w14:paraId="1FD45699" w14:textId="77777777" w:rsidTr="008D1461">
        <w:trPr>
          <w:trHeight w:hRule="exact" w:val="325"/>
          <w:jc w:val="center"/>
        </w:trPr>
        <w:tc>
          <w:tcPr>
            <w:tcW w:w="1417" w:type="pct"/>
            <w:vAlign w:val="bottom"/>
          </w:tcPr>
          <w:p w14:paraId="5BC78B5D" w14:textId="4A072E77" w:rsidR="003E6547" w:rsidRPr="00B95E3D" w:rsidRDefault="003E6547" w:rsidP="009F5D71">
            <w:pPr>
              <w:pStyle w:val="TableParagraph"/>
              <w:widowControl/>
              <w:spacing w:before="1" w:line="256" w:lineRule="auto"/>
              <w:rPr>
                <w:rFonts w:asciiTheme="minorHAnsi" w:hAnsiTheme="minorHAnsi" w:cstheme="minorHAnsi"/>
                <w:sz w:val="20"/>
                <w:szCs w:val="20"/>
              </w:rPr>
            </w:pPr>
            <w:r w:rsidRPr="00B95E3D">
              <w:rPr>
                <w:rFonts w:asciiTheme="minorHAnsi" w:hAnsiTheme="minorHAnsi" w:cstheme="minorHAnsi"/>
                <w:sz w:val="20"/>
                <w:szCs w:val="20"/>
              </w:rPr>
              <w:t>Tropical and subtropical Fruit</w:t>
            </w:r>
          </w:p>
        </w:tc>
        <w:tc>
          <w:tcPr>
            <w:tcW w:w="1149" w:type="pct"/>
          </w:tcPr>
          <w:p w14:paraId="113A603B" w14:textId="096B2805" w:rsidR="003E6547" w:rsidRPr="00B95E3D" w:rsidRDefault="003E6547" w:rsidP="009F5D71">
            <w:pPr>
              <w:pStyle w:val="TableParagraph"/>
              <w:widowControl/>
              <w:spacing w:line="244" w:lineRule="exact"/>
              <w:jc w:val="center"/>
              <w:rPr>
                <w:rFonts w:asciiTheme="minorHAnsi" w:hAnsiTheme="minorHAnsi" w:cstheme="minorHAnsi"/>
                <w:sz w:val="20"/>
                <w:szCs w:val="20"/>
              </w:rPr>
            </w:pPr>
            <w:r w:rsidRPr="00190CA0">
              <w:rPr>
                <w:rFonts w:asciiTheme="minorHAnsi" w:hAnsiTheme="minorHAnsi" w:cstheme="minorHAnsi"/>
                <w:b/>
                <w:bCs/>
                <w:w w:val="99"/>
                <w:sz w:val="20"/>
                <w:szCs w:val="20"/>
              </w:rPr>
              <w:t>X</w:t>
            </w:r>
          </w:p>
        </w:tc>
        <w:tc>
          <w:tcPr>
            <w:tcW w:w="1240" w:type="pct"/>
          </w:tcPr>
          <w:p w14:paraId="078A6B10" w14:textId="4C0726C5" w:rsidR="003E6547" w:rsidRPr="00B95E3D" w:rsidRDefault="003E6547" w:rsidP="009F5D71">
            <w:pPr>
              <w:pStyle w:val="TableParagraph"/>
              <w:widowControl/>
              <w:spacing w:line="244" w:lineRule="exact"/>
              <w:jc w:val="center"/>
              <w:rPr>
                <w:rFonts w:asciiTheme="minorHAnsi" w:hAnsiTheme="minorHAnsi" w:cstheme="minorHAnsi"/>
                <w:sz w:val="20"/>
                <w:szCs w:val="20"/>
              </w:rPr>
            </w:pPr>
            <w:r w:rsidRPr="00190CA0">
              <w:rPr>
                <w:rFonts w:asciiTheme="minorHAnsi" w:hAnsiTheme="minorHAnsi" w:cstheme="minorHAnsi"/>
                <w:b/>
                <w:bCs/>
                <w:w w:val="99"/>
                <w:sz w:val="20"/>
                <w:szCs w:val="20"/>
              </w:rPr>
              <w:t>X</w:t>
            </w:r>
          </w:p>
        </w:tc>
        <w:tc>
          <w:tcPr>
            <w:tcW w:w="1194" w:type="pct"/>
          </w:tcPr>
          <w:p w14:paraId="6439FE0E" w14:textId="4CA3FBFE" w:rsidR="003E6547" w:rsidRPr="00B95E3D" w:rsidRDefault="003E6547" w:rsidP="009F5D71">
            <w:pPr>
              <w:pStyle w:val="TableParagraph"/>
              <w:widowControl/>
              <w:ind w:left="0" w:right="-51"/>
              <w:jc w:val="center"/>
              <w:rPr>
                <w:rFonts w:asciiTheme="minorHAnsi" w:hAnsiTheme="minorHAnsi" w:cstheme="minorHAnsi"/>
                <w:sz w:val="20"/>
                <w:szCs w:val="20"/>
              </w:rPr>
            </w:pPr>
            <w:r w:rsidRPr="00A56829">
              <w:rPr>
                <w:rFonts w:asciiTheme="minorHAnsi" w:hAnsiTheme="minorHAnsi" w:cstheme="minorHAnsi"/>
                <w:sz w:val="20"/>
                <w:szCs w:val="20"/>
              </w:rPr>
              <w:t>Not Registered</w:t>
            </w:r>
          </w:p>
        </w:tc>
      </w:tr>
      <w:tr w:rsidR="00D31228" w:rsidRPr="00B95E3D" w14:paraId="303B04A9" w14:textId="77777777" w:rsidTr="00B95E3D">
        <w:trPr>
          <w:trHeight w:hRule="exact" w:val="1045"/>
          <w:jc w:val="center"/>
        </w:trPr>
        <w:tc>
          <w:tcPr>
            <w:tcW w:w="5000" w:type="pct"/>
            <w:gridSpan w:val="4"/>
            <w:vAlign w:val="bottom"/>
          </w:tcPr>
          <w:p w14:paraId="300AFA8F" w14:textId="6C3630FD" w:rsidR="00E91A97" w:rsidRPr="009F5D71" w:rsidRDefault="00E91A97" w:rsidP="009F5D71">
            <w:pPr>
              <w:spacing w:after="0" w:line="240" w:lineRule="auto"/>
              <w:rPr>
                <w:rFonts w:asciiTheme="minorHAnsi" w:hAnsiTheme="minorHAnsi" w:cstheme="minorHAnsi"/>
                <w:color w:val="auto"/>
                <w:sz w:val="20"/>
                <w:szCs w:val="20"/>
              </w:rPr>
            </w:pPr>
            <w:r w:rsidRPr="009F5D71">
              <w:rPr>
                <w:rFonts w:asciiTheme="minorHAnsi" w:hAnsiTheme="minorHAnsi" w:cstheme="minorHAnsi"/>
                <w:color w:val="auto"/>
                <w:sz w:val="20"/>
                <w:szCs w:val="20"/>
                <w:vertAlign w:val="superscript"/>
              </w:rPr>
              <w:t>1</w:t>
            </w:r>
            <w:r w:rsidR="009F5D71">
              <w:rPr>
                <w:rFonts w:asciiTheme="minorHAnsi" w:hAnsiTheme="minorHAnsi" w:cstheme="minorHAnsi"/>
                <w:b/>
                <w:bCs/>
                <w:color w:val="auto"/>
                <w:sz w:val="20"/>
                <w:szCs w:val="20"/>
              </w:rPr>
              <w:t xml:space="preserve"> X </w:t>
            </w:r>
            <w:r w:rsidRPr="00AF1822">
              <w:rPr>
                <w:rFonts w:asciiTheme="minorHAnsi" w:hAnsiTheme="minorHAnsi" w:cstheme="minorHAnsi"/>
                <w:b/>
                <w:bCs/>
                <w:color w:val="auto"/>
                <w:sz w:val="20"/>
                <w:szCs w:val="20"/>
              </w:rPr>
              <w:t xml:space="preserve">= </w:t>
            </w:r>
            <w:r w:rsidRPr="00AF1822">
              <w:rPr>
                <w:rFonts w:asciiTheme="minorHAnsi" w:hAnsiTheme="minorHAnsi" w:cstheme="minorHAnsi"/>
                <w:color w:val="auto"/>
                <w:sz w:val="20"/>
                <w:szCs w:val="20"/>
              </w:rPr>
              <w:t>Use permitted and can be combined for the crop or the whole crop group unless crops are specified. For example, foliar and soil application is permitted/can be combined for Brassica, but seed treatment is permitted to broccoli and mustard only. In this case, foliar/soil/seed treatment are permitted to broccoli and mustard; No use: use is not permitted</w:t>
            </w:r>
          </w:p>
        </w:tc>
      </w:tr>
    </w:tbl>
    <w:p w14:paraId="0AE8335E" w14:textId="77777777" w:rsidR="00E91A97" w:rsidRPr="00B95E3D" w:rsidRDefault="00E91A97" w:rsidP="009F5D71">
      <w:pPr>
        <w:autoSpaceDE w:val="0"/>
        <w:autoSpaceDN w:val="0"/>
        <w:spacing w:after="0" w:line="240" w:lineRule="auto"/>
        <w:ind w:left="100"/>
        <w:rPr>
          <w:rFonts w:asciiTheme="minorHAnsi" w:hAnsiTheme="minorHAnsi" w:cstheme="minorHAnsi"/>
          <w:b/>
          <w:i/>
          <w:color w:val="auto"/>
        </w:rPr>
      </w:pPr>
    </w:p>
    <w:p w14:paraId="511888F9" w14:textId="0C6B4950" w:rsidR="007E6C00" w:rsidRPr="009F5D71" w:rsidRDefault="007E6C00" w:rsidP="00BC2CC7">
      <w:pPr>
        <w:autoSpaceDE w:val="0"/>
        <w:autoSpaceDN w:val="0"/>
        <w:spacing w:after="0"/>
        <w:ind w:left="100"/>
        <w:rPr>
          <w:color w:val="auto"/>
        </w:rPr>
      </w:pPr>
      <w:r w:rsidRPr="009F5D71">
        <w:rPr>
          <w:b/>
          <w:i/>
          <w:color w:val="auto"/>
        </w:rPr>
        <w:t xml:space="preserve">Non-agricultural </w:t>
      </w:r>
      <w:r w:rsidRPr="009F5D71">
        <w:rPr>
          <w:color w:val="auto"/>
        </w:rPr>
        <w:t>use patterns include the following:</w:t>
      </w:r>
    </w:p>
    <w:p w14:paraId="354B93F2" w14:textId="0AD7C194" w:rsidR="007E6C00" w:rsidRPr="009F5D71" w:rsidRDefault="007E6C00" w:rsidP="00BC2CC7">
      <w:pPr>
        <w:numPr>
          <w:ilvl w:val="0"/>
          <w:numId w:val="3"/>
        </w:numPr>
        <w:tabs>
          <w:tab w:val="left" w:pos="1121"/>
        </w:tabs>
        <w:autoSpaceDE w:val="0"/>
        <w:autoSpaceDN w:val="0"/>
        <w:spacing w:after="0"/>
        <w:ind w:hanging="290"/>
        <w:rPr>
          <w:color w:val="auto"/>
        </w:rPr>
      </w:pPr>
      <w:r w:rsidRPr="009F5D71">
        <w:rPr>
          <w:color w:val="auto"/>
        </w:rPr>
        <w:t xml:space="preserve">Turf &amp; </w:t>
      </w:r>
      <w:r w:rsidR="009F5D71">
        <w:rPr>
          <w:color w:val="auto"/>
        </w:rPr>
        <w:t>o</w:t>
      </w:r>
      <w:r w:rsidRPr="009F5D71">
        <w:rPr>
          <w:color w:val="auto"/>
        </w:rPr>
        <w:t xml:space="preserve">rnamentals in </w:t>
      </w:r>
      <w:r w:rsidR="009F5D71">
        <w:rPr>
          <w:color w:val="auto"/>
        </w:rPr>
        <w:t>n</w:t>
      </w:r>
      <w:r w:rsidRPr="009F5D71">
        <w:rPr>
          <w:color w:val="auto"/>
        </w:rPr>
        <w:t xml:space="preserve">urseries and </w:t>
      </w:r>
      <w:r w:rsidR="009F5D71">
        <w:rPr>
          <w:color w:val="auto"/>
        </w:rPr>
        <w:t>r</w:t>
      </w:r>
      <w:r w:rsidRPr="009F5D71">
        <w:rPr>
          <w:color w:val="auto"/>
        </w:rPr>
        <w:t>esidential/</w:t>
      </w:r>
      <w:r w:rsidR="009F5D71">
        <w:rPr>
          <w:color w:val="auto"/>
        </w:rPr>
        <w:t>c</w:t>
      </w:r>
      <w:r w:rsidRPr="009F5D71">
        <w:rPr>
          <w:color w:val="auto"/>
        </w:rPr>
        <w:t>ommercial</w:t>
      </w:r>
      <w:r w:rsidRPr="00AF1822">
        <w:rPr>
          <w:color w:val="auto"/>
        </w:rPr>
        <w:t xml:space="preserve"> </w:t>
      </w:r>
      <w:r w:rsidR="009F5D71">
        <w:rPr>
          <w:color w:val="auto"/>
        </w:rPr>
        <w:t>a</w:t>
      </w:r>
      <w:r w:rsidRPr="009F5D71">
        <w:rPr>
          <w:color w:val="auto"/>
        </w:rPr>
        <w:t>reas;</w:t>
      </w:r>
    </w:p>
    <w:p w14:paraId="2F777C70" w14:textId="6FA9114E" w:rsidR="007E6C00" w:rsidRPr="009F5D71" w:rsidRDefault="007E6C00" w:rsidP="00BC2CC7">
      <w:pPr>
        <w:numPr>
          <w:ilvl w:val="0"/>
          <w:numId w:val="3"/>
        </w:numPr>
        <w:tabs>
          <w:tab w:val="left" w:pos="1099"/>
        </w:tabs>
        <w:autoSpaceDE w:val="0"/>
        <w:autoSpaceDN w:val="0"/>
        <w:spacing w:after="0"/>
        <w:ind w:hanging="290"/>
        <w:rPr>
          <w:color w:val="auto"/>
        </w:rPr>
      </w:pPr>
      <w:r w:rsidRPr="009F5D71">
        <w:rPr>
          <w:color w:val="auto"/>
        </w:rPr>
        <w:t>Poplar/</w:t>
      </w:r>
      <w:r w:rsidR="009F5D71">
        <w:rPr>
          <w:color w:val="auto"/>
        </w:rPr>
        <w:t>c</w:t>
      </w:r>
      <w:r w:rsidRPr="009F5D71">
        <w:rPr>
          <w:color w:val="auto"/>
        </w:rPr>
        <w:t xml:space="preserve">ottonwood and Christmas </w:t>
      </w:r>
      <w:r w:rsidR="009F5D71">
        <w:rPr>
          <w:color w:val="auto"/>
        </w:rPr>
        <w:t>tr</w:t>
      </w:r>
      <w:r w:rsidRPr="009F5D71">
        <w:rPr>
          <w:color w:val="auto"/>
        </w:rPr>
        <w:t>ee</w:t>
      </w:r>
      <w:r w:rsidRPr="00AF1822">
        <w:rPr>
          <w:color w:val="auto"/>
        </w:rPr>
        <w:t xml:space="preserve"> </w:t>
      </w:r>
      <w:r w:rsidR="009F5D71">
        <w:rPr>
          <w:color w:val="auto"/>
        </w:rPr>
        <w:t>p</w:t>
      </w:r>
      <w:r w:rsidRPr="009F5D71">
        <w:rPr>
          <w:color w:val="auto"/>
        </w:rPr>
        <w:t>lantations;</w:t>
      </w:r>
    </w:p>
    <w:p w14:paraId="15EDA025" w14:textId="77777777" w:rsidR="007E6C00" w:rsidRPr="009F5D71" w:rsidRDefault="007E6C00" w:rsidP="00BC2CC7">
      <w:pPr>
        <w:numPr>
          <w:ilvl w:val="0"/>
          <w:numId w:val="3"/>
        </w:numPr>
        <w:tabs>
          <w:tab w:val="left" w:pos="1121"/>
        </w:tabs>
        <w:autoSpaceDE w:val="0"/>
        <w:autoSpaceDN w:val="0"/>
        <w:spacing w:after="0"/>
        <w:ind w:hanging="290"/>
        <w:rPr>
          <w:color w:val="auto"/>
        </w:rPr>
      </w:pPr>
      <w:r w:rsidRPr="009F5D71">
        <w:rPr>
          <w:color w:val="auto"/>
        </w:rPr>
        <w:t>Forestry;</w:t>
      </w:r>
    </w:p>
    <w:p w14:paraId="1F32580A" w14:textId="35C4646A" w:rsidR="007809D6" w:rsidRPr="009F5D71" w:rsidRDefault="007E6C00" w:rsidP="00BC2CC7">
      <w:pPr>
        <w:numPr>
          <w:ilvl w:val="0"/>
          <w:numId w:val="3"/>
        </w:numPr>
        <w:tabs>
          <w:tab w:val="left" w:pos="1116"/>
        </w:tabs>
        <w:autoSpaceDE w:val="0"/>
        <w:autoSpaceDN w:val="0"/>
        <w:spacing w:after="0"/>
        <w:ind w:hanging="290"/>
        <w:rPr>
          <w:color w:val="auto"/>
        </w:rPr>
      </w:pPr>
      <w:r w:rsidRPr="009F5D71">
        <w:rPr>
          <w:color w:val="auto"/>
        </w:rPr>
        <w:t xml:space="preserve">Bait &amp; </w:t>
      </w:r>
      <w:r w:rsidR="009F5D71">
        <w:rPr>
          <w:color w:val="auto"/>
        </w:rPr>
        <w:t>p</w:t>
      </w:r>
      <w:r w:rsidRPr="009F5D71">
        <w:rPr>
          <w:color w:val="auto"/>
        </w:rPr>
        <w:t>ellets in farms/residential/commercial areas;</w:t>
      </w:r>
      <w:r w:rsidRPr="00AF1822">
        <w:rPr>
          <w:color w:val="auto"/>
        </w:rPr>
        <w:t xml:space="preserve"> </w:t>
      </w:r>
    </w:p>
    <w:p w14:paraId="58255B8B" w14:textId="24238078" w:rsidR="007E6C00" w:rsidRPr="009F5D71" w:rsidRDefault="007809D6" w:rsidP="00BC2CC7">
      <w:pPr>
        <w:numPr>
          <w:ilvl w:val="0"/>
          <w:numId w:val="3"/>
        </w:numPr>
        <w:tabs>
          <w:tab w:val="left" w:pos="1116"/>
        </w:tabs>
        <w:autoSpaceDE w:val="0"/>
        <w:autoSpaceDN w:val="0"/>
        <w:spacing w:after="0"/>
        <w:ind w:hanging="290"/>
        <w:rPr>
          <w:color w:val="auto"/>
        </w:rPr>
      </w:pPr>
      <w:r w:rsidRPr="00AF1822">
        <w:rPr>
          <w:color w:val="auto"/>
        </w:rPr>
        <w:t>Pet collar</w:t>
      </w:r>
      <w:r w:rsidR="009F5D71">
        <w:rPr>
          <w:color w:val="auto"/>
        </w:rPr>
        <w:t>s</w:t>
      </w:r>
      <w:r w:rsidRPr="00AF1822">
        <w:rPr>
          <w:color w:val="auto"/>
        </w:rPr>
        <w:t xml:space="preserve">; </w:t>
      </w:r>
      <w:r w:rsidR="007E6C00" w:rsidRPr="009F5D71">
        <w:rPr>
          <w:color w:val="auto"/>
        </w:rPr>
        <w:t>and</w:t>
      </w:r>
    </w:p>
    <w:p w14:paraId="2C35D4DD" w14:textId="77777777" w:rsidR="007E6C00" w:rsidRPr="009F5D71" w:rsidRDefault="007E6C00" w:rsidP="00BC2CC7">
      <w:pPr>
        <w:numPr>
          <w:ilvl w:val="0"/>
          <w:numId w:val="3"/>
        </w:numPr>
        <w:tabs>
          <w:tab w:val="left" w:pos="1116"/>
        </w:tabs>
        <w:autoSpaceDE w:val="0"/>
        <w:autoSpaceDN w:val="0"/>
        <w:spacing w:after="0"/>
        <w:ind w:hanging="290"/>
        <w:rPr>
          <w:color w:val="auto"/>
        </w:rPr>
      </w:pPr>
      <w:r w:rsidRPr="009F5D71">
        <w:rPr>
          <w:color w:val="auto"/>
        </w:rPr>
        <w:t>Controlling burrowing shrimp in commercial shellfish beds in Willapa Bay,</w:t>
      </w:r>
      <w:r w:rsidRPr="00AF1822">
        <w:rPr>
          <w:color w:val="auto"/>
        </w:rPr>
        <w:t xml:space="preserve"> </w:t>
      </w:r>
      <w:r w:rsidRPr="009F5D71">
        <w:rPr>
          <w:color w:val="auto"/>
        </w:rPr>
        <w:t>WA.</w:t>
      </w:r>
    </w:p>
    <w:p w14:paraId="673B3972" w14:textId="77777777" w:rsidR="00E91A97" w:rsidRPr="009F5D71" w:rsidRDefault="00E91A97" w:rsidP="00BC2CC7">
      <w:pPr>
        <w:autoSpaceDE w:val="0"/>
        <w:autoSpaceDN w:val="0"/>
        <w:spacing w:after="0"/>
        <w:ind w:left="100" w:right="256"/>
        <w:rPr>
          <w:color w:val="auto"/>
        </w:rPr>
      </w:pPr>
    </w:p>
    <w:p w14:paraId="61B89E71" w14:textId="7396ABB6" w:rsidR="00FC21AD" w:rsidRPr="00D31228" w:rsidRDefault="002C4936" w:rsidP="00BC2CC7">
      <w:pPr>
        <w:autoSpaceDE w:val="0"/>
        <w:autoSpaceDN w:val="0"/>
        <w:spacing w:after="0"/>
        <w:ind w:left="101" w:right="259"/>
        <w:rPr>
          <w:bCs/>
          <w:color w:val="auto"/>
        </w:rPr>
      </w:pPr>
      <w:r w:rsidRPr="009F5D71">
        <w:rPr>
          <w:color w:val="auto"/>
        </w:rPr>
        <w:t xml:space="preserve">A summary of </w:t>
      </w:r>
      <w:r w:rsidR="002565C5" w:rsidRPr="009F5D71">
        <w:rPr>
          <w:color w:val="auto"/>
        </w:rPr>
        <w:t xml:space="preserve">labeled </w:t>
      </w:r>
      <w:r w:rsidR="007E6C00" w:rsidRPr="009F5D71">
        <w:rPr>
          <w:color w:val="auto"/>
        </w:rPr>
        <w:t>non-a</w:t>
      </w:r>
      <w:r w:rsidR="007E6C00" w:rsidRPr="00D31228">
        <w:rPr>
          <w:color w:val="auto"/>
        </w:rPr>
        <w:t xml:space="preserve">gricultural use patterns </w:t>
      </w:r>
      <w:r w:rsidRPr="00D31228">
        <w:rPr>
          <w:color w:val="auto"/>
        </w:rPr>
        <w:t xml:space="preserve">are also included in </w:t>
      </w:r>
      <w:r w:rsidR="007E6C00" w:rsidRPr="00D31228">
        <w:rPr>
          <w:b/>
          <w:color w:val="auto"/>
        </w:rPr>
        <w:t xml:space="preserve">APPENDIX </w:t>
      </w:r>
      <w:r w:rsidR="002565C5">
        <w:rPr>
          <w:b/>
          <w:color w:val="auto"/>
        </w:rPr>
        <w:t>1-</w:t>
      </w:r>
      <w:r w:rsidR="00A15FB4" w:rsidRPr="00D31228">
        <w:rPr>
          <w:b/>
          <w:color w:val="auto"/>
        </w:rPr>
        <w:t>1</w:t>
      </w:r>
      <w:r w:rsidRPr="00D31228">
        <w:rPr>
          <w:color w:val="auto"/>
        </w:rPr>
        <w:t>.</w:t>
      </w:r>
      <w:r w:rsidR="00A15FB4" w:rsidRPr="00D31228">
        <w:rPr>
          <w:color w:val="auto"/>
        </w:rPr>
        <w:t xml:space="preserve"> </w:t>
      </w:r>
      <w:r w:rsidRPr="00D31228">
        <w:rPr>
          <w:color w:val="auto"/>
        </w:rPr>
        <w:t xml:space="preserve">Furthermore, a master use summary table and </w:t>
      </w:r>
      <w:r w:rsidR="00A15FB4" w:rsidRPr="00D31228">
        <w:rPr>
          <w:color w:val="auto"/>
        </w:rPr>
        <w:t>the</w:t>
      </w:r>
      <w:r w:rsidRPr="00D31228">
        <w:rPr>
          <w:color w:val="auto"/>
        </w:rPr>
        <w:t xml:space="preserve"> summary table used in aquatic modeling are </w:t>
      </w:r>
      <w:r w:rsidR="00A15FB4" w:rsidRPr="00D31228">
        <w:rPr>
          <w:color w:val="auto"/>
        </w:rPr>
        <w:t xml:space="preserve">included in </w:t>
      </w:r>
      <w:r w:rsidR="00A15FB4" w:rsidRPr="00D31228">
        <w:rPr>
          <w:b/>
          <w:color w:val="auto"/>
        </w:rPr>
        <w:t xml:space="preserve">APPENDIX </w:t>
      </w:r>
      <w:r w:rsidR="002565C5">
        <w:rPr>
          <w:b/>
          <w:color w:val="auto"/>
        </w:rPr>
        <w:t>1-</w:t>
      </w:r>
      <w:r w:rsidR="00A15FB4" w:rsidRPr="00D31228">
        <w:rPr>
          <w:b/>
          <w:color w:val="auto"/>
        </w:rPr>
        <w:t xml:space="preserve">2 </w:t>
      </w:r>
      <w:r w:rsidR="00A15FB4" w:rsidRPr="00D31228">
        <w:rPr>
          <w:bCs/>
          <w:color w:val="auto"/>
        </w:rPr>
        <w:t>and</w:t>
      </w:r>
      <w:r w:rsidR="00A15FB4" w:rsidRPr="00D31228">
        <w:rPr>
          <w:b/>
          <w:color w:val="auto"/>
        </w:rPr>
        <w:t xml:space="preserve"> APPENDIX </w:t>
      </w:r>
      <w:r w:rsidR="002565C5">
        <w:rPr>
          <w:b/>
          <w:color w:val="auto"/>
        </w:rPr>
        <w:t>1-</w:t>
      </w:r>
      <w:r w:rsidR="00A15FB4" w:rsidRPr="00D31228">
        <w:rPr>
          <w:b/>
          <w:color w:val="auto"/>
        </w:rPr>
        <w:t xml:space="preserve">3, </w:t>
      </w:r>
      <w:r w:rsidR="00A15FB4" w:rsidRPr="00D31228">
        <w:rPr>
          <w:bCs/>
          <w:color w:val="auto"/>
        </w:rPr>
        <w:t>respectively.</w:t>
      </w:r>
    </w:p>
    <w:p w14:paraId="7EC462BA" w14:textId="77777777" w:rsidR="002F7D3C" w:rsidRPr="00D31228" w:rsidRDefault="002F7D3C" w:rsidP="009F5D71">
      <w:pPr>
        <w:autoSpaceDE w:val="0"/>
        <w:autoSpaceDN w:val="0"/>
        <w:spacing w:after="0"/>
        <w:ind w:left="100" w:right="256"/>
        <w:rPr>
          <w:rFonts w:asciiTheme="minorHAnsi" w:hAnsiTheme="minorHAnsi" w:cstheme="minorBidi"/>
          <w:color w:val="auto"/>
        </w:rPr>
      </w:pPr>
    </w:p>
    <w:p w14:paraId="5CBB4FCA" w14:textId="0FB02E8B" w:rsidR="009D14F7" w:rsidRPr="00441CD8" w:rsidRDefault="009D14F7" w:rsidP="00441CD8">
      <w:pPr>
        <w:pStyle w:val="Heading2"/>
      </w:pPr>
      <w:bookmarkStart w:id="21" w:name="_Toc31220271"/>
      <w:bookmarkStart w:id="22" w:name="_Toc80121140"/>
      <w:r w:rsidRPr="00441CD8">
        <w:t>Usage Data</w:t>
      </w:r>
      <w:bookmarkEnd w:id="21"/>
      <w:bookmarkEnd w:id="22"/>
      <w:r w:rsidRPr="00441CD8">
        <w:t xml:space="preserve"> </w:t>
      </w:r>
    </w:p>
    <w:p w14:paraId="18F0E362" w14:textId="77777777" w:rsidR="009D14F7" w:rsidRPr="001366C0" w:rsidRDefault="009D14F7" w:rsidP="009F5D71">
      <w:pPr>
        <w:spacing w:after="0" w:line="240" w:lineRule="auto"/>
      </w:pPr>
    </w:p>
    <w:p w14:paraId="6C4FE8C3" w14:textId="58888735" w:rsidR="009D14F7" w:rsidRPr="00D31228" w:rsidRDefault="009D14F7" w:rsidP="00BC2CC7">
      <w:pPr>
        <w:spacing w:after="0"/>
        <w:rPr>
          <w:color w:val="auto"/>
        </w:rPr>
      </w:pPr>
      <w:bookmarkStart w:id="23" w:name="_Hlk55314925"/>
      <w:r w:rsidRPr="03D60D39">
        <w:rPr>
          <w:color w:val="auto"/>
        </w:rPr>
        <w:t>Between 2013 and 2018,</w:t>
      </w:r>
      <w:r w:rsidR="5F9DF070" w:rsidRPr="03D60D39">
        <w:rPr>
          <w:color w:val="auto"/>
        </w:rPr>
        <w:t xml:space="preserve"> for all the registered uses of imidacloprid, cumulatively</w:t>
      </w:r>
      <w:r w:rsidRPr="03D60D39">
        <w:rPr>
          <w:color w:val="auto"/>
        </w:rPr>
        <w:t xml:space="preserve"> the annual </w:t>
      </w:r>
      <w:r w:rsidR="7E7A1D28" w:rsidRPr="03D60D39">
        <w:rPr>
          <w:color w:val="auto"/>
        </w:rPr>
        <w:t xml:space="preserve">average </w:t>
      </w:r>
      <w:r w:rsidRPr="03D60D39">
        <w:rPr>
          <w:color w:val="auto"/>
        </w:rPr>
        <w:t xml:space="preserve">agricultural usage </w:t>
      </w:r>
      <w:r w:rsidR="41496974" w:rsidRPr="03D60D39">
        <w:rPr>
          <w:color w:val="auto"/>
        </w:rPr>
        <w:t>was</w:t>
      </w:r>
      <w:r w:rsidRPr="03D60D39">
        <w:rPr>
          <w:color w:val="auto"/>
        </w:rPr>
        <w:t xml:space="preserve"> approximately </w:t>
      </w:r>
      <w:r w:rsidR="000D56D7" w:rsidRPr="03D60D39">
        <w:rPr>
          <w:color w:val="auto"/>
        </w:rPr>
        <w:t>89</w:t>
      </w:r>
      <w:r w:rsidR="381F15EE" w:rsidRPr="03D60D39">
        <w:rPr>
          <w:color w:val="auto"/>
        </w:rPr>
        <w:t>1</w:t>
      </w:r>
      <w:r w:rsidR="000D56D7" w:rsidRPr="03D60D39">
        <w:rPr>
          <w:color w:val="auto"/>
        </w:rPr>
        <w:t xml:space="preserve">,400 </w:t>
      </w:r>
      <w:r w:rsidRPr="03D60D39">
        <w:rPr>
          <w:color w:val="auto"/>
        </w:rPr>
        <w:t xml:space="preserve">pounds of </w:t>
      </w:r>
      <w:r w:rsidR="006B10F2" w:rsidRPr="03D60D39">
        <w:rPr>
          <w:color w:val="auto"/>
        </w:rPr>
        <w:t>imidacloprid</w:t>
      </w:r>
      <w:r w:rsidRPr="03D60D39">
        <w:rPr>
          <w:color w:val="auto"/>
        </w:rPr>
        <w:t xml:space="preserve"> whereas the total treated acreage was </w:t>
      </w:r>
      <w:r w:rsidR="000D56D7" w:rsidRPr="03D60D39">
        <w:rPr>
          <w:color w:val="auto"/>
        </w:rPr>
        <w:t>5.6</w:t>
      </w:r>
      <w:r w:rsidRPr="03D60D39">
        <w:rPr>
          <w:color w:val="auto"/>
        </w:rPr>
        <w:t xml:space="preserve"> million.</w:t>
      </w:r>
      <w:r w:rsidR="3FDDB398" w:rsidRPr="03D60D39">
        <w:rPr>
          <w:rFonts w:ascii="Segoe UI" w:eastAsia="Segoe UI" w:hAnsi="Segoe UI" w:cs="Segoe UI"/>
        </w:rPr>
        <w:t xml:space="preserve"> </w:t>
      </w:r>
      <w:r w:rsidR="3FDDB398" w:rsidRPr="03D60D39">
        <w:rPr>
          <w:rFonts w:asciiTheme="minorHAnsi" w:eastAsiaTheme="minorEastAsia" w:hAnsiTheme="minorHAnsi" w:cstheme="minorBidi"/>
        </w:rPr>
        <w:t xml:space="preserve">During this time frame, the crops with the most usage in terms of average annual total pounds of active ingredient applied were </w:t>
      </w:r>
      <w:r w:rsidR="292F7415" w:rsidRPr="03D60D39">
        <w:rPr>
          <w:rFonts w:asciiTheme="minorHAnsi" w:eastAsiaTheme="minorEastAsia" w:hAnsiTheme="minorHAnsi" w:cstheme="minorBidi"/>
        </w:rPr>
        <w:t>c</w:t>
      </w:r>
      <w:r w:rsidR="3FDDB398" w:rsidRPr="03D60D39">
        <w:rPr>
          <w:rFonts w:asciiTheme="minorHAnsi" w:eastAsiaTheme="minorEastAsia" w:hAnsiTheme="minorHAnsi" w:cstheme="minorBidi"/>
        </w:rPr>
        <w:t xml:space="preserve">otton (200,000), </w:t>
      </w:r>
      <w:r w:rsidR="635D54EF" w:rsidRPr="03D60D39">
        <w:rPr>
          <w:rFonts w:asciiTheme="minorHAnsi" w:eastAsiaTheme="minorEastAsia" w:hAnsiTheme="minorHAnsi" w:cstheme="minorBidi"/>
        </w:rPr>
        <w:t>g</w:t>
      </w:r>
      <w:r w:rsidR="3FDDB398" w:rsidRPr="03D60D39">
        <w:rPr>
          <w:rFonts w:asciiTheme="minorHAnsi" w:eastAsiaTheme="minorEastAsia" w:hAnsiTheme="minorHAnsi" w:cstheme="minorBidi"/>
        </w:rPr>
        <w:t xml:space="preserve">rapes (for wine) (100,000), </w:t>
      </w:r>
      <w:r w:rsidR="51A2D6B8" w:rsidRPr="03D60D39">
        <w:rPr>
          <w:rFonts w:asciiTheme="minorHAnsi" w:eastAsiaTheme="minorEastAsia" w:hAnsiTheme="minorHAnsi" w:cstheme="minorBidi"/>
        </w:rPr>
        <w:t>po</w:t>
      </w:r>
      <w:r w:rsidR="3FDDB398" w:rsidRPr="03D60D39">
        <w:rPr>
          <w:rFonts w:asciiTheme="minorHAnsi" w:eastAsiaTheme="minorEastAsia" w:hAnsiTheme="minorHAnsi" w:cstheme="minorBidi"/>
        </w:rPr>
        <w:t>tato</w:t>
      </w:r>
      <w:r w:rsidR="015623CA" w:rsidRPr="03D60D39">
        <w:rPr>
          <w:rFonts w:asciiTheme="minorHAnsi" w:eastAsiaTheme="minorEastAsia" w:hAnsiTheme="minorHAnsi" w:cstheme="minorBidi"/>
        </w:rPr>
        <w:t>es</w:t>
      </w:r>
      <w:r w:rsidR="3FDDB398" w:rsidRPr="03D60D39">
        <w:rPr>
          <w:rFonts w:asciiTheme="minorHAnsi" w:eastAsiaTheme="minorEastAsia" w:hAnsiTheme="minorHAnsi" w:cstheme="minorBidi"/>
        </w:rPr>
        <w:t xml:space="preserve"> (80,000), </w:t>
      </w:r>
      <w:r w:rsidR="7BED8390" w:rsidRPr="03D60D39">
        <w:rPr>
          <w:rFonts w:asciiTheme="minorHAnsi" w:eastAsiaTheme="minorEastAsia" w:hAnsiTheme="minorHAnsi" w:cstheme="minorBidi"/>
        </w:rPr>
        <w:t>o</w:t>
      </w:r>
      <w:r w:rsidR="3FDDB398" w:rsidRPr="03D60D39">
        <w:rPr>
          <w:rFonts w:asciiTheme="minorHAnsi" w:eastAsiaTheme="minorEastAsia" w:hAnsiTheme="minorHAnsi" w:cstheme="minorBidi"/>
        </w:rPr>
        <w:t>range</w:t>
      </w:r>
      <w:r w:rsidR="157D2CB1" w:rsidRPr="03D60D39">
        <w:rPr>
          <w:rFonts w:asciiTheme="minorHAnsi" w:eastAsiaTheme="minorEastAsia" w:hAnsiTheme="minorHAnsi" w:cstheme="minorBidi"/>
        </w:rPr>
        <w:t>s</w:t>
      </w:r>
      <w:r w:rsidR="3FDDB398" w:rsidRPr="03D60D39">
        <w:rPr>
          <w:rFonts w:asciiTheme="minorHAnsi" w:eastAsiaTheme="minorEastAsia" w:hAnsiTheme="minorHAnsi" w:cstheme="minorBidi"/>
        </w:rPr>
        <w:t xml:space="preserve"> (80,000), </w:t>
      </w:r>
      <w:r w:rsidR="76D10747" w:rsidRPr="03D60D39">
        <w:rPr>
          <w:rFonts w:asciiTheme="minorHAnsi" w:eastAsiaTheme="minorEastAsia" w:hAnsiTheme="minorHAnsi" w:cstheme="minorBidi"/>
        </w:rPr>
        <w:t>t</w:t>
      </w:r>
      <w:r w:rsidR="3FDDB398" w:rsidRPr="03D60D39">
        <w:rPr>
          <w:rFonts w:asciiTheme="minorHAnsi" w:eastAsiaTheme="minorEastAsia" w:hAnsiTheme="minorHAnsi" w:cstheme="minorBidi"/>
        </w:rPr>
        <w:t xml:space="preserve">omatoes (60,000), </w:t>
      </w:r>
      <w:r w:rsidR="26692427" w:rsidRPr="03D60D39">
        <w:rPr>
          <w:rFonts w:asciiTheme="minorHAnsi" w:eastAsiaTheme="minorEastAsia" w:hAnsiTheme="minorHAnsi" w:cstheme="minorBidi"/>
        </w:rPr>
        <w:t>p</w:t>
      </w:r>
      <w:r w:rsidR="3FDDB398" w:rsidRPr="03D60D39">
        <w:rPr>
          <w:rFonts w:asciiTheme="minorHAnsi" w:eastAsiaTheme="minorEastAsia" w:hAnsiTheme="minorHAnsi" w:cstheme="minorBidi"/>
        </w:rPr>
        <w:t xml:space="preserve">eanuts (60,000) and </w:t>
      </w:r>
      <w:r w:rsidR="46F1CF55" w:rsidRPr="03D60D39">
        <w:rPr>
          <w:rFonts w:asciiTheme="minorHAnsi" w:eastAsiaTheme="minorEastAsia" w:hAnsiTheme="minorHAnsi" w:cstheme="minorBidi"/>
        </w:rPr>
        <w:t>s</w:t>
      </w:r>
      <w:r w:rsidR="3FDDB398" w:rsidRPr="03D60D39">
        <w:rPr>
          <w:rFonts w:asciiTheme="minorHAnsi" w:eastAsiaTheme="minorEastAsia" w:hAnsiTheme="minorHAnsi" w:cstheme="minorBidi"/>
        </w:rPr>
        <w:t>oybeans (50,000)</w:t>
      </w:r>
      <w:r w:rsidR="00FC38B7" w:rsidRPr="03D60D39">
        <w:rPr>
          <w:rFonts w:asciiTheme="minorHAnsi" w:eastAsiaTheme="minorEastAsia" w:hAnsiTheme="minorHAnsi" w:cstheme="minorBidi"/>
          <w:color w:val="auto"/>
        </w:rPr>
        <w:t>.</w:t>
      </w:r>
      <w:r w:rsidRPr="03D60D39">
        <w:rPr>
          <w:color w:val="auto"/>
        </w:rPr>
        <w:t xml:space="preserve"> The crops with the most usage in terms of total treated acreage were the same with </w:t>
      </w:r>
      <w:r w:rsidR="00FC38B7" w:rsidRPr="03D60D39">
        <w:rPr>
          <w:color w:val="auto"/>
        </w:rPr>
        <w:t xml:space="preserve">1,500,000, </w:t>
      </w:r>
      <w:r w:rsidR="0B2A4C81" w:rsidRPr="03D60D39">
        <w:rPr>
          <w:color w:val="auto"/>
        </w:rPr>
        <w:t>1,300,0</w:t>
      </w:r>
      <w:r w:rsidR="00FC38B7" w:rsidRPr="03D60D39">
        <w:rPr>
          <w:color w:val="auto"/>
        </w:rPr>
        <w:t>0</w:t>
      </w:r>
      <w:r w:rsidR="622F433A" w:rsidRPr="03D60D39">
        <w:rPr>
          <w:color w:val="auto"/>
        </w:rPr>
        <w:t>0</w:t>
      </w:r>
      <w:r w:rsidR="00FC38B7" w:rsidRPr="03D60D39">
        <w:rPr>
          <w:color w:val="auto"/>
        </w:rPr>
        <w:t>,</w:t>
      </w:r>
      <w:r w:rsidR="0B275554" w:rsidRPr="03D60D39">
        <w:rPr>
          <w:color w:val="auto"/>
        </w:rPr>
        <w:t xml:space="preserve"> 400,000, 300,000, </w:t>
      </w:r>
      <w:r w:rsidR="00FC38B7" w:rsidRPr="03D60D39">
        <w:rPr>
          <w:color w:val="auto"/>
        </w:rPr>
        <w:t>3</w:t>
      </w:r>
      <w:r w:rsidR="6A025473" w:rsidRPr="03D60D39">
        <w:rPr>
          <w:color w:val="auto"/>
        </w:rPr>
        <w:t>0</w:t>
      </w:r>
      <w:r w:rsidR="00FC38B7" w:rsidRPr="03D60D39">
        <w:rPr>
          <w:color w:val="auto"/>
        </w:rPr>
        <w:t xml:space="preserve">0,000, </w:t>
      </w:r>
      <w:r w:rsidR="2A75268F" w:rsidRPr="03D60D39">
        <w:rPr>
          <w:color w:val="auto"/>
        </w:rPr>
        <w:t>30</w:t>
      </w:r>
      <w:r w:rsidR="00FC38B7" w:rsidRPr="03D60D39">
        <w:rPr>
          <w:color w:val="auto"/>
        </w:rPr>
        <w:t xml:space="preserve">0,000 and </w:t>
      </w:r>
      <w:r w:rsidR="51F4EA4C" w:rsidRPr="03D60D39">
        <w:rPr>
          <w:color w:val="auto"/>
        </w:rPr>
        <w:t>2</w:t>
      </w:r>
      <w:r w:rsidR="00FC38B7" w:rsidRPr="03D60D39">
        <w:rPr>
          <w:color w:val="auto"/>
        </w:rPr>
        <w:t>00</w:t>
      </w:r>
      <w:r w:rsidR="51F4EA4C" w:rsidRPr="03D60D39">
        <w:rPr>
          <w:color w:val="auto"/>
        </w:rPr>
        <w:t>,0</w:t>
      </w:r>
      <w:r w:rsidR="46408A42" w:rsidRPr="03D60D39">
        <w:rPr>
          <w:color w:val="auto"/>
        </w:rPr>
        <w:t>0</w:t>
      </w:r>
      <w:r w:rsidR="51F4EA4C" w:rsidRPr="03D60D39">
        <w:rPr>
          <w:color w:val="auto"/>
        </w:rPr>
        <w:t>0</w:t>
      </w:r>
      <w:r w:rsidR="00FC38B7" w:rsidRPr="03D60D39">
        <w:rPr>
          <w:color w:val="auto"/>
        </w:rPr>
        <w:t xml:space="preserve"> </w:t>
      </w:r>
      <w:r w:rsidRPr="03D60D39">
        <w:rPr>
          <w:color w:val="auto"/>
        </w:rPr>
        <w:t xml:space="preserve">acres treated for </w:t>
      </w:r>
      <w:r w:rsidR="00FC38B7" w:rsidRPr="03D60D39">
        <w:rPr>
          <w:color w:val="auto"/>
        </w:rPr>
        <w:t xml:space="preserve">cotton, </w:t>
      </w:r>
      <w:r w:rsidR="1BE3AF89" w:rsidRPr="03D60D39">
        <w:rPr>
          <w:color w:val="auto"/>
        </w:rPr>
        <w:t>soybeans</w:t>
      </w:r>
      <w:r w:rsidR="00FC38B7" w:rsidRPr="03D60D39">
        <w:rPr>
          <w:color w:val="auto"/>
        </w:rPr>
        <w:t xml:space="preserve">, </w:t>
      </w:r>
      <w:r w:rsidR="0B301677" w:rsidRPr="03D60D39">
        <w:rPr>
          <w:color w:val="auto"/>
        </w:rPr>
        <w:t>potatoes</w:t>
      </w:r>
      <w:r w:rsidR="00FC38B7" w:rsidRPr="03D60D39">
        <w:rPr>
          <w:color w:val="auto"/>
        </w:rPr>
        <w:t xml:space="preserve">, </w:t>
      </w:r>
      <w:r w:rsidR="2393162E" w:rsidRPr="03D60D39">
        <w:rPr>
          <w:color w:val="auto"/>
        </w:rPr>
        <w:t>tomatoes</w:t>
      </w:r>
      <w:r w:rsidR="00FC38B7" w:rsidRPr="03D60D39">
        <w:rPr>
          <w:color w:val="auto"/>
        </w:rPr>
        <w:t xml:space="preserve">, </w:t>
      </w:r>
      <w:r w:rsidR="2C95A95C" w:rsidRPr="03D60D39">
        <w:rPr>
          <w:color w:val="auto"/>
        </w:rPr>
        <w:t xml:space="preserve">oranges, grapes for wine, </w:t>
      </w:r>
      <w:r w:rsidR="00FC38B7" w:rsidRPr="03D60D39">
        <w:rPr>
          <w:color w:val="auto"/>
        </w:rPr>
        <w:t xml:space="preserve">and </w:t>
      </w:r>
      <w:r w:rsidR="73ABC76A" w:rsidRPr="03D60D39">
        <w:rPr>
          <w:color w:val="auto"/>
        </w:rPr>
        <w:t>peanuts</w:t>
      </w:r>
      <w:r w:rsidRPr="03D60D39">
        <w:rPr>
          <w:color w:val="auto"/>
        </w:rPr>
        <w:t xml:space="preserve">, respectively. On average, the states with the most agricultural usage in terms of pounds applied </w:t>
      </w:r>
      <w:r w:rsidR="68B9A78F" w:rsidRPr="03D60D39">
        <w:rPr>
          <w:color w:val="auto"/>
        </w:rPr>
        <w:t xml:space="preserve">on average, </w:t>
      </w:r>
      <w:r w:rsidRPr="03D60D39">
        <w:rPr>
          <w:color w:val="auto"/>
        </w:rPr>
        <w:t xml:space="preserve">per year were </w:t>
      </w:r>
      <w:r w:rsidR="001E3790" w:rsidRPr="03D60D39">
        <w:rPr>
          <w:color w:val="auto"/>
        </w:rPr>
        <w:t xml:space="preserve">California </w:t>
      </w:r>
      <w:r w:rsidRPr="03D60D39">
        <w:rPr>
          <w:color w:val="auto"/>
        </w:rPr>
        <w:t xml:space="preserve">with </w:t>
      </w:r>
      <w:r w:rsidR="236872D0" w:rsidRPr="03D60D39">
        <w:rPr>
          <w:color w:val="auto"/>
        </w:rPr>
        <w:t>~</w:t>
      </w:r>
      <w:r w:rsidR="001E3790" w:rsidRPr="03D60D39">
        <w:rPr>
          <w:color w:val="auto"/>
        </w:rPr>
        <w:t>3</w:t>
      </w:r>
      <w:r w:rsidR="67473251" w:rsidRPr="03D60D39">
        <w:rPr>
          <w:color w:val="auto"/>
        </w:rPr>
        <w:t>20</w:t>
      </w:r>
      <w:r w:rsidR="001E3790" w:rsidRPr="03D60D39">
        <w:rPr>
          <w:color w:val="auto"/>
        </w:rPr>
        <w:t>,</w:t>
      </w:r>
      <w:r w:rsidR="72A75F89" w:rsidRPr="03D60D39">
        <w:rPr>
          <w:color w:val="auto"/>
        </w:rPr>
        <w:t>0</w:t>
      </w:r>
      <w:r w:rsidR="001E3790" w:rsidRPr="03D60D39">
        <w:rPr>
          <w:color w:val="auto"/>
        </w:rPr>
        <w:t>00</w:t>
      </w:r>
      <w:r w:rsidRPr="03D60D39">
        <w:rPr>
          <w:color w:val="auto"/>
        </w:rPr>
        <w:t xml:space="preserve"> pounds, </w:t>
      </w:r>
      <w:r w:rsidR="001E3790" w:rsidRPr="03D60D39">
        <w:rPr>
          <w:color w:val="auto"/>
        </w:rPr>
        <w:t>Florida</w:t>
      </w:r>
      <w:r w:rsidRPr="03D60D39">
        <w:rPr>
          <w:color w:val="auto"/>
        </w:rPr>
        <w:t xml:space="preserve"> with </w:t>
      </w:r>
      <w:r w:rsidR="001E3790" w:rsidRPr="03D60D39">
        <w:rPr>
          <w:color w:val="auto"/>
        </w:rPr>
        <w:t>6</w:t>
      </w:r>
      <w:r w:rsidR="584AE2D7" w:rsidRPr="03D60D39">
        <w:rPr>
          <w:color w:val="auto"/>
        </w:rPr>
        <w:t>5</w:t>
      </w:r>
      <w:r w:rsidR="001E3790" w:rsidRPr="03D60D39">
        <w:rPr>
          <w:color w:val="auto"/>
        </w:rPr>
        <w:t>,</w:t>
      </w:r>
      <w:r w:rsidR="42B08EE4" w:rsidRPr="03D60D39">
        <w:rPr>
          <w:color w:val="auto"/>
        </w:rPr>
        <w:t>9</w:t>
      </w:r>
      <w:r w:rsidR="001E3790" w:rsidRPr="03D60D39">
        <w:rPr>
          <w:color w:val="auto"/>
        </w:rPr>
        <w:t>00</w:t>
      </w:r>
      <w:r w:rsidRPr="03D60D39">
        <w:rPr>
          <w:color w:val="auto"/>
        </w:rPr>
        <w:t xml:space="preserve"> pounds</w:t>
      </w:r>
      <w:r w:rsidR="001E3790" w:rsidRPr="03D60D39">
        <w:rPr>
          <w:color w:val="auto"/>
        </w:rPr>
        <w:t>,</w:t>
      </w:r>
      <w:r w:rsidRPr="03D60D39">
        <w:rPr>
          <w:color w:val="auto"/>
        </w:rPr>
        <w:t xml:space="preserve"> </w:t>
      </w:r>
      <w:r w:rsidR="001E3790" w:rsidRPr="03D60D39">
        <w:rPr>
          <w:color w:val="auto"/>
        </w:rPr>
        <w:t>G</w:t>
      </w:r>
      <w:r w:rsidR="598CC612" w:rsidRPr="03D60D39">
        <w:rPr>
          <w:color w:val="auto"/>
        </w:rPr>
        <w:t>e</w:t>
      </w:r>
      <w:r w:rsidR="001E3790" w:rsidRPr="03D60D39">
        <w:rPr>
          <w:color w:val="auto"/>
        </w:rPr>
        <w:t xml:space="preserve">orgia with 49,600 pounds, North Carolina with 45,000 pounds, </w:t>
      </w:r>
      <w:r w:rsidR="002B5918" w:rsidRPr="03D60D39">
        <w:rPr>
          <w:color w:val="auto"/>
        </w:rPr>
        <w:t>Idaho</w:t>
      </w:r>
      <w:r w:rsidR="001E3790" w:rsidRPr="03D60D39">
        <w:rPr>
          <w:color w:val="auto"/>
        </w:rPr>
        <w:t xml:space="preserve"> with </w:t>
      </w:r>
      <w:r w:rsidR="002B5918" w:rsidRPr="03D60D39">
        <w:rPr>
          <w:color w:val="auto"/>
        </w:rPr>
        <w:t>40,000</w:t>
      </w:r>
      <w:r w:rsidR="001E3790" w:rsidRPr="03D60D39">
        <w:rPr>
          <w:color w:val="auto"/>
        </w:rPr>
        <w:t xml:space="preserve"> pounds </w:t>
      </w:r>
      <w:r w:rsidRPr="03D60D39">
        <w:rPr>
          <w:color w:val="auto"/>
        </w:rPr>
        <w:t xml:space="preserve">and </w:t>
      </w:r>
      <w:r w:rsidR="002B5918" w:rsidRPr="03D60D39">
        <w:rPr>
          <w:color w:val="auto"/>
        </w:rPr>
        <w:t>Texas</w:t>
      </w:r>
      <w:r w:rsidRPr="03D60D39">
        <w:rPr>
          <w:color w:val="auto"/>
        </w:rPr>
        <w:t xml:space="preserve"> with </w:t>
      </w:r>
      <w:r w:rsidR="002B5918" w:rsidRPr="03D60D39">
        <w:rPr>
          <w:color w:val="auto"/>
        </w:rPr>
        <w:t>40,000</w:t>
      </w:r>
      <w:r w:rsidRPr="03D60D39">
        <w:rPr>
          <w:color w:val="auto"/>
        </w:rPr>
        <w:t xml:space="preserve"> pounds. Other states with between </w:t>
      </w:r>
      <w:r w:rsidR="002B5918" w:rsidRPr="03D60D39">
        <w:rPr>
          <w:color w:val="auto"/>
        </w:rPr>
        <w:t>&lt;500</w:t>
      </w:r>
      <w:r w:rsidRPr="03D60D39">
        <w:rPr>
          <w:color w:val="auto"/>
        </w:rPr>
        <w:t xml:space="preserve"> and </w:t>
      </w:r>
      <w:r w:rsidR="002B5918" w:rsidRPr="03D60D39">
        <w:rPr>
          <w:color w:val="auto"/>
        </w:rPr>
        <w:t>23,000</w:t>
      </w:r>
      <w:r w:rsidRPr="03D60D39">
        <w:rPr>
          <w:color w:val="auto"/>
        </w:rPr>
        <w:t xml:space="preserve"> pounds applied annually included </w:t>
      </w:r>
      <w:r w:rsidR="002B5918" w:rsidRPr="03D60D39">
        <w:rPr>
          <w:color w:val="auto"/>
        </w:rPr>
        <w:t xml:space="preserve">WA, AZ, LA, MI, IL </w:t>
      </w:r>
      <w:r w:rsidR="002565C5" w:rsidRPr="03D60D39">
        <w:rPr>
          <w:color w:val="auto"/>
        </w:rPr>
        <w:t>MO</w:t>
      </w:r>
      <w:r w:rsidR="002B5918" w:rsidRPr="03D60D39">
        <w:rPr>
          <w:color w:val="auto"/>
        </w:rPr>
        <w:t>, MS, KY, IA, ME</w:t>
      </w:r>
      <w:r w:rsidR="002565C5" w:rsidRPr="03D60D39">
        <w:rPr>
          <w:color w:val="auto"/>
        </w:rPr>
        <w:t xml:space="preserve">, </w:t>
      </w:r>
      <w:r w:rsidR="002B5918" w:rsidRPr="03D60D39">
        <w:rPr>
          <w:color w:val="auto"/>
        </w:rPr>
        <w:t xml:space="preserve">WI, TN, VA, PA, OK, NY, OR, CT, </w:t>
      </w:r>
      <w:proofErr w:type="gramStart"/>
      <w:r w:rsidR="002B5918" w:rsidRPr="03D60D39">
        <w:rPr>
          <w:color w:val="auto"/>
        </w:rPr>
        <w:t>MA</w:t>
      </w:r>
      <w:proofErr w:type="gramEnd"/>
      <w:r w:rsidR="002B5918" w:rsidRPr="03D60D39">
        <w:rPr>
          <w:color w:val="auto"/>
        </w:rPr>
        <w:t xml:space="preserve"> and MN</w:t>
      </w:r>
      <w:r w:rsidRPr="03D60D39">
        <w:rPr>
          <w:color w:val="auto"/>
        </w:rPr>
        <w:t xml:space="preserve"> </w:t>
      </w:r>
      <w:r w:rsidRPr="03D60D39">
        <w:rPr>
          <w:b/>
          <w:bCs/>
          <w:color w:val="auto"/>
        </w:rPr>
        <w:t xml:space="preserve">(APPENDIX </w:t>
      </w:r>
      <w:r w:rsidR="002565C5" w:rsidRPr="03D60D39">
        <w:rPr>
          <w:b/>
          <w:bCs/>
          <w:color w:val="auto"/>
        </w:rPr>
        <w:t>1-</w:t>
      </w:r>
      <w:r w:rsidRPr="03D60D39">
        <w:rPr>
          <w:b/>
          <w:bCs/>
          <w:color w:val="auto"/>
        </w:rPr>
        <w:t>4</w:t>
      </w:r>
      <w:r w:rsidRPr="03D60D39">
        <w:rPr>
          <w:color w:val="auto"/>
        </w:rPr>
        <w:t xml:space="preserve">).  </w:t>
      </w:r>
    </w:p>
    <w:p w14:paraId="50A16997" w14:textId="77777777" w:rsidR="009D14F7" w:rsidRPr="00D31228" w:rsidRDefault="009D14F7" w:rsidP="00BC2CC7">
      <w:pPr>
        <w:spacing w:after="0"/>
        <w:rPr>
          <w:color w:val="auto"/>
        </w:rPr>
      </w:pPr>
    </w:p>
    <w:p w14:paraId="5B5C9D4C" w14:textId="6C2DC860" w:rsidR="009D14F7" w:rsidRDefault="009D14F7" w:rsidP="00BC2CC7">
      <w:pPr>
        <w:spacing w:after="0"/>
        <w:rPr>
          <w:color w:val="auto"/>
        </w:rPr>
      </w:pPr>
      <w:r w:rsidRPr="3478DABA">
        <w:rPr>
          <w:color w:val="auto"/>
          <w:lang w:val="en-CA"/>
        </w:rPr>
        <w:t xml:space="preserve"> </w:t>
      </w:r>
      <w:r w:rsidR="00ED0904" w:rsidRPr="3478DABA">
        <w:rPr>
          <w:color w:val="auto"/>
          <w:lang w:val="en-CA"/>
        </w:rPr>
        <w:t>The m</w:t>
      </w:r>
      <w:r w:rsidRPr="3478DABA">
        <w:rPr>
          <w:color w:val="auto"/>
          <w:lang w:val="en-CA"/>
        </w:rPr>
        <w:t>ost recent non-agricultural usage data from 201</w:t>
      </w:r>
      <w:r w:rsidR="00976478" w:rsidRPr="3478DABA">
        <w:rPr>
          <w:color w:val="auto"/>
          <w:lang w:val="en-CA"/>
        </w:rPr>
        <w:t xml:space="preserve">4, 2015 </w:t>
      </w:r>
      <w:r w:rsidRPr="3478DABA">
        <w:rPr>
          <w:color w:val="auto"/>
          <w:lang w:val="en-CA"/>
        </w:rPr>
        <w:t xml:space="preserve">or 2016 depending on the use site (see </w:t>
      </w:r>
      <w:r w:rsidRPr="3478DABA">
        <w:rPr>
          <w:b/>
          <w:bCs/>
          <w:color w:val="auto"/>
          <w:lang w:val="en-CA"/>
        </w:rPr>
        <w:t>APPENDIX 1-4</w:t>
      </w:r>
      <w:r w:rsidRPr="3478DABA">
        <w:rPr>
          <w:color w:val="auto"/>
          <w:lang w:val="en-CA"/>
        </w:rPr>
        <w:t xml:space="preserve"> for details) shows that the largest use in terms of average annual pounds applied is application to</w:t>
      </w:r>
      <w:r w:rsidR="6B3C4228" w:rsidRPr="3478DABA">
        <w:rPr>
          <w:color w:val="auto"/>
          <w:lang w:val="en-CA"/>
        </w:rPr>
        <w:t xml:space="preserve"> application to building sites for termite control (220,0</w:t>
      </w:r>
      <w:r w:rsidR="66CA0218" w:rsidRPr="3478DABA">
        <w:rPr>
          <w:color w:val="auto"/>
          <w:lang w:val="en-CA"/>
        </w:rPr>
        <w:t>0</w:t>
      </w:r>
      <w:r w:rsidR="6B3C4228" w:rsidRPr="3478DABA">
        <w:rPr>
          <w:color w:val="auto"/>
          <w:lang w:val="en-CA"/>
        </w:rPr>
        <w:t>0 pounds), followed by</w:t>
      </w:r>
      <w:r w:rsidRPr="3478DABA">
        <w:rPr>
          <w:color w:val="auto"/>
          <w:lang w:val="en-CA"/>
        </w:rPr>
        <w:t xml:space="preserve"> </w:t>
      </w:r>
      <w:r w:rsidR="00976478" w:rsidRPr="3478DABA">
        <w:rPr>
          <w:color w:val="auto"/>
          <w:lang w:val="en-CA"/>
        </w:rPr>
        <w:t xml:space="preserve">indoor and </w:t>
      </w:r>
      <w:r w:rsidRPr="3478DABA">
        <w:rPr>
          <w:color w:val="auto"/>
          <w:lang w:val="en-CA"/>
        </w:rPr>
        <w:t>outdoor premises of household/domestic</w:t>
      </w:r>
      <w:r w:rsidR="0EA7358B" w:rsidRPr="3478DABA">
        <w:rPr>
          <w:color w:val="auto"/>
          <w:lang w:val="en-CA"/>
        </w:rPr>
        <w:t xml:space="preserve"> or </w:t>
      </w:r>
      <w:r w:rsidR="00BC2CC7">
        <w:rPr>
          <w:color w:val="auto"/>
          <w:lang w:val="en-CA"/>
        </w:rPr>
        <w:t>o</w:t>
      </w:r>
      <w:r w:rsidR="279E252C" w:rsidRPr="3478DABA">
        <w:rPr>
          <w:color w:val="auto"/>
          <w:lang w:val="en-CA"/>
        </w:rPr>
        <w:t>ccupational/</w:t>
      </w:r>
      <w:r w:rsidR="00BC2CC7">
        <w:rPr>
          <w:color w:val="auto"/>
          <w:lang w:val="en-CA"/>
        </w:rPr>
        <w:t>m</w:t>
      </w:r>
      <w:r w:rsidR="279E252C" w:rsidRPr="3478DABA">
        <w:rPr>
          <w:color w:val="auto"/>
          <w:lang w:val="en-CA"/>
        </w:rPr>
        <w:t>anufacturing/</w:t>
      </w:r>
      <w:r w:rsidR="00BC2CC7">
        <w:rPr>
          <w:color w:val="auto"/>
          <w:lang w:val="en-CA"/>
        </w:rPr>
        <w:t>p</w:t>
      </w:r>
      <w:r w:rsidR="279E252C" w:rsidRPr="3478DABA">
        <w:rPr>
          <w:color w:val="auto"/>
          <w:lang w:val="en-CA"/>
        </w:rPr>
        <w:t>rocessing/</w:t>
      </w:r>
      <w:r w:rsidR="00BC2CC7">
        <w:rPr>
          <w:color w:val="auto"/>
          <w:lang w:val="en-CA"/>
        </w:rPr>
        <w:t>i</w:t>
      </w:r>
      <w:r w:rsidR="279E252C" w:rsidRPr="3478DABA">
        <w:rPr>
          <w:color w:val="auto"/>
          <w:lang w:val="en-CA"/>
        </w:rPr>
        <w:t xml:space="preserve">ndustrial </w:t>
      </w:r>
      <w:r w:rsidR="00BC2CC7">
        <w:rPr>
          <w:color w:val="auto"/>
          <w:lang w:val="en-CA"/>
        </w:rPr>
        <w:t>a</w:t>
      </w:r>
      <w:r w:rsidR="279E252C" w:rsidRPr="3478DABA">
        <w:rPr>
          <w:color w:val="auto"/>
          <w:lang w:val="en-CA"/>
        </w:rPr>
        <w:t>reas, ranging from (2,000 up to 80,000</w:t>
      </w:r>
      <w:r w:rsidRPr="3478DABA">
        <w:rPr>
          <w:color w:val="auto"/>
          <w:lang w:val="en-CA"/>
        </w:rPr>
        <w:t xml:space="preserve"> pounds), </w:t>
      </w:r>
      <w:r w:rsidR="093399F3" w:rsidRPr="3478DABA">
        <w:rPr>
          <w:color w:val="auto"/>
          <w:lang w:val="en-CA"/>
        </w:rPr>
        <w:t>and</w:t>
      </w:r>
      <w:r w:rsidRPr="3478DABA">
        <w:rPr>
          <w:color w:val="auto"/>
          <w:lang w:val="en-CA"/>
        </w:rPr>
        <w:t xml:space="preserve"> </w:t>
      </w:r>
      <w:r w:rsidR="30076009" w:rsidRPr="3478DABA">
        <w:rPr>
          <w:color w:val="auto"/>
          <w:lang w:val="en-CA"/>
        </w:rPr>
        <w:t>tree</w:t>
      </w:r>
      <w:r w:rsidRPr="3478DABA">
        <w:rPr>
          <w:color w:val="auto"/>
          <w:lang w:val="en-CA"/>
        </w:rPr>
        <w:t xml:space="preserve"> sites (</w:t>
      </w:r>
      <w:r w:rsidR="00976478" w:rsidRPr="3478DABA">
        <w:rPr>
          <w:color w:val="auto"/>
          <w:lang w:val="en-CA"/>
        </w:rPr>
        <w:t>5,</w:t>
      </w:r>
      <w:r w:rsidR="498F51E7" w:rsidRPr="3478DABA">
        <w:rPr>
          <w:color w:val="auto"/>
          <w:lang w:val="en-CA"/>
        </w:rPr>
        <w:t>0</w:t>
      </w:r>
      <w:r w:rsidR="00976478" w:rsidRPr="3478DABA">
        <w:rPr>
          <w:color w:val="auto"/>
          <w:lang w:val="en-CA"/>
        </w:rPr>
        <w:t xml:space="preserve">00 </w:t>
      </w:r>
      <w:r w:rsidRPr="3478DABA">
        <w:rPr>
          <w:color w:val="auto"/>
          <w:lang w:val="en-CA"/>
        </w:rPr>
        <w:t>pounds)</w:t>
      </w:r>
      <w:r w:rsidRPr="3478DABA">
        <w:rPr>
          <w:b/>
          <w:bCs/>
          <w:color w:val="auto"/>
          <w:lang w:val="en-CA"/>
        </w:rPr>
        <w:t xml:space="preserve">. </w:t>
      </w:r>
      <w:r w:rsidRPr="3478DABA">
        <w:rPr>
          <w:color w:val="auto"/>
        </w:rPr>
        <w:t xml:space="preserve">Other use sites </w:t>
      </w:r>
      <w:r w:rsidR="00B81BF0" w:rsidRPr="3478DABA">
        <w:rPr>
          <w:color w:val="auto"/>
        </w:rPr>
        <w:t xml:space="preserve">were not surveyed including ornamentals in nurseries, turf (sod, golf course and other types of turf) in addition to bait applications to control insects, rodents, </w:t>
      </w:r>
      <w:r w:rsidR="00C61A9D" w:rsidRPr="3478DABA">
        <w:rPr>
          <w:color w:val="auto"/>
        </w:rPr>
        <w:t>ground squirrels and others.</w:t>
      </w:r>
      <w:r w:rsidRPr="3478DABA">
        <w:rPr>
          <w:color w:val="auto"/>
        </w:rPr>
        <w:t xml:space="preserve"> </w:t>
      </w:r>
    </w:p>
    <w:p w14:paraId="79B335C5" w14:textId="23235D3C" w:rsidR="007B146F" w:rsidRDefault="007B146F" w:rsidP="00BC2CC7">
      <w:pPr>
        <w:spacing w:after="0"/>
        <w:rPr>
          <w:color w:val="auto"/>
        </w:rPr>
      </w:pPr>
    </w:p>
    <w:p w14:paraId="1EBC91CD" w14:textId="1315DBCD" w:rsidR="007B146F" w:rsidRPr="00BC2CC7" w:rsidRDefault="007B146F" w:rsidP="00BC2CC7">
      <w:pPr>
        <w:spacing w:after="0"/>
        <w:rPr>
          <w:rStyle w:val="normaltextrun"/>
          <w:color w:val="auto"/>
        </w:rPr>
      </w:pPr>
      <w:r w:rsidRPr="007B146F">
        <w:rPr>
          <w:rStyle w:val="normaltextrun"/>
          <w:color w:val="auto"/>
          <w:shd w:val="clear" w:color="auto" w:fill="FFFFFF"/>
        </w:rPr>
        <w:t xml:space="preserve">Seed treatment with imidacloprid is generally considered to be </w:t>
      </w:r>
      <w:r w:rsidR="4E44575B" w:rsidRPr="29E7E6B5">
        <w:rPr>
          <w:rStyle w:val="normaltextrun"/>
          <w:color w:val="auto"/>
        </w:rPr>
        <w:t>widespread in terms of the number of crops and the percentage of the crop planted with treated seed. However, quantitative seed treatment usage data are difficult to obtain due to the complexities of capturing this usage information from growers. While verifiable quantitative usage data that indicate the total pounds active ingredient used to treat seed or the location and the number of acres planted with treated seed are not currently available, applications of imidacloprid to seed and seed pieces may be generally characterized as commonly used on a wide variety of crop seeds and seed pieces for planting based on extension recommendations and other information.</w:t>
      </w:r>
    </w:p>
    <w:bookmarkEnd w:id="23"/>
    <w:p w14:paraId="4A751D21" w14:textId="77777777" w:rsidR="009D14F7" w:rsidRPr="00C4422B" w:rsidRDefault="009D14F7" w:rsidP="009F5D71">
      <w:pPr>
        <w:spacing w:after="0" w:line="240" w:lineRule="auto"/>
        <w:rPr>
          <w:highlight w:val="yellow"/>
        </w:rPr>
      </w:pPr>
    </w:p>
    <w:p w14:paraId="09EB6398" w14:textId="77777777" w:rsidR="009D14F7" w:rsidRPr="00DA340C" w:rsidRDefault="009D14F7" w:rsidP="00444670">
      <w:pPr>
        <w:pStyle w:val="Heading1"/>
      </w:pPr>
      <w:bookmarkStart w:id="24" w:name="_Toc31220273"/>
      <w:bookmarkStart w:id="25" w:name="_Toc80121141"/>
      <w:r w:rsidRPr="00DA340C">
        <w:t>Overview</w:t>
      </w:r>
      <w:bookmarkEnd w:id="24"/>
      <w:r w:rsidRPr="00DA340C">
        <w:t xml:space="preserve"> of Environmental Fate</w:t>
      </w:r>
      <w:bookmarkEnd w:id="25"/>
    </w:p>
    <w:p w14:paraId="26586136" w14:textId="77777777" w:rsidR="009D14F7" w:rsidRPr="00BB3BB8" w:rsidRDefault="009D14F7" w:rsidP="009F5D71">
      <w:pPr>
        <w:keepNext/>
        <w:keepLines/>
        <w:spacing w:after="0" w:line="240" w:lineRule="auto"/>
      </w:pPr>
    </w:p>
    <w:p w14:paraId="7D663C2A" w14:textId="449769DE" w:rsidR="00E102BF" w:rsidRPr="00D31228" w:rsidRDefault="00E102BF" w:rsidP="00BC2CC7">
      <w:pPr>
        <w:spacing w:after="0"/>
        <w:rPr>
          <w:rFonts w:asciiTheme="minorHAnsi" w:hAnsiTheme="minorHAnsi"/>
          <w:color w:val="auto"/>
        </w:rPr>
      </w:pPr>
      <w:bookmarkStart w:id="26" w:name="_Hlk51846325"/>
      <w:r w:rsidRPr="00D31228">
        <w:rPr>
          <w:color w:val="auto"/>
        </w:rPr>
        <w:t xml:space="preserve">The major transport routes </w:t>
      </w:r>
      <w:r w:rsidR="00331E8B" w:rsidRPr="00D31228">
        <w:rPr>
          <w:color w:val="auto"/>
        </w:rPr>
        <w:t xml:space="preserve">from imidacloprid </w:t>
      </w:r>
      <w:r w:rsidRPr="00D31228">
        <w:rPr>
          <w:color w:val="auto"/>
        </w:rPr>
        <w:t>treated area</w:t>
      </w:r>
      <w:r w:rsidR="00331E8B" w:rsidRPr="00D31228">
        <w:rPr>
          <w:color w:val="auto"/>
        </w:rPr>
        <w:t>s</w:t>
      </w:r>
      <w:r w:rsidRPr="00D31228">
        <w:rPr>
          <w:color w:val="auto"/>
        </w:rPr>
        <w:t xml:space="preserve"> </w:t>
      </w:r>
      <w:r w:rsidR="00331E8B" w:rsidRPr="00D31228">
        <w:rPr>
          <w:color w:val="auto"/>
        </w:rPr>
        <w:t xml:space="preserve">are </w:t>
      </w:r>
      <w:r w:rsidRPr="00D31228">
        <w:rPr>
          <w:color w:val="auto"/>
        </w:rPr>
        <w:t>runoff and spray drift</w:t>
      </w:r>
      <w:r w:rsidRPr="00D31228">
        <w:rPr>
          <w:rFonts w:asciiTheme="minorHAnsi" w:hAnsiTheme="minorHAnsi"/>
          <w:color w:val="auto"/>
        </w:rPr>
        <w:t>.</w:t>
      </w:r>
      <w:r w:rsidRPr="00D31228">
        <w:rPr>
          <w:color w:val="auto"/>
        </w:rPr>
        <w:t xml:space="preserve"> Information on leachi</w:t>
      </w:r>
      <w:r w:rsidR="00231D54" w:rsidRPr="00D31228">
        <w:rPr>
          <w:color w:val="auto"/>
        </w:rPr>
        <w:t>ng</w:t>
      </w:r>
      <w:r w:rsidRPr="00D31228">
        <w:rPr>
          <w:color w:val="auto"/>
        </w:rPr>
        <w:t xml:space="preserve"> and adsorption/desorption indicate that imidacloprid is considered moderately mobile according to the Food and Agricultural Organization (FAO) mobility classification system</w:t>
      </w:r>
      <w:r w:rsidRPr="00D31228">
        <w:rPr>
          <w:rStyle w:val="FootnoteReference"/>
          <w:color w:val="auto"/>
        </w:rPr>
        <w:footnoteReference w:id="7"/>
      </w:r>
      <w:r w:rsidRPr="00D31228">
        <w:rPr>
          <w:color w:val="auto"/>
        </w:rPr>
        <w:t xml:space="preserve">.  Based on </w:t>
      </w:r>
      <w:r w:rsidRPr="00D31228">
        <w:rPr>
          <w:color w:val="auto"/>
        </w:rPr>
        <w:lastRenderedPageBreak/>
        <w:t xml:space="preserve">physical chemical properties as well as empirical data, imidacloprid is highly soluble in water, volatilization from soil and water surfaces is not expected to be a major transport pathway and </w:t>
      </w:r>
      <w:r w:rsidRPr="00D31228">
        <w:rPr>
          <w:rFonts w:asciiTheme="minorHAnsi" w:hAnsiTheme="minorHAnsi"/>
          <w:color w:val="auto"/>
        </w:rPr>
        <w:t>most likely not a concern for long-range transport. A low octanol-water partition coefficient (K</w:t>
      </w:r>
      <w:r w:rsidRPr="00D31228">
        <w:rPr>
          <w:rFonts w:asciiTheme="minorHAnsi" w:hAnsiTheme="minorHAnsi"/>
          <w:color w:val="auto"/>
          <w:vertAlign w:val="subscript"/>
        </w:rPr>
        <w:t>ow</w:t>
      </w:r>
      <w:r w:rsidRPr="00D31228">
        <w:rPr>
          <w:rFonts w:asciiTheme="minorHAnsi" w:hAnsiTheme="minorHAnsi"/>
          <w:color w:val="auto"/>
        </w:rPr>
        <w:t xml:space="preserve"> </w:t>
      </w:r>
      <w:r w:rsidR="005E04AC">
        <w:rPr>
          <w:rFonts w:asciiTheme="minorHAnsi" w:hAnsiTheme="minorHAnsi"/>
          <w:color w:val="auto"/>
        </w:rPr>
        <w:t xml:space="preserve">of </w:t>
      </w:r>
      <w:r w:rsidRPr="00D31228">
        <w:rPr>
          <w:rFonts w:asciiTheme="minorHAnsi" w:hAnsiTheme="minorHAnsi"/>
          <w:color w:val="auto"/>
        </w:rPr>
        <w:t xml:space="preserve">3.7) suggests that imidacloprid will have a low tendency to accumulate in aquatic and terrestrial organisms. </w:t>
      </w:r>
    </w:p>
    <w:p w14:paraId="561F016E" w14:textId="77777777" w:rsidR="00E102BF" w:rsidRPr="00D31228" w:rsidRDefault="00E102BF" w:rsidP="00BC2CC7">
      <w:pPr>
        <w:spacing w:after="0"/>
        <w:rPr>
          <w:iCs/>
          <w:color w:val="auto"/>
          <w:sz w:val="24"/>
          <w:szCs w:val="24"/>
        </w:rPr>
      </w:pPr>
    </w:p>
    <w:p w14:paraId="279627CA" w14:textId="27EF9656" w:rsidR="009D14F7" w:rsidRPr="00D31228" w:rsidRDefault="00156A28" w:rsidP="00BC2CC7">
      <w:pPr>
        <w:spacing w:after="0"/>
        <w:rPr>
          <w:rFonts w:asciiTheme="minorHAnsi" w:hAnsiTheme="minorHAnsi"/>
          <w:color w:val="auto"/>
        </w:rPr>
      </w:pPr>
      <w:r w:rsidRPr="00D31228">
        <w:rPr>
          <w:color w:val="auto"/>
        </w:rPr>
        <w:t>Imidacloprid is stable to abiotic hydrolysis</w:t>
      </w:r>
      <w:r w:rsidR="00331E8B" w:rsidRPr="00D31228">
        <w:rPr>
          <w:color w:val="auto"/>
        </w:rPr>
        <w:t xml:space="preserve"> and</w:t>
      </w:r>
      <w:r w:rsidRPr="00D31228">
        <w:rPr>
          <w:color w:val="auto"/>
        </w:rPr>
        <w:t xml:space="preserve"> highly persistent in aerobic soil/aquatic systems based on the Goring persistence scale</w:t>
      </w:r>
      <w:r w:rsidRPr="00D31228">
        <w:rPr>
          <w:rStyle w:val="FootnoteReference"/>
          <w:color w:val="auto"/>
        </w:rPr>
        <w:footnoteReference w:id="8"/>
      </w:r>
      <w:r w:rsidRPr="00D31228">
        <w:rPr>
          <w:color w:val="auto"/>
        </w:rPr>
        <w:t xml:space="preserve"> (half-lives </w:t>
      </w:r>
      <w:r w:rsidR="006179E2" w:rsidRPr="00D31228">
        <w:rPr>
          <w:color w:val="auto"/>
        </w:rPr>
        <w:t xml:space="preserve">254 and 236 </w:t>
      </w:r>
      <w:r w:rsidRPr="00D31228">
        <w:rPr>
          <w:color w:val="auto"/>
        </w:rPr>
        <w:t>days</w:t>
      </w:r>
      <w:r w:rsidR="006179E2" w:rsidRPr="00D31228">
        <w:rPr>
          <w:color w:val="auto"/>
        </w:rPr>
        <w:t>, respectively</w:t>
      </w:r>
      <w:r w:rsidRPr="00D31228">
        <w:rPr>
          <w:color w:val="auto"/>
        </w:rPr>
        <w:t xml:space="preserve">). In contrast, the chemical is non-persistent to photolysis in </w:t>
      </w:r>
      <w:r w:rsidR="00331E8B" w:rsidRPr="00D31228">
        <w:rPr>
          <w:color w:val="auto"/>
        </w:rPr>
        <w:t xml:space="preserve">shallow clear waters (half-life= </w:t>
      </w:r>
      <w:r w:rsidR="006179E2" w:rsidRPr="00D31228">
        <w:rPr>
          <w:color w:val="auto"/>
        </w:rPr>
        <w:t>0.2</w:t>
      </w:r>
      <w:r w:rsidR="00331E8B" w:rsidRPr="00D31228">
        <w:rPr>
          <w:color w:val="auto"/>
        </w:rPr>
        <w:t xml:space="preserve"> days). </w:t>
      </w:r>
      <w:r w:rsidR="009D14F7" w:rsidRPr="00D31228">
        <w:rPr>
          <w:rFonts w:asciiTheme="minorHAnsi" w:hAnsiTheme="minorHAnsi"/>
          <w:color w:val="auto"/>
        </w:rPr>
        <w:t xml:space="preserve">Additional details on the fate of </w:t>
      </w:r>
      <w:r w:rsidR="006B10F2" w:rsidRPr="00D31228">
        <w:rPr>
          <w:rFonts w:asciiTheme="minorHAnsi" w:hAnsiTheme="minorHAnsi"/>
          <w:color w:val="auto"/>
        </w:rPr>
        <w:t>imidacloprid</w:t>
      </w:r>
      <w:r w:rsidR="009D14F7" w:rsidRPr="00D31228">
        <w:rPr>
          <w:rFonts w:asciiTheme="minorHAnsi" w:hAnsiTheme="minorHAnsi"/>
          <w:color w:val="auto"/>
        </w:rPr>
        <w:t xml:space="preserve"> are provided in </w:t>
      </w:r>
      <w:bookmarkStart w:id="27" w:name="_Hlk67832183"/>
      <w:r w:rsidR="009D14F7" w:rsidRPr="00D31228">
        <w:rPr>
          <w:rFonts w:asciiTheme="minorHAnsi" w:hAnsiTheme="minorHAnsi"/>
          <w:b/>
          <w:color w:val="auto"/>
        </w:rPr>
        <w:t>Chapter 3</w:t>
      </w:r>
      <w:bookmarkEnd w:id="27"/>
      <w:r w:rsidR="009D14F7" w:rsidRPr="00D31228">
        <w:rPr>
          <w:rFonts w:asciiTheme="minorHAnsi" w:hAnsiTheme="minorHAnsi"/>
          <w:color w:val="auto"/>
        </w:rPr>
        <w:t xml:space="preserve"> of the Biological</w:t>
      </w:r>
      <w:r w:rsidR="00331E8B" w:rsidRPr="00D31228">
        <w:rPr>
          <w:rFonts w:asciiTheme="minorHAnsi" w:hAnsiTheme="minorHAnsi"/>
          <w:color w:val="auto"/>
        </w:rPr>
        <w:t xml:space="preserve"> </w:t>
      </w:r>
      <w:r w:rsidR="009D14F7" w:rsidRPr="00D31228">
        <w:rPr>
          <w:rFonts w:asciiTheme="minorHAnsi" w:hAnsiTheme="minorHAnsi"/>
          <w:color w:val="auto"/>
        </w:rPr>
        <w:t>Evaluation.</w:t>
      </w:r>
    </w:p>
    <w:p w14:paraId="41487B97" w14:textId="77777777" w:rsidR="00331E8B" w:rsidRPr="001C0E49" w:rsidRDefault="00331E8B" w:rsidP="00BC2CC7">
      <w:pPr>
        <w:spacing w:after="0"/>
        <w:rPr>
          <w:rFonts w:asciiTheme="minorHAnsi" w:hAnsiTheme="minorHAnsi" w:cstheme="minorHAnsi"/>
        </w:rPr>
      </w:pPr>
    </w:p>
    <w:p w14:paraId="46813BB0" w14:textId="77777777" w:rsidR="009D14F7" w:rsidRPr="004F3E09" w:rsidRDefault="009D14F7" w:rsidP="00BC2CC7">
      <w:pPr>
        <w:pStyle w:val="Heading1"/>
        <w:spacing w:line="259" w:lineRule="auto"/>
      </w:pPr>
      <w:bookmarkStart w:id="28" w:name="_Toc31220274"/>
      <w:bookmarkStart w:id="29" w:name="_Toc80121142"/>
      <w:bookmarkEnd w:id="26"/>
      <w:r w:rsidRPr="004F3E09">
        <w:t>Residue of Concern</w:t>
      </w:r>
      <w:bookmarkEnd w:id="28"/>
      <w:bookmarkEnd w:id="29"/>
      <w:r w:rsidRPr="004F3E09">
        <w:t xml:space="preserve"> </w:t>
      </w:r>
    </w:p>
    <w:p w14:paraId="66DB9777" w14:textId="77777777" w:rsidR="009D14F7" w:rsidRPr="00C4422B" w:rsidRDefault="009D14F7" w:rsidP="00BC2CC7">
      <w:pPr>
        <w:keepNext/>
        <w:spacing w:after="0"/>
        <w:rPr>
          <w:highlight w:val="yellow"/>
        </w:rPr>
      </w:pPr>
    </w:p>
    <w:p w14:paraId="4BD712D8" w14:textId="6A364A06" w:rsidR="0050029B" w:rsidRDefault="00331E8B" w:rsidP="00BC2CC7">
      <w:pPr>
        <w:pStyle w:val="NoSpacing"/>
        <w:spacing w:line="259" w:lineRule="auto"/>
        <w:rPr>
          <w:color w:val="auto"/>
        </w:rPr>
      </w:pPr>
      <w:bookmarkStart w:id="30" w:name="_Hlk51846342"/>
      <w:r w:rsidRPr="00D31228">
        <w:rPr>
          <w:color w:val="auto"/>
        </w:rPr>
        <w:t xml:space="preserve">As </w:t>
      </w:r>
      <w:r w:rsidR="00584206" w:rsidRPr="00D31228">
        <w:rPr>
          <w:color w:val="auto"/>
        </w:rPr>
        <w:t>discussed in</w:t>
      </w:r>
      <w:r w:rsidRPr="00D31228">
        <w:rPr>
          <w:color w:val="auto"/>
        </w:rPr>
        <w:t xml:space="preserve"> </w:t>
      </w:r>
      <w:r w:rsidRPr="00D31228">
        <w:rPr>
          <w:rFonts w:asciiTheme="minorHAnsi" w:hAnsiTheme="minorHAnsi"/>
          <w:b/>
          <w:color w:val="auto"/>
        </w:rPr>
        <w:t>Chapter 3</w:t>
      </w:r>
      <w:r w:rsidRPr="00D31228">
        <w:rPr>
          <w:color w:val="auto"/>
        </w:rPr>
        <w:t>, imidacloprid</w:t>
      </w:r>
      <w:r w:rsidR="003E6547">
        <w:rPr>
          <w:color w:val="auto"/>
        </w:rPr>
        <w:t xml:space="preserve"> is empirically shown to </w:t>
      </w:r>
      <w:r w:rsidRPr="00D31228">
        <w:rPr>
          <w:color w:val="auto"/>
        </w:rPr>
        <w:t xml:space="preserve">degrade into various products through multiple pathways. Metabolites identified from aerobic soil metabolism studies include IMI-olefin, nitrosamine, guanidine, and 5-keto urea isomers. The formation rates of the degradates from this pathway do not exceed 2% of the applied </w:t>
      </w:r>
      <w:r w:rsidR="00584206" w:rsidRPr="00D31228">
        <w:rPr>
          <w:color w:val="auto"/>
        </w:rPr>
        <w:t xml:space="preserve">parent and </w:t>
      </w:r>
      <w:r w:rsidRPr="00D31228">
        <w:rPr>
          <w:color w:val="auto"/>
        </w:rPr>
        <w:t xml:space="preserve">residues are therefore considered to be minor.  Conversely, in the aqueous photolysis pathway, imidacloprid degradates to the guanidine and urea metabolites at rates up to 17 and 10% of the applied residues, respectively. Formation rates for guanidine also reach 12 and 21% for the aerobic and anaerobic aquatic metabolism pathways, respectively.  </w:t>
      </w:r>
      <w:r w:rsidR="00B477DD">
        <w:rPr>
          <w:color w:val="auto"/>
        </w:rPr>
        <w:t>For aquatic organisms</w:t>
      </w:r>
      <w:r w:rsidR="00F7307C">
        <w:rPr>
          <w:color w:val="auto"/>
        </w:rPr>
        <w:t>,</w:t>
      </w:r>
      <w:r w:rsidR="00B477DD" w:rsidRPr="00D31228">
        <w:rPr>
          <w:color w:val="auto"/>
        </w:rPr>
        <w:t xml:space="preserve"> available acute toxicity data for the guanidine and urea degradates indicate their toxicity is at least 3 orders of magnitude less than </w:t>
      </w:r>
      <w:r w:rsidR="00F7307C">
        <w:rPr>
          <w:color w:val="auto"/>
        </w:rPr>
        <w:t>that of</w:t>
      </w:r>
      <w:r w:rsidR="00B477DD" w:rsidRPr="00D31228">
        <w:rPr>
          <w:color w:val="auto"/>
        </w:rPr>
        <w:t xml:space="preserve"> imidacloprid.  Therefore, the stressor of concern for</w:t>
      </w:r>
      <w:r w:rsidR="00B477DD">
        <w:rPr>
          <w:color w:val="auto"/>
        </w:rPr>
        <w:t xml:space="preserve"> aquatic and terrestrial organisms (except terrestrial invertebrates) in</w:t>
      </w:r>
      <w:r w:rsidR="00B477DD" w:rsidRPr="00D31228">
        <w:rPr>
          <w:color w:val="auto"/>
        </w:rPr>
        <w:t xml:space="preserve"> this assessment is determined to be imidacloprid alone.</w:t>
      </w:r>
      <w:r w:rsidR="00B477DD">
        <w:rPr>
          <w:color w:val="auto"/>
        </w:rPr>
        <w:t xml:space="preserve"> </w:t>
      </w:r>
    </w:p>
    <w:p w14:paraId="72C0C516" w14:textId="77777777" w:rsidR="0050029B" w:rsidRDefault="0050029B" w:rsidP="00BC2CC7">
      <w:pPr>
        <w:pStyle w:val="NoSpacing"/>
        <w:spacing w:line="259" w:lineRule="auto"/>
        <w:rPr>
          <w:color w:val="auto"/>
        </w:rPr>
      </w:pPr>
    </w:p>
    <w:p w14:paraId="6A7BA0A5" w14:textId="0727DFBA" w:rsidR="009D14F7" w:rsidRPr="00D31228" w:rsidRDefault="00B477DD" w:rsidP="00BC2CC7">
      <w:pPr>
        <w:pStyle w:val="NoSpacing"/>
        <w:spacing w:line="259" w:lineRule="auto"/>
        <w:rPr>
          <w:color w:val="auto"/>
        </w:rPr>
      </w:pPr>
      <w:r>
        <w:t>For terrestrial invertebrates</w:t>
      </w:r>
      <w:r w:rsidR="007A0024">
        <w:t>,</w:t>
      </w:r>
      <w:r>
        <w:t xml:space="preserve"> there is data that indicates two </w:t>
      </w:r>
      <w:r w:rsidR="007A0024">
        <w:t xml:space="preserve">plant-derived </w:t>
      </w:r>
      <w:r>
        <w:t>metabolites (IMI-olefin and IMI-5-OH) are of similar toxicity as imidacloprid to the honey bee, while other metabolites are much less toxic (</w:t>
      </w:r>
      <w:proofErr w:type="gramStart"/>
      <w:r>
        <w:rPr>
          <w:i/>
          <w:iCs/>
        </w:rPr>
        <w:t>e.g.</w:t>
      </w:r>
      <w:proofErr w:type="gramEnd"/>
      <w:r>
        <w:rPr>
          <w:i/>
          <w:iCs/>
        </w:rPr>
        <w:t xml:space="preserve"> </w:t>
      </w:r>
      <w:r>
        <w:t xml:space="preserve">6-CNA and urea). </w:t>
      </w:r>
      <w:r w:rsidR="007A0024">
        <w:t xml:space="preserve">These metabolites are produced within treated plants. </w:t>
      </w:r>
      <w:r>
        <w:t xml:space="preserve">Therefore, based on </w:t>
      </w:r>
      <w:r w:rsidR="007A0024">
        <w:t xml:space="preserve">similar </w:t>
      </w:r>
      <w:r>
        <w:t xml:space="preserve">toxicity of imidacloprid </w:t>
      </w:r>
      <w:r w:rsidR="007A0024">
        <w:t xml:space="preserve">and its plant </w:t>
      </w:r>
      <w:r>
        <w:t xml:space="preserve">metabolites to bees </w:t>
      </w:r>
      <w:r w:rsidR="007A0024">
        <w:t xml:space="preserve">(IMI-olefin, and IMI-5-OH), </w:t>
      </w:r>
      <w:r>
        <w:t xml:space="preserve">and their occurrence in pollen and nectar, the primary stressors of toxicological concern for terrestrial invertebrates in this assessment are </w:t>
      </w:r>
      <w:r w:rsidR="00F7307C">
        <w:t>i</w:t>
      </w:r>
      <w:r>
        <w:t xml:space="preserve">midacloprid, IMI-olefin, and IMI-5-OH. </w:t>
      </w:r>
    </w:p>
    <w:p w14:paraId="23CED3ED" w14:textId="77777777" w:rsidR="009D14F7" w:rsidRDefault="009D14F7" w:rsidP="00BC2CC7">
      <w:pPr>
        <w:spacing w:after="0"/>
      </w:pPr>
      <w:bookmarkStart w:id="31" w:name="_Toc31220275"/>
      <w:bookmarkEnd w:id="30"/>
    </w:p>
    <w:p w14:paraId="6411CFFF" w14:textId="77777777" w:rsidR="009D14F7" w:rsidRPr="002C29BA" w:rsidRDefault="009D14F7" w:rsidP="00BC2CC7">
      <w:pPr>
        <w:pStyle w:val="Heading1"/>
        <w:spacing w:line="259" w:lineRule="auto"/>
      </w:pPr>
      <w:bookmarkStart w:id="32" w:name="_Toc80121143"/>
      <w:r w:rsidRPr="002C29BA">
        <w:t>Analysis Plan</w:t>
      </w:r>
      <w:bookmarkEnd w:id="31"/>
      <w:bookmarkEnd w:id="32"/>
    </w:p>
    <w:p w14:paraId="1A65657F" w14:textId="77777777" w:rsidR="009D14F7" w:rsidRDefault="009D14F7" w:rsidP="00BC2CC7">
      <w:pPr>
        <w:keepNext/>
        <w:keepLines/>
        <w:spacing w:after="0"/>
      </w:pPr>
    </w:p>
    <w:p w14:paraId="3EF37647" w14:textId="00ED5140" w:rsidR="009D14F7" w:rsidRPr="00D31228" w:rsidRDefault="009D14F7" w:rsidP="00BC2CC7">
      <w:pPr>
        <w:spacing w:after="0"/>
        <w:rPr>
          <w:rStyle w:val="eop"/>
          <w:rFonts w:asciiTheme="minorHAnsi" w:hAnsiTheme="minorHAnsi" w:cstheme="minorHAnsi"/>
          <w:color w:val="auto"/>
        </w:rPr>
      </w:pPr>
      <w:bookmarkStart w:id="33" w:name="_Hlk33466025"/>
      <w:r w:rsidRPr="00D31228">
        <w:rPr>
          <w:rStyle w:val="eop"/>
          <w:rFonts w:asciiTheme="minorHAnsi" w:hAnsiTheme="minorHAnsi" w:cstheme="minorHAnsi"/>
          <w:color w:val="auto"/>
        </w:rPr>
        <w:t xml:space="preserve">Listed species and designated </w:t>
      </w:r>
      <w:r w:rsidRPr="007B146F">
        <w:rPr>
          <w:rStyle w:val="eop"/>
          <w:rFonts w:asciiTheme="minorHAnsi" w:hAnsiTheme="minorHAnsi" w:cstheme="minorHAnsi"/>
          <w:color w:val="auto"/>
        </w:rPr>
        <w:t xml:space="preserve">critical habitats that were listed as of </w:t>
      </w:r>
      <w:r w:rsidR="0080218B">
        <w:rPr>
          <w:rStyle w:val="eop"/>
          <w:rFonts w:asciiTheme="minorHAnsi" w:hAnsiTheme="minorHAnsi" w:cstheme="minorHAnsi"/>
          <w:color w:val="auto"/>
        </w:rPr>
        <w:t>Nov 1</w:t>
      </w:r>
      <w:r w:rsidRPr="007B146F">
        <w:rPr>
          <w:rStyle w:val="eop"/>
          <w:rFonts w:asciiTheme="minorHAnsi" w:hAnsiTheme="minorHAnsi" w:cstheme="minorHAnsi"/>
          <w:color w:val="auto"/>
        </w:rPr>
        <w:t>, 20</w:t>
      </w:r>
      <w:r w:rsidR="0080218B">
        <w:rPr>
          <w:rStyle w:val="eop"/>
          <w:rFonts w:asciiTheme="minorHAnsi" w:hAnsiTheme="minorHAnsi" w:cstheme="minorHAnsi"/>
          <w:color w:val="auto"/>
        </w:rPr>
        <w:t>20</w:t>
      </w:r>
      <w:r w:rsidRPr="007B146F">
        <w:rPr>
          <w:rStyle w:val="eop"/>
          <w:rFonts w:asciiTheme="minorHAnsi" w:hAnsiTheme="minorHAnsi" w:cstheme="minorHAnsi"/>
          <w:color w:val="auto"/>
        </w:rPr>
        <w:t xml:space="preserve"> are considered in this BE (see </w:t>
      </w:r>
      <w:r w:rsidRPr="007B146F">
        <w:rPr>
          <w:rStyle w:val="eop"/>
          <w:rFonts w:asciiTheme="minorHAnsi" w:hAnsiTheme="minorHAnsi" w:cstheme="minorHAnsi"/>
          <w:b/>
          <w:bCs/>
          <w:color w:val="auto"/>
        </w:rPr>
        <w:t>APPENDIX 4-1</w:t>
      </w:r>
      <w:r w:rsidRPr="007B146F">
        <w:rPr>
          <w:rStyle w:val="eop"/>
          <w:rFonts w:asciiTheme="minorHAnsi" w:hAnsiTheme="minorHAnsi" w:cstheme="minorHAnsi"/>
          <w:color w:val="auto"/>
        </w:rPr>
        <w:t xml:space="preserve"> for complete species lists). Effects determinations were made for </w:t>
      </w:r>
      <w:r w:rsidR="007B146F" w:rsidRPr="007B146F">
        <w:rPr>
          <w:rStyle w:val="eop"/>
          <w:rFonts w:asciiTheme="minorHAnsi" w:hAnsiTheme="minorHAnsi" w:cstheme="minorHAnsi"/>
          <w:color w:val="auto"/>
        </w:rPr>
        <w:t>1821</w:t>
      </w:r>
      <w:r w:rsidRPr="007B146F">
        <w:rPr>
          <w:rStyle w:val="eop"/>
          <w:rFonts w:asciiTheme="minorHAnsi" w:hAnsiTheme="minorHAnsi" w:cstheme="minorHAnsi"/>
          <w:color w:val="auto"/>
        </w:rPr>
        <w:t xml:space="preserve"> listed species and 79</w:t>
      </w:r>
      <w:r w:rsidR="007B146F" w:rsidRPr="007B146F">
        <w:rPr>
          <w:rStyle w:val="eop"/>
          <w:rFonts w:asciiTheme="minorHAnsi" w:hAnsiTheme="minorHAnsi" w:cstheme="minorHAnsi"/>
          <w:color w:val="auto"/>
        </w:rPr>
        <w:t>1</w:t>
      </w:r>
      <w:r w:rsidRPr="007B146F">
        <w:rPr>
          <w:rStyle w:val="eop"/>
          <w:rFonts w:asciiTheme="minorHAnsi" w:hAnsiTheme="minorHAnsi" w:cstheme="minorHAnsi"/>
          <w:color w:val="auto"/>
        </w:rPr>
        <w:t xml:space="preserve"> designated critical habitats. </w:t>
      </w:r>
    </w:p>
    <w:bookmarkEnd w:id="33"/>
    <w:p w14:paraId="1D0D6407" w14:textId="77777777" w:rsidR="009D14F7" w:rsidRPr="00D31228" w:rsidRDefault="009D14F7" w:rsidP="00BC2CC7">
      <w:pPr>
        <w:spacing w:after="0"/>
        <w:rPr>
          <w:rStyle w:val="eop"/>
          <w:rFonts w:asciiTheme="minorHAnsi" w:hAnsiTheme="minorHAnsi" w:cstheme="minorHAnsi"/>
          <w:color w:val="auto"/>
        </w:rPr>
      </w:pPr>
    </w:p>
    <w:p w14:paraId="25C3190A" w14:textId="66E58AB5" w:rsidR="009D14F7" w:rsidRPr="00D31228" w:rsidRDefault="009D14F7" w:rsidP="00BC2CC7">
      <w:pPr>
        <w:spacing w:after="0"/>
        <w:rPr>
          <w:rFonts w:eastAsiaTheme="minorEastAsia"/>
          <w:color w:val="auto"/>
        </w:rPr>
      </w:pPr>
      <w:r w:rsidRPr="00D31228">
        <w:rPr>
          <w:rStyle w:val="eop"/>
          <w:rFonts w:asciiTheme="minorHAnsi" w:hAnsiTheme="minorHAnsi" w:cstheme="minorHAnsi"/>
          <w:color w:val="auto"/>
        </w:rPr>
        <w:lastRenderedPageBreak/>
        <w:t>As described in the Revised Method</w:t>
      </w:r>
      <w:r w:rsidR="0050029B">
        <w:rPr>
          <w:rStyle w:val="FootnoteReference"/>
          <w:rFonts w:asciiTheme="minorHAnsi" w:hAnsiTheme="minorHAnsi" w:cstheme="minorHAnsi"/>
          <w:color w:val="auto"/>
        </w:rPr>
        <w:footnoteReference w:id="9"/>
      </w:r>
      <w:r w:rsidRPr="00D31228">
        <w:rPr>
          <w:rStyle w:val="eop"/>
          <w:rFonts w:asciiTheme="minorHAnsi" w:hAnsiTheme="minorHAnsi" w:cstheme="minorHAnsi"/>
          <w:color w:val="auto"/>
        </w:rPr>
        <w:t xml:space="preserve">, listed species risk assessments for pesticides include three steps. </w:t>
      </w:r>
      <w:r w:rsidRPr="00D31228">
        <w:rPr>
          <w:rFonts w:eastAsiaTheme="minorEastAsia"/>
          <w:color w:val="auto"/>
        </w:rPr>
        <w:t xml:space="preserve">Steps 1 and 2 are represented by the BE, which evaluates whether an individual of a listed species is reasonably expected to be exposed to a pesticide, and, if so, distinguishes effects that are likely to adversely affect an individual of a species from those that are not likely to adversely affect an individual. This process is also applied to the designated critical habitat of listed species (when available). In Step 1, for every listed species and designated critical habitat, EPA determines whether </w:t>
      </w:r>
      <w:r w:rsidR="006B10F2" w:rsidRPr="00D31228">
        <w:rPr>
          <w:rFonts w:eastAsiaTheme="minorEastAsia"/>
          <w:color w:val="auto"/>
        </w:rPr>
        <w:t>imidacloprid</w:t>
      </w:r>
      <w:r w:rsidRPr="00D31228">
        <w:rPr>
          <w:rFonts w:eastAsiaTheme="minorEastAsia"/>
          <w:color w:val="auto"/>
        </w:rPr>
        <w:t xml:space="preserve"> will have No Effect (NE) or May Affect (MA) (separate determinations made for each species and critical habitat). For those species and critical habitats with MA determinations in Step 1, EPA will determine if </w:t>
      </w:r>
      <w:r w:rsidR="006B10F2" w:rsidRPr="00D31228">
        <w:rPr>
          <w:rFonts w:eastAsiaTheme="minorEastAsia"/>
          <w:color w:val="auto"/>
        </w:rPr>
        <w:t>imidacloprid</w:t>
      </w:r>
      <w:r w:rsidRPr="00D31228">
        <w:rPr>
          <w:rFonts w:eastAsiaTheme="minorEastAsia"/>
          <w:color w:val="auto"/>
        </w:rPr>
        <w:t xml:space="preserve"> is Not Likely to Adversely Affect (NLAA) or Likely to Adversely Affect (LAA) each individual species or critical habitat. </w:t>
      </w:r>
    </w:p>
    <w:p w14:paraId="48A46CD3" w14:textId="77777777" w:rsidR="009D14F7" w:rsidRPr="00D31228" w:rsidRDefault="009D14F7" w:rsidP="00BC2CC7">
      <w:pPr>
        <w:spacing w:after="0"/>
        <w:rPr>
          <w:rFonts w:eastAsiaTheme="minorEastAsia"/>
          <w:color w:val="auto"/>
        </w:rPr>
      </w:pPr>
    </w:p>
    <w:p w14:paraId="66EFAC79" w14:textId="0F103DA5" w:rsidR="009D14F7" w:rsidRPr="00D31228" w:rsidRDefault="009D14F7" w:rsidP="00BC2CC7">
      <w:pPr>
        <w:spacing w:after="0"/>
        <w:rPr>
          <w:rFonts w:eastAsiaTheme="minorEastAsia"/>
          <w:color w:val="auto"/>
        </w:rPr>
      </w:pPr>
      <w:r w:rsidRPr="00D31228">
        <w:rPr>
          <w:rFonts w:eastAsiaTheme="minorEastAsia"/>
          <w:color w:val="auto"/>
        </w:rPr>
        <w:t xml:space="preserve">Details on the method, models and tools used for making NE, NLAA and LAA determinations are provided in the Revised Method. This analysis plan identifies </w:t>
      </w:r>
      <w:r w:rsidR="006B10F2" w:rsidRPr="00D31228">
        <w:rPr>
          <w:rFonts w:eastAsiaTheme="minorEastAsia"/>
          <w:color w:val="auto"/>
        </w:rPr>
        <w:t>imidacloprid</w:t>
      </w:r>
      <w:r w:rsidR="004C64F1">
        <w:rPr>
          <w:rFonts w:eastAsiaTheme="minorEastAsia"/>
          <w:color w:val="auto"/>
        </w:rPr>
        <w:t>-</w:t>
      </w:r>
      <w:r w:rsidRPr="00D31228">
        <w:rPr>
          <w:rFonts w:eastAsiaTheme="minorEastAsia"/>
          <w:color w:val="auto"/>
        </w:rPr>
        <w:t xml:space="preserve">specific information that is used in the Revised Method to complete this BE. </w:t>
      </w:r>
    </w:p>
    <w:p w14:paraId="13B88549" w14:textId="77777777" w:rsidR="009D14F7" w:rsidRPr="00D31228" w:rsidRDefault="009D14F7" w:rsidP="00BC2CC7">
      <w:pPr>
        <w:spacing w:after="0"/>
        <w:rPr>
          <w:rFonts w:eastAsiaTheme="minorEastAsia"/>
          <w:color w:val="auto"/>
        </w:rPr>
      </w:pPr>
    </w:p>
    <w:p w14:paraId="28DE0781" w14:textId="0F2CEBB8" w:rsidR="009D14F7" w:rsidRPr="00D31228" w:rsidRDefault="009D14F7" w:rsidP="00BC2CC7">
      <w:pPr>
        <w:spacing w:after="0"/>
        <w:rPr>
          <w:color w:val="auto"/>
        </w:rPr>
      </w:pPr>
      <w:r w:rsidRPr="00D31228">
        <w:rPr>
          <w:color w:val="auto"/>
        </w:rPr>
        <w:t xml:space="preserve">Step 1 begins with an analysis of the </w:t>
      </w:r>
      <w:r w:rsidRPr="007B146F">
        <w:rPr>
          <w:color w:val="auto"/>
        </w:rPr>
        <w:t>potential overlap of the action area and individual species ranges or critical habitat. For species or critical habitats with no overlap (</w:t>
      </w:r>
      <w:r w:rsidRPr="007B146F">
        <w:rPr>
          <w:i/>
          <w:iCs/>
          <w:color w:val="auto"/>
        </w:rPr>
        <w:t>i.e.,</w:t>
      </w:r>
      <w:r w:rsidRPr="007B146F">
        <w:rPr>
          <w:color w:val="auto"/>
        </w:rPr>
        <w:t xml:space="preserve"> species found outside of the action area), NE determinations are made. The currently registered uses (summarized in </w:t>
      </w:r>
      <w:r w:rsidRPr="007B146F">
        <w:rPr>
          <w:b/>
          <w:bCs/>
          <w:color w:val="auto"/>
        </w:rPr>
        <w:t xml:space="preserve">Section 4, APPENDIX 1-2 </w:t>
      </w:r>
      <w:r w:rsidRPr="007B146F">
        <w:rPr>
          <w:color w:val="auto"/>
        </w:rPr>
        <w:t>and</w:t>
      </w:r>
      <w:r w:rsidRPr="007B146F">
        <w:rPr>
          <w:b/>
          <w:bCs/>
          <w:color w:val="auto"/>
        </w:rPr>
        <w:t xml:space="preserve"> APPENDIX 1-3</w:t>
      </w:r>
      <w:r w:rsidRPr="007B146F">
        <w:rPr>
          <w:color w:val="auto"/>
        </w:rPr>
        <w:t xml:space="preserve">) include agricultural and non-agricultural uses. The </w:t>
      </w:r>
      <w:r w:rsidR="006B10F2" w:rsidRPr="007B146F">
        <w:rPr>
          <w:color w:val="auto"/>
        </w:rPr>
        <w:t>imidacloprid</w:t>
      </w:r>
      <w:r w:rsidRPr="007B146F">
        <w:rPr>
          <w:color w:val="auto"/>
        </w:rPr>
        <w:t xml:space="preserve"> overlap analysis is conducted using ArcGIS version 10.</w:t>
      </w:r>
      <w:r w:rsidR="00C90A4F">
        <w:rPr>
          <w:color w:val="auto"/>
        </w:rPr>
        <w:t>8</w:t>
      </w:r>
      <w:r w:rsidRPr="007B146F">
        <w:rPr>
          <w:color w:val="auto"/>
        </w:rPr>
        <w:t xml:space="preserve">. All labeled uses for </w:t>
      </w:r>
      <w:r w:rsidR="006B10F2" w:rsidRPr="007B146F">
        <w:rPr>
          <w:color w:val="auto"/>
        </w:rPr>
        <w:t>imidacloprid</w:t>
      </w:r>
      <w:r w:rsidRPr="007B146F">
        <w:rPr>
          <w:color w:val="auto"/>
        </w:rPr>
        <w:t xml:space="preserve"> are represented by one or more of the agricultural or non-agricultural Use Data Layers (UDL) created from a variety of landcover, land use and supplemental data sources (see </w:t>
      </w:r>
      <w:r w:rsidRPr="007B146F">
        <w:rPr>
          <w:b/>
          <w:bCs/>
          <w:color w:val="auto"/>
        </w:rPr>
        <w:t xml:space="preserve">APPENDIX 1-6 </w:t>
      </w:r>
      <w:r w:rsidRPr="007B146F">
        <w:rPr>
          <w:color w:val="auto"/>
        </w:rPr>
        <w:t>for details). Agricultural and non-agricultural use sites are combined to derive the action area (along with the associated off-</w:t>
      </w:r>
      <w:r w:rsidRPr="00D31228">
        <w:rPr>
          <w:color w:val="auto"/>
        </w:rPr>
        <w:t>site transport zone).</w:t>
      </w:r>
    </w:p>
    <w:p w14:paraId="0F530795" w14:textId="77777777" w:rsidR="007809D6" w:rsidRPr="00D31228" w:rsidRDefault="007809D6" w:rsidP="00BC2CC7">
      <w:pPr>
        <w:spacing w:after="0"/>
        <w:rPr>
          <w:color w:val="auto"/>
        </w:rPr>
      </w:pPr>
    </w:p>
    <w:p w14:paraId="68D2AC5D" w14:textId="7E4275CA" w:rsidR="009D14F7" w:rsidRPr="00D31228" w:rsidRDefault="009D14F7" w:rsidP="00BC2CC7">
      <w:pPr>
        <w:spacing w:after="0"/>
        <w:rPr>
          <w:color w:val="auto"/>
        </w:rPr>
      </w:pPr>
      <w:proofErr w:type="gramStart"/>
      <w:r w:rsidRPr="00D31228">
        <w:rPr>
          <w:color w:val="auto"/>
        </w:rPr>
        <w:t>A number of</w:t>
      </w:r>
      <w:proofErr w:type="gramEnd"/>
      <w:r w:rsidRPr="00D31228">
        <w:rPr>
          <w:color w:val="auto"/>
        </w:rPr>
        <w:t xml:space="preserve"> spatial data sources </w:t>
      </w:r>
      <w:r w:rsidR="00C03C16">
        <w:rPr>
          <w:color w:val="auto"/>
        </w:rPr>
        <w:t>are</w:t>
      </w:r>
      <w:r w:rsidR="00C03C16" w:rsidRPr="00D31228">
        <w:rPr>
          <w:color w:val="auto"/>
        </w:rPr>
        <w:t xml:space="preserve"> </w:t>
      </w:r>
      <w:r w:rsidRPr="00D31228">
        <w:rPr>
          <w:color w:val="auto"/>
        </w:rPr>
        <w:t xml:space="preserve">used to generate Use Data Layers (UDLs), which map the potential use sites for </w:t>
      </w:r>
      <w:r w:rsidR="006B10F2" w:rsidRPr="00D31228">
        <w:rPr>
          <w:color w:val="auto"/>
        </w:rPr>
        <w:t>imidacloprid</w:t>
      </w:r>
      <w:r w:rsidRPr="00D31228">
        <w:rPr>
          <w:color w:val="auto"/>
        </w:rPr>
        <w:t>. In the contiguous United States (ConUS), agricultural use pattern UDLs are represented by</w:t>
      </w:r>
      <w:r w:rsidRPr="00D31228" w:rsidDel="00552909">
        <w:rPr>
          <w:color w:val="auto"/>
        </w:rPr>
        <w:t xml:space="preserve"> </w:t>
      </w:r>
      <w:r w:rsidRPr="007B146F" w:rsidDel="00552909">
        <w:rPr>
          <w:color w:val="auto"/>
        </w:rPr>
        <w:t>using</w:t>
      </w:r>
      <w:r w:rsidRPr="007B146F">
        <w:rPr>
          <w:color w:val="auto"/>
        </w:rPr>
        <w:t xml:space="preserve"> the US Department of Agriculture’s (USDA) Crop Data Layer (CDL)</w:t>
      </w:r>
      <w:r w:rsidRPr="007B146F">
        <w:rPr>
          <w:rStyle w:val="FootnoteReference"/>
          <w:color w:val="auto"/>
        </w:rPr>
        <w:footnoteReference w:id="10"/>
      </w:r>
      <w:r w:rsidRPr="007B146F">
        <w:rPr>
          <w:color w:val="auto"/>
        </w:rPr>
        <w:t xml:space="preserve">.  This analysis utilizes data from 2013-2017. </w:t>
      </w:r>
      <w:r w:rsidRPr="007B146F">
        <w:rPr>
          <w:b/>
          <w:bCs/>
          <w:color w:val="auto"/>
        </w:rPr>
        <w:t xml:space="preserve">APPENDIX 1-5 </w:t>
      </w:r>
      <w:r w:rsidRPr="007B146F">
        <w:rPr>
          <w:color w:val="auto"/>
        </w:rPr>
        <w:t xml:space="preserve">includes a crosswalk between crops found in the CDL and the resulting UDL while </w:t>
      </w:r>
      <w:r w:rsidRPr="007B146F">
        <w:rPr>
          <w:b/>
          <w:bCs/>
          <w:color w:val="auto"/>
        </w:rPr>
        <w:t>APPENDIX 1-6</w:t>
      </w:r>
      <w:r w:rsidRPr="007B146F">
        <w:rPr>
          <w:color w:val="auto"/>
        </w:rPr>
        <w:t xml:space="preserve"> includes a crosswalk between </w:t>
      </w:r>
      <w:r w:rsidR="006B10F2" w:rsidRPr="007B146F">
        <w:rPr>
          <w:color w:val="auto"/>
        </w:rPr>
        <w:t>imidacloprid</w:t>
      </w:r>
      <w:r w:rsidRPr="007B146F">
        <w:rPr>
          <w:color w:val="auto"/>
        </w:rPr>
        <w:t xml:space="preserve">’s registered agricultural crops and those UDLs. </w:t>
      </w:r>
      <w:r w:rsidRPr="007B146F">
        <w:rPr>
          <w:b/>
          <w:bCs/>
          <w:color w:val="auto"/>
        </w:rPr>
        <w:t>APPENDIX 1-</w:t>
      </w:r>
      <w:r w:rsidR="3EBBD131" w:rsidRPr="598E7C6E">
        <w:rPr>
          <w:b/>
          <w:bCs/>
          <w:color w:val="auto"/>
        </w:rPr>
        <w:t>5</w:t>
      </w:r>
      <w:r w:rsidRPr="007B146F">
        <w:rPr>
          <w:color w:val="auto"/>
        </w:rPr>
        <w:t xml:space="preserve"> also defines how individual CDL layers are grouped into UDL categories</w:t>
      </w:r>
      <w:r w:rsidRPr="007B146F">
        <w:rPr>
          <w:rStyle w:val="FootnoteReference"/>
          <w:color w:val="auto"/>
        </w:rPr>
        <w:footnoteReference w:id="11"/>
      </w:r>
      <w:r w:rsidRPr="007B146F">
        <w:rPr>
          <w:color w:val="auto"/>
        </w:rPr>
        <w:t xml:space="preserve"> and temporally combined to account for the accuracy of the data. USDA’s 201</w:t>
      </w:r>
      <w:r w:rsidR="28105ECD" w:rsidRPr="598E7C6E">
        <w:rPr>
          <w:color w:val="auto"/>
        </w:rPr>
        <w:t>2</w:t>
      </w:r>
      <w:r w:rsidRPr="007B146F">
        <w:rPr>
          <w:color w:val="auto"/>
        </w:rPr>
        <w:t xml:space="preserve"> Census of Agriculture (</w:t>
      </w:r>
      <w:r w:rsidRPr="007C6FB4">
        <w:rPr>
          <w:color w:val="auto"/>
        </w:rPr>
        <w:t>CoA) is also used to improve accuracy of the individual UDLs by expanding the agricultural UDLs to meet or exceed the reported acres in the CoA as needed (</w:t>
      </w:r>
      <w:r w:rsidR="7459116B" w:rsidRPr="007C6FB4">
        <w:rPr>
          <w:color w:val="auto"/>
        </w:rPr>
        <w:t xml:space="preserve">see </w:t>
      </w:r>
      <w:r w:rsidR="7459116B" w:rsidRPr="007C6FB4">
        <w:rPr>
          <w:b/>
          <w:bCs/>
          <w:color w:val="auto"/>
        </w:rPr>
        <w:t xml:space="preserve">APPENDIX 1-5 </w:t>
      </w:r>
      <w:r w:rsidR="7459116B" w:rsidRPr="007C6FB4">
        <w:rPr>
          <w:color w:val="auto"/>
        </w:rPr>
        <w:t xml:space="preserve">for additional information on the UDLs and </w:t>
      </w:r>
      <w:r w:rsidRPr="007C6FB4">
        <w:rPr>
          <w:b/>
          <w:bCs/>
          <w:color w:val="auto"/>
        </w:rPr>
        <w:t>ATTACHMENT 1-3</w:t>
      </w:r>
      <w:r w:rsidR="511B55C1" w:rsidRPr="007C6FB4">
        <w:rPr>
          <w:color w:val="auto"/>
        </w:rPr>
        <w:t xml:space="preserve"> for additional information on extracting the acres from the CoA</w:t>
      </w:r>
      <w:r w:rsidRPr="007C6FB4">
        <w:rPr>
          <w:color w:val="auto"/>
        </w:rPr>
        <w:t>). The CDL is only available for ConUS, so other data sources are used to represent agricultural areas in states and U</w:t>
      </w:r>
      <w:r w:rsidRPr="007B146F">
        <w:rPr>
          <w:color w:val="auto"/>
        </w:rPr>
        <w:t>S territories outside of ConUS (referred to as NL48</w:t>
      </w:r>
      <w:r w:rsidRPr="007B146F">
        <w:rPr>
          <w:rStyle w:val="FootnoteReference"/>
          <w:color w:val="auto"/>
        </w:rPr>
        <w:footnoteReference w:id="12"/>
      </w:r>
      <w:r w:rsidRPr="007B146F">
        <w:rPr>
          <w:color w:val="auto"/>
        </w:rPr>
        <w:t xml:space="preserve">). In Alaska and </w:t>
      </w:r>
      <w:r w:rsidRPr="007B146F">
        <w:rPr>
          <w:color w:val="auto"/>
        </w:rPr>
        <w:lastRenderedPageBreak/>
        <w:t>Puerto Rico, the US Geological Survey’s 201</w:t>
      </w:r>
      <w:r w:rsidR="007B146F" w:rsidRPr="007B146F">
        <w:rPr>
          <w:color w:val="auto"/>
        </w:rPr>
        <w:t>6</w:t>
      </w:r>
      <w:r w:rsidR="7B0A4EF5" w:rsidRPr="598E7C6E">
        <w:rPr>
          <w:color w:val="auto"/>
        </w:rPr>
        <w:t xml:space="preserve"> and 2001</w:t>
      </w:r>
      <w:r w:rsidR="79024B9F" w:rsidRPr="598E7C6E">
        <w:rPr>
          <w:color w:val="auto"/>
        </w:rPr>
        <w:t xml:space="preserve"> </w:t>
      </w:r>
      <w:r w:rsidRPr="007B146F">
        <w:rPr>
          <w:color w:val="auto"/>
        </w:rPr>
        <w:t>National Land Cover Dataset (NLCD)</w:t>
      </w:r>
      <w:r w:rsidRPr="007B146F">
        <w:rPr>
          <w:rStyle w:val="FootnoteReference"/>
          <w:color w:val="auto"/>
        </w:rPr>
        <w:footnoteReference w:id="13"/>
      </w:r>
      <w:r w:rsidR="32C36C62" w:rsidRPr="77F556B2">
        <w:rPr>
          <w:color w:val="000000" w:themeColor="text1"/>
        </w:rPr>
        <w:t xml:space="preserve"> </w:t>
      </w:r>
      <w:r w:rsidR="00C03C16">
        <w:rPr>
          <w:color w:val="000000" w:themeColor="text1"/>
        </w:rPr>
        <w:t>are</w:t>
      </w:r>
      <w:r w:rsidR="32C36C62" w:rsidRPr="77F556B2">
        <w:rPr>
          <w:color w:val="000000" w:themeColor="text1"/>
        </w:rPr>
        <w:t xml:space="preserve"> used, respectively.</w:t>
      </w:r>
      <w:r w:rsidR="4DC91FC2" w:rsidRPr="598E7C6E">
        <w:rPr>
          <w:color w:val="000000" w:themeColor="text1"/>
        </w:rPr>
        <w:t xml:space="preserve"> </w:t>
      </w:r>
      <w:r w:rsidRPr="007B146F">
        <w:rPr>
          <w:color w:val="auto"/>
        </w:rPr>
        <w:t xml:space="preserve"> In Hawaii, Guam, American Samoa, Virgin Islands and Northern Mariana Islands, the National Oceanic and Atmospheric Administration’s Co</w:t>
      </w:r>
      <w:r w:rsidR="00432C6C">
        <w:rPr>
          <w:color w:val="auto"/>
        </w:rPr>
        <w:t>a</w:t>
      </w:r>
      <w:r w:rsidRPr="007B146F">
        <w:rPr>
          <w:color w:val="auto"/>
        </w:rPr>
        <w:t>stal Change Analysis Program (C-CAP)</w:t>
      </w:r>
      <w:r w:rsidRPr="007B146F">
        <w:rPr>
          <w:rStyle w:val="FootnoteReference"/>
          <w:color w:val="auto"/>
        </w:rPr>
        <w:footnoteReference w:id="14"/>
      </w:r>
      <w:r w:rsidRPr="007B146F">
        <w:rPr>
          <w:color w:val="auto"/>
        </w:rPr>
        <w:t xml:space="preserve"> data from </w:t>
      </w:r>
      <w:r w:rsidR="007B146F" w:rsidRPr="007B146F">
        <w:rPr>
          <w:color w:val="auto"/>
        </w:rPr>
        <w:t>20</w:t>
      </w:r>
      <w:r w:rsidR="55D04E61" w:rsidRPr="598E7C6E">
        <w:rPr>
          <w:color w:val="auto"/>
        </w:rPr>
        <w:t>04-2012</w:t>
      </w:r>
      <w:r w:rsidRPr="007B146F">
        <w:rPr>
          <w:color w:val="auto"/>
        </w:rPr>
        <w:t xml:space="preserve"> </w:t>
      </w:r>
      <w:r w:rsidR="00C03C16">
        <w:rPr>
          <w:color w:val="auto"/>
        </w:rPr>
        <w:t>are</w:t>
      </w:r>
      <w:r w:rsidR="00C03C16" w:rsidRPr="007B146F">
        <w:rPr>
          <w:color w:val="auto"/>
        </w:rPr>
        <w:t xml:space="preserve"> </w:t>
      </w:r>
      <w:r w:rsidRPr="007B146F">
        <w:rPr>
          <w:color w:val="auto"/>
        </w:rPr>
        <w:t>used. For non-agricultural use patterns in ConUS</w:t>
      </w:r>
      <w:r w:rsidR="486C3399" w:rsidRPr="598E7C6E">
        <w:rPr>
          <w:color w:val="auto"/>
        </w:rPr>
        <w:t xml:space="preserve"> and NL48</w:t>
      </w:r>
      <w:r w:rsidR="6B6817DA" w:rsidRPr="598E7C6E">
        <w:rPr>
          <w:color w:val="auto"/>
        </w:rPr>
        <w:t xml:space="preserve"> </w:t>
      </w:r>
      <w:r w:rsidRPr="007B146F">
        <w:rPr>
          <w:color w:val="auto"/>
        </w:rPr>
        <w:t xml:space="preserve">additional UDLs </w:t>
      </w:r>
      <w:r w:rsidR="00C03C16">
        <w:rPr>
          <w:color w:val="auto"/>
        </w:rPr>
        <w:t>are</w:t>
      </w:r>
      <w:r w:rsidR="00C03C16" w:rsidRPr="007B146F">
        <w:rPr>
          <w:color w:val="auto"/>
        </w:rPr>
        <w:t xml:space="preserve"> </w:t>
      </w:r>
      <w:r w:rsidRPr="007B146F">
        <w:rPr>
          <w:color w:val="auto"/>
        </w:rPr>
        <w:t xml:space="preserve">created to represent </w:t>
      </w:r>
      <w:r w:rsidR="006B10F2" w:rsidRPr="007B146F">
        <w:rPr>
          <w:color w:val="auto"/>
        </w:rPr>
        <w:t>imidacloprid</w:t>
      </w:r>
      <w:r w:rsidRPr="007B146F">
        <w:rPr>
          <w:color w:val="auto"/>
        </w:rPr>
        <w:t xml:space="preserve">’s registered uses. The data sources used for these UDLs included but </w:t>
      </w:r>
      <w:r w:rsidR="00AA3885">
        <w:rPr>
          <w:color w:val="auto"/>
        </w:rPr>
        <w:t>we</w:t>
      </w:r>
      <w:r w:rsidRPr="007B146F">
        <w:rPr>
          <w:color w:val="auto"/>
        </w:rPr>
        <w:t>re not limited to the NLCD 201</w:t>
      </w:r>
      <w:r w:rsidR="007B146F" w:rsidRPr="007B146F">
        <w:rPr>
          <w:color w:val="auto"/>
        </w:rPr>
        <w:t>6</w:t>
      </w:r>
      <w:r w:rsidRPr="007B146F">
        <w:rPr>
          <w:color w:val="auto"/>
        </w:rPr>
        <w:t xml:space="preserve">, GAP Protected Areas Database, LandFire and NAVTEQ. </w:t>
      </w:r>
      <w:r w:rsidR="0DE049CD" w:rsidRPr="77F556B2">
        <w:rPr>
          <w:color w:val="000000" w:themeColor="text1"/>
        </w:rPr>
        <w:t>A new non-agricultural layer representing possible poultry litter applications was developed for use in this BE.</w:t>
      </w:r>
      <w:r w:rsidR="0DE049CD" w:rsidRPr="007B146F">
        <w:rPr>
          <w:color w:val="auto"/>
        </w:rPr>
        <w:t xml:space="preserve"> </w:t>
      </w:r>
      <w:r w:rsidR="252F5478" w:rsidRPr="598E7C6E">
        <w:rPr>
          <w:color w:val="000000" w:themeColor="text1"/>
        </w:rPr>
        <w:t xml:space="preserve"> Due to the limited availability of GIS data in some of the NL48 regions, the Field Nurseries UDL could not be created in Commonwealth of the Northern Mariana Island, Guam, and America Samoa. </w:t>
      </w:r>
      <w:r w:rsidRPr="77F556B2">
        <w:rPr>
          <w:b/>
          <w:bCs/>
          <w:color w:val="auto"/>
        </w:rPr>
        <w:t>APPENDIX 1-6</w:t>
      </w:r>
      <w:r w:rsidRPr="00D31228">
        <w:rPr>
          <w:color w:val="auto"/>
        </w:rPr>
        <w:t xml:space="preserve"> summarizes all spatial data used to generate the agricultural and non-agricultural UDLs used for </w:t>
      </w:r>
      <w:r w:rsidR="006B10F2" w:rsidRPr="00D31228">
        <w:rPr>
          <w:color w:val="auto"/>
        </w:rPr>
        <w:t>imidacloprid</w:t>
      </w:r>
      <w:r w:rsidRPr="00D31228">
        <w:rPr>
          <w:color w:val="auto"/>
        </w:rPr>
        <w:t xml:space="preserve">’s potential use site footprints in the </w:t>
      </w:r>
      <w:r w:rsidRPr="574DC154">
        <w:rPr>
          <w:color w:val="auto"/>
        </w:rPr>
        <w:t>ConUS</w:t>
      </w:r>
      <w:r w:rsidRPr="77F556B2">
        <w:rPr>
          <w:color w:val="auto"/>
        </w:rPr>
        <w:t xml:space="preserve"> and NL48.</w:t>
      </w:r>
    </w:p>
    <w:p w14:paraId="752B5714" w14:textId="77777777" w:rsidR="009D14F7" w:rsidRPr="00D31228" w:rsidRDefault="009D14F7" w:rsidP="00BC2CC7">
      <w:pPr>
        <w:keepNext/>
        <w:keepLines/>
        <w:spacing w:after="0"/>
        <w:rPr>
          <w:color w:val="auto"/>
          <w:highlight w:val="yellow"/>
        </w:rPr>
      </w:pPr>
    </w:p>
    <w:p w14:paraId="1AB89EAB" w14:textId="76DA4DA5" w:rsidR="009D14F7" w:rsidRPr="00D31228" w:rsidRDefault="009D14F7" w:rsidP="00BC2CC7">
      <w:pPr>
        <w:spacing w:after="0"/>
        <w:rPr>
          <w:color w:val="auto"/>
        </w:rPr>
      </w:pPr>
      <w:r w:rsidRPr="77F556B2">
        <w:rPr>
          <w:color w:val="auto"/>
        </w:rPr>
        <w:t xml:space="preserve">The Step 2 overlap analysis incorporates </w:t>
      </w:r>
      <w:r w:rsidR="006B10F2" w:rsidRPr="77F556B2">
        <w:rPr>
          <w:color w:val="auto"/>
        </w:rPr>
        <w:t>imidacloprid</w:t>
      </w:r>
      <w:r w:rsidRPr="77F556B2">
        <w:rPr>
          <w:color w:val="auto"/>
        </w:rPr>
        <w:t xml:space="preserve"> usage data, which are provided in the SUUM (SIAB Use and Usage Matrix), combining it with information from the CoA</w:t>
      </w:r>
      <w:r w:rsidR="00604724">
        <w:rPr>
          <w:color w:val="auto"/>
        </w:rPr>
        <w:t xml:space="preserve"> 2017</w:t>
      </w:r>
      <w:r w:rsidRPr="77F556B2">
        <w:rPr>
          <w:color w:val="auto"/>
        </w:rPr>
        <w:t xml:space="preserve"> (</w:t>
      </w:r>
      <w:r w:rsidRPr="77F556B2">
        <w:rPr>
          <w:b/>
          <w:bCs/>
          <w:color w:val="auto"/>
        </w:rPr>
        <w:t>APPENDIX 1-4, ATTACHMENT 1-4</w:t>
      </w:r>
      <w:r w:rsidRPr="77F556B2">
        <w:rPr>
          <w:color w:val="auto"/>
        </w:rPr>
        <w:t xml:space="preserve">). </w:t>
      </w:r>
      <w:r w:rsidRPr="77F556B2">
        <w:rPr>
          <w:b/>
          <w:bCs/>
          <w:color w:val="auto"/>
        </w:rPr>
        <w:t xml:space="preserve">APPENDIX 1-7 </w:t>
      </w:r>
      <w:r w:rsidR="3352CF2C" w:rsidRPr="77F556B2">
        <w:rPr>
          <w:b/>
          <w:bCs/>
          <w:color w:val="auto"/>
        </w:rPr>
        <w:t xml:space="preserve">and 1-8 </w:t>
      </w:r>
      <w:r w:rsidRPr="77F556B2">
        <w:rPr>
          <w:color w:val="auto"/>
        </w:rPr>
        <w:t xml:space="preserve">describe how the usage data for </w:t>
      </w:r>
      <w:r w:rsidR="006B10F2" w:rsidRPr="77F556B2">
        <w:rPr>
          <w:color w:val="auto"/>
        </w:rPr>
        <w:t>imidacloprid</w:t>
      </w:r>
      <w:r w:rsidRPr="77F556B2">
        <w:rPr>
          <w:color w:val="auto"/>
        </w:rPr>
        <w:t>, the CoA</w:t>
      </w:r>
      <w:r w:rsidR="01E9DF6D" w:rsidRPr="77F556B2">
        <w:rPr>
          <w:color w:val="auto"/>
        </w:rPr>
        <w:t xml:space="preserve"> 2017</w:t>
      </w:r>
      <w:r w:rsidRPr="77F556B2">
        <w:rPr>
          <w:color w:val="auto"/>
        </w:rPr>
        <w:t xml:space="preserve">, and the potential use sites are combined to estimate the number of treated acres relevant to a given species located in ConUS or NL48 (respectively). These appendices also explain how the off-site transport zone (specifically spray drift) is adjusted based on available usage data. </w:t>
      </w:r>
    </w:p>
    <w:p w14:paraId="37ABB819" w14:textId="77777777" w:rsidR="009D14F7" w:rsidRPr="00D31228" w:rsidRDefault="009D14F7" w:rsidP="00BC2CC7">
      <w:pPr>
        <w:spacing w:after="0"/>
        <w:rPr>
          <w:color w:val="auto"/>
        </w:rPr>
      </w:pPr>
    </w:p>
    <w:p w14:paraId="43FBB3A5" w14:textId="704891CF" w:rsidR="0080218B" w:rsidRPr="0080218B" w:rsidRDefault="0080218B" w:rsidP="00BC2CC7">
      <w:pPr>
        <w:spacing w:after="0"/>
        <w:rPr>
          <w:rFonts w:eastAsiaTheme="minorEastAsia"/>
          <w:color w:val="auto"/>
        </w:rPr>
      </w:pPr>
      <w:bookmarkStart w:id="34" w:name="_Hlk52770918"/>
      <w:bookmarkStart w:id="35" w:name="_Hlk52771142"/>
      <w:r w:rsidRPr="03D60D39">
        <w:rPr>
          <w:rFonts w:eastAsiaTheme="minorEastAsia"/>
          <w:color w:val="auto"/>
        </w:rPr>
        <w:t>The Revised Method document stated “Over time, EPA expects to update the </w:t>
      </w:r>
      <w:proofErr w:type="gramStart"/>
      <w:r w:rsidRPr="03D60D39">
        <w:rPr>
          <w:rFonts w:eastAsiaTheme="minorEastAsia"/>
          <w:color w:val="auto"/>
        </w:rPr>
        <w:t>MAGtool</w:t>
      </w:r>
      <w:proofErr w:type="gramEnd"/>
      <w:r w:rsidRPr="03D60D39">
        <w:rPr>
          <w:rFonts w:eastAsiaTheme="minorEastAsia"/>
          <w:color w:val="auto"/>
        </w:rPr>
        <w:t> and other models and tools described in this document. When a pesticide BE is conducted, it will incorporate the most current versions of models and tools intended for use in the BEs.” </w:t>
      </w:r>
      <w:r w:rsidR="002A3531" w:rsidRPr="03D60D39">
        <w:rPr>
          <w:rFonts w:eastAsiaTheme="minorEastAsia"/>
        </w:rPr>
        <w:t xml:space="preserve">This BE is consistent with the Revised Method and updates include a refined exposure model for plants inhabiting terrestrial, wetland and aquatic habitats and updates to the MAGtool to improve accuracy, </w:t>
      </w:r>
      <w:proofErr w:type="gramStart"/>
      <w:r w:rsidR="002A3531" w:rsidRPr="03D60D39">
        <w:rPr>
          <w:rFonts w:eastAsiaTheme="minorEastAsia"/>
        </w:rPr>
        <w:t>efficiency</w:t>
      </w:r>
      <w:proofErr w:type="gramEnd"/>
      <w:r w:rsidR="002A3531" w:rsidRPr="03D60D39">
        <w:rPr>
          <w:rFonts w:eastAsiaTheme="minorEastAsia"/>
        </w:rPr>
        <w:t xml:space="preserve"> and transparency, as discussed below. </w:t>
      </w:r>
    </w:p>
    <w:p w14:paraId="2A278FFE" w14:textId="77777777" w:rsidR="0080218B" w:rsidRPr="0080218B" w:rsidRDefault="0080218B" w:rsidP="00BC2CC7">
      <w:pPr>
        <w:spacing w:after="0"/>
        <w:rPr>
          <w:rFonts w:eastAsiaTheme="minorEastAsia"/>
          <w:color w:val="auto"/>
        </w:rPr>
      </w:pPr>
      <w:r w:rsidRPr="0080218B">
        <w:rPr>
          <w:rFonts w:eastAsiaTheme="minorEastAsia" w:hint="eastAsia"/>
          <w:color w:val="auto"/>
        </w:rPr>
        <w:t> </w:t>
      </w:r>
    </w:p>
    <w:p w14:paraId="4ACBCEF3" w14:textId="160664FC" w:rsidR="0080218B" w:rsidRPr="0080218B" w:rsidRDefault="0080218B" w:rsidP="00BC2CC7">
      <w:pPr>
        <w:spacing w:after="0"/>
        <w:rPr>
          <w:rFonts w:eastAsiaTheme="minorEastAsia"/>
          <w:color w:val="auto"/>
        </w:rPr>
      </w:pPr>
      <w:r w:rsidRPr="0080218B">
        <w:rPr>
          <w:rFonts w:eastAsiaTheme="minorEastAsia"/>
          <w:color w:val="auto"/>
        </w:rPr>
        <w:t xml:space="preserve">To estimate exposures to plants in aquatic, wetland, and terrestrial habitats, this BE </w:t>
      </w:r>
      <w:proofErr w:type="gramStart"/>
      <w:r w:rsidRPr="0080218B">
        <w:rPr>
          <w:rFonts w:eastAsiaTheme="minorEastAsia"/>
          <w:color w:val="auto"/>
        </w:rPr>
        <w:t>uses</w:t>
      </w:r>
      <w:proofErr w:type="gramEnd"/>
      <w:r w:rsidRPr="0080218B">
        <w:rPr>
          <w:rFonts w:eastAsiaTheme="minorEastAsia"/>
          <w:color w:val="auto"/>
        </w:rPr>
        <w:t xml:space="preserve"> the Plant Assessment Tool (PAT), a new tool designed to refine screening-level exposure estimates to plants typically generated using TerrPlant. PAT employs mechanistic representations of fate (</w:t>
      </w:r>
      <w:r w:rsidRPr="0080218B">
        <w:rPr>
          <w:rFonts w:eastAsiaTheme="minorEastAsia"/>
          <w:i/>
          <w:iCs/>
          <w:color w:val="auto"/>
        </w:rPr>
        <w:t>e.g</w:t>
      </w:r>
      <w:r w:rsidRPr="0080218B">
        <w:rPr>
          <w:rFonts w:eastAsiaTheme="minorEastAsia"/>
          <w:color w:val="auto"/>
        </w:rPr>
        <w:t>., degradation) and transport (</w:t>
      </w:r>
      <w:r w:rsidRPr="0080218B">
        <w:rPr>
          <w:rFonts w:eastAsiaTheme="minorEastAsia"/>
          <w:i/>
          <w:iCs/>
          <w:color w:val="auto"/>
        </w:rPr>
        <w:t>e.g.</w:t>
      </w:r>
      <w:r w:rsidRPr="0080218B">
        <w:rPr>
          <w:rFonts w:eastAsiaTheme="minorEastAsia"/>
          <w:color w:val="auto"/>
        </w:rPr>
        <w:t xml:space="preserve">, runoff), using data that are typically available for pesticides, to model runoff and spray drift exposure to terrestrial and wetland environments. For terrestrial plants, runoff and erosion are modeled using the Pesticide Root Zone Model (PRZM; </w:t>
      </w:r>
      <w:r w:rsidR="00F35B8D" w:rsidRPr="00AC40EF">
        <w:rPr>
          <w:rStyle w:val="normaltextrun"/>
          <w:shd w:val="clear" w:color="auto" w:fill="FFFFFF"/>
        </w:rPr>
        <w:t xml:space="preserve">which is part of </w:t>
      </w:r>
      <w:r w:rsidR="00F35B8D" w:rsidRPr="00D910D7">
        <w:t xml:space="preserve">the Pesticide in Water Calculator </w:t>
      </w:r>
      <w:r w:rsidR="00F35B8D">
        <w:t>(</w:t>
      </w:r>
      <w:r w:rsidR="00F35B8D" w:rsidRPr="00AC40EF">
        <w:rPr>
          <w:rStyle w:val="normaltextrun"/>
          <w:shd w:val="clear" w:color="auto" w:fill="FFFFFF"/>
        </w:rPr>
        <w:t>PWC</w:t>
      </w:r>
      <w:r w:rsidR="00F35B8D">
        <w:rPr>
          <w:rStyle w:val="normaltextrun"/>
          <w:shd w:val="clear" w:color="auto" w:fill="FFFFFF"/>
        </w:rPr>
        <w:t>)</w:t>
      </w:r>
      <w:r w:rsidRPr="0080218B">
        <w:rPr>
          <w:rFonts w:eastAsiaTheme="minorEastAsia"/>
          <w:color w:val="auto"/>
        </w:rPr>
        <w:t>) and spray drift is modeled using AgDRIFT deposition values (also incorporated into the MAGtool). The model uses a mixing cell approach to represent water within the active root zone area of soil, and accounts for flow through the terrestrial plant exposure zone (T-PEZ) caused by both treated field runoff and direct precipitation onto the T-PEZ. Pesticide losses from the T-PEZ occur from transport (</w:t>
      </w:r>
      <w:r w:rsidRPr="0080218B">
        <w:rPr>
          <w:rFonts w:eastAsiaTheme="minorEastAsia"/>
          <w:i/>
          <w:iCs/>
          <w:color w:val="auto"/>
        </w:rPr>
        <w:t>i.e.</w:t>
      </w:r>
      <w:r w:rsidRPr="0080218B">
        <w:rPr>
          <w:rFonts w:eastAsiaTheme="minorEastAsia"/>
          <w:color w:val="auto"/>
        </w:rPr>
        <w:t xml:space="preserve">, washout and infiltration below the active root zone) and degradation. Wetlands are </w:t>
      </w:r>
      <w:r w:rsidRPr="0080218B">
        <w:rPr>
          <w:rFonts w:eastAsiaTheme="minorEastAsia"/>
          <w:color w:val="auto"/>
        </w:rPr>
        <w:lastRenderedPageBreak/>
        <w:t>modeled using PRZM and the Variable Volume Water Model (VVWM) and are then processed in PAT to estimate aquatic (mass per volume of water) and terrestrial (mass per area) concentrations. Aquatic plant exposure is modeled using the PRZM/VVWM models and the standard pond. The results from PAT are summarized for use in the MAGtool in the same way as the results from PWC. </w:t>
      </w:r>
    </w:p>
    <w:p w14:paraId="7E429039" w14:textId="49936666" w:rsidR="009D14F7" w:rsidRDefault="009D14F7" w:rsidP="00BC2CC7">
      <w:pPr>
        <w:spacing w:after="0"/>
        <w:rPr>
          <w:color w:val="auto"/>
          <w:shd w:val="clear" w:color="auto" w:fill="FFFFFF"/>
        </w:rPr>
      </w:pPr>
    </w:p>
    <w:p w14:paraId="23E15C95" w14:textId="77777777" w:rsidR="002A3531" w:rsidRDefault="002A3531" w:rsidP="00BC2CC7">
      <w:pPr>
        <w:spacing w:after="0"/>
      </w:pPr>
      <w:bookmarkStart w:id="36" w:name="_Hlk79994633"/>
      <w:r>
        <w:t>Since the publication of the Revised Methods</w:t>
      </w:r>
      <w:r w:rsidRPr="00965EA8">
        <w:t>, modification</w:t>
      </w:r>
      <w:r>
        <w:t>s were made to the MAGtool and an updated version was used in this analysis (MAGtool version 2.3.1). Updates to the tool incorporated continued efforts to improve the efficiency, accuracy, and refinement of the tool. These updates are outlined more fully in the MAGtool documentation included on the models</w:t>
      </w:r>
      <w:r w:rsidRPr="00D910D7">
        <w:rPr>
          <w:vertAlign w:val="superscript"/>
        </w:rPr>
        <w:footnoteReference w:id="15"/>
      </w:r>
      <w:r w:rsidRPr="00D910D7">
        <w:t xml:space="preserve"> </w:t>
      </w:r>
      <w:r>
        <w:t>website and included incorporation of a new batch function analysis, improvements to spray drift analysis methods and input options, as well as the ability to make effects determinations either deterministically or probabilistically. The model allows the user to make d</w:t>
      </w:r>
      <w:r w:rsidRPr="000E30C0">
        <w:t xml:space="preserve">eterministic calculations using the upper and lower bounds of the exposure assumptions, </w:t>
      </w:r>
      <w:r>
        <w:t>or using</w:t>
      </w:r>
      <w:r w:rsidRPr="000E30C0">
        <w:t xml:space="preserve"> </w:t>
      </w:r>
      <w:r>
        <w:t xml:space="preserve">a </w:t>
      </w:r>
      <w:r w:rsidRPr="000E30C0">
        <w:t xml:space="preserve">probabilistic analysis, to determine impacts to a species based on mortality effects, sublethal effect or effects to </w:t>
      </w:r>
      <w:r w:rsidRPr="008A10CB">
        <w:t>prey, pollination, habitat, and dispersal vectors</w:t>
      </w:r>
      <w:r w:rsidRPr="000E30C0">
        <w:t xml:space="preserve"> </w:t>
      </w:r>
      <w:r>
        <w:t>(</w:t>
      </w:r>
      <w:r w:rsidRPr="000E30C0">
        <w:t>PPHD</w:t>
      </w:r>
      <w:r>
        <w:t>)</w:t>
      </w:r>
      <w:r w:rsidRPr="000E30C0">
        <w:t xml:space="preserve">. </w:t>
      </w:r>
      <w:r w:rsidRPr="00970DB9">
        <w:t>This was done to provide more transparency to the results calculations</w:t>
      </w:r>
      <w:r>
        <w:t xml:space="preserve"> </w:t>
      </w:r>
      <w:r w:rsidRPr="00970DB9">
        <w:t xml:space="preserve">and to </w:t>
      </w:r>
      <w:r>
        <w:t>streamline the calculations for shorter run times</w:t>
      </w:r>
      <w:r w:rsidRPr="00970DB9">
        <w:t>. For a subset of species, selected based on the potential to refine the effects analysis, probabilistic analysis was used in making effects determinations.</w:t>
      </w:r>
      <w:r w:rsidRPr="000E30C0">
        <w:t xml:space="preserve"> For </w:t>
      </w:r>
      <w:proofErr w:type="gramStart"/>
      <w:r w:rsidRPr="000E30C0">
        <w:t>the majority of</w:t>
      </w:r>
      <w:proofErr w:type="gramEnd"/>
      <w:r w:rsidRPr="000E30C0">
        <w:t xml:space="preserve"> species, as impacts are predicted even at the minimum or lower bound of exposure assumptions, the probabilistic analysis does not change the effects determination</w:t>
      </w:r>
      <w:r>
        <w:t xml:space="preserve"> and was not conducted</w:t>
      </w:r>
      <w:r w:rsidRPr="000E30C0">
        <w:t>.</w:t>
      </w:r>
    </w:p>
    <w:bookmarkEnd w:id="36"/>
    <w:p w14:paraId="17C3A931" w14:textId="77777777" w:rsidR="002A3531" w:rsidRPr="00D31228" w:rsidRDefault="002A3531" w:rsidP="00BC2CC7">
      <w:pPr>
        <w:spacing w:after="0"/>
        <w:rPr>
          <w:color w:val="auto"/>
          <w:shd w:val="clear" w:color="auto" w:fill="FFFFFF"/>
        </w:rPr>
      </w:pPr>
    </w:p>
    <w:bookmarkEnd w:id="34"/>
    <w:bookmarkEnd w:id="35"/>
    <w:p w14:paraId="58DCE42A" w14:textId="712E54A6" w:rsidR="006E31A7" w:rsidRPr="00DF53A2" w:rsidRDefault="009D14F7" w:rsidP="00BC2CC7">
      <w:pPr>
        <w:rPr>
          <w:color w:val="006600"/>
        </w:rPr>
      </w:pPr>
      <w:r w:rsidRPr="00D31228">
        <w:rPr>
          <w:b/>
          <w:bCs/>
          <w:color w:val="auto"/>
        </w:rPr>
        <w:t xml:space="preserve">Chapter 2 </w:t>
      </w:r>
      <w:r w:rsidRPr="00D31228">
        <w:rPr>
          <w:color w:val="auto"/>
        </w:rPr>
        <w:t xml:space="preserve">of this BE includes </w:t>
      </w:r>
      <w:r w:rsidR="006B10F2" w:rsidRPr="00D31228">
        <w:rPr>
          <w:color w:val="auto"/>
        </w:rPr>
        <w:t>imidacloprid</w:t>
      </w:r>
      <w:r w:rsidRPr="00D31228">
        <w:rPr>
          <w:color w:val="auto"/>
        </w:rPr>
        <w:t xml:space="preserve">’s toxicity endpoints and </w:t>
      </w:r>
      <w:r w:rsidRPr="00D31228">
        <w:rPr>
          <w:b/>
          <w:bCs/>
          <w:color w:val="auto"/>
        </w:rPr>
        <w:t>Chapter 3</w:t>
      </w:r>
      <w:r w:rsidRPr="00D31228">
        <w:rPr>
          <w:color w:val="auto"/>
        </w:rPr>
        <w:t xml:space="preserve"> includes the exposure analysis. These toxicity endpoints and exposure estimates are used in Steps 1 and 2.</w:t>
      </w:r>
      <w:r w:rsidRPr="00D31228">
        <w:rPr>
          <w:b/>
          <w:bCs/>
          <w:color w:val="auto"/>
        </w:rPr>
        <w:t xml:space="preserve"> Chapter 2</w:t>
      </w:r>
      <w:r w:rsidRPr="00D31228">
        <w:rPr>
          <w:color w:val="auto"/>
        </w:rPr>
        <w:t xml:space="preserve"> also summarizes incident reports that are associated with applications of </w:t>
      </w:r>
      <w:r w:rsidR="006B10F2" w:rsidRPr="00D31228">
        <w:rPr>
          <w:color w:val="auto"/>
        </w:rPr>
        <w:t>imidacloprid</w:t>
      </w:r>
      <w:r w:rsidRPr="00D31228">
        <w:rPr>
          <w:color w:val="auto"/>
        </w:rPr>
        <w:t xml:space="preserve"> (incident reports associated with illegal uses or misuses are not included in the assessment). </w:t>
      </w:r>
      <w:r w:rsidRPr="00D31228">
        <w:rPr>
          <w:b/>
          <w:bCs/>
          <w:color w:val="auto"/>
        </w:rPr>
        <w:t>Chapter 3</w:t>
      </w:r>
      <w:r w:rsidRPr="00D31228">
        <w:rPr>
          <w:color w:val="auto"/>
        </w:rPr>
        <w:t xml:space="preserve"> summarizes available monitoring data. </w:t>
      </w:r>
      <w:r w:rsidRPr="00D31228">
        <w:rPr>
          <w:b/>
          <w:bCs/>
          <w:color w:val="auto"/>
        </w:rPr>
        <w:t>Chapter 4</w:t>
      </w:r>
      <w:r w:rsidRPr="00D31228">
        <w:rPr>
          <w:color w:val="auto"/>
        </w:rPr>
        <w:t xml:space="preserve"> includes the species and critical habitat-specific determinations for </w:t>
      </w:r>
      <w:r w:rsidR="006B10F2" w:rsidRPr="00D31228">
        <w:rPr>
          <w:color w:val="auto"/>
        </w:rPr>
        <w:t>imidacloprid</w:t>
      </w:r>
      <w:r w:rsidRPr="00D31228">
        <w:rPr>
          <w:color w:val="auto"/>
        </w:rPr>
        <w:t>. For exposure in terrestrial habitats, the MAGtool</w:t>
      </w:r>
      <w:r w:rsidRPr="00D31228">
        <w:rPr>
          <w:color w:val="auto"/>
          <w:vertAlign w:val="superscript"/>
        </w:rPr>
        <w:footnoteReference w:id="16"/>
      </w:r>
      <w:r w:rsidRPr="00D31228">
        <w:rPr>
          <w:color w:val="auto"/>
        </w:rPr>
        <w:t xml:space="preserve"> (version 2.</w:t>
      </w:r>
      <w:r w:rsidR="008872F4">
        <w:rPr>
          <w:color w:val="auto"/>
        </w:rPr>
        <w:t>3.1</w:t>
      </w:r>
      <w:r w:rsidRPr="00D31228">
        <w:rPr>
          <w:color w:val="auto"/>
        </w:rPr>
        <w:t xml:space="preserve">) is used (additional details in </w:t>
      </w:r>
      <w:r w:rsidRPr="00D31228">
        <w:rPr>
          <w:b/>
          <w:bCs/>
          <w:color w:val="auto"/>
        </w:rPr>
        <w:t xml:space="preserve">ATTACHMENT 1-1 </w:t>
      </w:r>
      <w:r w:rsidRPr="00D31228">
        <w:rPr>
          <w:color w:val="auto"/>
        </w:rPr>
        <w:t>and tool documentation). For aquatic habitats, exposure is estimated using the Pesticide in Water Calculator (PWC; version 1.52</w:t>
      </w:r>
      <w:r w:rsidRPr="00F35B8D">
        <w:rPr>
          <w:color w:val="auto"/>
          <w:vertAlign w:val="superscript"/>
        </w:rPr>
        <w:footnoteReference w:id="17"/>
      </w:r>
      <w:r w:rsidRPr="00D31228">
        <w:rPr>
          <w:color w:val="auto"/>
        </w:rPr>
        <w:t>) and, where appropriate, the Pesticide in Flooded Applications Model (PFAM, version 2</w:t>
      </w:r>
      <w:r w:rsidRPr="00F35B8D">
        <w:rPr>
          <w:color w:val="auto"/>
          <w:vertAlign w:val="superscript"/>
        </w:rPr>
        <w:footnoteReference w:id="18"/>
      </w:r>
      <w:r w:rsidRPr="00D31228">
        <w:rPr>
          <w:color w:val="auto"/>
        </w:rPr>
        <w:t xml:space="preserve">). Aquatic scenarios (referred to as “bins”) used to estimate exposures for each listed species with aquatic habitats are provided in </w:t>
      </w:r>
      <w:r w:rsidRPr="00D31228">
        <w:rPr>
          <w:b/>
          <w:bCs/>
          <w:color w:val="auto"/>
        </w:rPr>
        <w:t>ATTACHMENT 1-2</w:t>
      </w:r>
      <w:r w:rsidRPr="00D31228">
        <w:rPr>
          <w:color w:val="auto"/>
        </w:rPr>
        <w:t xml:space="preserve">. For plants, exposure is estimated using PAT. The MAGtool is used to integrate exposure, effects, and listed species life history information </w:t>
      </w:r>
      <w:proofErr w:type="gramStart"/>
      <w:r w:rsidRPr="00D31228">
        <w:rPr>
          <w:color w:val="auto"/>
        </w:rPr>
        <w:t>in order to</w:t>
      </w:r>
      <w:proofErr w:type="gramEnd"/>
      <w:r w:rsidRPr="00D31228">
        <w:rPr>
          <w:color w:val="auto"/>
        </w:rPr>
        <w:t xml:space="preserve"> make NE, NLAA and LAA determinations. </w:t>
      </w:r>
    </w:p>
    <w:sectPr w:rsidR="006E31A7" w:rsidRPr="00DF53A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075E" w14:textId="77777777" w:rsidR="004A7D73" w:rsidRDefault="004A7D73" w:rsidP="009D14F7">
      <w:pPr>
        <w:spacing w:after="0" w:line="240" w:lineRule="auto"/>
      </w:pPr>
      <w:r>
        <w:separator/>
      </w:r>
    </w:p>
  </w:endnote>
  <w:endnote w:type="continuationSeparator" w:id="0">
    <w:p w14:paraId="0DF5B886" w14:textId="77777777" w:rsidR="004A7D73" w:rsidRDefault="004A7D73" w:rsidP="009D14F7">
      <w:pPr>
        <w:spacing w:after="0" w:line="240" w:lineRule="auto"/>
      </w:pPr>
      <w:r>
        <w:continuationSeparator/>
      </w:r>
    </w:p>
  </w:endnote>
  <w:endnote w:type="continuationNotice" w:id="1">
    <w:p w14:paraId="250E3176" w14:textId="77777777" w:rsidR="004A7D73" w:rsidRDefault="004A7D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D9E6" w14:textId="52BF09CA" w:rsidR="004B3E32" w:rsidRPr="00F35B8D" w:rsidRDefault="004B3E32">
    <w:pPr>
      <w:pStyle w:val="Footer"/>
      <w:jc w:val="center"/>
      <w:rPr>
        <w:color w:val="auto"/>
      </w:rPr>
    </w:pPr>
    <w:r w:rsidRPr="00F35B8D">
      <w:rPr>
        <w:color w:val="auto"/>
      </w:rPr>
      <w:t>1-</w:t>
    </w:r>
    <w:sdt>
      <w:sdtPr>
        <w:rPr>
          <w:color w:val="auto"/>
        </w:rPr>
        <w:id w:val="-1819568015"/>
        <w:docPartObj>
          <w:docPartGallery w:val="Page Numbers (Bottom of Page)"/>
          <w:docPartUnique/>
        </w:docPartObj>
      </w:sdtPr>
      <w:sdtEndPr/>
      <w:sdtContent>
        <w:r w:rsidRPr="00F35B8D">
          <w:rPr>
            <w:color w:val="auto"/>
          </w:rPr>
          <w:fldChar w:fldCharType="begin"/>
        </w:r>
        <w:r w:rsidRPr="00F35B8D">
          <w:rPr>
            <w:color w:val="auto"/>
          </w:rPr>
          <w:instrText xml:space="preserve"> PAGE   \* MERGEFORMAT </w:instrText>
        </w:r>
        <w:r w:rsidRPr="00F35B8D">
          <w:rPr>
            <w:color w:val="auto"/>
          </w:rPr>
          <w:fldChar w:fldCharType="separate"/>
        </w:r>
        <w:r w:rsidR="00AF1822" w:rsidRPr="00F35B8D">
          <w:rPr>
            <w:color w:val="auto"/>
          </w:rPr>
          <w:t>2</w:t>
        </w:r>
        <w:r w:rsidRPr="00F35B8D">
          <w:rPr>
            <w:color w:val="auto"/>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E37B" w14:textId="77777777" w:rsidR="004A7D73" w:rsidRDefault="004A7D73" w:rsidP="009D14F7">
      <w:pPr>
        <w:spacing w:after="0" w:line="240" w:lineRule="auto"/>
      </w:pPr>
      <w:r>
        <w:separator/>
      </w:r>
    </w:p>
  </w:footnote>
  <w:footnote w:type="continuationSeparator" w:id="0">
    <w:p w14:paraId="649323E1" w14:textId="77777777" w:rsidR="004A7D73" w:rsidRDefault="004A7D73" w:rsidP="009D14F7">
      <w:pPr>
        <w:spacing w:after="0" w:line="240" w:lineRule="auto"/>
      </w:pPr>
      <w:r>
        <w:continuationSeparator/>
      </w:r>
    </w:p>
  </w:footnote>
  <w:footnote w:type="continuationNotice" w:id="1">
    <w:p w14:paraId="7F577F91" w14:textId="77777777" w:rsidR="004A7D73" w:rsidRDefault="004A7D73">
      <w:pPr>
        <w:spacing w:after="0" w:line="240" w:lineRule="auto"/>
      </w:pPr>
    </w:p>
  </w:footnote>
  <w:footnote w:id="2">
    <w:p w14:paraId="570A49A9" w14:textId="77777777" w:rsidR="004B3E32" w:rsidRPr="00D31228" w:rsidRDefault="004B3E32" w:rsidP="009D14F7">
      <w:pPr>
        <w:pStyle w:val="FootnoteText"/>
      </w:pPr>
      <w:r w:rsidRPr="00D31228">
        <w:rPr>
          <w:vertAlign w:val="superscript"/>
        </w:rPr>
        <w:t>[</w:t>
      </w:r>
      <w:r w:rsidRPr="00D31228">
        <w:rPr>
          <w:rStyle w:val="FootnoteReference"/>
        </w:rPr>
        <w:footnoteRef/>
      </w:r>
      <w:r w:rsidRPr="00D31228">
        <w:rPr>
          <w:vertAlign w:val="superscript"/>
        </w:rPr>
        <w:t>]</w:t>
      </w:r>
      <w:r w:rsidRPr="00D31228">
        <w:t xml:space="preserve"> Available at: </w:t>
      </w:r>
      <w:hyperlink r:id="rId1" w:tgtFrame="_blank" w:history="1">
        <w:r w:rsidRPr="00D31228">
          <w:rPr>
            <w:rStyle w:val="Hyperlink"/>
            <w:bdr w:val="none" w:sz="0" w:space="0" w:color="auto" w:frame="1"/>
            <w:shd w:val="clear" w:color="auto" w:fill="FFFFFF"/>
          </w:rPr>
          <w:t>https://www.epa.gov/endangered-species/revised-method-national-level-listed-species-biological-evaluations-conventional</w:t>
        </w:r>
      </w:hyperlink>
    </w:p>
  </w:footnote>
  <w:footnote w:id="3">
    <w:p w14:paraId="51F3B90C" w14:textId="77777777" w:rsidR="004B3E32" w:rsidRPr="00C370EC" w:rsidRDefault="004B3E32" w:rsidP="00D31228">
      <w:pPr>
        <w:spacing w:after="0" w:line="219" w:lineRule="exact"/>
        <w:jc w:val="both"/>
        <w:rPr>
          <w:sz w:val="18"/>
        </w:rPr>
      </w:pPr>
      <w:r>
        <w:rPr>
          <w:rStyle w:val="FootnoteReference"/>
        </w:rPr>
        <w:footnoteRef/>
      </w:r>
      <w:r>
        <w:t xml:space="preserve"> </w:t>
      </w:r>
      <w:hyperlink r:id="rId2">
        <w:r>
          <w:rPr>
            <w:color w:val="0462C1"/>
            <w:sz w:val="18"/>
            <w:u w:val="single" w:color="0462C1"/>
          </w:rPr>
          <w:t>http://www.irac-online.org/</w:t>
        </w:r>
      </w:hyperlink>
    </w:p>
  </w:footnote>
  <w:footnote w:id="4">
    <w:p w14:paraId="242D706C" w14:textId="6A243615" w:rsidR="004B3E32" w:rsidRDefault="004B3E32" w:rsidP="00D31228">
      <w:pPr>
        <w:pStyle w:val="FootnoteText"/>
      </w:pPr>
      <w:r>
        <w:rPr>
          <w:rStyle w:val="FootnoteReference"/>
        </w:rPr>
        <w:footnoteRef/>
      </w:r>
      <w:r>
        <w:t xml:space="preserve"> Z</w:t>
      </w:r>
      <w:r w:rsidRPr="00366800">
        <w:t>hang Y, Liu S, Gu J, Song f, Yao X, Liu Z. (2008). Imidacloprid acts as an antagonist on insect nicotinic</w:t>
      </w:r>
      <w:r w:rsidR="00B95E3D">
        <w:t>-</w:t>
      </w:r>
      <w:r w:rsidRPr="00366800">
        <w:t>acetylcholine receptor containing the Y151M mutation. Neurosci. Let. 446: 97-100.</w:t>
      </w:r>
      <w:r>
        <w:t xml:space="preserve"> </w:t>
      </w:r>
    </w:p>
  </w:footnote>
  <w:footnote w:id="5">
    <w:p w14:paraId="4A8F59DA" w14:textId="5ADDA38D" w:rsidR="004B3E32" w:rsidRDefault="004B3E32" w:rsidP="00D31228">
      <w:pPr>
        <w:pStyle w:val="FootnoteText"/>
      </w:pPr>
      <w:r>
        <w:rPr>
          <w:rStyle w:val="FootnoteReference"/>
        </w:rPr>
        <w:footnoteRef/>
      </w:r>
      <w:r>
        <w:t xml:space="preserve"> </w:t>
      </w:r>
      <w:r w:rsidRPr="00366800">
        <w:t>Tomizawa M, Casida J. (2005).  Neonicotinoid insecticide toxicology: mechanisms of Selective Action. Annual Review of Pharmacology and Toxicology, 45, 247–268.</w:t>
      </w:r>
      <w:r>
        <w:t xml:space="preserve"> </w:t>
      </w:r>
    </w:p>
  </w:footnote>
  <w:footnote w:id="6">
    <w:p w14:paraId="0E0ED1E9" w14:textId="3EBD6BCF" w:rsidR="004B3E32" w:rsidRDefault="004B3E32" w:rsidP="00D31228">
      <w:pPr>
        <w:pStyle w:val="FootnoteText"/>
      </w:pPr>
      <w:r>
        <w:rPr>
          <w:rStyle w:val="FootnoteReference"/>
        </w:rPr>
        <w:footnoteRef/>
      </w:r>
      <w:r>
        <w:t xml:space="preserve"> </w:t>
      </w:r>
      <w:r>
        <w:rPr>
          <w:sz w:val="18"/>
        </w:rPr>
        <w:t>Sur, R. and Stork, A. (2003). Uptake, translocation, and metabolism of imidacloprid in plants. Bulletin of Insectology. 56 (1), 35 – 40.</w:t>
      </w:r>
    </w:p>
  </w:footnote>
  <w:footnote w:id="7">
    <w:p w14:paraId="52012F2E" w14:textId="5523804B" w:rsidR="00E102BF" w:rsidRPr="00156A28" w:rsidRDefault="00E102BF" w:rsidP="00156A28">
      <w:pPr>
        <w:pStyle w:val="EndNoteBibliography"/>
        <w:rPr>
          <w:rFonts w:asciiTheme="minorHAnsi" w:hAnsiTheme="minorHAnsi" w:cstheme="minorHAnsi"/>
          <w:sz w:val="20"/>
          <w:szCs w:val="20"/>
        </w:rPr>
      </w:pPr>
      <w:r>
        <w:rPr>
          <w:rStyle w:val="FootnoteReference"/>
        </w:rPr>
        <w:footnoteRef/>
      </w:r>
      <w:r>
        <w:t xml:space="preserve"> </w:t>
      </w:r>
      <w:r w:rsidRPr="00B73CEB">
        <w:rPr>
          <w:rFonts w:asciiTheme="minorHAnsi" w:hAnsiTheme="minorHAnsi" w:cstheme="minorHAnsi"/>
          <w:sz w:val="20"/>
          <w:szCs w:val="20"/>
        </w:rPr>
        <w:t>FAO. 2000. Appendix 2. Parameters of pesticides that influence processes in the soil. In FAO Information Division</w:t>
      </w:r>
      <w:r>
        <w:rPr>
          <w:rFonts w:asciiTheme="minorHAnsi" w:hAnsiTheme="minorHAnsi" w:cstheme="minorHAnsi"/>
          <w:sz w:val="20"/>
          <w:szCs w:val="20"/>
        </w:rPr>
        <w:t xml:space="preserve"> </w:t>
      </w:r>
      <w:r w:rsidRPr="00B73CEB">
        <w:rPr>
          <w:rFonts w:asciiTheme="minorHAnsi" w:hAnsiTheme="minorHAnsi" w:cstheme="minorHAnsi"/>
          <w:sz w:val="20"/>
          <w:szCs w:val="20"/>
        </w:rPr>
        <w:t xml:space="preserve">Editorial Group (Ed.), </w:t>
      </w:r>
      <w:r w:rsidRPr="00B73CEB">
        <w:rPr>
          <w:rFonts w:asciiTheme="minorHAnsi" w:hAnsiTheme="minorHAnsi" w:cstheme="minorHAnsi"/>
          <w:i/>
          <w:sz w:val="20"/>
          <w:szCs w:val="20"/>
        </w:rPr>
        <w:t>Pesticide Disposal Series 8.  Assessing Soil Contamination.  A Reference Manual</w:t>
      </w:r>
      <w:r w:rsidRPr="00B73CEB">
        <w:rPr>
          <w:rFonts w:asciiTheme="minorHAnsi" w:hAnsiTheme="minorHAnsi" w:cstheme="minorHAnsi"/>
          <w:sz w:val="20"/>
          <w:szCs w:val="20"/>
        </w:rPr>
        <w:t xml:space="preserve">. Rome: Food &amp; Agriculture Organization of the United Nations (FAO). Available at </w:t>
      </w:r>
      <w:hyperlink r:id="rId3" w:history="1">
        <w:r w:rsidRPr="002D37A5">
          <w:rPr>
            <w:rStyle w:val="Hyperlink"/>
            <w:rFonts w:asciiTheme="minorHAnsi" w:hAnsiTheme="minorHAnsi" w:cstheme="minorHAnsi"/>
            <w:sz w:val="20"/>
            <w:szCs w:val="20"/>
          </w:rPr>
          <w:t>http://www.fao.org/DOCREP/003/X2570E/X2570E06.htm</w:t>
        </w:r>
      </w:hyperlink>
      <w:r>
        <w:rPr>
          <w:rFonts w:asciiTheme="minorHAnsi" w:hAnsiTheme="minorHAnsi" w:cstheme="minorHAnsi"/>
          <w:sz w:val="20"/>
          <w:szCs w:val="20"/>
        </w:rPr>
        <w:t xml:space="preserve"> </w:t>
      </w:r>
      <w:r w:rsidRPr="00B73CEB">
        <w:rPr>
          <w:rFonts w:asciiTheme="minorHAnsi" w:hAnsiTheme="minorHAnsi" w:cstheme="minorHAnsi"/>
          <w:sz w:val="20"/>
          <w:szCs w:val="20"/>
        </w:rPr>
        <w:t xml:space="preserve">  </w:t>
      </w:r>
    </w:p>
  </w:footnote>
  <w:footnote w:id="8">
    <w:p w14:paraId="01709579" w14:textId="77777777" w:rsidR="00156A28" w:rsidRPr="00B73CEB" w:rsidRDefault="00156A28" w:rsidP="00156A28">
      <w:pPr>
        <w:pStyle w:val="FootnoteText"/>
        <w:rPr>
          <w:rFonts w:asciiTheme="minorHAnsi" w:hAnsiTheme="minorHAnsi" w:cstheme="minorHAnsi"/>
          <w:iCs/>
          <w:color w:val="auto"/>
        </w:rPr>
      </w:pPr>
      <w:r>
        <w:rPr>
          <w:rStyle w:val="FootnoteReference"/>
        </w:rPr>
        <w:footnoteRef/>
      </w:r>
      <w:r>
        <w:t xml:space="preserve"> </w:t>
      </w:r>
      <w:r w:rsidRPr="00B73CEB">
        <w:rPr>
          <w:rFonts w:asciiTheme="minorHAnsi" w:hAnsiTheme="minorHAnsi" w:cstheme="minorHAnsi"/>
          <w:iCs/>
          <w:color w:val="auto"/>
        </w:rPr>
        <w:t xml:space="preserve">Goring et al. (1975) provides the following persistence scale for aerobic soil metabolism half-lives: </w:t>
      </w:r>
    </w:p>
    <w:p w14:paraId="5722E413" w14:textId="77777777" w:rsidR="00156A28" w:rsidRPr="00B73CEB" w:rsidRDefault="00156A28" w:rsidP="00156A28">
      <w:pPr>
        <w:numPr>
          <w:ilvl w:val="0"/>
          <w:numId w:val="4"/>
        </w:numPr>
        <w:spacing w:after="0" w:line="240" w:lineRule="auto"/>
        <w:rPr>
          <w:rFonts w:asciiTheme="minorHAnsi" w:hAnsiTheme="minorHAnsi" w:cstheme="minorHAnsi"/>
          <w:iCs/>
          <w:color w:val="auto"/>
          <w:sz w:val="20"/>
          <w:szCs w:val="20"/>
        </w:rPr>
      </w:pPr>
      <w:r w:rsidRPr="00B73CEB">
        <w:rPr>
          <w:rFonts w:asciiTheme="minorHAnsi" w:hAnsiTheme="minorHAnsi" w:cstheme="minorHAnsi"/>
          <w:iCs/>
          <w:color w:val="auto"/>
          <w:sz w:val="20"/>
          <w:szCs w:val="20"/>
        </w:rPr>
        <w:t>Non-persistent less than 15 days</w:t>
      </w:r>
    </w:p>
    <w:p w14:paraId="709491AE" w14:textId="77777777" w:rsidR="00156A28" w:rsidRPr="00B73CEB" w:rsidRDefault="00156A28" w:rsidP="00156A28">
      <w:pPr>
        <w:numPr>
          <w:ilvl w:val="0"/>
          <w:numId w:val="4"/>
        </w:numPr>
        <w:spacing w:after="0" w:line="240" w:lineRule="auto"/>
        <w:rPr>
          <w:rFonts w:asciiTheme="minorHAnsi" w:hAnsiTheme="minorHAnsi" w:cstheme="minorHAnsi"/>
          <w:iCs/>
          <w:color w:val="auto"/>
          <w:sz w:val="20"/>
          <w:szCs w:val="20"/>
        </w:rPr>
      </w:pPr>
      <w:r w:rsidRPr="00B73CEB">
        <w:rPr>
          <w:rFonts w:asciiTheme="minorHAnsi" w:hAnsiTheme="minorHAnsi" w:cstheme="minorHAnsi"/>
          <w:iCs/>
          <w:color w:val="auto"/>
          <w:sz w:val="20"/>
          <w:szCs w:val="20"/>
        </w:rPr>
        <w:t>Slightly persistent for 15-45 days</w:t>
      </w:r>
    </w:p>
    <w:p w14:paraId="0EA5B148" w14:textId="77777777" w:rsidR="00156A28" w:rsidRPr="00B73CEB" w:rsidRDefault="00156A28" w:rsidP="00156A28">
      <w:pPr>
        <w:numPr>
          <w:ilvl w:val="0"/>
          <w:numId w:val="4"/>
        </w:numPr>
        <w:spacing w:after="0" w:line="240" w:lineRule="auto"/>
        <w:rPr>
          <w:rFonts w:asciiTheme="minorHAnsi" w:hAnsiTheme="minorHAnsi" w:cstheme="minorHAnsi"/>
          <w:iCs/>
          <w:color w:val="auto"/>
          <w:sz w:val="20"/>
          <w:szCs w:val="20"/>
        </w:rPr>
      </w:pPr>
      <w:r w:rsidRPr="00B73CEB">
        <w:rPr>
          <w:rFonts w:asciiTheme="minorHAnsi" w:hAnsiTheme="minorHAnsi" w:cstheme="minorHAnsi"/>
          <w:iCs/>
          <w:color w:val="auto"/>
          <w:sz w:val="20"/>
          <w:szCs w:val="20"/>
        </w:rPr>
        <w:t>Moderately persistent for 45-180 days, and</w:t>
      </w:r>
    </w:p>
    <w:p w14:paraId="058ECE62" w14:textId="77777777" w:rsidR="00156A28" w:rsidRPr="00B73CEB" w:rsidRDefault="00156A28" w:rsidP="00156A28">
      <w:pPr>
        <w:numPr>
          <w:ilvl w:val="0"/>
          <w:numId w:val="4"/>
        </w:numPr>
        <w:spacing w:after="0" w:line="240" w:lineRule="auto"/>
        <w:rPr>
          <w:rFonts w:asciiTheme="minorHAnsi" w:hAnsiTheme="minorHAnsi" w:cstheme="minorHAnsi"/>
          <w:iCs/>
          <w:color w:val="auto"/>
          <w:sz w:val="20"/>
          <w:szCs w:val="20"/>
        </w:rPr>
      </w:pPr>
      <w:r w:rsidRPr="00B73CEB">
        <w:rPr>
          <w:rFonts w:asciiTheme="minorHAnsi" w:hAnsiTheme="minorHAnsi" w:cstheme="minorHAnsi"/>
          <w:iCs/>
          <w:color w:val="auto"/>
          <w:sz w:val="20"/>
          <w:szCs w:val="20"/>
        </w:rPr>
        <w:t>Persistent for greater than 180 days.</w:t>
      </w:r>
    </w:p>
    <w:p w14:paraId="5290340E" w14:textId="77777777" w:rsidR="00156A28" w:rsidRDefault="00156A28" w:rsidP="00156A28">
      <w:pPr>
        <w:pStyle w:val="FootnoteText"/>
      </w:pPr>
    </w:p>
  </w:footnote>
  <w:footnote w:id="9">
    <w:p w14:paraId="40D0303F" w14:textId="0FB37717" w:rsidR="0050029B" w:rsidRDefault="0050029B">
      <w:pPr>
        <w:pStyle w:val="FootnoteText"/>
      </w:pPr>
      <w:r>
        <w:rPr>
          <w:rStyle w:val="FootnoteReference"/>
        </w:rPr>
        <w:footnoteRef/>
      </w:r>
      <w:r>
        <w:t xml:space="preserve"> Revised Method for National Level Listed Species Biological Evaluations of Conventional Pesticides. 2020. US EPA. Available at </w:t>
      </w:r>
      <w:r w:rsidRPr="0050029B">
        <w:t>https://www3.epa.gov/pesticides/nas/revised/revised-method-march2020.pdf</w:t>
      </w:r>
    </w:p>
  </w:footnote>
  <w:footnote w:id="10">
    <w:p w14:paraId="40B8AF16" w14:textId="77777777" w:rsidR="004B3E32" w:rsidRDefault="004B3E32" w:rsidP="009D14F7">
      <w:pPr>
        <w:pStyle w:val="FootnoteText"/>
      </w:pPr>
      <w:r w:rsidRPr="00017D8E">
        <w:rPr>
          <w:vertAlign w:val="superscript"/>
        </w:rPr>
        <w:t>[</w:t>
      </w:r>
      <w:r>
        <w:rPr>
          <w:rStyle w:val="FootnoteReference"/>
        </w:rPr>
        <w:footnoteRef/>
      </w:r>
      <w:r w:rsidRPr="00017D8E">
        <w:rPr>
          <w:vertAlign w:val="superscript"/>
        </w:rPr>
        <w:t>]</w:t>
      </w:r>
      <w:r>
        <w:t xml:space="preserve"> </w:t>
      </w:r>
      <w:r w:rsidRPr="00270167">
        <w:t xml:space="preserve">USDA National Agricultural Statistics Service Cropland Data Layer. </w:t>
      </w:r>
      <w:r w:rsidRPr="00893070">
        <w:t xml:space="preserve">2013-2017. Published crop-specific data layer [Online]. Available at </w:t>
      </w:r>
      <w:hyperlink r:id="rId4" w:history="1">
        <w:r w:rsidRPr="00023DE3">
          <w:rPr>
            <w:rStyle w:val="Hyperlink"/>
          </w:rPr>
          <w:t>https://www.nass.usda.gov/Research_and_Science/Cropland/SARS1a.php</w:t>
        </w:r>
      </w:hyperlink>
      <w:r w:rsidRPr="00893070">
        <w:t xml:space="preserve"> (accessed 3/2018; verified </w:t>
      </w:r>
      <w:r>
        <w:t>2</w:t>
      </w:r>
      <w:r w:rsidRPr="00893070">
        <w:t>/</w:t>
      </w:r>
      <w:r>
        <w:t>2020</w:t>
      </w:r>
      <w:r w:rsidRPr="00270167">
        <w:t>). USDA-NASS, Washington, DC.</w:t>
      </w:r>
    </w:p>
  </w:footnote>
  <w:footnote w:id="11">
    <w:p w14:paraId="0821BEE7" w14:textId="77777777" w:rsidR="004B3E32" w:rsidRDefault="004B3E32" w:rsidP="009D14F7">
      <w:pPr>
        <w:pStyle w:val="FootnoteText"/>
      </w:pPr>
      <w:r w:rsidRPr="00017D8E">
        <w:rPr>
          <w:vertAlign w:val="superscript"/>
        </w:rPr>
        <w:t>[</w:t>
      </w:r>
      <w:r>
        <w:rPr>
          <w:rStyle w:val="FootnoteReference"/>
        </w:rPr>
        <w:footnoteRef/>
      </w:r>
      <w:r w:rsidRPr="00017D8E">
        <w:rPr>
          <w:vertAlign w:val="superscript"/>
        </w:rPr>
        <w:t>]</w:t>
      </w:r>
      <w:r>
        <w:t xml:space="preserve"> Categories </w:t>
      </w:r>
      <w:proofErr w:type="gramStart"/>
      <w:r>
        <w:t>include:</w:t>
      </w:r>
      <w:proofErr w:type="gramEnd"/>
      <w:r>
        <w:t xml:space="preserve"> corn, cotton, rice, soybeans, wheat, vegetables and ground fruit, other grains, other row crops, other crops, pasture/hay, citrus, vineyards and other orchards.</w:t>
      </w:r>
    </w:p>
  </w:footnote>
  <w:footnote w:id="12">
    <w:p w14:paraId="11A56A94" w14:textId="77777777" w:rsidR="004B3E32" w:rsidRPr="00D31228" w:rsidRDefault="004B3E32" w:rsidP="00D31228">
      <w:pPr>
        <w:pStyle w:val="FootnoteText"/>
      </w:pPr>
      <w:r w:rsidRPr="00D31228">
        <w:rPr>
          <w:vertAlign w:val="superscript"/>
        </w:rPr>
        <w:t>[</w:t>
      </w:r>
      <w:r w:rsidRPr="00D31228">
        <w:rPr>
          <w:rStyle w:val="FootnoteReference"/>
        </w:rPr>
        <w:footnoteRef/>
      </w:r>
      <w:r w:rsidRPr="00D31228">
        <w:rPr>
          <w:vertAlign w:val="superscript"/>
        </w:rPr>
        <w:t>]</w:t>
      </w:r>
      <w:r w:rsidRPr="00D31228">
        <w:t xml:space="preserve"> where NL is “non-lower” and 48 refers to the number of states in ConUS</w:t>
      </w:r>
    </w:p>
  </w:footnote>
  <w:footnote w:id="13">
    <w:p w14:paraId="11F66E42" w14:textId="77777777" w:rsidR="004B3E32" w:rsidRPr="00D31228" w:rsidRDefault="004B3E32" w:rsidP="00D31228">
      <w:pPr>
        <w:pStyle w:val="FootnoteText"/>
      </w:pPr>
      <w:r w:rsidRPr="00D31228">
        <w:rPr>
          <w:vertAlign w:val="superscript"/>
        </w:rPr>
        <w:t>[</w:t>
      </w:r>
      <w:r w:rsidRPr="00D31228">
        <w:rPr>
          <w:rStyle w:val="FootnoteReference"/>
        </w:rPr>
        <w:footnoteRef/>
      </w:r>
      <w:r w:rsidRPr="00D31228">
        <w:rPr>
          <w:vertAlign w:val="superscript"/>
        </w:rPr>
        <w:t>]</w:t>
      </w:r>
      <w:r w:rsidRPr="00D31228">
        <w:t xml:space="preserve"> Homer, C.G., Dewitz, J.A., Yang, L., Jin, S., Danielson, P., Xian, G., Coulston, J., Herold, N.D., Wickham, J.D., and Megown, K., 2015, Completion of the 2011 National Land Cover Database for the conterminous United States-Representing a decade of land cover change information. Photogrammetric Engineering and Remote Sensing, v. 81, no. 5, p. 345-354</w:t>
      </w:r>
    </w:p>
  </w:footnote>
  <w:footnote w:id="14">
    <w:p w14:paraId="35F0A02F" w14:textId="77777777" w:rsidR="004B3E32" w:rsidRPr="00D31228" w:rsidRDefault="004B3E32" w:rsidP="00D31228">
      <w:pPr>
        <w:spacing w:after="0" w:line="240" w:lineRule="auto"/>
        <w:rPr>
          <w:rFonts w:eastAsia="Times New Roman"/>
          <w:sz w:val="20"/>
          <w:szCs w:val="20"/>
        </w:rPr>
      </w:pPr>
      <w:r w:rsidRPr="00D31228">
        <w:rPr>
          <w:sz w:val="20"/>
          <w:szCs w:val="20"/>
          <w:vertAlign w:val="superscript"/>
        </w:rPr>
        <w:t>[</w:t>
      </w:r>
      <w:r w:rsidRPr="00D31228">
        <w:rPr>
          <w:rStyle w:val="FootnoteReference"/>
          <w:sz w:val="20"/>
          <w:szCs w:val="20"/>
        </w:rPr>
        <w:footnoteRef/>
      </w:r>
      <w:r w:rsidRPr="00D31228">
        <w:rPr>
          <w:sz w:val="20"/>
          <w:szCs w:val="20"/>
          <w:vertAlign w:val="superscript"/>
        </w:rPr>
        <w:t>]</w:t>
      </w:r>
      <w:r w:rsidRPr="00D31228">
        <w:rPr>
          <w:sz w:val="20"/>
          <w:szCs w:val="20"/>
        </w:rPr>
        <w:t xml:space="preserve"> </w:t>
      </w:r>
      <w:r w:rsidRPr="00D31228">
        <w:rPr>
          <w:rFonts w:eastAsia="Times New Roman"/>
          <w:sz w:val="20"/>
          <w:szCs w:val="20"/>
        </w:rPr>
        <w:t xml:space="preserve">National Oceanic and Atmospheric Administration, Coastal Services Center. 1995-present. The Coastal Change Analysis Program (C-CAP) Regional Land Cover. Charleston, SC: NOAA Coastal Services Center. Accessed at </w:t>
      </w:r>
      <w:hyperlink r:id="rId5" w:history="1">
        <w:r w:rsidRPr="00D31228">
          <w:rPr>
            <w:rStyle w:val="Hyperlink"/>
            <w:sz w:val="20"/>
            <w:szCs w:val="20"/>
          </w:rPr>
          <w:t>https://coast.noaa.gov/digitalcoast/data/ccapregional.html</w:t>
        </w:r>
      </w:hyperlink>
      <w:r w:rsidRPr="00D31228">
        <w:rPr>
          <w:sz w:val="20"/>
          <w:szCs w:val="20"/>
        </w:rPr>
        <w:t xml:space="preserve"> (accessed 3/2020)</w:t>
      </w:r>
      <w:r w:rsidRPr="00D31228">
        <w:rPr>
          <w:rFonts w:eastAsia="Times New Roman"/>
          <w:sz w:val="20"/>
          <w:szCs w:val="20"/>
        </w:rPr>
        <w:t>.</w:t>
      </w:r>
    </w:p>
    <w:p w14:paraId="6B3E0C7B" w14:textId="77777777" w:rsidR="004B3E32" w:rsidRDefault="004B3E32" w:rsidP="009D14F7">
      <w:pPr>
        <w:pStyle w:val="FootnoteText"/>
      </w:pPr>
    </w:p>
  </w:footnote>
  <w:footnote w:id="15">
    <w:p w14:paraId="17A98704" w14:textId="77777777" w:rsidR="002A3531" w:rsidRPr="000A4575" w:rsidRDefault="03D60D39" w:rsidP="002A3531">
      <w:pPr>
        <w:pStyle w:val="FootnoteText"/>
      </w:pPr>
      <w:r w:rsidRPr="00017D8E">
        <w:rPr>
          <w:vertAlign w:val="superscript"/>
        </w:rPr>
        <w:t>[</w:t>
      </w:r>
      <w:r w:rsidR="002A3531" w:rsidRPr="00E65520">
        <w:rPr>
          <w:rStyle w:val="FootnoteReference"/>
        </w:rPr>
        <w:footnoteRef/>
      </w:r>
      <w:r w:rsidRPr="00017D8E">
        <w:rPr>
          <w:vertAlign w:val="superscript"/>
        </w:rPr>
        <w:t>]</w:t>
      </w:r>
      <w:r w:rsidRPr="00E65520">
        <w:t xml:space="preserve"> </w:t>
      </w:r>
      <w:r w:rsidRPr="00DE3C95">
        <w:t>Information on the models and too</w:t>
      </w:r>
      <w:r w:rsidRPr="000A4575">
        <w:t xml:space="preserve">ls used to support </w:t>
      </w:r>
      <w:r w:rsidRPr="0061215F">
        <w:t>th</w:t>
      </w:r>
      <w:r w:rsidRPr="00E65520">
        <w:t xml:space="preserve">is biological evaluation are available at: </w:t>
      </w:r>
      <w:hyperlink r:id="rId6" w:history="1">
        <w:r w:rsidRPr="00DE3C95">
          <w:rPr>
            <w:rStyle w:val="Hyperlink"/>
          </w:rPr>
          <w:t>https://www.epa.gov/endangered-species/models-and-tools-endangered-species-pesticide-assessments</w:t>
        </w:r>
      </w:hyperlink>
      <w:r w:rsidRPr="00E65520">
        <w:t xml:space="preserve"> (Accessed </w:t>
      </w:r>
      <w:r>
        <w:t>September</w:t>
      </w:r>
      <w:r w:rsidRPr="00DE3C95">
        <w:t xml:space="preserve"> 2020).</w:t>
      </w:r>
    </w:p>
  </w:footnote>
  <w:footnote w:id="16">
    <w:p w14:paraId="4671A99E" w14:textId="77777777" w:rsidR="004B3E32" w:rsidRPr="000A4575" w:rsidRDefault="004B3E32" w:rsidP="009D14F7">
      <w:pPr>
        <w:pStyle w:val="FootnoteText"/>
      </w:pPr>
      <w:r w:rsidRPr="00017D8E">
        <w:rPr>
          <w:vertAlign w:val="superscript"/>
        </w:rPr>
        <w:t>[</w:t>
      </w:r>
      <w:r w:rsidRPr="00E65520">
        <w:rPr>
          <w:rStyle w:val="FootnoteReference"/>
        </w:rPr>
        <w:footnoteRef/>
      </w:r>
      <w:r w:rsidRPr="00017D8E">
        <w:rPr>
          <w:vertAlign w:val="superscript"/>
        </w:rPr>
        <w:t>]</w:t>
      </w:r>
      <w:r w:rsidRPr="00E65520">
        <w:t xml:space="preserve"> </w:t>
      </w:r>
      <w:r w:rsidRPr="00DE3C95">
        <w:t>Information on the models and too</w:t>
      </w:r>
      <w:r w:rsidRPr="000A4575">
        <w:t xml:space="preserve">ls used to support </w:t>
      </w:r>
      <w:r w:rsidRPr="0061215F">
        <w:t>th</w:t>
      </w:r>
      <w:r w:rsidRPr="00E65520">
        <w:t xml:space="preserve">is biological evaluation are available at: </w:t>
      </w:r>
      <w:hyperlink r:id="rId7" w:history="1">
        <w:r w:rsidRPr="00DE3C95">
          <w:rPr>
            <w:rStyle w:val="Hyperlink"/>
          </w:rPr>
          <w:t>https://www.epa.gov/endangered-species/models-and-tools-endangered-species-pesticide-assessments</w:t>
        </w:r>
      </w:hyperlink>
      <w:r w:rsidRPr="00E65520">
        <w:t xml:space="preserve"> (Accessed </w:t>
      </w:r>
      <w:r>
        <w:t>September</w:t>
      </w:r>
      <w:r w:rsidRPr="00DE3C95">
        <w:t xml:space="preserve"> 2020).</w:t>
      </w:r>
    </w:p>
  </w:footnote>
  <w:footnote w:id="17">
    <w:p w14:paraId="1184F1A3" w14:textId="7360F861" w:rsidR="004B3E32" w:rsidRDefault="004B3E32" w:rsidP="009D14F7">
      <w:pPr>
        <w:pStyle w:val="FootnoteText"/>
      </w:pPr>
    </w:p>
  </w:footnote>
  <w:footnote w:id="18">
    <w:p w14:paraId="3436A886" w14:textId="4E5A9E03" w:rsidR="004B3E32" w:rsidRDefault="004B3E32" w:rsidP="00D3122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582"/>
    <w:multiLevelType w:val="hybridMultilevel"/>
    <w:tmpl w:val="C614A5F8"/>
    <w:lvl w:ilvl="0" w:tplc="7946D37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56B16"/>
    <w:multiLevelType w:val="hybridMultilevel"/>
    <w:tmpl w:val="F57E7A02"/>
    <w:lvl w:ilvl="0" w:tplc="421CA3DC">
      <w:start w:val="1"/>
      <w:numFmt w:val="lowerLetter"/>
      <w:lvlText w:val="(%1)"/>
      <w:lvlJc w:val="left"/>
      <w:pPr>
        <w:ind w:left="381" w:hanging="291"/>
      </w:pPr>
      <w:rPr>
        <w:rFonts w:ascii="Calibri" w:eastAsia="Calibri" w:hAnsi="Calibri" w:cs="Calibri" w:hint="default"/>
        <w:spacing w:val="-1"/>
        <w:w w:val="100"/>
        <w:sz w:val="22"/>
        <w:szCs w:val="22"/>
      </w:rPr>
    </w:lvl>
    <w:lvl w:ilvl="1" w:tplc="D1902F82">
      <w:numFmt w:val="bullet"/>
      <w:lvlText w:val="•"/>
      <w:lvlJc w:val="left"/>
      <w:pPr>
        <w:ind w:left="591" w:hanging="291"/>
      </w:pPr>
      <w:rPr>
        <w:rFonts w:hint="default"/>
      </w:rPr>
    </w:lvl>
    <w:lvl w:ilvl="2" w:tplc="0A026B6E">
      <w:numFmt w:val="bullet"/>
      <w:lvlText w:val="•"/>
      <w:lvlJc w:val="left"/>
      <w:pPr>
        <w:ind w:left="1508" w:hanging="291"/>
      </w:pPr>
      <w:rPr>
        <w:rFonts w:hint="default"/>
      </w:rPr>
    </w:lvl>
    <w:lvl w:ilvl="3" w:tplc="D3FCE6AA">
      <w:numFmt w:val="bullet"/>
      <w:lvlText w:val="•"/>
      <w:lvlJc w:val="left"/>
      <w:pPr>
        <w:ind w:left="2426" w:hanging="291"/>
      </w:pPr>
      <w:rPr>
        <w:rFonts w:hint="default"/>
      </w:rPr>
    </w:lvl>
    <w:lvl w:ilvl="4" w:tplc="83D048C4">
      <w:numFmt w:val="bullet"/>
      <w:lvlText w:val="•"/>
      <w:lvlJc w:val="left"/>
      <w:pPr>
        <w:ind w:left="3344" w:hanging="291"/>
      </w:pPr>
      <w:rPr>
        <w:rFonts w:hint="default"/>
      </w:rPr>
    </w:lvl>
    <w:lvl w:ilvl="5" w:tplc="F6C474F8">
      <w:numFmt w:val="bullet"/>
      <w:lvlText w:val="•"/>
      <w:lvlJc w:val="left"/>
      <w:pPr>
        <w:ind w:left="4262" w:hanging="291"/>
      </w:pPr>
      <w:rPr>
        <w:rFonts w:hint="default"/>
      </w:rPr>
    </w:lvl>
    <w:lvl w:ilvl="6" w:tplc="B42C7A2A">
      <w:numFmt w:val="bullet"/>
      <w:lvlText w:val="•"/>
      <w:lvlJc w:val="left"/>
      <w:pPr>
        <w:ind w:left="5179" w:hanging="291"/>
      </w:pPr>
      <w:rPr>
        <w:rFonts w:hint="default"/>
      </w:rPr>
    </w:lvl>
    <w:lvl w:ilvl="7" w:tplc="18B8C594">
      <w:numFmt w:val="bullet"/>
      <w:lvlText w:val="•"/>
      <w:lvlJc w:val="left"/>
      <w:pPr>
        <w:ind w:left="6097" w:hanging="291"/>
      </w:pPr>
      <w:rPr>
        <w:rFonts w:hint="default"/>
      </w:rPr>
    </w:lvl>
    <w:lvl w:ilvl="8" w:tplc="75F0D1FE">
      <w:numFmt w:val="bullet"/>
      <w:lvlText w:val="•"/>
      <w:lvlJc w:val="left"/>
      <w:pPr>
        <w:ind w:left="7015" w:hanging="291"/>
      </w:pPr>
      <w:rPr>
        <w:rFonts w:hint="default"/>
      </w:rPr>
    </w:lvl>
  </w:abstractNum>
  <w:abstractNum w:abstractNumId="2" w15:restartNumberingAfterBreak="0">
    <w:nsid w:val="4384588D"/>
    <w:multiLevelType w:val="multilevel"/>
    <w:tmpl w:val="B2E0EC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F0B124D"/>
    <w:multiLevelType w:val="multilevel"/>
    <w:tmpl w:val="24A66446"/>
    <w:lvl w:ilvl="0">
      <w:start w:val="21"/>
      <w:numFmt w:val="upperLetter"/>
      <w:lvlText w:val="%1"/>
      <w:lvlJc w:val="left"/>
      <w:pPr>
        <w:ind w:left="100" w:hanging="404"/>
      </w:pPr>
      <w:rPr>
        <w:rFonts w:hint="default"/>
      </w:rPr>
    </w:lvl>
    <w:lvl w:ilvl="1">
      <w:start w:val="19"/>
      <w:numFmt w:val="upperLetter"/>
      <w:lvlText w:val="%1.%2."/>
      <w:lvlJc w:val="left"/>
      <w:pPr>
        <w:ind w:left="100" w:hanging="404"/>
      </w:pPr>
      <w:rPr>
        <w:rFonts w:ascii="Calibri" w:eastAsia="Calibri" w:hAnsi="Calibri" w:cs="Calibri" w:hint="default"/>
        <w:spacing w:val="-2"/>
        <w:w w:val="100"/>
        <w:sz w:val="22"/>
        <w:szCs w:val="22"/>
      </w:rPr>
    </w:lvl>
    <w:lvl w:ilvl="2">
      <w:start w:val="1"/>
      <w:numFmt w:val="lowerLetter"/>
      <w:lvlText w:val="(%3)"/>
      <w:lvlJc w:val="left"/>
      <w:pPr>
        <w:ind w:left="381" w:hanging="291"/>
      </w:pPr>
      <w:rPr>
        <w:rFonts w:ascii="Calibri" w:eastAsia="Calibri" w:hAnsi="Calibri" w:cs="Calibri" w:hint="default"/>
        <w:spacing w:val="-1"/>
        <w:w w:val="100"/>
        <w:sz w:val="22"/>
        <w:szCs w:val="22"/>
      </w:rPr>
    </w:lvl>
    <w:lvl w:ilvl="3">
      <w:numFmt w:val="bullet"/>
      <w:lvlText w:val="•"/>
      <w:lvlJc w:val="left"/>
      <w:pPr>
        <w:ind w:left="2762" w:hanging="291"/>
      </w:pPr>
      <w:rPr>
        <w:rFonts w:hint="default"/>
      </w:rPr>
    </w:lvl>
    <w:lvl w:ilvl="4">
      <w:numFmt w:val="bullet"/>
      <w:lvlText w:val="•"/>
      <w:lvlJc w:val="left"/>
      <w:pPr>
        <w:ind w:left="3733" w:hanging="291"/>
      </w:pPr>
      <w:rPr>
        <w:rFonts w:hint="default"/>
      </w:rPr>
    </w:lvl>
    <w:lvl w:ilvl="5">
      <w:numFmt w:val="bullet"/>
      <w:lvlText w:val="•"/>
      <w:lvlJc w:val="left"/>
      <w:pPr>
        <w:ind w:left="4704" w:hanging="291"/>
      </w:pPr>
      <w:rPr>
        <w:rFonts w:hint="default"/>
      </w:rPr>
    </w:lvl>
    <w:lvl w:ilvl="6">
      <w:numFmt w:val="bullet"/>
      <w:lvlText w:val="•"/>
      <w:lvlJc w:val="left"/>
      <w:pPr>
        <w:ind w:left="5675" w:hanging="291"/>
      </w:pPr>
      <w:rPr>
        <w:rFonts w:hint="default"/>
      </w:rPr>
    </w:lvl>
    <w:lvl w:ilvl="7">
      <w:numFmt w:val="bullet"/>
      <w:lvlText w:val="•"/>
      <w:lvlJc w:val="left"/>
      <w:pPr>
        <w:ind w:left="6646" w:hanging="291"/>
      </w:pPr>
      <w:rPr>
        <w:rFonts w:hint="default"/>
      </w:rPr>
    </w:lvl>
    <w:lvl w:ilvl="8">
      <w:numFmt w:val="bullet"/>
      <w:lvlText w:val="•"/>
      <w:lvlJc w:val="left"/>
      <w:pPr>
        <w:ind w:left="7617" w:hanging="291"/>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VINVS9L31/jRPITnSH3a+iqXZr8EDoJVv48HnUetKKUdZcjg1TaaNnH5wugMLZ2fzDqet+gIop2+6oC9GcY3g==" w:salt="aCGBU+yBgGNL90rw8je4ug=="/>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F7"/>
    <w:rsid w:val="00011226"/>
    <w:rsid w:val="00050A68"/>
    <w:rsid w:val="0005283C"/>
    <w:rsid w:val="0005625C"/>
    <w:rsid w:val="0008757C"/>
    <w:rsid w:val="000C74EB"/>
    <w:rsid w:val="000D56D7"/>
    <w:rsid w:val="0010186D"/>
    <w:rsid w:val="00156A28"/>
    <w:rsid w:val="001E3790"/>
    <w:rsid w:val="002160CF"/>
    <w:rsid w:val="00231D54"/>
    <w:rsid w:val="002377DF"/>
    <w:rsid w:val="00252433"/>
    <w:rsid w:val="002565C5"/>
    <w:rsid w:val="0027043E"/>
    <w:rsid w:val="002A3531"/>
    <w:rsid w:val="002A5635"/>
    <w:rsid w:val="002B5918"/>
    <w:rsid w:val="002C4936"/>
    <w:rsid w:val="002C7A28"/>
    <w:rsid w:val="002F7D3C"/>
    <w:rsid w:val="00331E8B"/>
    <w:rsid w:val="00366800"/>
    <w:rsid w:val="003E6547"/>
    <w:rsid w:val="003E7628"/>
    <w:rsid w:val="00423DBC"/>
    <w:rsid w:val="00432C6C"/>
    <w:rsid w:val="00441CD8"/>
    <w:rsid w:val="00444670"/>
    <w:rsid w:val="004A7D73"/>
    <w:rsid w:val="004B3C68"/>
    <w:rsid w:val="004B3E32"/>
    <w:rsid w:val="004B46D4"/>
    <w:rsid w:val="004C262B"/>
    <w:rsid w:val="004C64F1"/>
    <w:rsid w:val="004F49FB"/>
    <w:rsid w:val="0050029B"/>
    <w:rsid w:val="00517B40"/>
    <w:rsid w:val="0051EEF0"/>
    <w:rsid w:val="005743B7"/>
    <w:rsid w:val="00584206"/>
    <w:rsid w:val="005D3735"/>
    <w:rsid w:val="005E04AC"/>
    <w:rsid w:val="00604724"/>
    <w:rsid w:val="006179E2"/>
    <w:rsid w:val="00676E8A"/>
    <w:rsid w:val="006B10F2"/>
    <w:rsid w:val="006D01AD"/>
    <w:rsid w:val="006E31A7"/>
    <w:rsid w:val="00772E32"/>
    <w:rsid w:val="007809D6"/>
    <w:rsid w:val="007A0024"/>
    <w:rsid w:val="007A2315"/>
    <w:rsid w:val="007B146F"/>
    <w:rsid w:val="007C6FB4"/>
    <w:rsid w:val="007E6C00"/>
    <w:rsid w:val="0080218B"/>
    <w:rsid w:val="008872F4"/>
    <w:rsid w:val="008A5FE6"/>
    <w:rsid w:val="00947EF4"/>
    <w:rsid w:val="00976478"/>
    <w:rsid w:val="009B5F94"/>
    <w:rsid w:val="009D0B88"/>
    <w:rsid w:val="009D14F7"/>
    <w:rsid w:val="009F5D71"/>
    <w:rsid w:val="00A15FB4"/>
    <w:rsid w:val="00A34A0C"/>
    <w:rsid w:val="00A3CE29"/>
    <w:rsid w:val="00A62DC7"/>
    <w:rsid w:val="00A76C4E"/>
    <w:rsid w:val="00AA3885"/>
    <w:rsid w:val="00AF1822"/>
    <w:rsid w:val="00B00736"/>
    <w:rsid w:val="00B101AB"/>
    <w:rsid w:val="00B11BF5"/>
    <w:rsid w:val="00B477DD"/>
    <w:rsid w:val="00B81BF0"/>
    <w:rsid w:val="00B95E3D"/>
    <w:rsid w:val="00BC2CC7"/>
    <w:rsid w:val="00BC70F4"/>
    <w:rsid w:val="00BF16CF"/>
    <w:rsid w:val="00C01325"/>
    <w:rsid w:val="00C03C16"/>
    <w:rsid w:val="00C103AA"/>
    <w:rsid w:val="00C61A9D"/>
    <w:rsid w:val="00C671EA"/>
    <w:rsid w:val="00C90A4F"/>
    <w:rsid w:val="00CE195F"/>
    <w:rsid w:val="00D06A47"/>
    <w:rsid w:val="00D31228"/>
    <w:rsid w:val="00D532E5"/>
    <w:rsid w:val="00D75ACF"/>
    <w:rsid w:val="00DF53A2"/>
    <w:rsid w:val="00E102BF"/>
    <w:rsid w:val="00E536B6"/>
    <w:rsid w:val="00E602EF"/>
    <w:rsid w:val="00E80A7B"/>
    <w:rsid w:val="00E91A97"/>
    <w:rsid w:val="00EA18F4"/>
    <w:rsid w:val="00EC3E0F"/>
    <w:rsid w:val="00ED0904"/>
    <w:rsid w:val="00F20F59"/>
    <w:rsid w:val="00F25136"/>
    <w:rsid w:val="00F35B8D"/>
    <w:rsid w:val="00F7307C"/>
    <w:rsid w:val="00FA7EF3"/>
    <w:rsid w:val="00FB01C9"/>
    <w:rsid w:val="00FC21AD"/>
    <w:rsid w:val="00FC38B7"/>
    <w:rsid w:val="00FC46F8"/>
    <w:rsid w:val="00FD53EB"/>
    <w:rsid w:val="00FD5755"/>
    <w:rsid w:val="015623CA"/>
    <w:rsid w:val="01E9DF6D"/>
    <w:rsid w:val="03D60D39"/>
    <w:rsid w:val="040111D5"/>
    <w:rsid w:val="080B37C6"/>
    <w:rsid w:val="093399F3"/>
    <w:rsid w:val="09B850A1"/>
    <w:rsid w:val="09E75437"/>
    <w:rsid w:val="0B275554"/>
    <w:rsid w:val="0B2A4C81"/>
    <w:rsid w:val="0B301677"/>
    <w:rsid w:val="0DE049CD"/>
    <w:rsid w:val="0DF85E9A"/>
    <w:rsid w:val="0EA7358B"/>
    <w:rsid w:val="0F27138A"/>
    <w:rsid w:val="0FB52F4D"/>
    <w:rsid w:val="107AC4BF"/>
    <w:rsid w:val="10FBFCD8"/>
    <w:rsid w:val="1217924E"/>
    <w:rsid w:val="141AD123"/>
    <w:rsid w:val="14F415A5"/>
    <w:rsid w:val="157D2CB1"/>
    <w:rsid w:val="19F3644A"/>
    <w:rsid w:val="1BE3AF89"/>
    <w:rsid w:val="1CCF1D0D"/>
    <w:rsid w:val="203C6AF9"/>
    <w:rsid w:val="2249AB94"/>
    <w:rsid w:val="236872D0"/>
    <w:rsid w:val="23830CF5"/>
    <w:rsid w:val="2393162E"/>
    <w:rsid w:val="252F5478"/>
    <w:rsid w:val="26692427"/>
    <w:rsid w:val="26C295C9"/>
    <w:rsid w:val="271D1CB7"/>
    <w:rsid w:val="279E252C"/>
    <w:rsid w:val="28105ECD"/>
    <w:rsid w:val="28426785"/>
    <w:rsid w:val="292F7415"/>
    <w:rsid w:val="2996823D"/>
    <w:rsid w:val="29E7E6B5"/>
    <w:rsid w:val="2A75268F"/>
    <w:rsid w:val="2C95A95C"/>
    <w:rsid w:val="2EED3179"/>
    <w:rsid w:val="30076009"/>
    <w:rsid w:val="317F92A3"/>
    <w:rsid w:val="319088D8"/>
    <w:rsid w:val="32C2D31F"/>
    <w:rsid w:val="32C36C62"/>
    <w:rsid w:val="3352CF2C"/>
    <w:rsid w:val="346DF32D"/>
    <w:rsid w:val="3478DABA"/>
    <w:rsid w:val="362E42B7"/>
    <w:rsid w:val="381F15EE"/>
    <w:rsid w:val="3EBBD131"/>
    <w:rsid w:val="3EF78DB7"/>
    <w:rsid w:val="3FDDB398"/>
    <w:rsid w:val="41496974"/>
    <w:rsid w:val="42B08EE4"/>
    <w:rsid w:val="453F68B7"/>
    <w:rsid w:val="46408A42"/>
    <w:rsid w:val="46F1CF55"/>
    <w:rsid w:val="486C3399"/>
    <w:rsid w:val="498F51E7"/>
    <w:rsid w:val="49F76CCB"/>
    <w:rsid w:val="4DC91FC2"/>
    <w:rsid w:val="4E44575B"/>
    <w:rsid w:val="511B55C1"/>
    <w:rsid w:val="51A2D6B8"/>
    <w:rsid w:val="51F4EA4C"/>
    <w:rsid w:val="52AD284E"/>
    <w:rsid w:val="52D895C5"/>
    <w:rsid w:val="52EB8CE3"/>
    <w:rsid w:val="538616A3"/>
    <w:rsid w:val="55D04E61"/>
    <w:rsid w:val="574DC154"/>
    <w:rsid w:val="584AE2D7"/>
    <w:rsid w:val="58C63E23"/>
    <w:rsid w:val="598CC612"/>
    <w:rsid w:val="598E7C6E"/>
    <w:rsid w:val="5F9DF070"/>
    <w:rsid w:val="622F433A"/>
    <w:rsid w:val="635D54EF"/>
    <w:rsid w:val="66CA0218"/>
    <w:rsid w:val="67473251"/>
    <w:rsid w:val="68B9A78F"/>
    <w:rsid w:val="69047BFE"/>
    <w:rsid w:val="6A025473"/>
    <w:rsid w:val="6B3C4228"/>
    <w:rsid w:val="6B6817DA"/>
    <w:rsid w:val="6DD128D7"/>
    <w:rsid w:val="72A75F89"/>
    <w:rsid w:val="73ABC76A"/>
    <w:rsid w:val="7459116B"/>
    <w:rsid w:val="7539A677"/>
    <w:rsid w:val="76D10747"/>
    <w:rsid w:val="77F556B2"/>
    <w:rsid w:val="79024B9F"/>
    <w:rsid w:val="79248F77"/>
    <w:rsid w:val="7B0A4EF5"/>
    <w:rsid w:val="7BED8390"/>
    <w:rsid w:val="7D5B1564"/>
    <w:rsid w:val="7E7A1D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1FAD"/>
  <w15:chartTrackingRefBased/>
  <w15:docId w15:val="{FB7C097A-34AC-4A7E-BA23-77B505D4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D14F7"/>
    <w:rPr>
      <w:rFonts w:ascii="Calibri" w:eastAsia="Calibri" w:hAnsi="Calibri" w:cs="Calibri"/>
      <w:color w:val="000000"/>
    </w:rPr>
  </w:style>
  <w:style w:type="paragraph" w:styleId="Heading1">
    <w:name w:val="heading 1"/>
    <w:basedOn w:val="Normal"/>
    <w:next w:val="Normal"/>
    <w:link w:val="Heading1Char"/>
    <w:uiPriority w:val="9"/>
    <w:qFormat/>
    <w:rsid w:val="00444670"/>
    <w:pPr>
      <w:keepNext/>
      <w:keepLines/>
      <w:numPr>
        <w:numId w:val="1"/>
      </w:numPr>
      <w:spacing w:after="0" w:line="240" w:lineRule="auto"/>
      <w:outlineLvl w:val="0"/>
    </w:pPr>
    <w:rPr>
      <w:color w:val="4472C4"/>
      <w:sz w:val="24"/>
      <w:szCs w:val="28"/>
    </w:rPr>
  </w:style>
  <w:style w:type="paragraph" w:styleId="Heading2">
    <w:name w:val="heading 2"/>
    <w:basedOn w:val="Normal"/>
    <w:next w:val="Normal"/>
    <w:link w:val="Heading2Char"/>
    <w:uiPriority w:val="9"/>
    <w:rsid w:val="00441CD8"/>
    <w:pPr>
      <w:keepNext/>
      <w:keepLines/>
      <w:numPr>
        <w:ilvl w:val="1"/>
        <w:numId w:val="1"/>
      </w:numPr>
      <w:spacing w:before="120" w:after="0" w:line="276" w:lineRule="auto"/>
      <w:ind w:left="1170" w:hanging="540"/>
      <w:outlineLvl w:val="1"/>
    </w:pPr>
    <w:rPr>
      <w:color w:val="4472C4"/>
      <w:szCs w:val="24"/>
    </w:rPr>
  </w:style>
  <w:style w:type="paragraph" w:styleId="Heading3">
    <w:name w:val="heading 3"/>
    <w:basedOn w:val="Normal"/>
    <w:next w:val="Normal"/>
    <w:link w:val="Heading3Char"/>
    <w:qFormat/>
    <w:rsid w:val="009D14F7"/>
    <w:pPr>
      <w:keepNext/>
      <w:keepLines/>
      <w:numPr>
        <w:ilvl w:val="2"/>
        <w:numId w:val="1"/>
      </w:numPr>
      <w:spacing w:before="200" w:after="0" w:line="276" w:lineRule="auto"/>
      <w:ind w:left="1800" w:hanging="630"/>
      <w:outlineLvl w:val="2"/>
    </w:pPr>
    <w:rPr>
      <w:color w:val="5B9BD5" w:themeColor="accent5"/>
    </w:rPr>
  </w:style>
  <w:style w:type="paragraph" w:styleId="Heading4">
    <w:name w:val="heading 4"/>
    <w:basedOn w:val="Normal"/>
    <w:next w:val="Normal"/>
    <w:link w:val="Heading4Char"/>
    <w:uiPriority w:val="9"/>
    <w:qFormat/>
    <w:rsid w:val="009D14F7"/>
    <w:pPr>
      <w:keepNext/>
      <w:keepLines/>
      <w:numPr>
        <w:ilvl w:val="3"/>
        <w:numId w:val="1"/>
      </w:numPr>
      <w:spacing w:before="240" w:after="40"/>
      <w:contextualSpacing/>
      <w:outlineLvl w:val="3"/>
    </w:pPr>
    <w:rPr>
      <w:b/>
      <w:sz w:val="24"/>
      <w:szCs w:val="24"/>
    </w:rPr>
  </w:style>
  <w:style w:type="paragraph" w:styleId="Heading5">
    <w:name w:val="heading 5"/>
    <w:basedOn w:val="Normal"/>
    <w:next w:val="Normal"/>
    <w:link w:val="Heading5Char"/>
    <w:uiPriority w:val="9"/>
    <w:qFormat/>
    <w:rsid w:val="009D14F7"/>
    <w:pPr>
      <w:keepNext/>
      <w:keepLines/>
      <w:numPr>
        <w:ilvl w:val="4"/>
        <w:numId w:val="1"/>
      </w:numPr>
      <w:spacing w:before="220" w:after="40"/>
      <w:contextualSpacing/>
      <w:outlineLvl w:val="4"/>
    </w:pPr>
    <w:rPr>
      <w:b/>
    </w:rPr>
  </w:style>
  <w:style w:type="paragraph" w:styleId="Heading6">
    <w:name w:val="heading 6"/>
    <w:basedOn w:val="Normal"/>
    <w:next w:val="Normal"/>
    <w:link w:val="Heading6Char"/>
    <w:qFormat/>
    <w:rsid w:val="009D14F7"/>
    <w:pPr>
      <w:keepNext/>
      <w:keepLines/>
      <w:numPr>
        <w:ilvl w:val="5"/>
        <w:numId w:val="1"/>
      </w:numPr>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9D14F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D14F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14F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670"/>
    <w:rPr>
      <w:rFonts w:ascii="Calibri" w:eastAsia="Calibri" w:hAnsi="Calibri" w:cs="Calibri"/>
      <w:color w:val="4472C4"/>
      <w:sz w:val="24"/>
      <w:szCs w:val="28"/>
    </w:rPr>
  </w:style>
  <w:style w:type="character" w:customStyle="1" w:styleId="Heading2Char">
    <w:name w:val="Heading 2 Char"/>
    <w:basedOn w:val="DefaultParagraphFont"/>
    <w:link w:val="Heading2"/>
    <w:uiPriority w:val="9"/>
    <w:rsid w:val="00441CD8"/>
    <w:rPr>
      <w:rFonts w:ascii="Calibri" w:eastAsia="Calibri" w:hAnsi="Calibri" w:cs="Calibri"/>
      <w:color w:val="4472C4"/>
      <w:szCs w:val="24"/>
    </w:rPr>
  </w:style>
  <w:style w:type="character" w:customStyle="1" w:styleId="Heading3Char">
    <w:name w:val="Heading 3 Char"/>
    <w:basedOn w:val="DefaultParagraphFont"/>
    <w:link w:val="Heading3"/>
    <w:rsid w:val="009D14F7"/>
    <w:rPr>
      <w:rFonts w:ascii="Calibri" w:eastAsia="Calibri" w:hAnsi="Calibri" w:cs="Calibri"/>
      <w:color w:val="5B9BD5" w:themeColor="accent5"/>
    </w:rPr>
  </w:style>
  <w:style w:type="character" w:customStyle="1" w:styleId="Heading4Char">
    <w:name w:val="Heading 4 Char"/>
    <w:basedOn w:val="DefaultParagraphFont"/>
    <w:link w:val="Heading4"/>
    <w:uiPriority w:val="9"/>
    <w:rsid w:val="009D14F7"/>
    <w:rPr>
      <w:rFonts w:ascii="Calibri" w:eastAsia="Calibri" w:hAnsi="Calibri" w:cs="Calibri"/>
      <w:b/>
      <w:color w:val="000000"/>
      <w:sz w:val="24"/>
      <w:szCs w:val="24"/>
    </w:rPr>
  </w:style>
  <w:style w:type="character" w:customStyle="1" w:styleId="Heading5Char">
    <w:name w:val="Heading 5 Char"/>
    <w:basedOn w:val="DefaultParagraphFont"/>
    <w:link w:val="Heading5"/>
    <w:uiPriority w:val="9"/>
    <w:rsid w:val="009D14F7"/>
    <w:rPr>
      <w:rFonts w:ascii="Calibri" w:eastAsia="Calibri" w:hAnsi="Calibri" w:cs="Calibri"/>
      <w:b/>
      <w:color w:val="000000"/>
    </w:rPr>
  </w:style>
  <w:style w:type="character" w:customStyle="1" w:styleId="Heading6Char">
    <w:name w:val="Heading 6 Char"/>
    <w:basedOn w:val="DefaultParagraphFont"/>
    <w:link w:val="Heading6"/>
    <w:rsid w:val="009D14F7"/>
    <w:rPr>
      <w:rFonts w:ascii="Calibri" w:eastAsia="Calibri" w:hAnsi="Calibri" w:cs="Calibri"/>
      <w:b/>
      <w:color w:val="000000"/>
      <w:sz w:val="20"/>
      <w:szCs w:val="20"/>
    </w:rPr>
  </w:style>
  <w:style w:type="character" w:customStyle="1" w:styleId="Heading7Char">
    <w:name w:val="Heading 7 Char"/>
    <w:basedOn w:val="DefaultParagraphFont"/>
    <w:link w:val="Heading7"/>
    <w:uiPriority w:val="9"/>
    <w:semiHidden/>
    <w:rsid w:val="009D14F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D14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D14F7"/>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9D14F7"/>
    <w:pPr>
      <w:spacing w:after="0" w:line="240" w:lineRule="auto"/>
    </w:pPr>
    <w:rPr>
      <w:sz w:val="20"/>
      <w:szCs w:val="20"/>
    </w:rPr>
  </w:style>
  <w:style w:type="character" w:customStyle="1" w:styleId="FootnoteTextChar">
    <w:name w:val="Footnote Text Char"/>
    <w:basedOn w:val="DefaultParagraphFont"/>
    <w:link w:val="FootnoteText"/>
    <w:uiPriority w:val="99"/>
    <w:rsid w:val="009D14F7"/>
    <w:rPr>
      <w:rFonts w:ascii="Calibri" w:eastAsia="Calibri" w:hAnsi="Calibri" w:cs="Calibri"/>
      <w:color w:val="000000"/>
      <w:sz w:val="20"/>
      <w:szCs w:val="20"/>
    </w:rPr>
  </w:style>
  <w:style w:type="character" w:styleId="FootnoteReference">
    <w:name w:val="footnote reference"/>
    <w:basedOn w:val="DefaultParagraphFont"/>
    <w:unhideWhenUsed/>
    <w:rsid w:val="009D14F7"/>
    <w:rPr>
      <w:vertAlign w:val="superscript"/>
    </w:rPr>
  </w:style>
  <w:style w:type="character" w:styleId="Hyperlink">
    <w:name w:val="Hyperlink"/>
    <w:basedOn w:val="DefaultParagraphFont"/>
    <w:uiPriority w:val="99"/>
    <w:unhideWhenUsed/>
    <w:rsid w:val="009D14F7"/>
    <w:rPr>
      <w:color w:val="0563C1" w:themeColor="hyperlink"/>
      <w:u w:val="single"/>
    </w:rPr>
  </w:style>
  <w:style w:type="paragraph" w:styleId="TOCHeading">
    <w:name w:val="TOC Heading"/>
    <w:basedOn w:val="Heading1"/>
    <w:next w:val="Normal"/>
    <w:uiPriority w:val="39"/>
    <w:unhideWhenUsed/>
    <w:qFormat/>
    <w:rsid w:val="009D14F7"/>
    <w:rPr>
      <w:color w:val="2E74B5" w:themeColor="accent5" w:themeShade="BF"/>
    </w:rPr>
  </w:style>
  <w:style w:type="paragraph" w:styleId="TOC1">
    <w:name w:val="toc 1"/>
    <w:basedOn w:val="Normal"/>
    <w:next w:val="Normal"/>
    <w:autoRedefine/>
    <w:uiPriority w:val="39"/>
    <w:unhideWhenUsed/>
    <w:rsid w:val="009D14F7"/>
    <w:pPr>
      <w:tabs>
        <w:tab w:val="left" w:pos="440"/>
        <w:tab w:val="right" w:leader="dot" w:pos="9350"/>
      </w:tabs>
      <w:spacing w:after="100"/>
    </w:pPr>
  </w:style>
  <w:style w:type="paragraph" w:styleId="TOC2">
    <w:name w:val="toc 2"/>
    <w:basedOn w:val="Normal"/>
    <w:next w:val="Normal"/>
    <w:autoRedefine/>
    <w:uiPriority w:val="39"/>
    <w:unhideWhenUsed/>
    <w:rsid w:val="009D14F7"/>
    <w:pPr>
      <w:spacing w:after="100"/>
      <w:ind w:left="220"/>
    </w:pPr>
  </w:style>
  <w:style w:type="character" w:customStyle="1" w:styleId="normaltextrun">
    <w:name w:val="normaltextrun"/>
    <w:basedOn w:val="DefaultParagraphFont"/>
    <w:rsid w:val="009D14F7"/>
  </w:style>
  <w:style w:type="character" w:customStyle="1" w:styleId="eop">
    <w:name w:val="eop"/>
    <w:basedOn w:val="DefaultParagraphFont"/>
    <w:rsid w:val="009D14F7"/>
  </w:style>
  <w:style w:type="character" w:customStyle="1" w:styleId="spellingerror">
    <w:name w:val="spellingerror"/>
    <w:basedOn w:val="DefaultParagraphFont"/>
    <w:rsid w:val="009D14F7"/>
  </w:style>
  <w:style w:type="table" w:styleId="TableGrid">
    <w:name w:val="Table Grid"/>
    <w:aliases w:val="Signature Table"/>
    <w:basedOn w:val="TableNormal"/>
    <w:uiPriority w:val="39"/>
    <w:rsid w:val="009D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1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4F7"/>
    <w:rPr>
      <w:rFonts w:ascii="Calibri" w:eastAsia="Calibri" w:hAnsi="Calibri" w:cs="Calibri"/>
      <w:color w:val="000000"/>
    </w:rPr>
  </w:style>
  <w:style w:type="paragraph" w:styleId="NoSpacing">
    <w:name w:val="No Spacing"/>
    <w:uiPriority w:val="1"/>
    <w:qFormat/>
    <w:rsid w:val="009D14F7"/>
    <w:pPr>
      <w:spacing w:after="0" w:line="240" w:lineRule="auto"/>
    </w:pPr>
    <w:rPr>
      <w:rFonts w:ascii="Calibri" w:eastAsia="Calibri" w:hAnsi="Calibri" w:cs="Calibri"/>
      <w:color w:val="000000"/>
    </w:rPr>
  </w:style>
  <w:style w:type="paragraph" w:styleId="Caption">
    <w:name w:val="caption"/>
    <w:basedOn w:val="Normal"/>
    <w:next w:val="Normal"/>
    <w:uiPriority w:val="35"/>
    <w:unhideWhenUsed/>
    <w:qFormat/>
    <w:rsid w:val="009D14F7"/>
    <w:pPr>
      <w:spacing w:after="0" w:line="240" w:lineRule="auto"/>
    </w:pPr>
    <w:rPr>
      <w:b/>
      <w:bCs/>
      <w:color w:val="000000" w:themeColor="text1"/>
    </w:rPr>
  </w:style>
  <w:style w:type="paragraph" w:styleId="BodyText">
    <w:name w:val="Body Text"/>
    <w:basedOn w:val="Normal"/>
    <w:link w:val="BodyTextChar"/>
    <w:uiPriority w:val="99"/>
    <w:unhideWhenUsed/>
    <w:rsid w:val="00B00736"/>
    <w:pPr>
      <w:spacing w:after="120"/>
    </w:pPr>
  </w:style>
  <w:style w:type="character" w:customStyle="1" w:styleId="BodyTextChar">
    <w:name w:val="Body Text Char"/>
    <w:basedOn w:val="DefaultParagraphFont"/>
    <w:link w:val="BodyText"/>
    <w:uiPriority w:val="99"/>
    <w:rsid w:val="00B00736"/>
    <w:rPr>
      <w:rFonts w:ascii="Calibri" w:eastAsia="Calibri" w:hAnsi="Calibri" w:cs="Calibri"/>
      <w:color w:val="000000"/>
    </w:rPr>
  </w:style>
  <w:style w:type="paragraph" w:customStyle="1" w:styleId="TableParagraph">
    <w:name w:val="Table Paragraph"/>
    <w:basedOn w:val="Normal"/>
    <w:uiPriority w:val="1"/>
    <w:qFormat/>
    <w:rsid w:val="007E6C00"/>
    <w:pPr>
      <w:widowControl w:val="0"/>
      <w:autoSpaceDE w:val="0"/>
      <w:autoSpaceDN w:val="0"/>
      <w:spacing w:after="0" w:line="240" w:lineRule="auto"/>
      <w:ind w:left="103"/>
    </w:pPr>
    <w:rPr>
      <w:color w:val="auto"/>
    </w:rPr>
  </w:style>
  <w:style w:type="paragraph" w:styleId="TableofFigures">
    <w:name w:val="table of figures"/>
    <w:basedOn w:val="Normal"/>
    <w:next w:val="Normal"/>
    <w:uiPriority w:val="99"/>
    <w:unhideWhenUsed/>
    <w:rsid w:val="006D01AD"/>
    <w:pPr>
      <w:spacing w:after="0"/>
    </w:pPr>
  </w:style>
  <w:style w:type="paragraph" w:customStyle="1" w:styleId="EndNoteBibliography">
    <w:name w:val="EndNote Bibliography"/>
    <w:basedOn w:val="Normal"/>
    <w:link w:val="EndNoteBibliographyChar"/>
    <w:rsid w:val="00E102BF"/>
    <w:pPr>
      <w:spacing w:line="240" w:lineRule="auto"/>
    </w:pPr>
    <w:rPr>
      <w:noProof/>
    </w:rPr>
  </w:style>
  <w:style w:type="character" w:customStyle="1" w:styleId="EndNoteBibliographyChar">
    <w:name w:val="EndNote Bibliography Char"/>
    <w:basedOn w:val="DefaultParagraphFont"/>
    <w:link w:val="EndNoteBibliography"/>
    <w:rsid w:val="00E102BF"/>
    <w:rPr>
      <w:rFonts w:ascii="Calibri" w:eastAsia="Calibri" w:hAnsi="Calibri" w:cs="Calibri"/>
      <w:noProof/>
      <w:color w:val="000000"/>
    </w:rPr>
  </w:style>
  <w:style w:type="character" w:styleId="CommentReference">
    <w:name w:val="annotation reference"/>
    <w:basedOn w:val="DefaultParagraphFont"/>
    <w:uiPriority w:val="99"/>
    <w:semiHidden/>
    <w:unhideWhenUsed/>
    <w:rsid w:val="002565C5"/>
    <w:rPr>
      <w:sz w:val="16"/>
      <w:szCs w:val="16"/>
    </w:rPr>
  </w:style>
  <w:style w:type="paragraph" w:styleId="CommentText">
    <w:name w:val="annotation text"/>
    <w:basedOn w:val="Normal"/>
    <w:link w:val="CommentTextChar"/>
    <w:uiPriority w:val="99"/>
    <w:semiHidden/>
    <w:unhideWhenUsed/>
    <w:rsid w:val="002565C5"/>
    <w:pPr>
      <w:spacing w:line="240" w:lineRule="auto"/>
    </w:pPr>
    <w:rPr>
      <w:sz w:val="20"/>
      <w:szCs w:val="20"/>
    </w:rPr>
  </w:style>
  <w:style w:type="character" w:customStyle="1" w:styleId="CommentTextChar">
    <w:name w:val="Comment Text Char"/>
    <w:basedOn w:val="DefaultParagraphFont"/>
    <w:link w:val="CommentText"/>
    <w:uiPriority w:val="99"/>
    <w:semiHidden/>
    <w:rsid w:val="002565C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565C5"/>
    <w:rPr>
      <w:b/>
      <w:bCs/>
    </w:rPr>
  </w:style>
  <w:style w:type="character" w:customStyle="1" w:styleId="CommentSubjectChar">
    <w:name w:val="Comment Subject Char"/>
    <w:basedOn w:val="CommentTextChar"/>
    <w:link w:val="CommentSubject"/>
    <w:uiPriority w:val="99"/>
    <w:semiHidden/>
    <w:rsid w:val="002565C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56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5C5"/>
    <w:rPr>
      <w:rFonts w:ascii="Segoe UI" w:eastAsia="Calibri" w:hAnsi="Segoe UI" w:cs="Segoe UI"/>
      <w:color w:val="000000"/>
      <w:sz w:val="18"/>
      <w:szCs w:val="18"/>
    </w:rPr>
  </w:style>
  <w:style w:type="paragraph" w:styleId="Header">
    <w:name w:val="header"/>
    <w:basedOn w:val="Normal"/>
    <w:link w:val="HeaderChar"/>
    <w:uiPriority w:val="99"/>
    <w:unhideWhenUsed/>
    <w:rsid w:val="004A7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D73"/>
    <w:rPr>
      <w:rFonts w:ascii="Calibri" w:eastAsia="Calibri" w:hAnsi="Calibri" w:cs="Calibri"/>
      <w:color w:val="00000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D0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5386">
      <w:bodyDiv w:val="1"/>
      <w:marLeft w:val="0"/>
      <w:marRight w:val="0"/>
      <w:marTop w:val="0"/>
      <w:marBottom w:val="0"/>
      <w:divBdr>
        <w:top w:val="none" w:sz="0" w:space="0" w:color="auto"/>
        <w:left w:val="none" w:sz="0" w:space="0" w:color="auto"/>
        <w:bottom w:val="none" w:sz="0" w:space="0" w:color="auto"/>
        <w:right w:val="none" w:sz="0" w:space="0" w:color="auto"/>
      </w:divBdr>
      <w:divsChild>
        <w:div w:id="669336363">
          <w:marLeft w:val="0"/>
          <w:marRight w:val="0"/>
          <w:marTop w:val="0"/>
          <w:marBottom w:val="0"/>
          <w:divBdr>
            <w:top w:val="none" w:sz="0" w:space="0" w:color="auto"/>
            <w:left w:val="none" w:sz="0" w:space="0" w:color="auto"/>
            <w:bottom w:val="none" w:sz="0" w:space="0" w:color="auto"/>
            <w:right w:val="none" w:sz="0" w:space="0" w:color="auto"/>
          </w:divBdr>
        </w:div>
        <w:div w:id="1515411628">
          <w:marLeft w:val="0"/>
          <w:marRight w:val="0"/>
          <w:marTop w:val="0"/>
          <w:marBottom w:val="0"/>
          <w:divBdr>
            <w:top w:val="none" w:sz="0" w:space="0" w:color="auto"/>
            <w:left w:val="none" w:sz="0" w:space="0" w:color="auto"/>
            <w:bottom w:val="none" w:sz="0" w:space="0" w:color="auto"/>
            <w:right w:val="none" w:sz="0" w:space="0" w:color="auto"/>
          </w:divBdr>
        </w:div>
        <w:div w:id="1379086259">
          <w:marLeft w:val="0"/>
          <w:marRight w:val="0"/>
          <w:marTop w:val="0"/>
          <w:marBottom w:val="0"/>
          <w:divBdr>
            <w:top w:val="none" w:sz="0" w:space="0" w:color="auto"/>
            <w:left w:val="none" w:sz="0" w:space="0" w:color="auto"/>
            <w:bottom w:val="none" w:sz="0" w:space="0" w:color="auto"/>
            <w:right w:val="none" w:sz="0" w:space="0" w:color="auto"/>
          </w:divBdr>
        </w:div>
      </w:divsChild>
    </w:div>
    <w:div w:id="659114268">
      <w:bodyDiv w:val="1"/>
      <w:marLeft w:val="0"/>
      <w:marRight w:val="0"/>
      <w:marTop w:val="0"/>
      <w:marBottom w:val="0"/>
      <w:divBdr>
        <w:top w:val="none" w:sz="0" w:space="0" w:color="auto"/>
        <w:left w:val="none" w:sz="0" w:space="0" w:color="auto"/>
        <w:bottom w:val="none" w:sz="0" w:space="0" w:color="auto"/>
        <w:right w:val="none" w:sz="0" w:space="0" w:color="auto"/>
      </w:divBdr>
      <w:divsChild>
        <w:div w:id="162548130">
          <w:marLeft w:val="0"/>
          <w:marRight w:val="0"/>
          <w:marTop w:val="0"/>
          <w:marBottom w:val="0"/>
          <w:divBdr>
            <w:top w:val="none" w:sz="0" w:space="0" w:color="auto"/>
            <w:left w:val="none" w:sz="0" w:space="0" w:color="auto"/>
            <w:bottom w:val="none" w:sz="0" w:space="0" w:color="auto"/>
            <w:right w:val="none" w:sz="0" w:space="0" w:color="auto"/>
          </w:divBdr>
        </w:div>
        <w:div w:id="1507742974">
          <w:marLeft w:val="0"/>
          <w:marRight w:val="0"/>
          <w:marTop w:val="0"/>
          <w:marBottom w:val="0"/>
          <w:divBdr>
            <w:top w:val="none" w:sz="0" w:space="0" w:color="auto"/>
            <w:left w:val="none" w:sz="0" w:space="0" w:color="auto"/>
            <w:bottom w:val="none" w:sz="0" w:space="0" w:color="auto"/>
            <w:right w:val="none" w:sz="0" w:space="0" w:color="auto"/>
          </w:divBdr>
        </w:div>
        <w:div w:id="830215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DOCREP/003/X2570E/X2570E06.htm" TargetMode="External"/><Relationship Id="rId7" Type="http://schemas.openxmlformats.org/officeDocument/2006/relationships/hyperlink" Target="https://www.epa.gov/endangered-species/models-and-tools-endangered-species-pesticide-assessments" TargetMode="External"/><Relationship Id="rId2" Type="http://schemas.openxmlformats.org/officeDocument/2006/relationships/hyperlink" Target="http://www.irac-online.org/" TargetMode="External"/><Relationship Id="rId1" Type="http://schemas.openxmlformats.org/officeDocument/2006/relationships/hyperlink" Target="https://www.epa.gov/endangered-species/revised-method-national-level-listed-species-biological-evaluations-conventional" TargetMode="External"/><Relationship Id="rId6" Type="http://schemas.openxmlformats.org/officeDocument/2006/relationships/hyperlink" Target="https://www.epa.gov/endangered-species/models-and-tools-endangered-species-pesticide-assessments" TargetMode="External"/><Relationship Id="rId5" Type="http://schemas.openxmlformats.org/officeDocument/2006/relationships/hyperlink" Target="https://coast.noaa.gov/digitalcoast/data/ccapregional.html" TargetMode="External"/><Relationship Id="rId4" Type="http://schemas.openxmlformats.org/officeDocument/2006/relationships/hyperlink" Target="https://www.nass.usda.gov/Research_and_Science/Cropland/SARS1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2021-05-13T10:32:31+00:00</Document_x0020_Creation_x0020_Date>
    <_Source xmlns="http://schemas.microsoft.com/sharepoint/v3/fields"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SharedWithUsers xmlns="00d508f3-ced4-4eef-9de0-15f52db79921">
      <UserInfo>
        <DisplayName/>
        <AccountId xsi:nil="true"/>
        <AccountType/>
      </UserInfo>
    </SharedWithUsers>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2021-05-11T10:10:58+00:00</Document_x0020_Creation_x0020_Date>
    <_Source xmlns="http://schemas.microsoft.com/sharepoint/v3/fields"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29f62856-1543-49d4-a736-4569d363f533" ContentTypeId="0x0101" PreviousValue="false"/>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B72507-C279-4299-B1EF-4A5581CA8D9E}">
  <ds:schemaRefs>
    <ds:schemaRef ds:uri="http://schemas.microsoft.com/sharepoint/v3"/>
    <ds:schemaRef ds:uri="http://purl.org/dc/terms/"/>
    <ds:schemaRef ds:uri="http://schemas.microsoft.com/sharepoint/v3/fields"/>
    <ds:schemaRef ds:uri="http://schemas.openxmlformats.org/package/2006/metadata/core-properties"/>
    <ds:schemaRef ds:uri="http://schemas.microsoft.com/office/2006/documentManagement/types"/>
    <ds:schemaRef ds:uri="http://purl.org/dc/dcmitype/"/>
    <ds:schemaRef ds:uri="00d508f3-ced4-4eef-9de0-15f52db79921"/>
    <ds:schemaRef ds:uri="http://purl.org/dc/elements/1.1/"/>
    <ds:schemaRef ds:uri="4ffa91fb-a0ff-4ac5-b2db-65c790d184a4"/>
    <ds:schemaRef ds:uri="http://schemas.microsoft.com/office/2006/metadata/properties"/>
    <ds:schemaRef ds:uri="http://schemas.microsoft.com/office/infopath/2007/PartnerControls"/>
    <ds:schemaRef ds:uri="58c488bd-f65c-42ee-bbcb-4231ef2e22d2"/>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370E785-BAC9-47B6-B0E5-B45282F5E5B9}">
  <ds:schemaRefs>
    <ds:schemaRef ds:uri="Microsoft.SharePoint.Taxonomy.ContentTypeSync"/>
  </ds:schemaRefs>
</ds:datastoreItem>
</file>

<file path=customXml/itemProps3.xml><?xml version="1.0" encoding="utf-8"?>
<ds:datastoreItem xmlns:ds="http://schemas.openxmlformats.org/officeDocument/2006/customXml" ds:itemID="{766028B5-DA95-4A3F-ABF9-249ECB391C87}">
  <ds:schemaRefs>
    <ds:schemaRef ds:uri="http://schemas.openxmlformats.org/officeDocument/2006/bibliography"/>
  </ds:schemaRefs>
</ds:datastoreItem>
</file>

<file path=customXml/itemProps4.xml><?xml version="1.0" encoding="utf-8"?>
<ds:datastoreItem xmlns:ds="http://schemas.openxmlformats.org/officeDocument/2006/customXml" ds:itemID="{AF24AC24-A42A-4447-83DB-053DBA646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1F61A-9C58-4930-B769-6034869D73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69afd8-9bdb-481b-b26a-06cbd17fa30c"/>
    <ds:schemaRef ds:uri="http://purl.org/dc/elements/1.1/"/>
    <ds:schemaRef ds:uri="http://schemas.microsoft.com/office/2006/metadata/properties"/>
    <ds:schemaRef ds:uri="a5d1ca4e-0a3f-4119-b619-e20b93ebd1aa"/>
    <ds:schemaRef ds:uri="http://schemas.microsoft.com/sharepoint/v3/fields"/>
    <ds:schemaRef ds:uri="http://schemas.microsoft.com/sharepoint/v3"/>
    <ds:schemaRef ds:uri="http://schemas.microsoft.com/sharepoint.v3"/>
    <ds:schemaRef ds:uri="4ffa91fb-a0ff-4ac5-b2db-65c790d184a4"/>
    <ds:schemaRef ds:uri="http://www.w3.org/XML/1998/namespace"/>
    <ds:schemaRef ds:uri="http://purl.org/dc/dcmitype/"/>
  </ds:schemaRefs>
</ds:datastoreItem>
</file>

<file path=customXml/itemProps6.xml><?xml version="1.0" encoding="utf-8"?>
<ds:datastoreItem xmlns:ds="http://schemas.openxmlformats.org/officeDocument/2006/customXml" ds:itemID="{BE156351-DC8D-429A-B18A-D6C716F1D241}">
  <ds:schemaRefs>
    <ds:schemaRef ds:uri="http://schemas.microsoft.com/sharepoint/v3/contenttype/forms"/>
  </ds:schemaRefs>
</ds:datastoreItem>
</file>

<file path=customXml/itemProps7.xml><?xml version="1.0" encoding="utf-8"?>
<ds:datastoreItem xmlns:ds="http://schemas.openxmlformats.org/officeDocument/2006/customXml" ds:itemID="{75668087-46D3-4BF7-83FE-C320FC00D626}">
  <ds:schemaRefs>
    <ds:schemaRef ds:uri="Microsoft.SharePoint.Taxonomy.ContentTypeSync"/>
  </ds:schemaRefs>
</ds:datastoreItem>
</file>

<file path=customXml/itemProps8.xml><?xml version="1.0" encoding="utf-8"?>
<ds:datastoreItem xmlns:ds="http://schemas.openxmlformats.org/officeDocument/2006/customXml" ds:itemID="{BBBF354B-0FB0-49AD-8B14-C7594BFDE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3741</Words>
  <Characters>21327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Orrick, Greg</dc:creator>
  <cp:keywords/>
  <dc:description/>
  <cp:lastModifiedBy>Orrick, Greg</cp:lastModifiedBy>
  <cp:revision>5</cp:revision>
  <dcterms:created xsi:type="dcterms:W3CDTF">2021-08-17T23:23:00Z</dcterms:created>
  <dcterms:modified xsi:type="dcterms:W3CDTF">2022-06-02T03:47:00Z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y fmtid="{D5CDD505-2E9C-101B-9397-08002B2CF9AE}" pid="7" name="Order">
    <vt:r8>52866200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_ExtendedDescription">
    <vt:lpwstr/>
  </property>
</Properties>
</file>