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6616A" w:rsidRPr="00FE7B18" w:rsidRDefault="009D4059" w:rsidP="00FE7B18">
      <w:pPr>
        <w:pStyle w:val="Heading2"/>
        <w:rPr>
          <w:rFonts w:asciiTheme="minorHAnsi" w:hAnsiTheme="minorHAnsi"/>
          <w:sz w:val="24"/>
          <w:szCs w:val="24"/>
        </w:rPr>
      </w:pPr>
      <w:bookmarkStart w:id="0" w:name="h.gjdgxs" w:colFirst="0" w:colLast="0"/>
      <w:bookmarkEnd w:id="0"/>
      <w:r w:rsidRPr="00FE7B18">
        <w:rPr>
          <w:rFonts w:asciiTheme="minorHAnsi" w:hAnsiTheme="minorHAnsi"/>
          <w:sz w:val="24"/>
          <w:szCs w:val="24"/>
        </w:rPr>
        <w:t>A</w:t>
      </w:r>
      <w:r w:rsidR="00FE7B18" w:rsidRPr="00FE7B18">
        <w:rPr>
          <w:rFonts w:asciiTheme="minorHAnsi" w:hAnsiTheme="minorHAnsi"/>
          <w:sz w:val="24"/>
          <w:szCs w:val="24"/>
        </w:rPr>
        <w:t>PPENDIX 3-3</w:t>
      </w:r>
      <w:r w:rsidRPr="00FE7B18">
        <w:rPr>
          <w:rFonts w:asciiTheme="minorHAnsi" w:hAnsiTheme="minorHAnsi"/>
          <w:sz w:val="24"/>
          <w:szCs w:val="24"/>
        </w:rPr>
        <w:t>: Spray Drift</w:t>
      </w:r>
      <w:r w:rsidR="00B37AA9" w:rsidRPr="00FE7B18">
        <w:rPr>
          <w:rFonts w:asciiTheme="minorHAnsi" w:hAnsiTheme="minorHAnsi"/>
          <w:sz w:val="24"/>
          <w:szCs w:val="24"/>
        </w:rPr>
        <w:t xml:space="preserve"> Considerations </w:t>
      </w:r>
      <w:r w:rsidR="00FE7B18" w:rsidRPr="00FE7B18">
        <w:rPr>
          <w:rFonts w:asciiTheme="minorHAnsi" w:hAnsiTheme="minorHAnsi"/>
          <w:sz w:val="24"/>
          <w:szCs w:val="24"/>
        </w:rPr>
        <w:t xml:space="preserve">for </w:t>
      </w:r>
      <w:proofErr w:type="spellStart"/>
      <w:r w:rsidR="00FE7B18" w:rsidRPr="00FE7B18">
        <w:rPr>
          <w:rFonts w:asciiTheme="minorHAnsi" w:hAnsiTheme="minorHAnsi"/>
          <w:sz w:val="24"/>
          <w:szCs w:val="24"/>
        </w:rPr>
        <w:t>Diazinon</w:t>
      </w:r>
      <w:proofErr w:type="spellEnd"/>
    </w:p>
    <w:p w:rsidR="00B37AA9" w:rsidRDefault="00B37AA9" w:rsidP="00B37AA9"/>
    <w:p w:rsidR="00B37AA9" w:rsidRPr="00FE7B18" w:rsidRDefault="00B37AA9" w:rsidP="00B37AA9">
      <w:pPr>
        <w:rPr>
          <w:rFonts w:asciiTheme="minorHAnsi" w:hAnsiTheme="minorHAnsi"/>
        </w:rPr>
      </w:pPr>
      <w:r w:rsidRPr="00FE7B18">
        <w:rPr>
          <w:rFonts w:asciiTheme="minorHAnsi" w:hAnsiTheme="minorHAnsi"/>
        </w:rPr>
        <w:t xml:space="preserve">Some </w:t>
      </w:r>
      <w:proofErr w:type="spellStart"/>
      <w:r w:rsidRPr="00FE7B18">
        <w:rPr>
          <w:rFonts w:asciiTheme="minorHAnsi" w:hAnsiTheme="minorHAnsi"/>
        </w:rPr>
        <w:t>diazinon</w:t>
      </w:r>
      <w:proofErr w:type="spellEnd"/>
      <w:r w:rsidRPr="00FE7B18">
        <w:rPr>
          <w:rFonts w:asciiTheme="minorHAnsi" w:hAnsiTheme="minorHAnsi"/>
        </w:rPr>
        <w:t xml:space="preserve"> labels include the following language related to</w:t>
      </w:r>
      <w:r w:rsidR="00670E6B" w:rsidRPr="00FE7B18">
        <w:rPr>
          <w:rFonts w:asciiTheme="minorHAnsi" w:hAnsiTheme="minorHAnsi"/>
        </w:rPr>
        <w:t xml:space="preserve"> </w:t>
      </w:r>
      <w:r w:rsidRPr="00FE7B18">
        <w:rPr>
          <w:rFonts w:asciiTheme="minorHAnsi" w:hAnsiTheme="minorHAnsi"/>
        </w:rPr>
        <w:t>spray drift buffers on labels.</w:t>
      </w:r>
    </w:p>
    <w:p w:rsidR="00B37AA9" w:rsidRPr="00FE7B18" w:rsidRDefault="00B37AA9" w:rsidP="00B37AA9">
      <w:pPr>
        <w:rPr>
          <w:rFonts w:asciiTheme="minorHAnsi" w:hAnsiTheme="minorHAnsi"/>
        </w:rPr>
      </w:pPr>
    </w:p>
    <w:p w:rsidR="0056616A" w:rsidRPr="00FE7B18" w:rsidRDefault="00B37AA9" w:rsidP="00B37AA9">
      <w:pPr>
        <w:pStyle w:val="ListParagraph"/>
        <w:numPr>
          <w:ilvl w:val="0"/>
          <w:numId w:val="2"/>
        </w:numPr>
        <w:rPr>
          <w:rFonts w:asciiTheme="minorHAnsi" w:hAnsiTheme="minorHAnsi"/>
        </w:rPr>
      </w:pPr>
      <w:r w:rsidRPr="00FE7B18">
        <w:rPr>
          <w:rFonts w:asciiTheme="minorHAnsi" w:hAnsiTheme="minorHAnsi"/>
        </w:rPr>
        <w:t xml:space="preserve"> Do not apply within 100 feet upslope of “sensitive aquatic sites” such as any irrigation ditch, drainage canal or body of water that may drain into a river or tributary unless a suitable method is used to contain or divert runoff waters.  Waters that are contained or diverted must be held for a minimum of 72 hours before release into a sensitive aquatic site.</w:t>
      </w:r>
    </w:p>
    <w:p w:rsidR="00B37AA9" w:rsidRPr="00FE7B18" w:rsidRDefault="00B37AA9" w:rsidP="00B37AA9">
      <w:pPr>
        <w:pStyle w:val="ListParagraph"/>
        <w:numPr>
          <w:ilvl w:val="0"/>
          <w:numId w:val="2"/>
        </w:numPr>
        <w:rPr>
          <w:rFonts w:asciiTheme="minorHAnsi" w:hAnsiTheme="minorHAnsi"/>
        </w:rPr>
      </w:pPr>
      <w:r w:rsidRPr="00FE7B18">
        <w:rPr>
          <w:rFonts w:asciiTheme="minorHAnsi" w:hAnsiTheme="minorHAnsi"/>
        </w:rPr>
        <w:t>Maintain a vegetative buffer strip a minimum of 10 feet wide from edge of a field that is adjacent to and within 100 feet of sensitive aquatic sites.</w:t>
      </w:r>
    </w:p>
    <w:p w:rsidR="00B37AA9" w:rsidRPr="00FE7B18" w:rsidRDefault="00B37AA9" w:rsidP="00B37AA9">
      <w:pPr>
        <w:pStyle w:val="ListParagraph"/>
        <w:numPr>
          <w:ilvl w:val="0"/>
          <w:numId w:val="2"/>
        </w:numPr>
        <w:rPr>
          <w:rFonts w:asciiTheme="minorHAnsi" w:hAnsiTheme="minorHAnsi"/>
        </w:rPr>
      </w:pPr>
      <w:r w:rsidRPr="00FE7B18">
        <w:rPr>
          <w:rFonts w:asciiTheme="minorHAnsi" w:hAnsiTheme="minorHAnsi"/>
        </w:rPr>
        <w:t>Do not apply this product to orchards when soil moisture is at field capacity and/or when a storm event likely to produce runoff from the treated orchard is forecasted by NOAA/NWS to occur within 48 hours following application. Do not apply within 100 ft. upslope of “sensitive aquatic sites” unless a suitable method is used to contain or divert runoff waters.  Waters must be contained or diverted for 72 hours.</w:t>
      </w:r>
    </w:p>
    <w:p w:rsidR="00B37AA9" w:rsidRPr="00FE7B18" w:rsidRDefault="00B37AA9" w:rsidP="00B37AA9">
      <w:pPr>
        <w:pStyle w:val="ListParagraph"/>
        <w:numPr>
          <w:ilvl w:val="0"/>
          <w:numId w:val="2"/>
        </w:numPr>
        <w:rPr>
          <w:rFonts w:asciiTheme="minorHAnsi" w:hAnsiTheme="minorHAnsi"/>
        </w:rPr>
      </w:pPr>
      <w:r w:rsidRPr="00FE7B18">
        <w:rPr>
          <w:rFonts w:asciiTheme="minorHAnsi" w:hAnsiTheme="minorHAnsi"/>
        </w:rPr>
        <w:t>Maintain a vegetative buffer strip a minimum of 10 feet wide from the edge of a field that is adjacent to and within 100 feet of sensitive aquatic sites.</w:t>
      </w:r>
    </w:p>
    <w:p w:rsidR="00B37AA9" w:rsidRPr="00FE7B18" w:rsidRDefault="00B37AA9">
      <w:pPr>
        <w:rPr>
          <w:rFonts w:asciiTheme="minorHAnsi" w:hAnsiTheme="minorHAnsi"/>
        </w:rPr>
      </w:pPr>
    </w:p>
    <w:p w:rsidR="00B37AA9" w:rsidRPr="00FE7B18" w:rsidRDefault="00B37AA9">
      <w:pPr>
        <w:rPr>
          <w:rFonts w:asciiTheme="minorHAnsi" w:hAnsiTheme="minorHAnsi"/>
        </w:rPr>
      </w:pPr>
      <w:r w:rsidRPr="00FE7B18">
        <w:rPr>
          <w:rFonts w:asciiTheme="minorHAnsi" w:hAnsiTheme="minorHAnsi"/>
        </w:rPr>
        <w:t xml:space="preserve">These spray drift buffers only apply to ‘sensitive aquatic areas’ and some only apply when the application is upslope of the aquatic area. In this case, the buffer was designed to minimize runoff rather </w:t>
      </w:r>
      <w:r w:rsidR="00670E6B" w:rsidRPr="00FE7B18">
        <w:rPr>
          <w:rFonts w:asciiTheme="minorHAnsi" w:hAnsiTheme="minorHAnsi"/>
        </w:rPr>
        <w:t>than</w:t>
      </w:r>
      <w:r w:rsidRPr="00FE7B18">
        <w:rPr>
          <w:rFonts w:asciiTheme="minorHAnsi" w:hAnsiTheme="minorHAnsi"/>
        </w:rPr>
        <w:t xml:space="preserve"> spray drift.  It is subjective as to what ‘sensitive’ means.  Therefore, these buffer restrictions do not protect and limit spray drift to all aquatic areas adj</w:t>
      </w:r>
      <w:bookmarkStart w:id="1" w:name="_GoBack"/>
      <w:bookmarkEnd w:id="1"/>
      <w:r w:rsidRPr="00FE7B18">
        <w:rPr>
          <w:rFonts w:asciiTheme="minorHAnsi" w:hAnsiTheme="minorHAnsi"/>
        </w:rPr>
        <w:t xml:space="preserve">acent to an application.  Nevertheless, the impact of these spray drift buffers on calculated EECs </w:t>
      </w:r>
      <w:r w:rsidR="00670E6B" w:rsidRPr="00FE7B18">
        <w:rPr>
          <w:rFonts w:asciiTheme="minorHAnsi" w:hAnsiTheme="minorHAnsi"/>
        </w:rPr>
        <w:t>is</w:t>
      </w:r>
      <w:r w:rsidRPr="00FE7B18">
        <w:rPr>
          <w:rFonts w:asciiTheme="minorHAnsi" w:hAnsiTheme="minorHAnsi"/>
        </w:rPr>
        <w:t xml:space="preserve"> </w:t>
      </w:r>
      <w:r w:rsidR="00670E6B" w:rsidRPr="00FE7B18">
        <w:rPr>
          <w:rFonts w:asciiTheme="minorHAnsi" w:hAnsiTheme="minorHAnsi"/>
        </w:rPr>
        <w:t>simulated</w:t>
      </w:r>
      <w:r w:rsidRPr="00FE7B18">
        <w:rPr>
          <w:rFonts w:asciiTheme="minorHAnsi" w:hAnsiTheme="minorHAnsi"/>
        </w:rPr>
        <w:t xml:space="preserve"> to determine the impact </w:t>
      </w:r>
      <w:r w:rsidR="00670E6B" w:rsidRPr="00FE7B18">
        <w:rPr>
          <w:rFonts w:asciiTheme="minorHAnsi" w:hAnsiTheme="minorHAnsi"/>
        </w:rPr>
        <w:t xml:space="preserve">these buffers on aquatic </w:t>
      </w:r>
      <w:r w:rsidRPr="00FE7B18">
        <w:rPr>
          <w:rFonts w:asciiTheme="minorHAnsi" w:hAnsiTheme="minorHAnsi"/>
        </w:rPr>
        <w:t>EECs.  This is discussed further in the sensitivity analysis of aquatic modeling [</w:t>
      </w:r>
      <w:r w:rsidR="001D4364">
        <w:rPr>
          <w:rFonts w:asciiTheme="minorHAnsi" w:hAnsiTheme="minorHAnsi"/>
        </w:rPr>
        <w:t xml:space="preserve">See </w:t>
      </w:r>
      <w:r w:rsidR="001D4364" w:rsidRPr="001D4364">
        <w:rPr>
          <w:rFonts w:asciiTheme="minorHAnsi" w:hAnsiTheme="minorHAnsi"/>
          <w:b/>
        </w:rPr>
        <w:t>Chapter</w:t>
      </w:r>
      <w:r w:rsidR="0028698A" w:rsidRPr="001D4364">
        <w:rPr>
          <w:rFonts w:asciiTheme="minorHAnsi" w:hAnsiTheme="minorHAnsi"/>
          <w:b/>
        </w:rPr>
        <w:t xml:space="preserve"> 3</w:t>
      </w:r>
      <w:r w:rsidRPr="00FE7B18">
        <w:rPr>
          <w:rFonts w:asciiTheme="minorHAnsi" w:hAnsiTheme="minorHAnsi"/>
        </w:rPr>
        <w:t>].</w:t>
      </w:r>
    </w:p>
    <w:p w:rsidR="00B37AA9" w:rsidRPr="00FE7B18" w:rsidRDefault="00B37AA9">
      <w:pPr>
        <w:rPr>
          <w:rFonts w:asciiTheme="minorHAnsi" w:hAnsiTheme="minorHAnsi"/>
        </w:rPr>
      </w:pPr>
    </w:p>
    <w:p w:rsidR="0056616A" w:rsidRPr="00FE7B18" w:rsidRDefault="009D4059">
      <w:pPr>
        <w:rPr>
          <w:rFonts w:asciiTheme="minorHAnsi" w:hAnsiTheme="minorHAnsi"/>
        </w:rPr>
      </w:pPr>
      <w:r w:rsidRPr="00FE7B18">
        <w:rPr>
          <w:rFonts w:asciiTheme="minorHAnsi" w:hAnsiTheme="minorHAnsi"/>
        </w:rPr>
        <w:t>Spray drift estimates were updated to reflect the most recent offsite deposition guidance</w:t>
      </w:r>
      <w:r w:rsidRPr="00FE7B18">
        <w:rPr>
          <w:rFonts w:asciiTheme="minorHAnsi" w:hAnsiTheme="minorHAnsi"/>
          <w:vertAlign w:val="superscript"/>
        </w:rPr>
        <w:footnoteReference w:id="1"/>
      </w:r>
      <w:r w:rsidRPr="00FE7B18">
        <w:rPr>
          <w:rFonts w:asciiTheme="minorHAnsi" w:hAnsiTheme="minorHAnsi"/>
          <w:vertAlign w:val="superscript"/>
        </w:rPr>
        <w:t>,</w:t>
      </w:r>
      <w:r w:rsidRPr="00FE7B18">
        <w:rPr>
          <w:rFonts w:asciiTheme="minorHAnsi" w:hAnsiTheme="minorHAnsi"/>
          <w:vertAlign w:val="superscript"/>
        </w:rPr>
        <w:footnoteReference w:id="2"/>
      </w:r>
      <w:r w:rsidRPr="00FE7B18">
        <w:rPr>
          <w:rFonts w:asciiTheme="minorHAnsi" w:hAnsiTheme="minorHAnsi"/>
        </w:rPr>
        <w:t xml:space="preserve"> </w:t>
      </w:r>
      <w:r w:rsidR="00670E6B" w:rsidRPr="00FE7B18">
        <w:rPr>
          <w:rFonts w:asciiTheme="minorHAnsi" w:hAnsiTheme="minorHAnsi"/>
        </w:rPr>
        <w:t xml:space="preserve">and </w:t>
      </w:r>
      <w:r w:rsidRPr="00FE7B18">
        <w:rPr>
          <w:rFonts w:asciiTheme="minorHAnsi" w:hAnsiTheme="minorHAnsi"/>
        </w:rPr>
        <w:t>the currently labeled buffer restrictions</w:t>
      </w:r>
      <w:r w:rsidR="00B37AA9" w:rsidRPr="00FE7B18">
        <w:rPr>
          <w:rFonts w:asciiTheme="minorHAnsi" w:hAnsiTheme="minorHAnsi"/>
        </w:rPr>
        <w:t xml:space="preserve"> of 10 feet and 100 feet from aerial or ground applications.</w:t>
      </w:r>
      <w:r w:rsidRPr="00FE7B18">
        <w:rPr>
          <w:rFonts w:asciiTheme="minorHAnsi" w:hAnsiTheme="minorHAnsi"/>
        </w:rPr>
        <w:t xml:space="preserve"> </w:t>
      </w:r>
    </w:p>
    <w:p w:rsidR="00A27A58" w:rsidRPr="00FE7B18" w:rsidRDefault="00A27A58">
      <w:pPr>
        <w:rPr>
          <w:rFonts w:asciiTheme="minorHAnsi" w:hAnsiTheme="minorHAnsi"/>
        </w:rPr>
      </w:pPr>
    </w:p>
    <w:p w:rsidR="0056616A" w:rsidRPr="00FE7B18" w:rsidRDefault="009D4059">
      <w:pPr>
        <w:rPr>
          <w:rFonts w:asciiTheme="minorHAnsi" w:hAnsiTheme="minorHAnsi"/>
        </w:rPr>
      </w:pPr>
      <w:r w:rsidRPr="00FE7B18">
        <w:rPr>
          <w:rFonts w:asciiTheme="minorHAnsi" w:hAnsiTheme="minorHAnsi"/>
        </w:rPr>
        <w:t xml:space="preserve">Using Tier 1 </w:t>
      </w:r>
      <w:proofErr w:type="spellStart"/>
      <w:r w:rsidRPr="00FE7B18">
        <w:rPr>
          <w:rFonts w:asciiTheme="minorHAnsi" w:hAnsiTheme="minorHAnsi"/>
        </w:rPr>
        <w:t>AgDRIFT</w:t>
      </w:r>
      <w:proofErr w:type="spellEnd"/>
      <w:r w:rsidRPr="00FE7B18">
        <w:rPr>
          <w:rFonts w:asciiTheme="minorHAnsi" w:hAnsiTheme="minorHAnsi"/>
        </w:rPr>
        <w:t xml:space="preserve"> (version 2.</w:t>
      </w:r>
      <w:r w:rsidR="00771126">
        <w:rPr>
          <w:rFonts w:asciiTheme="minorHAnsi" w:hAnsiTheme="minorHAnsi"/>
        </w:rPr>
        <w:t>1</w:t>
      </w:r>
      <w:r w:rsidRPr="00FE7B18">
        <w:rPr>
          <w:rFonts w:asciiTheme="minorHAnsi" w:hAnsiTheme="minorHAnsi"/>
        </w:rPr>
        <w:t xml:space="preserve">.1) drift </w:t>
      </w:r>
      <w:r w:rsidR="00FD6EEF" w:rsidRPr="00FE7B18">
        <w:rPr>
          <w:rFonts w:asciiTheme="minorHAnsi" w:hAnsiTheme="minorHAnsi"/>
        </w:rPr>
        <w:t xml:space="preserve">fractions </w:t>
      </w:r>
      <w:r w:rsidR="00670E6B" w:rsidRPr="00FE7B18">
        <w:rPr>
          <w:rFonts w:asciiTheme="minorHAnsi" w:hAnsiTheme="minorHAnsi"/>
        </w:rPr>
        <w:t>were</w:t>
      </w:r>
      <w:r w:rsidRPr="00FE7B18">
        <w:rPr>
          <w:rFonts w:asciiTheme="minorHAnsi" w:hAnsiTheme="minorHAnsi"/>
        </w:rPr>
        <w:t xml:space="preserve"> calculated for each aquatic bin for each application method, corresponding buffer distance, and droplet size distribution. The results of this analysis are presented in </w:t>
      </w:r>
      <w:r w:rsidR="001D4364">
        <w:rPr>
          <w:rFonts w:asciiTheme="minorHAnsi" w:hAnsiTheme="minorHAnsi"/>
          <w:b/>
        </w:rPr>
        <w:t>Table B 3-3.1</w:t>
      </w:r>
      <w:r w:rsidRPr="00FE7B18">
        <w:rPr>
          <w:rFonts w:asciiTheme="minorHAnsi" w:hAnsiTheme="minorHAnsi"/>
        </w:rPr>
        <w:t xml:space="preserve">. These results are used in deriving aquatic estimate environmental concentrations (EECs). </w:t>
      </w:r>
    </w:p>
    <w:p w:rsidR="0056616A" w:rsidRPr="00FE7B18" w:rsidRDefault="0056616A">
      <w:pPr>
        <w:rPr>
          <w:rFonts w:asciiTheme="minorHAnsi" w:hAnsiTheme="minorHAnsi"/>
        </w:rPr>
      </w:pPr>
    </w:p>
    <w:p w:rsidR="0056616A" w:rsidRPr="00FE7B18" w:rsidRDefault="009D4059">
      <w:pPr>
        <w:rPr>
          <w:rFonts w:asciiTheme="minorHAnsi" w:hAnsiTheme="minorHAnsi"/>
        </w:rPr>
      </w:pPr>
      <w:r w:rsidRPr="00FE7B18">
        <w:rPr>
          <w:rFonts w:asciiTheme="minorHAnsi" w:hAnsiTheme="minorHAnsi"/>
        </w:rPr>
        <w:br w:type="page"/>
      </w:r>
    </w:p>
    <w:p w:rsidR="0056616A" w:rsidRPr="00FE7B18" w:rsidRDefault="0056616A">
      <w:pPr>
        <w:widowControl w:val="0"/>
        <w:spacing w:line="276" w:lineRule="auto"/>
        <w:rPr>
          <w:rFonts w:asciiTheme="minorHAnsi" w:hAnsiTheme="minorHAnsi"/>
        </w:rPr>
      </w:pPr>
    </w:p>
    <w:p w:rsidR="0056616A" w:rsidRPr="00FE7B18" w:rsidRDefault="001D4364" w:rsidP="00712426">
      <w:pPr>
        <w:rPr>
          <w:rFonts w:asciiTheme="minorHAnsi" w:hAnsiTheme="minorHAnsi"/>
          <w:b/>
        </w:rPr>
      </w:pPr>
      <w:bookmarkStart w:id="2" w:name="h.30j0zll" w:colFirst="0" w:colLast="0"/>
      <w:bookmarkEnd w:id="2"/>
      <w:r>
        <w:rPr>
          <w:rFonts w:asciiTheme="minorHAnsi" w:hAnsiTheme="minorHAnsi"/>
          <w:b/>
        </w:rPr>
        <w:t>Table B 3</w:t>
      </w:r>
      <w:r w:rsidR="00BF2C1B">
        <w:rPr>
          <w:rFonts w:asciiTheme="minorHAnsi" w:hAnsiTheme="minorHAnsi"/>
          <w:b/>
        </w:rPr>
        <w:t>-3.1. Spray drift estimates for aquatic bins and various aquatic buffer c</w:t>
      </w:r>
      <w:r w:rsidR="009D4059" w:rsidRPr="00FE7B18">
        <w:rPr>
          <w:rFonts w:asciiTheme="minorHAnsi" w:hAnsiTheme="minorHAnsi"/>
          <w:b/>
        </w:rPr>
        <w:t>ombinations</w:t>
      </w:r>
    </w:p>
    <w:tbl>
      <w:tblPr>
        <w:tblStyle w:val="a"/>
        <w:tblW w:w="8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1440"/>
        <w:gridCol w:w="1440"/>
        <w:gridCol w:w="805"/>
        <w:gridCol w:w="1175"/>
        <w:gridCol w:w="810"/>
        <w:gridCol w:w="1170"/>
      </w:tblGrid>
      <w:tr w:rsidR="00330793" w:rsidRPr="00FE7B18" w:rsidTr="001230F1">
        <w:tc>
          <w:tcPr>
            <w:tcW w:w="4950" w:type="dxa"/>
            <w:gridSpan w:val="3"/>
            <w:shd w:val="clear" w:color="auto" w:fill="F2F2F2"/>
            <w:vAlign w:val="center"/>
          </w:tcPr>
          <w:p w:rsidR="00330793" w:rsidRPr="00FE7B18" w:rsidRDefault="00330793">
            <w:pPr>
              <w:jc w:val="center"/>
              <w:rPr>
                <w:rFonts w:asciiTheme="minorHAnsi" w:hAnsiTheme="minorHAnsi"/>
              </w:rPr>
            </w:pPr>
            <w:r w:rsidRPr="00FE7B18">
              <w:rPr>
                <w:rFonts w:asciiTheme="minorHAnsi" w:hAnsiTheme="minorHAnsi"/>
                <w:b/>
              </w:rPr>
              <w:t>Bin</w:t>
            </w:r>
          </w:p>
        </w:tc>
        <w:tc>
          <w:tcPr>
            <w:tcW w:w="3960" w:type="dxa"/>
            <w:gridSpan w:val="4"/>
            <w:shd w:val="clear" w:color="auto" w:fill="F2F2F2"/>
          </w:tcPr>
          <w:p w:rsidR="00330793" w:rsidRPr="00FE7B18" w:rsidRDefault="00330793">
            <w:pPr>
              <w:jc w:val="center"/>
              <w:rPr>
                <w:rFonts w:asciiTheme="minorHAnsi" w:hAnsiTheme="minorHAnsi"/>
                <w:b/>
                <w:vertAlign w:val="superscript"/>
              </w:rPr>
            </w:pPr>
            <w:r w:rsidRPr="00FE7B18">
              <w:rPr>
                <w:rFonts w:asciiTheme="minorHAnsi" w:hAnsiTheme="minorHAnsi"/>
                <w:b/>
              </w:rPr>
              <w:t>Spray drift fraction (</w:t>
            </w:r>
            <w:proofErr w:type="spellStart"/>
            <w:r w:rsidRPr="00FE7B18">
              <w:rPr>
                <w:rFonts w:asciiTheme="minorHAnsi" w:hAnsiTheme="minorHAnsi"/>
                <w:b/>
              </w:rPr>
              <w:t>unitless</w:t>
            </w:r>
            <w:proofErr w:type="spellEnd"/>
            <w:r w:rsidRPr="00FE7B18">
              <w:rPr>
                <w:rFonts w:asciiTheme="minorHAnsi" w:hAnsiTheme="minorHAnsi"/>
                <w:b/>
              </w:rPr>
              <w:t>)</w:t>
            </w:r>
          </w:p>
          <w:p w:rsidR="00330793" w:rsidRPr="00FE7B18" w:rsidRDefault="00330793">
            <w:pPr>
              <w:jc w:val="center"/>
              <w:rPr>
                <w:rFonts w:asciiTheme="minorHAnsi" w:hAnsiTheme="minorHAnsi"/>
                <w:b/>
              </w:rPr>
            </w:pPr>
            <w:r w:rsidRPr="00FE7B18">
              <w:rPr>
                <w:rFonts w:asciiTheme="minorHAnsi" w:hAnsiTheme="minorHAnsi"/>
                <w:b/>
              </w:rPr>
              <w:t>Application Method and Buffer</w:t>
            </w:r>
          </w:p>
        </w:tc>
      </w:tr>
      <w:tr w:rsidR="003D74C9" w:rsidRPr="00FE7B18" w:rsidTr="001230F1">
        <w:tc>
          <w:tcPr>
            <w:tcW w:w="2070" w:type="dxa"/>
            <w:vMerge w:val="restart"/>
            <w:shd w:val="clear" w:color="auto" w:fill="F2F2F2"/>
            <w:vAlign w:val="center"/>
          </w:tcPr>
          <w:p w:rsidR="003D74C9" w:rsidRPr="00FE7B18" w:rsidRDefault="003D74C9" w:rsidP="00330793">
            <w:pPr>
              <w:jc w:val="center"/>
              <w:rPr>
                <w:rFonts w:asciiTheme="minorHAnsi" w:hAnsiTheme="minorHAnsi"/>
              </w:rPr>
            </w:pPr>
            <w:r w:rsidRPr="00FE7B18">
              <w:rPr>
                <w:rFonts w:asciiTheme="minorHAnsi" w:hAnsiTheme="minorHAnsi"/>
                <w:b/>
              </w:rPr>
              <w:t>Generic Habitat</w:t>
            </w:r>
          </w:p>
        </w:tc>
        <w:tc>
          <w:tcPr>
            <w:tcW w:w="1440" w:type="dxa"/>
            <w:vMerge w:val="restart"/>
            <w:shd w:val="clear" w:color="auto" w:fill="F2F2F2"/>
            <w:vAlign w:val="center"/>
          </w:tcPr>
          <w:p w:rsidR="003D74C9" w:rsidRPr="00FE7B18" w:rsidRDefault="003D74C9" w:rsidP="00330793">
            <w:pPr>
              <w:jc w:val="center"/>
              <w:rPr>
                <w:rFonts w:asciiTheme="minorHAnsi" w:hAnsiTheme="minorHAnsi"/>
              </w:rPr>
            </w:pPr>
            <w:r w:rsidRPr="00FE7B18">
              <w:rPr>
                <w:rFonts w:asciiTheme="minorHAnsi" w:hAnsiTheme="minorHAnsi"/>
                <w:b/>
              </w:rPr>
              <w:t xml:space="preserve">Depth (m, </w:t>
            </w:r>
            <w:proofErr w:type="spellStart"/>
            <w:r w:rsidRPr="00FE7B18">
              <w:rPr>
                <w:rFonts w:asciiTheme="minorHAnsi" w:hAnsiTheme="minorHAnsi"/>
                <w:b/>
              </w:rPr>
              <w:t>ft</w:t>
            </w:r>
            <w:proofErr w:type="spellEnd"/>
            <w:r w:rsidRPr="00FE7B18">
              <w:rPr>
                <w:rFonts w:asciiTheme="minorHAnsi" w:hAnsiTheme="minorHAnsi"/>
                <w:b/>
              </w:rPr>
              <w:t>)</w:t>
            </w:r>
          </w:p>
        </w:tc>
        <w:tc>
          <w:tcPr>
            <w:tcW w:w="1440" w:type="dxa"/>
            <w:vMerge w:val="restart"/>
            <w:shd w:val="clear" w:color="auto" w:fill="F2F2F2"/>
            <w:vAlign w:val="center"/>
          </w:tcPr>
          <w:p w:rsidR="003D74C9" w:rsidRPr="00FE7B18" w:rsidRDefault="003D74C9" w:rsidP="00330793">
            <w:pPr>
              <w:jc w:val="center"/>
              <w:rPr>
                <w:rFonts w:asciiTheme="minorHAnsi" w:hAnsiTheme="minorHAnsi"/>
              </w:rPr>
            </w:pPr>
            <w:r w:rsidRPr="00FE7B18">
              <w:rPr>
                <w:rFonts w:asciiTheme="minorHAnsi" w:hAnsiTheme="minorHAnsi"/>
                <w:b/>
              </w:rPr>
              <w:t xml:space="preserve">Width (m, </w:t>
            </w:r>
            <w:proofErr w:type="spellStart"/>
            <w:r w:rsidRPr="00FE7B18">
              <w:rPr>
                <w:rFonts w:asciiTheme="minorHAnsi" w:hAnsiTheme="minorHAnsi"/>
                <w:b/>
              </w:rPr>
              <w:t>ft</w:t>
            </w:r>
            <w:proofErr w:type="spellEnd"/>
            <w:r w:rsidRPr="00FE7B18">
              <w:rPr>
                <w:rFonts w:asciiTheme="minorHAnsi" w:hAnsiTheme="minorHAnsi"/>
                <w:b/>
              </w:rPr>
              <w:t>)</w:t>
            </w:r>
          </w:p>
        </w:tc>
        <w:tc>
          <w:tcPr>
            <w:tcW w:w="1980" w:type="dxa"/>
            <w:gridSpan w:val="2"/>
            <w:shd w:val="clear" w:color="auto" w:fill="F2F2F2"/>
            <w:vAlign w:val="center"/>
          </w:tcPr>
          <w:p w:rsidR="003D74C9" w:rsidRPr="00FE7B18" w:rsidRDefault="003D74C9" w:rsidP="00330793">
            <w:pPr>
              <w:jc w:val="center"/>
              <w:rPr>
                <w:rFonts w:asciiTheme="minorHAnsi" w:hAnsiTheme="minorHAnsi"/>
                <w:b/>
              </w:rPr>
            </w:pPr>
            <w:proofErr w:type="spellStart"/>
            <w:r w:rsidRPr="00FE7B18">
              <w:rPr>
                <w:rFonts w:asciiTheme="minorHAnsi" w:hAnsiTheme="minorHAnsi"/>
                <w:b/>
              </w:rPr>
              <w:t>Ground</w:t>
            </w:r>
            <w:r w:rsidRPr="00FE7B18">
              <w:rPr>
                <w:rFonts w:asciiTheme="minorHAnsi" w:hAnsiTheme="minorHAnsi"/>
                <w:b/>
                <w:vertAlign w:val="superscript"/>
              </w:rPr>
              <w:t>a</w:t>
            </w:r>
            <w:proofErr w:type="spellEnd"/>
          </w:p>
        </w:tc>
        <w:tc>
          <w:tcPr>
            <w:tcW w:w="1980" w:type="dxa"/>
            <w:gridSpan w:val="2"/>
            <w:shd w:val="clear" w:color="auto" w:fill="F2F2F2"/>
            <w:vAlign w:val="center"/>
          </w:tcPr>
          <w:p w:rsidR="003D74C9" w:rsidRPr="00FE7B18" w:rsidRDefault="003D74C9" w:rsidP="00330793">
            <w:pPr>
              <w:jc w:val="center"/>
              <w:rPr>
                <w:rFonts w:asciiTheme="minorHAnsi" w:hAnsiTheme="minorHAnsi"/>
                <w:b/>
              </w:rPr>
            </w:pPr>
            <w:proofErr w:type="spellStart"/>
            <w:r w:rsidRPr="00FE7B18">
              <w:rPr>
                <w:rFonts w:asciiTheme="minorHAnsi" w:hAnsiTheme="minorHAnsi"/>
                <w:b/>
              </w:rPr>
              <w:t>Aerial</w:t>
            </w:r>
            <w:r w:rsidRPr="00FE7B18">
              <w:rPr>
                <w:rFonts w:asciiTheme="minorHAnsi" w:hAnsiTheme="minorHAnsi"/>
                <w:b/>
                <w:vertAlign w:val="superscript"/>
              </w:rPr>
              <w:t>b</w:t>
            </w:r>
            <w:proofErr w:type="spellEnd"/>
          </w:p>
        </w:tc>
      </w:tr>
      <w:tr w:rsidR="00330793" w:rsidRPr="00FE7B18" w:rsidTr="00190EB9">
        <w:tc>
          <w:tcPr>
            <w:tcW w:w="2070" w:type="dxa"/>
            <w:vMerge/>
            <w:shd w:val="clear" w:color="auto" w:fill="F2F2F2"/>
            <w:vAlign w:val="center"/>
          </w:tcPr>
          <w:p w:rsidR="00330793" w:rsidRPr="00FE7B18" w:rsidRDefault="00330793" w:rsidP="00330793">
            <w:pPr>
              <w:widowControl w:val="0"/>
              <w:spacing w:line="276" w:lineRule="auto"/>
              <w:rPr>
                <w:rFonts w:asciiTheme="minorHAnsi" w:hAnsiTheme="minorHAnsi"/>
              </w:rPr>
            </w:pPr>
          </w:p>
        </w:tc>
        <w:tc>
          <w:tcPr>
            <w:tcW w:w="1440" w:type="dxa"/>
            <w:vMerge/>
            <w:shd w:val="clear" w:color="auto" w:fill="F2F2F2"/>
            <w:vAlign w:val="center"/>
          </w:tcPr>
          <w:p w:rsidR="00330793" w:rsidRPr="00FE7B18" w:rsidRDefault="00330793" w:rsidP="00330793">
            <w:pPr>
              <w:widowControl w:val="0"/>
              <w:spacing w:line="276" w:lineRule="auto"/>
              <w:rPr>
                <w:rFonts w:asciiTheme="minorHAnsi" w:hAnsiTheme="minorHAnsi"/>
              </w:rPr>
            </w:pPr>
          </w:p>
        </w:tc>
        <w:tc>
          <w:tcPr>
            <w:tcW w:w="1440" w:type="dxa"/>
            <w:vMerge/>
            <w:shd w:val="clear" w:color="auto" w:fill="F2F2F2"/>
            <w:vAlign w:val="center"/>
          </w:tcPr>
          <w:p w:rsidR="00330793" w:rsidRPr="00FE7B18" w:rsidRDefault="00330793" w:rsidP="00330793">
            <w:pPr>
              <w:jc w:val="center"/>
              <w:rPr>
                <w:rFonts w:asciiTheme="minorHAnsi" w:hAnsiTheme="minorHAnsi"/>
              </w:rPr>
            </w:pPr>
          </w:p>
        </w:tc>
        <w:tc>
          <w:tcPr>
            <w:tcW w:w="805" w:type="dxa"/>
            <w:shd w:val="clear" w:color="auto" w:fill="F2F2F2"/>
          </w:tcPr>
          <w:p w:rsidR="00330793" w:rsidRPr="00FE7B18" w:rsidRDefault="00330793" w:rsidP="00330793">
            <w:pPr>
              <w:jc w:val="center"/>
              <w:rPr>
                <w:rFonts w:asciiTheme="minorHAnsi" w:hAnsiTheme="minorHAnsi"/>
                <w:b/>
              </w:rPr>
            </w:pPr>
            <w:r w:rsidRPr="00FE7B18">
              <w:rPr>
                <w:rFonts w:asciiTheme="minorHAnsi" w:hAnsiTheme="minorHAnsi"/>
                <w:b/>
              </w:rPr>
              <w:t xml:space="preserve"> 10 </w:t>
            </w:r>
            <w:proofErr w:type="spellStart"/>
            <w:r w:rsidRPr="00FE7B18">
              <w:rPr>
                <w:rFonts w:asciiTheme="minorHAnsi" w:hAnsiTheme="minorHAnsi"/>
                <w:b/>
              </w:rPr>
              <w:t>ft</w:t>
            </w:r>
            <w:proofErr w:type="spellEnd"/>
          </w:p>
        </w:tc>
        <w:tc>
          <w:tcPr>
            <w:tcW w:w="1175" w:type="dxa"/>
            <w:shd w:val="clear" w:color="auto" w:fill="F2F2F2"/>
          </w:tcPr>
          <w:p w:rsidR="00330793" w:rsidRPr="00FE7B18" w:rsidRDefault="00330793" w:rsidP="00330793">
            <w:pPr>
              <w:jc w:val="center"/>
              <w:rPr>
                <w:rFonts w:asciiTheme="minorHAnsi" w:hAnsiTheme="minorHAnsi"/>
                <w:b/>
              </w:rPr>
            </w:pPr>
            <w:r w:rsidRPr="00FE7B18">
              <w:rPr>
                <w:rFonts w:asciiTheme="minorHAnsi" w:hAnsiTheme="minorHAnsi"/>
                <w:b/>
              </w:rPr>
              <w:t xml:space="preserve">100 </w:t>
            </w:r>
            <w:proofErr w:type="spellStart"/>
            <w:r w:rsidRPr="00FE7B18">
              <w:rPr>
                <w:rFonts w:asciiTheme="minorHAnsi" w:hAnsiTheme="minorHAnsi"/>
                <w:b/>
              </w:rPr>
              <w:t>ft</w:t>
            </w:r>
            <w:proofErr w:type="spellEnd"/>
          </w:p>
        </w:tc>
        <w:tc>
          <w:tcPr>
            <w:tcW w:w="810" w:type="dxa"/>
            <w:shd w:val="clear" w:color="auto" w:fill="F2F2F2"/>
          </w:tcPr>
          <w:p w:rsidR="00330793" w:rsidRPr="00FE7B18" w:rsidRDefault="00330793" w:rsidP="00330793">
            <w:pPr>
              <w:jc w:val="center"/>
              <w:rPr>
                <w:rFonts w:asciiTheme="minorHAnsi" w:hAnsiTheme="minorHAnsi"/>
                <w:b/>
              </w:rPr>
            </w:pPr>
            <w:r w:rsidRPr="00FE7B18">
              <w:rPr>
                <w:rFonts w:asciiTheme="minorHAnsi" w:hAnsiTheme="minorHAnsi"/>
                <w:b/>
              </w:rPr>
              <w:t xml:space="preserve"> 10 </w:t>
            </w:r>
            <w:proofErr w:type="spellStart"/>
            <w:r w:rsidRPr="00FE7B18">
              <w:rPr>
                <w:rFonts w:asciiTheme="minorHAnsi" w:hAnsiTheme="minorHAnsi"/>
                <w:b/>
              </w:rPr>
              <w:t>ft</w:t>
            </w:r>
            <w:proofErr w:type="spellEnd"/>
          </w:p>
        </w:tc>
        <w:tc>
          <w:tcPr>
            <w:tcW w:w="1170" w:type="dxa"/>
            <w:shd w:val="clear" w:color="auto" w:fill="F2F2F2"/>
          </w:tcPr>
          <w:p w:rsidR="00330793" w:rsidRPr="00FE7B18" w:rsidRDefault="00330793" w:rsidP="00330793">
            <w:pPr>
              <w:jc w:val="center"/>
              <w:rPr>
                <w:rFonts w:asciiTheme="minorHAnsi" w:hAnsiTheme="minorHAnsi"/>
                <w:b/>
              </w:rPr>
            </w:pPr>
            <w:r w:rsidRPr="00FE7B18">
              <w:rPr>
                <w:rFonts w:asciiTheme="minorHAnsi" w:hAnsiTheme="minorHAnsi"/>
                <w:b/>
              </w:rPr>
              <w:t xml:space="preserve"> 100 </w:t>
            </w:r>
            <w:proofErr w:type="spellStart"/>
            <w:r w:rsidRPr="00FE7B18">
              <w:rPr>
                <w:rFonts w:asciiTheme="minorHAnsi" w:hAnsiTheme="minorHAnsi"/>
                <w:b/>
              </w:rPr>
              <w:t>ft</w:t>
            </w:r>
            <w:proofErr w:type="spellEnd"/>
          </w:p>
        </w:tc>
      </w:tr>
      <w:tr w:rsidR="00190EB9" w:rsidRPr="00FE7B18" w:rsidTr="00190EB9">
        <w:tc>
          <w:tcPr>
            <w:tcW w:w="2070" w:type="dxa"/>
            <w:vAlign w:val="center"/>
          </w:tcPr>
          <w:p w:rsidR="00190EB9" w:rsidRPr="00FE7B18" w:rsidRDefault="00190EB9" w:rsidP="00190EB9">
            <w:pPr>
              <w:rPr>
                <w:rFonts w:asciiTheme="minorHAnsi" w:hAnsiTheme="minorHAnsi"/>
              </w:rPr>
            </w:pPr>
            <w:r w:rsidRPr="00FE7B18">
              <w:rPr>
                <w:rFonts w:asciiTheme="minorHAnsi" w:hAnsiTheme="minorHAnsi"/>
              </w:rPr>
              <w:t>2 Low-flow</w:t>
            </w:r>
          </w:p>
        </w:tc>
        <w:tc>
          <w:tcPr>
            <w:tcW w:w="1440" w:type="dxa"/>
            <w:vAlign w:val="center"/>
          </w:tcPr>
          <w:p w:rsidR="00190EB9" w:rsidRPr="00FE7B18" w:rsidRDefault="00190EB9" w:rsidP="00190EB9">
            <w:pPr>
              <w:jc w:val="center"/>
              <w:rPr>
                <w:rFonts w:asciiTheme="minorHAnsi" w:hAnsiTheme="minorHAnsi"/>
              </w:rPr>
            </w:pPr>
            <w:r w:rsidRPr="00FE7B18">
              <w:rPr>
                <w:rFonts w:asciiTheme="minorHAnsi" w:hAnsiTheme="minorHAnsi"/>
              </w:rPr>
              <w:t>0.1, 0.33</w:t>
            </w:r>
          </w:p>
        </w:tc>
        <w:tc>
          <w:tcPr>
            <w:tcW w:w="1440" w:type="dxa"/>
            <w:vAlign w:val="center"/>
          </w:tcPr>
          <w:p w:rsidR="00190EB9" w:rsidRPr="00FE7B18" w:rsidRDefault="00190EB9" w:rsidP="00190EB9">
            <w:pPr>
              <w:jc w:val="center"/>
              <w:rPr>
                <w:rFonts w:asciiTheme="minorHAnsi" w:hAnsiTheme="minorHAnsi"/>
              </w:rPr>
            </w:pPr>
            <w:r w:rsidRPr="00FE7B18">
              <w:rPr>
                <w:rFonts w:asciiTheme="minorHAnsi" w:hAnsiTheme="minorHAnsi"/>
              </w:rPr>
              <w:t>2, 6.6</w:t>
            </w:r>
          </w:p>
        </w:tc>
        <w:tc>
          <w:tcPr>
            <w:tcW w:w="805" w:type="dxa"/>
            <w:shd w:val="clear" w:color="auto" w:fill="auto"/>
            <w:vAlign w:val="center"/>
          </w:tcPr>
          <w:p w:rsidR="00190EB9" w:rsidRPr="00FE7B18" w:rsidRDefault="000F7E88" w:rsidP="00190EB9">
            <w:pPr>
              <w:jc w:val="center"/>
              <w:rPr>
                <w:rFonts w:asciiTheme="minorHAnsi" w:hAnsiTheme="minorHAnsi"/>
              </w:rPr>
            </w:pPr>
            <w:r w:rsidRPr="00FE7B18">
              <w:rPr>
                <w:rFonts w:asciiTheme="minorHAnsi" w:hAnsiTheme="minorHAnsi"/>
              </w:rPr>
              <w:t>0.21</w:t>
            </w:r>
          </w:p>
        </w:tc>
        <w:tc>
          <w:tcPr>
            <w:tcW w:w="1175" w:type="dxa"/>
            <w:shd w:val="clear" w:color="auto" w:fill="auto"/>
            <w:vAlign w:val="center"/>
          </w:tcPr>
          <w:p w:rsidR="00190EB9" w:rsidRPr="00FE7B18" w:rsidRDefault="00190EB9" w:rsidP="00190EB9">
            <w:pPr>
              <w:jc w:val="center"/>
              <w:rPr>
                <w:rFonts w:asciiTheme="minorHAnsi" w:hAnsiTheme="minorHAnsi"/>
              </w:rPr>
            </w:pPr>
            <w:r w:rsidRPr="00FE7B18">
              <w:rPr>
                <w:rFonts w:asciiTheme="minorHAnsi" w:hAnsiTheme="minorHAnsi"/>
              </w:rPr>
              <w:t>0.02</w:t>
            </w:r>
          </w:p>
        </w:tc>
        <w:tc>
          <w:tcPr>
            <w:tcW w:w="810" w:type="dxa"/>
            <w:shd w:val="clear" w:color="auto" w:fill="auto"/>
            <w:vAlign w:val="center"/>
          </w:tcPr>
          <w:p w:rsidR="00190EB9" w:rsidRPr="00FE7B18" w:rsidRDefault="00190EB9" w:rsidP="00190EB9">
            <w:pPr>
              <w:jc w:val="center"/>
              <w:rPr>
                <w:rFonts w:asciiTheme="minorHAnsi" w:hAnsiTheme="minorHAnsi"/>
              </w:rPr>
            </w:pPr>
            <w:r w:rsidRPr="00FE7B18">
              <w:rPr>
                <w:rFonts w:asciiTheme="minorHAnsi" w:hAnsiTheme="minorHAnsi"/>
              </w:rPr>
              <w:t>0.30</w:t>
            </w:r>
          </w:p>
        </w:tc>
        <w:tc>
          <w:tcPr>
            <w:tcW w:w="1170" w:type="dxa"/>
            <w:vAlign w:val="center"/>
          </w:tcPr>
          <w:p w:rsidR="00190EB9" w:rsidRPr="00FE7B18" w:rsidRDefault="00190EB9" w:rsidP="00190EB9">
            <w:pPr>
              <w:jc w:val="center"/>
              <w:rPr>
                <w:rFonts w:asciiTheme="minorHAnsi" w:hAnsiTheme="minorHAnsi"/>
              </w:rPr>
            </w:pPr>
            <w:r w:rsidRPr="00FE7B18">
              <w:rPr>
                <w:rFonts w:asciiTheme="minorHAnsi" w:hAnsiTheme="minorHAnsi"/>
              </w:rPr>
              <w:t>0.09</w:t>
            </w:r>
          </w:p>
        </w:tc>
      </w:tr>
      <w:tr w:rsidR="00190EB9" w:rsidRPr="00FE7B18" w:rsidTr="00190EB9">
        <w:tc>
          <w:tcPr>
            <w:tcW w:w="2070" w:type="dxa"/>
            <w:vAlign w:val="center"/>
          </w:tcPr>
          <w:p w:rsidR="00190EB9" w:rsidRPr="00FE7B18" w:rsidRDefault="00190EB9" w:rsidP="00190EB9">
            <w:pPr>
              <w:rPr>
                <w:rFonts w:asciiTheme="minorHAnsi" w:hAnsiTheme="minorHAnsi"/>
              </w:rPr>
            </w:pPr>
            <w:r w:rsidRPr="00FE7B18">
              <w:rPr>
                <w:rFonts w:asciiTheme="minorHAnsi" w:hAnsiTheme="minorHAnsi"/>
              </w:rPr>
              <w:t>3 Moderate-flow</w:t>
            </w:r>
          </w:p>
        </w:tc>
        <w:tc>
          <w:tcPr>
            <w:tcW w:w="1440" w:type="dxa"/>
            <w:vAlign w:val="center"/>
          </w:tcPr>
          <w:p w:rsidR="00190EB9" w:rsidRPr="00FE7B18" w:rsidRDefault="00190EB9" w:rsidP="00190EB9">
            <w:pPr>
              <w:jc w:val="center"/>
              <w:rPr>
                <w:rFonts w:asciiTheme="minorHAnsi" w:hAnsiTheme="minorHAnsi"/>
              </w:rPr>
            </w:pPr>
            <w:r w:rsidRPr="00FE7B18">
              <w:rPr>
                <w:rFonts w:asciiTheme="minorHAnsi" w:hAnsiTheme="minorHAnsi"/>
              </w:rPr>
              <w:t>1, 3.3</w:t>
            </w:r>
          </w:p>
        </w:tc>
        <w:tc>
          <w:tcPr>
            <w:tcW w:w="1440" w:type="dxa"/>
            <w:vAlign w:val="center"/>
          </w:tcPr>
          <w:p w:rsidR="00190EB9" w:rsidRPr="00FE7B18" w:rsidRDefault="00190EB9" w:rsidP="00190EB9">
            <w:pPr>
              <w:jc w:val="center"/>
              <w:rPr>
                <w:rFonts w:asciiTheme="minorHAnsi" w:hAnsiTheme="minorHAnsi"/>
              </w:rPr>
            </w:pPr>
            <w:r w:rsidRPr="00FE7B18">
              <w:rPr>
                <w:rFonts w:asciiTheme="minorHAnsi" w:hAnsiTheme="minorHAnsi"/>
              </w:rPr>
              <w:t>8, 26.2</w:t>
            </w:r>
          </w:p>
        </w:tc>
        <w:tc>
          <w:tcPr>
            <w:tcW w:w="805" w:type="dxa"/>
            <w:shd w:val="clear" w:color="auto" w:fill="auto"/>
            <w:vAlign w:val="center"/>
          </w:tcPr>
          <w:p w:rsidR="00190EB9" w:rsidRPr="00FE7B18" w:rsidRDefault="000F7E88" w:rsidP="00190EB9">
            <w:pPr>
              <w:jc w:val="center"/>
              <w:rPr>
                <w:rFonts w:asciiTheme="minorHAnsi" w:hAnsiTheme="minorHAnsi"/>
              </w:rPr>
            </w:pPr>
            <w:r w:rsidRPr="00FE7B18">
              <w:rPr>
                <w:rFonts w:asciiTheme="minorHAnsi" w:hAnsiTheme="minorHAnsi"/>
              </w:rPr>
              <w:t>0.13</w:t>
            </w:r>
          </w:p>
        </w:tc>
        <w:tc>
          <w:tcPr>
            <w:tcW w:w="1175" w:type="dxa"/>
            <w:shd w:val="clear" w:color="auto" w:fill="auto"/>
            <w:vAlign w:val="center"/>
          </w:tcPr>
          <w:p w:rsidR="00190EB9" w:rsidRPr="00FE7B18" w:rsidRDefault="00190EB9" w:rsidP="00190EB9">
            <w:pPr>
              <w:jc w:val="center"/>
              <w:rPr>
                <w:rFonts w:asciiTheme="minorHAnsi" w:hAnsiTheme="minorHAnsi"/>
              </w:rPr>
            </w:pPr>
            <w:r w:rsidRPr="00FE7B18">
              <w:rPr>
                <w:rFonts w:asciiTheme="minorHAnsi" w:hAnsiTheme="minorHAnsi"/>
              </w:rPr>
              <w:t>0.02</w:t>
            </w:r>
          </w:p>
        </w:tc>
        <w:tc>
          <w:tcPr>
            <w:tcW w:w="810" w:type="dxa"/>
            <w:shd w:val="clear" w:color="auto" w:fill="auto"/>
            <w:vAlign w:val="center"/>
          </w:tcPr>
          <w:p w:rsidR="00190EB9" w:rsidRPr="00FE7B18" w:rsidRDefault="00190EB9" w:rsidP="00190EB9">
            <w:pPr>
              <w:jc w:val="center"/>
              <w:rPr>
                <w:rFonts w:asciiTheme="minorHAnsi" w:hAnsiTheme="minorHAnsi"/>
              </w:rPr>
            </w:pPr>
            <w:r w:rsidRPr="00FE7B18">
              <w:rPr>
                <w:rFonts w:asciiTheme="minorHAnsi" w:hAnsiTheme="minorHAnsi"/>
              </w:rPr>
              <w:t>0.24</w:t>
            </w:r>
          </w:p>
        </w:tc>
        <w:tc>
          <w:tcPr>
            <w:tcW w:w="1170" w:type="dxa"/>
            <w:vAlign w:val="center"/>
          </w:tcPr>
          <w:p w:rsidR="00190EB9" w:rsidRPr="00FE7B18" w:rsidRDefault="00190EB9" w:rsidP="00190EB9">
            <w:pPr>
              <w:jc w:val="center"/>
              <w:rPr>
                <w:rFonts w:asciiTheme="minorHAnsi" w:hAnsiTheme="minorHAnsi"/>
              </w:rPr>
            </w:pPr>
            <w:r w:rsidRPr="00FE7B18">
              <w:rPr>
                <w:rFonts w:asciiTheme="minorHAnsi" w:hAnsiTheme="minorHAnsi"/>
              </w:rPr>
              <w:t>0.08</w:t>
            </w:r>
          </w:p>
        </w:tc>
      </w:tr>
      <w:tr w:rsidR="00190EB9" w:rsidRPr="00FE7B18" w:rsidTr="00190EB9">
        <w:tc>
          <w:tcPr>
            <w:tcW w:w="2070" w:type="dxa"/>
            <w:vAlign w:val="center"/>
          </w:tcPr>
          <w:p w:rsidR="00190EB9" w:rsidRPr="00FE7B18" w:rsidRDefault="00190EB9" w:rsidP="00190EB9">
            <w:pPr>
              <w:rPr>
                <w:rFonts w:asciiTheme="minorHAnsi" w:hAnsiTheme="minorHAnsi"/>
              </w:rPr>
            </w:pPr>
            <w:r w:rsidRPr="00FE7B18">
              <w:rPr>
                <w:rFonts w:asciiTheme="minorHAnsi" w:hAnsiTheme="minorHAnsi"/>
              </w:rPr>
              <w:t>4 High-flow</w:t>
            </w:r>
          </w:p>
        </w:tc>
        <w:tc>
          <w:tcPr>
            <w:tcW w:w="1440" w:type="dxa"/>
            <w:vAlign w:val="center"/>
          </w:tcPr>
          <w:p w:rsidR="00190EB9" w:rsidRPr="00FE7B18" w:rsidRDefault="00190EB9" w:rsidP="00190EB9">
            <w:pPr>
              <w:jc w:val="center"/>
              <w:rPr>
                <w:rFonts w:asciiTheme="minorHAnsi" w:hAnsiTheme="minorHAnsi"/>
              </w:rPr>
            </w:pPr>
            <w:r w:rsidRPr="00FE7B18">
              <w:rPr>
                <w:rFonts w:asciiTheme="minorHAnsi" w:hAnsiTheme="minorHAnsi"/>
              </w:rPr>
              <w:t>2, 6.6</w:t>
            </w:r>
          </w:p>
        </w:tc>
        <w:tc>
          <w:tcPr>
            <w:tcW w:w="1440" w:type="dxa"/>
            <w:vAlign w:val="center"/>
          </w:tcPr>
          <w:p w:rsidR="00190EB9" w:rsidRPr="00FE7B18" w:rsidRDefault="00190EB9" w:rsidP="00190EB9">
            <w:pPr>
              <w:jc w:val="center"/>
              <w:rPr>
                <w:rFonts w:asciiTheme="minorHAnsi" w:hAnsiTheme="minorHAnsi"/>
              </w:rPr>
            </w:pPr>
            <w:r w:rsidRPr="00FE7B18">
              <w:rPr>
                <w:rFonts w:asciiTheme="minorHAnsi" w:hAnsiTheme="minorHAnsi"/>
              </w:rPr>
              <w:t>40, 131.2</w:t>
            </w:r>
          </w:p>
        </w:tc>
        <w:tc>
          <w:tcPr>
            <w:tcW w:w="805" w:type="dxa"/>
            <w:shd w:val="clear" w:color="auto" w:fill="auto"/>
            <w:vAlign w:val="center"/>
          </w:tcPr>
          <w:p w:rsidR="00190EB9" w:rsidRPr="00FE7B18" w:rsidRDefault="000F7E88" w:rsidP="00190EB9">
            <w:pPr>
              <w:jc w:val="center"/>
              <w:rPr>
                <w:rFonts w:asciiTheme="minorHAnsi" w:hAnsiTheme="minorHAnsi"/>
              </w:rPr>
            </w:pPr>
            <w:r w:rsidRPr="00FE7B18">
              <w:rPr>
                <w:rFonts w:asciiTheme="minorHAnsi" w:hAnsiTheme="minorHAnsi"/>
              </w:rPr>
              <w:t>0.05</w:t>
            </w:r>
          </w:p>
        </w:tc>
        <w:tc>
          <w:tcPr>
            <w:tcW w:w="1175" w:type="dxa"/>
            <w:shd w:val="clear" w:color="auto" w:fill="auto"/>
            <w:vAlign w:val="center"/>
          </w:tcPr>
          <w:p w:rsidR="00190EB9" w:rsidRPr="00FE7B18" w:rsidRDefault="00190EB9" w:rsidP="00190EB9">
            <w:pPr>
              <w:jc w:val="center"/>
              <w:rPr>
                <w:rFonts w:asciiTheme="minorHAnsi" w:hAnsiTheme="minorHAnsi"/>
              </w:rPr>
            </w:pPr>
            <w:r w:rsidRPr="00FE7B18">
              <w:rPr>
                <w:rFonts w:asciiTheme="minorHAnsi" w:hAnsiTheme="minorHAnsi"/>
              </w:rPr>
              <w:t>0.02</w:t>
            </w:r>
          </w:p>
        </w:tc>
        <w:tc>
          <w:tcPr>
            <w:tcW w:w="810" w:type="dxa"/>
            <w:shd w:val="clear" w:color="auto" w:fill="auto"/>
            <w:vAlign w:val="center"/>
          </w:tcPr>
          <w:p w:rsidR="00190EB9" w:rsidRPr="00FE7B18" w:rsidRDefault="00190EB9" w:rsidP="00190EB9">
            <w:pPr>
              <w:jc w:val="center"/>
              <w:rPr>
                <w:rFonts w:asciiTheme="minorHAnsi" w:hAnsiTheme="minorHAnsi"/>
              </w:rPr>
            </w:pPr>
            <w:r w:rsidRPr="00FE7B18">
              <w:rPr>
                <w:rFonts w:asciiTheme="minorHAnsi" w:hAnsiTheme="minorHAnsi"/>
              </w:rPr>
              <w:t>0.14</w:t>
            </w:r>
          </w:p>
        </w:tc>
        <w:tc>
          <w:tcPr>
            <w:tcW w:w="1170" w:type="dxa"/>
            <w:vAlign w:val="center"/>
          </w:tcPr>
          <w:p w:rsidR="00190EB9" w:rsidRPr="00FE7B18" w:rsidRDefault="00190EB9" w:rsidP="00190EB9">
            <w:pPr>
              <w:jc w:val="center"/>
              <w:rPr>
                <w:rFonts w:asciiTheme="minorHAnsi" w:hAnsiTheme="minorHAnsi"/>
              </w:rPr>
            </w:pPr>
            <w:r w:rsidRPr="00FE7B18">
              <w:rPr>
                <w:rFonts w:asciiTheme="minorHAnsi" w:hAnsiTheme="minorHAnsi"/>
              </w:rPr>
              <w:t>0.06</w:t>
            </w:r>
          </w:p>
        </w:tc>
      </w:tr>
      <w:tr w:rsidR="00190EB9" w:rsidRPr="00FE7B18" w:rsidTr="00190EB9">
        <w:tc>
          <w:tcPr>
            <w:tcW w:w="2070" w:type="dxa"/>
            <w:vAlign w:val="center"/>
          </w:tcPr>
          <w:p w:rsidR="00190EB9" w:rsidRPr="00FE7B18" w:rsidRDefault="00190EB9" w:rsidP="00190EB9">
            <w:pPr>
              <w:rPr>
                <w:rFonts w:asciiTheme="minorHAnsi" w:hAnsiTheme="minorHAnsi"/>
              </w:rPr>
            </w:pPr>
            <w:r w:rsidRPr="00FE7B18">
              <w:rPr>
                <w:rFonts w:asciiTheme="minorHAnsi" w:hAnsiTheme="minorHAnsi"/>
              </w:rPr>
              <w:t>5 Low-volume</w:t>
            </w:r>
          </w:p>
        </w:tc>
        <w:tc>
          <w:tcPr>
            <w:tcW w:w="1440" w:type="dxa"/>
            <w:vAlign w:val="center"/>
          </w:tcPr>
          <w:p w:rsidR="00190EB9" w:rsidRPr="00FE7B18" w:rsidRDefault="00190EB9" w:rsidP="00190EB9">
            <w:pPr>
              <w:jc w:val="center"/>
              <w:rPr>
                <w:rFonts w:asciiTheme="minorHAnsi" w:hAnsiTheme="minorHAnsi"/>
              </w:rPr>
            </w:pPr>
            <w:r w:rsidRPr="00FE7B18">
              <w:rPr>
                <w:rFonts w:asciiTheme="minorHAnsi" w:hAnsiTheme="minorHAnsi"/>
              </w:rPr>
              <w:t>0.1, 0.33</w:t>
            </w:r>
          </w:p>
        </w:tc>
        <w:tc>
          <w:tcPr>
            <w:tcW w:w="1440" w:type="dxa"/>
            <w:vAlign w:val="center"/>
          </w:tcPr>
          <w:p w:rsidR="00190EB9" w:rsidRPr="00FE7B18" w:rsidRDefault="00190EB9" w:rsidP="00190EB9">
            <w:pPr>
              <w:jc w:val="center"/>
              <w:rPr>
                <w:rFonts w:asciiTheme="minorHAnsi" w:hAnsiTheme="minorHAnsi"/>
              </w:rPr>
            </w:pPr>
            <w:r w:rsidRPr="00FE7B18">
              <w:rPr>
                <w:rFonts w:asciiTheme="minorHAnsi" w:hAnsiTheme="minorHAnsi"/>
              </w:rPr>
              <w:t>1, 3.3</w:t>
            </w:r>
          </w:p>
        </w:tc>
        <w:tc>
          <w:tcPr>
            <w:tcW w:w="805" w:type="dxa"/>
            <w:shd w:val="clear" w:color="auto" w:fill="auto"/>
            <w:vAlign w:val="center"/>
          </w:tcPr>
          <w:p w:rsidR="00190EB9" w:rsidRPr="00FE7B18" w:rsidRDefault="000F7E88" w:rsidP="00190EB9">
            <w:pPr>
              <w:jc w:val="center"/>
              <w:rPr>
                <w:rFonts w:asciiTheme="minorHAnsi" w:hAnsiTheme="minorHAnsi"/>
              </w:rPr>
            </w:pPr>
            <w:r w:rsidRPr="00FE7B18">
              <w:rPr>
                <w:rFonts w:asciiTheme="minorHAnsi" w:hAnsiTheme="minorHAnsi"/>
              </w:rPr>
              <w:t>0.22</w:t>
            </w:r>
          </w:p>
        </w:tc>
        <w:tc>
          <w:tcPr>
            <w:tcW w:w="1175" w:type="dxa"/>
            <w:shd w:val="clear" w:color="auto" w:fill="auto"/>
            <w:vAlign w:val="center"/>
          </w:tcPr>
          <w:p w:rsidR="00190EB9" w:rsidRPr="00FE7B18" w:rsidRDefault="00190EB9" w:rsidP="00190EB9">
            <w:pPr>
              <w:jc w:val="center"/>
              <w:rPr>
                <w:rFonts w:asciiTheme="minorHAnsi" w:hAnsiTheme="minorHAnsi"/>
              </w:rPr>
            </w:pPr>
            <w:r w:rsidRPr="00FE7B18">
              <w:rPr>
                <w:rFonts w:asciiTheme="minorHAnsi" w:hAnsiTheme="minorHAnsi"/>
              </w:rPr>
              <w:t>0.02</w:t>
            </w:r>
          </w:p>
        </w:tc>
        <w:tc>
          <w:tcPr>
            <w:tcW w:w="810" w:type="dxa"/>
            <w:shd w:val="clear" w:color="auto" w:fill="auto"/>
            <w:vAlign w:val="center"/>
          </w:tcPr>
          <w:p w:rsidR="00190EB9" w:rsidRPr="00FE7B18" w:rsidRDefault="00190EB9" w:rsidP="00190EB9">
            <w:pPr>
              <w:jc w:val="center"/>
              <w:rPr>
                <w:rFonts w:asciiTheme="minorHAnsi" w:hAnsiTheme="minorHAnsi"/>
              </w:rPr>
            </w:pPr>
            <w:r w:rsidRPr="00FE7B18">
              <w:rPr>
                <w:rFonts w:asciiTheme="minorHAnsi" w:hAnsiTheme="minorHAnsi"/>
              </w:rPr>
              <w:t>0.32</w:t>
            </w:r>
          </w:p>
        </w:tc>
        <w:tc>
          <w:tcPr>
            <w:tcW w:w="1170" w:type="dxa"/>
            <w:vAlign w:val="center"/>
          </w:tcPr>
          <w:p w:rsidR="00190EB9" w:rsidRPr="00FE7B18" w:rsidRDefault="00190EB9" w:rsidP="00190EB9">
            <w:pPr>
              <w:jc w:val="center"/>
              <w:rPr>
                <w:rFonts w:asciiTheme="minorHAnsi" w:hAnsiTheme="minorHAnsi"/>
              </w:rPr>
            </w:pPr>
            <w:r w:rsidRPr="00FE7B18">
              <w:rPr>
                <w:rFonts w:asciiTheme="minorHAnsi" w:hAnsiTheme="minorHAnsi"/>
              </w:rPr>
              <w:t>0.10</w:t>
            </w:r>
          </w:p>
        </w:tc>
      </w:tr>
      <w:tr w:rsidR="00190EB9" w:rsidRPr="00FE7B18" w:rsidTr="00190EB9">
        <w:tc>
          <w:tcPr>
            <w:tcW w:w="2070" w:type="dxa"/>
            <w:vAlign w:val="center"/>
          </w:tcPr>
          <w:p w:rsidR="00190EB9" w:rsidRPr="00FE7B18" w:rsidRDefault="00190EB9" w:rsidP="00190EB9">
            <w:pPr>
              <w:rPr>
                <w:rFonts w:asciiTheme="minorHAnsi" w:hAnsiTheme="minorHAnsi"/>
              </w:rPr>
            </w:pPr>
            <w:r w:rsidRPr="00FE7B18">
              <w:rPr>
                <w:rFonts w:asciiTheme="minorHAnsi" w:hAnsiTheme="minorHAnsi"/>
              </w:rPr>
              <w:t>6 Moderate-volume</w:t>
            </w:r>
          </w:p>
        </w:tc>
        <w:tc>
          <w:tcPr>
            <w:tcW w:w="1440" w:type="dxa"/>
            <w:vAlign w:val="center"/>
          </w:tcPr>
          <w:p w:rsidR="00190EB9" w:rsidRPr="00FE7B18" w:rsidRDefault="00190EB9" w:rsidP="00190EB9">
            <w:pPr>
              <w:jc w:val="center"/>
              <w:rPr>
                <w:rFonts w:asciiTheme="minorHAnsi" w:hAnsiTheme="minorHAnsi"/>
              </w:rPr>
            </w:pPr>
            <w:r w:rsidRPr="00FE7B18">
              <w:rPr>
                <w:rFonts w:asciiTheme="minorHAnsi" w:hAnsiTheme="minorHAnsi"/>
              </w:rPr>
              <w:t>1, 3.3</w:t>
            </w:r>
          </w:p>
        </w:tc>
        <w:tc>
          <w:tcPr>
            <w:tcW w:w="1440" w:type="dxa"/>
            <w:vAlign w:val="center"/>
          </w:tcPr>
          <w:p w:rsidR="00190EB9" w:rsidRPr="00FE7B18" w:rsidRDefault="00190EB9" w:rsidP="00190EB9">
            <w:pPr>
              <w:jc w:val="center"/>
              <w:rPr>
                <w:rFonts w:asciiTheme="minorHAnsi" w:hAnsiTheme="minorHAnsi"/>
              </w:rPr>
            </w:pPr>
            <w:r w:rsidRPr="00FE7B18">
              <w:rPr>
                <w:rFonts w:asciiTheme="minorHAnsi" w:hAnsiTheme="minorHAnsi"/>
              </w:rPr>
              <w:t>10, 32.8</w:t>
            </w:r>
          </w:p>
        </w:tc>
        <w:tc>
          <w:tcPr>
            <w:tcW w:w="805" w:type="dxa"/>
            <w:shd w:val="clear" w:color="auto" w:fill="auto"/>
            <w:vAlign w:val="center"/>
          </w:tcPr>
          <w:p w:rsidR="00190EB9" w:rsidRPr="00FE7B18" w:rsidRDefault="000F7E88" w:rsidP="00190EB9">
            <w:pPr>
              <w:jc w:val="center"/>
              <w:rPr>
                <w:rFonts w:asciiTheme="minorHAnsi" w:hAnsiTheme="minorHAnsi"/>
              </w:rPr>
            </w:pPr>
            <w:r w:rsidRPr="00FE7B18">
              <w:rPr>
                <w:rFonts w:asciiTheme="minorHAnsi" w:hAnsiTheme="minorHAnsi"/>
              </w:rPr>
              <w:t>0.12</w:t>
            </w:r>
          </w:p>
        </w:tc>
        <w:tc>
          <w:tcPr>
            <w:tcW w:w="1175" w:type="dxa"/>
            <w:shd w:val="clear" w:color="auto" w:fill="auto"/>
            <w:vAlign w:val="center"/>
          </w:tcPr>
          <w:p w:rsidR="00190EB9" w:rsidRPr="00FE7B18" w:rsidRDefault="00190EB9" w:rsidP="00190EB9">
            <w:pPr>
              <w:jc w:val="center"/>
              <w:rPr>
                <w:rFonts w:asciiTheme="minorHAnsi" w:hAnsiTheme="minorHAnsi"/>
              </w:rPr>
            </w:pPr>
            <w:r w:rsidRPr="00FE7B18">
              <w:rPr>
                <w:rFonts w:asciiTheme="minorHAnsi" w:hAnsiTheme="minorHAnsi"/>
              </w:rPr>
              <w:t>0.02</w:t>
            </w:r>
          </w:p>
        </w:tc>
        <w:tc>
          <w:tcPr>
            <w:tcW w:w="810" w:type="dxa"/>
            <w:shd w:val="clear" w:color="auto" w:fill="auto"/>
            <w:vAlign w:val="center"/>
          </w:tcPr>
          <w:p w:rsidR="00190EB9" w:rsidRPr="00FE7B18" w:rsidRDefault="00190EB9" w:rsidP="00190EB9">
            <w:pPr>
              <w:jc w:val="center"/>
              <w:rPr>
                <w:rFonts w:asciiTheme="minorHAnsi" w:hAnsiTheme="minorHAnsi"/>
              </w:rPr>
            </w:pPr>
            <w:r w:rsidRPr="00FE7B18">
              <w:rPr>
                <w:rFonts w:asciiTheme="minorHAnsi" w:hAnsiTheme="minorHAnsi"/>
              </w:rPr>
              <w:t>0.23</w:t>
            </w:r>
          </w:p>
        </w:tc>
        <w:tc>
          <w:tcPr>
            <w:tcW w:w="1170" w:type="dxa"/>
            <w:vAlign w:val="center"/>
          </w:tcPr>
          <w:p w:rsidR="00190EB9" w:rsidRPr="00FE7B18" w:rsidRDefault="00190EB9" w:rsidP="00190EB9">
            <w:pPr>
              <w:jc w:val="center"/>
              <w:rPr>
                <w:rFonts w:asciiTheme="minorHAnsi" w:hAnsiTheme="minorHAnsi"/>
              </w:rPr>
            </w:pPr>
            <w:r w:rsidRPr="00FE7B18">
              <w:rPr>
                <w:rFonts w:asciiTheme="minorHAnsi" w:hAnsiTheme="minorHAnsi"/>
              </w:rPr>
              <w:t>0.08</w:t>
            </w:r>
          </w:p>
        </w:tc>
      </w:tr>
      <w:tr w:rsidR="00190EB9" w:rsidRPr="00FE7B18" w:rsidTr="00190EB9">
        <w:tc>
          <w:tcPr>
            <w:tcW w:w="2070" w:type="dxa"/>
            <w:vAlign w:val="center"/>
          </w:tcPr>
          <w:p w:rsidR="00190EB9" w:rsidRPr="00FE7B18" w:rsidRDefault="00190EB9" w:rsidP="00190EB9">
            <w:pPr>
              <w:rPr>
                <w:rFonts w:asciiTheme="minorHAnsi" w:hAnsiTheme="minorHAnsi"/>
              </w:rPr>
            </w:pPr>
            <w:r w:rsidRPr="00FE7B18">
              <w:rPr>
                <w:rFonts w:asciiTheme="minorHAnsi" w:hAnsiTheme="minorHAnsi"/>
              </w:rPr>
              <w:t>7 High-volume</w:t>
            </w:r>
          </w:p>
        </w:tc>
        <w:tc>
          <w:tcPr>
            <w:tcW w:w="1440" w:type="dxa"/>
            <w:vAlign w:val="center"/>
          </w:tcPr>
          <w:p w:rsidR="00190EB9" w:rsidRPr="00FE7B18" w:rsidRDefault="00190EB9" w:rsidP="00190EB9">
            <w:pPr>
              <w:jc w:val="center"/>
              <w:rPr>
                <w:rFonts w:asciiTheme="minorHAnsi" w:hAnsiTheme="minorHAnsi"/>
              </w:rPr>
            </w:pPr>
            <w:r w:rsidRPr="00FE7B18">
              <w:rPr>
                <w:rFonts w:asciiTheme="minorHAnsi" w:hAnsiTheme="minorHAnsi"/>
              </w:rPr>
              <w:t>2, 6.6</w:t>
            </w:r>
          </w:p>
        </w:tc>
        <w:tc>
          <w:tcPr>
            <w:tcW w:w="1440" w:type="dxa"/>
            <w:vAlign w:val="center"/>
          </w:tcPr>
          <w:p w:rsidR="00190EB9" w:rsidRPr="00FE7B18" w:rsidRDefault="00190EB9" w:rsidP="00190EB9">
            <w:pPr>
              <w:jc w:val="center"/>
              <w:rPr>
                <w:rFonts w:asciiTheme="minorHAnsi" w:hAnsiTheme="minorHAnsi"/>
              </w:rPr>
            </w:pPr>
            <w:r w:rsidRPr="00FE7B18">
              <w:rPr>
                <w:rFonts w:asciiTheme="minorHAnsi" w:hAnsiTheme="minorHAnsi"/>
              </w:rPr>
              <w:t>100, 328.1</w:t>
            </w:r>
          </w:p>
        </w:tc>
        <w:tc>
          <w:tcPr>
            <w:tcW w:w="805" w:type="dxa"/>
            <w:shd w:val="clear" w:color="auto" w:fill="auto"/>
            <w:vAlign w:val="center"/>
          </w:tcPr>
          <w:p w:rsidR="00190EB9" w:rsidRPr="00FE7B18" w:rsidRDefault="000F7E88" w:rsidP="00190EB9">
            <w:pPr>
              <w:jc w:val="center"/>
              <w:rPr>
                <w:rFonts w:asciiTheme="minorHAnsi" w:hAnsiTheme="minorHAnsi"/>
              </w:rPr>
            </w:pPr>
            <w:r w:rsidRPr="00FE7B18">
              <w:rPr>
                <w:rFonts w:asciiTheme="minorHAnsi" w:hAnsiTheme="minorHAnsi"/>
              </w:rPr>
              <w:t>0.03</w:t>
            </w:r>
          </w:p>
        </w:tc>
        <w:tc>
          <w:tcPr>
            <w:tcW w:w="1175" w:type="dxa"/>
            <w:shd w:val="clear" w:color="auto" w:fill="auto"/>
            <w:vAlign w:val="center"/>
          </w:tcPr>
          <w:p w:rsidR="00190EB9" w:rsidRPr="00FE7B18" w:rsidRDefault="00190EB9" w:rsidP="00190EB9">
            <w:pPr>
              <w:jc w:val="center"/>
              <w:rPr>
                <w:rFonts w:asciiTheme="minorHAnsi" w:hAnsiTheme="minorHAnsi"/>
              </w:rPr>
            </w:pPr>
            <w:r w:rsidRPr="00FE7B18">
              <w:rPr>
                <w:rFonts w:asciiTheme="minorHAnsi" w:hAnsiTheme="minorHAnsi"/>
              </w:rPr>
              <w:t>0.01</w:t>
            </w:r>
          </w:p>
        </w:tc>
        <w:tc>
          <w:tcPr>
            <w:tcW w:w="810" w:type="dxa"/>
            <w:shd w:val="clear" w:color="auto" w:fill="auto"/>
            <w:vAlign w:val="center"/>
          </w:tcPr>
          <w:p w:rsidR="00190EB9" w:rsidRPr="00FE7B18" w:rsidRDefault="00190EB9" w:rsidP="00190EB9">
            <w:pPr>
              <w:jc w:val="center"/>
              <w:rPr>
                <w:rFonts w:asciiTheme="minorHAnsi" w:hAnsiTheme="minorHAnsi"/>
              </w:rPr>
            </w:pPr>
            <w:r w:rsidRPr="00FE7B18">
              <w:rPr>
                <w:rFonts w:asciiTheme="minorHAnsi" w:hAnsiTheme="minorHAnsi"/>
              </w:rPr>
              <w:t>0.08</w:t>
            </w:r>
          </w:p>
        </w:tc>
        <w:tc>
          <w:tcPr>
            <w:tcW w:w="1170" w:type="dxa"/>
            <w:vAlign w:val="center"/>
          </w:tcPr>
          <w:p w:rsidR="00190EB9" w:rsidRPr="00FE7B18" w:rsidRDefault="00190EB9" w:rsidP="00190EB9">
            <w:pPr>
              <w:jc w:val="center"/>
              <w:rPr>
                <w:rFonts w:asciiTheme="minorHAnsi" w:hAnsiTheme="minorHAnsi"/>
              </w:rPr>
            </w:pPr>
            <w:r w:rsidRPr="00FE7B18">
              <w:rPr>
                <w:rFonts w:asciiTheme="minorHAnsi" w:hAnsiTheme="minorHAnsi"/>
              </w:rPr>
              <w:t>0.04</w:t>
            </w:r>
          </w:p>
        </w:tc>
      </w:tr>
    </w:tbl>
    <w:p w:rsidR="00330793" w:rsidRPr="00FE7B18" w:rsidRDefault="00330793" w:rsidP="00330793">
      <w:pPr>
        <w:numPr>
          <w:ilvl w:val="0"/>
          <w:numId w:val="3"/>
        </w:numPr>
        <w:ind w:left="360" w:hanging="360"/>
        <w:contextualSpacing/>
        <w:rPr>
          <w:rFonts w:asciiTheme="minorHAnsi" w:hAnsiTheme="minorHAnsi"/>
        </w:rPr>
      </w:pPr>
      <w:r w:rsidRPr="00FE7B18">
        <w:rPr>
          <w:rFonts w:asciiTheme="minorHAnsi" w:hAnsiTheme="minorHAnsi"/>
        </w:rPr>
        <w:t xml:space="preserve">Ground: ASAE Very Fine to </w:t>
      </w:r>
      <w:proofErr w:type="gramStart"/>
      <w:r w:rsidRPr="00FE7B18">
        <w:rPr>
          <w:rFonts w:asciiTheme="minorHAnsi" w:hAnsiTheme="minorHAnsi"/>
        </w:rPr>
        <w:t>Fine ;</w:t>
      </w:r>
      <w:proofErr w:type="gramEnd"/>
      <w:r w:rsidRPr="00FE7B18">
        <w:rPr>
          <w:rFonts w:asciiTheme="minorHAnsi" w:hAnsiTheme="minorHAnsi"/>
        </w:rPr>
        <w:t xml:space="preserve"> high-boom; 90</w:t>
      </w:r>
      <w:r w:rsidRPr="00FE7B18">
        <w:rPr>
          <w:rFonts w:asciiTheme="minorHAnsi" w:hAnsiTheme="minorHAnsi"/>
          <w:vertAlign w:val="superscript"/>
        </w:rPr>
        <w:t>th</w:t>
      </w:r>
      <w:r w:rsidRPr="00FE7B18">
        <w:rPr>
          <w:rFonts w:asciiTheme="minorHAnsi" w:hAnsiTheme="minorHAnsi"/>
        </w:rPr>
        <w:t xml:space="preserve"> percentile </w:t>
      </w:r>
    </w:p>
    <w:p w:rsidR="00330793" w:rsidRPr="00FE7B18" w:rsidRDefault="00330793" w:rsidP="00330793">
      <w:pPr>
        <w:numPr>
          <w:ilvl w:val="0"/>
          <w:numId w:val="3"/>
        </w:numPr>
        <w:ind w:left="360" w:hanging="360"/>
        <w:contextualSpacing/>
        <w:rPr>
          <w:rFonts w:asciiTheme="minorHAnsi" w:hAnsiTheme="minorHAnsi"/>
        </w:rPr>
      </w:pPr>
      <w:r w:rsidRPr="00FE7B18">
        <w:rPr>
          <w:rFonts w:asciiTheme="minorHAnsi" w:hAnsiTheme="minorHAnsi"/>
        </w:rPr>
        <w:t xml:space="preserve">Aerial: ASAE fine to medium </w:t>
      </w:r>
    </w:p>
    <w:p w:rsidR="00330793" w:rsidRPr="00FE7B18" w:rsidRDefault="00330793" w:rsidP="00330793">
      <w:pPr>
        <w:rPr>
          <w:rFonts w:asciiTheme="minorHAnsi" w:hAnsiTheme="minorHAnsi"/>
        </w:rPr>
      </w:pPr>
    </w:p>
    <w:p w:rsidR="006465EB" w:rsidRPr="006465EB" w:rsidRDefault="00330793" w:rsidP="00BC0068">
      <w:pPr>
        <w:rPr>
          <w:rFonts w:asciiTheme="minorHAnsi" w:hAnsiTheme="minorHAnsi"/>
        </w:rPr>
      </w:pPr>
      <w:r w:rsidRPr="00FE7B18">
        <w:rPr>
          <w:rFonts w:asciiTheme="minorHAnsi" w:hAnsiTheme="minorHAnsi"/>
        </w:rPr>
        <w:t>Court ordered buffers for salmon bearing streams in Cal</w:t>
      </w:r>
      <w:r w:rsidR="00712426" w:rsidRPr="00FE7B18">
        <w:rPr>
          <w:rFonts w:asciiTheme="minorHAnsi" w:hAnsiTheme="minorHAnsi"/>
        </w:rPr>
        <w:t>ifornia, Oregon, and Washington have been issued.</w:t>
      </w:r>
      <w:r w:rsidR="006465EB" w:rsidRPr="00FE7B18">
        <w:rPr>
          <w:rFonts w:asciiTheme="minorHAnsi" w:hAnsiTheme="minorHAnsi"/>
        </w:rPr>
        <w:t xml:space="preserve">  </w:t>
      </w:r>
      <w:r w:rsidR="00BC0068" w:rsidRPr="00FE7B18">
        <w:rPr>
          <w:rFonts w:asciiTheme="minorHAnsi" w:hAnsiTheme="minorHAnsi"/>
        </w:rPr>
        <w:t xml:space="preserve">More information on these buffers is available at:  </w:t>
      </w:r>
      <w:hyperlink r:id="rId7" w:history="1">
        <w:r w:rsidR="00BC0068" w:rsidRPr="00FE7B18">
          <w:rPr>
            <w:rStyle w:val="Hyperlink"/>
            <w:rFonts w:asciiTheme="minorHAnsi" w:hAnsiTheme="minorHAnsi"/>
          </w:rPr>
          <w:t>http://www2.epa.gov/endangered-species/endangered-species-litigation-and-associated-pesticide-limitations</w:t>
        </w:r>
      </w:hyperlink>
    </w:p>
    <w:sectPr w:rsidR="006465EB" w:rsidRPr="006465EB" w:rsidSect="00A27A58">
      <w:footerReference w:type="default" r:id="rId8"/>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955" w:rsidRDefault="00173955">
      <w:r>
        <w:separator/>
      </w:r>
    </w:p>
  </w:endnote>
  <w:endnote w:type="continuationSeparator" w:id="0">
    <w:p w:rsidR="00173955" w:rsidRDefault="00173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798717"/>
      <w:docPartObj>
        <w:docPartGallery w:val="Page Numbers (Bottom of Page)"/>
        <w:docPartUnique/>
      </w:docPartObj>
    </w:sdtPr>
    <w:sdtEndPr>
      <w:rPr>
        <w:rFonts w:asciiTheme="minorHAnsi" w:hAnsiTheme="minorHAnsi"/>
        <w:noProof/>
      </w:rPr>
    </w:sdtEndPr>
    <w:sdtContent>
      <w:p w:rsidR="00FE7B18" w:rsidRPr="00FE7B18" w:rsidRDefault="00FE7B18">
        <w:pPr>
          <w:pStyle w:val="Footer"/>
          <w:jc w:val="center"/>
          <w:rPr>
            <w:rFonts w:asciiTheme="minorHAnsi" w:hAnsiTheme="minorHAnsi"/>
          </w:rPr>
        </w:pPr>
        <w:r w:rsidRPr="00FE7B18">
          <w:rPr>
            <w:rFonts w:asciiTheme="minorHAnsi" w:hAnsiTheme="minorHAnsi"/>
          </w:rPr>
          <w:t>B</w:t>
        </w:r>
        <w:r w:rsidR="001D4364">
          <w:rPr>
            <w:rFonts w:asciiTheme="minorHAnsi" w:hAnsiTheme="minorHAnsi"/>
          </w:rPr>
          <w:t xml:space="preserve"> </w:t>
        </w:r>
        <w:r w:rsidRPr="00FE7B18">
          <w:rPr>
            <w:rFonts w:asciiTheme="minorHAnsi" w:hAnsiTheme="minorHAnsi"/>
          </w:rPr>
          <w:t>3 (FC)-</w:t>
        </w:r>
        <w:r w:rsidRPr="00FE7B18">
          <w:rPr>
            <w:rFonts w:asciiTheme="minorHAnsi" w:hAnsiTheme="minorHAnsi"/>
          </w:rPr>
          <w:fldChar w:fldCharType="begin"/>
        </w:r>
        <w:r w:rsidRPr="00FE7B18">
          <w:rPr>
            <w:rFonts w:asciiTheme="minorHAnsi" w:hAnsiTheme="minorHAnsi"/>
          </w:rPr>
          <w:instrText xml:space="preserve"> PAGE   \* MERGEFORMAT </w:instrText>
        </w:r>
        <w:r w:rsidRPr="00FE7B18">
          <w:rPr>
            <w:rFonts w:asciiTheme="minorHAnsi" w:hAnsiTheme="minorHAnsi"/>
          </w:rPr>
          <w:fldChar w:fldCharType="separate"/>
        </w:r>
        <w:r w:rsidR="00771126">
          <w:rPr>
            <w:rFonts w:asciiTheme="minorHAnsi" w:hAnsiTheme="minorHAnsi"/>
            <w:noProof/>
          </w:rPr>
          <w:t>2</w:t>
        </w:r>
        <w:r w:rsidRPr="00FE7B18">
          <w:rPr>
            <w:rFonts w:asciiTheme="minorHAnsi" w:hAnsiTheme="minorHAnsi"/>
            <w:noProof/>
          </w:rPr>
          <w:fldChar w:fldCharType="end"/>
        </w:r>
      </w:p>
    </w:sdtContent>
  </w:sdt>
  <w:p w:rsidR="009C26D8" w:rsidRPr="00FE7B18" w:rsidRDefault="009C26D8">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955" w:rsidRDefault="00173955">
      <w:r>
        <w:separator/>
      </w:r>
    </w:p>
  </w:footnote>
  <w:footnote w:type="continuationSeparator" w:id="0">
    <w:p w:rsidR="00173955" w:rsidRDefault="00173955">
      <w:r>
        <w:continuationSeparator/>
      </w:r>
    </w:p>
  </w:footnote>
  <w:footnote w:id="1">
    <w:p w:rsidR="0056616A" w:rsidRPr="007A4B32" w:rsidRDefault="009D4059">
      <w:pPr>
        <w:rPr>
          <w:rFonts w:asciiTheme="minorHAnsi" w:hAnsiTheme="minorHAnsi"/>
          <w:sz w:val="20"/>
          <w:szCs w:val="20"/>
        </w:rPr>
      </w:pPr>
      <w:r w:rsidRPr="007A4B32">
        <w:rPr>
          <w:rFonts w:asciiTheme="minorHAnsi" w:hAnsiTheme="minorHAnsi"/>
          <w:sz w:val="20"/>
          <w:szCs w:val="20"/>
          <w:vertAlign w:val="superscript"/>
        </w:rPr>
        <w:footnoteRef/>
      </w:r>
      <w:r w:rsidRPr="007A4B32">
        <w:rPr>
          <w:rFonts w:asciiTheme="minorHAnsi" w:hAnsiTheme="minorHAnsi"/>
          <w:sz w:val="20"/>
          <w:szCs w:val="20"/>
        </w:rPr>
        <w:t xml:space="preserve"> U.S. Environmental Protection Agency, Brady, D. </w:t>
      </w:r>
      <w:r w:rsidRPr="007A4B32">
        <w:rPr>
          <w:rFonts w:asciiTheme="minorHAnsi" w:hAnsiTheme="minorHAnsi"/>
          <w:i/>
          <w:sz w:val="20"/>
          <w:szCs w:val="20"/>
        </w:rPr>
        <w:t>Guidance on Modeling Offsite Deposition of Pesticides via Spray Drift for Ecological and Drinking Water Assessments</w:t>
      </w:r>
      <w:r w:rsidRPr="007A4B32">
        <w:rPr>
          <w:rFonts w:asciiTheme="minorHAnsi" w:hAnsiTheme="minorHAnsi"/>
          <w:sz w:val="20"/>
          <w:szCs w:val="20"/>
        </w:rPr>
        <w:t>, December 20, 2013</w:t>
      </w:r>
    </w:p>
  </w:footnote>
  <w:footnote w:id="2">
    <w:p w:rsidR="0056616A" w:rsidRDefault="009D4059">
      <w:r w:rsidRPr="007A4B32">
        <w:rPr>
          <w:rFonts w:asciiTheme="minorHAnsi" w:hAnsiTheme="minorHAnsi"/>
          <w:sz w:val="20"/>
          <w:szCs w:val="20"/>
          <w:vertAlign w:val="superscript"/>
        </w:rPr>
        <w:footnoteRef/>
      </w:r>
      <w:r w:rsidRPr="007A4B32">
        <w:rPr>
          <w:rFonts w:asciiTheme="minorHAnsi" w:hAnsiTheme="minorHAnsi"/>
          <w:sz w:val="20"/>
          <w:szCs w:val="20"/>
        </w:rPr>
        <w:t xml:space="preserve"> U.S. Environmental Protection Agency, White, K., Khan, F., Peck, C., Corbin, M. </w:t>
      </w:r>
      <w:r w:rsidRPr="007A4B32">
        <w:rPr>
          <w:rFonts w:asciiTheme="minorHAnsi" w:hAnsiTheme="minorHAnsi"/>
          <w:i/>
          <w:sz w:val="20"/>
          <w:szCs w:val="20"/>
        </w:rPr>
        <w:t>Guidance on Modeling Offsite Deposition of Pesticides via Spray Drift for Ecological and Drinking Water Assessments</w:t>
      </w:r>
      <w:r w:rsidRPr="007A4B32">
        <w:rPr>
          <w:rFonts w:asciiTheme="minorHAnsi" w:hAnsiTheme="minorHAnsi"/>
          <w:sz w:val="20"/>
          <w:szCs w:val="20"/>
        </w:rPr>
        <w:t>, December 19,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56D55"/>
    <w:multiLevelType w:val="hybridMultilevel"/>
    <w:tmpl w:val="2EDA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44764"/>
    <w:multiLevelType w:val="multilevel"/>
    <w:tmpl w:val="9F342112"/>
    <w:lvl w:ilvl="0">
      <w:start w:val="1"/>
      <w:numFmt w:val="lowerLetter"/>
      <w:lvlText w:val="%1."/>
      <w:lvlJc w:val="left"/>
      <w:pPr>
        <w:ind w:left="900" w:firstLine="360"/>
      </w:pPr>
    </w:lvl>
    <w:lvl w:ilvl="1">
      <w:start w:val="1"/>
      <w:numFmt w:val="lowerLetter"/>
      <w:lvlText w:val="%2."/>
      <w:lvlJc w:val="left"/>
      <w:pPr>
        <w:ind w:left="1620" w:firstLine="1080"/>
      </w:pPr>
    </w:lvl>
    <w:lvl w:ilvl="2">
      <w:start w:val="1"/>
      <w:numFmt w:val="lowerRoman"/>
      <w:lvlText w:val="%3."/>
      <w:lvlJc w:val="right"/>
      <w:pPr>
        <w:ind w:left="2340" w:firstLine="1980"/>
      </w:pPr>
    </w:lvl>
    <w:lvl w:ilvl="3">
      <w:start w:val="1"/>
      <w:numFmt w:val="decimal"/>
      <w:lvlText w:val="%4."/>
      <w:lvlJc w:val="left"/>
      <w:pPr>
        <w:ind w:left="3060" w:firstLine="2520"/>
      </w:pPr>
    </w:lvl>
    <w:lvl w:ilvl="4">
      <w:start w:val="1"/>
      <w:numFmt w:val="lowerLetter"/>
      <w:lvlText w:val="%5."/>
      <w:lvlJc w:val="left"/>
      <w:pPr>
        <w:ind w:left="3780" w:firstLine="3240"/>
      </w:pPr>
    </w:lvl>
    <w:lvl w:ilvl="5">
      <w:start w:val="1"/>
      <w:numFmt w:val="lowerRoman"/>
      <w:lvlText w:val="%6."/>
      <w:lvlJc w:val="right"/>
      <w:pPr>
        <w:ind w:left="4500" w:firstLine="4140"/>
      </w:pPr>
    </w:lvl>
    <w:lvl w:ilvl="6">
      <w:start w:val="1"/>
      <w:numFmt w:val="decimal"/>
      <w:lvlText w:val="%7."/>
      <w:lvlJc w:val="left"/>
      <w:pPr>
        <w:ind w:left="5220" w:firstLine="4680"/>
      </w:pPr>
    </w:lvl>
    <w:lvl w:ilvl="7">
      <w:start w:val="1"/>
      <w:numFmt w:val="lowerLetter"/>
      <w:lvlText w:val="%8."/>
      <w:lvlJc w:val="left"/>
      <w:pPr>
        <w:ind w:left="5940" w:firstLine="5400"/>
      </w:pPr>
    </w:lvl>
    <w:lvl w:ilvl="8">
      <w:start w:val="1"/>
      <w:numFmt w:val="lowerRoman"/>
      <w:lvlText w:val="%9."/>
      <w:lvlJc w:val="right"/>
      <w:pPr>
        <w:ind w:left="6660" w:firstLine="6300"/>
      </w:pPr>
    </w:lvl>
  </w:abstractNum>
  <w:abstractNum w:abstractNumId="2" w15:restartNumberingAfterBreak="0">
    <w:nsid w:val="2725671B"/>
    <w:multiLevelType w:val="hybridMultilevel"/>
    <w:tmpl w:val="8A0C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B871D2"/>
    <w:multiLevelType w:val="multilevel"/>
    <w:tmpl w:val="9F34211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16A"/>
    <w:rsid w:val="000F7E88"/>
    <w:rsid w:val="001230F1"/>
    <w:rsid w:val="00173955"/>
    <w:rsid w:val="00190EB9"/>
    <w:rsid w:val="001D4364"/>
    <w:rsid w:val="0028698A"/>
    <w:rsid w:val="00327DD9"/>
    <w:rsid w:val="00330793"/>
    <w:rsid w:val="00360C23"/>
    <w:rsid w:val="00362DD3"/>
    <w:rsid w:val="003D74C9"/>
    <w:rsid w:val="004A797A"/>
    <w:rsid w:val="0056616A"/>
    <w:rsid w:val="006465EB"/>
    <w:rsid w:val="00670E6B"/>
    <w:rsid w:val="00712426"/>
    <w:rsid w:val="00771126"/>
    <w:rsid w:val="007979BD"/>
    <w:rsid w:val="007A4B32"/>
    <w:rsid w:val="009C26D8"/>
    <w:rsid w:val="009D4059"/>
    <w:rsid w:val="00A12F2E"/>
    <w:rsid w:val="00A27A58"/>
    <w:rsid w:val="00A73C0F"/>
    <w:rsid w:val="00B27AA8"/>
    <w:rsid w:val="00B32124"/>
    <w:rsid w:val="00B37AA9"/>
    <w:rsid w:val="00BB4532"/>
    <w:rsid w:val="00BC0068"/>
    <w:rsid w:val="00BF2C1B"/>
    <w:rsid w:val="00CF531C"/>
    <w:rsid w:val="00DA1B44"/>
    <w:rsid w:val="00E35651"/>
    <w:rsid w:val="00E36D0B"/>
    <w:rsid w:val="00FC294A"/>
    <w:rsid w:val="00FD6EEF"/>
    <w:rsid w:val="00FE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AD67DC"/>
  <w15:docId w15:val="{5CDC555F-CCBF-49E2-A149-45A320280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240" w:after="60"/>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27A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A58"/>
    <w:rPr>
      <w:rFonts w:ascii="Segoe UI" w:hAnsi="Segoe UI" w:cs="Segoe UI"/>
      <w:sz w:val="18"/>
      <w:szCs w:val="18"/>
    </w:rPr>
  </w:style>
  <w:style w:type="paragraph" w:styleId="ListParagraph">
    <w:name w:val="List Paragraph"/>
    <w:basedOn w:val="Normal"/>
    <w:uiPriority w:val="34"/>
    <w:qFormat/>
    <w:rsid w:val="00B37AA9"/>
    <w:pPr>
      <w:ind w:left="720"/>
      <w:contextualSpacing/>
    </w:pPr>
  </w:style>
  <w:style w:type="character" w:styleId="Hyperlink">
    <w:name w:val="Hyperlink"/>
    <w:basedOn w:val="DefaultParagraphFont"/>
    <w:uiPriority w:val="99"/>
    <w:unhideWhenUsed/>
    <w:rsid w:val="00BC0068"/>
    <w:rPr>
      <w:color w:val="0563C1" w:themeColor="hyperlink"/>
      <w:u w:val="single"/>
    </w:rPr>
  </w:style>
  <w:style w:type="paragraph" w:styleId="Header">
    <w:name w:val="header"/>
    <w:basedOn w:val="Normal"/>
    <w:link w:val="HeaderChar"/>
    <w:uiPriority w:val="99"/>
    <w:unhideWhenUsed/>
    <w:rsid w:val="009C26D8"/>
    <w:pPr>
      <w:tabs>
        <w:tab w:val="center" w:pos="4680"/>
        <w:tab w:val="right" w:pos="9360"/>
      </w:tabs>
    </w:pPr>
  </w:style>
  <w:style w:type="character" w:customStyle="1" w:styleId="HeaderChar">
    <w:name w:val="Header Char"/>
    <w:basedOn w:val="DefaultParagraphFont"/>
    <w:link w:val="Header"/>
    <w:uiPriority w:val="99"/>
    <w:rsid w:val="009C26D8"/>
  </w:style>
  <w:style w:type="paragraph" w:styleId="Footer">
    <w:name w:val="footer"/>
    <w:basedOn w:val="Normal"/>
    <w:link w:val="FooterChar"/>
    <w:uiPriority w:val="99"/>
    <w:unhideWhenUsed/>
    <w:rsid w:val="009C26D8"/>
    <w:pPr>
      <w:tabs>
        <w:tab w:val="center" w:pos="4680"/>
        <w:tab w:val="right" w:pos="9360"/>
      </w:tabs>
    </w:pPr>
  </w:style>
  <w:style w:type="character" w:customStyle="1" w:styleId="FooterChar">
    <w:name w:val="Footer Char"/>
    <w:basedOn w:val="DefaultParagraphFont"/>
    <w:link w:val="Footer"/>
    <w:uiPriority w:val="99"/>
    <w:rsid w:val="009C2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2.epa.gov/endangered-species/endangered-species-litigation-and-associated-pesticide-limit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Bohaty, Rochelle</dc:creator>
  <cp:lastModifiedBy>Peck, Charles</cp:lastModifiedBy>
  <cp:revision>3</cp:revision>
  <dcterms:created xsi:type="dcterms:W3CDTF">2017-01-09T20:53:00Z</dcterms:created>
  <dcterms:modified xsi:type="dcterms:W3CDTF">2017-01-09T20:54:00Z</dcterms:modified>
</cp:coreProperties>
</file>