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A5" w:rsidRPr="009F118E" w:rsidRDefault="009F118E" w:rsidP="009F118E">
      <w:pPr>
        <w:rPr>
          <w:rFonts w:asciiTheme="minorHAnsi" w:hAnsiTheme="minorHAnsi"/>
          <w:b/>
          <w:sz w:val="22"/>
        </w:rPr>
      </w:pPr>
      <w:bookmarkStart w:id="0" w:name="_Toc412444908"/>
      <w:r w:rsidRPr="009F118E">
        <w:rPr>
          <w:rFonts w:asciiTheme="minorHAnsi" w:hAnsiTheme="minorHAnsi"/>
          <w:b/>
          <w:sz w:val="22"/>
        </w:rPr>
        <w:t xml:space="preserve">APPENDIX 2-9: </w:t>
      </w:r>
      <w:r w:rsidR="00E63CA5" w:rsidRPr="009F118E">
        <w:rPr>
          <w:rFonts w:asciiTheme="minorHAnsi" w:hAnsiTheme="minorHAnsi"/>
          <w:b/>
          <w:sz w:val="22"/>
        </w:rPr>
        <w:t xml:space="preserve"> </w:t>
      </w:r>
      <w:r w:rsidRPr="009F118E">
        <w:rPr>
          <w:rFonts w:asciiTheme="minorHAnsi" w:hAnsiTheme="minorHAnsi"/>
          <w:b/>
          <w:sz w:val="22"/>
        </w:rPr>
        <w:t xml:space="preserve">Diazinon </w:t>
      </w:r>
      <w:r w:rsidR="00C07220" w:rsidRPr="009F118E">
        <w:rPr>
          <w:rFonts w:asciiTheme="minorHAnsi" w:hAnsiTheme="minorHAnsi"/>
          <w:b/>
          <w:sz w:val="22"/>
        </w:rPr>
        <w:t xml:space="preserve">Species </w:t>
      </w:r>
      <w:r w:rsidRPr="009F118E">
        <w:rPr>
          <w:rFonts w:asciiTheme="minorHAnsi" w:hAnsiTheme="minorHAnsi"/>
          <w:b/>
          <w:sz w:val="22"/>
        </w:rPr>
        <w:t>S</w:t>
      </w:r>
      <w:r w:rsidR="00C07220" w:rsidRPr="009F118E">
        <w:rPr>
          <w:rFonts w:asciiTheme="minorHAnsi" w:hAnsiTheme="minorHAnsi"/>
          <w:b/>
          <w:sz w:val="22"/>
        </w:rPr>
        <w:t xml:space="preserve">ensitivity </w:t>
      </w:r>
      <w:r w:rsidRPr="009F118E">
        <w:rPr>
          <w:rFonts w:asciiTheme="minorHAnsi" w:hAnsiTheme="minorHAnsi"/>
          <w:b/>
          <w:sz w:val="22"/>
        </w:rPr>
        <w:t>D</w:t>
      </w:r>
      <w:r w:rsidR="00C07220" w:rsidRPr="009F118E">
        <w:rPr>
          <w:rFonts w:asciiTheme="minorHAnsi" w:hAnsiTheme="minorHAnsi"/>
          <w:b/>
          <w:sz w:val="22"/>
        </w:rPr>
        <w:t>istribution</w:t>
      </w:r>
      <w:r w:rsidR="00E63CA5" w:rsidRPr="009F118E">
        <w:rPr>
          <w:rFonts w:asciiTheme="minorHAnsi" w:hAnsiTheme="minorHAnsi"/>
          <w:b/>
          <w:sz w:val="22"/>
        </w:rPr>
        <w:t xml:space="preserve"> </w:t>
      </w:r>
      <w:r w:rsidRPr="009F118E">
        <w:rPr>
          <w:rFonts w:asciiTheme="minorHAnsi" w:hAnsiTheme="minorHAnsi"/>
          <w:b/>
          <w:sz w:val="22"/>
        </w:rPr>
        <w:t>A</w:t>
      </w:r>
      <w:r w:rsidR="00E63CA5" w:rsidRPr="009F118E">
        <w:rPr>
          <w:rFonts w:asciiTheme="minorHAnsi" w:hAnsiTheme="minorHAnsi"/>
          <w:b/>
          <w:sz w:val="22"/>
        </w:rPr>
        <w:t xml:space="preserve">nalysis </w:t>
      </w:r>
      <w:bookmarkEnd w:id="0"/>
      <w:r w:rsidRPr="009F118E">
        <w:rPr>
          <w:rFonts w:asciiTheme="minorHAnsi" w:hAnsiTheme="minorHAnsi"/>
          <w:b/>
          <w:sz w:val="22"/>
        </w:rPr>
        <w:t>for Birds</w:t>
      </w:r>
    </w:p>
    <w:p w:rsidR="00E63CA5" w:rsidRPr="009F118E" w:rsidRDefault="00E63CA5" w:rsidP="00E63CA5">
      <w:pPr>
        <w:rPr>
          <w:rFonts w:asciiTheme="minorHAnsi" w:hAnsiTheme="minorHAnsi"/>
          <w:sz w:val="22"/>
        </w:rPr>
      </w:pPr>
    </w:p>
    <w:p w:rsidR="00E63CA5" w:rsidRPr="009F118E" w:rsidRDefault="00E63CA5" w:rsidP="00E63CA5">
      <w:pPr>
        <w:rPr>
          <w:rFonts w:asciiTheme="minorHAnsi" w:hAnsiTheme="minorHAnsi" w:cs="Times New Roman"/>
          <w:b/>
          <w:sz w:val="22"/>
        </w:rPr>
      </w:pPr>
    </w:p>
    <w:p w:rsidR="00E63CA5" w:rsidRPr="009F118E" w:rsidRDefault="00E63CA5" w:rsidP="00E63CA5">
      <w:pPr>
        <w:rPr>
          <w:rFonts w:asciiTheme="minorHAnsi" w:hAnsiTheme="minorHAnsi" w:cs="Times New Roman"/>
          <w:b/>
          <w:sz w:val="22"/>
        </w:rPr>
      </w:pPr>
      <w:r w:rsidRPr="009F118E">
        <w:rPr>
          <w:rFonts w:asciiTheme="minorHAnsi" w:hAnsiTheme="minorHAnsi" w:cs="Times New Roman"/>
          <w:b/>
          <w:sz w:val="22"/>
        </w:rPr>
        <w:t>Summary</w:t>
      </w: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t>SSDs were fit to LD50 test re</w:t>
      </w:r>
      <w:bookmarkStart w:id="1" w:name="_GoBack"/>
      <w:bookmarkEnd w:id="1"/>
      <w:r w:rsidRPr="009F118E">
        <w:rPr>
          <w:rFonts w:asciiTheme="minorHAnsi" w:hAnsiTheme="minorHAnsi" w:cs="Times New Roman"/>
          <w:sz w:val="22"/>
        </w:rPr>
        <w:t xml:space="preserve">sults for birds exposed to TGAI diazinon.  Five distributions were tested, including: gumbel, normal, logistic, triangular, and burr.  For this dataset, the gumbel distribution provided the best fit, and is the recommended distribution for inference of the hazard concentrations and quantiles. </w:t>
      </w:r>
      <w:r w:rsidRPr="008C3C20">
        <w:rPr>
          <w:rFonts w:asciiTheme="minorHAnsi" w:hAnsiTheme="minorHAnsi" w:cs="Times New Roman"/>
          <w:b/>
          <w:sz w:val="22"/>
        </w:rPr>
        <w:t xml:space="preserve">Table </w:t>
      </w:r>
      <w:r w:rsidR="009F118E" w:rsidRPr="008C3C20">
        <w:rPr>
          <w:rFonts w:asciiTheme="minorHAnsi" w:hAnsiTheme="minorHAnsi" w:cs="Times New Roman"/>
          <w:b/>
          <w:sz w:val="22"/>
        </w:rPr>
        <w:t>B 2-9.1</w:t>
      </w:r>
      <w:r w:rsidRPr="009F118E">
        <w:rPr>
          <w:rFonts w:asciiTheme="minorHAnsi" w:hAnsiTheme="minorHAnsi" w:cs="Times New Roman"/>
          <w:sz w:val="22"/>
        </w:rPr>
        <w:t xml:space="preserve"> includes the summary statistics for this SSD and the resulting thresholds for direct and indirect effects.</w:t>
      </w: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b/>
          <w:sz w:val="22"/>
        </w:rPr>
      </w:pPr>
      <w:r w:rsidRPr="009F118E">
        <w:rPr>
          <w:rFonts w:asciiTheme="minorHAnsi" w:hAnsiTheme="minorHAnsi" w:cs="Times New Roman"/>
          <w:b/>
          <w:sz w:val="22"/>
        </w:rPr>
        <w:t xml:space="preserve">Table </w:t>
      </w:r>
      <w:r w:rsidR="009F118E" w:rsidRPr="009F118E">
        <w:rPr>
          <w:rFonts w:asciiTheme="minorHAnsi" w:hAnsiTheme="minorHAnsi" w:cs="Times New Roman"/>
          <w:b/>
          <w:sz w:val="22"/>
        </w:rPr>
        <w:t>B 2-9.1</w:t>
      </w:r>
      <w:r w:rsidRPr="009F118E">
        <w:rPr>
          <w:rFonts w:asciiTheme="minorHAnsi" w:hAnsiTheme="minorHAnsi" w:cs="Times New Roman"/>
          <w:b/>
          <w:sz w:val="22"/>
        </w:rPr>
        <w:t xml:space="preserve">. Summary statistics for SSDs fit to </w:t>
      </w:r>
      <w:r w:rsidR="00B26732">
        <w:rPr>
          <w:rFonts w:asciiTheme="minorHAnsi" w:hAnsiTheme="minorHAnsi" w:cs="Times New Roman"/>
          <w:b/>
          <w:sz w:val="22"/>
        </w:rPr>
        <w:t>d</w:t>
      </w:r>
      <w:r w:rsidRPr="009F118E">
        <w:rPr>
          <w:rFonts w:asciiTheme="minorHAnsi" w:hAnsiTheme="minorHAnsi" w:cs="Times New Roman"/>
          <w:b/>
          <w:sz w:val="22"/>
        </w:rPr>
        <w:t>iazinon test results for birds</w:t>
      </w:r>
    </w:p>
    <w:tbl>
      <w:tblPr>
        <w:tblW w:w="0" w:type="auto"/>
        <w:tblLayout w:type="fixed"/>
        <w:tblLook w:val="04A0" w:firstRow="1" w:lastRow="0" w:firstColumn="1" w:lastColumn="0" w:noHBand="0" w:noVBand="1"/>
      </w:tblPr>
      <w:tblGrid>
        <w:gridCol w:w="4338"/>
        <w:gridCol w:w="1422"/>
      </w:tblGrid>
      <w:tr w:rsidR="00E63CA5" w:rsidRPr="009F118E" w:rsidTr="00F35B2A">
        <w:tc>
          <w:tcPr>
            <w:tcW w:w="4338" w:type="dxa"/>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Statistic</w:t>
            </w:r>
          </w:p>
        </w:tc>
        <w:tc>
          <w:tcPr>
            <w:tcW w:w="1422" w:type="dxa"/>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Value</w:t>
            </w:r>
          </w:p>
        </w:tc>
      </w:tr>
      <w:tr w:rsidR="00E63CA5" w:rsidRPr="009F118E" w:rsidTr="00F35B2A">
        <w:tc>
          <w:tcPr>
            <w:tcW w:w="4338" w:type="dxa"/>
            <w:tcBorders>
              <w:top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Best distribution (per AIC</w:t>
            </w:r>
            <w:r w:rsidRPr="009F118E">
              <w:rPr>
                <w:rFonts w:asciiTheme="minorHAnsi" w:hAnsiTheme="minorHAnsi" w:cs="Times New Roman"/>
                <w:sz w:val="22"/>
                <w:vertAlign w:val="subscript"/>
              </w:rPr>
              <w:t>c</w:t>
            </w:r>
            <w:r w:rsidRPr="009F118E">
              <w:rPr>
                <w:rFonts w:asciiTheme="minorHAnsi" w:hAnsiTheme="minorHAnsi" w:cs="Times New Roman"/>
                <w:sz w:val="22"/>
              </w:rPr>
              <w:t>)</w:t>
            </w:r>
          </w:p>
        </w:tc>
        <w:tc>
          <w:tcPr>
            <w:tcW w:w="1422" w:type="dxa"/>
            <w:tcBorders>
              <w:top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Log-gumbel</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Goodness of fit P-value</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sz w:val="22"/>
              </w:rPr>
              <w:t>0.70</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CV of the HC</w:t>
            </w:r>
            <w:r w:rsidRPr="009F118E">
              <w:rPr>
                <w:rFonts w:asciiTheme="minorHAnsi" w:hAnsiTheme="minorHAnsi" w:cs="Times New Roman"/>
                <w:sz w:val="22"/>
                <w:vertAlign w:val="subscript"/>
              </w:rPr>
              <w:t>05</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0.39</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w:t>
            </w:r>
            <w:r w:rsidRPr="009F118E">
              <w:rPr>
                <w:rFonts w:asciiTheme="minorHAnsi" w:hAnsiTheme="minorHAnsi" w:cs="Times New Roman"/>
                <w:sz w:val="22"/>
                <w:vertAlign w:val="subscript"/>
              </w:rPr>
              <w:t>05</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0.43</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w:t>
            </w:r>
            <w:r w:rsidRPr="009F118E">
              <w:rPr>
                <w:rFonts w:asciiTheme="minorHAnsi" w:hAnsiTheme="minorHAnsi" w:cs="Times New Roman"/>
                <w:sz w:val="22"/>
                <w:vertAlign w:val="subscript"/>
              </w:rPr>
              <w:t>10</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0.54</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w:t>
            </w:r>
            <w:r w:rsidRPr="009F118E">
              <w:rPr>
                <w:rFonts w:asciiTheme="minorHAnsi" w:hAnsiTheme="minorHAnsi" w:cs="Times New Roman"/>
                <w:sz w:val="22"/>
                <w:vertAlign w:val="subscript"/>
              </w:rPr>
              <w:t>50</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1.51</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w:t>
            </w:r>
            <w:r w:rsidRPr="009F118E">
              <w:rPr>
                <w:rFonts w:asciiTheme="minorHAnsi" w:hAnsiTheme="minorHAnsi" w:cs="Times New Roman"/>
                <w:sz w:val="22"/>
                <w:vertAlign w:val="subscript"/>
              </w:rPr>
              <w:t>90</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7.63</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w:t>
            </w:r>
            <w:r w:rsidRPr="009F118E">
              <w:rPr>
                <w:rFonts w:asciiTheme="minorHAnsi" w:hAnsiTheme="minorHAnsi" w:cs="Times New Roman"/>
                <w:sz w:val="22"/>
                <w:vertAlign w:val="subscript"/>
              </w:rPr>
              <w:t>95</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14.15</w:t>
            </w:r>
          </w:p>
        </w:tc>
      </w:tr>
      <w:tr w:rsidR="00E63CA5" w:rsidRPr="009F118E" w:rsidTr="00F35B2A">
        <w:tc>
          <w:tcPr>
            <w:tcW w:w="4338" w:type="dxa"/>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vertAlign w:val="superscript"/>
              </w:rPr>
              <w:t>1</w:t>
            </w:r>
            <w:r w:rsidRPr="009F118E">
              <w:rPr>
                <w:rFonts w:asciiTheme="minorHAnsi" w:hAnsiTheme="minorHAnsi" w:cs="Times New Roman"/>
                <w:sz w:val="22"/>
              </w:rPr>
              <w:t xml:space="preserve"> Mortality Threshold</w:t>
            </w:r>
          </w:p>
        </w:tc>
        <w:tc>
          <w:tcPr>
            <w:tcW w:w="1422" w:type="dxa"/>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0.019</w:t>
            </w:r>
          </w:p>
        </w:tc>
      </w:tr>
      <w:tr w:rsidR="00E63CA5" w:rsidRPr="009F118E" w:rsidTr="00F35B2A">
        <w:tc>
          <w:tcPr>
            <w:tcW w:w="4338" w:type="dxa"/>
            <w:tcBorders>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vertAlign w:val="superscript"/>
              </w:rPr>
              <w:t>1</w:t>
            </w:r>
            <w:r w:rsidRPr="009F118E">
              <w:rPr>
                <w:rFonts w:asciiTheme="minorHAnsi" w:hAnsiTheme="minorHAnsi" w:cs="Times New Roman"/>
                <w:sz w:val="22"/>
              </w:rPr>
              <w:t>Indirect Effects Threshold</w:t>
            </w:r>
          </w:p>
        </w:tc>
        <w:tc>
          <w:tcPr>
            <w:tcW w:w="1422" w:type="dxa"/>
            <w:tcBorders>
              <w:bottom w:val="single" w:sz="12" w:space="0" w:color="auto"/>
            </w:tcBorders>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color w:val="000000"/>
                <w:sz w:val="22"/>
              </w:rPr>
              <w:t>0.187</w:t>
            </w:r>
          </w:p>
        </w:tc>
      </w:tr>
    </w:tbl>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vertAlign w:val="superscript"/>
        </w:rPr>
        <w:t>1</w:t>
      </w:r>
      <w:r w:rsidRPr="009F118E">
        <w:rPr>
          <w:rFonts w:asciiTheme="minorHAnsi" w:hAnsiTheme="minorHAnsi" w:cs="Times New Roman"/>
          <w:sz w:val="22"/>
        </w:rPr>
        <w:t>Slope of dose-response curve = 3.53</w:t>
      </w: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b/>
          <w:sz w:val="22"/>
        </w:rPr>
      </w:pPr>
      <w:r w:rsidRPr="009F118E">
        <w:rPr>
          <w:rFonts w:asciiTheme="minorHAnsi" w:hAnsiTheme="minorHAnsi" w:cs="Times New Roman"/>
          <w:b/>
          <w:sz w:val="22"/>
        </w:rPr>
        <w:t>Data</w:t>
      </w: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t xml:space="preserve">The data included in </w:t>
      </w:r>
      <w:r w:rsidRPr="005770D9">
        <w:rPr>
          <w:rFonts w:asciiTheme="minorHAnsi" w:hAnsiTheme="minorHAnsi" w:cs="Times New Roman"/>
          <w:b/>
          <w:sz w:val="22"/>
        </w:rPr>
        <w:t xml:space="preserve">Table </w:t>
      </w:r>
      <w:r w:rsidR="009F118E" w:rsidRPr="005770D9">
        <w:rPr>
          <w:rFonts w:asciiTheme="minorHAnsi" w:hAnsiTheme="minorHAnsi" w:cs="Times New Roman"/>
          <w:b/>
          <w:sz w:val="22"/>
        </w:rPr>
        <w:t>B 2-9.</w:t>
      </w:r>
      <w:r w:rsidRPr="005770D9">
        <w:rPr>
          <w:rFonts w:asciiTheme="minorHAnsi" w:hAnsiTheme="minorHAnsi" w:cs="Times New Roman"/>
          <w:b/>
          <w:sz w:val="22"/>
        </w:rPr>
        <w:t>2</w:t>
      </w:r>
      <w:r w:rsidRPr="009F118E">
        <w:rPr>
          <w:rFonts w:asciiTheme="minorHAnsi" w:hAnsiTheme="minorHAnsi" w:cs="Times New Roman"/>
          <w:sz w:val="22"/>
        </w:rPr>
        <w:t xml:space="preserve"> was used to develop SSDs for diazinon. These data comprised 19 LD</w:t>
      </w:r>
      <w:r w:rsidRPr="009F118E">
        <w:rPr>
          <w:rFonts w:asciiTheme="minorHAnsi" w:hAnsiTheme="minorHAnsi" w:cs="Times New Roman"/>
          <w:sz w:val="22"/>
          <w:vertAlign w:val="subscript"/>
        </w:rPr>
        <w:t>50</w:t>
      </w:r>
      <w:r w:rsidRPr="009F118E">
        <w:rPr>
          <w:rFonts w:asciiTheme="minorHAnsi" w:hAnsiTheme="minorHAnsi" w:cs="Times New Roman"/>
          <w:sz w:val="22"/>
        </w:rPr>
        <w:t xml:space="preserve"> estimates from 7 bird species.  Replicate estimates within species were first summarized into a geometric mean estimate for the species prior to analysis.</w:t>
      </w: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eastAsia="Times New Roman" w:hAnsiTheme="minorHAnsi" w:cs="Times New Roman"/>
          <w:b/>
          <w:bCs/>
          <w:sz w:val="22"/>
        </w:rPr>
        <w:sectPr w:rsidR="00E63CA5" w:rsidRPr="009F118E">
          <w:footerReference w:type="default" r:id="rId7"/>
          <w:pgSz w:w="12240" w:h="15840"/>
          <w:pgMar w:top="1440" w:right="1440" w:bottom="1440" w:left="1440" w:header="720" w:footer="720" w:gutter="0"/>
          <w:cols w:space="720"/>
          <w:docGrid w:linePitch="360"/>
        </w:sectPr>
      </w:pPr>
    </w:p>
    <w:p w:rsidR="00E63CA5" w:rsidRPr="00F35B2A" w:rsidRDefault="00E63CA5" w:rsidP="00E63CA5">
      <w:pPr>
        <w:rPr>
          <w:rFonts w:asciiTheme="minorHAnsi" w:hAnsiTheme="minorHAnsi" w:cs="Times New Roman"/>
          <w:b/>
          <w:sz w:val="22"/>
        </w:rPr>
      </w:pPr>
      <w:r w:rsidRPr="00F35B2A">
        <w:rPr>
          <w:rFonts w:asciiTheme="minorHAnsi" w:eastAsia="Times New Roman" w:hAnsiTheme="minorHAnsi" w:cs="Times New Roman"/>
          <w:b/>
          <w:bCs/>
          <w:sz w:val="22"/>
        </w:rPr>
        <w:lastRenderedPageBreak/>
        <w:t xml:space="preserve">Table </w:t>
      </w:r>
      <w:r w:rsidR="00F35B2A" w:rsidRPr="00F35B2A">
        <w:rPr>
          <w:rFonts w:asciiTheme="minorHAnsi" w:eastAsia="Times New Roman" w:hAnsiTheme="minorHAnsi" w:cs="Times New Roman"/>
          <w:b/>
          <w:bCs/>
          <w:sz w:val="22"/>
        </w:rPr>
        <w:t>B 2-9.</w:t>
      </w:r>
      <w:r w:rsidRPr="00F35B2A">
        <w:rPr>
          <w:rFonts w:asciiTheme="minorHAnsi" w:eastAsia="Times New Roman" w:hAnsiTheme="minorHAnsi" w:cs="Times New Roman"/>
          <w:b/>
          <w:bCs/>
          <w:sz w:val="22"/>
        </w:rPr>
        <w:t xml:space="preserve">2. LD50 values for birds exposed to technical grade diazinon. Data used to generate </w:t>
      </w:r>
      <w:r w:rsidR="00B26732">
        <w:rPr>
          <w:rFonts w:asciiTheme="minorHAnsi" w:eastAsia="Times New Roman" w:hAnsiTheme="minorHAnsi" w:cs="Times New Roman"/>
          <w:b/>
          <w:bCs/>
          <w:sz w:val="22"/>
        </w:rPr>
        <w:t>sp</w:t>
      </w:r>
      <w:r w:rsidRPr="00F35B2A">
        <w:rPr>
          <w:rFonts w:asciiTheme="minorHAnsi" w:eastAsia="Times New Roman" w:hAnsiTheme="minorHAnsi" w:cs="Times New Roman"/>
          <w:b/>
          <w:bCs/>
          <w:sz w:val="22"/>
        </w:rPr>
        <w:t xml:space="preserve">ecies </w:t>
      </w:r>
      <w:r w:rsidR="00B26732">
        <w:rPr>
          <w:rFonts w:asciiTheme="minorHAnsi" w:eastAsia="Times New Roman" w:hAnsiTheme="minorHAnsi" w:cs="Times New Roman"/>
          <w:b/>
          <w:bCs/>
          <w:sz w:val="22"/>
        </w:rPr>
        <w:t>s</w:t>
      </w:r>
      <w:r w:rsidRPr="00F35B2A">
        <w:rPr>
          <w:rFonts w:asciiTheme="minorHAnsi" w:eastAsia="Times New Roman" w:hAnsiTheme="minorHAnsi" w:cs="Times New Roman"/>
          <w:b/>
          <w:bCs/>
          <w:sz w:val="22"/>
        </w:rPr>
        <w:t xml:space="preserve">ensitivity </w:t>
      </w:r>
      <w:r w:rsidR="00B26732">
        <w:rPr>
          <w:rFonts w:asciiTheme="minorHAnsi" w:eastAsia="Times New Roman" w:hAnsiTheme="minorHAnsi" w:cs="Times New Roman"/>
          <w:b/>
          <w:bCs/>
          <w:sz w:val="22"/>
        </w:rPr>
        <w:t>d</w:t>
      </w:r>
      <w:r w:rsidRPr="00F35B2A">
        <w:rPr>
          <w:rFonts w:asciiTheme="minorHAnsi" w:eastAsia="Times New Roman" w:hAnsiTheme="minorHAnsi" w:cs="Times New Roman"/>
          <w:b/>
          <w:bCs/>
          <w:sz w:val="22"/>
        </w:rPr>
        <w:t>istribution for birds.</w:t>
      </w:r>
    </w:p>
    <w:tbl>
      <w:tblPr>
        <w:tblW w:w="11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680"/>
        <w:gridCol w:w="1300"/>
        <w:gridCol w:w="960"/>
        <w:gridCol w:w="1185"/>
        <w:gridCol w:w="3060"/>
      </w:tblGrid>
      <w:tr w:rsidR="00E63CA5" w:rsidRPr="009F118E" w:rsidTr="00F35B2A">
        <w:trPr>
          <w:trHeight w:val="51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b/>
                <w:bCs/>
                <w:sz w:val="22"/>
              </w:rPr>
            </w:pPr>
            <w:r w:rsidRPr="009F118E">
              <w:rPr>
                <w:rFonts w:asciiTheme="minorHAnsi" w:eastAsia="Times New Roman" w:hAnsiTheme="minorHAnsi" w:cs="Times New Roman"/>
                <w:b/>
                <w:bCs/>
                <w:sz w:val="22"/>
              </w:rPr>
              <w:t>Common Name</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b/>
                <w:bCs/>
                <w:sz w:val="22"/>
              </w:rPr>
            </w:pPr>
            <w:r w:rsidRPr="009F118E">
              <w:rPr>
                <w:rFonts w:asciiTheme="minorHAnsi" w:eastAsia="Times New Roman" w:hAnsiTheme="minorHAnsi" w:cs="Times New Roman"/>
                <w:b/>
                <w:bCs/>
                <w:sz w:val="22"/>
              </w:rPr>
              <w:t>Species Name</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b/>
                <w:bCs/>
                <w:sz w:val="22"/>
              </w:rPr>
            </w:pPr>
            <w:r w:rsidRPr="009F118E">
              <w:rPr>
                <w:rFonts w:asciiTheme="minorHAnsi" w:eastAsia="Times New Roman" w:hAnsiTheme="minorHAnsi" w:cs="Times New Roman"/>
                <w:b/>
                <w:bCs/>
                <w:sz w:val="22"/>
              </w:rPr>
              <w:t>Mean LD50 (mg a.i./kg)</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b/>
                <w:bCs/>
                <w:sz w:val="22"/>
              </w:rPr>
            </w:pPr>
            <w:r w:rsidRPr="009F118E">
              <w:rPr>
                <w:rFonts w:asciiTheme="minorHAnsi" w:eastAsia="Times New Roman" w:hAnsiTheme="minorHAnsi" w:cs="Times New Roman"/>
                <w:b/>
                <w:bCs/>
                <w:sz w:val="22"/>
              </w:rPr>
              <w:t>Slope</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b/>
                <w:bCs/>
                <w:sz w:val="22"/>
              </w:rPr>
            </w:pPr>
            <w:r w:rsidRPr="009F118E">
              <w:rPr>
                <w:rFonts w:asciiTheme="minorHAnsi" w:eastAsia="Times New Roman" w:hAnsiTheme="minorHAnsi" w:cs="Times New Roman"/>
                <w:b/>
                <w:bCs/>
                <w:sz w:val="22"/>
              </w:rPr>
              <w:t>Test Substance (% a.i.)</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b/>
                <w:bCs/>
                <w:sz w:val="22"/>
              </w:rPr>
            </w:pPr>
            <w:r w:rsidRPr="009F118E">
              <w:rPr>
                <w:rFonts w:asciiTheme="minorHAnsi" w:eastAsia="Times New Roman" w:hAnsiTheme="minorHAnsi" w:cs="Times New Roman"/>
                <w:b/>
                <w:bCs/>
                <w:sz w:val="22"/>
              </w:rPr>
              <w:t>citation</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Mallard Duck</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Anas platyrhynchos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1.44</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2.9</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88.2</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MRID 40895301</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Mallard Duck</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Anas platyrhynchos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3.54</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none</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89.0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MRID 160000, ECOTOX 50386</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Ring-necked pheasant</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Phasianus colchicus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4.33</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none</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89.0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MRID 160000, ECOTOX 50386</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5.2</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none</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89.0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MRID 109015</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Canada goose</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Branta canadensis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6.16</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2.4</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86.6</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highlight w:val="yellow"/>
              </w:rPr>
            </w:pPr>
            <w:r w:rsidRPr="009F118E">
              <w:rPr>
                <w:rFonts w:asciiTheme="minorHAnsi" w:eastAsia="Times New Roman" w:hAnsiTheme="minorHAnsi" w:cs="Times New Roman"/>
                <w:sz w:val="22"/>
              </w:rPr>
              <w:t>MRID unknown (FEODIA08)</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Mallard Duck</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Anas platyrhynchos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6.38</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3.89</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97.0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highlight w:val="yellow"/>
              </w:rPr>
            </w:pPr>
            <w:r w:rsidRPr="009F118E">
              <w:rPr>
                <w:rFonts w:asciiTheme="minorHAnsi" w:eastAsia="Times New Roman" w:hAnsiTheme="minorHAnsi" w:cs="Times New Roman"/>
                <w:sz w:val="22"/>
              </w:rPr>
              <w:t>MRID 40922902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Mallard Duck</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Anas platyrhynchos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6.66</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3.9</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86.6</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MRID 40922901</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Red-winged blackbird</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Agelaius phoeniceus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9.1</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none</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TGAI</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55700</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10</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6.5</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37111</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13</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6.5</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13</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6.4</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14</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4</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15</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4</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15</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4.2</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16</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7.1</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16</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7</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Northern bobwhite quail</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Colinus virginianus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17</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99.0</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37112</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Brown headed cowbird</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Molothrus ater</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69</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none</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88.2</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MRID 40895303</w:t>
            </w:r>
          </w:p>
        </w:tc>
      </w:tr>
      <w:tr w:rsidR="00E63CA5" w:rsidRPr="009F118E" w:rsidTr="00F35B2A">
        <w:trPr>
          <w:trHeight w:val="300"/>
        </w:trPr>
        <w:tc>
          <w:tcPr>
            <w:tcW w:w="232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Starling</w:t>
            </w:r>
          </w:p>
        </w:tc>
        <w:tc>
          <w:tcPr>
            <w:tcW w:w="268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i/>
                <w:iCs/>
                <w:sz w:val="22"/>
              </w:rPr>
            </w:pPr>
            <w:r w:rsidRPr="009F118E">
              <w:rPr>
                <w:rFonts w:asciiTheme="minorHAnsi" w:eastAsia="Times New Roman" w:hAnsiTheme="minorHAnsi" w:cs="Times New Roman"/>
                <w:i/>
                <w:iCs/>
                <w:sz w:val="22"/>
              </w:rPr>
              <w:t>Sturnus vulgaris</w:t>
            </w:r>
          </w:p>
        </w:tc>
        <w:tc>
          <w:tcPr>
            <w:tcW w:w="130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602</w:t>
            </w:r>
          </w:p>
        </w:tc>
        <w:tc>
          <w:tcPr>
            <w:tcW w:w="960" w:type="dxa"/>
            <w:shd w:val="clear" w:color="auto" w:fill="auto"/>
            <w:vAlign w:val="bottom"/>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none</w:t>
            </w:r>
          </w:p>
        </w:tc>
        <w:tc>
          <w:tcPr>
            <w:tcW w:w="1185"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TGAI</w:t>
            </w:r>
          </w:p>
        </w:tc>
        <w:tc>
          <w:tcPr>
            <w:tcW w:w="3060" w:type="dxa"/>
            <w:shd w:val="clear" w:color="000000" w:fill="FFFFFF"/>
            <w:vAlign w:val="center"/>
            <w:hideMark/>
          </w:tcPr>
          <w:p w:rsidR="00E63CA5" w:rsidRPr="009F118E" w:rsidRDefault="00E63CA5" w:rsidP="00F35B2A">
            <w:pPr>
              <w:jc w:val="center"/>
              <w:rPr>
                <w:rFonts w:asciiTheme="minorHAnsi" w:eastAsia="Times New Roman" w:hAnsiTheme="minorHAnsi" w:cs="Times New Roman"/>
                <w:sz w:val="22"/>
              </w:rPr>
            </w:pPr>
            <w:r w:rsidRPr="009F118E">
              <w:rPr>
                <w:rFonts w:asciiTheme="minorHAnsi" w:eastAsia="Times New Roman" w:hAnsiTheme="minorHAnsi" w:cs="Times New Roman"/>
                <w:sz w:val="22"/>
              </w:rPr>
              <w:t>ECOTOX 55700</w:t>
            </w:r>
          </w:p>
        </w:tc>
      </w:tr>
    </w:tbl>
    <w:p w:rsidR="00E63CA5" w:rsidRPr="009F118E" w:rsidRDefault="00E63CA5" w:rsidP="00E63CA5">
      <w:pPr>
        <w:rPr>
          <w:rFonts w:asciiTheme="minorHAnsi" w:hAnsiTheme="minorHAnsi" w:cs="Times New Roman"/>
          <w:sz w:val="22"/>
        </w:rPr>
        <w:sectPr w:rsidR="00E63CA5" w:rsidRPr="009F118E" w:rsidSect="00F35B2A">
          <w:pgSz w:w="15840" w:h="12240" w:orient="landscape"/>
          <w:pgMar w:top="1440" w:right="1440" w:bottom="1440" w:left="1440" w:header="720" w:footer="720" w:gutter="0"/>
          <w:cols w:space="720"/>
          <w:docGrid w:linePitch="360"/>
        </w:sectPr>
      </w:pP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b/>
          <w:sz w:val="22"/>
        </w:rPr>
      </w:pPr>
      <w:r w:rsidRPr="009F118E">
        <w:rPr>
          <w:rFonts w:asciiTheme="minorHAnsi" w:hAnsiTheme="minorHAnsi" w:cs="Times New Roman"/>
          <w:b/>
          <w:sz w:val="22"/>
        </w:rPr>
        <w:t>Methods</w:t>
      </w: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t>SSDs were fit using five distributions (normal, logistic, triangular, gumbel, and burr) and three methods (maximum likelihood, graphical, and moment estimator).  Data were first standardized to 100g body weight using Eq (1):</w:t>
      </w:r>
    </w:p>
    <w:p w:rsidR="00E63CA5" w:rsidRPr="009F118E" w:rsidRDefault="00E63CA5" w:rsidP="00E63CA5">
      <w:pPr>
        <w:rPr>
          <w:rFonts w:asciiTheme="minorHAnsi" w:hAnsiTheme="minorHAnsi" w:cs="Times New Roman"/>
          <w:sz w:val="22"/>
        </w:rPr>
      </w:pPr>
    </w:p>
    <w:p w:rsidR="00E63CA5" w:rsidRPr="009F118E" w:rsidRDefault="00E63CA5" w:rsidP="00E63CA5">
      <w:pPr>
        <w:pStyle w:val="ListParagraph"/>
        <w:numPr>
          <w:ilvl w:val="0"/>
          <w:numId w:val="1"/>
        </w:numPr>
        <w:rPr>
          <w:rFonts w:asciiTheme="minorHAnsi" w:hAnsiTheme="minorHAnsi"/>
          <w:sz w:val="22"/>
          <w:szCs w:val="22"/>
        </w:rPr>
      </w:pPr>
      <w:r w:rsidRPr="009F118E">
        <w:rPr>
          <w:rFonts w:asciiTheme="minorHAnsi" w:hAnsiTheme="minorHAnsi"/>
          <w:position w:val="-28"/>
          <w:sz w:val="22"/>
          <w:szCs w:val="22"/>
        </w:rPr>
        <w:object w:dxaOrig="2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8" o:title=""/>
          </v:shape>
          <o:OLEObject Type="Embed" ProgID="Equation.3" ShapeID="_x0000_i1025" DrawAspect="Content" ObjectID="_1510574172" r:id="rId9"/>
        </w:object>
      </w:r>
    </w:p>
    <w:p w:rsidR="00F35B2A" w:rsidRDefault="00F35B2A"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t xml:space="preserve">In Eq. (1), </w:t>
      </w:r>
      <w:r w:rsidRPr="009F118E">
        <w:rPr>
          <w:rFonts w:asciiTheme="minorHAnsi" w:hAnsiTheme="minorHAnsi" w:cs="Times New Roman"/>
          <w:i/>
          <w:sz w:val="22"/>
        </w:rPr>
        <w:t>AT</w:t>
      </w:r>
      <w:r w:rsidRPr="009F118E">
        <w:rPr>
          <w:rFonts w:asciiTheme="minorHAnsi" w:hAnsiTheme="minorHAnsi" w:cs="Times New Roman"/>
          <w:sz w:val="22"/>
        </w:rPr>
        <w:t xml:space="preserve"> = adjusted toxicity value, </w:t>
      </w:r>
      <w:r w:rsidRPr="009F118E">
        <w:rPr>
          <w:rFonts w:asciiTheme="minorHAnsi" w:hAnsiTheme="minorHAnsi" w:cs="Times New Roman"/>
          <w:i/>
          <w:sz w:val="22"/>
        </w:rPr>
        <w:t>AW</w:t>
      </w:r>
      <w:r w:rsidRPr="009F118E">
        <w:rPr>
          <w:rFonts w:asciiTheme="minorHAnsi" w:hAnsiTheme="minorHAnsi" w:cs="Times New Roman"/>
          <w:sz w:val="22"/>
        </w:rPr>
        <w:t xml:space="preserve"> = mean weight of the assessed birds, </w:t>
      </w:r>
      <w:r w:rsidRPr="009F118E">
        <w:rPr>
          <w:rFonts w:asciiTheme="minorHAnsi" w:hAnsiTheme="minorHAnsi" w:cs="Times New Roman"/>
          <w:i/>
          <w:sz w:val="22"/>
        </w:rPr>
        <w:t>TW</w:t>
      </w:r>
      <w:r w:rsidRPr="009F118E">
        <w:rPr>
          <w:rFonts w:asciiTheme="minorHAnsi" w:hAnsiTheme="minorHAnsi" w:cs="Times New Roman"/>
          <w:sz w:val="22"/>
        </w:rPr>
        <w:t xml:space="preserve"> = the mean weight of the tested birds (i.e., from which the LD</w:t>
      </w:r>
      <w:r w:rsidRPr="009F118E">
        <w:rPr>
          <w:rFonts w:asciiTheme="minorHAnsi" w:hAnsiTheme="minorHAnsi" w:cs="Times New Roman"/>
          <w:sz w:val="22"/>
          <w:vertAlign w:val="subscript"/>
        </w:rPr>
        <w:t>50</w:t>
      </w:r>
      <w:r w:rsidRPr="009F118E">
        <w:rPr>
          <w:rFonts w:asciiTheme="minorHAnsi" w:hAnsiTheme="minorHAnsi" w:cs="Times New Roman"/>
          <w:sz w:val="22"/>
        </w:rPr>
        <w:t xml:space="preserve"> estimate was derived), and x = 0.63 = Mineau scaling factor (Mineau et al. 1996</w:t>
      </w:r>
      <w:r w:rsidRPr="009F118E">
        <w:rPr>
          <w:rStyle w:val="FootnoteReference"/>
          <w:rFonts w:asciiTheme="minorHAnsi" w:hAnsiTheme="minorHAnsi" w:cs="Times New Roman"/>
          <w:sz w:val="22"/>
        </w:rPr>
        <w:footnoteReference w:id="1"/>
      </w:r>
      <w:r w:rsidRPr="009F118E">
        <w:rPr>
          <w:rFonts w:asciiTheme="minorHAnsi" w:hAnsiTheme="minorHAnsi" w:cs="Times New Roman"/>
          <w:sz w:val="22"/>
        </w:rPr>
        <w:t>) for diazinon.</w:t>
      </w:r>
    </w:p>
    <w:p w:rsidR="00E63CA5" w:rsidRPr="009F118E" w:rsidRDefault="00E63CA5" w:rsidP="00E63CA5">
      <w:pPr>
        <w:rPr>
          <w:rFonts w:asciiTheme="minorHAnsi" w:hAnsiTheme="minorHAnsi" w:cs="Times New Roman"/>
          <w:b/>
          <w:sz w:val="22"/>
        </w:rPr>
      </w:pPr>
    </w:p>
    <w:p w:rsidR="00E63CA5" w:rsidRPr="009F118E" w:rsidRDefault="00E63CA5" w:rsidP="00E63CA5">
      <w:pPr>
        <w:rPr>
          <w:rFonts w:asciiTheme="minorHAnsi" w:hAnsiTheme="minorHAnsi" w:cs="Times New Roman"/>
          <w:b/>
          <w:sz w:val="22"/>
        </w:rPr>
      </w:pPr>
      <w:r w:rsidRPr="009F118E">
        <w:rPr>
          <w:rFonts w:asciiTheme="minorHAnsi" w:hAnsiTheme="minorHAnsi" w:cs="Times New Roman"/>
          <w:b/>
          <w:sz w:val="22"/>
        </w:rPr>
        <w:t>Results</w:t>
      </w:r>
    </w:p>
    <w:p w:rsidR="00E63CA5" w:rsidRPr="009F118E" w:rsidRDefault="00E63CA5" w:rsidP="00E63CA5">
      <w:pPr>
        <w:rPr>
          <w:rFonts w:asciiTheme="minorHAnsi" w:hAnsiTheme="minorHAnsi" w:cs="Times New Roman"/>
          <w:b/>
          <w:sz w:val="22"/>
        </w:rPr>
      </w:pP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t>AIC</w:t>
      </w:r>
      <w:r w:rsidRPr="009F118E">
        <w:rPr>
          <w:rFonts w:asciiTheme="minorHAnsi" w:hAnsiTheme="minorHAnsi" w:cs="Times New Roman"/>
          <w:sz w:val="22"/>
          <w:vertAlign w:val="subscript"/>
        </w:rPr>
        <w:t>c</w:t>
      </w:r>
      <w:r w:rsidRPr="009F118E">
        <w:rPr>
          <w:rFonts w:asciiTheme="minorHAnsi" w:hAnsiTheme="minorHAnsi" w:cs="Times New Roman"/>
          <w:sz w:val="22"/>
        </w:rPr>
        <w:t xml:space="preserve"> suggested that the gumbel distribution provided the best fit to the diazinon bird data, followed by the logistic, normal and triangular distributions (Table </w:t>
      </w:r>
      <w:r w:rsidR="00F35B2A">
        <w:rPr>
          <w:rFonts w:asciiTheme="minorHAnsi" w:hAnsiTheme="minorHAnsi" w:cs="Times New Roman"/>
          <w:sz w:val="22"/>
        </w:rPr>
        <w:t>B 2-9.</w:t>
      </w:r>
      <w:r w:rsidRPr="009F118E">
        <w:rPr>
          <w:rFonts w:asciiTheme="minorHAnsi" w:hAnsiTheme="minorHAnsi" w:cs="Times New Roman"/>
          <w:sz w:val="22"/>
        </w:rPr>
        <w:t>3).  The Burr distribution was not competitive relative to the other four distributions.</w:t>
      </w:r>
    </w:p>
    <w:p w:rsidR="00E63CA5" w:rsidRPr="009F118E" w:rsidRDefault="00E63CA5" w:rsidP="00E63CA5">
      <w:pPr>
        <w:rPr>
          <w:rFonts w:asciiTheme="minorHAnsi" w:hAnsiTheme="minorHAnsi" w:cs="Times New Roman"/>
          <w:sz w:val="22"/>
        </w:rPr>
      </w:pPr>
    </w:p>
    <w:p w:rsidR="00E63CA5" w:rsidRPr="00F35B2A" w:rsidRDefault="00E63CA5" w:rsidP="00E63CA5">
      <w:pPr>
        <w:rPr>
          <w:rFonts w:asciiTheme="minorHAnsi" w:hAnsiTheme="minorHAnsi" w:cs="Times New Roman"/>
          <w:b/>
          <w:sz w:val="22"/>
        </w:rPr>
      </w:pPr>
      <w:r w:rsidRPr="00F35B2A">
        <w:rPr>
          <w:rFonts w:asciiTheme="minorHAnsi" w:hAnsiTheme="minorHAnsi" w:cs="Times New Roman"/>
          <w:b/>
          <w:sz w:val="22"/>
        </w:rPr>
        <w:t xml:space="preserve">Table </w:t>
      </w:r>
      <w:r w:rsidR="00F35B2A" w:rsidRPr="00F35B2A">
        <w:rPr>
          <w:rFonts w:asciiTheme="minorHAnsi" w:hAnsiTheme="minorHAnsi" w:cs="Times New Roman"/>
          <w:b/>
          <w:sz w:val="22"/>
        </w:rPr>
        <w:t>B 2-9.</w:t>
      </w:r>
      <w:r w:rsidRPr="00F35B2A">
        <w:rPr>
          <w:rFonts w:asciiTheme="minorHAnsi" w:hAnsiTheme="minorHAnsi" w:cs="Times New Roman"/>
          <w:b/>
          <w:sz w:val="22"/>
        </w:rPr>
        <w:t>3. AICc model selection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13"/>
        <w:gridCol w:w="756"/>
        <w:gridCol w:w="700"/>
        <w:gridCol w:w="607"/>
      </w:tblGrid>
      <w:tr w:rsidR="00E63CA5" w:rsidRPr="009F118E" w:rsidTr="00F35B2A">
        <w:tc>
          <w:tcPr>
            <w:tcW w:w="0" w:type="auto"/>
            <w:tcBorders>
              <w:top w:val="single" w:sz="12" w:space="0" w:color="auto"/>
              <w:bottom w:val="single" w:sz="12" w:space="0" w:color="auto"/>
            </w:tcBorders>
          </w:tcPr>
          <w:p w:rsidR="00E63CA5" w:rsidRPr="009F118E" w:rsidRDefault="00E63CA5" w:rsidP="00F35B2A">
            <w:pPr>
              <w:rPr>
                <w:rFonts w:asciiTheme="minorHAnsi" w:hAnsiTheme="minorHAnsi"/>
                <w:sz w:val="22"/>
                <w:szCs w:val="22"/>
              </w:rPr>
            </w:pPr>
            <w:r w:rsidRPr="009F118E">
              <w:rPr>
                <w:rFonts w:asciiTheme="minorHAnsi" w:hAnsiTheme="minorHAnsi"/>
                <w:sz w:val="22"/>
                <w:szCs w:val="22"/>
              </w:rPr>
              <w:t>Distribution</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sz w:val="22"/>
                <w:szCs w:val="22"/>
              </w:rPr>
            </w:pPr>
            <w:r w:rsidRPr="009F118E">
              <w:rPr>
                <w:rFonts w:asciiTheme="minorHAnsi" w:hAnsiTheme="minorHAnsi"/>
                <w:sz w:val="22"/>
                <w:szCs w:val="22"/>
              </w:rPr>
              <w:t>HC</w:t>
            </w:r>
            <w:r w:rsidRPr="009F118E">
              <w:rPr>
                <w:rFonts w:asciiTheme="minorHAnsi" w:hAnsiTheme="minorHAnsi"/>
                <w:sz w:val="22"/>
                <w:szCs w:val="22"/>
                <w:vertAlign w:val="subscript"/>
              </w:rPr>
              <w:t>05</w:t>
            </w:r>
          </w:p>
        </w:tc>
        <w:tc>
          <w:tcPr>
            <w:tcW w:w="756" w:type="dxa"/>
            <w:tcBorders>
              <w:top w:val="single" w:sz="12" w:space="0" w:color="auto"/>
              <w:bottom w:val="single" w:sz="12" w:space="0" w:color="auto"/>
            </w:tcBorders>
          </w:tcPr>
          <w:p w:rsidR="00E63CA5" w:rsidRPr="009F118E" w:rsidRDefault="00E63CA5" w:rsidP="00F35B2A">
            <w:pPr>
              <w:rPr>
                <w:rFonts w:asciiTheme="minorHAnsi" w:hAnsiTheme="minorHAnsi"/>
                <w:sz w:val="22"/>
                <w:szCs w:val="22"/>
              </w:rPr>
            </w:pPr>
            <w:r w:rsidRPr="009F118E">
              <w:rPr>
                <w:rFonts w:asciiTheme="minorHAnsi" w:hAnsiTheme="minorHAnsi"/>
                <w:sz w:val="22"/>
                <w:szCs w:val="22"/>
              </w:rPr>
              <w:t>AIC</w:t>
            </w:r>
            <w:r w:rsidRPr="009F118E">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sz w:val="22"/>
                <w:szCs w:val="22"/>
              </w:rPr>
            </w:pPr>
            <w:r w:rsidRPr="009F118E">
              <w:rPr>
                <w:rFonts w:asciiTheme="minorHAnsi" w:hAnsiTheme="minorHAnsi"/>
                <w:sz w:val="22"/>
                <w:szCs w:val="22"/>
              </w:rPr>
              <w:t>ΔAIC</w:t>
            </w:r>
            <w:r w:rsidRPr="009F118E">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sz w:val="22"/>
                <w:szCs w:val="22"/>
              </w:rPr>
            </w:pPr>
            <w:r w:rsidRPr="009F118E">
              <w:rPr>
                <w:rFonts w:asciiTheme="minorHAnsi" w:hAnsiTheme="minorHAnsi"/>
                <w:sz w:val="22"/>
                <w:szCs w:val="22"/>
              </w:rPr>
              <w:t>Wt</w:t>
            </w:r>
          </w:p>
        </w:tc>
      </w:tr>
      <w:tr w:rsidR="00E63CA5" w:rsidRPr="009F118E" w:rsidTr="00F35B2A">
        <w:tc>
          <w:tcPr>
            <w:tcW w:w="0" w:type="auto"/>
            <w:tcBorders>
              <w:top w:val="single" w:sz="12" w:space="0" w:color="auto"/>
            </w:tcBorders>
            <w:vAlign w:val="center"/>
          </w:tcPr>
          <w:p w:rsidR="00E63CA5" w:rsidRPr="009F118E" w:rsidRDefault="00E63CA5" w:rsidP="00F35B2A">
            <w:pPr>
              <w:rPr>
                <w:rFonts w:asciiTheme="minorHAnsi" w:hAnsiTheme="minorHAnsi"/>
                <w:color w:val="000000"/>
                <w:sz w:val="22"/>
                <w:szCs w:val="22"/>
              </w:rPr>
            </w:pPr>
            <w:r w:rsidRPr="009F118E">
              <w:rPr>
                <w:rFonts w:asciiTheme="minorHAnsi" w:hAnsiTheme="minorHAnsi"/>
                <w:color w:val="000000"/>
                <w:sz w:val="22"/>
                <w:szCs w:val="22"/>
              </w:rPr>
              <w:t>gumbel</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0.43</w:t>
            </w:r>
          </w:p>
        </w:tc>
        <w:tc>
          <w:tcPr>
            <w:tcW w:w="756" w:type="dxa"/>
            <w:tcBorders>
              <w:top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37.9</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0.59</w:t>
            </w:r>
          </w:p>
        </w:tc>
      </w:tr>
      <w:tr w:rsidR="00E63CA5" w:rsidRPr="009F118E" w:rsidTr="00F35B2A">
        <w:tc>
          <w:tcPr>
            <w:tcW w:w="0" w:type="auto"/>
            <w:vAlign w:val="center"/>
          </w:tcPr>
          <w:p w:rsidR="00E63CA5" w:rsidRPr="009F118E" w:rsidRDefault="00E63CA5" w:rsidP="00F35B2A">
            <w:pPr>
              <w:rPr>
                <w:rFonts w:asciiTheme="minorHAnsi" w:hAnsiTheme="minorHAnsi"/>
                <w:color w:val="000000"/>
                <w:sz w:val="22"/>
                <w:szCs w:val="22"/>
              </w:rPr>
            </w:pPr>
            <w:r w:rsidRPr="009F118E">
              <w:rPr>
                <w:rFonts w:asciiTheme="minorHAnsi" w:hAnsiTheme="minorHAnsi"/>
                <w:color w:val="000000"/>
                <w:sz w:val="22"/>
                <w:szCs w:val="22"/>
              </w:rPr>
              <w:t>logistic</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0.18</w:t>
            </w:r>
          </w:p>
        </w:tc>
        <w:tc>
          <w:tcPr>
            <w:tcW w:w="756" w:type="dxa"/>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40.6</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2.67</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0.16</w:t>
            </w:r>
          </w:p>
        </w:tc>
      </w:tr>
      <w:tr w:rsidR="00E63CA5" w:rsidRPr="009F118E" w:rsidTr="00F35B2A">
        <w:tc>
          <w:tcPr>
            <w:tcW w:w="0" w:type="auto"/>
            <w:vAlign w:val="center"/>
          </w:tcPr>
          <w:p w:rsidR="00E63CA5" w:rsidRPr="009F118E" w:rsidRDefault="00E63CA5" w:rsidP="00F35B2A">
            <w:pPr>
              <w:rPr>
                <w:rFonts w:asciiTheme="minorHAnsi" w:hAnsiTheme="minorHAnsi"/>
                <w:color w:val="000000"/>
                <w:sz w:val="22"/>
                <w:szCs w:val="22"/>
              </w:rPr>
            </w:pPr>
            <w:r w:rsidRPr="009F118E">
              <w:rPr>
                <w:rFonts w:asciiTheme="minorHAnsi" w:hAnsiTheme="minorHAnsi"/>
                <w:color w:val="000000"/>
                <w:sz w:val="22"/>
                <w:szCs w:val="22"/>
              </w:rPr>
              <w:t>normal</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0.20</w:t>
            </w:r>
          </w:p>
        </w:tc>
        <w:tc>
          <w:tcPr>
            <w:tcW w:w="756" w:type="dxa"/>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41.1</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3.19</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0.12</w:t>
            </w:r>
          </w:p>
        </w:tc>
      </w:tr>
      <w:tr w:rsidR="00E63CA5" w:rsidRPr="009F118E" w:rsidTr="00F35B2A">
        <w:tc>
          <w:tcPr>
            <w:tcW w:w="0" w:type="auto"/>
            <w:vAlign w:val="center"/>
          </w:tcPr>
          <w:p w:rsidR="00E63CA5" w:rsidRPr="009F118E" w:rsidRDefault="00E63CA5" w:rsidP="00F35B2A">
            <w:pPr>
              <w:rPr>
                <w:rFonts w:asciiTheme="minorHAnsi" w:hAnsiTheme="minorHAnsi"/>
                <w:color w:val="000000"/>
                <w:sz w:val="22"/>
                <w:szCs w:val="22"/>
              </w:rPr>
            </w:pPr>
            <w:r w:rsidRPr="009F118E">
              <w:rPr>
                <w:rFonts w:asciiTheme="minorHAnsi" w:hAnsiTheme="minorHAnsi"/>
                <w:color w:val="000000"/>
                <w:sz w:val="22"/>
                <w:szCs w:val="22"/>
              </w:rPr>
              <w:t>triangular</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0.22</w:t>
            </w:r>
          </w:p>
        </w:tc>
        <w:tc>
          <w:tcPr>
            <w:tcW w:w="756" w:type="dxa"/>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41.2</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3.29</w:t>
            </w:r>
          </w:p>
        </w:tc>
        <w:tc>
          <w:tcPr>
            <w:tcW w:w="0" w:type="auto"/>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0.11</w:t>
            </w:r>
          </w:p>
        </w:tc>
      </w:tr>
      <w:tr w:rsidR="00E63CA5" w:rsidRPr="009F118E" w:rsidTr="00F35B2A">
        <w:tc>
          <w:tcPr>
            <w:tcW w:w="0" w:type="auto"/>
            <w:tcBorders>
              <w:bottom w:val="single" w:sz="12" w:space="0" w:color="auto"/>
            </w:tcBorders>
            <w:vAlign w:val="center"/>
          </w:tcPr>
          <w:p w:rsidR="00E63CA5" w:rsidRPr="009F118E" w:rsidRDefault="00E63CA5" w:rsidP="00F35B2A">
            <w:pPr>
              <w:rPr>
                <w:rFonts w:asciiTheme="minorHAnsi" w:hAnsiTheme="minorHAnsi"/>
                <w:color w:val="000000"/>
                <w:sz w:val="22"/>
                <w:szCs w:val="22"/>
              </w:rPr>
            </w:pPr>
            <w:r w:rsidRPr="009F118E">
              <w:rPr>
                <w:rFonts w:asciiTheme="minorHAnsi" w:hAnsiTheme="minorHAnsi"/>
                <w:color w:val="000000"/>
                <w:sz w:val="22"/>
                <w:szCs w:val="22"/>
              </w:rPr>
              <w:t>burr</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0.43</w:t>
            </w:r>
          </w:p>
        </w:tc>
        <w:tc>
          <w:tcPr>
            <w:tcW w:w="756" w:type="dxa"/>
            <w:tcBorders>
              <w:bottom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44.9</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7.00</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olor w:val="000000"/>
                <w:sz w:val="22"/>
                <w:szCs w:val="22"/>
              </w:rPr>
            </w:pPr>
            <w:r w:rsidRPr="009F118E">
              <w:rPr>
                <w:rFonts w:asciiTheme="minorHAnsi" w:hAnsiTheme="minorHAnsi"/>
                <w:color w:val="000000"/>
                <w:sz w:val="22"/>
                <w:szCs w:val="22"/>
              </w:rPr>
              <w:t>0.02</w:t>
            </w:r>
          </w:p>
        </w:tc>
      </w:tr>
    </w:tbl>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t>HC</w:t>
      </w:r>
      <w:r w:rsidRPr="009F118E">
        <w:rPr>
          <w:rFonts w:asciiTheme="minorHAnsi" w:hAnsiTheme="minorHAnsi" w:cs="Times New Roman"/>
          <w:sz w:val="22"/>
          <w:vertAlign w:val="subscript"/>
        </w:rPr>
        <w:t>05</w:t>
      </w:r>
      <w:r w:rsidRPr="009F118E">
        <w:rPr>
          <w:rFonts w:asciiTheme="minorHAnsi" w:hAnsiTheme="minorHAnsi" w:cs="Times New Roman"/>
          <w:sz w:val="22"/>
        </w:rPr>
        <w:t xml:space="preserve"> estimates ranged from 0.07 ug/L to 0.43 ug/L (Table </w:t>
      </w:r>
      <w:r w:rsidR="00F35B2A">
        <w:rPr>
          <w:rFonts w:asciiTheme="minorHAnsi" w:hAnsiTheme="minorHAnsi" w:cs="Times New Roman"/>
          <w:sz w:val="22"/>
        </w:rPr>
        <w:t>B 2-9.</w:t>
      </w:r>
      <w:r w:rsidRPr="009F118E">
        <w:rPr>
          <w:rFonts w:asciiTheme="minorHAnsi" w:hAnsiTheme="minorHAnsi" w:cs="Times New Roman"/>
          <w:sz w:val="22"/>
        </w:rPr>
        <w:t>4), with relatively large uncertainty.  In many cases the upper confidence limit on the HC</w:t>
      </w:r>
      <w:r w:rsidRPr="009F118E">
        <w:rPr>
          <w:rFonts w:asciiTheme="minorHAnsi" w:hAnsiTheme="minorHAnsi" w:cs="Times New Roman"/>
          <w:sz w:val="22"/>
          <w:vertAlign w:val="subscript"/>
        </w:rPr>
        <w:t>05</w:t>
      </w:r>
      <w:r w:rsidRPr="009F118E">
        <w:rPr>
          <w:rFonts w:asciiTheme="minorHAnsi" w:hAnsiTheme="minorHAnsi" w:cs="Times New Roman"/>
          <w:sz w:val="22"/>
        </w:rPr>
        <w:t xml:space="preserve"> was higher than the 30</w:t>
      </w:r>
      <w:r w:rsidRPr="009F118E">
        <w:rPr>
          <w:rFonts w:asciiTheme="minorHAnsi" w:hAnsiTheme="minorHAnsi" w:cs="Times New Roman"/>
          <w:sz w:val="22"/>
          <w:vertAlign w:val="superscript"/>
        </w:rPr>
        <w:t>th</w:t>
      </w:r>
      <w:r w:rsidRPr="009F118E">
        <w:rPr>
          <w:rFonts w:asciiTheme="minorHAnsi" w:hAnsiTheme="minorHAnsi" w:cs="Times New Roman"/>
          <w:sz w:val="22"/>
        </w:rPr>
        <w:t xml:space="preserve"> percentile of the fitted distribution. No distribution showed significant lack of fit under 5,000 replicates of paramet</w:t>
      </w:r>
      <w:r w:rsidR="00187A30" w:rsidRPr="009F118E">
        <w:rPr>
          <w:rFonts w:asciiTheme="minorHAnsi" w:hAnsiTheme="minorHAnsi" w:cs="Times New Roman"/>
          <w:sz w:val="22"/>
        </w:rPr>
        <w:t xml:space="preserve">ric bootstrap sampling. </w:t>
      </w:r>
      <w:r w:rsidR="00187A30" w:rsidRPr="005770D9">
        <w:rPr>
          <w:rFonts w:asciiTheme="minorHAnsi" w:hAnsiTheme="minorHAnsi" w:cs="Times New Roman"/>
          <w:b/>
          <w:sz w:val="22"/>
        </w:rPr>
        <w:t xml:space="preserve">Table </w:t>
      </w:r>
      <w:r w:rsidR="00F35B2A" w:rsidRPr="005770D9">
        <w:rPr>
          <w:rFonts w:asciiTheme="minorHAnsi" w:hAnsiTheme="minorHAnsi" w:cs="Times New Roman"/>
          <w:b/>
          <w:sz w:val="22"/>
        </w:rPr>
        <w:t>B 2-9.</w:t>
      </w:r>
      <w:r w:rsidRPr="005770D9">
        <w:rPr>
          <w:rFonts w:asciiTheme="minorHAnsi" w:hAnsiTheme="minorHAnsi" w:cs="Times New Roman"/>
          <w:b/>
          <w:sz w:val="22"/>
        </w:rPr>
        <w:t>5</w:t>
      </w:r>
      <w:r w:rsidRPr="009F118E">
        <w:rPr>
          <w:rFonts w:asciiTheme="minorHAnsi" w:hAnsiTheme="minorHAnsi" w:cs="Times New Roman"/>
          <w:sz w:val="22"/>
        </w:rPr>
        <w:t xml:space="preserve"> provides estimates of the HC05 as well as other quanti</w:t>
      </w:r>
      <w:r w:rsidR="00187A30" w:rsidRPr="009F118E">
        <w:rPr>
          <w:rFonts w:asciiTheme="minorHAnsi" w:hAnsiTheme="minorHAnsi" w:cs="Times New Roman"/>
          <w:sz w:val="22"/>
        </w:rPr>
        <w:t xml:space="preserve">les of the fitted SSDs. </w:t>
      </w:r>
      <w:r w:rsidR="00187A30" w:rsidRPr="005770D9">
        <w:rPr>
          <w:rFonts w:asciiTheme="minorHAnsi" w:hAnsiTheme="minorHAnsi" w:cs="Times New Roman"/>
          <w:b/>
          <w:sz w:val="22"/>
        </w:rPr>
        <w:t xml:space="preserve">Table </w:t>
      </w:r>
      <w:r w:rsidR="00F35B2A" w:rsidRPr="005770D9">
        <w:rPr>
          <w:rFonts w:asciiTheme="minorHAnsi" w:hAnsiTheme="minorHAnsi" w:cs="Times New Roman"/>
          <w:b/>
          <w:sz w:val="22"/>
        </w:rPr>
        <w:t>B 2-9.</w:t>
      </w:r>
      <w:r w:rsidRPr="005770D9">
        <w:rPr>
          <w:rFonts w:asciiTheme="minorHAnsi" w:hAnsiTheme="minorHAnsi" w:cs="Times New Roman"/>
          <w:b/>
          <w:sz w:val="22"/>
        </w:rPr>
        <w:t>6</w:t>
      </w:r>
      <w:r w:rsidRPr="009F118E">
        <w:rPr>
          <w:rFonts w:asciiTheme="minorHAnsi" w:hAnsiTheme="minorHAnsi" w:cs="Times New Roman"/>
          <w:sz w:val="22"/>
        </w:rPr>
        <w:t xml:space="preserve"> includes the direct and indirect effects thresholds that may be derived fr</w:t>
      </w:r>
      <w:r w:rsidR="00187A30" w:rsidRPr="009F118E">
        <w:rPr>
          <w:rFonts w:asciiTheme="minorHAnsi" w:hAnsiTheme="minorHAnsi" w:cs="Times New Roman"/>
          <w:sz w:val="22"/>
        </w:rPr>
        <w:t xml:space="preserve">om the HC05 values from </w:t>
      </w:r>
      <w:r w:rsidR="00187A30" w:rsidRPr="005770D9">
        <w:rPr>
          <w:rFonts w:asciiTheme="minorHAnsi" w:hAnsiTheme="minorHAnsi" w:cs="Times New Roman"/>
          <w:b/>
          <w:sz w:val="22"/>
        </w:rPr>
        <w:t xml:space="preserve">Table </w:t>
      </w:r>
      <w:r w:rsidR="00F35B2A" w:rsidRPr="005770D9">
        <w:rPr>
          <w:rFonts w:asciiTheme="minorHAnsi" w:hAnsiTheme="minorHAnsi" w:cs="Times New Roman"/>
          <w:b/>
          <w:sz w:val="22"/>
        </w:rPr>
        <w:t>B 2-9.</w:t>
      </w:r>
      <w:r w:rsidRPr="005770D9">
        <w:rPr>
          <w:rFonts w:asciiTheme="minorHAnsi" w:hAnsiTheme="minorHAnsi" w:cs="Times New Roman"/>
          <w:b/>
          <w:sz w:val="22"/>
        </w:rPr>
        <w:t>5</w:t>
      </w:r>
      <w:r w:rsidRPr="009F118E">
        <w:rPr>
          <w:rFonts w:asciiTheme="minorHAnsi" w:hAnsiTheme="minorHAnsi" w:cs="Times New Roman"/>
          <w:sz w:val="22"/>
        </w:rPr>
        <w:t>.  No slope estimate was available for the species closest to the 5</w:t>
      </w:r>
      <w:r w:rsidRPr="009F118E">
        <w:rPr>
          <w:rFonts w:asciiTheme="minorHAnsi" w:hAnsiTheme="minorHAnsi" w:cs="Times New Roman"/>
          <w:sz w:val="22"/>
          <w:vertAlign w:val="superscript"/>
        </w:rPr>
        <w:t>th</w:t>
      </w:r>
      <w:r w:rsidRPr="009F118E">
        <w:rPr>
          <w:rFonts w:asciiTheme="minorHAnsi" w:hAnsiTheme="minorHAnsi" w:cs="Times New Roman"/>
          <w:sz w:val="22"/>
        </w:rPr>
        <w:t xml:space="preserve"> percentile of the distribution (red-winged blackbird). Therefore, the next closest species was chosen (mallard, ~25</w:t>
      </w:r>
      <w:r w:rsidRPr="009F118E">
        <w:rPr>
          <w:rFonts w:asciiTheme="minorHAnsi" w:hAnsiTheme="minorHAnsi" w:cs="Times New Roman"/>
          <w:sz w:val="22"/>
          <w:vertAlign w:val="superscript"/>
        </w:rPr>
        <w:t>th</w:t>
      </w:r>
      <w:r w:rsidRPr="009F118E">
        <w:rPr>
          <w:rFonts w:asciiTheme="minorHAnsi" w:hAnsiTheme="minorHAnsi" w:cs="Times New Roman"/>
          <w:sz w:val="22"/>
        </w:rPr>
        <w:t xml:space="preserve"> percentile) for which three slope estimates were available (2.9, 3.89, and 3.9).  The geometric mean of these (3.53) was used for the slope of dose response for the purpose of estimating mortality and indirect thresholds. </w:t>
      </w: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br w:type="page"/>
      </w:r>
    </w:p>
    <w:p w:rsidR="00E63CA5" w:rsidRPr="00F35B2A" w:rsidRDefault="00E63CA5" w:rsidP="00E63CA5">
      <w:pPr>
        <w:rPr>
          <w:rFonts w:asciiTheme="minorHAnsi" w:hAnsiTheme="minorHAnsi" w:cs="Times New Roman"/>
          <w:b/>
          <w:sz w:val="22"/>
        </w:rPr>
      </w:pPr>
      <w:r w:rsidRPr="00F35B2A">
        <w:rPr>
          <w:rFonts w:asciiTheme="minorHAnsi" w:hAnsiTheme="minorHAnsi" w:cs="Times New Roman"/>
          <w:b/>
          <w:sz w:val="22"/>
        </w:rPr>
        <w:lastRenderedPageBreak/>
        <w:t xml:space="preserve">Table </w:t>
      </w:r>
      <w:r w:rsidR="00F35B2A" w:rsidRPr="00F35B2A">
        <w:rPr>
          <w:rFonts w:asciiTheme="minorHAnsi" w:hAnsiTheme="minorHAnsi" w:cs="Times New Roman"/>
          <w:b/>
          <w:sz w:val="22"/>
        </w:rPr>
        <w:t>B 2-9.</w:t>
      </w:r>
      <w:r w:rsidRPr="00F35B2A">
        <w:rPr>
          <w:rFonts w:asciiTheme="minorHAnsi" w:hAnsiTheme="minorHAnsi" w:cs="Times New Roman"/>
          <w:b/>
          <w:sz w:val="22"/>
        </w:rPr>
        <w:t>4.  HC05 estimates and diagnostic statistics for all distributions and methods</w:t>
      </w:r>
    </w:p>
    <w:tbl>
      <w:tblPr>
        <w:tblW w:w="0" w:type="auto"/>
        <w:tblLook w:val="04A0" w:firstRow="1" w:lastRow="0" w:firstColumn="1" w:lastColumn="0" w:noHBand="0" w:noVBand="1"/>
      </w:tblPr>
      <w:tblGrid>
        <w:gridCol w:w="1276"/>
        <w:gridCol w:w="935"/>
        <w:gridCol w:w="694"/>
        <w:gridCol w:w="607"/>
        <w:gridCol w:w="607"/>
        <w:gridCol w:w="607"/>
        <w:gridCol w:w="607"/>
        <w:gridCol w:w="718"/>
        <w:gridCol w:w="607"/>
        <w:gridCol w:w="607"/>
      </w:tblGrid>
      <w:tr w:rsidR="00E63CA5" w:rsidRPr="009F118E" w:rsidTr="00F35B2A">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Distribution</w:t>
            </w:r>
          </w:p>
        </w:tc>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Method</w:t>
            </w:r>
          </w:p>
        </w:tc>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HC05</w:t>
            </w:r>
          </w:p>
        </w:tc>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SE</w:t>
            </w:r>
          </w:p>
        </w:tc>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CV</w:t>
            </w:r>
          </w:p>
        </w:tc>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LCx</w:t>
            </w:r>
          </w:p>
        </w:tc>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UCx</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LCp</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UCp</w:t>
            </w:r>
          </w:p>
        </w:tc>
        <w:tc>
          <w:tcPr>
            <w:tcW w:w="0" w:type="auto"/>
            <w:tcBorders>
              <w:top w:val="single" w:sz="12" w:space="0" w:color="auto"/>
              <w:bottom w:val="single" w:sz="12" w:space="0" w:color="auto"/>
            </w:tcBorders>
            <w:vAlign w:val="bottom"/>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P</w:t>
            </w:r>
          </w:p>
        </w:tc>
      </w:tr>
      <w:tr w:rsidR="00E63CA5" w:rsidRPr="009F118E" w:rsidTr="00F35B2A">
        <w:tc>
          <w:tcPr>
            <w:tcW w:w="0" w:type="auto"/>
            <w:tcBorders>
              <w:top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0" w:type="auto"/>
            <w:tcBorders>
              <w:top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0.20</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0.81</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0.97</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0.003</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0.31</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0.64</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1.65</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0.99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0.59</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0.51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0.47</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0.78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0.84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0.45</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1.66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1.08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0.61</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2.37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0.45</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0.25</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2.15</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0.80</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1.71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0.98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0.58</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0.59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0.48</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0.93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0.70</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0.88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1.01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0.61</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1.03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0.59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0.40</w:t>
            </w:r>
          </w:p>
        </w:tc>
      </w:tr>
      <w:tr w:rsidR="00E63CA5" w:rsidRPr="009F118E" w:rsidTr="00F35B2A">
        <w:tc>
          <w:tcPr>
            <w:tcW w:w="0" w:type="auto"/>
            <w:tcBorders>
              <w:bottom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burr</w:t>
            </w:r>
          </w:p>
        </w:tc>
        <w:tc>
          <w:tcPr>
            <w:tcW w:w="0" w:type="auto"/>
            <w:tcBorders>
              <w:bottom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0.43</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0.39</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0.07</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0.76</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0.21</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0.49</w:t>
            </w:r>
          </w:p>
        </w:tc>
      </w:tr>
    </w:tbl>
    <w:p w:rsidR="00E63CA5" w:rsidRPr="009F118E" w:rsidRDefault="00E63CA5" w:rsidP="00E63CA5">
      <w:pPr>
        <w:rPr>
          <w:rFonts w:asciiTheme="minorHAnsi" w:hAnsiTheme="minorHAnsi" w:cs="Times New Roman"/>
          <w:sz w:val="22"/>
        </w:rPr>
      </w:pPr>
    </w:p>
    <w:p w:rsidR="00E63CA5" w:rsidRPr="00F35B2A" w:rsidRDefault="00E63CA5" w:rsidP="00E63CA5">
      <w:pPr>
        <w:rPr>
          <w:rFonts w:asciiTheme="minorHAnsi" w:hAnsiTheme="minorHAnsi" w:cs="Times New Roman"/>
          <w:b/>
          <w:sz w:val="22"/>
        </w:rPr>
      </w:pPr>
      <w:r w:rsidRPr="00F35B2A">
        <w:rPr>
          <w:rFonts w:asciiTheme="minorHAnsi" w:hAnsiTheme="minorHAnsi" w:cs="Times New Roman"/>
          <w:b/>
          <w:sz w:val="22"/>
        </w:rPr>
        <w:t xml:space="preserve">Table </w:t>
      </w:r>
      <w:r w:rsidR="00F35B2A" w:rsidRPr="00F35B2A">
        <w:rPr>
          <w:rFonts w:asciiTheme="minorHAnsi" w:hAnsiTheme="minorHAnsi" w:cs="Times New Roman"/>
          <w:b/>
          <w:sz w:val="22"/>
        </w:rPr>
        <w:t>B 2-9.</w:t>
      </w:r>
      <w:r w:rsidRPr="00F35B2A">
        <w:rPr>
          <w:rFonts w:asciiTheme="minorHAnsi" w:hAnsiTheme="minorHAnsi" w:cs="Times New Roman"/>
          <w:b/>
          <w:sz w:val="22"/>
        </w:rPr>
        <w:t>5. Estimated quantiles of the fitted SSDs for Diazinon LD50s for birds, standardized to 100 g body weight.</w:t>
      </w:r>
    </w:p>
    <w:tbl>
      <w:tblPr>
        <w:tblW w:w="0" w:type="auto"/>
        <w:tblLook w:val="04A0" w:firstRow="1" w:lastRow="0" w:firstColumn="1" w:lastColumn="0" w:noHBand="0" w:noVBand="1"/>
      </w:tblPr>
      <w:tblGrid>
        <w:gridCol w:w="1276"/>
        <w:gridCol w:w="935"/>
        <w:gridCol w:w="694"/>
        <w:gridCol w:w="694"/>
        <w:gridCol w:w="694"/>
        <w:gridCol w:w="718"/>
        <w:gridCol w:w="830"/>
      </w:tblGrid>
      <w:tr w:rsidR="00E63CA5" w:rsidRPr="009F118E" w:rsidTr="00F35B2A">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Distribution</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Method</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HC05</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HC10</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HC50</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HC90</w:t>
            </w:r>
          </w:p>
        </w:tc>
        <w:tc>
          <w:tcPr>
            <w:tcW w:w="0" w:type="auto"/>
            <w:tcBorders>
              <w:top w:val="single" w:sz="12" w:space="0" w:color="auto"/>
              <w:bottom w:val="single" w:sz="12" w:space="0" w:color="auto"/>
            </w:tcBorders>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HC95</w:t>
            </w:r>
          </w:p>
        </w:tc>
      </w:tr>
      <w:tr w:rsidR="00E63CA5" w:rsidRPr="009F118E" w:rsidTr="00F35B2A">
        <w:tc>
          <w:tcPr>
            <w:tcW w:w="0" w:type="auto"/>
            <w:tcBorders>
              <w:top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0" w:type="auto"/>
            <w:tcBorders>
              <w:top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0.20</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0.33</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1.98</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11.85</w:t>
            </w:r>
          </w:p>
        </w:tc>
        <w:tc>
          <w:tcPr>
            <w:tcW w:w="0" w:type="auto"/>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19.69</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13.68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23.67</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0.09</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22.76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45.50</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1.53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7.52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12.92</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12.30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22.91</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24.22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56.79</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0.22</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2.38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16.54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26.18</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15.26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24.77</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0.10</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0.17</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1.98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22.45</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39.92</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0.54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1.51</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7.63</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14.15</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0.38</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1.54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14.16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33.03</w:t>
            </w:r>
          </w:p>
        </w:tc>
      </w:tr>
      <w:tr w:rsidR="00E63CA5" w:rsidRPr="009F118E" w:rsidTr="00F35B2A">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0" w:type="auto"/>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0.24</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1.66</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33.55</w:t>
            </w:r>
          </w:p>
        </w:tc>
        <w:tc>
          <w:tcPr>
            <w:tcW w:w="0" w:type="auto"/>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105.92</w:t>
            </w:r>
          </w:p>
        </w:tc>
      </w:tr>
      <w:tr w:rsidR="00E63CA5" w:rsidRPr="009F118E" w:rsidTr="00F35B2A">
        <w:tc>
          <w:tcPr>
            <w:tcW w:w="0" w:type="auto"/>
            <w:tcBorders>
              <w:bottom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burr</w:t>
            </w:r>
          </w:p>
        </w:tc>
        <w:tc>
          <w:tcPr>
            <w:tcW w:w="0" w:type="auto"/>
            <w:tcBorders>
              <w:bottom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0.43</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0.54</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1.51</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7.63</w:t>
            </w:r>
          </w:p>
        </w:tc>
        <w:tc>
          <w:tcPr>
            <w:tcW w:w="0" w:type="auto"/>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14.15</w:t>
            </w:r>
          </w:p>
        </w:tc>
      </w:tr>
    </w:tbl>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p>
    <w:p w:rsidR="00E63CA5" w:rsidRPr="009F118E" w:rsidRDefault="00E63CA5" w:rsidP="00E63CA5">
      <w:pPr>
        <w:rPr>
          <w:rFonts w:asciiTheme="minorHAnsi" w:hAnsiTheme="minorHAnsi" w:cs="Times New Roman"/>
          <w:sz w:val="22"/>
        </w:rPr>
      </w:pPr>
      <w:r w:rsidRPr="009F118E">
        <w:rPr>
          <w:rFonts w:asciiTheme="minorHAnsi" w:hAnsiTheme="minorHAnsi" w:cs="Times New Roman"/>
          <w:sz w:val="22"/>
        </w:rPr>
        <w:br w:type="page"/>
      </w:r>
    </w:p>
    <w:p w:rsidR="00E63CA5" w:rsidRPr="00F15B31" w:rsidRDefault="00E63CA5" w:rsidP="00E63CA5">
      <w:pPr>
        <w:rPr>
          <w:rFonts w:asciiTheme="minorHAnsi" w:hAnsiTheme="minorHAnsi" w:cs="Times New Roman"/>
          <w:b/>
          <w:sz w:val="22"/>
        </w:rPr>
      </w:pPr>
      <w:r w:rsidRPr="00F15B31">
        <w:rPr>
          <w:rFonts w:asciiTheme="minorHAnsi" w:hAnsiTheme="minorHAnsi" w:cs="Times New Roman"/>
          <w:b/>
          <w:sz w:val="22"/>
        </w:rPr>
        <w:lastRenderedPageBreak/>
        <w:t xml:space="preserve">Table </w:t>
      </w:r>
      <w:r w:rsidR="00F15B31" w:rsidRPr="00F15B31">
        <w:rPr>
          <w:rFonts w:asciiTheme="minorHAnsi" w:hAnsiTheme="minorHAnsi" w:cs="Times New Roman"/>
          <w:b/>
          <w:sz w:val="22"/>
        </w:rPr>
        <w:t>B 2-9.</w:t>
      </w:r>
      <w:r w:rsidRPr="00F15B31">
        <w:rPr>
          <w:rFonts w:asciiTheme="minorHAnsi" w:hAnsiTheme="minorHAnsi" w:cs="Times New Roman"/>
          <w:b/>
          <w:sz w:val="22"/>
        </w:rPr>
        <w:t>6. Thresholds for a hypothetical 100g bird for diazinon bird data estimated for all distributions and methods fit.</w:t>
      </w:r>
    </w:p>
    <w:tbl>
      <w:tblPr>
        <w:tblW w:w="0" w:type="auto"/>
        <w:tblLook w:val="04A0" w:firstRow="1" w:lastRow="0" w:firstColumn="1" w:lastColumn="0" w:noHBand="0" w:noVBand="1"/>
      </w:tblPr>
      <w:tblGrid>
        <w:gridCol w:w="1378"/>
        <w:gridCol w:w="1048"/>
        <w:gridCol w:w="1040"/>
        <w:gridCol w:w="1013"/>
        <w:gridCol w:w="1013"/>
        <w:gridCol w:w="1040"/>
        <w:gridCol w:w="1013"/>
        <w:gridCol w:w="1013"/>
      </w:tblGrid>
      <w:tr w:rsidR="00E63CA5" w:rsidRPr="009F118E" w:rsidTr="00F35B2A">
        <w:tc>
          <w:tcPr>
            <w:tcW w:w="1378" w:type="dxa"/>
            <w:vMerge w:val="restart"/>
            <w:tcBorders>
              <w:top w:val="single" w:sz="12" w:space="0" w:color="auto"/>
            </w:tcBorders>
            <w:vAlign w:val="center"/>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Distribution</w:t>
            </w:r>
          </w:p>
        </w:tc>
        <w:tc>
          <w:tcPr>
            <w:tcW w:w="1048" w:type="dxa"/>
            <w:vMerge w:val="restart"/>
            <w:tcBorders>
              <w:top w:val="single" w:sz="12" w:space="0" w:color="auto"/>
            </w:tcBorders>
            <w:vAlign w:val="center"/>
          </w:tcPr>
          <w:p w:rsidR="00E63CA5" w:rsidRPr="009F118E" w:rsidRDefault="00E63CA5" w:rsidP="00F35B2A">
            <w:pPr>
              <w:rPr>
                <w:rFonts w:asciiTheme="minorHAnsi" w:hAnsiTheme="minorHAnsi" w:cs="Times New Roman"/>
                <w:sz w:val="22"/>
              </w:rPr>
            </w:pPr>
            <w:r w:rsidRPr="009F118E">
              <w:rPr>
                <w:rFonts w:asciiTheme="minorHAnsi" w:hAnsiTheme="minorHAnsi" w:cs="Times New Roman"/>
                <w:sz w:val="22"/>
              </w:rPr>
              <w:t>Method</w:t>
            </w:r>
          </w:p>
        </w:tc>
        <w:tc>
          <w:tcPr>
            <w:tcW w:w="3066" w:type="dxa"/>
            <w:gridSpan w:val="3"/>
            <w:tcBorders>
              <w:top w:val="single" w:sz="12" w:space="0" w:color="auto"/>
            </w:tcBorders>
          </w:tcPr>
          <w:p w:rsidR="00E63CA5" w:rsidRPr="009F118E" w:rsidRDefault="00E63CA5" w:rsidP="00F35B2A">
            <w:pPr>
              <w:jc w:val="center"/>
              <w:rPr>
                <w:rFonts w:asciiTheme="minorHAnsi" w:hAnsiTheme="minorHAnsi" w:cs="Times New Roman"/>
                <w:sz w:val="22"/>
              </w:rPr>
            </w:pPr>
            <w:r w:rsidRPr="009F118E">
              <w:rPr>
                <w:rFonts w:asciiTheme="minorHAnsi" w:hAnsiTheme="minorHAnsi" w:cs="Times New Roman"/>
                <w:sz w:val="22"/>
              </w:rPr>
              <w:t>Direct effects threshold</w:t>
            </w:r>
          </w:p>
          <w:p w:rsidR="00E63CA5" w:rsidRPr="009F118E" w:rsidRDefault="00E63CA5" w:rsidP="00F35B2A">
            <w:pPr>
              <w:jc w:val="center"/>
              <w:rPr>
                <w:rFonts w:asciiTheme="minorHAnsi" w:hAnsiTheme="minorHAnsi" w:cs="Times New Roman"/>
                <w:sz w:val="22"/>
              </w:rPr>
            </w:pPr>
            <w:r w:rsidRPr="009F118E">
              <w:rPr>
                <w:rFonts w:asciiTheme="minorHAnsi" w:hAnsiTheme="minorHAnsi" w:cs="Times New Roman"/>
                <w:sz w:val="22"/>
              </w:rPr>
              <w:t>(1 in a million)</w:t>
            </w:r>
          </w:p>
        </w:tc>
        <w:tc>
          <w:tcPr>
            <w:tcW w:w="3066" w:type="dxa"/>
            <w:gridSpan w:val="3"/>
            <w:tcBorders>
              <w:top w:val="single" w:sz="12" w:space="0" w:color="auto"/>
            </w:tcBorders>
          </w:tcPr>
          <w:p w:rsidR="00E63CA5" w:rsidRPr="009F118E" w:rsidRDefault="00E63CA5" w:rsidP="00F35B2A">
            <w:pPr>
              <w:jc w:val="center"/>
              <w:rPr>
                <w:rFonts w:asciiTheme="minorHAnsi" w:hAnsiTheme="minorHAnsi" w:cs="Times New Roman"/>
                <w:sz w:val="22"/>
              </w:rPr>
            </w:pPr>
            <w:r w:rsidRPr="009F118E">
              <w:rPr>
                <w:rFonts w:asciiTheme="minorHAnsi" w:hAnsiTheme="minorHAnsi" w:cs="Times New Roman"/>
                <w:sz w:val="22"/>
              </w:rPr>
              <w:t>Indirect effects threshold</w:t>
            </w:r>
          </w:p>
          <w:p w:rsidR="00E63CA5" w:rsidRPr="009F118E" w:rsidRDefault="00E63CA5" w:rsidP="00F35B2A">
            <w:pPr>
              <w:jc w:val="center"/>
              <w:rPr>
                <w:rFonts w:asciiTheme="minorHAnsi" w:hAnsiTheme="minorHAnsi" w:cs="Times New Roman"/>
                <w:sz w:val="22"/>
              </w:rPr>
            </w:pPr>
            <w:r w:rsidRPr="009F118E">
              <w:rPr>
                <w:rFonts w:asciiTheme="minorHAnsi" w:hAnsiTheme="minorHAnsi" w:cs="Times New Roman"/>
                <w:sz w:val="22"/>
              </w:rPr>
              <w:t>(10% mortality)</w:t>
            </w:r>
          </w:p>
        </w:tc>
      </w:tr>
      <w:tr w:rsidR="00E63CA5" w:rsidRPr="009F118E" w:rsidTr="00F35B2A">
        <w:tc>
          <w:tcPr>
            <w:tcW w:w="1378" w:type="dxa"/>
            <w:vMerge/>
            <w:tcBorders>
              <w:bottom w:val="single" w:sz="12" w:space="0" w:color="auto"/>
            </w:tcBorders>
          </w:tcPr>
          <w:p w:rsidR="00E63CA5" w:rsidRPr="009F118E" w:rsidRDefault="00E63CA5" w:rsidP="00F35B2A">
            <w:pPr>
              <w:rPr>
                <w:rFonts w:asciiTheme="minorHAnsi" w:hAnsiTheme="minorHAnsi" w:cs="Times New Roman"/>
                <w:sz w:val="22"/>
              </w:rPr>
            </w:pPr>
          </w:p>
        </w:tc>
        <w:tc>
          <w:tcPr>
            <w:tcW w:w="1048" w:type="dxa"/>
            <w:vMerge/>
            <w:tcBorders>
              <w:bottom w:val="single" w:sz="12" w:space="0" w:color="auto"/>
            </w:tcBorders>
          </w:tcPr>
          <w:p w:rsidR="00E63CA5" w:rsidRPr="009F118E" w:rsidRDefault="00E63CA5" w:rsidP="00F35B2A">
            <w:pPr>
              <w:rPr>
                <w:rFonts w:asciiTheme="minorHAnsi" w:hAnsiTheme="minorHAnsi" w:cs="Times New Roman"/>
                <w:sz w:val="22"/>
              </w:rPr>
            </w:pPr>
          </w:p>
        </w:tc>
        <w:tc>
          <w:tcPr>
            <w:tcW w:w="1040" w:type="dxa"/>
            <w:tcBorders>
              <w:bottom w:val="single" w:sz="12" w:space="0" w:color="auto"/>
            </w:tcBorders>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sz w:val="22"/>
              </w:rPr>
              <w:t>median</w:t>
            </w:r>
          </w:p>
        </w:tc>
        <w:tc>
          <w:tcPr>
            <w:tcW w:w="1013" w:type="dxa"/>
            <w:tcBorders>
              <w:bottom w:val="single" w:sz="12" w:space="0" w:color="auto"/>
            </w:tcBorders>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sz w:val="22"/>
              </w:rPr>
              <w:t>lower</w:t>
            </w:r>
          </w:p>
        </w:tc>
        <w:tc>
          <w:tcPr>
            <w:tcW w:w="1013" w:type="dxa"/>
            <w:tcBorders>
              <w:bottom w:val="single" w:sz="12" w:space="0" w:color="auto"/>
            </w:tcBorders>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sz w:val="22"/>
              </w:rPr>
              <w:t>upper</w:t>
            </w:r>
          </w:p>
        </w:tc>
        <w:tc>
          <w:tcPr>
            <w:tcW w:w="1040" w:type="dxa"/>
            <w:tcBorders>
              <w:bottom w:val="single" w:sz="12" w:space="0" w:color="auto"/>
            </w:tcBorders>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sz w:val="22"/>
              </w:rPr>
              <w:t>median</w:t>
            </w:r>
          </w:p>
        </w:tc>
        <w:tc>
          <w:tcPr>
            <w:tcW w:w="1013" w:type="dxa"/>
            <w:tcBorders>
              <w:bottom w:val="single" w:sz="12" w:space="0" w:color="auto"/>
            </w:tcBorders>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sz w:val="22"/>
              </w:rPr>
              <w:t>lower</w:t>
            </w:r>
          </w:p>
        </w:tc>
        <w:tc>
          <w:tcPr>
            <w:tcW w:w="1013" w:type="dxa"/>
            <w:tcBorders>
              <w:bottom w:val="single" w:sz="12" w:space="0" w:color="auto"/>
            </w:tcBorders>
          </w:tcPr>
          <w:p w:rsidR="00E63CA5" w:rsidRPr="009F118E" w:rsidRDefault="00E63CA5" w:rsidP="00F35B2A">
            <w:pPr>
              <w:jc w:val="right"/>
              <w:rPr>
                <w:rFonts w:asciiTheme="minorHAnsi" w:hAnsiTheme="minorHAnsi" w:cs="Times New Roman"/>
                <w:sz w:val="22"/>
              </w:rPr>
            </w:pPr>
            <w:r w:rsidRPr="009F118E">
              <w:rPr>
                <w:rFonts w:asciiTheme="minorHAnsi" w:hAnsiTheme="minorHAnsi" w:cs="Times New Roman"/>
                <w:sz w:val="22"/>
              </w:rPr>
              <w:t>upper</w:t>
            </w:r>
          </w:p>
        </w:tc>
      </w:tr>
      <w:tr w:rsidR="00E63CA5" w:rsidRPr="009F118E" w:rsidTr="00F35B2A">
        <w:tc>
          <w:tcPr>
            <w:tcW w:w="1378" w:type="dxa"/>
            <w:tcBorders>
              <w:top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1048" w:type="dxa"/>
            <w:tcBorders>
              <w:top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1040" w:type="dxa"/>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0.009</w:t>
            </w:r>
          </w:p>
        </w:tc>
        <w:tc>
          <w:tcPr>
            <w:tcW w:w="1013" w:type="dxa"/>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0.0008</w:t>
            </w:r>
          </w:p>
        </w:tc>
        <w:tc>
          <w:tcPr>
            <w:tcW w:w="1013" w:type="dxa"/>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0.059</w:t>
            </w:r>
          </w:p>
        </w:tc>
        <w:tc>
          <w:tcPr>
            <w:tcW w:w="1040" w:type="dxa"/>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0.086</w:t>
            </w:r>
          </w:p>
        </w:tc>
        <w:tc>
          <w:tcPr>
            <w:tcW w:w="1013" w:type="dxa"/>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0.045</w:t>
            </w:r>
          </w:p>
        </w:tc>
        <w:tc>
          <w:tcPr>
            <w:tcW w:w="1013" w:type="dxa"/>
            <w:tcBorders>
              <w:top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0.143</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0.049</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0.072</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0.038</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0.119</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normal</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0.004</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0.0004</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0.026</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0.020</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0.062</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0.008</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0.0008</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0.054</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0.078</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0.041</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0.130</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0.008</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0.051</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0.074</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0.039</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0.123</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logistic</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0.003</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0.0003</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0.020</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0.030</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0.016</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0.050</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0.010</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0.0009</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0.064</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0.094</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0.050</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0.156</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0.047</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0.069</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0.036</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0.114</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triangular</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0.004</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0.0004</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0.029</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0.043</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0.022</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0.071</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0.019</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0.0018</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0.128</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0.187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0.099</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0.310</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MO</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0.012</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0.0012</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0.082</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0.120</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0.063</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0.199</w:t>
            </w:r>
          </w:p>
        </w:tc>
      </w:tr>
      <w:tr w:rsidR="00E63CA5" w:rsidRPr="009F118E" w:rsidTr="00F35B2A">
        <w:tc>
          <w:tcPr>
            <w:tcW w:w="137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gumbel</w:t>
            </w:r>
          </w:p>
        </w:tc>
        <w:tc>
          <w:tcPr>
            <w:tcW w:w="1048" w:type="dxa"/>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GR</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0.0007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0.047</w:t>
            </w:r>
          </w:p>
        </w:tc>
        <w:tc>
          <w:tcPr>
            <w:tcW w:w="1040"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0.069</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0.037</w:t>
            </w:r>
          </w:p>
        </w:tc>
        <w:tc>
          <w:tcPr>
            <w:tcW w:w="1013" w:type="dxa"/>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0.115</w:t>
            </w:r>
          </w:p>
        </w:tc>
      </w:tr>
      <w:tr w:rsidR="00E63CA5" w:rsidRPr="009F118E" w:rsidTr="00F35B2A">
        <w:tc>
          <w:tcPr>
            <w:tcW w:w="1378" w:type="dxa"/>
            <w:tcBorders>
              <w:bottom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burr</w:t>
            </w:r>
          </w:p>
        </w:tc>
        <w:tc>
          <w:tcPr>
            <w:tcW w:w="1048" w:type="dxa"/>
            <w:tcBorders>
              <w:bottom w:val="single" w:sz="12" w:space="0" w:color="auto"/>
            </w:tcBorders>
            <w:vAlign w:val="center"/>
          </w:tcPr>
          <w:p w:rsidR="00E63CA5" w:rsidRPr="009F118E" w:rsidRDefault="00E63CA5" w:rsidP="00F35B2A">
            <w:pPr>
              <w:rPr>
                <w:rFonts w:asciiTheme="minorHAnsi" w:hAnsiTheme="minorHAnsi" w:cs="Times New Roman"/>
                <w:color w:val="000000"/>
                <w:sz w:val="22"/>
              </w:rPr>
            </w:pPr>
            <w:r w:rsidRPr="009F118E">
              <w:rPr>
                <w:rFonts w:asciiTheme="minorHAnsi" w:hAnsiTheme="minorHAnsi" w:cs="Times New Roman"/>
                <w:color w:val="000000"/>
                <w:sz w:val="22"/>
              </w:rPr>
              <w:t>ML</w:t>
            </w:r>
          </w:p>
        </w:tc>
        <w:tc>
          <w:tcPr>
            <w:tcW w:w="1040" w:type="dxa"/>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0.019</w:t>
            </w:r>
          </w:p>
        </w:tc>
        <w:tc>
          <w:tcPr>
            <w:tcW w:w="1013" w:type="dxa"/>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0.0018</w:t>
            </w:r>
          </w:p>
        </w:tc>
        <w:tc>
          <w:tcPr>
            <w:tcW w:w="1013" w:type="dxa"/>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0.128</w:t>
            </w:r>
          </w:p>
        </w:tc>
        <w:tc>
          <w:tcPr>
            <w:tcW w:w="1040" w:type="dxa"/>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0.187</w:t>
            </w:r>
          </w:p>
        </w:tc>
        <w:tc>
          <w:tcPr>
            <w:tcW w:w="1013" w:type="dxa"/>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0.098</w:t>
            </w:r>
          </w:p>
        </w:tc>
        <w:tc>
          <w:tcPr>
            <w:tcW w:w="1013" w:type="dxa"/>
            <w:tcBorders>
              <w:bottom w:val="single" w:sz="12" w:space="0" w:color="auto"/>
            </w:tcBorders>
            <w:vAlign w:val="center"/>
          </w:tcPr>
          <w:p w:rsidR="00E63CA5" w:rsidRPr="009F118E" w:rsidRDefault="00E63CA5" w:rsidP="00F35B2A">
            <w:pPr>
              <w:jc w:val="right"/>
              <w:rPr>
                <w:rFonts w:asciiTheme="minorHAnsi" w:hAnsiTheme="minorHAnsi" w:cs="Times New Roman"/>
                <w:color w:val="000000"/>
                <w:sz w:val="22"/>
              </w:rPr>
            </w:pPr>
            <w:r w:rsidRPr="009F118E">
              <w:rPr>
                <w:rFonts w:asciiTheme="minorHAnsi" w:hAnsiTheme="minorHAnsi" w:cs="Times New Roman"/>
                <w:color w:val="000000"/>
                <w:sz w:val="22"/>
              </w:rPr>
              <w:t>0.310</w:t>
            </w:r>
          </w:p>
        </w:tc>
      </w:tr>
    </w:tbl>
    <w:p w:rsidR="00E63CA5" w:rsidRPr="009F118E" w:rsidRDefault="00E63CA5" w:rsidP="00E63CA5">
      <w:pPr>
        <w:rPr>
          <w:rFonts w:asciiTheme="minorHAnsi" w:hAnsiTheme="minorHAnsi" w:cs="Times New Roman"/>
          <w:sz w:val="22"/>
        </w:rPr>
      </w:pPr>
    </w:p>
    <w:p w:rsidR="00824B05" w:rsidRPr="009F118E" w:rsidRDefault="00824B05" w:rsidP="00E63CA5">
      <w:pPr>
        <w:rPr>
          <w:rFonts w:asciiTheme="minorHAnsi" w:hAnsiTheme="minorHAnsi"/>
          <w:sz w:val="22"/>
        </w:rPr>
      </w:pPr>
    </w:p>
    <w:sectPr w:rsidR="00824B05" w:rsidRPr="009F1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2A" w:rsidRDefault="00F35B2A" w:rsidP="00E63CA5">
      <w:r>
        <w:separator/>
      </w:r>
    </w:p>
  </w:endnote>
  <w:endnote w:type="continuationSeparator" w:id="0">
    <w:p w:rsidR="00F35B2A" w:rsidRDefault="00F35B2A" w:rsidP="00E6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04947"/>
      <w:docPartObj>
        <w:docPartGallery w:val="Page Numbers (Bottom of Page)"/>
        <w:docPartUnique/>
      </w:docPartObj>
    </w:sdtPr>
    <w:sdtEndPr>
      <w:rPr>
        <w:noProof/>
      </w:rPr>
    </w:sdtEndPr>
    <w:sdtContent>
      <w:p w:rsidR="00F35B2A" w:rsidRDefault="00F35B2A">
        <w:pPr>
          <w:pStyle w:val="Footer"/>
          <w:jc w:val="center"/>
        </w:pPr>
        <w:r>
          <w:t>B9 (EC)-</w:t>
        </w:r>
        <w:r>
          <w:fldChar w:fldCharType="begin"/>
        </w:r>
        <w:r>
          <w:instrText xml:space="preserve"> PAGE   \* MERGEFORMAT </w:instrText>
        </w:r>
        <w:r>
          <w:fldChar w:fldCharType="separate"/>
        </w:r>
        <w:r w:rsidR="008C3C20">
          <w:rPr>
            <w:noProof/>
          </w:rPr>
          <w:t>1</w:t>
        </w:r>
        <w:r>
          <w:rPr>
            <w:noProof/>
          </w:rPr>
          <w:fldChar w:fldCharType="end"/>
        </w:r>
      </w:p>
    </w:sdtContent>
  </w:sdt>
  <w:p w:rsidR="00F35B2A" w:rsidRDefault="00F35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2A" w:rsidRDefault="00F35B2A" w:rsidP="00E63CA5">
      <w:r>
        <w:separator/>
      </w:r>
    </w:p>
  </w:footnote>
  <w:footnote w:type="continuationSeparator" w:id="0">
    <w:p w:rsidR="00F35B2A" w:rsidRDefault="00F35B2A" w:rsidP="00E63CA5">
      <w:r>
        <w:continuationSeparator/>
      </w:r>
    </w:p>
  </w:footnote>
  <w:footnote w:id="1">
    <w:p w:rsidR="00F35B2A" w:rsidRDefault="00F35B2A" w:rsidP="00E63CA5">
      <w:pPr>
        <w:pStyle w:val="FootnoteText"/>
      </w:pPr>
      <w:r>
        <w:rPr>
          <w:rStyle w:val="FootnoteReference"/>
        </w:rPr>
        <w:footnoteRef/>
      </w:r>
      <w:r>
        <w:t xml:space="preserve"> </w:t>
      </w:r>
      <w:r w:rsidRPr="004473F7">
        <w:rPr>
          <w:rFonts w:cs="Times New Roman"/>
          <w:color w:val="000000"/>
          <w:szCs w:val="24"/>
        </w:rPr>
        <w:t>Mineau, P., Collins, B.T., and A. Baril. 1996. On the use of scaling factors to improve interspecies extrapolation of acute toxicity in birds. Regulatory Toxicology and Pharmacology, 24: 24-29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XZdpLDIV0XEeboldF0rZsOVYsABSuU0kQoVlGaVFxWeu8DI79lfu8iAlmRVP+IMVl95AVClbj3mm43AjgOv+fQ==" w:salt="YH/oOl3vWffQY8ZM8WK75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73"/>
    <w:rsid w:val="00187A30"/>
    <w:rsid w:val="002D37BA"/>
    <w:rsid w:val="003D3A73"/>
    <w:rsid w:val="005770D9"/>
    <w:rsid w:val="00824B05"/>
    <w:rsid w:val="008B0330"/>
    <w:rsid w:val="008C3C20"/>
    <w:rsid w:val="009035A8"/>
    <w:rsid w:val="009F118E"/>
    <w:rsid w:val="00B26732"/>
    <w:rsid w:val="00C07220"/>
    <w:rsid w:val="00CF3BC1"/>
    <w:rsid w:val="00D2578A"/>
    <w:rsid w:val="00E63CA5"/>
    <w:rsid w:val="00F15B31"/>
    <w:rsid w:val="00F3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F421F3-7EB9-4392-B499-3052046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A5"/>
    <w:pPr>
      <w:jc w:val="left"/>
    </w:pPr>
    <w:rPr>
      <w:rFonts w:ascii="Times New Roman" w:hAnsi="Times New Roman"/>
      <w:sz w:val="24"/>
    </w:rPr>
  </w:style>
  <w:style w:type="paragraph" w:styleId="Heading1">
    <w:name w:val="heading 1"/>
    <w:basedOn w:val="Normal"/>
    <w:next w:val="Normal"/>
    <w:link w:val="Heading1Char"/>
    <w:uiPriority w:val="9"/>
    <w:qFormat/>
    <w:rsid w:val="00E63C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A5"/>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E63CA5"/>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CA5"/>
    <w:pPr>
      <w:spacing w:line="276" w:lineRule="auto"/>
      <w:ind w:left="720"/>
      <w:contextualSpacing/>
    </w:pPr>
    <w:rPr>
      <w:rFonts w:cs="Times New Roman"/>
      <w:szCs w:val="24"/>
    </w:rPr>
  </w:style>
  <w:style w:type="character" w:styleId="FootnoteReference">
    <w:name w:val="footnote reference"/>
    <w:basedOn w:val="DefaultParagraphFont"/>
    <w:uiPriority w:val="99"/>
    <w:unhideWhenUsed/>
    <w:rsid w:val="00E63CA5"/>
    <w:rPr>
      <w:vertAlign w:val="superscript"/>
    </w:rPr>
  </w:style>
  <w:style w:type="paragraph" w:styleId="FootnoteText">
    <w:name w:val="footnote text"/>
    <w:basedOn w:val="Normal"/>
    <w:link w:val="FootnoteTextChar"/>
    <w:uiPriority w:val="99"/>
    <w:unhideWhenUsed/>
    <w:rsid w:val="00E63CA5"/>
    <w:rPr>
      <w:sz w:val="20"/>
      <w:szCs w:val="20"/>
    </w:rPr>
  </w:style>
  <w:style w:type="character" w:customStyle="1" w:styleId="FootnoteTextChar">
    <w:name w:val="Footnote Text Char"/>
    <w:basedOn w:val="DefaultParagraphFont"/>
    <w:link w:val="FootnoteText"/>
    <w:uiPriority w:val="99"/>
    <w:rsid w:val="00E63CA5"/>
    <w:rPr>
      <w:rFonts w:ascii="Times New Roman" w:hAnsi="Times New Roman"/>
      <w:sz w:val="20"/>
      <w:szCs w:val="20"/>
    </w:rPr>
  </w:style>
  <w:style w:type="paragraph" w:styleId="Header">
    <w:name w:val="header"/>
    <w:basedOn w:val="Normal"/>
    <w:link w:val="HeaderChar"/>
    <w:uiPriority w:val="99"/>
    <w:unhideWhenUsed/>
    <w:rsid w:val="00F35B2A"/>
    <w:pPr>
      <w:tabs>
        <w:tab w:val="center" w:pos="4680"/>
        <w:tab w:val="right" w:pos="9360"/>
      </w:tabs>
    </w:pPr>
  </w:style>
  <w:style w:type="character" w:customStyle="1" w:styleId="HeaderChar">
    <w:name w:val="Header Char"/>
    <w:basedOn w:val="DefaultParagraphFont"/>
    <w:link w:val="Header"/>
    <w:uiPriority w:val="99"/>
    <w:rsid w:val="00F35B2A"/>
    <w:rPr>
      <w:rFonts w:ascii="Times New Roman" w:hAnsi="Times New Roman"/>
      <w:sz w:val="24"/>
    </w:rPr>
  </w:style>
  <w:style w:type="paragraph" w:styleId="Footer">
    <w:name w:val="footer"/>
    <w:basedOn w:val="Normal"/>
    <w:link w:val="FooterChar"/>
    <w:uiPriority w:val="99"/>
    <w:unhideWhenUsed/>
    <w:rsid w:val="00F35B2A"/>
    <w:pPr>
      <w:tabs>
        <w:tab w:val="center" w:pos="4680"/>
        <w:tab w:val="right" w:pos="9360"/>
      </w:tabs>
    </w:pPr>
  </w:style>
  <w:style w:type="character" w:customStyle="1" w:styleId="FooterChar">
    <w:name w:val="Footer Char"/>
    <w:basedOn w:val="DefaultParagraphFont"/>
    <w:link w:val="Footer"/>
    <w:uiPriority w:val="99"/>
    <w:rsid w:val="00F35B2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5992</Characters>
  <Application>Microsoft Office Word</Application>
  <DocSecurity>6</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Riley, Elizabeth</cp:lastModifiedBy>
  <cp:revision>3</cp:revision>
  <dcterms:created xsi:type="dcterms:W3CDTF">2015-12-02T20:10:00Z</dcterms:created>
  <dcterms:modified xsi:type="dcterms:W3CDTF">2015-12-02T20:10:00Z</dcterms:modified>
</cp:coreProperties>
</file>