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B1285" w14:textId="5E5F6AE3" w:rsidR="00210F0F" w:rsidRPr="002B7581" w:rsidRDefault="00132F83" w:rsidP="00865A49">
      <w:pPr>
        <w:spacing w:after="0" w:line="240" w:lineRule="auto"/>
        <w:rPr>
          <w:rFonts w:cs="Times New Roman"/>
          <w:b/>
          <w:sz w:val="24"/>
        </w:rPr>
      </w:pPr>
      <w:bookmarkStart w:id="0" w:name="_GoBack"/>
      <w:bookmarkEnd w:id="0"/>
      <w:r w:rsidRPr="002B7581">
        <w:rPr>
          <w:rFonts w:cs="Times New Roman"/>
          <w:b/>
          <w:sz w:val="24"/>
        </w:rPr>
        <w:t>A</w:t>
      </w:r>
      <w:r w:rsidR="002B7581" w:rsidRPr="002B7581">
        <w:rPr>
          <w:rFonts w:cs="Times New Roman"/>
          <w:b/>
          <w:sz w:val="24"/>
        </w:rPr>
        <w:t>PPENDIX</w:t>
      </w:r>
      <w:r w:rsidRPr="002B7581">
        <w:rPr>
          <w:rFonts w:cs="Times New Roman"/>
          <w:b/>
          <w:sz w:val="24"/>
        </w:rPr>
        <w:t xml:space="preserve"> 1-9</w:t>
      </w:r>
      <w:r w:rsidR="002B7581" w:rsidRPr="002B7581">
        <w:rPr>
          <w:rFonts w:cs="Times New Roman"/>
          <w:b/>
          <w:sz w:val="24"/>
        </w:rPr>
        <w:t>:</w:t>
      </w:r>
      <w:r w:rsidR="00210F0F" w:rsidRPr="002B7581">
        <w:rPr>
          <w:rFonts w:cs="Times New Roman"/>
          <w:b/>
          <w:sz w:val="24"/>
        </w:rPr>
        <w:t xml:space="preserve"> </w:t>
      </w:r>
      <w:r w:rsidR="00503613" w:rsidRPr="002B7581">
        <w:rPr>
          <w:rFonts w:cs="Times New Roman"/>
          <w:b/>
          <w:sz w:val="24"/>
        </w:rPr>
        <w:t xml:space="preserve">Degradate </w:t>
      </w:r>
      <w:r w:rsidR="00277104" w:rsidRPr="002B7581">
        <w:rPr>
          <w:rFonts w:cs="Times New Roman"/>
          <w:b/>
          <w:sz w:val="24"/>
        </w:rPr>
        <w:t>line of evidence</w:t>
      </w:r>
    </w:p>
    <w:p w14:paraId="5E224770" w14:textId="77777777" w:rsidR="00210F0F" w:rsidRPr="00132F83" w:rsidRDefault="00210F0F" w:rsidP="00865A49">
      <w:pPr>
        <w:spacing w:after="0" w:line="240" w:lineRule="auto"/>
        <w:rPr>
          <w:rFonts w:cs="Times New Roman"/>
          <w:b/>
        </w:rPr>
      </w:pPr>
    </w:p>
    <w:p w14:paraId="641B8CB2" w14:textId="0750DBEB" w:rsidR="00210F0F" w:rsidRPr="00132F83" w:rsidRDefault="00A11582" w:rsidP="00865A49">
      <w:pPr>
        <w:spacing w:after="0" w:line="240" w:lineRule="auto"/>
        <w:rPr>
          <w:rFonts w:cs="Times New Roman"/>
          <w:b/>
          <w:i/>
        </w:rPr>
      </w:pPr>
      <w:r w:rsidRPr="00132F83">
        <w:rPr>
          <w:rFonts w:cs="Times New Roman"/>
          <w:b/>
          <w:i/>
        </w:rPr>
        <w:t xml:space="preserve">Identification of </w:t>
      </w:r>
      <w:r w:rsidR="0037632C" w:rsidRPr="00132F83">
        <w:rPr>
          <w:rFonts w:cs="Times New Roman"/>
          <w:b/>
          <w:i/>
        </w:rPr>
        <w:t>degradates</w:t>
      </w:r>
      <w:r w:rsidRPr="00132F83">
        <w:rPr>
          <w:rFonts w:cs="Times New Roman"/>
          <w:b/>
          <w:i/>
        </w:rPr>
        <w:t xml:space="preserve"> of concern</w:t>
      </w:r>
    </w:p>
    <w:p w14:paraId="39CE537C" w14:textId="77777777" w:rsidR="003E5ED1" w:rsidRPr="00132F83" w:rsidRDefault="003E5ED1" w:rsidP="00865A49">
      <w:pPr>
        <w:spacing w:after="0" w:line="240" w:lineRule="auto"/>
        <w:rPr>
          <w:rFonts w:cs="Times New Roman"/>
        </w:rPr>
      </w:pPr>
    </w:p>
    <w:p w14:paraId="7C810616" w14:textId="0DA212AD" w:rsidR="003E5ED1" w:rsidRPr="00132F83" w:rsidRDefault="003E5ED1" w:rsidP="00865A49">
      <w:pPr>
        <w:spacing w:after="0" w:line="240" w:lineRule="auto"/>
      </w:pPr>
      <w:r w:rsidRPr="00132F83">
        <w:rPr>
          <w:rFonts w:cs="Times New Roman"/>
        </w:rPr>
        <w:t>Diazinon is known to form diazoxon and oxypyrimidine (</w:t>
      </w:r>
      <w:r w:rsidRPr="00132F83">
        <w:rPr>
          <w:rFonts w:cs="Times New Roman"/>
          <w:b/>
        </w:rPr>
        <w:t xml:space="preserve">Figure </w:t>
      </w:r>
      <w:r w:rsidR="00132F83" w:rsidRPr="00132F83">
        <w:rPr>
          <w:rFonts w:cs="Times New Roman"/>
          <w:b/>
        </w:rPr>
        <w:t>B</w:t>
      </w:r>
      <w:r w:rsidR="005A72D8">
        <w:rPr>
          <w:rFonts w:cs="Times New Roman"/>
          <w:b/>
        </w:rPr>
        <w:t xml:space="preserve"> 1-9.</w:t>
      </w:r>
      <w:r w:rsidRPr="00132F83">
        <w:rPr>
          <w:rFonts w:cs="Times New Roman"/>
          <w:b/>
        </w:rPr>
        <w:t>1</w:t>
      </w:r>
      <w:r w:rsidRPr="00132F83">
        <w:rPr>
          <w:rFonts w:cs="Times New Roman"/>
        </w:rPr>
        <w:t xml:space="preserve">). Diazinon may oxidize in the environment to form the biologically active compound, diazoxon. </w:t>
      </w:r>
      <w:r w:rsidRPr="00132F83">
        <w:t xml:space="preserve">Cleavage of the phosphorus ester bond yields the biologically inactive oxypyrimidine. </w:t>
      </w:r>
      <w:r w:rsidR="00210F0F" w:rsidRPr="00132F83">
        <w:rPr>
          <w:rFonts w:cs="Times New Roman"/>
        </w:rPr>
        <w:t xml:space="preserve"> </w:t>
      </w:r>
      <w:r w:rsidRPr="00132F83">
        <w:t xml:space="preserve">The phosphate moiety is required to bind within the active site of AChE. Available data also suggest that diazinon may convert to other degredates (GS-31144 and desethyl diazinon) at relatively low concentrations. </w:t>
      </w:r>
    </w:p>
    <w:p w14:paraId="5AE99235" w14:textId="27D075F0" w:rsidR="00A11582" w:rsidRPr="00132F83" w:rsidRDefault="00A11582" w:rsidP="00865A49">
      <w:pPr>
        <w:spacing w:after="0" w:line="240" w:lineRule="auto"/>
        <w:rPr>
          <w:rFonts w:cs="Times New Roman"/>
        </w:rPr>
      </w:pPr>
    </w:p>
    <w:p w14:paraId="6CEABE51" w14:textId="14102137" w:rsidR="00C931FC" w:rsidRPr="00132F83" w:rsidRDefault="00C931FC" w:rsidP="00865A49">
      <w:pPr>
        <w:spacing w:after="0" w:line="240" w:lineRule="auto"/>
        <w:rPr>
          <w:rFonts w:cs="Times New Roman"/>
        </w:rPr>
      </w:pPr>
    </w:p>
    <w:p w14:paraId="404502D9" w14:textId="49D708C1" w:rsidR="00C931FC" w:rsidRPr="00132F83" w:rsidRDefault="00C931FC" w:rsidP="00865A49">
      <w:pPr>
        <w:spacing w:after="0" w:line="240" w:lineRule="auto"/>
        <w:rPr>
          <w:rFonts w:cs="Times New Roman"/>
        </w:rPr>
      </w:pPr>
      <w:r w:rsidRPr="00132F83">
        <w:rPr>
          <w:rFonts w:cs="Times New Roman"/>
          <w:noProof/>
        </w:rPr>
        <mc:AlternateContent>
          <mc:Choice Requires="wps">
            <w:drawing>
              <wp:anchor distT="0" distB="0" distL="114300" distR="114300" simplePos="0" relativeHeight="251661312" behindDoc="0" locked="0" layoutInCell="1" allowOverlap="1" wp14:anchorId="3BFFFF4E" wp14:editId="2F5D5EF8">
                <wp:simplePos x="0" y="0"/>
                <wp:positionH relativeFrom="column">
                  <wp:posOffset>2552700</wp:posOffset>
                </wp:positionH>
                <wp:positionV relativeFrom="paragraph">
                  <wp:posOffset>267970</wp:posOffset>
                </wp:positionV>
                <wp:extent cx="733425" cy="781050"/>
                <wp:effectExtent l="0" t="0" r="28575" b="19050"/>
                <wp:wrapNone/>
                <wp:docPr id="2" name="Oval 2"/>
                <wp:cNvGraphicFramePr/>
                <a:graphic xmlns:a="http://schemas.openxmlformats.org/drawingml/2006/main">
                  <a:graphicData uri="http://schemas.microsoft.com/office/word/2010/wordprocessingShape">
                    <wps:wsp>
                      <wps:cNvSpPr/>
                      <wps:spPr>
                        <a:xfrm>
                          <a:off x="0" y="0"/>
                          <a:ext cx="733425" cy="7810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7A48E3" id="Oval 2" o:spid="_x0000_s1026" style="position:absolute;margin-left:201pt;margin-top:21.1pt;width:57.75pt;height:6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" filled="f" strokecolor="red" strokeweight="1pt">
                <v:stroke joinstyle="miter"/>
              </v:oval>
            </w:pict>
          </mc:Fallback>
        </mc:AlternateContent>
      </w:r>
      <w:r w:rsidRPr="00132F83">
        <w:rPr>
          <w:rFonts w:cs="Times New Roman"/>
          <w:noProof/>
        </w:rPr>
        <mc:AlternateContent>
          <mc:Choice Requires="wps">
            <w:drawing>
              <wp:anchor distT="0" distB="0" distL="114300" distR="114300" simplePos="0" relativeHeight="251659264" behindDoc="0" locked="0" layoutInCell="1" allowOverlap="1" wp14:anchorId="435AB804" wp14:editId="5CE44CFD">
                <wp:simplePos x="0" y="0"/>
                <wp:positionH relativeFrom="column">
                  <wp:posOffset>828675</wp:posOffset>
                </wp:positionH>
                <wp:positionV relativeFrom="paragraph">
                  <wp:posOffset>213360</wp:posOffset>
                </wp:positionV>
                <wp:extent cx="733425" cy="781050"/>
                <wp:effectExtent l="0" t="0" r="28575" b="19050"/>
                <wp:wrapNone/>
                <wp:docPr id="1" name="Oval 1"/>
                <wp:cNvGraphicFramePr/>
                <a:graphic xmlns:a="http://schemas.openxmlformats.org/drawingml/2006/main">
                  <a:graphicData uri="http://schemas.microsoft.com/office/word/2010/wordprocessingShape">
                    <wps:wsp>
                      <wps:cNvSpPr/>
                      <wps:spPr>
                        <a:xfrm>
                          <a:off x="0" y="0"/>
                          <a:ext cx="733425" cy="7810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D00DF9" id="Oval 1" o:spid="_x0000_s1026" style="position:absolute;margin-left:65.25pt;margin-top:16.8pt;width:57.7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" filled="f" strokecolor="red" strokeweight="1pt">
                <v:stroke joinstyle="miter"/>
              </v:oval>
            </w:pict>
          </mc:Fallback>
        </mc:AlternateContent>
      </w:r>
      <w:r w:rsidRPr="00132F83">
        <w:rPr>
          <w:rFonts w:cs="Times New Roman"/>
          <w:noProof/>
        </w:rPr>
        <w:drawing>
          <wp:inline distT="0" distB="0" distL="0" distR="0" wp14:anchorId="1BFF3E84" wp14:editId="2A0DFE0F">
            <wp:extent cx="1797050" cy="1248197"/>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iazinon2.png"/>
                    <pic:cNvPicPr/>
                  </pic:nvPicPr>
                  <pic:blipFill rotWithShape="1">
                    <a:blip r:embed="rId7">
                      <a:extLst>
                        <a:ext uri="{28A0092B-C50C-407E-A947-70E740481C1C}">
                          <a14:useLocalDpi xmlns:a14="http://schemas.microsoft.com/office/drawing/2010/main" val="0"/>
                        </a:ext>
                      </a:extLst>
                    </a:blip>
                    <a:srcRect l="14815" t="15764" r="36678" b="37931"/>
                    <a:stretch/>
                  </pic:blipFill>
                  <pic:spPr bwMode="auto">
                    <a:xfrm>
                      <a:off x="0" y="0"/>
                      <a:ext cx="1818650" cy="1263200"/>
                    </a:xfrm>
                    <a:prstGeom prst="rect">
                      <a:avLst/>
                    </a:prstGeom>
                    <a:ln>
                      <a:noFill/>
                    </a:ln>
                    <a:extLst>
                      <a:ext uri="{53640926-AAD7-44D8-BBD7-CCE9431645EC}">
                        <a14:shadowObscured xmlns:a14="http://schemas.microsoft.com/office/drawing/2010/main"/>
                      </a:ext>
                    </a:extLst>
                  </pic:spPr>
                </pic:pic>
              </a:graphicData>
            </a:graphic>
          </wp:inline>
        </w:drawing>
      </w:r>
      <w:r w:rsidRPr="00132F83">
        <w:rPr>
          <w:rFonts w:cs="Times New Roman"/>
          <w:noProof/>
        </w:rPr>
        <w:drawing>
          <wp:inline distT="0" distB="0" distL="0" distR="0" wp14:anchorId="467B6D0C" wp14:editId="081345DF">
            <wp:extent cx="1676400" cy="118138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iazoxon2.png"/>
                    <pic:cNvPicPr/>
                  </pic:nvPicPr>
                  <pic:blipFill rotWithShape="1">
                    <a:blip r:embed="rId8">
                      <a:extLst>
                        <a:ext uri="{28A0092B-C50C-407E-A947-70E740481C1C}">
                          <a14:useLocalDpi xmlns:a14="http://schemas.microsoft.com/office/drawing/2010/main" val="0"/>
                        </a:ext>
                      </a:extLst>
                    </a:blip>
                    <a:srcRect l="9558" t="18719" r="42294" b="34647"/>
                    <a:stretch/>
                  </pic:blipFill>
                  <pic:spPr bwMode="auto">
                    <a:xfrm>
                      <a:off x="0" y="0"/>
                      <a:ext cx="1692579" cy="1192784"/>
                    </a:xfrm>
                    <a:prstGeom prst="rect">
                      <a:avLst/>
                    </a:prstGeom>
                    <a:ln>
                      <a:noFill/>
                    </a:ln>
                    <a:extLst>
                      <a:ext uri="{53640926-AAD7-44D8-BBD7-CCE9431645EC}">
                        <a14:shadowObscured xmlns:a14="http://schemas.microsoft.com/office/drawing/2010/main"/>
                      </a:ext>
                    </a:extLst>
                  </pic:spPr>
                </pic:pic>
              </a:graphicData>
            </a:graphic>
          </wp:inline>
        </w:drawing>
      </w:r>
      <w:r w:rsidRPr="00132F83">
        <w:rPr>
          <w:rFonts w:cs="Times New Roman"/>
          <w:noProof/>
        </w:rPr>
        <w:drawing>
          <wp:inline distT="0" distB="0" distL="0" distR="0" wp14:anchorId="5CC371F9" wp14:editId="50F837BF">
            <wp:extent cx="1009650" cy="98032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xypyramidine2.png"/>
                    <pic:cNvPicPr/>
                  </pic:nvPicPr>
                  <pic:blipFill rotWithShape="1">
                    <a:blip r:embed="rId9">
                      <a:extLst>
                        <a:ext uri="{28A0092B-C50C-407E-A947-70E740481C1C}">
                          <a14:useLocalDpi xmlns:a14="http://schemas.microsoft.com/office/drawing/2010/main" val="0"/>
                        </a:ext>
                      </a:extLst>
                    </a:blip>
                    <a:srcRect l="9437" t="18883" r="61770" b="42693"/>
                    <a:stretch/>
                  </pic:blipFill>
                  <pic:spPr bwMode="auto">
                    <a:xfrm>
                      <a:off x="0" y="0"/>
                      <a:ext cx="1023548" cy="993817"/>
                    </a:xfrm>
                    <a:prstGeom prst="rect">
                      <a:avLst/>
                    </a:prstGeom>
                    <a:ln>
                      <a:noFill/>
                    </a:ln>
                    <a:extLst>
                      <a:ext uri="{53640926-AAD7-44D8-BBD7-CCE9431645EC}">
                        <a14:shadowObscured xmlns:a14="http://schemas.microsoft.com/office/drawing/2010/main"/>
                      </a:ext>
                    </a:extLst>
                  </pic:spPr>
                </pic:pic>
              </a:graphicData>
            </a:graphic>
          </wp:inline>
        </w:drawing>
      </w:r>
    </w:p>
    <w:p w14:paraId="42C5D7E4" w14:textId="4AB51C9A" w:rsidR="00C931FC" w:rsidRPr="00132F83" w:rsidRDefault="00C931FC" w:rsidP="00865A49">
      <w:pPr>
        <w:spacing w:after="0" w:line="240" w:lineRule="auto"/>
        <w:rPr>
          <w:rFonts w:cs="Times New Roman"/>
          <w:b/>
        </w:rPr>
      </w:pPr>
      <w:r w:rsidRPr="00132F83">
        <w:rPr>
          <w:rFonts w:cs="Times New Roman"/>
          <w:b/>
        </w:rPr>
        <w:t xml:space="preserve">Figure </w:t>
      </w:r>
      <w:r w:rsidR="005A72D8" w:rsidRPr="00132F83">
        <w:rPr>
          <w:rFonts w:cs="Times New Roman"/>
          <w:b/>
        </w:rPr>
        <w:t>B</w:t>
      </w:r>
      <w:r w:rsidR="005A72D8">
        <w:rPr>
          <w:rFonts w:cs="Times New Roman"/>
          <w:b/>
        </w:rPr>
        <w:t xml:space="preserve"> 1-9.</w:t>
      </w:r>
      <w:r w:rsidRPr="00132F83">
        <w:rPr>
          <w:rFonts w:cs="Times New Roman"/>
          <w:b/>
        </w:rPr>
        <w:t xml:space="preserve">1. Structures of diazinon, diazoxon and oxypyrimidine. </w:t>
      </w:r>
      <w:r w:rsidRPr="005A72D8">
        <w:rPr>
          <w:rFonts w:cs="Times New Roman"/>
        </w:rPr>
        <w:t xml:space="preserve">Red circle indicates active moiety of parent and oxon </w:t>
      </w:r>
      <w:r w:rsidR="0037632C" w:rsidRPr="005A72D8">
        <w:rPr>
          <w:rFonts w:cs="Times New Roman"/>
        </w:rPr>
        <w:t>degradate</w:t>
      </w:r>
      <w:r w:rsidRPr="005A72D8">
        <w:rPr>
          <w:rFonts w:cs="Times New Roman"/>
        </w:rPr>
        <w:t>.</w:t>
      </w:r>
      <w:r w:rsidRPr="005A72D8">
        <w:rPr>
          <w:rFonts w:cs="Times New Roman"/>
        </w:rPr>
        <w:tab/>
      </w:r>
      <w:r w:rsidRPr="005A72D8">
        <w:rPr>
          <w:rFonts w:cs="Times New Roman"/>
        </w:rPr>
        <w:tab/>
      </w:r>
    </w:p>
    <w:p w14:paraId="75D85073" w14:textId="3AF815C7" w:rsidR="00C931FC" w:rsidRPr="00132F83" w:rsidRDefault="00C931FC" w:rsidP="00865A49">
      <w:pPr>
        <w:spacing w:after="0" w:line="240" w:lineRule="auto"/>
        <w:rPr>
          <w:rFonts w:cs="Times New Roman"/>
        </w:rPr>
      </w:pPr>
      <w:r w:rsidRPr="00132F83">
        <w:rPr>
          <w:rFonts w:cs="Times New Roman"/>
        </w:rPr>
        <w:t xml:space="preserve"> </w:t>
      </w:r>
    </w:p>
    <w:p w14:paraId="69C37D1D" w14:textId="0D5F100A" w:rsidR="0037632C" w:rsidRPr="00132F83" w:rsidRDefault="00210F0F" w:rsidP="00865A49">
      <w:pPr>
        <w:spacing w:after="0" w:line="240" w:lineRule="auto"/>
        <w:rPr>
          <w:rFonts w:cs="Times New Roman"/>
        </w:rPr>
      </w:pPr>
      <w:r w:rsidRPr="00132F83">
        <w:rPr>
          <w:rFonts w:cs="Times New Roman"/>
        </w:rPr>
        <w:t xml:space="preserve">Data are available for </w:t>
      </w:r>
      <w:r w:rsidR="00A11582" w:rsidRPr="00132F83">
        <w:rPr>
          <w:rFonts w:cs="Times New Roman"/>
        </w:rPr>
        <w:t xml:space="preserve">two species of birds, one species of frog (aquatic phase) and </w:t>
      </w:r>
      <w:r w:rsidR="00F76D53" w:rsidRPr="00132F83">
        <w:rPr>
          <w:rFonts w:cs="Times New Roman"/>
        </w:rPr>
        <w:t>two</w:t>
      </w:r>
      <w:r w:rsidR="00A11582" w:rsidRPr="00132F83">
        <w:rPr>
          <w:rFonts w:cs="Times New Roman"/>
        </w:rPr>
        <w:t xml:space="preserve"> species of aquatic invertebrate </w:t>
      </w:r>
      <w:r w:rsidRPr="00132F83">
        <w:rPr>
          <w:rFonts w:cs="Times New Roman"/>
        </w:rPr>
        <w:t>exposed to diazoxon (</w:t>
      </w:r>
      <w:r w:rsidR="00A11582" w:rsidRPr="00132F83">
        <w:rPr>
          <w:rFonts w:cs="Times New Roman"/>
          <w:b/>
        </w:rPr>
        <w:t xml:space="preserve">Table </w:t>
      </w:r>
      <w:r w:rsidR="005A72D8" w:rsidRPr="00132F83">
        <w:rPr>
          <w:rFonts w:cs="Times New Roman"/>
          <w:b/>
        </w:rPr>
        <w:t>B</w:t>
      </w:r>
      <w:r w:rsidR="005A72D8">
        <w:rPr>
          <w:rFonts w:cs="Times New Roman"/>
          <w:b/>
        </w:rPr>
        <w:t xml:space="preserve"> 1-9.</w:t>
      </w:r>
      <w:r w:rsidR="00A11582" w:rsidRPr="00132F83">
        <w:rPr>
          <w:rFonts w:cs="Times New Roman"/>
          <w:b/>
        </w:rPr>
        <w:t>1</w:t>
      </w:r>
      <w:r w:rsidR="00A11582" w:rsidRPr="00132F83">
        <w:rPr>
          <w:rFonts w:cs="Times New Roman"/>
        </w:rPr>
        <w:t xml:space="preserve">). </w:t>
      </w:r>
      <w:r w:rsidR="006C7B60" w:rsidRPr="00132F83">
        <w:rPr>
          <w:rFonts w:cs="Times New Roman"/>
        </w:rPr>
        <w:t>The available</w:t>
      </w:r>
      <w:r w:rsidR="0037632C" w:rsidRPr="00132F83">
        <w:rPr>
          <w:rFonts w:cs="Times New Roman"/>
        </w:rPr>
        <w:t xml:space="preserve"> </w:t>
      </w:r>
      <w:r w:rsidR="006C7B60" w:rsidRPr="00132F83">
        <w:rPr>
          <w:rFonts w:cs="Times New Roman"/>
        </w:rPr>
        <w:t xml:space="preserve">mortality and reproduction endpoints </w:t>
      </w:r>
      <w:r w:rsidR="0037632C" w:rsidRPr="00132F83">
        <w:rPr>
          <w:rFonts w:cs="Times New Roman"/>
        </w:rPr>
        <w:t xml:space="preserve">for the parent and oxon are within an order of magnitude of each other (often with overlapping confidence intervals). </w:t>
      </w:r>
      <w:r w:rsidR="006C7B60" w:rsidRPr="00132F83">
        <w:rPr>
          <w:rFonts w:cs="Times New Roman"/>
        </w:rPr>
        <w:t>AChE inhibition endpoints for one aquatic invertebrate indicate that the oxon is 3 orders of magnitude more toxic than the parent. This is expected since the toxicity of diazinon is attributed to transformation by organisms to the oxon. The available data</w:t>
      </w:r>
      <w:r w:rsidR="0037632C" w:rsidRPr="00132F83">
        <w:rPr>
          <w:rFonts w:cs="Times New Roman"/>
        </w:rPr>
        <w:t xml:space="preserve"> indicate that </w:t>
      </w:r>
      <w:r w:rsidRPr="00132F83">
        <w:rPr>
          <w:rFonts w:cs="Times New Roman"/>
        </w:rPr>
        <w:t xml:space="preserve">diazoxon is of similar or greater toxicity </w:t>
      </w:r>
      <w:r w:rsidR="00A11582" w:rsidRPr="00132F83">
        <w:rPr>
          <w:rFonts w:cs="Times New Roman"/>
        </w:rPr>
        <w:t xml:space="preserve">compared to the parent.  </w:t>
      </w:r>
      <w:r w:rsidR="0037632C" w:rsidRPr="00132F83">
        <w:rPr>
          <w:rFonts w:cs="Times New Roman"/>
        </w:rPr>
        <w:t>Therefore, diazoxon is considered to be a degradate of concern, whereas oxypyrimidine is not of toxicological concern.</w:t>
      </w:r>
    </w:p>
    <w:p w14:paraId="23BC87CD" w14:textId="77777777" w:rsidR="0037632C" w:rsidRPr="00132F83" w:rsidRDefault="0037632C" w:rsidP="00865A49">
      <w:pPr>
        <w:spacing w:after="0" w:line="240" w:lineRule="auto"/>
        <w:rPr>
          <w:rFonts w:cs="Times New Roman"/>
        </w:rPr>
      </w:pPr>
    </w:p>
    <w:p w14:paraId="2B011F94" w14:textId="350BA04A" w:rsidR="00A11582" w:rsidRPr="00132F83" w:rsidRDefault="0037632C" w:rsidP="00865A49">
      <w:pPr>
        <w:spacing w:after="0" w:line="240" w:lineRule="auto"/>
        <w:rPr>
          <w:rFonts w:cs="Times New Roman"/>
        </w:rPr>
      </w:pPr>
      <w:r w:rsidRPr="00132F83">
        <w:rPr>
          <w:rFonts w:cs="Times New Roman"/>
        </w:rPr>
        <w:t>For oxypyrimidine, data are available for two species of birds, one species of fish, one species of aquatic invertebrate and one species of algae (</w:t>
      </w:r>
      <w:r w:rsidRPr="00132F83">
        <w:rPr>
          <w:rFonts w:cs="Times New Roman"/>
          <w:b/>
        </w:rPr>
        <w:t xml:space="preserve">Table </w:t>
      </w:r>
      <w:r w:rsidR="005A72D8" w:rsidRPr="00132F83">
        <w:rPr>
          <w:rFonts w:cs="Times New Roman"/>
          <w:b/>
        </w:rPr>
        <w:t>B</w:t>
      </w:r>
      <w:r w:rsidR="005A72D8">
        <w:rPr>
          <w:rFonts w:cs="Times New Roman"/>
          <w:b/>
        </w:rPr>
        <w:t xml:space="preserve"> 1-9.</w:t>
      </w:r>
      <w:r w:rsidRPr="00132F83">
        <w:rPr>
          <w:rFonts w:cs="Times New Roman"/>
          <w:b/>
        </w:rPr>
        <w:t>2</w:t>
      </w:r>
      <w:r w:rsidRPr="00132F83">
        <w:rPr>
          <w:rFonts w:cs="Times New Roman"/>
        </w:rPr>
        <w:t xml:space="preserve">). </w:t>
      </w:r>
      <w:r w:rsidR="00A11582" w:rsidRPr="00132F83">
        <w:rPr>
          <w:rFonts w:cs="Times New Roman"/>
        </w:rPr>
        <w:t>O</w:t>
      </w:r>
      <w:r w:rsidR="00210F0F" w:rsidRPr="00132F83">
        <w:rPr>
          <w:rFonts w:cs="Times New Roman"/>
        </w:rPr>
        <w:t xml:space="preserve">xypyrimidine is orders of magnitude less toxic compared to the parent. </w:t>
      </w:r>
      <w:r w:rsidRPr="00132F83">
        <w:rPr>
          <w:rFonts w:cs="Times New Roman"/>
        </w:rPr>
        <w:t>Therefore</w:t>
      </w:r>
      <w:r w:rsidR="008A4928">
        <w:rPr>
          <w:rFonts w:cs="Times New Roman"/>
        </w:rPr>
        <w:t>,</w:t>
      </w:r>
      <w:r w:rsidRPr="00132F83">
        <w:rPr>
          <w:rFonts w:cs="Times New Roman"/>
        </w:rPr>
        <w:t xml:space="preserve"> oxypyrimidine is not of toxicological concern and will not be considered further.</w:t>
      </w:r>
    </w:p>
    <w:p w14:paraId="2E8F2B97" w14:textId="77777777" w:rsidR="00210F0F" w:rsidRPr="00132F83" w:rsidRDefault="00210F0F" w:rsidP="00865A49">
      <w:pPr>
        <w:spacing w:after="0" w:line="240" w:lineRule="auto"/>
        <w:rPr>
          <w:rFonts w:cs="Times New Roman"/>
          <w:highlight w:val="yellow"/>
        </w:rPr>
      </w:pPr>
    </w:p>
    <w:p w14:paraId="4588046A" w14:textId="77777777" w:rsidR="00210F0F" w:rsidRPr="00132F83" w:rsidRDefault="00210F0F" w:rsidP="00865A49">
      <w:pPr>
        <w:spacing w:after="0" w:line="240" w:lineRule="auto"/>
        <w:rPr>
          <w:rFonts w:cs="Times New Roman"/>
          <w:i/>
        </w:rPr>
      </w:pPr>
    </w:p>
    <w:p w14:paraId="0E1E3811" w14:textId="77777777" w:rsidR="00210F0F" w:rsidRPr="00132F83" w:rsidRDefault="00210F0F" w:rsidP="00865A49">
      <w:pPr>
        <w:spacing w:after="0" w:line="240" w:lineRule="auto"/>
        <w:rPr>
          <w:rFonts w:cs="Times New Roman"/>
          <w:b/>
        </w:rPr>
      </w:pPr>
      <w:r w:rsidRPr="00132F83">
        <w:rPr>
          <w:rFonts w:cs="Times New Roman"/>
          <w:b/>
        </w:rPr>
        <w:br w:type="page"/>
      </w:r>
    </w:p>
    <w:p w14:paraId="3859AAAF" w14:textId="77777777" w:rsidR="00210F0F" w:rsidRPr="00132F83" w:rsidRDefault="00210F0F" w:rsidP="00865A49">
      <w:pPr>
        <w:spacing w:after="0" w:line="240" w:lineRule="auto"/>
        <w:rPr>
          <w:rFonts w:cs="Times New Roman"/>
          <w:b/>
        </w:rPr>
        <w:sectPr w:rsidR="00210F0F" w:rsidRPr="00132F83">
          <w:footerReference w:type="default" r:id="rId10"/>
          <w:pgSz w:w="12240" w:h="15840"/>
          <w:pgMar w:top="1440" w:right="1440" w:bottom="1440" w:left="1440" w:header="720" w:footer="720" w:gutter="0"/>
          <w:pgNumType w:start="1"/>
          <w:cols w:space="720"/>
        </w:sectPr>
      </w:pPr>
    </w:p>
    <w:p w14:paraId="62F5D27D" w14:textId="66578792" w:rsidR="00210F0F" w:rsidRPr="00132F83" w:rsidRDefault="000E6085" w:rsidP="00865A49">
      <w:pPr>
        <w:spacing w:after="0" w:line="240" w:lineRule="auto"/>
        <w:rPr>
          <w:rFonts w:cs="Times New Roman"/>
          <w:b/>
        </w:rPr>
      </w:pPr>
      <w:r w:rsidRPr="00132F83">
        <w:rPr>
          <w:rFonts w:cs="Times New Roman"/>
          <w:b/>
        </w:rPr>
        <w:lastRenderedPageBreak/>
        <w:t xml:space="preserve">Table </w:t>
      </w:r>
      <w:r w:rsidR="005A72D8" w:rsidRPr="00132F83">
        <w:rPr>
          <w:rFonts w:cs="Times New Roman"/>
          <w:b/>
        </w:rPr>
        <w:t>B</w:t>
      </w:r>
      <w:r w:rsidR="005A72D8">
        <w:rPr>
          <w:rFonts w:cs="Times New Roman"/>
          <w:b/>
        </w:rPr>
        <w:t xml:space="preserve"> 1-9.</w:t>
      </w:r>
      <w:r w:rsidRPr="00132F83">
        <w:rPr>
          <w:rFonts w:cs="Times New Roman"/>
          <w:b/>
        </w:rPr>
        <w:t>1</w:t>
      </w:r>
      <w:r w:rsidR="00210F0F" w:rsidRPr="00132F83">
        <w:rPr>
          <w:rFonts w:cs="Times New Roman"/>
          <w:b/>
        </w:rPr>
        <w:t xml:space="preserve">. Comparison of </w:t>
      </w:r>
      <w:r w:rsidR="00F6303D" w:rsidRPr="00132F83">
        <w:rPr>
          <w:rFonts w:cs="Times New Roman"/>
          <w:b/>
        </w:rPr>
        <w:t>toxicity data available for diazinon and diazoxon</w:t>
      </w:r>
      <w:r w:rsidR="00210F0F" w:rsidRPr="00132F83">
        <w:rPr>
          <w:rFonts w:cs="Times New Roman"/>
          <w:b/>
        </w:rPr>
        <w:t>.</w:t>
      </w:r>
      <w:r w:rsidR="00F6303D" w:rsidRPr="00132F83">
        <w:rPr>
          <w:rFonts w:cs="Times New Roman"/>
          <w:b/>
        </w:rPr>
        <w:t xml:space="preserve"> </w:t>
      </w:r>
    </w:p>
    <w:tbl>
      <w:tblPr>
        <w:tblW w:w="130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20" w:firstRow="1" w:lastRow="0" w:firstColumn="0" w:lastColumn="0" w:noHBand="0" w:noVBand="1"/>
      </w:tblPr>
      <w:tblGrid>
        <w:gridCol w:w="1880"/>
        <w:gridCol w:w="1800"/>
        <w:gridCol w:w="1710"/>
        <w:gridCol w:w="1620"/>
        <w:gridCol w:w="2160"/>
        <w:gridCol w:w="3870"/>
      </w:tblGrid>
      <w:tr w:rsidR="00210F0F" w:rsidRPr="00132F83" w14:paraId="14930D41" w14:textId="77777777" w:rsidTr="006C7B60">
        <w:trPr>
          <w:cantSplit/>
          <w:trHeight w:val="20"/>
          <w:tblHeader/>
        </w:trPr>
        <w:tc>
          <w:tcPr>
            <w:tcW w:w="1880" w:type="dxa"/>
            <w:shd w:val="clear" w:color="auto" w:fill="FFFFFF" w:themeFill="background1"/>
          </w:tcPr>
          <w:p w14:paraId="0B98FA3A" w14:textId="77777777" w:rsidR="00210F0F" w:rsidRPr="00132F83" w:rsidRDefault="00210F0F" w:rsidP="00865A49">
            <w:pPr>
              <w:spacing w:after="0" w:line="240" w:lineRule="auto"/>
              <w:rPr>
                <w:rFonts w:cs="Times New Roman"/>
                <w:b/>
                <w:bCs/>
              </w:rPr>
            </w:pPr>
            <w:r w:rsidRPr="00132F83">
              <w:rPr>
                <w:rFonts w:cs="Times New Roman"/>
                <w:b/>
                <w:bCs/>
              </w:rPr>
              <w:t>Test species</w:t>
            </w:r>
          </w:p>
        </w:tc>
        <w:tc>
          <w:tcPr>
            <w:tcW w:w="1800" w:type="dxa"/>
            <w:shd w:val="clear" w:color="auto" w:fill="FFFFFF" w:themeFill="background1"/>
            <w:tcMar>
              <w:top w:w="72" w:type="dxa"/>
              <w:left w:w="144" w:type="dxa"/>
              <w:bottom w:w="72" w:type="dxa"/>
              <w:right w:w="144" w:type="dxa"/>
            </w:tcMar>
            <w:hideMark/>
          </w:tcPr>
          <w:p w14:paraId="06C43D5E" w14:textId="77777777" w:rsidR="00210F0F" w:rsidRPr="00132F83" w:rsidRDefault="00210F0F" w:rsidP="00865A49">
            <w:pPr>
              <w:spacing w:after="0" w:line="240" w:lineRule="auto"/>
              <w:rPr>
                <w:rFonts w:cs="Times New Roman"/>
              </w:rPr>
            </w:pPr>
            <w:r w:rsidRPr="00132F83">
              <w:rPr>
                <w:rFonts w:cs="Times New Roman"/>
                <w:b/>
                <w:bCs/>
              </w:rPr>
              <w:t>Endpoint (units)</w:t>
            </w:r>
          </w:p>
        </w:tc>
        <w:tc>
          <w:tcPr>
            <w:tcW w:w="1710" w:type="dxa"/>
            <w:shd w:val="clear" w:color="auto" w:fill="FFFFFF" w:themeFill="background1"/>
            <w:tcMar>
              <w:top w:w="72" w:type="dxa"/>
              <w:left w:w="144" w:type="dxa"/>
              <w:bottom w:w="72" w:type="dxa"/>
              <w:right w:w="144" w:type="dxa"/>
            </w:tcMar>
            <w:hideMark/>
          </w:tcPr>
          <w:p w14:paraId="3172FEC4" w14:textId="77777777" w:rsidR="00210F0F" w:rsidRPr="00132F83" w:rsidRDefault="00210F0F" w:rsidP="00865A49">
            <w:pPr>
              <w:spacing w:after="0" w:line="240" w:lineRule="auto"/>
              <w:rPr>
                <w:rFonts w:cs="Times New Roman"/>
              </w:rPr>
            </w:pPr>
            <w:r w:rsidRPr="00132F83">
              <w:rPr>
                <w:rFonts w:cs="Times New Roman"/>
                <w:b/>
                <w:bCs/>
              </w:rPr>
              <w:t>Diazinon value (</w:t>
            </w:r>
            <w:r w:rsidR="00F6303D" w:rsidRPr="00132F83">
              <w:rPr>
                <w:rFonts w:cs="Times New Roman"/>
                <w:b/>
                <w:bCs/>
              </w:rPr>
              <w:t>CI</w:t>
            </w:r>
            <w:r w:rsidRPr="00132F83">
              <w:rPr>
                <w:rFonts w:cs="Times New Roman"/>
                <w:b/>
                <w:bCs/>
              </w:rPr>
              <w:t>)</w:t>
            </w:r>
          </w:p>
        </w:tc>
        <w:tc>
          <w:tcPr>
            <w:tcW w:w="1620" w:type="dxa"/>
            <w:shd w:val="clear" w:color="auto" w:fill="FFFFFF" w:themeFill="background1"/>
            <w:tcMar>
              <w:top w:w="72" w:type="dxa"/>
              <w:left w:w="144" w:type="dxa"/>
              <w:bottom w:w="72" w:type="dxa"/>
              <w:right w:w="144" w:type="dxa"/>
            </w:tcMar>
            <w:hideMark/>
          </w:tcPr>
          <w:p w14:paraId="23A460D9" w14:textId="77777777" w:rsidR="00210F0F" w:rsidRPr="00132F83" w:rsidRDefault="00210F0F" w:rsidP="00865A49">
            <w:pPr>
              <w:spacing w:after="0" w:line="240" w:lineRule="auto"/>
              <w:rPr>
                <w:rFonts w:cs="Times New Roman"/>
              </w:rPr>
            </w:pPr>
            <w:r w:rsidRPr="00132F83">
              <w:rPr>
                <w:rFonts w:cs="Times New Roman"/>
                <w:b/>
                <w:bCs/>
              </w:rPr>
              <w:t>Diazoxon value (</w:t>
            </w:r>
            <w:r w:rsidR="00F6303D" w:rsidRPr="00132F83">
              <w:rPr>
                <w:rFonts w:cs="Times New Roman"/>
                <w:b/>
                <w:bCs/>
              </w:rPr>
              <w:t>CI)</w:t>
            </w:r>
          </w:p>
        </w:tc>
        <w:tc>
          <w:tcPr>
            <w:tcW w:w="2160" w:type="dxa"/>
            <w:shd w:val="clear" w:color="auto" w:fill="FFFFFF" w:themeFill="background1"/>
          </w:tcPr>
          <w:p w14:paraId="74242EC9" w14:textId="77777777" w:rsidR="00210F0F" w:rsidRPr="00132F83" w:rsidRDefault="00210F0F" w:rsidP="00865A49">
            <w:pPr>
              <w:spacing w:after="0" w:line="240" w:lineRule="auto"/>
              <w:rPr>
                <w:rFonts w:cs="Times New Roman"/>
                <w:b/>
                <w:bCs/>
              </w:rPr>
            </w:pPr>
            <w:r w:rsidRPr="00132F83">
              <w:rPr>
                <w:rFonts w:cs="Times New Roman"/>
                <w:b/>
                <w:bCs/>
              </w:rPr>
              <w:t>Sources</w:t>
            </w:r>
          </w:p>
        </w:tc>
        <w:tc>
          <w:tcPr>
            <w:tcW w:w="3870" w:type="dxa"/>
            <w:shd w:val="clear" w:color="auto" w:fill="FFFFFF" w:themeFill="background1"/>
            <w:tcMar>
              <w:top w:w="72" w:type="dxa"/>
              <w:left w:w="144" w:type="dxa"/>
              <w:bottom w:w="72" w:type="dxa"/>
              <w:right w:w="144" w:type="dxa"/>
            </w:tcMar>
            <w:hideMark/>
          </w:tcPr>
          <w:p w14:paraId="2B23B993" w14:textId="77777777" w:rsidR="00210F0F" w:rsidRPr="00132F83" w:rsidRDefault="00210F0F" w:rsidP="00865A49">
            <w:pPr>
              <w:spacing w:after="0" w:line="240" w:lineRule="auto"/>
              <w:rPr>
                <w:rFonts w:cs="Times New Roman"/>
              </w:rPr>
            </w:pPr>
            <w:r w:rsidRPr="00132F83">
              <w:rPr>
                <w:rFonts w:cs="Times New Roman"/>
                <w:b/>
                <w:bCs/>
              </w:rPr>
              <w:t>Comments</w:t>
            </w:r>
          </w:p>
        </w:tc>
      </w:tr>
      <w:tr w:rsidR="00210F0F" w:rsidRPr="00132F83" w14:paraId="11D28B88" w14:textId="77777777" w:rsidTr="006C7B60">
        <w:trPr>
          <w:cantSplit/>
          <w:trHeight w:val="20"/>
        </w:trPr>
        <w:tc>
          <w:tcPr>
            <w:tcW w:w="1880" w:type="dxa"/>
            <w:vMerge w:val="restart"/>
            <w:shd w:val="clear" w:color="auto" w:fill="FFFFFF" w:themeFill="background1"/>
          </w:tcPr>
          <w:p w14:paraId="687029B6" w14:textId="77777777" w:rsidR="00210F0F" w:rsidRPr="00132F83" w:rsidRDefault="00210F0F" w:rsidP="00865A49">
            <w:pPr>
              <w:spacing w:after="0" w:line="240" w:lineRule="auto"/>
              <w:rPr>
                <w:rFonts w:cs="Times New Roman"/>
              </w:rPr>
            </w:pPr>
            <w:r w:rsidRPr="00132F83">
              <w:rPr>
                <w:rFonts w:cs="Times New Roman"/>
              </w:rPr>
              <w:t>Northern bobwhite</w:t>
            </w:r>
          </w:p>
        </w:tc>
        <w:tc>
          <w:tcPr>
            <w:tcW w:w="1800" w:type="dxa"/>
            <w:vMerge w:val="restart"/>
            <w:shd w:val="clear" w:color="auto" w:fill="FFFFFF" w:themeFill="background1"/>
            <w:tcMar>
              <w:top w:w="72" w:type="dxa"/>
              <w:left w:w="144" w:type="dxa"/>
              <w:bottom w:w="72" w:type="dxa"/>
              <w:right w:w="144" w:type="dxa"/>
            </w:tcMar>
            <w:hideMark/>
          </w:tcPr>
          <w:p w14:paraId="31FD26AD" w14:textId="77777777" w:rsidR="00210F0F" w:rsidRPr="00132F83" w:rsidRDefault="00210F0F" w:rsidP="00865A49">
            <w:pPr>
              <w:spacing w:after="0" w:line="240" w:lineRule="auto"/>
              <w:rPr>
                <w:rFonts w:cs="Times New Roman"/>
              </w:rPr>
            </w:pPr>
            <w:r w:rsidRPr="00132F83">
              <w:rPr>
                <w:rFonts w:cs="Times New Roman"/>
              </w:rPr>
              <w:t xml:space="preserve">LD50 </w:t>
            </w:r>
          </w:p>
          <w:p w14:paraId="57C1827A" w14:textId="77777777" w:rsidR="00210F0F" w:rsidRPr="00132F83" w:rsidRDefault="00210F0F" w:rsidP="00865A49">
            <w:pPr>
              <w:spacing w:after="0" w:line="240" w:lineRule="auto"/>
              <w:rPr>
                <w:rFonts w:cs="Times New Roman"/>
              </w:rPr>
            </w:pPr>
            <w:r w:rsidRPr="00132F83">
              <w:rPr>
                <w:rFonts w:cs="Times New Roman"/>
              </w:rPr>
              <w:t>(mg/kg-bw)</w:t>
            </w:r>
          </w:p>
        </w:tc>
        <w:tc>
          <w:tcPr>
            <w:tcW w:w="1710" w:type="dxa"/>
            <w:shd w:val="clear" w:color="auto" w:fill="FFFFFF" w:themeFill="background1"/>
            <w:tcMar>
              <w:top w:w="72" w:type="dxa"/>
              <w:left w:w="144" w:type="dxa"/>
              <w:bottom w:w="72" w:type="dxa"/>
              <w:right w:w="144" w:type="dxa"/>
            </w:tcMar>
            <w:hideMark/>
          </w:tcPr>
          <w:p w14:paraId="35B77509" w14:textId="77777777" w:rsidR="00210F0F" w:rsidRPr="00132F83" w:rsidRDefault="00210F0F" w:rsidP="00865A49">
            <w:pPr>
              <w:spacing w:after="0" w:line="240" w:lineRule="auto"/>
              <w:rPr>
                <w:rFonts w:cs="Times New Roman"/>
              </w:rPr>
            </w:pPr>
            <w:r w:rsidRPr="00132F83">
              <w:rPr>
                <w:rFonts w:cs="Times New Roman"/>
              </w:rPr>
              <w:t>5.2 (3.5-7.6)</w:t>
            </w:r>
          </w:p>
        </w:tc>
        <w:tc>
          <w:tcPr>
            <w:tcW w:w="1620" w:type="dxa"/>
            <w:vMerge w:val="restart"/>
            <w:shd w:val="clear" w:color="auto" w:fill="FFFFFF" w:themeFill="background1"/>
            <w:tcMar>
              <w:top w:w="72" w:type="dxa"/>
              <w:left w:w="144" w:type="dxa"/>
              <w:bottom w:w="72" w:type="dxa"/>
              <w:right w:w="144" w:type="dxa"/>
            </w:tcMar>
            <w:hideMark/>
          </w:tcPr>
          <w:p w14:paraId="5A11B7A1" w14:textId="77777777" w:rsidR="00210F0F" w:rsidRPr="00132F83" w:rsidRDefault="00210F0F" w:rsidP="00865A49">
            <w:pPr>
              <w:spacing w:after="0" w:line="240" w:lineRule="auto"/>
              <w:rPr>
                <w:rFonts w:cs="Times New Roman"/>
              </w:rPr>
            </w:pPr>
            <w:r w:rsidRPr="00132F83">
              <w:rPr>
                <w:rFonts w:cs="Times New Roman"/>
              </w:rPr>
              <w:t>5.0 (4.1-6.3)</w:t>
            </w:r>
          </w:p>
        </w:tc>
        <w:tc>
          <w:tcPr>
            <w:tcW w:w="2160" w:type="dxa"/>
            <w:vMerge w:val="restart"/>
            <w:shd w:val="clear" w:color="auto" w:fill="FFFFFF" w:themeFill="background1"/>
          </w:tcPr>
          <w:p w14:paraId="74BE81C3" w14:textId="77777777" w:rsidR="00210F0F" w:rsidRPr="00132F83" w:rsidRDefault="00210F0F" w:rsidP="00865A49">
            <w:pPr>
              <w:spacing w:after="0" w:line="240" w:lineRule="auto"/>
              <w:rPr>
                <w:rFonts w:cs="Times New Roman"/>
              </w:rPr>
            </w:pPr>
            <w:r w:rsidRPr="00132F83">
              <w:rPr>
                <w:rFonts w:cs="Times New Roman"/>
              </w:rPr>
              <w:t>MRIDs 109015, 46579604, ECOTOX 37111</w:t>
            </w:r>
          </w:p>
          <w:p w14:paraId="4B8513B8" w14:textId="77777777" w:rsidR="00210F0F" w:rsidRPr="00132F83" w:rsidRDefault="00210F0F" w:rsidP="00865A49">
            <w:pPr>
              <w:spacing w:after="0" w:line="240" w:lineRule="auto"/>
              <w:rPr>
                <w:rFonts w:cs="Times New Roman"/>
              </w:rPr>
            </w:pPr>
            <w:r w:rsidRPr="00132F83">
              <w:rPr>
                <w:rFonts w:cs="Times New Roman"/>
              </w:rPr>
              <w:t>and 37112</w:t>
            </w:r>
          </w:p>
          <w:p w14:paraId="4B5259AD" w14:textId="77777777" w:rsidR="00210F0F" w:rsidRPr="00132F83" w:rsidRDefault="00210F0F" w:rsidP="00865A49">
            <w:pPr>
              <w:spacing w:after="0" w:line="240" w:lineRule="auto"/>
              <w:rPr>
                <w:rFonts w:cs="Times New Roman"/>
              </w:rPr>
            </w:pPr>
          </w:p>
        </w:tc>
        <w:tc>
          <w:tcPr>
            <w:tcW w:w="3870" w:type="dxa"/>
            <w:vMerge w:val="restart"/>
            <w:shd w:val="clear" w:color="auto" w:fill="FFFFFF" w:themeFill="background1"/>
            <w:tcMar>
              <w:top w:w="72" w:type="dxa"/>
              <w:left w:w="144" w:type="dxa"/>
              <w:bottom w:w="72" w:type="dxa"/>
              <w:right w:w="144" w:type="dxa"/>
            </w:tcMar>
            <w:hideMark/>
          </w:tcPr>
          <w:p w14:paraId="314727E7" w14:textId="23EA54E5" w:rsidR="00210F0F" w:rsidRPr="00132F83" w:rsidRDefault="00210F0F" w:rsidP="003E5ED1">
            <w:pPr>
              <w:spacing w:after="0" w:line="240" w:lineRule="auto"/>
              <w:rPr>
                <w:rFonts w:cs="Times New Roman"/>
              </w:rPr>
            </w:pPr>
            <w:r w:rsidRPr="00132F83">
              <w:rPr>
                <w:rFonts w:cs="Times New Roman"/>
              </w:rPr>
              <w:t xml:space="preserve">Values show that diazoxon is of similar or slightly greater </w:t>
            </w:r>
            <w:r w:rsidR="003E5ED1" w:rsidRPr="00132F83">
              <w:rPr>
                <w:rFonts w:cs="Times New Roman"/>
              </w:rPr>
              <w:t>toxicity compared to diazinon</w:t>
            </w:r>
            <w:r w:rsidRPr="00132F83">
              <w:rPr>
                <w:rFonts w:cs="Times New Roman"/>
              </w:rPr>
              <w:t>.</w:t>
            </w:r>
          </w:p>
        </w:tc>
      </w:tr>
      <w:tr w:rsidR="00210F0F" w:rsidRPr="00132F83" w14:paraId="4CBC690C" w14:textId="77777777" w:rsidTr="006C7B60">
        <w:trPr>
          <w:cantSplit/>
          <w:trHeight w:val="20"/>
        </w:trPr>
        <w:tc>
          <w:tcPr>
            <w:tcW w:w="1880" w:type="dxa"/>
            <w:vMerge/>
            <w:shd w:val="clear" w:color="auto" w:fill="FFFFFF" w:themeFill="background1"/>
          </w:tcPr>
          <w:p w14:paraId="553FA63D" w14:textId="77777777" w:rsidR="00210F0F" w:rsidRPr="00132F83" w:rsidRDefault="00210F0F" w:rsidP="00865A49">
            <w:pPr>
              <w:spacing w:after="0" w:line="240" w:lineRule="auto"/>
              <w:rPr>
                <w:rFonts w:cs="Times New Roman"/>
              </w:rPr>
            </w:pPr>
          </w:p>
        </w:tc>
        <w:tc>
          <w:tcPr>
            <w:tcW w:w="1800" w:type="dxa"/>
            <w:vMerge/>
            <w:shd w:val="clear" w:color="auto" w:fill="FFFFFF" w:themeFill="background1"/>
            <w:tcMar>
              <w:top w:w="72" w:type="dxa"/>
              <w:left w:w="144" w:type="dxa"/>
              <w:bottom w:w="72" w:type="dxa"/>
              <w:right w:w="144" w:type="dxa"/>
            </w:tcMar>
          </w:tcPr>
          <w:p w14:paraId="05D95718" w14:textId="77777777" w:rsidR="00210F0F" w:rsidRPr="00132F83" w:rsidRDefault="00210F0F" w:rsidP="00865A49">
            <w:pPr>
              <w:spacing w:after="0" w:line="240" w:lineRule="auto"/>
              <w:rPr>
                <w:rFonts w:cs="Times New Roman"/>
              </w:rPr>
            </w:pPr>
          </w:p>
        </w:tc>
        <w:tc>
          <w:tcPr>
            <w:tcW w:w="1710" w:type="dxa"/>
            <w:shd w:val="clear" w:color="auto" w:fill="FFFFFF" w:themeFill="background1"/>
            <w:tcMar>
              <w:top w:w="72" w:type="dxa"/>
              <w:left w:w="144" w:type="dxa"/>
              <w:bottom w:w="72" w:type="dxa"/>
              <w:right w:w="144" w:type="dxa"/>
            </w:tcMar>
          </w:tcPr>
          <w:p w14:paraId="7DEEDA87" w14:textId="77777777" w:rsidR="00210F0F" w:rsidRPr="00132F83" w:rsidRDefault="00210F0F" w:rsidP="00865A49">
            <w:pPr>
              <w:spacing w:after="0" w:line="240" w:lineRule="auto"/>
              <w:rPr>
                <w:rFonts w:cs="Times New Roman"/>
              </w:rPr>
            </w:pPr>
            <w:r w:rsidRPr="00132F83">
              <w:rPr>
                <w:rFonts w:cs="Times New Roman"/>
              </w:rPr>
              <w:t>10 (7-13)</w:t>
            </w:r>
          </w:p>
        </w:tc>
        <w:tc>
          <w:tcPr>
            <w:tcW w:w="1620" w:type="dxa"/>
            <w:vMerge/>
            <w:shd w:val="clear" w:color="auto" w:fill="FFFFFF" w:themeFill="background1"/>
            <w:tcMar>
              <w:top w:w="72" w:type="dxa"/>
              <w:left w:w="144" w:type="dxa"/>
              <w:bottom w:w="72" w:type="dxa"/>
              <w:right w:w="144" w:type="dxa"/>
            </w:tcMar>
          </w:tcPr>
          <w:p w14:paraId="4F4270B1" w14:textId="77777777" w:rsidR="00210F0F" w:rsidRPr="00132F83" w:rsidRDefault="00210F0F" w:rsidP="00865A49">
            <w:pPr>
              <w:spacing w:after="0" w:line="240" w:lineRule="auto"/>
              <w:rPr>
                <w:rFonts w:cs="Times New Roman"/>
              </w:rPr>
            </w:pPr>
          </w:p>
        </w:tc>
        <w:tc>
          <w:tcPr>
            <w:tcW w:w="2160" w:type="dxa"/>
            <w:vMerge/>
            <w:shd w:val="clear" w:color="auto" w:fill="FFFFFF" w:themeFill="background1"/>
          </w:tcPr>
          <w:p w14:paraId="42EA15AF" w14:textId="77777777" w:rsidR="00210F0F" w:rsidRPr="00132F83" w:rsidRDefault="00210F0F" w:rsidP="00865A49">
            <w:pPr>
              <w:spacing w:after="0" w:line="240" w:lineRule="auto"/>
              <w:rPr>
                <w:rFonts w:cs="Times New Roman"/>
              </w:rPr>
            </w:pPr>
          </w:p>
        </w:tc>
        <w:tc>
          <w:tcPr>
            <w:tcW w:w="3870" w:type="dxa"/>
            <w:vMerge/>
            <w:shd w:val="clear" w:color="auto" w:fill="FFFFFF" w:themeFill="background1"/>
            <w:tcMar>
              <w:top w:w="72" w:type="dxa"/>
              <w:left w:w="144" w:type="dxa"/>
              <w:bottom w:w="72" w:type="dxa"/>
              <w:right w:w="144" w:type="dxa"/>
            </w:tcMar>
          </w:tcPr>
          <w:p w14:paraId="294EBD2E" w14:textId="77777777" w:rsidR="00210F0F" w:rsidRPr="00132F83" w:rsidRDefault="00210F0F" w:rsidP="00865A49">
            <w:pPr>
              <w:spacing w:after="0" w:line="240" w:lineRule="auto"/>
              <w:rPr>
                <w:rFonts w:cs="Times New Roman"/>
              </w:rPr>
            </w:pPr>
          </w:p>
        </w:tc>
      </w:tr>
      <w:tr w:rsidR="00210F0F" w:rsidRPr="00132F83" w14:paraId="08B388CF" w14:textId="77777777" w:rsidTr="006C7B60">
        <w:trPr>
          <w:cantSplit/>
          <w:trHeight w:val="20"/>
        </w:trPr>
        <w:tc>
          <w:tcPr>
            <w:tcW w:w="1880" w:type="dxa"/>
            <w:vMerge/>
            <w:shd w:val="clear" w:color="auto" w:fill="FFFFFF" w:themeFill="background1"/>
          </w:tcPr>
          <w:p w14:paraId="7316DB4E" w14:textId="77777777" w:rsidR="00210F0F" w:rsidRPr="00132F83" w:rsidRDefault="00210F0F" w:rsidP="00865A49">
            <w:pPr>
              <w:spacing w:after="0" w:line="240" w:lineRule="auto"/>
              <w:rPr>
                <w:rFonts w:cs="Times New Roman"/>
              </w:rPr>
            </w:pPr>
          </w:p>
        </w:tc>
        <w:tc>
          <w:tcPr>
            <w:tcW w:w="1800" w:type="dxa"/>
            <w:vMerge/>
            <w:shd w:val="clear" w:color="auto" w:fill="FFFFFF" w:themeFill="background1"/>
            <w:tcMar>
              <w:top w:w="72" w:type="dxa"/>
              <w:left w:w="144" w:type="dxa"/>
              <w:bottom w:w="72" w:type="dxa"/>
              <w:right w:w="144" w:type="dxa"/>
            </w:tcMar>
          </w:tcPr>
          <w:p w14:paraId="4EE83965" w14:textId="77777777" w:rsidR="00210F0F" w:rsidRPr="00132F83" w:rsidRDefault="00210F0F" w:rsidP="00865A49">
            <w:pPr>
              <w:spacing w:after="0" w:line="240" w:lineRule="auto"/>
              <w:rPr>
                <w:rFonts w:cs="Times New Roman"/>
              </w:rPr>
            </w:pPr>
          </w:p>
        </w:tc>
        <w:tc>
          <w:tcPr>
            <w:tcW w:w="1710" w:type="dxa"/>
            <w:shd w:val="clear" w:color="auto" w:fill="FFFFFF" w:themeFill="background1"/>
            <w:tcMar>
              <w:top w:w="72" w:type="dxa"/>
              <w:left w:w="144" w:type="dxa"/>
              <w:bottom w:w="72" w:type="dxa"/>
              <w:right w:w="144" w:type="dxa"/>
            </w:tcMar>
            <w:vAlign w:val="center"/>
          </w:tcPr>
          <w:p w14:paraId="3DEEAD7C" w14:textId="77777777" w:rsidR="00210F0F" w:rsidRPr="00132F83" w:rsidRDefault="00210F0F" w:rsidP="00865A49">
            <w:pPr>
              <w:spacing w:after="0" w:line="240" w:lineRule="auto"/>
              <w:rPr>
                <w:rFonts w:cs="Times New Roman"/>
              </w:rPr>
            </w:pPr>
            <w:r w:rsidRPr="00132F83">
              <w:rPr>
                <w:rFonts w:cs="Times New Roman"/>
              </w:rPr>
              <w:t>13 (9-19)</w:t>
            </w:r>
          </w:p>
        </w:tc>
        <w:tc>
          <w:tcPr>
            <w:tcW w:w="1620" w:type="dxa"/>
            <w:vMerge/>
            <w:shd w:val="clear" w:color="auto" w:fill="FFFFFF" w:themeFill="background1"/>
            <w:tcMar>
              <w:top w:w="72" w:type="dxa"/>
              <w:left w:w="144" w:type="dxa"/>
              <w:bottom w:w="72" w:type="dxa"/>
              <w:right w:w="144" w:type="dxa"/>
            </w:tcMar>
          </w:tcPr>
          <w:p w14:paraId="08824711" w14:textId="77777777" w:rsidR="00210F0F" w:rsidRPr="00132F83" w:rsidRDefault="00210F0F" w:rsidP="00865A49">
            <w:pPr>
              <w:spacing w:after="0" w:line="240" w:lineRule="auto"/>
              <w:rPr>
                <w:rFonts w:cs="Times New Roman"/>
              </w:rPr>
            </w:pPr>
          </w:p>
        </w:tc>
        <w:tc>
          <w:tcPr>
            <w:tcW w:w="2160" w:type="dxa"/>
            <w:vMerge/>
            <w:shd w:val="clear" w:color="auto" w:fill="FFFFFF" w:themeFill="background1"/>
          </w:tcPr>
          <w:p w14:paraId="08ED0290" w14:textId="77777777" w:rsidR="00210F0F" w:rsidRPr="00132F83" w:rsidRDefault="00210F0F" w:rsidP="00865A49">
            <w:pPr>
              <w:spacing w:after="0" w:line="240" w:lineRule="auto"/>
              <w:rPr>
                <w:rFonts w:cs="Times New Roman"/>
              </w:rPr>
            </w:pPr>
          </w:p>
        </w:tc>
        <w:tc>
          <w:tcPr>
            <w:tcW w:w="3870" w:type="dxa"/>
            <w:vMerge/>
            <w:shd w:val="clear" w:color="auto" w:fill="FFFFFF" w:themeFill="background1"/>
            <w:tcMar>
              <w:top w:w="72" w:type="dxa"/>
              <w:left w:w="144" w:type="dxa"/>
              <w:bottom w:w="72" w:type="dxa"/>
              <w:right w:w="144" w:type="dxa"/>
            </w:tcMar>
          </w:tcPr>
          <w:p w14:paraId="07880850" w14:textId="77777777" w:rsidR="00210F0F" w:rsidRPr="00132F83" w:rsidRDefault="00210F0F" w:rsidP="00865A49">
            <w:pPr>
              <w:spacing w:after="0" w:line="240" w:lineRule="auto"/>
              <w:rPr>
                <w:rFonts w:cs="Times New Roman"/>
              </w:rPr>
            </w:pPr>
          </w:p>
        </w:tc>
      </w:tr>
      <w:tr w:rsidR="00210F0F" w:rsidRPr="00132F83" w14:paraId="48E26CE0" w14:textId="77777777" w:rsidTr="006C7B60">
        <w:trPr>
          <w:cantSplit/>
          <w:trHeight w:val="20"/>
        </w:trPr>
        <w:tc>
          <w:tcPr>
            <w:tcW w:w="1880" w:type="dxa"/>
            <w:vMerge/>
            <w:shd w:val="clear" w:color="auto" w:fill="FFFFFF" w:themeFill="background1"/>
          </w:tcPr>
          <w:p w14:paraId="6A9412F6" w14:textId="77777777" w:rsidR="00210F0F" w:rsidRPr="00132F83" w:rsidRDefault="00210F0F" w:rsidP="00865A49">
            <w:pPr>
              <w:spacing w:after="0" w:line="240" w:lineRule="auto"/>
              <w:rPr>
                <w:rFonts w:cs="Times New Roman"/>
              </w:rPr>
            </w:pPr>
          </w:p>
        </w:tc>
        <w:tc>
          <w:tcPr>
            <w:tcW w:w="1800" w:type="dxa"/>
            <w:vMerge/>
            <w:shd w:val="clear" w:color="auto" w:fill="FFFFFF" w:themeFill="background1"/>
            <w:tcMar>
              <w:top w:w="72" w:type="dxa"/>
              <w:left w:w="144" w:type="dxa"/>
              <w:bottom w:w="72" w:type="dxa"/>
              <w:right w:w="144" w:type="dxa"/>
            </w:tcMar>
          </w:tcPr>
          <w:p w14:paraId="4DA85630" w14:textId="77777777" w:rsidR="00210F0F" w:rsidRPr="00132F83" w:rsidRDefault="00210F0F" w:rsidP="00865A49">
            <w:pPr>
              <w:spacing w:after="0" w:line="240" w:lineRule="auto"/>
              <w:rPr>
                <w:rFonts w:cs="Times New Roman"/>
              </w:rPr>
            </w:pPr>
          </w:p>
        </w:tc>
        <w:tc>
          <w:tcPr>
            <w:tcW w:w="1710" w:type="dxa"/>
            <w:shd w:val="clear" w:color="auto" w:fill="FFFFFF" w:themeFill="background1"/>
            <w:tcMar>
              <w:top w:w="72" w:type="dxa"/>
              <w:left w:w="144" w:type="dxa"/>
              <w:bottom w:w="72" w:type="dxa"/>
              <w:right w:w="144" w:type="dxa"/>
            </w:tcMar>
            <w:vAlign w:val="center"/>
          </w:tcPr>
          <w:p w14:paraId="4DFF3BB7" w14:textId="77777777" w:rsidR="00210F0F" w:rsidRPr="00132F83" w:rsidRDefault="00210F0F" w:rsidP="00865A49">
            <w:pPr>
              <w:spacing w:after="0" w:line="240" w:lineRule="auto"/>
              <w:rPr>
                <w:rFonts w:cs="Times New Roman"/>
              </w:rPr>
            </w:pPr>
            <w:r w:rsidRPr="00132F83">
              <w:rPr>
                <w:rFonts w:cs="Times New Roman"/>
              </w:rPr>
              <w:t>13 (8-21)</w:t>
            </w:r>
          </w:p>
        </w:tc>
        <w:tc>
          <w:tcPr>
            <w:tcW w:w="1620" w:type="dxa"/>
            <w:vMerge/>
            <w:shd w:val="clear" w:color="auto" w:fill="FFFFFF" w:themeFill="background1"/>
            <w:tcMar>
              <w:top w:w="72" w:type="dxa"/>
              <w:left w:w="144" w:type="dxa"/>
              <w:bottom w:w="72" w:type="dxa"/>
              <w:right w:w="144" w:type="dxa"/>
            </w:tcMar>
          </w:tcPr>
          <w:p w14:paraId="53A2B1DF" w14:textId="77777777" w:rsidR="00210F0F" w:rsidRPr="00132F83" w:rsidRDefault="00210F0F" w:rsidP="00865A49">
            <w:pPr>
              <w:spacing w:after="0" w:line="240" w:lineRule="auto"/>
              <w:rPr>
                <w:rFonts w:cs="Times New Roman"/>
              </w:rPr>
            </w:pPr>
          </w:p>
        </w:tc>
        <w:tc>
          <w:tcPr>
            <w:tcW w:w="2160" w:type="dxa"/>
            <w:vMerge/>
            <w:shd w:val="clear" w:color="auto" w:fill="FFFFFF" w:themeFill="background1"/>
          </w:tcPr>
          <w:p w14:paraId="238EA269" w14:textId="77777777" w:rsidR="00210F0F" w:rsidRPr="00132F83" w:rsidRDefault="00210F0F" w:rsidP="00865A49">
            <w:pPr>
              <w:spacing w:after="0" w:line="240" w:lineRule="auto"/>
              <w:rPr>
                <w:rFonts w:cs="Times New Roman"/>
              </w:rPr>
            </w:pPr>
          </w:p>
        </w:tc>
        <w:tc>
          <w:tcPr>
            <w:tcW w:w="3870" w:type="dxa"/>
            <w:vMerge/>
            <w:shd w:val="clear" w:color="auto" w:fill="FFFFFF" w:themeFill="background1"/>
            <w:tcMar>
              <w:top w:w="72" w:type="dxa"/>
              <w:left w:w="144" w:type="dxa"/>
              <w:bottom w:w="72" w:type="dxa"/>
              <w:right w:w="144" w:type="dxa"/>
            </w:tcMar>
          </w:tcPr>
          <w:p w14:paraId="31F96D4A" w14:textId="77777777" w:rsidR="00210F0F" w:rsidRPr="00132F83" w:rsidRDefault="00210F0F" w:rsidP="00865A49">
            <w:pPr>
              <w:spacing w:after="0" w:line="240" w:lineRule="auto"/>
              <w:rPr>
                <w:rFonts w:cs="Times New Roman"/>
              </w:rPr>
            </w:pPr>
          </w:p>
        </w:tc>
      </w:tr>
      <w:tr w:rsidR="00210F0F" w:rsidRPr="00132F83" w14:paraId="347F54F8" w14:textId="77777777" w:rsidTr="006C7B60">
        <w:trPr>
          <w:cantSplit/>
          <w:trHeight w:val="20"/>
        </w:trPr>
        <w:tc>
          <w:tcPr>
            <w:tcW w:w="1880" w:type="dxa"/>
            <w:vMerge/>
            <w:shd w:val="clear" w:color="auto" w:fill="FFFFFF" w:themeFill="background1"/>
          </w:tcPr>
          <w:p w14:paraId="3177A1AC" w14:textId="77777777" w:rsidR="00210F0F" w:rsidRPr="00132F83" w:rsidRDefault="00210F0F" w:rsidP="00865A49">
            <w:pPr>
              <w:spacing w:after="0" w:line="240" w:lineRule="auto"/>
              <w:rPr>
                <w:rFonts w:cs="Times New Roman"/>
              </w:rPr>
            </w:pPr>
          </w:p>
        </w:tc>
        <w:tc>
          <w:tcPr>
            <w:tcW w:w="1800" w:type="dxa"/>
            <w:vMerge/>
            <w:shd w:val="clear" w:color="auto" w:fill="FFFFFF" w:themeFill="background1"/>
            <w:tcMar>
              <w:top w:w="72" w:type="dxa"/>
              <w:left w:w="144" w:type="dxa"/>
              <w:bottom w:w="72" w:type="dxa"/>
              <w:right w:w="144" w:type="dxa"/>
            </w:tcMar>
          </w:tcPr>
          <w:p w14:paraId="55820439" w14:textId="77777777" w:rsidR="00210F0F" w:rsidRPr="00132F83" w:rsidRDefault="00210F0F" w:rsidP="00865A49">
            <w:pPr>
              <w:spacing w:after="0" w:line="240" w:lineRule="auto"/>
              <w:rPr>
                <w:rFonts w:cs="Times New Roman"/>
              </w:rPr>
            </w:pPr>
          </w:p>
        </w:tc>
        <w:tc>
          <w:tcPr>
            <w:tcW w:w="1710" w:type="dxa"/>
            <w:shd w:val="clear" w:color="auto" w:fill="FFFFFF" w:themeFill="background1"/>
            <w:tcMar>
              <w:top w:w="72" w:type="dxa"/>
              <w:left w:w="144" w:type="dxa"/>
              <w:bottom w:w="72" w:type="dxa"/>
              <w:right w:w="144" w:type="dxa"/>
            </w:tcMar>
            <w:vAlign w:val="center"/>
          </w:tcPr>
          <w:p w14:paraId="77E8D625" w14:textId="77777777" w:rsidR="00210F0F" w:rsidRPr="00132F83" w:rsidRDefault="00210F0F" w:rsidP="00865A49">
            <w:pPr>
              <w:spacing w:after="0" w:line="240" w:lineRule="auto"/>
              <w:rPr>
                <w:rFonts w:cs="Times New Roman"/>
              </w:rPr>
            </w:pPr>
            <w:r w:rsidRPr="00132F83">
              <w:rPr>
                <w:rFonts w:cs="Times New Roman"/>
              </w:rPr>
              <w:t>14 (8-22)</w:t>
            </w:r>
          </w:p>
        </w:tc>
        <w:tc>
          <w:tcPr>
            <w:tcW w:w="1620" w:type="dxa"/>
            <w:vMerge/>
            <w:shd w:val="clear" w:color="auto" w:fill="FFFFFF" w:themeFill="background1"/>
            <w:tcMar>
              <w:top w:w="72" w:type="dxa"/>
              <w:left w:w="144" w:type="dxa"/>
              <w:bottom w:w="72" w:type="dxa"/>
              <w:right w:w="144" w:type="dxa"/>
            </w:tcMar>
          </w:tcPr>
          <w:p w14:paraId="3A6C48AC" w14:textId="77777777" w:rsidR="00210F0F" w:rsidRPr="00132F83" w:rsidRDefault="00210F0F" w:rsidP="00865A49">
            <w:pPr>
              <w:spacing w:after="0" w:line="240" w:lineRule="auto"/>
              <w:rPr>
                <w:rFonts w:cs="Times New Roman"/>
              </w:rPr>
            </w:pPr>
          </w:p>
        </w:tc>
        <w:tc>
          <w:tcPr>
            <w:tcW w:w="2160" w:type="dxa"/>
            <w:vMerge/>
            <w:shd w:val="clear" w:color="auto" w:fill="FFFFFF" w:themeFill="background1"/>
          </w:tcPr>
          <w:p w14:paraId="672CB271" w14:textId="77777777" w:rsidR="00210F0F" w:rsidRPr="00132F83" w:rsidRDefault="00210F0F" w:rsidP="00865A49">
            <w:pPr>
              <w:spacing w:after="0" w:line="240" w:lineRule="auto"/>
              <w:rPr>
                <w:rFonts w:cs="Times New Roman"/>
              </w:rPr>
            </w:pPr>
          </w:p>
        </w:tc>
        <w:tc>
          <w:tcPr>
            <w:tcW w:w="3870" w:type="dxa"/>
            <w:vMerge/>
            <w:shd w:val="clear" w:color="auto" w:fill="FFFFFF" w:themeFill="background1"/>
            <w:tcMar>
              <w:top w:w="72" w:type="dxa"/>
              <w:left w:w="144" w:type="dxa"/>
              <w:bottom w:w="72" w:type="dxa"/>
              <w:right w:w="144" w:type="dxa"/>
            </w:tcMar>
          </w:tcPr>
          <w:p w14:paraId="38C68F97" w14:textId="77777777" w:rsidR="00210F0F" w:rsidRPr="00132F83" w:rsidRDefault="00210F0F" w:rsidP="00865A49">
            <w:pPr>
              <w:spacing w:after="0" w:line="240" w:lineRule="auto"/>
              <w:rPr>
                <w:rFonts w:cs="Times New Roman"/>
              </w:rPr>
            </w:pPr>
          </w:p>
        </w:tc>
      </w:tr>
      <w:tr w:rsidR="00210F0F" w:rsidRPr="00132F83" w14:paraId="02527C39" w14:textId="77777777" w:rsidTr="006C7B60">
        <w:trPr>
          <w:cantSplit/>
          <w:trHeight w:val="20"/>
        </w:trPr>
        <w:tc>
          <w:tcPr>
            <w:tcW w:w="1880" w:type="dxa"/>
            <w:vMerge/>
            <w:shd w:val="clear" w:color="auto" w:fill="FFFFFF" w:themeFill="background1"/>
          </w:tcPr>
          <w:p w14:paraId="13EB8204" w14:textId="77777777" w:rsidR="00210F0F" w:rsidRPr="00132F83" w:rsidRDefault="00210F0F" w:rsidP="00865A49">
            <w:pPr>
              <w:spacing w:after="0" w:line="240" w:lineRule="auto"/>
              <w:rPr>
                <w:rFonts w:cs="Times New Roman"/>
              </w:rPr>
            </w:pPr>
          </w:p>
        </w:tc>
        <w:tc>
          <w:tcPr>
            <w:tcW w:w="1800" w:type="dxa"/>
            <w:vMerge/>
            <w:shd w:val="clear" w:color="auto" w:fill="FFFFFF" w:themeFill="background1"/>
            <w:tcMar>
              <w:top w:w="72" w:type="dxa"/>
              <w:left w:w="144" w:type="dxa"/>
              <w:bottom w:w="72" w:type="dxa"/>
              <w:right w:w="144" w:type="dxa"/>
            </w:tcMar>
          </w:tcPr>
          <w:p w14:paraId="4CE797B6" w14:textId="77777777" w:rsidR="00210F0F" w:rsidRPr="00132F83" w:rsidRDefault="00210F0F" w:rsidP="00865A49">
            <w:pPr>
              <w:spacing w:after="0" w:line="240" w:lineRule="auto"/>
              <w:rPr>
                <w:rFonts w:cs="Times New Roman"/>
              </w:rPr>
            </w:pPr>
          </w:p>
        </w:tc>
        <w:tc>
          <w:tcPr>
            <w:tcW w:w="1710" w:type="dxa"/>
            <w:shd w:val="clear" w:color="auto" w:fill="FFFFFF" w:themeFill="background1"/>
            <w:tcMar>
              <w:top w:w="72" w:type="dxa"/>
              <w:left w:w="144" w:type="dxa"/>
              <w:bottom w:w="72" w:type="dxa"/>
              <w:right w:w="144" w:type="dxa"/>
            </w:tcMar>
            <w:vAlign w:val="center"/>
          </w:tcPr>
          <w:p w14:paraId="6BB40D29" w14:textId="77777777" w:rsidR="00210F0F" w:rsidRPr="00132F83" w:rsidRDefault="00210F0F" w:rsidP="00865A49">
            <w:pPr>
              <w:spacing w:after="0" w:line="240" w:lineRule="auto"/>
              <w:rPr>
                <w:rFonts w:cs="Times New Roman"/>
              </w:rPr>
            </w:pPr>
            <w:r w:rsidRPr="00132F83">
              <w:rPr>
                <w:rFonts w:cs="Times New Roman"/>
              </w:rPr>
              <w:t>15 (10-24)</w:t>
            </w:r>
          </w:p>
        </w:tc>
        <w:tc>
          <w:tcPr>
            <w:tcW w:w="1620" w:type="dxa"/>
            <w:vMerge/>
            <w:shd w:val="clear" w:color="auto" w:fill="FFFFFF" w:themeFill="background1"/>
            <w:tcMar>
              <w:top w:w="72" w:type="dxa"/>
              <w:left w:w="144" w:type="dxa"/>
              <w:bottom w:w="72" w:type="dxa"/>
              <w:right w:w="144" w:type="dxa"/>
            </w:tcMar>
          </w:tcPr>
          <w:p w14:paraId="7569DB3F" w14:textId="77777777" w:rsidR="00210F0F" w:rsidRPr="00132F83" w:rsidRDefault="00210F0F" w:rsidP="00865A49">
            <w:pPr>
              <w:spacing w:after="0" w:line="240" w:lineRule="auto"/>
              <w:rPr>
                <w:rFonts w:cs="Times New Roman"/>
              </w:rPr>
            </w:pPr>
          </w:p>
        </w:tc>
        <w:tc>
          <w:tcPr>
            <w:tcW w:w="2160" w:type="dxa"/>
            <w:vMerge/>
            <w:shd w:val="clear" w:color="auto" w:fill="FFFFFF" w:themeFill="background1"/>
          </w:tcPr>
          <w:p w14:paraId="790CFBBD" w14:textId="77777777" w:rsidR="00210F0F" w:rsidRPr="00132F83" w:rsidRDefault="00210F0F" w:rsidP="00865A49">
            <w:pPr>
              <w:spacing w:after="0" w:line="240" w:lineRule="auto"/>
              <w:rPr>
                <w:rFonts w:cs="Times New Roman"/>
              </w:rPr>
            </w:pPr>
          </w:p>
        </w:tc>
        <w:tc>
          <w:tcPr>
            <w:tcW w:w="3870" w:type="dxa"/>
            <w:vMerge/>
            <w:shd w:val="clear" w:color="auto" w:fill="FFFFFF" w:themeFill="background1"/>
            <w:tcMar>
              <w:top w:w="72" w:type="dxa"/>
              <w:left w:w="144" w:type="dxa"/>
              <w:bottom w:w="72" w:type="dxa"/>
              <w:right w:w="144" w:type="dxa"/>
            </w:tcMar>
          </w:tcPr>
          <w:p w14:paraId="02228B9B" w14:textId="77777777" w:rsidR="00210F0F" w:rsidRPr="00132F83" w:rsidRDefault="00210F0F" w:rsidP="00865A49">
            <w:pPr>
              <w:spacing w:after="0" w:line="240" w:lineRule="auto"/>
              <w:rPr>
                <w:rFonts w:cs="Times New Roman"/>
              </w:rPr>
            </w:pPr>
          </w:p>
        </w:tc>
      </w:tr>
      <w:tr w:rsidR="00210F0F" w:rsidRPr="00132F83" w14:paraId="633FF6C4" w14:textId="77777777" w:rsidTr="006C7B60">
        <w:trPr>
          <w:cantSplit/>
          <w:trHeight w:val="20"/>
        </w:trPr>
        <w:tc>
          <w:tcPr>
            <w:tcW w:w="1880" w:type="dxa"/>
            <w:vMerge/>
            <w:shd w:val="clear" w:color="auto" w:fill="FFFFFF" w:themeFill="background1"/>
          </w:tcPr>
          <w:p w14:paraId="3174520E" w14:textId="77777777" w:rsidR="00210F0F" w:rsidRPr="00132F83" w:rsidRDefault="00210F0F" w:rsidP="00865A49">
            <w:pPr>
              <w:spacing w:after="0" w:line="240" w:lineRule="auto"/>
              <w:rPr>
                <w:rFonts w:cs="Times New Roman"/>
              </w:rPr>
            </w:pPr>
          </w:p>
        </w:tc>
        <w:tc>
          <w:tcPr>
            <w:tcW w:w="1800" w:type="dxa"/>
            <w:vMerge/>
            <w:shd w:val="clear" w:color="auto" w:fill="FFFFFF" w:themeFill="background1"/>
            <w:tcMar>
              <w:top w:w="72" w:type="dxa"/>
              <w:left w:w="144" w:type="dxa"/>
              <w:bottom w:w="72" w:type="dxa"/>
              <w:right w:w="144" w:type="dxa"/>
            </w:tcMar>
          </w:tcPr>
          <w:p w14:paraId="567CA82A" w14:textId="77777777" w:rsidR="00210F0F" w:rsidRPr="00132F83" w:rsidRDefault="00210F0F" w:rsidP="00865A49">
            <w:pPr>
              <w:spacing w:after="0" w:line="240" w:lineRule="auto"/>
              <w:rPr>
                <w:rFonts w:cs="Times New Roman"/>
              </w:rPr>
            </w:pPr>
          </w:p>
        </w:tc>
        <w:tc>
          <w:tcPr>
            <w:tcW w:w="1710" w:type="dxa"/>
            <w:shd w:val="clear" w:color="auto" w:fill="FFFFFF" w:themeFill="background1"/>
            <w:tcMar>
              <w:top w:w="72" w:type="dxa"/>
              <w:left w:w="144" w:type="dxa"/>
              <w:bottom w:w="72" w:type="dxa"/>
              <w:right w:w="144" w:type="dxa"/>
            </w:tcMar>
            <w:vAlign w:val="center"/>
          </w:tcPr>
          <w:p w14:paraId="074C3797" w14:textId="77777777" w:rsidR="00210F0F" w:rsidRPr="00132F83" w:rsidRDefault="00210F0F" w:rsidP="00865A49">
            <w:pPr>
              <w:spacing w:after="0" w:line="240" w:lineRule="auto"/>
              <w:rPr>
                <w:rFonts w:cs="Times New Roman"/>
              </w:rPr>
            </w:pPr>
            <w:r w:rsidRPr="00132F83">
              <w:rPr>
                <w:rFonts w:cs="Times New Roman"/>
              </w:rPr>
              <w:t>15 (10-24)</w:t>
            </w:r>
          </w:p>
        </w:tc>
        <w:tc>
          <w:tcPr>
            <w:tcW w:w="1620" w:type="dxa"/>
            <w:vMerge/>
            <w:shd w:val="clear" w:color="auto" w:fill="FFFFFF" w:themeFill="background1"/>
            <w:tcMar>
              <w:top w:w="72" w:type="dxa"/>
              <w:left w:w="144" w:type="dxa"/>
              <w:bottom w:w="72" w:type="dxa"/>
              <w:right w:w="144" w:type="dxa"/>
            </w:tcMar>
          </w:tcPr>
          <w:p w14:paraId="11FD57A7" w14:textId="77777777" w:rsidR="00210F0F" w:rsidRPr="00132F83" w:rsidRDefault="00210F0F" w:rsidP="00865A49">
            <w:pPr>
              <w:spacing w:after="0" w:line="240" w:lineRule="auto"/>
              <w:rPr>
                <w:rFonts w:cs="Times New Roman"/>
              </w:rPr>
            </w:pPr>
          </w:p>
        </w:tc>
        <w:tc>
          <w:tcPr>
            <w:tcW w:w="2160" w:type="dxa"/>
            <w:vMerge/>
            <w:shd w:val="clear" w:color="auto" w:fill="FFFFFF" w:themeFill="background1"/>
          </w:tcPr>
          <w:p w14:paraId="3F185332" w14:textId="77777777" w:rsidR="00210F0F" w:rsidRPr="00132F83" w:rsidRDefault="00210F0F" w:rsidP="00865A49">
            <w:pPr>
              <w:spacing w:after="0" w:line="240" w:lineRule="auto"/>
              <w:rPr>
                <w:rFonts w:cs="Times New Roman"/>
              </w:rPr>
            </w:pPr>
          </w:p>
        </w:tc>
        <w:tc>
          <w:tcPr>
            <w:tcW w:w="3870" w:type="dxa"/>
            <w:vMerge/>
            <w:shd w:val="clear" w:color="auto" w:fill="FFFFFF" w:themeFill="background1"/>
            <w:tcMar>
              <w:top w:w="72" w:type="dxa"/>
              <w:left w:w="144" w:type="dxa"/>
              <w:bottom w:w="72" w:type="dxa"/>
              <w:right w:w="144" w:type="dxa"/>
            </w:tcMar>
          </w:tcPr>
          <w:p w14:paraId="233C817A" w14:textId="77777777" w:rsidR="00210F0F" w:rsidRPr="00132F83" w:rsidRDefault="00210F0F" w:rsidP="00865A49">
            <w:pPr>
              <w:spacing w:after="0" w:line="240" w:lineRule="auto"/>
              <w:rPr>
                <w:rFonts w:cs="Times New Roman"/>
              </w:rPr>
            </w:pPr>
          </w:p>
        </w:tc>
      </w:tr>
      <w:tr w:rsidR="00210F0F" w:rsidRPr="00132F83" w14:paraId="0C921B63" w14:textId="77777777" w:rsidTr="006C7B60">
        <w:trPr>
          <w:cantSplit/>
          <w:trHeight w:val="20"/>
        </w:trPr>
        <w:tc>
          <w:tcPr>
            <w:tcW w:w="1880" w:type="dxa"/>
            <w:vMerge/>
            <w:shd w:val="clear" w:color="auto" w:fill="FFFFFF" w:themeFill="background1"/>
          </w:tcPr>
          <w:p w14:paraId="27EAA80D" w14:textId="77777777" w:rsidR="00210F0F" w:rsidRPr="00132F83" w:rsidRDefault="00210F0F" w:rsidP="00865A49">
            <w:pPr>
              <w:spacing w:after="0" w:line="240" w:lineRule="auto"/>
              <w:rPr>
                <w:rFonts w:cs="Times New Roman"/>
              </w:rPr>
            </w:pPr>
          </w:p>
        </w:tc>
        <w:tc>
          <w:tcPr>
            <w:tcW w:w="1800" w:type="dxa"/>
            <w:vMerge/>
            <w:shd w:val="clear" w:color="auto" w:fill="FFFFFF" w:themeFill="background1"/>
            <w:tcMar>
              <w:top w:w="72" w:type="dxa"/>
              <w:left w:w="144" w:type="dxa"/>
              <w:bottom w:w="72" w:type="dxa"/>
              <w:right w:w="144" w:type="dxa"/>
            </w:tcMar>
          </w:tcPr>
          <w:p w14:paraId="703DD54F" w14:textId="77777777" w:rsidR="00210F0F" w:rsidRPr="00132F83" w:rsidRDefault="00210F0F" w:rsidP="00865A49">
            <w:pPr>
              <w:spacing w:after="0" w:line="240" w:lineRule="auto"/>
              <w:rPr>
                <w:rFonts w:cs="Times New Roman"/>
              </w:rPr>
            </w:pPr>
          </w:p>
        </w:tc>
        <w:tc>
          <w:tcPr>
            <w:tcW w:w="1710" w:type="dxa"/>
            <w:shd w:val="clear" w:color="auto" w:fill="FFFFFF" w:themeFill="background1"/>
            <w:tcMar>
              <w:top w:w="72" w:type="dxa"/>
              <w:left w:w="144" w:type="dxa"/>
              <w:bottom w:w="72" w:type="dxa"/>
              <w:right w:w="144" w:type="dxa"/>
            </w:tcMar>
            <w:vAlign w:val="center"/>
          </w:tcPr>
          <w:p w14:paraId="0F2D28B2" w14:textId="77777777" w:rsidR="00210F0F" w:rsidRPr="00132F83" w:rsidRDefault="00210F0F" w:rsidP="00865A49">
            <w:pPr>
              <w:spacing w:after="0" w:line="240" w:lineRule="auto"/>
              <w:rPr>
                <w:rFonts w:cs="Times New Roman"/>
              </w:rPr>
            </w:pPr>
            <w:r w:rsidRPr="00132F83">
              <w:rPr>
                <w:rFonts w:cs="Times New Roman"/>
              </w:rPr>
              <w:t>16 (11-24)</w:t>
            </w:r>
          </w:p>
        </w:tc>
        <w:tc>
          <w:tcPr>
            <w:tcW w:w="1620" w:type="dxa"/>
            <w:vMerge/>
            <w:shd w:val="clear" w:color="auto" w:fill="FFFFFF" w:themeFill="background1"/>
            <w:tcMar>
              <w:top w:w="72" w:type="dxa"/>
              <w:left w:w="144" w:type="dxa"/>
              <w:bottom w:w="72" w:type="dxa"/>
              <w:right w:w="144" w:type="dxa"/>
            </w:tcMar>
          </w:tcPr>
          <w:p w14:paraId="527EE4D8" w14:textId="77777777" w:rsidR="00210F0F" w:rsidRPr="00132F83" w:rsidRDefault="00210F0F" w:rsidP="00865A49">
            <w:pPr>
              <w:spacing w:after="0" w:line="240" w:lineRule="auto"/>
              <w:rPr>
                <w:rFonts w:cs="Times New Roman"/>
              </w:rPr>
            </w:pPr>
          </w:p>
        </w:tc>
        <w:tc>
          <w:tcPr>
            <w:tcW w:w="2160" w:type="dxa"/>
            <w:vMerge/>
            <w:shd w:val="clear" w:color="auto" w:fill="FFFFFF" w:themeFill="background1"/>
          </w:tcPr>
          <w:p w14:paraId="691E0470" w14:textId="77777777" w:rsidR="00210F0F" w:rsidRPr="00132F83" w:rsidRDefault="00210F0F" w:rsidP="00865A49">
            <w:pPr>
              <w:spacing w:after="0" w:line="240" w:lineRule="auto"/>
              <w:rPr>
                <w:rFonts w:cs="Times New Roman"/>
              </w:rPr>
            </w:pPr>
          </w:p>
        </w:tc>
        <w:tc>
          <w:tcPr>
            <w:tcW w:w="3870" w:type="dxa"/>
            <w:vMerge/>
            <w:shd w:val="clear" w:color="auto" w:fill="FFFFFF" w:themeFill="background1"/>
            <w:tcMar>
              <w:top w:w="72" w:type="dxa"/>
              <w:left w:w="144" w:type="dxa"/>
              <w:bottom w:w="72" w:type="dxa"/>
              <w:right w:w="144" w:type="dxa"/>
            </w:tcMar>
          </w:tcPr>
          <w:p w14:paraId="3F9D31F3" w14:textId="77777777" w:rsidR="00210F0F" w:rsidRPr="00132F83" w:rsidRDefault="00210F0F" w:rsidP="00865A49">
            <w:pPr>
              <w:spacing w:after="0" w:line="240" w:lineRule="auto"/>
              <w:rPr>
                <w:rFonts w:cs="Times New Roman"/>
              </w:rPr>
            </w:pPr>
          </w:p>
        </w:tc>
      </w:tr>
      <w:tr w:rsidR="00210F0F" w:rsidRPr="00132F83" w14:paraId="7D976154" w14:textId="77777777" w:rsidTr="006C7B60">
        <w:trPr>
          <w:cantSplit/>
          <w:trHeight w:val="20"/>
        </w:trPr>
        <w:tc>
          <w:tcPr>
            <w:tcW w:w="1880" w:type="dxa"/>
            <w:vMerge/>
            <w:shd w:val="clear" w:color="auto" w:fill="FFFFFF" w:themeFill="background1"/>
          </w:tcPr>
          <w:p w14:paraId="5C314BDA" w14:textId="77777777" w:rsidR="00210F0F" w:rsidRPr="00132F83" w:rsidRDefault="00210F0F" w:rsidP="00865A49">
            <w:pPr>
              <w:spacing w:after="0" w:line="240" w:lineRule="auto"/>
              <w:rPr>
                <w:rFonts w:cs="Times New Roman"/>
              </w:rPr>
            </w:pPr>
          </w:p>
        </w:tc>
        <w:tc>
          <w:tcPr>
            <w:tcW w:w="1800" w:type="dxa"/>
            <w:vMerge/>
            <w:shd w:val="clear" w:color="auto" w:fill="FFFFFF" w:themeFill="background1"/>
            <w:tcMar>
              <w:top w:w="72" w:type="dxa"/>
              <w:left w:w="144" w:type="dxa"/>
              <w:bottom w:w="72" w:type="dxa"/>
              <w:right w:w="144" w:type="dxa"/>
            </w:tcMar>
          </w:tcPr>
          <w:p w14:paraId="6A37CE72" w14:textId="77777777" w:rsidR="00210F0F" w:rsidRPr="00132F83" w:rsidRDefault="00210F0F" w:rsidP="00865A49">
            <w:pPr>
              <w:spacing w:after="0" w:line="240" w:lineRule="auto"/>
              <w:rPr>
                <w:rFonts w:cs="Times New Roman"/>
              </w:rPr>
            </w:pPr>
          </w:p>
        </w:tc>
        <w:tc>
          <w:tcPr>
            <w:tcW w:w="1710" w:type="dxa"/>
            <w:shd w:val="clear" w:color="auto" w:fill="FFFFFF" w:themeFill="background1"/>
            <w:tcMar>
              <w:top w:w="72" w:type="dxa"/>
              <w:left w:w="144" w:type="dxa"/>
              <w:bottom w:w="72" w:type="dxa"/>
              <w:right w:w="144" w:type="dxa"/>
            </w:tcMar>
            <w:vAlign w:val="center"/>
          </w:tcPr>
          <w:p w14:paraId="79F7ECF6" w14:textId="77777777" w:rsidR="00210F0F" w:rsidRPr="00132F83" w:rsidRDefault="00210F0F" w:rsidP="00865A49">
            <w:pPr>
              <w:spacing w:after="0" w:line="240" w:lineRule="auto"/>
              <w:rPr>
                <w:rFonts w:cs="Times New Roman"/>
              </w:rPr>
            </w:pPr>
            <w:r w:rsidRPr="00132F83">
              <w:rPr>
                <w:rFonts w:cs="Times New Roman"/>
              </w:rPr>
              <w:t>16 (11-24)</w:t>
            </w:r>
          </w:p>
        </w:tc>
        <w:tc>
          <w:tcPr>
            <w:tcW w:w="1620" w:type="dxa"/>
            <w:vMerge/>
            <w:shd w:val="clear" w:color="auto" w:fill="FFFFFF" w:themeFill="background1"/>
            <w:tcMar>
              <w:top w:w="72" w:type="dxa"/>
              <w:left w:w="144" w:type="dxa"/>
              <w:bottom w:w="72" w:type="dxa"/>
              <w:right w:w="144" w:type="dxa"/>
            </w:tcMar>
          </w:tcPr>
          <w:p w14:paraId="374A9BBE" w14:textId="77777777" w:rsidR="00210F0F" w:rsidRPr="00132F83" w:rsidRDefault="00210F0F" w:rsidP="00865A49">
            <w:pPr>
              <w:spacing w:after="0" w:line="240" w:lineRule="auto"/>
              <w:rPr>
                <w:rFonts w:cs="Times New Roman"/>
              </w:rPr>
            </w:pPr>
          </w:p>
        </w:tc>
        <w:tc>
          <w:tcPr>
            <w:tcW w:w="2160" w:type="dxa"/>
            <w:vMerge/>
            <w:shd w:val="clear" w:color="auto" w:fill="FFFFFF" w:themeFill="background1"/>
          </w:tcPr>
          <w:p w14:paraId="4445A3F6" w14:textId="77777777" w:rsidR="00210F0F" w:rsidRPr="00132F83" w:rsidRDefault="00210F0F" w:rsidP="00865A49">
            <w:pPr>
              <w:spacing w:after="0" w:line="240" w:lineRule="auto"/>
              <w:rPr>
                <w:rFonts w:cs="Times New Roman"/>
              </w:rPr>
            </w:pPr>
          </w:p>
        </w:tc>
        <w:tc>
          <w:tcPr>
            <w:tcW w:w="3870" w:type="dxa"/>
            <w:vMerge/>
            <w:shd w:val="clear" w:color="auto" w:fill="FFFFFF" w:themeFill="background1"/>
            <w:tcMar>
              <w:top w:w="72" w:type="dxa"/>
              <w:left w:w="144" w:type="dxa"/>
              <w:bottom w:w="72" w:type="dxa"/>
              <w:right w:w="144" w:type="dxa"/>
            </w:tcMar>
          </w:tcPr>
          <w:p w14:paraId="3EAFE956" w14:textId="77777777" w:rsidR="00210F0F" w:rsidRPr="00132F83" w:rsidRDefault="00210F0F" w:rsidP="00865A49">
            <w:pPr>
              <w:spacing w:after="0" w:line="240" w:lineRule="auto"/>
              <w:rPr>
                <w:rFonts w:cs="Times New Roman"/>
              </w:rPr>
            </w:pPr>
          </w:p>
        </w:tc>
      </w:tr>
      <w:tr w:rsidR="00210F0F" w:rsidRPr="00132F83" w14:paraId="5E1B9360" w14:textId="77777777" w:rsidTr="006C7B60">
        <w:trPr>
          <w:cantSplit/>
          <w:trHeight w:val="20"/>
        </w:trPr>
        <w:tc>
          <w:tcPr>
            <w:tcW w:w="1880" w:type="dxa"/>
            <w:vMerge/>
            <w:tcBorders>
              <w:bottom w:val="single" w:sz="8" w:space="0" w:color="auto"/>
            </w:tcBorders>
            <w:shd w:val="clear" w:color="auto" w:fill="FFFFFF" w:themeFill="background1"/>
          </w:tcPr>
          <w:p w14:paraId="337DD298" w14:textId="77777777" w:rsidR="00210F0F" w:rsidRPr="00132F83" w:rsidRDefault="00210F0F" w:rsidP="00865A49">
            <w:pPr>
              <w:spacing w:after="0" w:line="240" w:lineRule="auto"/>
              <w:rPr>
                <w:rFonts w:cs="Times New Roman"/>
              </w:rPr>
            </w:pPr>
          </w:p>
        </w:tc>
        <w:tc>
          <w:tcPr>
            <w:tcW w:w="1800" w:type="dxa"/>
            <w:vMerge/>
            <w:tcBorders>
              <w:bottom w:val="single" w:sz="8" w:space="0" w:color="auto"/>
            </w:tcBorders>
            <w:shd w:val="clear" w:color="auto" w:fill="FFFFFF" w:themeFill="background1"/>
            <w:tcMar>
              <w:top w:w="72" w:type="dxa"/>
              <w:left w:w="144" w:type="dxa"/>
              <w:bottom w:w="72" w:type="dxa"/>
              <w:right w:w="144" w:type="dxa"/>
            </w:tcMar>
          </w:tcPr>
          <w:p w14:paraId="7D04ED74" w14:textId="77777777" w:rsidR="00210F0F" w:rsidRPr="00132F83" w:rsidRDefault="00210F0F" w:rsidP="00865A49">
            <w:pPr>
              <w:spacing w:after="0" w:line="240" w:lineRule="auto"/>
              <w:rPr>
                <w:rFonts w:cs="Times New Roman"/>
              </w:rPr>
            </w:pPr>
          </w:p>
        </w:tc>
        <w:tc>
          <w:tcPr>
            <w:tcW w:w="1710" w:type="dxa"/>
            <w:tcBorders>
              <w:bottom w:val="single" w:sz="8" w:space="0" w:color="auto"/>
            </w:tcBorders>
            <w:shd w:val="clear" w:color="auto" w:fill="FFFFFF" w:themeFill="background1"/>
            <w:tcMar>
              <w:top w:w="72" w:type="dxa"/>
              <w:left w:w="144" w:type="dxa"/>
              <w:bottom w:w="72" w:type="dxa"/>
              <w:right w:w="144" w:type="dxa"/>
            </w:tcMar>
            <w:vAlign w:val="center"/>
          </w:tcPr>
          <w:p w14:paraId="41166BFC" w14:textId="77777777" w:rsidR="00210F0F" w:rsidRPr="00132F83" w:rsidRDefault="00210F0F" w:rsidP="00865A49">
            <w:pPr>
              <w:spacing w:after="0" w:line="240" w:lineRule="auto"/>
              <w:rPr>
                <w:rFonts w:cs="Times New Roman"/>
              </w:rPr>
            </w:pPr>
            <w:r w:rsidRPr="00132F83">
              <w:rPr>
                <w:rFonts w:cs="Times New Roman"/>
              </w:rPr>
              <w:t>17 (11-25)</w:t>
            </w:r>
          </w:p>
        </w:tc>
        <w:tc>
          <w:tcPr>
            <w:tcW w:w="1620" w:type="dxa"/>
            <w:vMerge/>
            <w:tcBorders>
              <w:bottom w:val="single" w:sz="8" w:space="0" w:color="auto"/>
            </w:tcBorders>
            <w:shd w:val="clear" w:color="auto" w:fill="FFFFFF" w:themeFill="background1"/>
            <w:tcMar>
              <w:top w:w="72" w:type="dxa"/>
              <w:left w:w="144" w:type="dxa"/>
              <w:bottom w:w="72" w:type="dxa"/>
              <w:right w:w="144" w:type="dxa"/>
            </w:tcMar>
          </w:tcPr>
          <w:p w14:paraId="14396B4E" w14:textId="77777777" w:rsidR="00210F0F" w:rsidRPr="00132F83" w:rsidRDefault="00210F0F" w:rsidP="00865A49">
            <w:pPr>
              <w:spacing w:after="0" w:line="240" w:lineRule="auto"/>
              <w:rPr>
                <w:rFonts w:cs="Times New Roman"/>
              </w:rPr>
            </w:pPr>
          </w:p>
        </w:tc>
        <w:tc>
          <w:tcPr>
            <w:tcW w:w="2160" w:type="dxa"/>
            <w:vMerge/>
            <w:tcBorders>
              <w:bottom w:val="single" w:sz="8" w:space="0" w:color="auto"/>
            </w:tcBorders>
            <w:shd w:val="clear" w:color="auto" w:fill="FFFFFF" w:themeFill="background1"/>
          </w:tcPr>
          <w:p w14:paraId="79D6511F" w14:textId="77777777" w:rsidR="00210F0F" w:rsidRPr="00132F83" w:rsidRDefault="00210F0F" w:rsidP="00865A49">
            <w:pPr>
              <w:spacing w:after="0" w:line="240" w:lineRule="auto"/>
              <w:rPr>
                <w:rFonts w:cs="Times New Roman"/>
              </w:rPr>
            </w:pPr>
          </w:p>
        </w:tc>
        <w:tc>
          <w:tcPr>
            <w:tcW w:w="3870" w:type="dxa"/>
            <w:vMerge/>
            <w:tcBorders>
              <w:bottom w:val="single" w:sz="8" w:space="0" w:color="auto"/>
            </w:tcBorders>
            <w:shd w:val="clear" w:color="auto" w:fill="FFFFFF" w:themeFill="background1"/>
            <w:tcMar>
              <w:top w:w="72" w:type="dxa"/>
              <w:left w:w="144" w:type="dxa"/>
              <w:bottom w:w="72" w:type="dxa"/>
              <w:right w:w="144" w:type="dxa"/>
            </w:tcMar>
          </w:tcPr>
          <w:p w14:paraId="2DF2FE89" w14:textId="77777777" w:rsidR="00210F0F" w:rsidRPr="00132F83" w:rsidRDefault="00210F0F" w:rsidP="00865A49">
            <w:pPr>
              <w:spacing w:after="0" w:line="240" w:lineRule="auto"/>
              <w:rPr>
                <w:rFonts w:cs="Times New Roman"/>
              </w:rPr>
            </w:pPr>
          </w:p>
        </w:tc>
      </w:tr>
      <w:tr w:rsidR="00210F0F" w:rsidRPr="00132F83" w14:paraId="53EDD282" w14:textId="77777777" w:rsidTr="006C7B60">
        <w:trPr>
          <w:cantSplit/>
          <w:trHeight w:val="20"/>
        </w:trPr>
        <w:tc>
          <w:tcPr>
            <w:tcW w:w="1880" w:type="dxa"/>
            <w:vMerge/>
            <w:shd w:val="clear" w:color="auto" w:fill="FFFFFF" w:themeFill="background1"/>
          </w:tcPr>
          <w:p w14:paraId="62F1C043" w14:textId="77777777" w:rsidR="00210F0F" w:rsidRPr="00132F83" w:rsidRDefault="00210F0F" w:rsidP="00865A49">
            <w:pPr>
              <w:spacing w:after="0" w:line="240" w:lineRule="auto"/>
              <w:rPr>
                <w:rFonts w:cs="Times New Roman"/>
              </w:rPr>
            </w:pPr>
          </w:p>
        </w:tc>
        <w:tc>
          <w:tcPr>
            <w:tcW w:w="1800" w:type="dxa"/>
            <w:shd w:val="clear" w:color="auto" w:fill="FFFFFF" w:themeFill="background1"/>
            <w:tcMar>
              <w:top w:w="72" w:type="dxa"/>
              <w:left w:w="144" w:type="dxa"/>
              <w:bottom w:w="72" w:type="dxa"/>
              <w:right w:w="144" w:type="dxa"/>
            </w:tcMar>
            <w:hideMark/>
          </w:tcPr>
          <w:p w14:paraId="6F69A3E0" w14:textId="77777777" w:rsidR="00210F0F" w:rsidRPr="00132F83" w:rsidRDefault="00210F0F" w:rsidP="00865A49">
            <w:pPr>
              <w:spacing w:after="0" w:line="240" w:lineRule="auto"/>
              <w:rPr>
                <w:rFonts w:cs="Times New Roman"/>
              </w:rPr>
            </w:pPr>
            <w:r w:rsidRPr="00132F83">
              <w:rPr>
                <w:rFonts w:cs="Times New Roman"/>
              </w:rPr>
              <w:t xml:space="preserve">LC50 </w:t>
            </w:r>
          </w:p>
          <w:p w14:paraId="42C0CAE6" w14:textId="77777777" w:rsidR="00210F0F" w:rsidRPr="00132F83" w:rsidRDefault="00210F0F" w:rsidP="00865A49">
            <w:pPr>
              <w:spacing w:after="0" w:line="240" w:lineRule="auto"/>
              <w:rPr>
                <w:rFonts w:cs="Times New Roman"/>
              </w:rPr>
            </w:pPr>
            <w:r w:rsidRPr="00132F83">
              <w:rPr>
                <w:rFonts w:cs="Times New Roman"/>
              </w:rPr>
              <w:t>(mg/kg-diet)</w:t>
            </w:r>
          </w:p>
        </w:tc>
        <w:tc>
          <w:tcPr>
            <w:tcW w:w="1710" w:type="dxa"/>
            <w:shd w:val="clear" w:color="auto" w:fill="FFFFFF" w:themeFill="background1"/>
            <w:tcMar>
              <w:top w:w="72" w:type="dxa"/>
              <w:left w:w="144" w:type="dxa"/>
              <w:bottom w:w="72" w:type="dxa"/>
              <w:right w:w="144" w:type="dxa"/>
            </w:tcMar>
            <w:hideMark/>
          </w:tcPr>
          <w:p w14:paraId="7934C393" w14:textId="77777777" w:rsidR="00210F0F" w:rsidRPr="00132F83" w:rsidRDefault="00210F0F" w:rsidP="00865A49">
            <w:pPr>
              <w:spacing w:after="0" w:line="240" w:lineRule="auto"/>
              <w:rPr>
                <w:rFonts w:cs="Times New Roman"/>
              </w:rPr>
            </w:pPr>
            <w:r w:rsidRPr="00132F83">
              <w:rPr>
                <w:rFonts w:cs="Times New Roman"/>
              </w:rPr>
              <w:t>245 (178-234)</w:t>
            </w:r>
          </w:p>
        </w:tc>
        <w:tc>
          <w:tcPr>
            <w:tcW w:w="1620" w:type="dxa"/>
            <w:shd w:val="clear" w:color="auto" w:fill="FFFFFF" w:themeFill="background1"/>
            <w:tcMar>
              <w:top w:w="72" w:type="dxa"/>
              <w:left w:w="144" w:type="dxa"/>
              <w:bottom w:w="72" w:type="dxa"/>
              <w:right w:w="144" w:type="dxa"/>
            </w:tcMar>
            <w:hideMark/>
          </w:tcPr>
          <w:p w14:paraId="783FDF6D" w14:textId="77777777" w:rsidR="00210F0F" w:rsidRPr="00132F83" w:rsidRDefault="00210F0F" w:rsidP="00865A49">
            <w:pPr>
              <w:spacing w:after="0" w:line="240" w:lineRule="auto"/>
              <w:rPr>
                <w:rFonts w:cs="Times New Roman"/>
              </w:rPr>
            </w:pPr>
            <w:r w:rsidRPr="00132F83">
              <w:rPr>
                <w:rFonts w:cs="Times New Roman"/>
              </w:rPr>
              <w:t>72.3 (29-116)</w:t>
            </w:r>
          </w:p>
        </w:tc>
        <w:tc>
          <w:tcPr>
            <w:tcW w:w="2160" w:type="dxa"/>
            <w:shd w:val="clear" w:color="auto" w:fill="FFFFFF" w:themeFill="background1"/>
          </w:tcPr>
          <w:p w14:paraId="456B50B5" w14:textId="77777777" w:rsidR="00210F0F" w:rsidRPr="00132F83" w:rsidRDefault="00210F0F" w:rsidP="00865A49">
            <w:pPr>
              <w:spacing w:after="0" w:line="240" w:lineRule="auto"/>
              <w:rPr>
                <w:rFonts w:cs="Times New Roman"/>
              </w:rPr>
            </w:pPr>
            <w:r w:rsidRPr="00132F83">
              <w:rPr>
                <w:rFonts w:cs="Times New Roman"/>
              </w:rPr>
              <w:t>ECOTOX 35243, MRID 46579602</w:t>
            </w:r>
          </w:p>
        </w:tc>
        <w:tc>
          <w:tcPr>
            <w:tcW w:w="3870" w:type="dxa"/>
            <w:shd w:val="clear" w:color="auto" w:fill="FFFFFF" w:themeFill="background1"/>
            <w:tcMar>
              <w:top w:w="72" w:type="dxa"/>
              <w:left w:w="144" w:type="dxa"/>
              <w:bottom w:w="72" w:type="dxa"/>
              <w:right w:w="144" w:type="dxa"/>
            </w:tcMar>
            <w:hideMark/>
          </w:tcPr>
          <w:p w14:paraId="41041030" w14:textId="4CC6C9CE" w:rsidR="00210F0F" w:rsidRPr="00132F83" w:rsidRDefault="00210F0F" w:rsidP="003E5ED1">
            <w:pPr>
              <w:spacing w:after="0" w:line="240" w:lineRule="auto"/>
              <w:rPr>
                <w:rFonts w:cs="Times New Roman"/>
              </w:rPr>
            </w:pPr>
            <w:r w:rsidRPr="00132F83">
              <w:rPr>
                <w:rFonts w:cs="Times New Roman"/>
              </w:rPr>
              <w:t>C</w:t>
            </w:r>
            <w:r w:rsidR="006C7B60" w:rsidRPr="00132F83">
              <w:rPr>
                <w:rFonts w:cs="Times New Roman"/>
              </w:rPr>
              <w:t>I</w:t>
            </w:r>
            <w:r w:rsidRPr="00132F83">
              <w:rPr>
                <w:rFonts w:cs="Times New Roman"/>
              </w:rPr>
              <w:t>s do not overlap, suggesting that oxon is more toxic</w:t>
            </w:r>
            <w:r w:rsidR="000D6B36" w:rsidRPr="00132F83">
              <w:rPr>
                <w:rFonts w:cs="Times New Roman"/>
              </w:rPr>
              <w:t xml:space="preserve"> </w:t>
            </w:r>
            <w:r w:rsidR="003E5ED1" w:rsidRPr="00132F83">
              <w:rPr>
                <w:rFonts w:cs="Times New Roman"/>
              </w:rPr>
              <w:t>compared to diazinon</w:t>
            </w:r>
            <w:r w:rsidR="000D6B36" w:rsidRPr="00132F83">
              <w:rPr>
                <w:rFonts w:cs="Times New Roman"/>
              </w:rPr>
              <w:t xml:space="preserve"> </w:t>
            </w:r>
          </w:p>
        </w:tc>
      </w:tr>
      <w:tr w:rsidR="00210F0F" w:rsidRPr="00132F83" w14:paraId="2080651A" w14:textId="77777777" w:rsidTr="006C7B60">
        <w:trPr>
          <w:cantSplit/>
          <w:trHeight w:val="20"/>
        </w:trPr>
        <w:tc>
          <w:tcPr>
            <w:tcW w:w="1880" w:type="dxa"/>
            <w:vMerge/>
            <w:shd w:val="clear" w:color="auto" w:fill="FFFFFF" w:themeFill="background1"/>
          </w:tcPr>
          <w:p w14:paraId="65B1B398" w14:textId="77777777" w:rsidR="00210F0F" w:rsidRPr="00132F83" w:rsidRDefault="00210F0F" w:rsidP="00865A49">
            <w:pPr>
              <w:spacing w:after="0" w:line="240" w:lineRule="auto"/>
              <w:rPr>
                <w:rFonts w:cs="Times New Roman"/>
              </w:rPr>
            </w:pPr>
          </w:p>
        </w:tc>
        <w:tc>
          <w:tcPr>
            <w:tcW w:w="1800" w:type="dxa"/>
            <w:shd w:val="clear" w:color="auto" w:fill="FFFFFF" w:themeFill="background1"/>
            <w:tcMar>
              <w:top w:w="72" w:type="dxa"/>
              <w:left w:w="144" w:type="dxa"/>
              <w:bottom w:w="72" w:type="dxa"/>
              <w:right w:w="144" w:type="dxa"/>
            </w:tcMar>
            <w:hideMark/>
          </w:tcPr>
          <w:p w14:paraId="6D43BD69" w14:textId="77777777" w:rsidR="00210F0F" w:rsidRPr="00132F83" w:rsidRDefault="00210F0F" w:rsidP="00865A49">
            <w:pPr>
              <w:spacing w:after="0" w:line="240" w:lineRule="auto"/>
              <w:rPr>
                <w:rFonts w:cs="Times New Roman"/>
              </w:rPr>
            </w:pPr>
            <w:r w:rsidRPr="00132F83">
              <w:rPr>
                <w:rFonts w:cs="Times New Roman"/>
              </w:rPr>
              <w:t xml:space="preserve">NOEC </w:t>
            </w:r>
          </w:p>
          <w:p w14:paraId="5AC65443" w14:textId="77777777" w:rsidR="00210F0F" w:rsidRPr="00132F83" w:rsidRDefault="00210F0F" w:rsidP="00865A49">
            <w:pPr>
              <w:spacing w:after="0" w:line="240" w:lineRule="auto"/>
              <w:rPr>
                <w:rFonts w:cs="Times New Roman"/>
              </w:rPr>
            </w:pPr>
            <w:r w:rsidRPr="00132F83">
              <w:rPr>
                <w:rFonts w:cs="Times New Roman"/>
              </w:rPr>
              <w:t>(mg/kg-diet)</w:t>
            </w:r>
          </w:p>
        </w:tc>
        <w:tc>
          <w:tcPr>
            <w:tcW w:w="1710" w:type="dxa"/>
            <w:shd w:val="clear" w:color="auto" w:fill="FFFFFF" w:themeFill="background1"/>
            <w:tcMar>
              <w:top w:w="72" w:type="dxa"/>
              <w:left w:w="144" w:type="dxa"/>
              <w:bottom w:w="72" w:type="dxa"/>
              <w:right w:w="144" w:type="dxa"/>
            </w:tcMar>
            <w:hideMark/>
          </w:tcPr>
          <w:p w14:paraId="059B7692" w14:textId="42251A7B" w:rsidR="00210F0F" w:rsidRPr="00132F83" w:rsidRDefault="00210F0F" w:rsidP="00865A49">
            <w:pPr>
              <w:spacing w:after="0" w:line="240" w:lineRule="auto"/>
              <w:rPr>
                <w:rFonts w:cs="Times New Roman"/>
              </w:rPr>
            </w:pPr>
            <w:r w:rsidRPr="00132F83">
              <w:rPr>
                <w:rFonts w:cs="Times New Roman"/>
              </w:rPr>
              <w:t>35 (</w:t>
            </w:r>
            <w:r w:rsidR="006C7B60" w:rsidRPr="00132F83">
              <w:rPr>
                <w:rFonts w:cs="Times New Roman"/>
              </w:rPr>
              <w:t>NA</w:t>
            </w:r>
            <w:r w:rsidRPr="00132F83">
              <w:rPr>
                <w:rFonts w:cs="Times New Roman"/>
              </w:rPr>
              <w:t>)</w:t>
            </w:r>
          </w:p>
        </w:tc>
        <w:tc>
          <w:tcPr>
            <w:tcW w:w="1620" w:type="dxa"/>
            <w:shd w:val="clear" w:color="auto" w:fill="FFFFFF" w:themeFill="background1"/>
            <w:tcMar>
              <w:top w:w="72" w:type="dxa"/>
              <w:left w:w="144" w:type="dxa"/>
              <w:bottom w:w="72" w:type="dxa"/>
              <w:right w:w="144" w:type="dxa"/>
            </w:tcMar>
            <w:hideMark/>
          </w:tcPr>
          <w:p w14:paraId="3820658E" w14:textId="77777777" w:rsidR="00210F0F" w:rsidRPr="00132F83" w:rsidRDefault="00210F0F" w:rsidP="00865A49">
            <w:pPr>
              <w:spacing w:after="0" w:line="240" w:lineRule="auto"/>
              <w:rPr>
                <w:rFonts w:cs="Times New Roman"/>
              </w:rPr>
            </w:pPr>
            <w:r w:rsidRPr="00132F83">
              <w:rPr>
                <w:rFonts w:cs="Times New Roman"/>
              </w:rPr>
              <w:t>4.53 (3.9-5.1)</w:t>
            </w:r>
          </w:p>
        </w:tc>
        <w:tc>
          <w:tcPr>
            <w:tcW w:w="2160" w:type="dxa"/>
            <w:vMerge w:val="restart"/>
            <w:shd w:val="clear" w:color="auto" w:fill="FFFFFF" w:themeFill="background1"/>
          </w:tcPr>
          <w:p w14:paraId="4DE4B9FF" w14:textId="77777777" w:rsidR="00210F0F" w:rsidRPr="00132F83" w:rsidRDefault="00210F0F" w:rsidP="00865A49">
            <w:pPr>
              <w:spacing w:after="0" w:line="240" w:lineRule="auto"/>
              <w:rPr>
                <w:rFonts w:cs="Times New Roman"/>
              </w:rPr>
            </w:pPr>
            <w:r w:rsidRPr="00132F83">
              <w:rPr>
                <w:rFonts w:cs="Times New Roman"/>
              </w:rPr>
              <w:t>ECOTOX 35482, MRID 48908401</w:t>
            </w:r>
          </w:p>
        </w:tc>
        <w:tc>
          <w:tcPr>
            <w:tcW w:w="3870" w:type="dxa"/>
            <w:vMerge w:val="restart"/>
            <w:shd w:val="clear" w:color="auto" w:fill="FFFFFF" w:themeFill="background1"/>
            <w:tcMar>
              <w:top w:w="72" w:type="dxa"/>
              <w:left w:w="144" w:type="dxa"/>
              <w:bottom w:w="72" w:type="dxa"/>
              <w:right w:w="144" w:type="dxa"/>
            </w:tcMar>
            <w:hideMark/>
          </w:tcPr>
          <w:p w14:paraId="5AC05B6E" w14:textId="25303B0F" w:rsidR="00210F0F" w:rsidRPr="00132F83" w:rsidRDefault="00895039" w:rsidP="00895039">
            <w:pPr>
              <w:spacing w:after="0" w:line="240" w:lineRule="auto"/>
              <w:rPr>
                <w:rFonts w:cs="Times New Roman"/>
              </w:rPr>
            </w:pPr>
            <w:r w:rsidRPr="00132F83">
              <w:rPr>
                <w:rFonts w:cs="Times New Roman"/>
              </w:rPr>
              <w:t>Data suggest that oxon is more toxic to reproduction. However u</w:t>
            </w:r>
            <w:r w:rsidR="00210F0F" w:rsidRPr="00132F83">
              <w:rPr>
                <w:rFonts w:cs="Times New Roman"/>
              </w:rPr>
              <w:t>ncertainty in comparison because diazinon study did not quantify residues</w:t>
            </w:r>
            <w:r w:rsidR="003E5ED1" w:rsidRPr="00132F83">
              <w:rPr>
                <w:rFonts w:cs="Times New Roman"/>
              </w:rPr>
              <w:t xml:space="preserve"> (nominal </w:t>
            </w:r>
            <w:r w:rsidR="006C7B60" w:rsidRPr="00132F83">
              <w:rPr>
                <w:rFonts w:cs="Times New Roman"/>
              </w:rPr>
              <w:t>values provided)</w:t>
            </w:r>
            <w:r w:rsidR="00210F0F" w:rsidRPr="00132F83">
              <w:rPr>
                <w:rFonts w:cs="Times New Roman"/>
              </w:rPr>
              <w:t xml:space="preserve">, test design is non-standard and dose spacing is different. In registrant study (MRID 41322902), NOEC = 32 (no LOEC). Endpoints observed at LOEC are different. </w:t>
            </w:r>
          </w:p>
        </w:tc>
      </w:tr>
      <w:tr w:rsidR="00210F0F" w:rsidRPr="00132F83" w14:paraId="3BF5FB73" w14:textId="77777777" w:rsidTr="006C7B60">
        <w:trPr>
          <w:cantSplit/>
          <w:trHeight w:val="20"/>
        </w:trPr>
        <w:tc>
          <w:tcPr>
            <w:tcW w:w="1880" w:type="dxa"/>
            <w:vMerge/>
            <w:shd w:val="clear" w:color="auto" w:fill="FFFFFF" w:themeFill="background1"/>
          </w:tcPr>
          <w:p w14:paraId="78B35DA0" w14:textId="77777777" w:rsidR="00210F0F" w:rsidRPr="00132F83" w:rsidRDefault="00210F0F" w:rsidP="00865A49">
            <w:pPr>
              <w:spacing w:after="0" w:line="240" w:lineRule="auto"/>
              <w:rPr>
                <w:rFonts w:cs="Times New Roman"/>
              </w:rPr>
            </w:pPr>
          </w:p>
        </w:tc>
        <w:tc>
          <w:tcPr>
            <w:tcW w:w="1800" w:type="dxa"/>
            <w:shd w:val="clear" w:color="auto" w:fill="FFFFFF" w:themeFill="background1"/>
            <w:tcMar>
              <w:top w:w="72" w:type="dxa"/>
              <w:left w:w="144" w:type="dxa"/>
              <w:bottom w:w="72" w:type="dxa"/>
              <w:right w:w="144" w:type="dxa"/>
            </w:tcMar>
            <w:hideMark/>
          </w:tcPr>
          <w:p w14:paraId="141BB266" w14:textId="77777777" w:rsidR="00210F0F" w:rsidRPr="00132F83" w:rsidRDefault="00210F0F" w:rsidP="00865A49">
            <w:pPr>
              <w:spacing w:after="0" w:line="240" w:lineRule="auto"/>
              <w:rPr>
                <w:rFonts w:cs="Times New Roman"/>
              </w:rPr>
            </w:pPr>
            <w:r w:rsidRPr="00132F83">
              <w:rPr>
                <w:rFonts w:cs="Times New Roman"/>
              </w:rPr>
              <w:t xml:space="preserve">LOEC </w:t>
            </w:r>
          </w:p>
          <w:p w14:paraId="05979C7E" w14:textId="77777777" w:rsidR="00210F0F" w:rsidRPr="00132F83" w:rsidRDefault="00210F0F" w:rsidP="00865A49">
            <w:pPr>
              <w:spacing w:after="0" w:line="240" w:lineRule="auto"/>
              <w:rPr>
                <w:rFonts w:cs="Times New Roman"/>
              </w:rPr>
            </w:pPr>
            <w:r w:rsidRPr="00132F83">
              <w:rPr>
                <w:rFonts w:cs="Times New Roman"/>
              </w:rPr>
              <w:t>(mg/kg-diet)</w:t>
            </w:r>
          </w:p>
        </w:tc>
        <w:tc>
          <w:tcPr>
            <w:tcW w:w="1710" w:type="dxa"/>
            <w:shd w:val="clear" w:color="auto" w:fill="FFFFFF" w:themeFill="background1"/>
            <w:tcMar>
              <w:top w:w="72" w:type="dxa"/>
              <w:left w:w="144" w:type="dxa"/>
              <w:bottom w:w="72" w:type="dxa"/>
              <w:right w:w="144" w:type="dxa"/>
            </w:tcMar>
            <w:hideMark/>
          </w:tcPr>
          <w:p w14:paraId="245B5269" w14:textId="36BF9EF6" w:rsidR="00210F0F" w:rsidRPr="00132F83" w:rsidRDefault="006C7B60" w:rsidP="00865A49">
            <w:pPr>
              <w:spacing w:after="0" w:line="240" w:lineRule="auto"/>
              <w:rPr>
                <w:rFonts w:cs="Times New Roman"/>
              </w:rPr>
            </w:pPr>
            <w:r w:rsidRPr="00132F83">
              <w:rPr>
                <w:rFonts w:cs="Times New Roman"/>
              </w:rPr>
              <w:t>50 (NA</w:t>
            </w:r>
            <w:r w:rsidR="00210F0F" w:rsidRPr="00132F83">
              <w:rPr>
                <w:rFonts w:cs="Times New Roman"/>
              </w:rPr>
              <w:t>)</w:t>
            </w:r>
          </w:p>
        </w:tc>
        <w:tc>
          <w:tcPr>
            <w:tcW w:w="1620" w:type="dxa"/>
            <w:shd w:val="clear" w:color="auto" w:fill="FFFFFF" w:themeFill="background1"/>
            <w:tcMar>
              <w:top w:w="72" w:type="dxa"/>
              <w:left w:w="144" w:type="dxa"/>
              <w:bottom w:w="72" w:type="dxa"/>
              <w:right w:w="144" w:type="dxa"/>
            </w:tcMar>
            <w:hideMark/>
          </w:tcPr>
          <w:p w14:paraId="5E75484E" w14:textId="77777777" w:rsidR="00210F0F" w:rsidRPr="00132F83" w:rsidRDefault="00210F0F" w:rsidP="00865A49">
            <w:pPr>
              <w:spacing w:after="0" w:line="240" w:lineRule="auto"/>
              <w:rPr>
                <w:rFonts w:cs="Times New Roman"/>
              </w:rPr>
            </w:pPr>
            <w:r w:rsidRPr="00132F83">
              <w:rPr>
                <w:rFonts w:cs="Times New Roman"/>
              </w:rPr>
              <w:t>17.9 (15.1-20.6)</w:t>
            </w:r>
          </w:p>
        </w:tc>
        <w:tc>
          <w:tcPr>
            <w:tcW w:w="2160" w:type="dxa"/>
            <w:vMerge/>
            <w:shd w:val="clear" w:color="auto" w:fill="FFFFFF" w:themeFill="background1"/>
          </w:tcPr>
          <w:p w14:paraId="5463C116" w14:textId="77777777" w:rsidR="00210F0F" w:rsidRPr="00132F83" w:rsidRDefault="00210F0F" w:rsidP="00865A49">
            <w:pPr>
              <w:spacing w:after="0" w:line="240" w:lineRule="auto"/>
              <w:rPr>
                <w:rFonts w:cs="Times New Roman"/>
              </w:rPr>
            </w:pPr>
          </w:p>
        </w:tc>
        <w:tc>
          <w:tcPr>
            <w:tcW w:w="3870" w:type="dxa"/>
            <w:vMerge/>
            <w:shd w:val="clear" w:color="auto" w:fill="FFFFFF" w:themeFill="background1"/>
            <w:vAlign w:val="center"/>
            <w:hideMark/>
          </w:tcPr>
          <w:p w14:paraId="11F34049" w14:textId="77777777" w:rsidR="00210F0F" w:rsidRPr="00132F83" w:rsidRDefault="00210F0F" w:rsidP="00865A49">
            <w:pPr>
              <w:spacing w:after="0" w:line="240" w:lineRule="auto"/>
              <w:rPr>
                <w:rFonts w:cs="Times New Roman"/>
              </w:rPr>
            </w:pPr>
          </w:p>
        </w:tc>
      </w:tr>
      <w:tr w:rsidR="00210F0F" w:rsidRPr="00132F83" w14:paraId="605F183D" w14:textId="77777777" w:rsidTr="006C7B60">
        <w:trPr>
          <w:cantSplit/>
          <w:trHeight w:val="20"/>
        </w:trPr>
        <w:tc>
          <w:tcPr>
            <w:tcW w:w="1880" w:type="dxa"/>
            <w:vMerge w:val="restart"/>
            <w:shd w:val="clear" w:color="auto" w:fill="FFFFFF" w:themeFill="background1"/>
          </w:tcPr>
          <w:p w14:paraId="66BC36D4" w14:textId="77777777" w:rsidR="00210F0F" w:rsidRPr="00132F83" w:rsidRDefault="00210F0F" w:rsidP="00865A49">
            <w:pPr>
              <w:spacing w:after="0" w:line="240" w:lineRule="auto"/>
              <w:rPr>
                <w:rFonts w:cs="Times New Roman"/>
              </w:rPr>
            </w:pPr>
            <w:r w:rsidRPr="00132F83">
              <w:rPr>
                <w:rFonts w:cs="Times New Roman"/>
              </w:rPr>
              <w:t>Mallard</w:t>
            </w:r>
            <w:r w:rsidR="00F6303D" w:rsidRPr="00132F83">
              <w:rPr>
                <w:rFonts w:cs="Times New Roman"/>
              </w:rPr>
              <w:t xml:space="preserve"> duck</w:t>
            </w:r>
          </w:p>
        </w:tc>
        <w:tc>
          <w:tcPr>
            <w:tcW w:w="1800" w:type="dxa"/>
            <w:vMerge w:val="restart"/>
            <w:shd w:val="clear" w:color="auto" w:fill="FFFFFF" w:themeFill="background1"/>
            <w:tcMar>
              <w:top w:w="72" w:type="dxa"/>
              <w:left w:w="144" w:type="dxa"/>
              <w:bottom w:w="72" w:type="dxa"/>
              <w:right w:w="144" w:type="dxa"/>
            </w:tcMar>
          </w:tcPr>
          <w:p w14:paraId="5D904ADD" w14:textId="77777777" w:rsidR="00210F0F" w:rsidRPr="00132F83" w:rsidRDefault="00210F0F" w:rsidP="00865A49">
            <w:pPr>
              <w:spacing w:after="0" w:line="240" w:lineRule="auto"/>
              <w:rPr>
                <w:rFonts w:cs="Times New Roman"/>
              </w:rPr>
            </w:pPr>
            <w:r w:rsidRPr="00132F83">
              <w:rPr>
                <w:rFonts w:cs="Times New Roman"/>
              </w:rPr>
              <w:t xml:space="preserve">LC50 </w:t>
            </w:r>
          </w:p>
          <w:p w14:paraId="0394F70D" w14:textId="77777777" w:rsidR="00210F0F" w:rsidRPr="00132F83" w:rsidRDefault="00210F0F" w:rsidP="00865A49">
            <w:pPr>
              <w:spacing w:after="0" w:line="240" w:lineRule="auto"/>
              <w:rPr>
                <w:rFonts w:cs="Times New Roman"/>
              </w:rPr>
            </w:pPr>
            <w:r w:rsidRPr="00132F83">
              <w:rPr>
                <w:rFonts w:cs="Times New Roman"/>
              </w:rPr>
              <w:lastRenderedPageBreak/>
              <w:t>(mg/kg-diet)</w:t>
            </w:r>
          </w:p>
        </w:tc>
        <w:tc>
          <w:tcPr>
            <w:tcW w:w="1710" w:type="dxa"/>
            <w:shd w:val="clear" w:color="auto" w:fill="FFFFFF" w:themeFill="background1"/>
            <w:tcMar>
              <w:top w:w="72" w:type="dxa"/>
              <w:left w:w="144" w:type="dxa"/>
              <w:bottom w:w="72" w:type="dxa"/>
              <w:right w:w="144" w:type="dxa"/>
            </w:tcMar>
          </w:tcPr>
          <w:p w14:paraId="04D65D62" w14:textId="77777777" w:rsidR="00210F0F" w:rsidRPr="00132F83" w:rsidRDefault="00210F0F" w:rsidP="00865A49">
            <w:pPr>
              <w:spacing w:after="0" w:line="240" w:lineRule="auto"/>
              <w:rPr>
                <w:rFonts w:cs="Times New Roman"/>
              </w:rPr>
            </w:pPr>
            <w:r w:rsidRPr="00132F83">
              <w:rPr>
                <w:rFonts w:cs="Times New Roman"/>
              </w:rPr>
              <w:lastRenderedPageBreak/>
              <w:t>32 (16-64)</w:t>
            </w:r>
          </w:p>
        </w:tc>
        <w:tc>
          <w:tcPr>
            <w:tcW w:w="1620" w:type="dxa"/>
            <w:vMerge w:val="restart"/>
            <w:shd w:val="clear" w:color="auto" w:fill="FFFFFF" w:themeFill="background1"/>
            <w:tcMar>
              <w:top w:w="72" w:type="dxa"/>
              <w:left w:w="144" w:type="dxa"/>
              <w:bottom w:w="72" w:type="dxa"/>
              <w:right w:w="144" w:type="dxa"/>
            </w:tcMar>
          </w:tcPr>
          <w:p w14:paraId="2EC919CC" w14:textId="77777777" w:rsidR="00210F0F" w:rsidRPr="00132F83" w:rsidRDefault="00210F0F" w:rsidP="00865A49">
            <w:pPr>
              <w:pStyle w:val="Default"/>
              <w:rPr>
                <w:rFonts w:asciiTheme="minorHAnsi" w:hAnsiTheme="minorHAnsi"/>
                <w:sz w:val="22"/>
                <w:szCs w:val="22"/>
              </w:rPr>
            </w:pPr>
            <w:r w:rsidRPr="00132F83">
              <w:rPr>
                <w:rFonts w:asciiTheme="minorHAnsi" w:hAnsiTheme="minorHAnsi"/>
                <w:sz w:val="22"/>
                <w:szCs w:val="22"/>
              </w:rPr>
              <w:t>104 (77-140)</w:t>
            </w:r>
          </w:p>
          <w:p w14:paraId="73EF6C7D" w14:textId="77777777" w:rsidR="00210F0F" w:rsidRPr="00132F83" w:rsidRDefault="00210F0F" w:rsidP="00865A49">
            <w:pPr>
              <w:spacing w:after="0" w:line="240" w:lineRule="auto"/>
              <w:rPr>
                <w:rFonts w:cs="Times New Roman"/>
              </w:rPr>
            </w:pPr>
          </w:p>
        </w:tc>
        <w:tc>
          <w:tcPr>
            <w:tcW w:w="2160" w:type="dxa"/>
            <w:vMerge w:val="restart"/>
            <w:shd w:val="clear" w:color="auto" w:fill="FFFFFF" w:themeFill="background1"/>
          </w:tcPr>
          <w:p w14:paraId="4321FF41" w14:textId="77777777" w:rsidR="00210F0F" w:rsidRPr="00132F83" w:rsidRDefault="00210F0F" w:rsidP="00865A49">
            <w:pPr>
              <w:spacing w:after="0" w:line="240" w:lineRule="auto"/>
              <w:rPr>
                <w:rFonts w:cs="Times New Roman"/>
              </w:rPr>
            </w:pPr>
            <w:r w:rsidRPr="00132F83">
              <w:rPr>
                <w:rFonts w:cs="Times New Roman"/>
              </w:rPr>
              <w:lastRenderedPageBreak/>
              <w:t xml:space="preserve">MRIDs 40895302, 46579606, </w:t>
            </w:r>
          </w:p>
          <w:p w14:paraId="0A4A4698" w14:textId="77777777" w:rsidR="00210F0F" w:rsidRPr="00132F83" w:rsidRDefault="00210F0F" w:rsidP="00865A49">
            <w:pPr>
              <w:spacing w:after="0" w:line="240" w:lineRule="auto"/>
              <w:rPr>
                <w:rFonts w:cs="Times New Roman"/>
              </w:rPr>
            </w:pPr>
            <w:r w:rsidRPr="00132F83">
              <w:rPr>
                <w:rFonts w:cs="Times New Roman"/>
              </w:rPr>
              <w:t>ECOTOX 35243</w:t>
            </w:r>
          </w:p>
        </w:tc>
        <w:tc>
          <w:tcPr>
            <w:tcW w:w="3870" w:type="dxa"/>
            <w:vMerge w:val="restart"/>
            <w:shd w:val="clear" w:color="auto" w:fill="FFFFFF" w:themeFill="background1"/>
          </w:tcPr>
          <w:p w14:paraId="5E82F0DC" w14:textId="77777777" w:rsidR="00210F0F" w:rsidRPr="00132F83" w:rsidRDefault="00210F0F" w:rsidP="00865A49">
            <w:pPr>
              <w:spacing w:after="0" w:line="240" w:lineRule="auto"/>
              <w:rPr>
                <w:rFonts w:cs="Times New Roman"/>
              </w:rPr>
            </w:pPr>
            <w:r w:rsidRPr="00132F83">
              <w:rPr>
                <w:rFonts w:cs="Times New Roman"/>
              </w:rPr>
              <w:t>Data suggest that diazinon and diazoxon are of similar toxicity.</w:t>
            </w:r>
          </w:p>
        </w:tc>
      </w:tr>
      <w:tr w:rsidR="00210F0F" w:rsidRPr="00132F83" w14:paraId="26252456" w14:textId="77777777" w:rsidTr="006C7B60">
        <w:trPr>
          <w:cantSplit/>
          <w:trHeight w:val="20"/>
        </w:trPr>
        <w:tc>
          <w:tcPr>
            <w:tcW w:w="1880" w:type="dxa"/>
            <w:vMerge/>
            <w:shd w:val="clear" w:color="auto" w:fill="FFFFFF" w:themeFill="background1"/>
          </w:tcPr>
          <w:p w14:paraId="3B31C0B7" w14:textId="77777777" w:rsidR="00210F0F" w:rsidRPr="00132F83" w:rsidRDefault="00210F0F" w:rsidP="00865A49">
            <w:pPr>
              <w:spacing w:after="0" w:line="240" w:lineRule="auto"/>
              <w:rPr>
                <w:rFonts w:cs="Times New Roman"/>
              </w:rPr>
            </w:pPr>
          </w:p>
        </w:tc>
        <w:tc>
          <w:tcPr>
            <w:tcW w:w="1800" w:type="dxa"/>
            <w:vMerge/>
            <w:shd w:val="clear" w:color="auto" w:fill="FFFFFF" w:themeFill="background1"/>
            <w:tcMar>
              <w:top w:w="72" w:type="dxa"/>
              <w:left w:w="144" w:type="dxa"/>
              <w:bottom w:w="72" w:type="dxa"/>
              <w:right w:w="144" w:type="dxa"/>
            </w:tcMar>
          </w:tcPr>
          <w:p w14:paraId="7EBAFD2D" w14:textId="77777777" w:rsidR="00210F0F" w:rsidRPr="00132F83" w:rsidRDefault="00210F0F" w:rsidP="00865A49">
            <w:pPr>
              <w:spacing w:after="0" w:line="240" w:lineRule="auto"/>
              <w:rPr>
                <w:rFonts w:cs="Times New Roman"/>
              </w:rPr>
            </w:pPr>
          </w:p>
        </w:tc>
        <w:tc>
          <w:tcPr>
            <w:tcW w:w="1710" w:type="dxa"/>
            <w:shd w:val="clear" w:color="auto" w:fill="FFFFFF" w:themeFill="background1"/>
            <w:tcMar>
              <w:top w:w="72" w:type="dxa"/>
              <w:left w:w="144" w:type="dxa"/>
              <w:bottom w:w="72" w:type="dxa"/>
              <w:right w:w="144" w:type="dxa"/>
            </w:tcMar>
          </w:tcPr>
          <w:p w14:paraId="668F993D" w14:textId="77777777" w:rsidR="00210F0F" w:rsidRPr="00132F83" w:rsidRDefault="00210F0F" w:rsidP="00865A49">
            <w:pPr>
              <w:spacing w:after="0" w:line="240" w:lineRule="auto"/>
              <w:rPr>
                <w:rFonts w:cs="Times New Roman"/>
              </w:rPr>
            </w:pPr>
            <w:r w:rsidRPr="00132F83">
              <w:rPr>
                <w:rFonts w:cs="Times New Roman"/>
              </w:rPr>
              <w:t>191 (138-253)</w:t>
            </w:r>
          </w:p>
        </w:tc>
        <w:tc>
          <w:tcPr>
            <w:tcW w:w="1620" w:type="dxa"/>
            <w:vMerge/>
            <w:shd w:val="clear" w:color="auto" w:fill="FFFFFF" w:themeFill="background1"/>
            <w:tcMar>
              <w:top w:w="72" w:type="dxa"/>
              <w:left w:w="144" w:type="dxa"/>
              <w:bottom w:w="72" w:type="dxa"/>
              <w:right w:w="144" w:type="dxa"/>
            </w:tcMar>
          </w:tcPr>
          <w:p w14:paraId="2DF69699" w14:textId="77777777" w:rsidR="00210F0F" w:rsidRPr="00132F83" w:rsidRDefault="00210F0F" w:rsidP="00865A49">
            <w:pPr>
              <w:pStyle w:val="Default"/>
              <w:rPr>
                <w:rFonts w:asciiTheme="minorHAnsi" w:hAnsiTheme="minorHAnsi"/>
                <w:sz w:val="22"/>
                <w:szCs w:val="22"/>
              </w:rPr>
            </w:pPr>
          </w:p>
        </w:tc>
        <w:tc>
          <w:tcPr>
            <w:tcW w:w="2160" w:type="dxa"/>
            <w:vMerge/>
            <w:shd w:val="clear" w:color="auto" w:fill="FFFFFF" w:themeFill="background1"/>
          </w:tcPr>
          <w:p w14:paraId="67FC3276" w14:textId="77777777" w:rsidR="00210F0F" w:rsidRPr="00132F83" w:rsidRDefault="00210F0F" w:rsidP="00865A49">
            <w:pPr>
              <w:spacing w:after="0" w:line="240" w:lineRule="auto"/>
              <w:rPr>
                <w:rFonts w:cs="Times New Roman"/>
              </w:rPr>
            </w:pPr>
          </w:p>
        </w:tc>
        <w:tc>
          <w:tcPr>
            <w:tcW w:w="3870" w:type="dxa"/>
            <w:vMerge/>
            <w:shd w:val="clear" w:color="auto" w:fill="FFFFFF" w:themeFill="background1"/>
          </w:tcPr>
          <w:p w14:paraId="5128D2A0" w14:textId="77777777" w:rsidR="00210F0F" w:rsidRPr="00132F83" w:rsidRDefault="00210F0F" w:rsidP="00865A49">
            <w:pPr>
              <w:spacing w:after="0" w:line="240" w:lineRule="auto"/>
              <w:rPr>
                <w:rFonts w:cs="Times New Roman"/>
              </w:rPr>
            </w:pPr>
          </w:p>
        </w:tc>
      </w:tr>
      <w:tr w:rsidR="00B27950" w:rsidRPr="00132F83" w14:paraId="64C3AF1C" w14:textId="77777777" w:rsidTr="006C7B60">
        <w:trPr>
          <w:cantSplit/>
          <w:trHeight w:val="20"/>
        </w:trPr>
        <w:tc>
          <w:tcPr>
            <w:tcW w:w="1880" w:type="dxa"/>
            <w:shd w:val="clear" w:color="auto" w:fill="FFFFFF" w:themeFill="background1"/>
          </w:tcPr>
          <w:p w14:paraId="79EFB368" w14:textId="77777777" w:rsidR="00B27950" w:rsidRPr="00132F83" w:rsidRDefault="00B27950" w:rsidP="00865A49">
            <w:pPr>
              <w:spacing w:after="0" w:line="240" w:lineRule="auto"/>
              <w:rPr>
                <w:rFonts w:cs="Times New Roman"/>
              </w:rPr>
            </w:pPr>
            <w:r w:rsidRPr="00132F83">
              <w:rPr>
                <w:rFonts w:cs="Times New Roman"/>
              </w:rPr>
              <w:t>Yellow legged frog</w:t>
            </w:r>
          </w:p>
        </w:tc>
        <w:tc>
          <w:tcPr>
            <w:tcW w:w="1800" w:type="dxa"/>
            <w:shd w:val="clear" w:color="auto" w:fill="FFFFFF" w:themeFill="background1"/>
            <w:tcMar>
              <w:top w:w="72" w:type="dxa"/>
              <w:left w:w="144" w:type="dxa"/>
              <w:bottom w:w="72" w:type="dxa"/>
              <w:right w:w="144" w:type="dxa"/>
            </w:tcMar>
          </w:tcPr>
          <w:p w14:paraId="7BC29783" w14:textId="77777777" w:rsidR="00B27950" w:rsidRPr="00132F83" w:rsidRDefault="00B27950" w:rsidP="00865A49">
            <w:pPr>
              <w:spacing w:after="0" w:line="240" w:lineRule="auto"/>
              <w:rPr>
                <w:rFonts w:cs="Times New Roman"/>
              </w:rPr>
            </w:pPr>
            <w:r w:rsidRPr="00132F83">
              <w:rPr>
                <w:rFonts w:cs="Times New Roman"/>
              </w:rPr>
              <w:t>LC50 (mg/L)</w:t>
            </w:r>
          </w:p>
        </w:tc>
        <w:tc>
          <w:tcPr>
            <w:tcW w:w="1710" w:type="dxa"/>
            <w:shd w:val="clear" w:color="auto" w:fill="FFFFFF" w:themeFill="background1"/>
            <w:tcMar>
              <w:top w:w="72" w:type="dxa"/>
              <w:left w:w="144" w:type="dxa"/>
              <w:bottom w:w="72" w:type="dxa"/>
              <w:right w:w="144" w:type="dxa"/>
            </w:tcMar>
          </w:tcPr>
          <w:p w14:paraId="733B6ACE" w14:textId="1D35F3E3" w:rsidR="00B27950" w:rsidRPr="00132F83" w:rsidRDefault="006C7B60" w:rsidP="00865A49">
            <w:pPr>
              <w:spacing w:after="0" w:line="240" w:lineRule="auto"/>
              <w:rPr>
                <w:rFonts w:cs="Times New Roman"/>
              </w:rPr>
            </w:pPr>
            <w:r w:rsidRPr="00132F83">
              <w:rPr>
                <w:rFonts w:cs="Times New Roman"/>
              </w:rPr>
              <w:t>7.5 (NA</w:t>
            </w:r>
            <w:r w:rsidR="00B27950" w:rsidRPr="00132F83">
              <w:rPr>
                <w:rFonts w:cs="Times New Roman"/>
              </w:rPr>
              <w:t>)</w:t>
            </w:r>
          </w:p>
        </w:tc>
        <w:tc>
          <w:tcPr>
            <w:tcW w:w="1620" w:type="dxa"/>
            <w:shd w:val="clear" w:color="auto" w:fill="FFFFFF" w:themeFill="background1"/>
            <w:tcMar>
              <w:top w:w="72" w:type="dxa"/>
              <w:left w:w="144" w:type="dxa"/>
              <w:bottom w:w="72" w:type="dxa"/>
              <w:right w:w="144" w:type="dxa"/>
            </w:tcMar>
          </w:tcPr>
          <w:p w14:paraId="497D6888" w14:textId="77777777" w:rsidR="00B27950" w:rsidRPr="00132F83" w:rsidRDefault="00B27950" w:rsidP="00865A49">
            <w:pPr>
              <w:pStyle w:val="Default"/>
              <w:rPr>
                <w:rFonts w:asciiTheme="minorHAnsi" w:hAnsiTheme="minorHAnsi"/>
                <w:sz w:val="22"/>
                <w:szCs w:val="22"/>
              </w:rPr>
            </w:pPr>
            <w:r w:rsidRPr="00132F83">
              <w:rPr>
                <w:rFonts w:asciiTheme="minorHAnsi" w:hAnsiTheme="minorHAnsi"/>
                <w:sz w:val="22"/>
                <w:szCs w:val="22"/>
              </w:rPr>
              <w:t>0.76 (0.336 – 3.212)</w:t>
            </w:r>
          </w:p>
        </w:tc>
        <w:tc>
          <w:tcPr>
            <w:tcW w:w="2160" w:type="dxa"/>
            <w:shd w:val="clear" w:color="auto" w:fill="FFFFFF" w:themeFill="background1"/>
          </w:tcPr>
          <w:p w14:paraId="6B200172" w14:textId="1E97FE49" w:rsidR="00B27950" w:rsidRPr="00132F83" w:rsidRDefault="005539F8" w:rsidP="00865A49">
            <w:pPr>
              <w:spacing w:after="0" w:line="240" w:lineRule="auto"/>
              <w:rPr>
                <w:rFonts w:cs="Times New Roman"/>
              </w:rPr>
            </w:pPr>
            <w:r w:rsidRPr="00132F83">
              <w:rPr>
                <w:rFonts w:cs="Times New Roman"/>
              </w:rPr>
              <w:t>ECOTOX 92498</w:t>
            </w:r>
          </w:p>
        </w:tc>
        <w:tc>
          <w:tcPr>
            <w:tcW w:w="3870" w:type="dxa"/>
            <w:shd w:val="clear" w:color="auto" w:fill="FFFFFF" w:themeFill="background1"/>
          </w:tcPr>
          <w:p w14:paraId="45E45CAA" w14:textId="46567CF9" w:rsidR="00B27950" w:rsidRPr="00132F83" w:rsidRDefault="00B27950" w:rsidP="00CC7F89">
            <w:pPr>
              <w:spacing w:after="0" w:line="240" w:lineRule="auto"/>
              <w:rPr>
                <w:rFonts w:cs="Times New Roman"/>
              </w:rPr>
            </w:pPr>
            <w:r w:rsidRPr="00132F83">
              <w:rPr>
                <w:rFonts w:cs="Times New Roman"/>
              </w:rPr>
              <w:t>Lack of CI for diazinon confounds interpretation of relative sensitivities of parent and oxon. Upper bound of CI on oxon is only 2x lower tha</w:t>
            </w:r>
            <w:r w:rsidR="00CC7F89" w:rsidRPr="00132F83">
              <w:rPr>
                <w:rFonts w:cs="Times New Roman"/>
              </w:rPr>
              <w:t>n</w:t>
            </w:r>
            <w:r w:rsidRPr="00132F83">
              <w:rPr>
                <w:rFonts w:cs="Times New Roman"/>
              </w:rPr>
              <w:t xml:space="preserve"> median value for parent.</w:t>
            </w:r>
          </w:p>
        </w:tc>
      </w:tr>
      <w:tr w:rsidR="00F76D53" w:rsidRPr="00132F83" w14:paraId="0E0E765F" w14:textId="77777777" w:rsidTr="006C7B60">
        <w:trPr>
          <w:cantSplit/>
          <w:trHeight w:val="20"/>
        </w:trPr>
        <w:tc>
          <w:tcPr>
            <w:tcW w:w="1880" w:type="dxa"/>
            <w:shd w:val="clear" w:color="auto" w:fill="FFFFFF" w:themeFill="background1"/>
          </w:tcPr>
          <w:p w14:paraId="553B6952" w14:textId="200CC9EE" w:rsidR="00F76D53" w:rsidRPr="00132F83" w:rsidRDefault="00F76D53" w:rsidP="00865A49">
            <w:pPr>
              <w:spacing w:after="0" w:line="240" w:lineRule="auto"/>
              <w:rPr>
                <w:rFonts w:cs="Times New Roman"/>
              </w:rPr>
            </w:pPr>
            <w:r w:rsidRPr="00132F83">
              <w:rPr>
                <w:rFonts w:cs="Times New Roman"/>
              </w:rPr>
              <w:t>Waterflea (Daphnia magna)</w:t>
            </w:r>
          </w:p>
        </w:tc>
        <w:tc>
          <w:tcPr>
            <w:tcW w:w="1800" w:type="dxa"/>
            <w:shd w:val="clear" w:color="auto" w:fill="FFFFFF" w:themeFill="background1"/>
            <w:tcMar>
              <w:top w:w="72" w:type="dxa"/>
              <w:left w:w="144" w:type="dxa"/>
              <w:bottom w:w="72" w:type="dxa"/>
              <w:right w:w="144" w:type="dxa"/>
            </w:tcMar>
          </w:tcPr>
          <w:p w14:paraId="63445464" w14:textId="29486B31" w:rsidR="00F76D53" w:rsidRPr="00132F83" w:rsidRDefault="00F76D53" w:rsidP="00865A49">
            <w:pPr>
              <w:spacing w:after="0" w:line="240" w:lineRule="auto"/>
              <w:rPr>
                <w:rFonts w:cs="Times New Roman"/>
              </w:rPr>
            </w:pPr>
            <w:r w:rsidRPr="00132F83">
              <w:rPr>
                <w:rFonts w:cs="Times New Roman"/>
              </w:rPr>
              <w:t>EC50 (</w:t>
            </w:r>
            <w:r w:rsidR="00A40C76" w:rsidRPr="00132F83">
              <w:rPr>
                <w:rFonts w:cs="Times New Roman"/>
              </w:rPr>
              <w:t>u</w:t>
            </w:r>
            <w:r w:rsidR="001A0991" w:rsidRPr="00132F83">
              <w:rPr>
                <w:rFonts w:cs="Times New Roman"/>
              </w:rPr>
              <w:t>M</w:t>
            </w:r>
            <w:r w:rsidRPr="00132F83">
              <w:rPr>
                <w:rFonts w:cs="Times New Roman"/>
              </w:rPr>
              <w:t>)</w:t>
            </w:r>
          </w:p>
        </w:tc>
        <w:tc>
          <w:tcPr>
            <w:tcW w:w="1710" w:type="dxa"/>
            <w:shd w:val="clear" w:color="auto" w:fill="FFFFFF" w:themeFill="background1"/>
            <w:tcMar>
              <w:top w:w="72" w:type="dxa"/>
              <w:left w:w="144" w:type="dxa"/>
              <w:bottom w:w="72" w:type="dxa"/>
              <w:right w:w="144" w:type="dxa"/>
            </w:tcMar>
          </w:tcPr>
          <w:p w14:paraId="4F6665DB" w14:textId="224F46C9" w:rsidR="00F76D53" w:rsidRPr="00132F83" w:rsidRDefault="00A40C76" w:rsidP="00865A49">
            <w:pPr>
              <w:spacing w:after="0" w:line="240" w:lineRule="auto"/>
              <w:rPr>
                <w:rFonts w:cs="Times New Roman"/>
              </w:rPr>
            </w:pPr>
            <w:r w:rsidRPr="00132F83">
              <w:rPr>
                <w:rFonts w:cs="Times New Roman"/>
              </w:rPr>
              <w:t>5,</w:t>
            </w:r>
            <w:r w:rsidR="001A0991" w:rsidRPr="00132F83">
              <w:rPr>
                <w:rFonts w:cs="Times New Roman"/>
              </w:rPr>
              <w:t>6</w:t>
            </w:r>
            <w:r w:rsidRPr="00132F83">
              <w:rPr>
                <w:rFonts w:cs="Times New Roman"/>
              </w:rPr>
              <w:t>00</w:t>
            </w:r>
            <w:r w:rsidR="006C7B60" w:rsidRPr="00132F83">
              <w:rPr>
                <w:rFonts w:cs="Times New Roman"/>
              </w:rPr>
              <w:t xml:space="preserve"> (NA)</w:t>
            </w:r>
          </w:p>
        </w:tc>
        <w:tc>
          <w:tcPr>
            <w:tcW w:w="1620" w:type="dxa"/>
            <w:shd w:val="clear" w:color="auto" w:fill="FFFFFF" w:themeFill="background1"/>
            <w:tcMar>
              <w:top w:w="72" w:type="dxa"/>
              <w:left w:w="144" w:type="dxa"/>
              <w:bottom w:w="72" w:type="dxa"/>
              <w:right w:w="144" w:type="dxa"/>
            </w:tcMar>
          </w:tcPr>
          <w:p w14:paraId="265E611F" w14:textId="5A44F3F1" w:rsidR="00F76D53" w:rsidRPr="00132F83" w:rsidRDefault="00A40C76" w:rsidP="00865A49">
            <w:pPr>
              <w:pStyle w:val="Default"/>
              <w:rPr>
                <w:rFonts w:asciiTheme="minorHAnsi" w:hAnsiTheme="minorHAnsi"/>
                <w:sz w:val="22"/>
                <w:szCs w:val="22"/>
              </w:rPr>
            </w:pPr>
            <w:r w:rsidRPr="00132F83">
              <w:rPr>
                <w:rFonts w:asciiTheme="minorHAnsi" w:hAnsiTheme="minorHAnsi"/>
                <w:sz w:val="22"/>
                <w:szCs w:val="22"/>
              </w:rPr>
              <w:t>10,</w:t>
            </w:r>
            <w:r w:rsidR="001A0991" w:rsidRPr="00132F83">
              <w:rPr>
                <w:rFonts w:asciiTheme="minorHAnsi" w:hAnsiTheme="minorHAnsi"/>
                <w:sz w:val="22"/>
                <w:szCs w:val="22"/>
              </w:rPr>
              <w:t>1</w:t>
            </w:r>
            <w:r w:rsidRPr="00132F83">
              <w:rPr>
                <w:rFonts w:asciiTheme="minorHAnsi" w:hAnsiTheme="minorHAnsi"/>
                <w:sz w:val="22"/>
                <w:szCs w:val="22"/>
              </w:rPr>
              <w:t>00</w:t>
            </w:r>
            <w:r w:rsidR="006C7B60" w:rsidRPr="00132F83">
              <w:rPr>
                <w:rFonts w:asciiTheme="minorHAnsi" w:hAnsiTheme="minorHAnsi"/>
                <w:sz w:val="22"/>
                <w:szCs w:val="22"/>
              </w:rPr>
              <w:t xml:space="preserve"> (NA)</w:t>
            </w:r>
          </w:p>
        </w:tc>
        <w:tc>
          <w:tcPr>
            <w:tcW w:w="2160" w:type="dxa"/>
            <w:shd w:val="clear" w:color="auto" w:fill="FFFFFF" w:themeFill="background1"/>
          </w:tcPr>
          <w:p w14:paraId="0DC09E95" w14:textId="05A53CF9" w:rsidR="00F76D53" w:rsidRPr="00132F83" w:rsidRDefault="001A0991" w:rsidP="00865A49">
            <w:pPr>
              <w:spacing w:after="0" w:line="240" w:lineRule="auto"/>
              <w:rPr>
                <w:rFonts w:cs="Times New Roman"/>
              </w:rPr>
            </w:pPr>
            <w:r w:rsidRPr="00132F83">
              <w:rPr>
                <w:rFonts w:cs="Times New Roman"/>
              </w:rPr>
              <w:t>ECOTOX 160445</w:t>
            </w:r>
          </w:p>
        </w:tc>
        <w:tc>
          <w:tcPr>
            <w:tcW w:w="3870" w:type="dxa"/>
            <w:shd w:val="clear" w:color="auto" w:fill="FFFFFF" w:themeFill="background1"/>
          </w:tcPr>
          <w:p w14:paraId="31907613" w14:textId="2F4741F3" w:rsidR="00F76D53" w:rsidRPr="00132F83" w:rsidRDefault="001A0991" w:rsidP="00865A49">
            <w:pPr>
              <w:spacing w:after="0" w:line="240" w:lineRule="auto"/>
              <w:rPr>
                <w:rFonts w:cs="Times New Roman"/>
              </w:rPr>
            </w:pPr>
            <w:r w:rsidRPr="00132F83">
              <w:rPr>
                <w:rFonts w:cs="Times New Roman"/>
              </w:rPr>
              <w:t>Endpoint is immobilization. Confidence intervals are not available.</w:t>
            </w:r>
          </w:p>
        </w:tc>
      </w:tr>
      <w:tr w:rsidR="00F76D53" w:rsidRPr="00132F83" w14:paraId="23C7B99C" w14:textId="77777777" w:rsidTr="006C7B60">
        <w:trPr>
          <w:cantSplit/>
          <w:trHeight w:val="20"/>
        </w:trPr>
        <w:tc>
          <w:tcPr>
            <w:tcW w:w="1880" w:type="dxa"/>
            <w:shd w:val="clear" w:color="auto" w:fill="FFFFFF" w:themeFill="background1"/>
          </w:tcPr>
          <w:p w14:paraId="5ABC2935" w14:textId="0B3E3FA2" w:rsidR="00F76D53" w:rsidRPr="00132F83" w:rsidRDefault="00F76D53" w:rsidP="00865A49">
            <w:pPr>
              <w:spacing w:after="0" w:line="240" w:lineRule="auto"/>
              <w:rPr>
                <w:rFonts w:cs="Times New Roman"/>
              </w:rPr>
            </w:pPr>
            <w:r w:rsidRPr="00132F83">
              <w:rPr>
                <w:rFonts w:cs="Times New Roman"/>
              </w:rPr>
              <w:t>Kuruma shrimp (</w:t>
            </w:r>
            <w:r w:rsidRPr="00132F83">
              <w:rPr>
                <w:rFonts w:cs="Times New Roman"/>
                <w:i/>
              </w:rPr>
              <w:t>Panaeus japonicus</w:t>
            </w:r>
            <w:r w:rsidRPr="00132F83">
              <w:rPr>
                <w:rFonts w:cs="Times New Roman"/>
              </w:rPr>
              <w:t>)</w:t>
            </w:r>
          </w:p>
        </w:tc>
        <w:tc>
          <w:tcPr>
            <w:tcW w:w="1800" w:type="dxa"/>
            <w:shd w:val="clear" w:color="auto" w:fill="FFFFFF" w:themeFill="background1"/>
            <w:tcMar>
              <w:top w:w="72" w:type="dxa"/>
              <w:left w:w="144" w:type="dxa"/>
              <w:bottom w:w="72" w:type="dxa"/>
              <w:right w:w="144" w:type="dxa"/>
            </w:tcMar>
          </w:tcPr>
          <w:p w14:paraId="7F85BA5B" w14:textId="42941466" w:rsidR="00F76D53" w:rsidRPr="00132F83" w:rsidRDefault="001A0991" w:rsidP="00865A49">
            <w:pPr>
              <w:spacing w:after="0" w:line="240" w:lineRule="auto"/>
              <w:rPr>
                <w:rFonts w:cs="Times New Roman"/>
              </w:rPr>
            </w:pPr>
            <w:r w:rsidRPr="00132F83">
              <w:rPr>
                <w:rFonts w:cs="Times New Roman"/>
              </w:rPr>
              <w:t>I</w:t>
            </w:r>
            <w:r w:rsidR="00F76D53" w:rsidRPr="00132F83">
              <w:rPr>
                <w:rFonts w:cs="Times New Roman"/>
              </w:rPr>
              <w:t>C50 (</w:t>
            </w:r>
            <w:r w:rsidRPr="00132F83">
              <w:rPr>
                <w:rFonts w:cs="Times New Roman"/>
              </w:rPr>
              <w:t>uM</w:t>
            </w:r>
            <w:r w:rsidR="00F76D53" w:rsidRPr="00132F83">
              <w:rPr>
                <w:rFonts w:cs="Times New Roman"/>
              </w:rPr>
              <w:t>)</w:t>
            </w:r>
          </w:p>
        </w:tc>
        <w:tc>
          <w:tcPr>
            <w:tcW w:w="1710" w:type="dxa"/>
            <w:shd w:val="clear" w:color="auto" w:fill="FFFFFF" w:themeFill="background1"/>
            <w:tcMar>
              <w:top w:w="72" w:type="dxa"/>
              <w:left w:w="144" w:type="dxa"/>
              <w:bottom w:w="72" w:type="dxa"/>
              <w:right w:w="144" w:type="dxa"/>
            </w:tcMar>
          </w:tcPr>
          <w:p w14:paraId="484B28AC" w14:textId="4F029055" w:rsidR="00F76D53" w:rsidRPr="00132F83" w:rsidRDefault="006B0388" w:rsidP="00865A49">
            <w:pPr>
              <w:spacing w:after="0" w:line="240" w:lineRule="auto"/>
              <w:rPr>
                <w:rFonts w:cs="Times New Roman"/>
              </w:rPr>
            </w:pPr>
            <w:r w:rsidRPr="00132F83">
              <w:rPr>
                <w:rFonts w:cs="Times New Roman"/>
              </w:rPr>
              <w:t>1194</w:t>
            </w:r>
            <w:r w:rsidR="006C7B60" w:rsidRPr="00132F83">
              <w:rPr>
                <w:rFonts w:cs="Times New Roman"/>
              </w:rPr>
              <w:t xml:space="preserve"> (NA)</w:t>
            </w:r>
          </w:p>
        </w:tc>
        <w:tc>
          <w:tcPr>
            <w:tcW w:w="1620" w:type="dxa"/>
            <w:shd w:val="clear" w:color="auto" w:fill="FFFFFF" w:themeFill="background1"/>
            <w:tcMar>
              <w:top w:w="72" w:type="dxa"/>
              <w:left w:w="144" w:type="dxa"/>
              <w:bottom w:w="72" w:type="dxa"/>
              <w:right w:w="144" w:type="dxa"/>
            </w:tcMar>
          </w:tcPr>
          <w:p w14:paraId="066432D1" w14:textId="7C4B1E0E" w:rsidR="00F76D53" w:rsidRPr="00132F83" w:rsidRDefault="006B0388" w:rsidP="00865A49">
            <w:pPr>
              <w:pStyle w:val="Default"/>
              <w:rPr>
                <w:rFonts w:asciiTheme="minorHAnsi" w:hAnsiTheme="minorHAnsi"/>
                <w:sz w:val="22"/>
                <w:szCs w:val="22"/>
              </w:rPr>
            </w:pPr>
            <w:r w:rsidRPr="00132F83">
              <w:rPr>
                <w:rFonts w:asciiTheme="minorHAnsi" w:hAnsiTheme="minorHAnsi"/>
                <w:sz w:val="22"/>
                <w:szCs w:val="22"/>
              </w:rPr>
              <w:t>1.27</w:t>
            </w:r>
            <w:r w:rsidR="006C7B60" w:rsidRPr="00132F83">
              <w:rPr>
                <w:rFonts w:asciiTheme="minorHAnsi" w:hAnsiTheme="minorHAnsi"/>
                <w:sz w:val="22"/>
                <w:szCs w:val="22"/>
              </w:rPr>
              <w:t xml:space="preserve"> (NA)</w:t>
            </w:r>
          </w:p>
        </w:tc>
        <w:tc>
          <w:tcPr>
            <w:tcW w:w="2160" w:type="dxa"/>
            <w:shd w:val="clear" w:color="auto" w:fill="FFFFFF" w:themeFill="background1"/>
          </w:tcPr>
          <w:p w14:paraId="4CFE37B8" w14:textId="7CED1B8F" w:rsidR="00F76D53" w:rsidRPr="00132F83" w:rsidRDefault="001A0991" w:rsidP="00865A49">
            <w:pPr>
              <w:spacing w:after="0" w:line="240" w:lineRule="auto"/>
              <w:rPr>
                <w:rFonts w:cs="Times New Roman"/>
              </w:rPr>
            </w:pPr>
            <w:r w:rsidRPr="00132F83">
              <w:rPr>
                <w:rFonts w:cs="Times New Roman"/>
              </w:rPr>
              <w:t xml:space="preserve">ECOTOX </w:t>
            </w:r>
            <w:r w:rsidRPr="00132F83">
              <w:rPr>
                <w:rFonts w:cs="Times New Roman"/>
                <w:color w:val="000000"/>
              </w:rPr>
              <w:t>3043</w:t>
            </w:r>
          </w:p>
        </w:tc>
        <w:tc>
          <w:tcPr>
            <w:tcW w:w="3870" w:type="dxa"/>
            <w:shd w:val="clear" w:color="auto" w:fill="FFFFFF" w:themeFill="background1"/>
          </w:tcPr>
          <w:p w14:paraId="4FAC65BC" w14:textId="1BB6DD80" w:rsidR="00F76D53" w:rsidRPr="00132F83" w:rsidRDefault="001A0991" w:rsidP="00865A49">
            <w:pPr>
              <w:spacing w:after="0" w:line="240" w:lineRule="auto"/>
              <w:rPr>
                <w:rFonts w:cs="Times New Roman"/>
              </w:rPr>
            </w:pPr>
            <w:r w:rsidRPr="00132F83">
              <w:rPr>
                <w:rFonts w:cs="Times New Roman"/>
              </w:rPr>
              <w:t>Endpoint is AChE.</w:t>
            </w:r>
            <w:r w:rsidR="006B0388" w:rsidRPr="00132F83">
              <w:rPr>
                <w:rFonts w:cs="Times New Roman"/>
              </w:rPr>
              <w:t xml:space="preserve"> Study tested different life stages. Average values presented here. Average ratio of endpoints for diazixnon to oxon was 942.</w:t>
            </w:r>
            <w:r w:rsidR="006C7B60" w:rsidRPr="00132F83">
              <w:rPr>
                <w:rFonts w:cs="Times New Roman"/>
              </w:rPr>
              <w:t xml:space="preserve"> Confidence intervals are not available.</w:t>
            </w:r>
          </w:p>
        </w:tc>
      </w:tr>
    </w:tbl>
    <w:p w14:paraId="4221BEB5" w14:textId="0B63E8A2" w:rsidR="00210F0F" w:rsidRPr="00132F83" w:rsidRDefault="006C7B60" w:rsidP="00865A49">
      <w:pPr>
        <w:spacing w:after="0" w:line="240" w:lineRule="auto"/>
        <w:rPr>
          <w:rFonts w:cs="Times New Roman"/>
        </w:rPr>
      </w:pPr>
      <w:r w:rsidRPr="00132F83">
        <w:rPr>
          <w:rFonts w:cs="Times New Roman"/>
        </w:rPr>
        <w:t>CI = confidence interval</w:t>
      </w:r>
    </w:p>
    <w:p w14:paraId="35474D0E" w14:textId="12E03A77" w:rsidR="006C7B60" w:rsidRPr="00132F83" w:rsidRDefault="006C7B60" w:rsidP="00865A49">
      <w:pPr>
        <w:spacing w:after="0" w:line="240" w:lineRule="auto"/>
        <w:rPr>
          <w:rFonts w:cs="Times New Roman"/>
        </w:rPr>
      </w:pPr>
      <w:r w:rsidRPr="00132F83">
        <w:rPr>
          <w:rFonts w:cs="Times New Roman"/>
        </w:rPr>
        <w:t>NA = not available</w:t>
      </w:r>
    </w:p>
    <w:p w14:paraId="239DF10F" w14:textId="77777777" w:rsidR="00210F0F" w:rsidRPr="00132F83" w:rsidRDefault="00210F0F" w:rsidP="00865A49">
      <w:pPr>
        <w:spacing w:after="0" w:line="240" w:lineRule="auto"/>
        <w:rPr>
          <w:rFonts w:cs="Times New Roman"/>
          <w:i/>
          <w:highlight w:val="yellow"/>
        </w:rPr>
      </w:pPr>
    </w:p>
    <w:p w14:paraId="7D3594FA" w14:textId="77777777" w:rsidR="00210F0F" w:rsidRPr="00132F83" w:rsidRDefault="00210F0F" w:rsidP="00865A49">
      <w:pPr>
        <w:spacing w:after="0" w:line="240" w:lineRule="auto"/>
        <w:rPr>
          <w:rFonts w:cs="Times New Roman"/>
          <w:i/>
          <w:highlight w:val="yellow"/>
        </w:rPr>
      </w:pPr>
    </w:p>
    <w:p w14:paraId="11F8D6D6" w14:textId="77777777" w:rsidR="00865A49" w:rsidRPr="00132F83" w:rsidRDefault="00865A49">
      <w:pPr>
        <w:rPr>
          <w:rFonts w:cs="Times New Roman"/>
          <w:b/>
        </w:rPr>
      </w:pPr>
      <w:r w:rsidRPr="00132F83">
        <w:rPr>
          <w:rFonts w:cs="Times New Roman"/>
          <w:b/>
        </w:rPr>
        <w:br w:type="page"/>
      </w:r>
    </w:p>
    <w:p w14:paraId="0BA1346F" w14:textId="5264480C" w:rsidR="00210F0F" w:rsidRPr="00132F83" w:rsidRDefault="000E6085" w:rsidP="00865A49">
      <w:pPr>
        <w:spacing w:after="0" w:line="240" w:lineRule="auto"/>
        <w:rPr>
          <w:rFonts w:cs="Times New Roman"/>
          <w:b/>
        </w:rPr>
      </w:pPr>
      <w:r w:rsidRPr="00132F83">
        <w:rPr>
          <w:rFonts w:cs="Times New Roman"/>
          <w:b/>
        </w:rPr>
        <w:t xml:space="preserve">Table </w:t>
      </w:r>
      <w:r w:rsidR="005A72D8" w:rsidRPr="00132F83">
        <w:rPr>
          <w:rFonts w:cs="Times New Roman"/>
          <w:b/>
        </w:rPr>
        <w:t>B</w:t>
      </w:r>
      <w:r w:rsidR="005A72D8">
        <w:rPr>
          <w:rFonts w:cs="Times New Roman"/>
          <w:b/>
        </w:rPr>
        <w:t xml:space="preserve"> 1-9.</w:t>
      </w:r>
      <w:r w:rsidRPr="00132F83">
        <w:rPr>
          <w:rFonts w:cs="Times New Roman"/>
          <w:b/>
        </w:rPr>
        <w:t>2</w:t>
      </w:r>
      <w:r w:rsidR="00210F0F" w:rsidRPr="00132F83">
        <w:rPr>
          <w:rFonts w:cs="Times New Roman"/>
          <w:b/>
        </w:rPr>
        <w:t xml:space="preserve">. Comparison of </w:t>
      </w:r>
      <w:r w:rsidRPr="00132F83">
        <w:rPr>
          <w:rFonts w:cs="Times New Roman"/>
          <w:b/>
        </w:rPr>
        <w:t xml:space="preserve">available toxicity data for </w:t>
      </w:r>
      <w:r w:rsidR="00210F0F" w:rsidRPr="00132F83">
        <w:rPr>
          <w:rFonts w:cs="Times New Roman"/>
          <w:b/>
        </w:rPr>
        <w:t>diazinon and oxypyrimidine</w:t>
      </w:r>
      <w:r w:rsidRPr="00132F83">
        <w:rPr>
          <w:rFonts w:cs="Times New Roman"/>
          <w:b/>
        </w:rPr>
        <w:t>.</w:t>
      </w:r>
    </w:p>
    <w:tbl>
      <w:tblPr>
        <w:tblW w:w="130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20" w:firstRow="1" w:lastRow="0" w:firstColumn="0" w:lastColumn="0" w:noHBand="0" w:noVBand="1"/>
      </w:tblPr>
      <w:tblGrid>
        <w:gridCol w:w="1250"/>
        <w:gridCol w:w="1710"/>
        <w:gridCol w:w="2070"/>
        <w:gridCol w:w="2160"/>
        <w:gridCol w:w="1620"/>
        <w:gridCol w:w="4230"/>
      </w:tblGrid>
      <w:tr w:rsidR="00210F0F" w:rsidRPr="00132F83" w14:paraId="36122DD2" w14:textId="77777777" w:rsidTr="00F6303D">
        <w:trPr>
          <w:trHeight w:val="20"/>
        </w:trPr>
        <w:tc>
          <w:tcPr>
            <w:tcW w:w="1250" w:type="dxa"/>
            <w:shd w:val="clear" w:color="auto" w:fill="FFFFFF" w:themeFill="background1"/>
          </w:tcPr>
          <w:p w14:paraId="4265324F" w14:textId="77777777" w:rsidR="00210F0F" w:rsidRPr="00132F83" w:rsidRDefault="00210F0F" w:rsidP="00865A49">
            <w:pPr>
              <w:spacing w:after="0" w:line="240" w:lineRule="auto"/>
              <w:rPr>
                <w:rFonts w:cs="Times New Roman"/>
                <w:b/>
                <w:bCs/>
              </w:rPr>
            </w:pPr>
            <w:r w:rsidRPr="00132F83">
              <w:rPr>
                <w:rFonts w:cs="Times New Roman"/>
                <w:b/>
                <w:bCs/>
              </w:rPr>
              <w:t>Test species</w:t>
            </w:r>
          </w:p>
        </w:tc>
        <w:tc>
          <w:tcPr>
            <w:tcW w:w="1710" w:type="dxa"/>
            <w:shd w:val="clear" w:color="auto" w:fill="FFFFFF" w:themeFill="background1"/>
            <w:tcMar>
              <w:top w:w="72" w:type="dxa"/>
              <w:left w:w="144" w:type="dxa"/>
              <w:bottom w:w="72" w:type="dxa"/>
              <w:right w:w="144" w:type="dxa"/>
            </w:tcMar>
            <w:hideMark/>
          </w:tcPr>
          <w:p w14:paraId="3F47CC14" w14:textId="77777777" w:rsidR="00210F0F" w:rsidRPr="00132F83" w:rsidRDefault="00210F0F" w:rsidP="00865A49">
            <w:pPr>
              <w:spacing w:after="0" w:line="240" w:lineRule="auto"/>
              <w:rPr>
                <w:rFonts w:cs="Times New Roman"/>
              </w:rPr>
            </w:pPr>
            <w:r w:rsidRPr="00132F83">
              <w:rPr>
                <w:rFonts w:cs="Times New Roman"/>
                <w:b/>
                <w:bCs/>
              </w:rPr>
              <w:t>Endpoint (units)</w:t>
            </w:r>
          </w:p>
        </w:tc>
        <w:tc>
          <w:tcPr>
            <w:tcW w:w="2070" w:type="dxa"/>
            <w:shd w:val="clear" w:color="auto" w:fill="FFFFFF" w:themeFill="background1"/>
            <w:tcMar>
              <w:top w:w="72" w:type="dxa"/>
              <w:left w:w="144" w:type="dxa"/>
              <w:bottom w:w="72" w:type="dxa"/>
              <w:right w:w="144" w:type="dxa"/>
            </w:tcMar>
            <w:hideMark/>
          </w:tcPr>
          <w:p w14:paraId="406CEAC4" w14:textId="77777777" w:rsidR="00210F0F" w:rsidRPr="00132F83" w:rsidRDefault="00210F0F" w:rsidP="00865A49">
            <w:pPr>
              <w:spacing w:after="0" w:line="240" w:lineRule="auto"/>
              <w:rPr>
                <w:rFonts w:cs="Times New Roman"/>
              </w:rPr>
            </w:pPr>
            <w:r w:rsidRPr="00132F83">
              <w:rPr>
                <w:rFonts w:cs="Times New Roman"/>
                <w:b/>
                <w:bCs/>
              </w:rPr>
              <w:t>Diazinon value (confidence interval)</w:t>
            </w:r>
          </w:p>
        </w:tc>
        <w:tc>
          <w:tcPr>
            <w:tcW w:w="2160" w:type="dxa"/>
            <w:shd w:val="clear" w:color="auto" w:fill="FFFFFF" w:themeFill="background1"/>
            <w:tcMar>
              <w:top w:w="72" w:type="dxa"/>
              <w:left w:w="144" w:type="dxa"/>
              <w:bottom w:w="72" w:type="dxa"/>
              <w:right w:w="144" w:type="dxa"/>
            </w:tcMar>
            <w:hideMark/>
          </w:tcPr>
          <w:p w14:paraId="2D773054" w14:textId="77777777" w:rsidR="00210F0F" w:rsidRPr="00132F83" w:rsidRDefault="00210F0F" w:rsidP="00865A49">
            <w:pPr>
              <w:spacing w:after="0" w:line="240" w:lineRule="auto"/>
              <w:rPr>
                <w:rFonts w:cs="Times New Roman"/>
              </w:rPr>
            </w:pPr>
            <w:r w:rsidRPr="00132F83">
              <w:rPr>
                <w:rFonts w:cs="Times New Roman"/>
                <w:b/>
                <w:bCs/>
              </w:rPr>
              <w:t xml:space="preserve">Oxypyrimidine value </w:t>
            </w:r>
          </w:p>
        </w:tc>
        <w:tc>
          <w:tcPr>
            <w:tcW w:w="1620" w:type="dxa"/>
            <w:shd w:val="clear" w:color="auto" w:fill="FFFFFF" w:themeFill="background1"/>
          </w:tcPr>
          <w:p w14:paraId="5085D929" w14:textId="77777777" w:rsidR="00210F0F" w:rsidRPr="00132F83" w:rsidRDefault="00210F0F" w:rsidP="00865A49">
            <w:pPr>
              <w:spacing w:after="0" w:line="240" w:lineRule="auto"/>
              <w:rPr>
                <w:rFonts w:cs="Times New Roman"/>
                <w:b/>
                <w:bCs/>
              </w:rPr>
            </w:pPr>
            <w:r w:rsidRPr="00132F83">
              <w:rPr>
                <w:rFonts w:cs="Times New Roman"/>
                <w:b/>
                <w:bCs/>
              </w:rPr>
              <w:t>Sources</w:t>
            </w:r>
          </w:p>
        </w:tc>
        <w:tc>
          <w:tcPr>
            <w:tcW w:w="4230" w:type="dxa"/>
            <w:shd w:val="clear" w:color="auto" w:fill="FFFFFF" w:themeFill="background1"/>
            <w:tcMar>
              <w:top w:w="72" w:type="dxa"/>
              <w:left w:w="144" w:type="dxa"/>
              <w:bottom w:w="72" w:type="dxa"/>
              <w:right w:w="144" w:type="dxa"/>
            </w:tcMar>
            <w:hideMark/>
          </w:tcPr>
          <w:p w14:paraId="39E8E125" w14:textId="77777777" w:rsidR="00210F0F" w:rsidRPr="00132F83" w:rsidRDefault="00210F0F" w:rsidP="00865A49">
            <w:pPr>
              <w:spacing w:after="0" w:line="240" w:lineRule="auto"/>
              <w:rPr>
                <w:rFonts w:cs="Times New Roman"/>
              </w:rPr>
            </w:pPr>
            <w:r w:rsidRPr="00132F83">
              <w:rPr>
                <w:rFonts w:cs="Times New Roman"/>
                <w:b/>
                <w:bCs/>
              </w:rPr>
              <w:t>Comments</w:t>
            </w:r>
          </w:p>
        </w:tc>
      </w:tr>
      <w:tr w:rsidR="00210F0F" w:rsidRPr="00132F83" w14:paraId="290ED25F" w14:textId="77777777" w:rsidTr="00F6303D">
        <w:trPr>
          <w:trHeight w:val="20"/>
        </w:trPr>
        <w:tc>
          <w:tcPr>
            <w:tcW w:w="1250" w:type="dxa"/>
            <w:vMerge w:val="restart"/>
            <w:shd w:val="clear" w:color="auto" w:fill="FFFFFF" w:themeFill="background1"/>
          </w:tcPr>
          <w:p w14:paraId="7274A1E9" w14:textId="77777777" w:rsidR="00210F0F" w:rsidRPr="00132F83" w:rsidRDefault="00210F0F" w:rsidP="00865A49">
            <w:pPr>
              <w:spacing w:after="0" w:line="240" w:lineRule="auto"/>
              <w:rPr>
                <w:rFonts w:cs="Times New Roman"/>
              </w:rPr>
            </w:pPr>
            <w:r w:rsidRPr="00132F83">
              <w:rPr>
                <w:rFonts w:cs="Times New Roman"/>
              </w:rPr>
              <w:t>Bobwhite quail</w:t>
            </w:r>
          </w:p>
        </w:tc>
        <w:tc>
          <w:tcPr>
            <w:tcW w:w="1710" w:type="dxa"/>
            <w:vMerge w:val="restart"/>
            <w:shd w:val="clear" w:color="auto" w:fill="FFFFFF" w:themeFill="background1"/>
            <w:tcMar>
              <w:top w:w="72" w:type="dxa"/>
              <w:left w:w="144" w:type="dxa"/>
              <w:bottom w:w="72" w:type="dxa"/>
              <w:right w:w="144" w:type="dxa"/>
            </w:tcMar>
            <w:hideMark/>
          </w:tcPr>
          <w:p w14:paraId="7F745290" w14:textId="77777777" w:rsidR="00210F0F" w:rsidRPr="00132F83" w:rsidRDefault="00210F0F" w:rsidP="00865A49">
            <w:pPr>
              <w:spacing w:after="0" w:line="240" w:lineRule="auto"/>
              <w:rPr>
                <w:rFonts w:cs="Times New Roman"/>
              </w:rPr>
            </w:pPr>
            <w:r w:rsidRPr="00132F83">
              <w:rPr>
                <w:rFonts w:cs="Times New Roman"/>
              </w:rPr>
              <w:t xml:space="preserve">LD50 </w:t>
            </w:r>
          </w:p>
          <w:p w14:paraId="2C90664F" w14:textId="77777777" w:rsidR="00210F0F" w:rsidRPr="00132F83" w:rsidRDefault="00210F0F" w:rsidP="00865A49">
            <w:pPr>
              <w:spacing w:after="0" w:line="240" w:lineRule="auto"/>
              <w:rPr>
                <w:rFonts w:cs="Times New Roman"/>
              </w:rPr>
            </w:pPr>
            <w:r w:rsidRPr="00132F83">
              <w:rPr>
                <w:rFonts w:cs="Times New Roman"/>
              </w:rPr>
              <w:t>(mg/kg-bw)</w:t>
            </w:r>
          </w:p>
        </w:tc>
        <w:tc>
          <w:tcPr>
            <w:tcW w:w="2070" w:type="dxa"/>
            <w:shd w:val="clear" w:color="auto" w:fill="FFFFFF" w:themeFill="background1"/>
            <w:tcMar>
              <w:top w:w="72" w:type="dxa"/>
              <w:left w:w="144" w:type="dxa"/>
              <w:bottom w:w="72" w:type="dxa"/>
              <w:right w:w="144" w:type="dxa"/>
            </w:tcMar>
            <w:hideMark/>
          </w:tcPr>
          <w:p w14:paraId="3AB1B240" w14:textId="77777777" w:rsidR="00210F0F" w:rsidRPr="00132F83" w:rsidRDefault="00210F0F" w:rsidP="00865A49">
            <w:pPr>
              <w:spacing w:after="0" w:line="240" w:lineRule="auto"/>
              <w:rPr>
                <w:rFonts w:cs="Times New Roman"/>
              </w:rPr>
            </w:pPr>
            <w:r w:rsidRPr="00132F83">
              <w:rPr>
                <w:rFonts w:cs="Times New Roman"/>
              </w:rPr>
              <w:t>5.2 (3.5-7.6)</w:t>
            </w:r>
          </w:p>
        </w:tc>
        <w:tc>
          <w:tcPr>
            <w:tcW w:w="2160" w:type="dxa"/>
            <w:vMerge w:val="restart"/>
            <w:shd w:val="clear" w:color="auto" w:fill="FFFFFF" w:themeFill="background1"/>
            <w:tcMar>
              <w:top w:w="72" w:type="dxa"/>
              <w:left w:w="144" w:type="dxa"/>
              <w:bottom w:w="72" w:type="dxa"/>
              <w:right w:w="144" w:type="dxa"/>
            </w:tcMar>
            <w:hideMark/>
          </w:tcPr>
          <w:p w14:paraId="4E101B03" w14:textId="77777777" w:rsidR="00210F0F" w:rsidRPr="00132F83" w:rsidRDefault="00210F0F" w:rsidP="00865A49">
            <w:pPr>
              <w:pStyle w:val="Default"/>
              <w:rPr>
                <w:rFonts w:asciiTheme="minorHAnsi" w:hAnsiTheme="minorHAnsi"/>
                <w:sz w:val="22"/>
                <w:szCs w:val="22"/>
              </w:rPr>
            </w:pPr>
            <w:r w:rsidRPr="00132F83">
              <w:rPr>
                <w:rFonts w:asciiTheme="minorHAnsi" w:hAnsiTheme="minorHAnsi"/>
                <w:sz w:val="22"/>
                <w:szCs w:val="22"/>
              </w:rPr>
              <w:t xml:space="preserve">&gt;2060 </w:t>
            </w:r>
          </w:p>
          <w:p w14:paraId="5AE93328" w14:textId="77777777" w:rsidR="00210F0F" w:rsidRPr="00132F83" w:rsidRDefault="00210F0F" w:rsidP="00865A49">
            <w:pPr>
              <w:pStyle w:val="Default"/>
              <w:rPr>
                <w:rFonts w:asciiTheme="minorHAnsi" w:hAnsiTheme="minorHAnsi"/>
                <w:sz w:val="22"/>
                <w:szCs w:val="22"/>
              </w:rPr>
            </w:pPr>
          </w:p>
        </w:tc>
        <w:tc>
          <w:tcPr>
            <w:tcW w:w="1620" w:type="dxa"/>
            <w:vMerge w:val="restart"/>
            <w:shd w:val="clear" w:color="auto" w:fill="FFFFFF" w:themeFill="background1"/>
          </w:tcPr>
          <w:p w14:paraId="3F5C630B" w14:textId="77777777" w:rsidR="00210F0F" w:rsidRPr="00132F83" w:rsidRDefault="00210F0F" w:rsidP="00865A49">
            <w:pPr>
              <w:spacing w:after="0" w:line="240" w:lineRule="auto"/>
              <w:rPr>
                <w:rFonts w:cs="Times New Roman"/>
              </w:rPr>
            </w:pPr>
            <w:r w:rsidRPr="00132F83">
              <w:rPr>
                <w:rFonts w:cs="Times New Roman"/>
              </w:rPr>
              <w:t xml:space="preserve">MRIDs 109015, 46579605, </w:t>
            </w:r>
          </w:p>
          <w:p w14:paraId="56506AD8" w14:textId="77777777" w:rsidR="00210F0F" w:rsidRPr="00132F83" w:rsidRDefault="00210F0F" w:rsidP="00865A49">
            <w:pPr>
              <w:spacing w:after="0" w:line="240" w:lineRule="auto"/>
              <w:rPr>
                <w:rFonts w:cs="Times New Roman"/>
              </w:rPr>
            </w:pPr>
            <w:r w:rsidRPr="00132F83">
              <w:rPr>
                <w:rFonts w:cs="Times New Roman"/>
              </w:rPr>
              <w:t>ECOTOX 37111</w:t>
            </w:r>
          </w:p>
          <w:p w14:paraId="661FD61B" w14:textId="77777777" w:rsidR="00210F0F" w:rsidRPr="00132F83" w:rsidRDefault="00210F0F" w:rsidP="00865A49">
            <w:pPr>
              <w:spacing w:after="0" w:line="240" w:lineRule="auto"/>
              <w:rPr>
                <w:rFonts w:cs="Times New Roman"/>
              </w:rPr>
            </w:pPr>
            <w:r w:rsidRPr="00132F83">
              <w:rPr>
                <w:rFonts w:cs="Times New Roman"/>
              </w:rPr>
              <w:t>and 37112</w:t>
            </w:r>
          </w:p>
          <w:p w14:paraId="6E65AA63" w14:textId="77777777" w:rsidR="00210F0F" w:rsidRPr="00132F83" w:rsidRDefault="00210F0F" w:rsidP="00865A49">
            <w:pPr>
              <w:spacing w:after="0" w:line="240" w:lineRule="auto"/>
              <w:rPr>
                <w:rFonts w:cs="Times New Roman"/>
              </w:rPr>
            </w:pPr>
          </w:p>
        </w:tc>
        <w:tc>
          <w:tcPr>
            <w:tcW w:w="4230" w:type="dxa"/>
            <w:vMerge w:val="restart"/>
            <w:shd w:val="clear" w:color="auto" w:fill="FFFFFF" w:themeFill="background1"/>
            <w:tcMar>
              <w:top w:w="72" w:type="dxa"/>
              <w:left w:w="144" w:type="dxa"/>
              <w:bottom w:w="72" w:type="dxa"/>
              <w:right w:w="144" w:type="dxa"/>
            </w:tcMar>
            <w:hideMark/>
          </w:tcPr>
          <w:p w14:paraId="4D469D56" w14:textId="77777777" w:rsidR="00210F0F" w:rsidRPr="00132F83" w:rsidRDefault="00210F0F" w:rsidP="00865A49">
            <w:pPr>
              <w:spacing w:after="0" w:line="240" w:lineRule="auto"/>
              <w:rPr>
                <w:rFonts w:cs="Times New Roman"/>
              </w:rPr>
            </w:pPr>
            <w:r w:rsidRPr="00132F83">
              <w:rPr>
                <w:rFonts w:cs="Times New Roman"/>
              </w:rPr>
              <w:t>No mortalities were observed in oxypyrimidine test.</w:t>
            </w:r>
            <w:r w:rsidR="00F6303D" w:rsidRPr="00132F83">
              <w:rPr>
                <w:rFonts w:cs="Times New Roman"/>
              </w:rPr>
              <w:t xml:space="preserve"> </w:t>
            </w:r>
            <w:r w:rsidRPr="00132F83">
              <w:rPr>
                <w:rFonts w:cs="Times New Roman"/>
              </w:rPr>
              <w:t>Values show that oxypyrimidine is orders of magnitude less toxic compared to diazinon.</w:t>
            </w:r>
          </w:p>
        </w:tc>
      </w:tr>
      <w:tr w:rsidR="00210F0F" w:rsidRPr="00132F83" w14:paraId="44D1AF84" w14:textId="77777777" w:rsidTr="00F6303D">
        <w:trPr>
          <w:trHeight w:val="20"/>
        </w:trPr>
        <w:tc>
          <w:tcPr>
            <w:tcW w:w="1250" w:type="dxa"/>
            <w:vMerge/>
            <w:shd w:val="clear" w:color="auto" w:fill="FFFFFF" w:themeFill="background1"/>
          </w:tcPr>
          <w:p w14:paraId="38A95018" w14:textId="77777777" w:rsidR="00210F0F" w:rsidRPr="00132F83" w:rsidRDefault="00210F0F" w:rsidP="00865A49">
            <w:pPr>
              <w:spacing w:after="0" w:line="240" w:lineRule="auto"/>
              <w:rPr>
                <w:rFonts w:cs="Times New Roman"/>
              </w:rPr>
            </w:pPr>
          </w:p>
        </w:tc>
        <w:tc>
          <w:tcPr>
            <w:tcW w:w="1710" w:type="dxa"/>
            <w:vMerge/>
            <w:shd w:val="clear" w:color="auto" w:fill="FFFFFF" w:themeFill="background1"/>
            <w:tcMar>
              <w:top w:w="72" w:type="dxa"/>
              <w:left w:w="144" w:type="dxa"/>
              <w:bottom w:w="72" w:type="dxa"/>
              <w:right w:w="144" w:type="dxa"/>
            </w:tcMar>
          </w:tcPr>
          <w:p w14:paraId="52726A6E" w14:textId="77777777" w:rsidR="00210F0F" w:rsidRPr="00132F83" w:rsidRDefault="00210F0F" w:rsidP="00865A49">
            <w:pPr>
              <w:spacing w:after="0" w:line="240" w:lineRule="auto"/>
              <w:rPr>
                <w:rFonts w:cs="Times New Roman"/>
              </w:rPr>
            </w:pPr>
          </w:p>
        </w:tc>
        <w:tc>
          <w:tcPr>
            <w:tcW w:w="2070" w:type="dxa"/>
            <w:shd w:val="clear" w:color="auto" w:fill="FFFFFF" w:themeFill="background1"/>
            <w:tcMar>
              <w:top w:w="72" w:type="dxa"/>
              <w:left w:w="144" w:type="dxa"/>
              <w:bottom w:w="72" w:type="dxa"/>
              <w:right w:w="144" w:type="dxa"/>
            </w:tcMar>
          </w:tcPr>
          <w:p w14:paraId="0A69E345" w14:textId="77777777" w:rsidR="00210F0F" w:rsidRPr="00132F83" w:rsidRDefault="00210F0F" w:rsidP="00865A49">
            <w:pPr>
              <w:spacing w:after="0" w:line="240" w:lineRule="auto"/>
              <w:rPr>
                <w:rFonts w:cs="Times New Roman"/>
              </w:rPr>
            </w:pPr>
            <w:r w:rsidRPr="00132F83">
              <w:rPr>
                <w:rFonts w:cs="Times New Roman"/>
              </w:rPr>
              <w:t>10 (7-13)</w:t>
            </w:r>
          </w:p>
        </w:tc>
        <w:tc>
          <w:tcPr>
            <w:tcW w:w="2160" w:type="dxa"/>
            <w:vMerge/>
            <w:shd w:val="clear" w:color="auto" w:fill="FFFFFF" w:themeFill="background1"/>
            <w:tcMar>
              <w:top w:w="72" w:type="dxa"/>
              <w:left w:w="144" w:type="dxa"/>
              <w:bottom w:w="72" w:type="dxa"/>
              <w:right w:w="144" w:type="dxa"/>
            </w:tcMar>
          </w:tcPr>
          <w:p w14:paraId="1B40715C" w14:textId="77777777" w:rsidR="00210F0F" w:rsidRPr="00132F83" w:rsidRDefault="00210F0F" w:rsidP="00865A49">
            <w:pPr>
              <w:pStyle w:val="Default"/>
              <w:rPr>
                <w:rFonts w:asciiTheme="minorHAnsi" w:hAnsiTheme="minorHAnsi"/>
                <w:sz w:val="22"/>
                <w:szCs w:val="22"/>
              </w:rPr>
            </w:pPr>
          </w:p>
        </w:tc>
        <w:tc>
          <w:tcPr>
            <w:tcW w:w="1620" w:type="dxa"/>
            <w:vMerge/>
            <w:shd w:val="clear" w:color="auto" w:fill="FFFFFF" w:themeFill="background1"/>
          </w:tcPr>
          <w:p w14:paraId="12499F1B" w14:textId="77777777" w:rsidR="00210F0F" w:rsidRPr="00132F83" w:rsidRDefault="00210F0F" w:rsidP="00865A49">
            <w:pPr>
              <w:spacing w:after="0" w:line="240" w:lineRule="auto"/>
              <w:rPr>
                <w:rFonts w:cs="Times New Roman"/>
              </w:rPr>
            </w:pPr>
          </w:p>
        </w:tc>
        <w:tc>
          <w:tcPr>
            <w:tcW w:w="4230" w:type="dxa"/>
            <w:vMerge/>
            <w:shd w:val="clear" w:color="auto" w:fill="FFFFFF" w:themeFill="background1"/>
            <w:tcMar>
              <w:top w:w="72" w:type="dxa"/>
              <w:left w:w="144" w:type="dxa"/>
              <w:bottom w:w="72" w:type="dxa"/>
              <w:right w:w="144" w:type="dxa"/>
            </w:tcMar>
          </w:tcPr>
          <w:p w14:paraId="2D6989A1" w14:textId="77777777" w:rsidR="00210F0F" w:rsidRPr="00132F83" w:rsidRDefault="00210F0F" w:rsidP="00865A49">
            <w:pPr>
              <w:spacing w:after="0" w:line="240" w:lineRule="auto"/>
              <w:rPr>
                <w:rFonts w:cs="Times New Roman"/>
              </w:rPr>
            </w:pPr>
          </w:p>
        </w:tc>
      </w:tr>
      <w:tr w:rsidR="00210F0F" w:rsidRPr="00132F83" w14:paraId="79444485" w14:textId="77777777" w:rsidTr="00F6303D">
        <w:trPr>
          <w:trHeight w:val="20"/>
        </w:trPr>
        <w:tc>
          <w:tcPr>
            <w:tcW w:w="1250" w:type="dxa"/>
            <w:vMerge/>
            <w:shd w:val="clear" w:color="auto" w:fill="FFFFFF" w:themeFill="background1"/>
          </w:tcPr>
          <w:p w14:paraId="3B47467A" w14:textId="77777777" w:rsidR="00210F0F" w:rsidRPr="00132F83" w:rsidRDefault="00210F0F" w:rsidP="00865A49">
            <w:pPr>
              <w:spacing w:after="0" w:line="240" w:lineRule="auto"/>
              <w:rPr>
                <w:rFonts w:cs="Times New Roman"/>
              </w:rPr>
            </w:pPr>
          </w:p>
        </w:tc>
        <w:tc>
          <w:tcPr>
            <w:tcW w:w="1710" w:type="dxa"/>
            <w:vMerge/>
            <w:shd w:val="clear" w:color="auto" w:fill="FFFFFF" w:themeFill="background1"/>
            <w:tcMar>
              <w:top w:w="72" w:type="dxa"/>
              <w:left w:w="144" w:type="dxa"/>
              <w:bottom w:w="72" w:type="dxa"/>
              <w:right w:w="144" w:type="dxa"/>
            </w:tcMar>
          </w:tcPr>
          <w:p w14:paraId="386782E6" w14:textId="77777777" w:rsidR="00210F0F" w:rsidRPr="00132F83" w:rsidRDefault="00210F0F" w:rsidP="00865A49">
            <w:pPr>
              <w:spacing w:after="0" w:line="240" w:lineRule="auto"/>
              <w:rPr>
                <w:rFonts w:cs="Times New Roman"/>
              </w:rPr>
            </w:pPr>
          </w:p>
        </w:tc>
        <w:tc>
          <w:tcPr>
            <w:tcW w:w="2070" w:type="dxa"/>
            <w:shd w:val="clear" w:color="auto" w:fill="FFFFFF" w:themeFill="background1"/>
            <w:tcMar>
              <w:top w:w="72" w:type="dxa"/>
              <w:left w:w="144" w:type="dxa"/>
              <w:bottom w:w="72" w:type="dxa"/>
              <w:right w:w="144" w:type="dxa"/>
            </w:tcMar>
            <w:vAlign w:val="center"/>
          </w:tcPr>
          <w:p w14:paraId="76157D74" w14:textId="77777777" w:rsidR="00210F0F" w:rsidRPr="00132F83" w:rsidRDefault="00210F0F" w:rsidP="00865A49">
            <w:pPr>
              <w:spacing w:after="0" w:line="240" w:lineRule="auto"/>
              <w:rPr>
                <w:rFonts w:cs="Times New Roman"/>
              </w:rPr>
            </w:pPr>
            <w:r w:rsidRPr="00132F83">
              <w:rPr>
                <w:rFonts w:cs="Times New Roman"/>
              </w:rPr>
              <w:t>13 (9-19)</w:t>
            </w:r>
          </w:p>
        </w:tc>
        <w:tc>
          <w:tcPr>
            <w:tcW w:w="2160" w:type="dxa"/>
            <w:vMerge/>
            <w:shd w:val="clear" w:color="auto" w:fill="FFFFFF" w:themeFill="background1"/>
            <w:tcMar>
              <w:top w:w="72" w:type="dxa"/>
              <w:left w:w="144" w:type="dxa"/>
              <w:bottom w:w="72" w:type="dxa"/>
              <w:right w:w="144" w:type="dxa"/>
            </w:tcMar>
          </w:tcPr>
          <w:p w14:paraId="317ACB6B" w14:textId="77777777" w:rsidR="00210F0F" w:rsidRPr="00132F83" w:rsidRDefault="00210F0F" w:rsidP="00865A49">
            <w:pPr>
              <w:pStyle w:val="Default"/>
              <w:rPr>
                <w:rFonts w:asciiTheme="minorHAnsi" w:hAnsiTheme="minorHAnsi"/>
                <w:sz w:val="22"/>
                <w:szCs w:val="22"/>
              </w:rPr>
            </w:pPr>
          </w:p>
        </w:tc>
        <w:tc>
          <w:tcPr>
            <w:tcW w:w="1620" w:type="dxa"/>
            <w:vMerge/>
            <w:shd w:val="clear" w:color="auto" w:fill="FFFFFF" w:themeFill="background1"/>
          </w:tcPr>
          <w:p w14:paraId="4EDAA083" w14:textId="77777777" w:rsidR="00210F0F" w:rsidRPr="00132F83" w:rsidRDefault="00210F0F" w:rsidP="00865A49">
            <w:pPr>
              <w:spacing w:after="0" w:line="240" w:lineRule="auto"/>
              <w:rPr>
                <w:rFonts w:cs="Times New Roman"/>
              </w:rPr>
            </w:pPr>
          </w:p>
        </w:tc>
        <w:tc>
          <w:tcPr>
            <w:tcW w:w="4230" w:type="dxa"/>
            <w:vMerge/>
            <w:shd w:val="clear" w:color="auto" w:fill="FFFFFF" w:themeFill="background1"/>
            <w:tcMar>
              <w:top w:w="72" w:type="dxa"/>
              <w:left w:w="144" w:type="dxa"/>
              <w:bottom w:w="72" w:type="dxa"/>
              <w:right w:w="144" w:type="dxa"/>
            </w:tcMar>
          </w:tcPr>
          <w:p w14:paraId="344C96DC" w14:textId="77777777" w:rsidR="00210F0F" w:rsidRPr="00132F83" w:rsidRDefault="00210F0F" w:rsidP="00865A49">
            <w:pPr>
              <w:spacing w:after="0" w:line="240" w:lineRule="auto"/>
              <w:rPr>
                <w:rFonts w:cs="Times New Roman"/>
              </w:rPr>
            </w:pPr>
          </w:p>
        </w:tc>
      </w:tr>
      <w:tr w:rsidR="00210F0F" w:rsidRPr="00132F83" w14:paraId="027892F1" w14:textId="77777777" w:rsidTr="00F6303D">
        <w:trPr>
          <w:trHeight w:val="20"/>
        </w:trPr>
        <w:tc>
          <w:tcPr>
            <w:tcW w:w="1250" w:type="dxa"/>
            <w:vMerge/>
            <w:shd w:val="clear" w:color="auto" w:fill="FFFFFF" w:themeFill="background1"/>
          </w:tcPr>
          <w:p w14:paraId="4B0590E9" w14:textId="77777777" w:rsidR="00210F0F" w:rsidRPr="00132F83" w:rsidRDefault="00210F0F" w:rsidP="00865A49">
            <w:pPr>
              <w:spacing w:after="0" w:line="240" w:lineRule="auto"/>
              <w:rPr>
                <w:rFonts w:cs="Times New Roman"/>
              </w:rPr>
            </w:pPr>
          </w:p>
        </w:tc>
        <w:tc>
          <w:tcPr>
            <w:tcW w:w="1710" w:type="dxa"/>
            <w:vMerge/>
            <w:shd w:val="clear" w:color="auto" w:fill="FFFFFF" w:themeFill="background1"/>
            <w:tcMar>
              <w:top w:w="72" w:type="dxa"/>
              <w:left w:w="144" w:type="dxa"/>
              <w:bottom w:w="72" w:type="dxa"/>
              <w:right w:w="144" w:type="dxa"/>
            </w:tcMar>
          </w:tcPr>
          <w:p w14:paraId="2F951862" w14:textId="77777777" w:rsidR="00210F0F" w:rsidRPr="00132F83" w:rsidRDefault="00210F0F" w:rsidP="00865A49">
            <w:pPr>
              <w:spacing w:after="0" w:line="240" w:lineRule="auto"/>
              <w:rPr>
                <w:rFonts w:cs="Times New Roman"/>
              </w:rPr>
            </w:pPr>
          </w:p>
        </w:tc>
        <w:tc>
          <w:tcPr>
            <w:tcW w:w="2070" w:type="dxa"/>
            <w:shd w:val="clear" w:color="auto" w:fill="FFFFFF" w:themeFill="background1"/>
            <w:tcMar>
              <w:top w:w="72" w:type="dxa"/>
              <w:left w:w="144" w:type="dxa"/>
              <w:bottom w:w="72" w:type="dxa"/>
              <w:right w:w="144" w:type="dxa"/>
            </w:tcMar>
            <w:vAlign w:val="center"/>
          </w:tcPr>
          <w:p w14:paraId="05D523FF" w14:textId="77777777" w:rsidR="00210F0F" w:rsidRPr="00132F83" w:rsidRDefault="00210F0F" w:rsidP="00865A49">
            <w:pPr>
              <w:spacing w:after="0" w:line="240" w:lineRule="auto"/>
              <w:rPr>
                <w:rFonts w:cs="Times New Roman"/>
              </w:rPr>
            </w:pPr>
            <w:r w:rsidRPr="00132F83">
              <w:rPr>
                <w:rFonts w:cs="Times New Roman"/>
              </w:rPr>
              <w:t>13 (8-21)</w:t>
            </w:r>
          </w:p>
        </w:tc>
        <w:tc>
          <w:tcPr>
            <w:tcW w:w="2160" w:type="dxa"/>
            <w:vMerge/>
            <w:shd w:val="clear" w:color="auto" w:fill="FFFFFF" w:themeFill="background1"/>
            <w:tcMar>
              <w:top w:w="72" w:type="dxa"/>
              <w:left w:w="144" w:type="dxa"/>
              <w:bottom w:w="72" w:type="dxa"/>
              <w:right w:w="144" w:type="dxa"/>
            </w:tcMar>
          </w:tcPr>
          <w:p w14:paraId="5CD2B08C" w14:textId="77777777" w:rsidR="00210F0F" w:rsidRPr="00132F83" w:rsidRDefault="00210F0F" w:rsidP="00865A49">
            <w:pPr>
              <w:pStyle w:val="Default"/>
              <w:rPr>
                <w:rFonts w:asciiTheme="minorHAnsi" w:hAnsiTheme="minorHAnsi"/>
                <w:sz w:val="22"/>
                <w:szCs w:val="22"/>
              </w:rPr>
            </w:pPr>
          </w:p>
        </w:tc>
        <w:tc>
          <w:tcPr>
            <w:tcW w:w="1620" w:type="dxa"/>
            <w:vMerge/>
            <w:shd w:val="clear" w:color="auto" w:fill="FFFFFF" w:themeFill="background1"/>
          </w:tcPr>
          <w:p w14:paraId="19CBCC92" w14:textId="77777777" w:rsidR="00210F0F" w:rsidRPr="00132F83" w:rsidRDefault="00210F0F" w:rsidP="00865A49">
            <w:pPr>
              <w:spacing w:after="0" w:line="240" w:lineRule="auto"/>
              <w:rPr>
                <w:rFonts w:cs="Times New Roman"/>
              </w:rPr>
            </w:pPr>
          </w:p>
        </w:tc>
        <w:tc>
          <w:tcPr>
            <w:tcW w:w="4230" w:type="dxa"/>
            <w:vMerge/>
            <w:shd w:val="clear" w:color="auto" w:fill="FFFFFF" w:themeFill="background1"/>
            <w:tcMar>
              <w:top w:w="72" w:type="dxa"/>
              <w:left w:w="144" w:type="dxa"/>
              <w:bottom w:w="72" w:type="dxa"/>
              <w:right w:w="144" w:type="dxa"/>
            </w:tcMar>
          </w:tcPr>
          <w:p w14:paraId="3A73AB1F" w14:textId="77777777" w:rsidR="00210F0F" w:rsidRPr="00132F83" w:rsidRDefault="00210F0F" w:rsidP="00865A49">
            <w:pPr>
              <w:spacing w:after="0" w:line="240" w:lineRule="auto"/>
              <w:rPr>
                <w:rFonts w:cs="Times New Roman"/>
              </w:rPr>
            </w:pPr>
          </w:p>
        </w:tc>
      </w:tr>
      <w:tr w:rsidR="00210F0F" w:rsidRPr="00132F83" w14:paraId="4061CC47" w14:textId="77777777" w:rsidTr="00F6303D">
        <w:trPr>
          <w:trHeight w:val="20"/>
        </w:trPr>
        <w:tc>
          <w:tcPr>
            <w:tcW w:w="1250" w:type="dxa"/>
            <w:vMerge/>
            <w:shd w:val="clear" w:color="auto" w:fill="FFFFFF" w:themeFill="background1"/>
          </w:tcPr>
          <w:p w14:paraId="66A9D062" w14:textId="77777777" w:rsidR="00210F0F" w:rsidRPr="00132F83" w:rsidRDefault="00210F0F" w:rsidP="00865A49">
            <w:pPr>
              <w:spacing w:after="0" w:line="240" w:lineRule="auto"/>
              <w:rPr>
                <w:rFonts w:cs="Times New Roman"/>
              </w:rPr>
            </w:pPr>
          </w:p>
        </w:tc>
        <w:tc>
          <w:tcPr>
            <w:tcW w:w="1710" w:type="dxa"/>
            <w:vMerge/>
            <w:shd w:val="clear" w:color="auto" w:fill="FFFFFF" w:themeFill="background1"/>
            <w:tcMar>
              <w:top w:w="72" w:type="dxa"/>
              <w:left w:w="144" w:type="dxa"/>
              <w:bottom w:w="72" w:type="dxa"/>
              <w:right w:w="144" w:type="dxa"/>
            </w:tcMar>
          </w:tcPr>
          <w:p w14:paraId="1BAC3F95" w14:textId="77777777" w:rsidR="00210F0F" w:rsidRPr="00132F83" w:rsidRDefault="00210F0F" w:rsidP="00865A49">
            <w:pPr>
              <w:spacing w:after="0" w:line="240" w:lineRule="auto"/>
              <w:rPr>
                <w:rFonts w:cs="Times New Roman"/>
              </w:rPr>
            </w:pPr>
          </w:p>
        </w:tc>
        <w:tc>
          <w:tcPr>
            <w:tcW w:w="2070" w:type="dxa"/>
            <w:shd w:val="clear" w:color="auto" w:fill="FFFFFF" w:themeFill="background1"/>
            <w:tcMar>
              <w:top w:w="72" w:type="dxa"/>
              <w:left w:w="144" w:type="dxa"/>
              <w:bottom w:w="72" w:type="dxa"/>
              <w:right w:w="144" w:type="dxa"/>
            </w:tcMar>
            <w:vAlign w:val="center"/>
          </w:tcPr>
          <w:p w14:paraId="3A100AE6" w14:textId="77777777" w:rsidR="00210F0F" w:rsidRPr="00132F83" w:rsidRDefault="00210F0F" w:rsidP="00865A49">
            <w:pPr>
              <w:spacing w:after="0" w:line="240" w:lineRule="auto"/>
              <w:rPr>
                <w:rFonts w:cs="Times New Roman"/>
              </w:rPr>
            </w:pPr>
            <w:r w:rsidRPr="00132F83">
              <w:rPr>
                <w:rFonts w:cs="Times New Roman"/>
              </w:rPr>
              <w:t>14 (8-22)</w:t>
            </w:r>
          </w:p>
        </w:tc>
        <w:tc>
          <w:tcPr>
            <w:tcW w:w="2160" w:type="dxa"/>
            <w:vMerge/>
            <w:shd w:val="clear" w:color="auto" w:fill="FFFFFF" w:themeFill="background1"/>
            <w:tcMar>
              <w:top w:w="72" w:type="dxa"/>
              <w:left w:w="144" w:type="dxa"/>
              <w:bottom w:w="72" w:type="dxa"/>
              <w:right w:w="144" w:type="dxa"/>
            </w:tcMar>
          </w:tcPr>
          <w:p w14:paraId="147EF63E" w14:textId="77777777" w:rsidR="00210F0F" w:rsidRPr="00132F83" w:rsidRDefault="00210F0F" w:rsidP="00865A49">
            <w:pPr>
              <w:pStyle w:val="Default"/>
              <w:rPr>
                <w:rFonts w:asciiTheme="minorHAnsi" w:hAnsiTheme="minorHAnsi"/>
                <w:sz w:val="22"/>
                <w:szCs w:val="22"/>
              </w:rPr>
            </w:pPr>
          </w:p>
        </w:tc>
        <w:tc>
          <w:tcPr>
            <w:tcW w:w="1620" w:type="dxa"/>
            <w:vMerge/>
            <w:shd w:val="clear" w:color="auto" w:fill="FFFFFF" w:themeFill="background1"/>
          </w:tcPr>
          <w:p w14:paraId="65B97672" w14:textId="77777777" w:rsidR="00210F0F" w:rsidRPr="00132F83" w:rsidRDefault="00210F0F" w:rsidP="00865A49">
            <w:pPr>
              <w:spacing w:after="0" w:line="240" w:lineRule="auto"/>
              <w:rPr>
                <w:rFonts w:cs="Times New Roman"/>
              </w:rPr>
            </w:pPr>
          </w:p>
        </w:tc>
        <w:tc>
          <w:tcPr>
            <w:tcW w:w="4230" w:type="dxa"/>
            <w:vMerge/>
            <w:shd w:val="clear" w:color="auto" w:fill="FFFFFF" w:themeFill="background1"/>
            <w:tcMar>
              <w:top w:w="72" w:type="dxa"/>
              <w:left w:w="144" w:type="dxa"/>
              <w:bottom w:w="72" w:type="dxa"/>
              <w:right w:w="144" w:type="dxa"/>
            </w:tcMar>
          </w:tcPr>
          <w:p w14:paraId="1701F006" w14:textId="77777777" w:rsidR="00210F0F" w:rsidRPr="00132F83" w:rsidRDefault="00210F0F" w:rsidP="00865A49">
            <w:pPr>
              <w:spacing w:after="0" w:line="240" w:lineRule="auto"/>
              <w:rPr>
                <w:rFonts w:cs="Times New Roman"/>
              </w:rPr>
            </w:pPr>
          </w:p>
        </w:tc>
      </w:tr>
      <w:tr w:rsidR="00210F0F" w:rsidRPr="00132F83" w14:paraId="42D962BF" w14:textId="77777777" w:rsidTr="00F6303D">
        <w:trPr>
          <w:trHeight w:val="20"/>
        </w:trPr>
        <w:tc>
          <w:tcPr>
            <w:tcW w:w="1250" w:type="dxa"/>
            <w:vMerge/>
            <w:shd w:val="clear" w:color="auto" w:fill="FFFFFF" w:themeFill="background1"/>
          </w:tcPr>
          <w:p w14:paraId="02E69F2E" w14:textId="77777777" w:rsidR="00210F0F" w:rsidRPr="00132F83" w:rsidRDefault="00210F0F" w:rsidP="00865A49">
            <w:pPr>
              <w:spacing w:after="0" w:line="240" w:lineRule="auto"/>
              <w:rPr>
                <w:rFonts w:cs="Times New Roman"/>
              </w:rPr>
            </w:pPr>
          </w:p>
        </w:tc>
        <w:tc>
          <w:tcPr>
            <w:tcW w:w="1710" w:type="dxa"/>
            <w:vMerge/>
            <w:shd w:val="clear" w:color="auto" w:fill="FFFFFF" w:themeFill="background1"/>
            <w:tcMar>
              <w:top w:w="72" w:type="dxa"/>
              <w:left w:w="144" w:type="dxa"/>
              <w:bottom w:w="72" w:type="dxa"/>
              <w:right w:w="144" w:type="dxa"/>
            </w:tcMar>
          </w:tcPr>
          <w:p w14:paraId="647563F4" w14:textId="77777777" w:rsidR="00210F0F" w:rsidRPr="00132F83" w:rsidRDefault="00210F0F" w:rsidP="00865A49">
            <w:pPr>
              <w:spacing w:after="0" w:line="240" w:lineRule="auto"/>
              <w:rPr>
                <w:rFonts w:cs="Times New Roman"/>
              </w:rPr>
            </w:pPr>
          </w:p>
        </w:tc>
        <w:tc>
          <w:tcPr>
            <w:tcW w:w="2070" w:type="dxa"/>
            <w:shd w:val="clear" w:color="auto" w:fill="FFFFFF" w:themeFill="background1"/>
            <w:tcMar>
              <w:top w:w="72" w:type="dxa"/>
              <w:left w:w="144" w:type="dxa"/>
              <w:bottom w:w="72" w:type="dxa"/>
              <w:right w:w="144" w:type="dxa"/>
            </w:tcMar>
            <w:vAlign w:val="center"/>
          </w:tcPr>
          <w:p w14:paraId="068862FC" w14:textId="77777777" w:rsidR="00210F0F" w:rsidRPr="00132F83" w:rsidRDefault="00210F0F" w:rsidP="00865A49">
            <w:pPr>
              <w:spacing w:after="0" w:line="240" w:lineRule="auto"/>
              <w:rPr>
                <w:rFonts w:cs="Times New Roman"/>
              </w:rPr>
            </w:pPr>
            <w:r w:rsidRPr="00132F83">
              <w:rPr>
                <w:rFonts w:cs="Times New Roman"/>
              </w:rPr>
              <w:t>15 (10-24)</w:t>
            </w:r>
          </w:p>
        </w:tc>
        <w:tc>
          <w:tcPr>
            <w:tcW w:w="2160" w:type="dxa"/>
            <w:vMerge/>
            <w:shd w:val="clear" w:color="auto" w:fill="FFFFFF" w:themeFill="background1"/>
            <w:tcMar>
              <w:top w:w="72" w:type="dxa"/>
              <w:left w:w="144" w:type="dxa"/>
              <w:bottom w:w="72" w:type="dxa"/>
              <w:right w:w="144" w:type="dxa"/>
            </w:tcMar>
          </w:tcPr>
          <w:p w14:paraId="394A11C6" w14:textId="77777777" w:rsidR="00210F0F" w:rsidRPr="00132F83" w:rsidRDefault="00210F0F" w:rsidP="00865A49">
            <w:pPr>
              <w:pStyle w:val="Default"/>
              <w:rPr>
                <w:rFonts w:asciiTheme="minorHAnsi" w:hAnsiTheme="minorHAnsi"/>
                <w:sz w:val="22"/>
                <w:szCs w:val="22"/>
              </w:rPr>
            </w:pPr>
          </w:p>
        </w:tc>
        <w:tc>
          <w:tcPr>
            <w:tcW w:w="1620" w:type="dxa"/>
            <w:vMerge/>
            <w:shd w:val="clear" w:color="auto" w:fill="FFFFFF" w:themeFill="background1"/>
          </w:tcPr>
          <w:p w14:paraId="6998A38E" w14:textId="77777777" w:rsidR="00210F0F" w:rsidRPr="00132F83" w:rsidRDefault="00210F0F" w:rsidP="00865A49">
            <w:pPr>
              <w:spacing w:after="0" w:line="240" w:lineRule="auto"/>
              <w:rPr>
                <w:rFonts w:cs="Times New Roman"/>
              </w:rPr>
            </w:pPr>
          </w:p>
        </w:tc>
        <w:tc>
          <w:tcPr>
            <w:tcW w:w="4230" w:type="dxa"/>
            <w:vMerge/>
            <w:shd w:val="clear" w:color="auto" w:fill="FFFFFF" w:themeFill="background1"/>
            <w:tcMar>
              <w:top w:w="72" w:type="dxa"/>
              <w:left w:w="144" w:type="dxa"/>
              <w:bottom w:w="72" w:type="dxa"/>
              <w:right w:w="144" w:type="dxa"/>
            </w:tcMar>
          </w:tcPr>
          <w:p w14:paraId="1FC77B7E" w14:textId="77777777" w:rsidR="00210F0F" w:rsidRPr="00132F83" w:rsidRDefault="00210F0F" w:rsidP="00865A49">
            <w:pPr>
              <w:spacing w:after="0" w:line="240" w:lineRule="auto"/>
              <w:rPr>
                <w:rFonts w:cs="Times New Roman"/>
              </w:rPr>
            </w:pPr>
          </w:p>
        </w:tc>
      </w:tr>
      <w:tr w:rsidR="00210F0F" w:rsidRPr="00132F83" w14:paraId="17BE725D" w14:textId="77777777" w:rsidTr="00F6303D">
        <w:trPr>
          <w:trHeight w:val="20"/>
        </w:trPr>
        <w:tc>
          <w:tcPr>
            <w:tcW w:w="1250" w:type="dxa"/>
            <w:vMerge/>
            <w:shd w:val="clear" w:color="auto" w:fill="FFFFFF" w:themeFill="background1"/>
          </w:tcPr>
          <w:p w14:paraId="28AE084A" w14:textId="77777777" w:rsidR="00210F0F" w:rsidRPr="00132F83" w:rsidRDefault="00210F0F" w:rsidP="00865A49">
            <w:pPr>
              <w:spacing w:after="0" w:line="240" w:lineRule="auto"/>
              <w:rPr>
                <w:rFonts w:cs="Times New Roman"/>
              </w:rPr>
            </w:pPr>
          </w:p>
        </w:tc>
        <w:tc>
          <w:tcPr>
            <w:tcW w:w="1710" w:type="dxa"/>
            <w:vMerge/>
            <w:shd w:val="clear" w:color="auto" w:fill="FFFFFF" w:themeFill="background1"/>
            <w:tcMar>
              <w:top w:w="72" w:type="dxa"/>
              <w:left w:w="144" w:type="dxa"/>
              <w:bottom w:w="72" w:type="dxa"/>
              <w:right w:w="144" w:type="dxa"/>
            </w:tcMar>
          </w:tcPr>
          <w:p w14:paraId="3780BCA0" w14:textId="77777777" w:rsidR="00210F0F" w:rsidRPr="00132F83" w:rsidRDefault="00210F0F" w:rsidP="00865A49">
            <w:pPr>
              <w:spacing w:after="0" w:line="240" w:lineRule="auto"/>
              <w:rPr>
                <w:rFonts w:cs="Times New Roman"/>
              </w:rPr>
            </w:pPr>
          </w:p>
        </w:tc>
        <w:tc>
          <w:tcPr>
            <w:tcW w:w="2070" w:type="dxa"/>
            <w:shd w:val="clear" w:color="auto" w:fill="FFFFFF" w:themeFill="background1"/>
            <w:tcMar>
              <w:top w:w="72" w:type="dxa"/>
              <w:left w:w="144" w:type="dxa"/>
              <w:bottom w:w="72" w:type="dxa"/>
              <w:right w:w="144" w:type="dxa"/>
            </w:tcMar>
            <w:vAlign w:val="center"/>
          </w:tcPr>
          <w:p w14:paraId="60D11360" w14:textId="77777777" w:rsidR="00210F0F" w:rsidRPr="00132F83" w:rsidRDefault="00210F0F" w:rsidP="00865A49">
            <w:pPr>
              <w:spacing w:after="0" w:line="240" w:lineRule="auto"/>
              <w:rPr>
                <w:rFonts w:cs="Times New Roman"/>
              </w:rPr>
            </w:pPr>
            <w:r w:rsidRPr="00132F83">
              <w:rPr>
                <w:rFonts w:cs="Times New Roman"/>
              </w:rPr>
              <w:t>15 (10-24)</w:t>
            </w:r>
          </w:p>
        </w:tc>
        <w:tc>
          <w:tcPr>
            <w:tcW w:w="2160" w:type="dxa"/>
            <w:vMerge/>
            <w:shd w:val="clear" w:color="auto" w:fill="FFFFFF" w:themeFill="background1"/>
            <w:tcMar>
              <w:top w:w="72" w:type="dxa"/>
              <w:left w:w="144" w:type="dxa"/>
              <w:bottom w:w="72" w:type="dxa"/>
              <w:right w:w="144" w:type="dxa"/>
            </w:tcMar>
          </w:tcPr>
          <w:p w14:paraId="4FE12E21" w14:textId="77777777" w:rsidR="00210F0F" w:rsidRPr="00132F83" w:rsidRDefault="00210F0F" w:rsidP="00865A49">
            <w:pPr>
              <w:pStyle w:val="Default"/>
              <w:rPr>
                <w:rFonts w:asciiTheme="minorHAnsi" w:hAnsiTheme="minorHAnsi"/>
                <w:sz w:val="22"/>
                <w:szCs w:val="22"/>
              </w:rPr>
            </w:pPr>
          </w:p>
        </w:tc>
        <w:tc>
          <w:tcPr>
            <w:tcW w:w="1620" w:type="dxa"/>
            <w:vMerge/>
            <w:shd w:val="clear" w:color="auto" w:fill="FFFFFF" w:themeFill="background1"/>
          </w:tcPr>
          <w:p w14:paraId="0CB3832E" w14:textId="77777777" w:rsidR="00210F0F" w:rsidRPr="00132F83" w:rsidRDefault="00210F0F" w:rsidP="00865A49">
            <w:pPr>
              <w:spacing w:after="0" w:line="240" w:lineRule="auto"/>
              <w:rPr>
                <w:rFonts w:cs="Times New Roman"/>
              </w:rPr>
            </w:pPr>
          </w:p>
        </w:tc>
        <w:tc>
          <w:tcPr>
            <w:tcW w:w="4230" w:type="dxa"/>
            <w:vMerge/>
            <w:shd w:val="clear" w:color="auto" w:fill="FFFFFF" w:themeFill="background1"/>
            <w:tcMar>
              <w:top w:w="72" w:type="dxa"/>
              <w:left w:w="144" w:type="dxa"/>
              <w:bottom w:w="72" w:type="dxa"/>
              <w:right w:w="144" w:type="dxa"/>
            </w:tcMar>
          </w:tcPr>
          <w:p w14:paraId="5DBC315C" w14:textId="77777777" w:rsidR="00210F0F" w:rsidRPr="00132F83" w:rsidRDefault="00210F0F" w:rsidP="00865A49">
            <w:pPr>
              <w:spacing w:after="0" w:line="240" w:lineRule="auto"/>
              <w:rPr>
                <w:rFonts w:cs="Times New Roman"/>
              </w:rPr>
            </w:pPr>
          </w:p>
        </w:tc>
      </w:tr>
      <w:tr w:rsidR="00210F0F" w:rsidRPr="00132F83" w14:paraId="1CA720C2" w14:textId="77777777" w:rsidTr="00F6303D">
        <w:trPr>
          <w:trHeight w:val="20"/>
        </w:trPr>
        <w:tc>
          <w:tcPr>
            <w:tcW w:w="1250" w:type="dxa"/>
            <w:vMerge/>
            <w:shd w:val="clear" w:color="auto" w:fill="FFFFFF" w:themeFill="background1"/>
          </w:tcPr>
          <w:p w14:paraId="00360865" w14:textId="77777777" w:rsidR="00210F0F" w:rsidRPr="00132F83" w:rsidRDefault="00210F0F" w:rsidP="00865A49">
            <w:pPr>
              <w:spacing w:after="0" w:line="240" w:lineRule="auto"/>
              <w:rPr>
                <w:rFonts w:cs="Times New Roman"/>
              </w:rPr>
            </w:pPr>
          </w:p>
        </w:tc>
        <w:tc>
          <w:tcPr>
            <w:tcW w:w="1710" w:type="dxa"/>
            <w:vMerge/>
            <w:shd w:val="clear" w:color="auto" w:fill="FFFFFF" w:themeFill="background1"/>
            <w:tcMar>
              <w:top w:w="72" w:type="dxa"/>
              <w:left w:w="144" w:type="dxa"/>
              <w:bottom w:w="72" w:type="dxa"/>
              <w:right w:w="144" w:type="dxa"/>
            </w:tcMar>
          </w:tcPr>
          <w:p w14:paraId="33ECBD6B" w14:textId="77777777" w:rsidR="00210F0F" w:rsidRPr="00132F83" w:rsidRDefault="00210F0F" w:rsidP="00865A49">
            <w:pPr>
              <w:spacing w:after="0" w:line="240" w:lineRule="auto"/>
              <w:rPr>
                <w:rFonts w:cs="Times New Roman"/>
              </w:rPr>
            </w:pPr>
          </w:p>
        </w:tc>
        <w:tc>
          <w:tcPr>
            <w:tcW w:w="2070" w:type="dxa"/>
            <w:shd w:val="clear" w:color="auto" w:fill="FFFFFF" w:themeFill="background1"/>
            <w:tcMar>
              <w:top w:w="72" w:type="dxa"/>
              <w:left w:w="144" w:type="dxa"/>
              <w:bottom w:w="72" w:type="dxa"/>
              <w:right w:w="144" w:type="dxa"/>
            </w:tcMar>
            <w:vAlign w:val="center"/>
          </w:tcPr>
          <w:p w14:paraId="1C2B8A97" w14:textId="77777777" w:rsidR="00210F0F" w:rsidRPr="00132F83" w:rsidRDefault="00210F0F" w:rsidP="00865A49">
            <w:pPr>
              <w:spacing w:after="0" w:line="240" w:lineRule="auto"/>
              <w:rPr>
                <w:rFonts w:cs="Times New Roman"/>
              </w:rPr>
            </w:pPr>
            <w:r w:rsidRPr="00132F83">
              <w:rPr>
                <w:rFonts w:cs="Times New Roman"/>
              </w:rPr>
              <w:t>16 (11-24)</w:t>
            </w:r>
          </w:p>
        </w:tc>
        <w:tc>
          <w:tcPr>
            <w:tcW w:w="2160" w:type="dxa"/>
            <w:vMerge/>
            <w:shd w:val="clear" w:color="auto" w:fill="FFFFFF" w:themeFill="background1"/>
            <w:tcMar>
              <w:top w:w="72" w:type="dxa"/>
              <w:left w:w="144" w:type="dxa"/>
              <w:bottom w:w="72" w:type="dxa"/>
              <w:right w:w="144" w:type="dxa"/>
            </w:tcMar>
          </w:tcPr>
          <w:p w14:paraId="4D70871D" w14:textId="77777777" w:rsidR="00210F0F" w:rsidRPr="00132F83" w:rsidRDefault="00210F0F" w:rsidP="00865A49">
            <w:pPr>
              <w:pStyle w:val="Default"/>
              <w:rPr>
                <w:rFonts w:asciiTheme="minorHAnsi" w:hAnsiTheme="minorHAnsi"/>
                <w:sz w:val="22"/>
                <w:szCs w:val="22"/>
              </w:rPr>
            </w:pPr>
          </w:p>
        </w:tc>
        <w:tc>
          <w:tcPr>
            <w:tcW w:w="1620" w:type="dxa"/>
            <w:vMerge/>
            <w:shd w:val="clear" w:color="auto" w:fill="FFFFFF" w:themeFill="background1"/>
          </w:tcPr>
          <w:p w14:paraId="70FC4F94" w14:textId="77777777" w:rsidR="00210F0F" w:rsidRPr="00132F83" w:rsidRDefault="00210F0F" w:rsidP="00865A49">
            <w:pPr>
              <w:spacing w:after="0" w:line="240" w:lineRule="auto"/>
              <w:rPr>
                <w:rFonts w:cs="Times New Roman"/>
              </w:rPr>
            </w:pPr>
          </w:p>
        </w:tc>
        <w:tc>
          <w:tcPr>
            <w:tcW w:w="4230" w:type="dxa"/>
            <w:vMerge/>
            <w:shd w:val="clear" w:color="auto" w:fill="FFFFFF" w:themeFill="background1"/>
            <w:tcMar>
              <w:top w:w="72" w:type="dxa"/>
              <w:left w:w="144" w:type="dxa"/>
              <w:bottom w:w="72" w:type="dxa"/>
              <w:right w:w="144" w:type="dxa"/>
            </w:tcMar>
          </w:tcPr>
          <w:p w14:paraId="1A85DE20" w14:textId="77777777" w:rsidR="00210F0F" w:rsidRPr="00132F83" w:rsidRDefault="00210F0F" w:rsidP="00865A49">
            <w:pPr>
              <w:spacing w:after="0" w:line="240" w:lineRule="auto"/>
              <w:rPr>
                <w:rFonts w:cs="Times New Roman"/>
              </w:rPr>
            </w:pPr>
          </w:p>
        </w:tc>
      </w:tr>
      <w:tr w:rsidR="00210F0F" w:rsidRPr="00132F83" w14:paraId="0424B168" w14:textId="77777777" w:rsidTr="00F6303D">
        <w:trPr>
          <w:trHeight w:val="20"/>
        </w:trPr>
        <w:tc>
          <w:tcPr>
            <w:tcW w:w="1250" w:type="dxa"/>
            <w:vMerge/>
            <w:shd w:val="clear" w:color="auto" w:fill="FFFFFF" w:themeFill="background1"/>
          </w:tcPr>
          <w:p w14:paraId="52A06F9E" w14:textId="77777777" w:rsidR="00210F0F" w:rsidRPr="00132F83" w:rsidRDefault="00210F0F" w:rsidP="00865A49">
            <w:pPr>
              <w:spacing w:after="0" w:line="240" w:lineRule="auto"/>
              <w:rPr>
                <w:rFonts w:cs="Times New Roman"/>
              </w:rPr>
            </w:pPr>
          </w:p>
        </w:tc>
        <w:tc>
          <w:tcPr>
            <w:tcW w:w="1710" w:type="dxa"/>
            <w:vMerge/>
            <w:shd w:val="clear" w:color="auto" w:fill="FFFFFF" w:themeFill="background1"/>
            <w:tcMar>
              <w:top w:w="72" w:type="dxa"/>
              <w:left w:w="144" w:type="dxa"/>
              <w:bottom w:w="72" w:type="dxa"/>
              <w:right w:w="144" w:type="dxa"/>
            </w:tcMar>
          </w:tcPr>
          <w:p w14:paraId="6FE6E2A0" w14:textId="77777777" w:rsidR="00210F0F" w:rsidRPr="00132F83" w:rsidRDefault="00210F0F" w:rsidP="00865A49">
            <w:pPr>
              <w:spacing w:after="0" w:line="240" w:lineRule="auto"/>
              <w:rPr>
                <w:rFonts w:cs="Times New Roman"/>
              </w:rPr>
            </w:pPr>
          </w:p>
        </w:tc>
        <w:tc>
          <w:tcPr>
            <w:tcW w:w="2070" w:type="dxa"/>
            <w:shd w:val="clear" w:color="auto" w:fill="FFFFFF" w:themeFill="background1"/>
            <w:tcMar>
              <w:top w:w="72" w:type="dxa"/>
              <w:left w:w="144" w:type="dxa"/>
              <w:bottom w:w="72" w:type="dxa"/>
              <w:right w:w="144" w:type="dxa"/>
            </w:tcMar>
            <w:vAlign w:val="center"/>
          </w:tcPr>
          <w:p w14:paraId="0791195A" w14:textId="77777777" w:rsidR="00210F0F" w:rsidRPr="00132F83" w:rsidRDefault="00210F0F" w:rsidP="00865A49">
            <w:pPr>
              <w:spacing w:after="0" w:line="240" w:lineRule="auto"/>
              <w:rPr>
                <w:rFonts w:cs="Times New Roman"/>
              </w:rPr>
            </w:pPr>
            <w:r w:rsidRPr="00132F83">
              <w:rPr>
                <w:rFonts w:cs="Times New Roman"/>
              </w:rPr>
              <w:t>16 (11-24)</w:t>
            </w:r>
          </w:p>
        </w:tc>
        <w:tc>
          <w:tcPr>
            <w:tcW w:w="2160" w:type="dxa"/>
            <w:vMerge/>
            <w:shd w:val="clear" w:color="auto" w:fill="FFFFFF" w:themeFill="background1"/>
            <w:tcMar>
              <w:top w:w="72" w:type="dxa"/>
              <w:left w:w="144" w:type="dxa"/>
              <w:bottom w:w="72" w:type="dxa"/>
              <w:right w:w="144" w:type="dxa"/>
            </w:tcMar>
          </w:tcPr>
          <w:p w14:paraId="648643AC" w14:textId="77777777" w:rsidR="00210F0F" w:rsidRPr="00132F83" w:rsidRDefault="00210F0F" w:rsidP="00865A49">
            <w:pPr>
              <w:pStyle w:val="Default"/>
              <w:rPr>
                <w:rFonts w:asciiTheme="minorHAnsi" w:hAnsiTheme="minorHAnsi"/>
                <w:sz w:val="22"/>
                <w:szCs w:val="22"/>
              </w:rPr>
            </w:pPr>
          </w:p>
        </w:tc>
        <w:tc>
          <w:tcPr>
            <w:tcW w:w="1620" w:type="dxa"/>
            <w:vMerge/>
            <w:shd w:val="clear" w:color="auto" w:fill="FFFFFF" w:themeFill="background1"/>
          </w:tcPr>
          <w:p w14:paraId="0DDEFD3F" w14:textId="77777777" w:rsidR="00210F0F" w:rsidRPr="00132F83" w:rsidRDefault="00210F0F" w:rsidP="00865A49">
            <w:pPr>
              <w:spacing w:after="0" w:line="240" w:lineRule="auto"/>
              <w:rPr>
                <w:rFonts w:cs="Times New Roman"/>
              </w:rPr>
            </w:pPr>
          </w:p>
        </w:tc>
        <w:tc>
          <w:tcPr>
            <w:tcW w:w="4230" w:type="dxa"/>
            <w:vMerge/>
            <w:shd w:val="clear" w:color="auto" w:fill="FFFFFF" w:themeFill="background1"/>
            <w:tcMar>
              <w:top w:w="72" w:type="dxa"/>
              <w:left w:w="144" w:type="dxa"/>
              <w:bottom w:w="72" w:type="dxa"/>
              <w:right w:w="144" w:type="dxa"/>
            </w:tcMar>
          </w:tcPr>
          <w:p w14:paraId="3EA6129C" w14:textId="77777777" w:rsidR="00210F0F" w:rsidRPr="00132F83" w:rsidRDefault="00210F0F" w:rsidP="00865A49">
            <w:pPr>
              <w:spacing w:after="0" w:line="240" w:lineRule="auto"/>
              <w:rPr>
                <w:rFonts w:cs="Times New Roman"/>
              </w:rPr>
            </w:pPr>
          </w:p>
        </w:tc>
      </w:tr>
      <w:tr w:rsidR="00210F0F" w:rsidRPr="00132F83" w14:paraId="017B79C4" w14:textId="77777777" w:rsidTr="00F6303D">
        <w:trPr>
          <w:trHeight w:val="20"/>
        </w:trPr>
        <w:tc>
          <w:tcPr>
            <w:tcW w:w="1250" w:type="dxa"/>
            <w:vMerge/>
            <w:shd w:val="clear" w:color="auto" w:fill="FFFFFF" w:themeFill="background1"/>
          </w:tcPr>
          <w:p w14:paraId="0EB6A83E" w14:textId="77777777" w:rsidR="00210F0F" w:rsidRPr="00132F83" w:rsidRDefault="00210F0F" w:rsidP="00865A49">
            <w:pPr>
              <w:spacing w:after="0" w:line="240" w:lineRule="auto"/>
              <w:rPr>
                <w:rFonts w:cs="Times New Roman"/>
              </w:rPr>
            </w:pPr>
          </w:p>
        </w:tc>
        <w:tc>
          <w:tcPr>
            <w:tcW w:w="1710" w:type="dxa"/>
            <w:vMerge/>
            <w:shd w:val="clear" w:color="auto" w:fill="FFFFFF" w:themeFill="background1"/>
            <w:tcMar>
              <w:top w:w="72" w:type="dxa"/>
              <w:left w:w="144" w:type="dxa"/>
              <w:bottom w:w="72" w:type="dxa"/>
              <w:right w:w="144" w:type="dxa"/>
            </w:tcMar>
          </w:tcPr>
          <w:p w14:paraId="1061149D" w14:textId="77777777" w:rsidR="00210F0F" w:rsidRPr="00132F83" w:rsidRDefault="00210F0F" w:rsidP="00865A49">
            <w:pPr>
              <w:spacing w:after="0" w:line="240" w:lineRule="auto"/>
              <w:rPr>
                <w:rFonts w:cs="Times New Roman"/>
              </w:rPr>
            </w:pPr>
          </w:p>
        </w:tc>
        <w:tc>
          <w:tcPr>
            <w:tcW w:w="2070" w:type="dxa"/>
            <w:shd w:val="clear" w:color="auto" w:fill="FFFFFF" w:themeFill="background1"/>
            <w:tcMar>
              <w:top w:w="72" w:type="dxa"/>
              <w:left w:w="144" w:type="dxa"/>
              <w:bottom w:w="72" w:type="dxa"/>
              <w:right w:w="144" w:type="dxa"/>
            </w:tcMar>
            <w:vAlign w:val="center"/>
          </w:tcPr>
          <w:p w14:paraId="77608673" w14:textId="77777777" w:rsidR="00210F0F" w:rsidRPr="00132F83" w:rsidRDefault="00210F0F" w:rsidP="00865A49">
            <w:pPr>
              <w:spacing w:after="0" w:line="240" w:lineRule="auto"/>
              <w:rPr>
                <w:rFonts w:cs="Times New Roman"/>
              </w:rPr>
            </w:pPr>
            <w:r w:rsidRPr="00132F83">
              <w:rPr>
                <w:rFonts w:cs="Times New Roman"/>
              </w:rPr>
              <w:t>17 (11-25)</w:t>
            </w:r>
          </w:p>
        </w:tc>
        <w:tc>
          <w:tcPr>
            <w:tcW w:w="2160" w:type="dxa"/>
            <w:vMerge/>
            <w:shd w:val="clear" w:color="auto" w:fill="FFFFFF" w:themeFill="background1"/>
            <w:tcMar>
              <w:top w:w="72" w:type="dxa"/>
              <w:left w:w="144" w:type="dxa"/>
              <w:bottom w:w="72" w:type="dxa"/>
              <w:right w:w="144" w:type="dxa"/>
            </w:tcMar>
          </w:tcPr>
          <w:p w14:paraId="4D12EB8D" w14:textId="77777777" w:rsidR="00210F0F" w:rsidRPr="00132F83" w:rsidRDefault="00210F0F" w:rsidP="00865A49">
            <w:pPr>
              <w:pStyle w:val="Default"/>
              <w:rPr>
                <w:rFonts w:asciiTheme="minorHAnsi" w:hAnsiTheme="minorHAnsi"/>
                <w:sz w:val="22"/>
                <w:szCs w:val="22"/>
              </w:rPr>
            </w:pPr>
          </w:p>
        </w:tc>
        <w:tc>
          <w:tcPr>
            <w:tcW w:w="1620" w:type="dxa"/>
            <w:vMerge/>
            <w:shd w:val="clear" w:color="auto" w:fill="FFFFFF" w:themeFill="background1"/>
          </w:tcPr>
          <w:p w14:paraId="69E37123" w14:textId="77777777" w:rsidR="00210F0F" w:rsidRPr="00132F83" w:rsidRDefault="00210F0F" w:rsidP="00865A49">
            <w:pPr>
              <w:spacing w:after="0" w:line="240" w:lineRule="auto"/>
              <w:rPr>
                <w:rFonts w:cs="Times New Roman"/>
              </w:rPr>
            </w:pPr>
          </w:p>
        </w:tc>
        <w:tc>
          <w:tcPr>
            <w:tcW w:w="4230" w:type="dxa"/>
            <w:vMerge/>
            <w:shd w:val="clear" w:color="auto" w:fill="FFFFFF" w:themeFill="background1"/>
            <w:tcMar>
              <w:top w:w="72" w:type="dxa"/>
              <w:left w:w="144" w:type="dxa"/>
              <w:bottom w:w="72" w:type="dxa"/>
              <w:right w:w="144" w:type="dxa"/>
            </w:tcMar>
          </w:tcPr>
          <w:p w14:paraId="557841A7" w14:textId="77777777" w:rsidR="00210F0F" w:rsidRPr="00132F83" w:rsidRDefault="00210F0F" w:rsidP="00865A49">
            <w:pPr>
              <w:spacing w:after="0" w:line="240" w:lineRule="auto"/>
              <w:rPr>
                <w:rFonts w:cs="Times New Roman"/>
              </w:rPr>
            </w:pPr>
          </w:p>
        </w:tc>
      </w:tr>
      <w:tr w:rsidR="00210F0F" w:rsidRPr="00132F83" w14:paraId="36A83553" w14:textId="77777777" w:rsidTr="00F6303D">
        <w:trPr>
          <w:trHeight w:val="20"/>
        </w:trPr>
        <w:tc>
          <w:tcPr>
            <w:tcW w:w="1250" w:type="dxa"/>
            <w:vMerge/>
            <w:shd w:val="clear" w:color="auto" w:fill="FFFFFF" w:themeFill="background1"/>
          </w:tcPr>
          <w:p w14:paraId="78FAFC5D" w14:textId="77777777" w:rsidR="00210F0F" w:rsidRPr="00132F83" w:rsidRDefault="00210F0F" w:rsidP="00865A49">
            <w:pPr>
              <w:spacing w:after="0" w:line="240" w:lineRule="auto"/>
              <w:rPr>
                <w:rFonts w:cs="Times New Roman"/>
              </w:rPr>
            </w:pPr>
          </w:p>
        </w:tc>
        <w:tc>
          <w:tcPr>
            <w:tcW w:w="1710" w:type="dxa"/>
            <w:shd w:val="clear" w:color="auto" w:fill="FFFFFF" w:themeFill="background1"/>
            <w:tcMar>
              <w:top w:w="72" w:type="dxa"/>
              <w:left w:w="144" w:type="dxa"/>
              <w:bottom w:w="72" w:type="dxa"/>
              <w:right w:w="144" w:type="dxa"/>
            </w:tcMar>
            <w:hideMark/>
          </w:tcPr>
          <w:p w14:paraId="4FB06369" w14:textId="77777777" w:rsidR="00210F0F" w:rsidRPr="00132F83" w:rsidRDefault="00210F0F" w:rsidP="00865A49">
            <w:pPr>
              <w:spacing w:after="0" w:line="240" w:lineRule="auto"/>
              <w:rPr>
                <w:rFonts w:cs="Times New Roman"/>
              </w:rPr>
            </w:pPr>
            <w:r w:rsidRPr="00132F83">
              <w:rPr>
                <w:rFonts w:cs="Times New Roman"/>
              </w:rPr>
              <w:t xml:space="preserve">LC50 </w:t>
            </w:r>
          </w:p>
          <w:p w14:paraId="3CE2A09E" w14:textId="77777777" w:rsidR="00210F0F" w:rsidRPr="00132F83" w:rsidRDefault="00210F0F" w:rsidP="00865A49">
            <w:pPr>
              <w:spacing w:after="0" w:line="240" w:lineRule="auto"/>
              <w:rPr>
                <w:rFonts w:cs="Times New Roman"/>
              </w:rPr>
            </w:pPr>
            <w:r w:rsidRPr="00132F83">
              <w:rPr>
                <w:rFonts w:cs="Times New Roman"/>
              </w:rPr>
              <w:t>(mg/kg-diet)</w:t>
            </w:r>
          </w:p>
        </w:tc>
        <w:tc>
          <w:tcPr>
            <w:tcW w:w="2070" w:type="dxa"/>
            <w:shd w:val="clear" w:color="auto" w:fill="FFFFFF" w:themeFill="background1"/>
            <w:tcMar>
              <w:top w:w="72" w:type="dxa"/>
              <w:left w:w="144" w:type="dxa"/>
              <w:bottom w:w="72" w:type="dxa"/>
              <w:right w:w="144" w:type="dxa"/>
            </w:tcMar>
            <w:hideMark/>
          </w:tcPr>
          <w:p w14:paraId="5D388F55" w14:textId="77777777" w:rsidR="00210F0F" w:rsidRPr="00132F83" w:rsidRDefault="00210F0F" w:rsidP="00865A49">
            <w:pPr>
              <w:spacing w:after="0" w:line="240" w:lineRule="auto"/>
              <w:rPr>
                <w:rFonts w:cs="Times New Roman"/>
              </w:rPr>
            </w:pPr>
            <w:r w:rsidRPr="00132F83">
              <w:rPr>
                <w:rFonts w:cs="Times New Roman"/>
              </w:rPr>
              <w:t>245 (178-234)</w:t>
            </w:r>
          </w:p>
        </w:tc>
        <w:tc>
          <w:tcPr>
            <w:tcW w:w="2160" w:type="dxa"/>
            <w:shd w:val="clear" w:color="auto" w:fill="FFFFFF" w:themeFill="background1"/>
            <w:tcMar>
              <w:top w:w="72" w:type="dxa"/>
              <w:left w:w="144" w:type="dxa"/>
              <w:bottom w:w="72" w:type="dxa"/>
              <w:right w:w="144" w:type="dxa"/>
            </w:tcMar>
            <w:hideMark/>
          </w:tcPr>
          <w:p w14:paraId="5DDFAA16" w14:textId="77777777" w:rsidR="00210F0F" w:rsidRPr="00132F83" w:rsidRDefault="00210F0F" w:rsidP="00865A49">
            <w:pPr>
              <w:pStyle w:val="Default"/>
              <w:rPr>
                <w:rFonts w:asciiTheme="minorHAnsi" w:hAnsiTheme="minorHAnsi"/>
                <w:sz w:val="22"/>
                <w:szCs w:val="22"/>
              </w:rPr>
            </w:pPr>
            <w:r w:rsidRPr="00132F83">
              <w:rPr>
                <w:rFonts w:asciiTheme="minorHAnsi" w:hAnsiTheme="minorHAnsi"/>
                <w:sz w:val="22"/>
                <w:szCs w:val="22"/>
              </w:rPr>
              <w:t xml:space="preserve">&gt;4910 </w:t>
            </w:r>
          </w:p>
          <w:p w14:paraId="688CF1A5" w14:textId="77777777" w:rsidR="00210F0F" w:rsidRPr="00132F83" w:rsidRDefault="00210F0F" w:rsidP="00865A49">
            <w:pPr>
              <w:spacing w:after="0" w:line="240" w:lineRule="auto"/>
              <w:rPr>
                <w:rFonts w:cs="Times New Roman"/>
              </w:rPr>
            </w:pPr>
          </w:p>
        </w:tc>
        <w:tc>
          <w:tcPr>
            <w:tcW w:w="1620" w:type="dxa"/>
            <w:shd w:val="clear" w:color="auto" w:fill="FFFFFF" w:themeFill="background1"/>
          </w:tcPr>
          <w:p w14:paraId="021F371D" w14:textId="77777777" w:rsidR="00210F0F" w:rsidRPr="00132F83" w:rsidRDefault="00210F0F" w:rsidP="00865A49">
            <w:pPr>
              <w:spacing w:after="0" w:line="240" w:lineRule="auto"/>
              <w:rPr>
                <w:rFonts w:cs="Times New Roman"/>
              </w:rPr>
            </w:pPr>
            <w:r w:rsidRPr="00132F83">
              <w:rPr>
                <w:rFonts w:cs="Times New Roman"/>
              </w:rPr>
              <w:t>ECOTOX 35243, MRID 46579603</w:t>
            </w:r>
          </w:p>
        </w:tc>
        <w:tc>
          <w:tcPr>
            <w:tcW w:w="4230" w:type="dxa"/>
            <w:shd w:val="clear" w:color="auto" w:fill="FFFFFF" w:themeFill="background1"/>
            <w:tcMar>
              <w:top w:w="72" w:type="dxa"/>
              <w:left w:w="144" w:type="dxa"/>
              <w:bottom w:w="72" w:type="dxa"/>
              <w:right w:w="144" w:type="dxa"/>
            </w:tcMar>
            <w:hideMark/>
          </w:tcPr>
          <w:p w14:paraId="029203CB" w14:textId="77777777" w:rsidR="00210F0F" w:rsidRPr="00132F83" w:rsidRDefault="00210F0F" w:rsidP="00865A49">
            <w:pPr>
              <w:spacing w:after="0" w:line="240" w:lineRule="auto"/>
              <w:rPr>
                <w:rFonts w:cs="Times New Roman"/>
              </w:rPr>
            </w:pPr>
            <w:r w:rsidRPr="00132F83">
              <w:rPr>
                <w:rFonts w:cs="Times New Roman"/>
              </w:rPr>
              <w:t>Only one mortality observed at 4910 mg/kg-diet oxypyrimidine (not statistically significant). Values show that oxypyrimidine is orders of magnitude less toxic compared to diazinon.</w:t>
            </w:r>
          </w:p>
        </w:tc>
      </w:tr>
      <w:tr w:rsidR="00210F0F" w:rsidRPr="00132F83" w14:paraId="23B928D6" w14:textId="77777777" w:rsidTr="00F6303D">
        <w:trPr>
          <w:trHeight w:val="20"/>
        </w:trPr>
        <w:tc>
          <w:tcPr>
            <w:tcW w:w="1250" w:type="dxa"/>
            <w:vMerge w:val="restart"/>
            <w:shd w:val="clear" w:color="auto" w:fill="FFFFFF" w:themeFill="background1"/>
          </w:tcPr>
          <w:p w14:paraId="6E1292ED" w14:textId="77777777" w:rsidR="00210F0F" w:rsidRPr="00132F83" w:rsidRDefault="00210F0F" w:rsidP="00865A49">
            <w:pPr>
              <w:spacing w:after="0" w:line="240" w:lineRule="auto"/>
              <w:rPr>
                <w:rFonts w:cs="Times New Roman"/>
              </w:rPr>
            </w:pPr>
            <w:r w:rsidRPr="00132F83">
              <w:rPr>
                <w:rFonts w:cs="Times New Roman"/>
              </w:rPr>
              <w:t>Mallard duck</w:t>
            </w:r>
          </w:p>
        </w:tc>
        <w:tc>
          <w:tcPr>
            <w:tcW w:w="1710" w:type="dxa"/>
            <w:vMerge w:val="restart"/>
            <w:shd w:val="clear" w:color="auto" w:fill="FFFFFF" w:themeFill="background1"/>
            <w:tcMar>
              <w:top w:w="72" w:type="dxa"/>
              <w:left w:w="144" w:type="dxa"/>
              <w:bottom w:w="72" w:type="dxa"/>
              <w:right w:w="144" w:type="dxa"/>
            </w:tcMar>
          </w:tcPr>
          <w:p w14:paraId="599B883B" w14:textId="77777777" w:rsidR="00210F0F" w:rsidRPr="00132F83" w:rsidRDefault="00210F0F" w:rsidP="00865A49">
            <w:pPr>
              <w:spacing w:after="0" w:line="240" w:lineRule="auto"/>
              <w:rPr>
                <w:rFonts w:cs="Times New Roman"/>
              </w:rPr>
            </w:pPr>
            <w:r w:rsidRPr="00132F83">
              <w:rPr>
                <w:rFonts w:cs="Times New Roman"/>
              </w:rPr>
              <w:t xml:space="preserve">LC50 </w:t>
            </w:r>
          </w:p>
          <w:p w14:paraId="3EC61C45" w14:textId="77777777" w:rsidR="00210F0F" w:rsidRPr="00132F83" w:rsidRDefault="00210F0F" w:rsidP="00865A49">
            <w:pPr>
              <w:spacing w:after="0" w:line="240" w:lineRule="auto"/>
              <w:rPr>
                <w:rFonts w:cs="Times New Roman"/>
              </w:rPr>
            </w:pPr>
            <w:r w:rsidRPr="00132F83">
              <w:rPr>
                <w:rFonts w:cs="Times New Roman"/>
              </w:rPr>
              <w:t>(mg/kg-diet)</w:t>
            </w:r>
          </w:p>
        </w:tc>
        <w:tc>
          <w:tcPr>
            <w:tcW w:w="2070" w:type="dxa"/>
            <w:shd w:val="clear" w:color="auto" w:fill="FFFFFF" w:themeFill="background1"/>
            <w:tcMar>
              <w:top w:w="72" w:type="dxa"/>
              <w:left w:w="144" w:type="dxa"/>
              <w:bottom w:w="72" w:type="dxa"/>
              <w:right w:w="144" w:type="dxa"/>
            </w:tcMar>
          </w:tcPr>
          <w:p w14:paraId="51375EEE" w14:textId="77777777" w:rsidR="00210F0F" w:rsidRPr="00132F83" w:rsidRDefault="00210F0F" w:rsidP="00865A49">
            <w:pPr>
              <w:spacing w:after="0" w:line="240" w:lineRule="auto"/>
              <w:rPr>
                <w:rFonts w:cs="Times New Roman"/>
              </w:rPr>
            </w:pPr>
            <w:r w:rsidRPr="00132F83">
              <w:rPr>
                <w:rFonts w:cs="Times New Roman"/>
              </w:rPr>
              <w:t>32 (16-64)</w:t>
            </w:r>
          </w:p>
        </w:tc>
        <w:tc>
          <w:tcPr>
            <w:tcW w:w="2160" w:type="dxa"/>
            <w:vMerge w:val="restart"/>
            <w:shd w:val="clear" w:color="auto" w:fill="FFFFFF" w:themeFill="background1"/>
            <w:tcMar>
              <w:top w:w="72" w:type="dxa"/>
              <w:left w:w="144" w:type="dxa"/>
              <w:bottom w:w="72" w:type="dxa"/>
              <w:right w:w="144" w:type="dxa"/>
            </w:tcMar>
          </w:tcPr>
          <w:p w14:paraId="54419E76" w14:textId="77777777" w:rsidR="00210F0F" w:rsidRPr="00132F83" w:rsidRDefault="00210F0F" w:rsidP="00865A49">
            <w:pPr>
              <w:pStyle w:val="Default"/>
              <w:rPr>
                <w:rFonts w:asciiTheme="minorHAnsi" w:hAnsiTheme="minorHAnsi"/>
                <w:sz w:val="22"/>
                <w:szCs w:val="22"/>
              </w:rPr>
            </w:pPr>
            <w:r w:rsidRPr="00132F83">
              <w:rPr>
                <w:rFonts w:asciiTheme="minorHAnsi" w:hAnsiTheme="minorHAnsi"/>
                <w:sz w:val="22"/>
                <w:szCs w:val="22"/>
              </w:rPr>
              <w:t xml:space="preserve">&gt;4990 </w:t>
            </w:r>
          </w:p>
          <w:p w14:paraId="7468F213" w14:textId="77777777" w:rsidR="00210F0F" w:rsidRPr="00132F83" w:rsidRDefault="00210F0F" w:rsidP="00865A49">
            <w:pPr>
              <w:spacing w:after="0" w:line="240" w:lineRule="auto"/>
              <w:rPr>
                <w:rFonts w:cs="Times New Roman"/>
              </w:rPr>
            </w:pPr>
          </w:p>
        </w:tc>
        <w:tc>
          <w:tcPr>
            <w:tcW w:w="1620" w:type="dxa"/>
            <w:vMerge w:val="restart"/>
            <w:shd w:val="clear" w:color="auto" w:fill="FFFFFF" w:themeFill="background1"/>
          </w:tcPr>
          <w:p w14:paraId="791BC19A" w14:textId="77777777" w:rsidR="00210F0F" w:rsidRPr="00132F83" w:rsidRDefault="00210F0F" w:rsidP="00865A49">
            <w:pPr>
              <w:spacing w:after="0" w:line="240" w:lineRule="auto"/>
              <w:rPr>
                <w:rFonts w:cs="Times New Roman"/>
              </w:rPr>
            </w:pPr>
            <w:r w:rsidRPr="00132F83">
              <w:rPr>
                <w:rFonts w:cs="Times New Roman"/>
              </w:rPr>
              <w:t xml:space="preserve">MRIDs 40895302, 46593301, </w:t>
            </w:r>
          </w:p>
          <w:p w14:paraId="38DF3725" w14:textId="77777777" w:rsidR="00210F0F" w:rsidRPr="00132F83" w:rsidRDefault="00210F0F" w:rsidP="00865A49">
            <w:pPr>
              <w:spacing w:after="0" w:line="240" w:lineRule="auto"/>
              <w:rPr>
                <w:rFonts w:cs="Times New Roman"/>
              </w:rPr>
            </w:pPr>
            <w:r w:rsidRPr="00132F83">
              <w:rPr>
                <w:rFonts w:cs="Times New Roman"/>
              </w:rPr>
              <w:t>ECOTOX 35243</w:t>
            </w:r>
          </w:p>
        </w:tc>
        <w:tc>
          <w:tcPr>
            <w:tcW w:w="4230" w:type="dxa"/>
            <w:vMerge w:val="restart"/>
            <w:shd w:val="clear" w:color="auto" w:fill="FFFFFF" w:themeFill="background1"/>
            <w:tcMar>
              <w:top w:w="72" w:type="dxa"/>
              <w:left w:w="144" w:type="dxa"/>
              <w:bottom w:w="72" w:type="dxa"/>
              <w:right w:w="144" w:type="dxa"/>
            </w:tcMar>
          </w:tcPr>
          <w:p w14:paraId="66534634" w14:textId="77777777" w:rsidR="00210F0F" w:rsidRPr="00132F83" w:rsidRDefault="00210F0F" w:rsidP="00865A49">
            <w:pPr>
              <w:spacing w:after="0" w:line="240" w:lineRule="auto"/>
              <w:rPr>
                <w:rFonts w:cs="Times New Roman"/>
              </w:rPr>
            </w:pPr>
            <w:r w:rsidRPr="00132F83">
              <w:rPr>
                <w:rFonts w:cs="Times New Roman"/>
              </w:rPr>
              <w:t>No mortalities were observed in oxypyrimidine test. Values show that oxypyrimidine is orders of magnitude less toxic compared to diazinon.</w:t>
            </w:r>
          </w:p>
        </w:tc>
      </w:tr>
      <w:tr w:rsidR="00210F0F" w:rsidRPr="00132F83" w14:paraId="3476B010" w14:textId="77777777" w:rsidTr="00F6303D">
        <w:trPr>
          <w:trHeight w:val="20"/>
        </w:trPr>
        <w:tc>
          <w:tcPr>
            <w:tcW w:w="1250" w:type="dxa"/>
            <w:vMerge/>
            <w:shd w:val="clear" w:color="auto" w:fill="FFFFFF" w:themeFill="background1"/>
          </w:tcPr>
          <w:p w14:paraId="11605B75" w14:textId="77777777" w:rsidR="00210F0F" w:rsidRPr="00132F83" w:rsidRDefault="00210F0F" w:rsidP="00865A49">
            <w:pPr>
              <w:spacing w:after="0" w:line="240" w:lineRule="auto"/>
              <w:rPr>
                <w:rFonts w:cs="Times New Roman"/>
              </w:rPr>
            </w:pPr>
          </w:p>
        </w:tc>
        <w:tc>
          <w:tcPr>
            <w:tcW w:w="1710" w:type="dxa"/>
            <w:vMerge/>
            <w:shd w:val="clear" w:color="auto" w:fill="FFFFFF" w:themeFill="background1"/>
            <w:tcMar>
              <w:top w:w="72" w:type="dxa"/>
              <w:left w:w="144" w:type="dxa"/>
              <w:bottom w:w="72" w:type="dxa"/>
              <w:right w:w="144" w:type="dxa"/>
            </w:tcMar>
          </w:tcPr>
          <w:p w14:paraId="38A15672" w14:textId="77777777" w:rsidR="00210F0F" w:rsidRPr="00132F83" w:rsidRDefault="00210F0F" w:rsidP="00865A49">
            <w:pPr>
              <w:spacing w:after="0" w:line="240" w:lineRule="auto"/>
              <w:rPr>
                <w:rFonts w:cs="Times New Roman"/>
              </w:rPr>
            </w:pPr>
          </w:p>
        </w:tc>
        <w:tc>
          <w:tcPr>
            <w:tcW w:w="2070" w:type="dxa"/>
            <w:shd w:val="clear" w:color="auto" w:fill="FFFFFF" w:themeFill="background1"/>
            <w:tcMar>
              <w:top w:w="72" w:type="dxa"/>
              <w:left w:w="144" w:type="dxa"/>
              <w:bottom w:w="72" w:type="dxa"/>
              <w:right w:w="144" w:type="dxa"/>
            </w:tcMar>
          </w:tcPr>
          <w:p w14:paraId="207E1D12" w14:textId="77777777" w:rsidR="00210F0F" w:rsidRPr="00132F83" w:rsidRDefault="00210F0F" w:rsidP="00865A49">
            <w:pPr>
              <w:spacing w:after="0" w:line="240" w:lineRule="auto"/>
              <w:rPr>
                <w:rFonts w:cs="Times New Roman"/>
              </w:rPr>
            </w:pPr>
            <w:r w:rsidRPr="00132F83">
              <w:rPr>
                <w:rFonts w:cs="Times New Roman"/>
              </w:rPr>
              <w:t>191 (138-253)</w:t>
            </w:r>
          </w:p>
        </w:tc>
        <w:tc>
          <w:tcPr>
            <w:tcW w:w="2160" w:type="dxa"/>
            <w:vMerge/>
            <w:shd w:val="clear" w:color="auto" w:fill="FFFFFF" w:themeFill="background1"/>
            <w:tcMar>
              <w:top w:w="72" w:type="dxa"/>
              <w:left w:w="144" w:type="dxa"/>
              <w:bottom w:w="72" w:type="dxa"/>
              <w:right w:w="144" w:type="dxa"/>
            </w:tcMar>
          </w:tcPr>
          <w:p w14:paraId="212E0439" w14:textId="77777777" w:rsidR="00210F0F" w:rsidRPr="00132F83" w:rsidRDefault="00210F0F" w:rsidP="00865A49">
            <w:pPr>
              <w:pStyle w:val="Default"/>
              <w:rPr>
                <w:rFonts w:asciiTheme="minorHAnsi" w:hAnsiTheme="minorHAnsi"/>
                <w:sz w:val="22"/>
                <w:szCs w:val="22"/>
              </w:rPr>
            </w:pPr>
          </w:p>
        </w:tc>
        <w:tc>
          <w:tcPr>
            <w:tcW w:w="1620" w:type="dxa"/>
            <w:vMerge/>
            <w:shd w:val="clear" w:color="auto" w:fill="FFFFFF" w:themeFill="background1"/>
          </w:tcPr>
          <w:p w14:paraId="7D64B986" w14:textId="77777777" w:rsidR="00210F0F" w:rsidRPr="00132F83" w:rsidRDefault="00210F0F" w:rsidP="00865A49">
            <w:pPr>
              <w:spacing w:after="0" w:line="240" w:lineRule="auto"/>
              <w:rPr>
                <w:rFonts w:cs="Times New Roman"/>
              </w:rPr>
            </w:pPr>
          </w:p>
        </w:tc>
        <w:tc>
          <w:tcPr>
            <w:tcW w:w="4230" w:type="dxa"/>
            <w:vMerge/>
            <w:shd w:val="clear" w:color="auto" w:fill="FFFFFF" w:themeFill="background1"/>
            <w:tcMar>
              <w:top w:w="72" w:type="dxa"/>
              <w:left w:w="144" w:type="dxa"/>
              <w:bottom w:w="72" w:type="dxa"/>
              <w:right w:w="144" w:type="dxa"/>
            </w:tcMar>
          </w:tcPr>
          <w:p w14:paraId="1C2E3A13" w14:textId="77777777" w:rsidR="00210F0F" w:rsidRPr="00132F83" w:rsidRDefault="00210F0F" w:rsidP="00865A49">
            <w:pPr>
              <w:spacing w:after="0" w:line="240" w:lineRule="auto"/>
              <w:rPr>
                <w:rFonts w:cs="Times New Roman"/>
              </w:rPr>
            </w:pPr>
          </w:p>
        </w:tc>
      </w:tr>
      <w:tr w:rsidR="000E6085" w:rsidRPr="00132F83" w14:paraId="2E7E8437" w14:textId="77777777" w:rsidTr="00F6303D">
        <w:trPr>
          <w:trHeight w:val="20"/>
        </w:trPr>
        <w:tc>
          <w:tcPr>
            <w:tcW w:w="1250" w:type="dxa"/>
            <w:shd w:val="clear" w:color="auto" w:fill="FFFFFF" w:themeFill="background1"/>
          </w:tcPr>
          <w:p w14:paraId="484D2264" w14:textId="77777777" w:rsidR="000E6085" w:rsidRPr="00132F83" w:rsidRDefault="000E6085" w:rsidP="00865A49">
            <w:pPr>
              <w:spacing w:after="0" w:line="240" w:lineRule="auto"/>
              <w:rPr>
                <w:rFonts w:cs="Times New Roman"/>
              </w:rPr>
            </w:pPr>
            <w:r w:rsidRPr="00132F83">
              <w:rPr>
                <w:rFonts w:cs="Times New Roman"/>
              </w:rPr>
              <w:t>Rainbow trout</w:t>
            </w:r>
          </w:p>
        </w:tc>
        <w:tc>
          <w:tcPr>
            <w:tcW w:w="1710" w:type="dxa"/>
            <w:shd w:val="clear" w:color="auto" w:fill="FFFFFF" w:themeFill="background1"/>
            <w:tcMar>
              <w:top w:w="72" w:type="dxa"/>
              <w:left w:w="144" w:type="dxa"/>
              <w:bottom w:w="72" w:type="dxa"/>
              <w:right w:w="144" w:type="dxa"/>
            </w:tcMar>
          </w:tcPr>
          <w:p w14:paraId="522D223B" w14:textId="77777777" w:rsidR="000E6085" w:rsidRPr="00132F83" w:rsidRDefault="000E6085" w:rsidP="00865A49">
            <w:pPr>
              <w:spacing w:after="0" w:line="240" w:lineRule="auto"/>
              <w:rPr>
                <w:rFonts w:cs="Times New Roman"/>
              </w:rPr>
            </w:pPr>
            <w:r w:rsidRPr="00132F83">
              <w:rPr>
                <w:rFonts w:cs="Times New Roman"/>
              </w:rPr>
              <w:t>LC50 (mg/L)</w:t>
            </w:r>
          </w:p>
        </w:tc>
        <w:tc>
          <w:tcPr>
            <w:tcW w:w="2070" w:type="dxa"/>
            <w:shd w:val="clear" w:color="auto" w:fill="FFFFFF" w:themeFill="background1"/>
            <w:tcMar>
              <w:top w:w="72" w:type="dxa"/>
              <w:left w:w="144" w:type="dxa"/>
              <w:bottom w:w="72" w:type="dxa"/>
              <w:right w:w="144" w:type="dxa"/>
            </w:tcMar>
          </w:tcPr>
          <w:p w14:paraId="28870B59" w14:textId="77777777" w:rsidR="000E6085" w:rsidRPr="00132F83" w:rsidRDefault="000E6085" w:rsidP="00865A49">
            <w:pPr>
              <w:spacing w:after="0" w:line="240" w:lineRule="auto"/>
              <w:rPr>
                <w:rFonts w:cs="Times New Roman"/>
              </w:rPr>
            </w:pPr>
            <w:r w:rsidRPr="00132F83">
              <w:rPr>
                <w:rFonts w:cs="Times New Roman"/>
              </w:rPr>
              <w:t>0.09</w:t>
            </w:r>
          </w:p>
        </w:tc>
        <w:tc>
          <w:tcPr>
            <w:tcW w:w="2160" w:type="dxa"/>
            <w:shd w:val="clear" w:color="auto" w:fill="FFFFFF" w:themeFill="background1"/>
            <w:tcMar>
              <w:top w:w="72" w:type="dxa"/>
              <w:left w:w="144" w:type="dxa"/>
              <w:bottom w:w="72" w:type="dxa"/>
              <w:right w:w="144" w:type="dxa"/>
            </w:tcMar>
          </w:tcPr>
          <w:p w14:paraId="5FCB2DF8" w14:textId="77777777" w:rsidR="000E6085" w:rsidRPr="00132F83" w:rsidRDefault="000E6085" w:rsidP="00865A49">
            <w:pPr>
              <w:pStyle w:val="Default"/>
              <w:rPr>
                <w:rFonts w:asciiTheme="minorHAnsi" w:hAnsiTheme="minorHAnsi"/>
                <w:sz w:val="22"/>
                <w:szCs w:val="22"/>
              </w:rPr>
            </w:pPr>
            <w:r w:rsidRPr="00132F83">
              <w:rPr>
                <w:rFonts w:asciiTheme="minorHAnsi" w:hAnsiTheme="minorHAnsi"/>
                <w:sz w:val="22"/>
                <w:szCs w:val="22"/>
              </w:rPr>
              <w:t>&gt;101</w:t>
            </w:r>
          </w:p>
        </w:tc>
        <w:tc>
          <w:tcPr>
            <w:tcW w:w="1620" w:type="dxa"/>
            <w:shd w:val="clear" w:color="auto" w:fill="FFFFFF" w:themeFill="background1"/>
          </w:tcPr>
          <w:p w14:paraId="10AF7EBB" w14:textId="77777777" w:rsidR="000E6085" w:rsidRPr="00132F83" w:rsidRDefault="000E6085" w:rsidP="00865A49">
            <w:pPr>
              <w:spacing w:after="0" w:line="240" w:lineRule="auto"/>
              <w:rPr>
                <w:rFonts w:cs="Times New Roman"/>
              </w:rPr>
            </w:pPr>
          </w:p>
        </w:tc>
        <w:tc>
          <w:tcPr>
            <w:tcW w:w="4230" w:type="dxa"/>
            <w:vMerge w:val="restart"/>
            <w:shd w:val="clear" w:color="auto" w:fill="FFFFFF" w:themeFill="background1"/>
            <w:tcMar>
              <w:top w:w="72" w:type="dxa"/>
              <w:left w:w="144" w:type="dxa"/>
              <w:bottom w:w="72" w:type="dxa"/>
              <w:right w:w="144" w:type="dxa"/>
            </w:tcMar>
          </w:tcPr>
          <w:p w14:paraId="379D742C" w14:textId="77777777" w:rsidR="000E6085" w:rsidRPr="00132F83" w:rsidRDefault="000E6085" w:rsidP="00865A49">
            <w:pPr>
              <w:spacing w:after="0" w:line="240" w:lineRule="auto"/>
              <w:rPr>
                <w:rFonts w:cs="Times New Roman"/>
              </w:rPr>
            </w:pPr>
            <w:r w:rsidRPr="00132F83">
              <w:rPr>
                <w:rFonts w:cs="Times New Roman"/>
              </w:rPr>
              <w:t>Values show that oxypyrimidine is orders of magnitude less toxic compared to diazinon.</w:t>
            </w:r>
          </w:p>
        </w:tc>
      </w:tr>
      <w:tr w:rsidR="000E6085" w:rsidRPr="00132F83" w14:paraId="793D91E0" w14:textId="77777777" w:rsidTr="00F6303D">
        <w:trPr>
          <w:trHeight w:val="20"/>
        </w:trPr>
        <w:tc>
          <w:tcPr>
            <w:tcW w:w="1250" w:type="dxa"/>
            <w:shd w:val="clear" w:color="auto" w:fill="FFFFFF" w:themeFill="background1"/>
          </w:tcPr>
          <w:p w14:paraId="46A30FB7" w14:textId="77777777" w:rsidR="000E6085" w:rsidRPr="00132F83" w:rsidRDefault="000E6085" w:rsidP="00865A49">
            <w:pPr>
              <w:spacing w:after="0" w:line="240" w:lineRule="auto"/>
              <w:rPr>
                <w:rFonts w:cs="Times New Roman"/>
              </w:rPr>
            </w:pPr>
            <w:r w:rsidRPr="00132F83">
              <w:rPr>
                <w:rFonts w:cs="Times New Roman"/>
              </w:rPr>
              <w:t>Waterflea</w:t>
            </w:r>
          </w:p>
        </w:tc>
        <w:tc>
          <w:tcPr>
            <w:tcW w:w="1710" w:type="dxa"/>
            <w:shd w:val="clear" w:color="auto" w:fill="FFFFFF" w:themeFill="background1"/>
            <w:tcMar>
              <w:top w:w="72" w:type="dxa"/>
              <w:left w:w="144" w:type="dxa"/>
              <w:bottom w:w="72" w:type="dxa"/>
              <w:right w:w="144" w:type="dxa"/>
            </w:tcMar>
          </w:tcPr>
          <w:p w14:paraId="789EC23C" w14:textId="77777777" w:rsidR="000E6085" w:rsidRPr="00132F83" w:rsidRDefault="000E6085" w:rsidP="00865A49">
            <w:pPr>
              <w:spacing w:after="0" w:line="240" w:lineRule="auto"/>
              <w:rPr>
                <w:rFonts w:cs="Times New Roman"/>
              </w:rPr>
            </w:pPr>
            <w:r w:rsidRPr="00132F83">
              <w:rPr>
                <w:rFonts w:cs="Times New Roman"/>
              </w:rPr>
              <w:t>EC50 (mg/L)</w:t>
            </w:r>
          </w:p>
        </w:tc>
        <w:tc>
          <w:tcPr>
            <w:tcW w:w="2070" w:type="dxa"/>
            <w:shd w:val="clear" w:color="auto" w:fill="FFFFFF" w:themeFill="background1"/>
            <w:tcMar>
              <w:top w:w="72" w:type="dxa"/>
              <w:left w:w="144" w:type="dxa"/>
              <w:bottom w:w="72" w:type="dxa"/>
              <w:right w:w="144" w:type="dxa"/>
            </w:tcMar>
          </w:tcPr>
          <w:p w14:paraId="7D8E6111" w14:textId="77777777" w:rsidR="000E6085" w:rsidRPr="00132F83" w:rsidRDefault="000E6085" w:rsidP="00865A49">
            <w:pPr>
              <w:spacing w:after="0" w:line="240" w:lineRule="auto"/>
              <w:rPr>
                <w:rFonts w:cs="Times New Roman"/>
              </w:rPr>
            </w:pPr>
            <w:r w:rsidRPr="00132F83">
              <w:rPr>
                <w:rFonts w:cs="Times New Roman"/>
              </w:rPr>
              <w:t>0.00021</w:t>
            </w:r>
          </w:p>
        </w:tc>
        <w:tc>
          <w:tcPr>
            <w:tcW w:w="2160" w:type="dxa"/>
            <w:shd w:val="clear" w:color="auto" w:fill="FFFFFF" w:themeFill="background1"/>
            <w:tcMar>
              <w:top w:w="72" w:type="dxa"/>
              <w:left w:w="144" w:type="dxa"/>
              <w:bottom w:w="72" w:type="dxa"/>
              <w:right w:w="144" w:type="dxa"/>
            </w:tcMar>
          </w:tcPr>
          <w:p w14:paraId="5A2ED152" w14:textId="77777777" w:rsidR="000E6085" w:rsidRPr="00132F83" w:rsidRDefault="000E6085" w:rsidP="00865A49">
            <w:pPr>
              <w:pStyle w:val="Default"/>
              <w:rPr>
                <w:rFonts w:asciiTheme="minorHAnsi" w:hAnsiTheme="minorHAnsi"/>
                <w:sz w:val="22"/>
                <w:szCs w:val="22"/>
              </w:rPr>
            </w:pPr>
            <w:r w:rsidRPr="00132F83">
              <w:rPr>
                <w:rFonts w:asciiTheme="minorHAnsi" w:hAnsiTheme="minorHAnsi"/>
                <w:sz w:val="22"/>
                <w:szCs w:val="22"/>
              </w:rPr>
              <w:t>&gt;102</w:t>
            </w:r>
          </w:p>
        </w:tc>
        <w:tc>
          <w:tcPr>
            <w:tcW w:w="1620" w:type="dxa"/>
            <w:shd w:val="clear" w:color="auto" w:fill="FFFFFF" w:themeFill="background1"/>
          </w:tcPr>
          <w:p w14:paraId="51211247" w14:textId="77777777" w:rsidR="000E6085" w:rsidRPr="00132F83" w:rsidRDefault="000E6085" w:rsidP="00865A49">
            <w:pPr>
              <w:spacing w:after="0" w:line="240" w:lineRule="auto"/>
              <w:rPr>
                <w:rFonts w:cs="Times New Roman"/>
              </w:rPr>
            </w:pPr>
          </w:p>
        </w:tc>
        <w:tc>
          <w:tcPr>
            <w:tcW w:w="4230" w:type="dxa"/>
            <w:vMerge/>
            <w:shd w:val="clear" w:color="auto" w:fill="FFFFFF" w:themeFill="background1"/>
            <w:tcMar>
              <w:top w:w="72" w:type="dxa"/>
              <w:left w:w="144" w:type="dxa"/>
              <w:bottom w:w="72" w:type="dxa"/>
              <w:right w:w="144" w:type="dxa"/>
            </w:tcMar>
          </w:tcPr>
          <w:p w14:paraId="7CC6FF50" w14:textId="77777777" w:rsidR="000E6085" w:rsidRPr="00132F83" w:rsidRDefault="000E6085" w:rsidP="00865A49">
            <w:pPr>
              <w:spacing w:after="0" w:line="240" w:lineRule="auto"/>
              <w:rPr>
                <w:rFonts w:cs="Times New Roman"/>
              </w:rPr>
            </w:pPr>
          </w:p>
        </w:tc>
      </w:tr>
      <w:tr w:rsidR="000E6085" w:rsidRPr="00132F83" w14:paraId="4E2CA0CF" w14:textId="77777777" w:rsidTr="00F6303D">
        <w:trPr>
          <w:trHeight w:val="20"/>
        </w:trPr>
        <w:tc>
          <w:tcPr>
            <w:tcW w:w="1250" w:type="dxa"/>
            <w:shd w:val="clear" w:color="auto" w:fill="FFFFFF" w:themeFill="background1"/>
          </w:tcPr>
          <w:p w14:paraId="4A123B48" w14:textId="77777777" w:rsidR="000E6085" w:rsidRPr="00132F83" w:rsidRDefault="000E6085" w:rsidP="00865A49">
            <w:pPr>
              <w:spacing w:after="0" w:line="240" w:lineRule="auto"/>
              <w:rPr>
                <w:rFonts w:cs="Times New Roman"/>
              </w:rPr>
            </w:pPr>
            <w:r w:rsidRPr="00132F83">
              <w:rPr>
                <w:rFonts w:cs="Times New Roman"/>
              </w:rPr>
              <w:t>Green algae</w:t>
            </w:r>
          </w:p>
        </w:tc>
        <w:tc>
          <w:tcPr>
            <w:tcW w:w="1710" w:type="dxa"/>
            <w:shd w:val="clear" w:color="auto" w:fill="FFFFFF" w:themeFill="background1"/>
            <w:tcMar>
              <w:top w:w="72" w:type="dxa"/>
              <w:left w:w="144" w:type="dxa"/>
              <w:bottom w:w="72" w:type="dxa"/>
              <w:right w:w="144" w:type="dxa"/>
            </w:tcMar>
          </w:tcPr>
          <w:p w14:paraId="38790B34" w14:textId="77777777" w:rsidR="000E6085" w:rsidRPr="00132F83" w:rsidRDefault="000E6085" w:rsidP="00865A49">
            <w:pPr>
              <w:spacing w:after="0" w:line="240" w:lineRule="auto"/>
              <w:rPr>
                <w:rFonts w:cs="Times New Roman"/>
              </w:rPr>
            </w:pPr>
            <w:r w:rsidRPr="00132F83">
              <w:rPr>
                <w:rFonts w:cs="Times New Roman"/>
              </w:rPr>
              <w:t>EC50 (mg/L)</w:t>
            </w:r>
          </w:p>
        </w:tc>
        <w:tc>
          <w:tcPr>
            <w:tcW w:w="2070" w:type="dxa"/>
            <w:shd w:val="clear" w:color="auto" w:fill="FFFFFF" w:themeFill="background1"/>
            <w:tcMar>
              <w:top w:w="72" w:type="dxa"/>
              <w:left w:w="144" w:type="dxa"/>
              <w:bottom w:w="72" w:type="dxa"/>
              <w:right w:w="144" w:type="dxa"/>
            </w:tcMar>
          </w:tcPr>
          <w:p w14:paraId="16AF9FC3" w14:textId="77777777" w:rsidR="000E6085" w:rsidRPr="00132F83" w:rsidRDefault="000E6085" w:rsidP="00865A49">
            <w:pPr>
              <w:spacing w:after="0" w:line="240" w:lineRule="auto"/>
              <w:rPr>
                <w:rFonts w:cs="Times New Roman"/>
              </w:rPr>
            </w:pPr>
            <w:r w:rsidRPr="00132F83">
              <w:rPr>
                <w:rFonts w:cs="Times New Roman"/>
              </w:rPr>
              <w:t>3.7</w:t>
            </w:r>
          </w:p>
        </w:tc>
        <w:tc>
          <w:tcPr>
            <w:tcW w:w="2160" w:type="dxa"/>
            <w:shd w:val="clear" w:color="auto" w:fill="FFFFFF" w:themeFill="background1"/>
            <w:tcMar>
              <w:top w:w="72" w:type="dxa"/>
              <w:left w:w="144" w:type="dxa"/>
              <w:bottom w:w="72" w:type="dxa"/>
              <w:right w:w="144" w:type="dxa"/>
            </w:tcMar>
          </w:tcPr>
          <w:p w14:paraId="6A90B575" w14:textId="77777777" w:rsidR="000E6085" w:rsidRPr="00132F83" w:rsidRDefault="000E6085" w:rsidP="00865A49">
            <w:pPr>
              <w:pStyle w:val="Default"/>
              <w:rPr>
                <w:rFonts w:asciiTheme="minorHAnsi" w:hAnsiTheme="minorHAnsi"/>
                <w:sz w:val="22"/>
                <w:szCs w:val="22"/>
              </w:rPr>
            </w:pPr>
            <w:r w:rsidRPr="00132F83">
              <w:rPr>
                <w:rFonts w:asciiTheme="minorHAnsi" w:hAnsiTheme="minorHAnsi"/>
                <w:sz w:val="22"/>
                <w:szCs w:val="22"/>
              </w:rPr>
              <w:t>&gt;109</w:t>
            </w:r>
          </w:p>
        </w:tc>
        <w:tc>
          <w:tcPr>
            <w:tcW w:w="1620" w:type="dxa"/>
            <w:shd w:val="clear" w:color="auto" w:fill="FFFFFF" w:themeFill="background1"/>
          </w:tcPr>
          <w:p w14:paraId="4C8E3D7E" w14:textId="77777777" w:rsidR="000E6085" w:rsidRPr="00132F83" w:rsidRDefault="000E6085" w:rsidP="00865A49">
            <w:pPr>
              <w:spacing w:after="0" w:line="240" w:lineRule="auto"/>
              <w:rPr>
                <w:rFonts w:cs="Times New Roman"/>
              </w:rPr>
            </w:pPr>
          </w:p>
        </w:tc>
        <w:tc>
          <w:tcPr>
            <w:tcW w:w="4230" w:type="dxa"/>
            <w:vMerge/>
            <w:shd w:val="clear" w:color="auto" w:fill="FFFFFF" w:themeFill="background1"/>
            <w:tcMar>
              <w:top w:w="72" w:type="dxa"/>
              <w:left w:w="144" w:type="dxa"/>
              <w:bottom w:w="72" w:type="dxa"/>
              <w:right w:w="144" w:type="dxa"/>
            </w:tcMar>
          </w:tcPr>
          <w:p w14:paraId="07D9EB82" w14:textId="77777777" w:rsidR="000E6085" w:rsidRPr="00132F83" w:rsidRDefault="000E6085" w:rsidP="00865A49">
            <w:pPr>
              <w:spacing w:after="0" w:line="240" w:lineRule="auto"/>
              <w:rPr>
                <w:rFonts w:cs="Times New Roman"/>
              </w:rPr>
            </w:pPr>
          </w:p>
        </w:tc>
      </w:tr>
    </w:tbl>
    <w:p w14:paraId="21220316" w14:textId="77777777" w:rsidR="00210F0F" w:rsidRPr="00132F83" w:rsidRDefault="00210F0F" w:rsidP="00865A49">
      <w:pPr>
        <w:spacing w:after="0" w:line="240" w:lineRule="auto"/>
        <w:rPr>
          <w:rFonts w:cs="Times New Roman"/>
        </w:rPr>
        <w:sectPr w:rsidR="00210F0F" w:rsidRPr="00132F83" w:rsidSect="00F6303D">
          <w:pgSz w:w="15840" w:h="12240" w:orient="landscape"/>
          <w:pgMar w:top="1440" w:right="1440" w:bottom="1440" w:left="1440" w:header="720" w:footer="720" w:gutter="0"/>
          <w:pgNumType w:start="1"/>
          <w:cols w:space="720"/>
        </w:sectPr>
      </w:pPr>
    </w:p>
    <w:p w14:paraId="30DD2D53" w14:textId="77777777" w:rsidR="00210F0F" w:rsidRPr="00132F83" w:rsidRDefault="00210F0F" w:rsidP="00865A49">
      <w:pPr>
        <w:spacing w:after="0" w:line="240" w:lineRule="auto"/>
        <w:rPr>
          <w:rFonts w:cs="Times New Roman"/>
          <w:b/>
        </w:rPr>
      </w:pPr>
    </w:p>
    <w:p w14:paraId="302083D3" w14:textId="68F45F5E" w:rsidR="00514E24" w:rsidRPr="00132F83" w:rsidRDefault="007B3EEB" w:rsidP="00865A49">
      <w:pPr>
        <w:spacing w:after="0" w:line="240" w:lineRule="auto"/>
        <w:rPr>
          <w:rFonts w:cs="Times New Roman"/>
          <w:b/>
        </w:rPr>
      </w:pPr>
      <w:r w:rsidRPr="00132F83">
        <w:rPr>
          <w:rFonts w:cs="Times New Roman"/>
          <w:b/>
        </w:rPr>
        <w:t>Mechanism of</w:t>
      </w:r>
      <w:r w:rsidR="00A11582" w:rsidRPr="00132F83">
        <w:rPr>
          <w:rFonts w:cs="Times New Roman"/>
          <w:b/>
        </w:rPr>
        <w:t xml:space="preserve"> Oxon</w:t>
      </w:r>
      <w:r w:rsidRPr="00132F83">
        <w:rPr>
          <w:rFonts w:cs="Times New Roman"/>
          <w:b/>
        </w:rPr>
        <w:t xml:space="preserve"> </w:t>
      </w:r>
      <w:r w:rsidR="00A11582" w:rsidRPr="00132F83">
        <w:rPr>
          <w:rFonts w:cs="Times New Roman"/>
          <w:b/>
        </w:rPr>
        <w:t>Formation</w:t>
      </w:r>
    </w:p>
    <w:p w14:paraId="601D6C68" w14:textId="77777777" w:rsidR="00A11582" w:rsidRPr="00132F83" w:rsidRDefault="00A11582" w:rsidP="00865A49">
      <w:pPr>
        <w:spacing w:after="0" w:line="240" w:lineRule="auto"/>
        <w:rPr>
          <w:rFonts w:cs="Times New Roman"/>
        </w:rPr>
      </w:pPr>
    </w:p>
    <w:p w14:paraId="63D4BE33" w14:textId="40131865" w:rsidR="00A11582" w:rsidRPr="00132F83" w:rsidRDefault="00A9403F" w:rsidP="00865A49">
      <w:pPr>
        <w:spacing w:after="0" w:line="240" w:lineRule="auto"/>
        <w:rPr>
          <w:rFonts w:cs="Times New Roman"/>
        </w:rPr>
      </w:pPr>
      <w:r w:rsidRPr="00132F83">
        <w:rPr>
          <w:rFonts w:cs="Times New Roman"/>
        </w:rPr>
        <w:t>The chem</w:t>
      </w:r>
      <w:r w:rsidR="008C12C1" w:rsidRPr="00132F83">
        <w:rPr>
          <w:rFonts w:cs="Times New Roman"/>
        </w:rPr>
        <w:t>ical transformation process of OP</w:t>
      </w:r>
      <w:r w:rsidRPr="00132F83">
        <w:rPr>
          <w:rFonts w:cs="Times New Roman"/>
        </w:rPr>
        <w:t xml:space="preserve">s involves the substitution of the sulfur atom in the P–S bond of the organophosphate pesticide with an oxygen atom.  While several studies have been conducted that indicate that </w:t>
      </w:r>
      <w:r w:rsidR="008C12C1" w:rsidRPr="00132F83">
        <w:rPr>
          <w:rFonts w:cs="Times New Roman"/>
        </w:rPr>
        <w:t>OP</w:t>
      </w:r>
      <w:r w:rsidRPr="00132F83">
        <w:rPr>
          <w:rFonts w:cs="Times New Roman"/>
        </w:rPr>
        <w:t xml:space="preserve"> and organodithiophosphate chemicals that have sulfur double bonds to the central phosphorus atom generally form oxons during chemical disinfection by chlorine compounds (Magara et al., 1994, Duirk and Collette, 2006; Wu and Laird, 2003), much less information is available on how the oxons f</w:t>
      </w:r>
      <w:r w:rsidR="00CE5A87" w:rsidRPr="00132F83">
        <w:rPr>
          <w:rFonts w:cs="Times New Roman"/>
        </w:rPr>
        <w:t xml:space="preserve">orm in the natural environment.  </w:t>
      </w:r>
      <w:r w:rsidR="005600DF" w:rsidRPr="00132F83">
        <w:rPr>
          <w:rFonts w:cs="Times New Roman"/>
        </w:rPr>
        <w:t>The transformation occur</w:t>
      </w:r>
      <w:r w:rsidR="003E5ED1" w:rsidRPr="00132F83">
        <w:rPr>
          <w:rFonts w:cs="Times New Roman"/>
        </w:rPr>
        <w:t>s</w:t>
      </w:r>
      <w:r w:rsidR="005600DF" w:rsidRPr="00132F83">
        <w:rPr>
          <w:rFonts w:cs="Times New Roman"/>
        </w:rPr>
        <w:t xml:space="preserve"> via oxidative desulfonation, which could potentially occur through photolysis and aerobic metabolism, as well as other oxidative processes</w:t>
      </w:r>
      <w:r w:rsidR="00023F86" w:rsidRPr="00132F83">
        <w:rPr>
          <w:rFonts w:cs="Times New Roman"/>
        </w:rPr>
        <w:t xml:space="preserve"> (</w:t>
      </w:r>
      <w:r w:rsidR="008E2DAF" w:rsidRPr="00D822E3">
        <w:rPr>
          <w:rFonts w:cs="Times New Roman"/>
          <w:i/>
        </w:rPr>
        <w:t>e.g.,</w:t>
      </w:r>
      <w:r w:rsidR="008E2DAF" w:rsidRPr="00132F83">
        <w:rPr>
          <w:rFonts w:cs="Times New Roman"/>
        </w:rPr>
        <w:t xml:space="preserve"> </w:t>
      </w:r>
      <w:r w:rsidR="00023F86" w:rsidRPr="00132F83">
        <w:rPr>
          <w:rFonts w:cs="Times New Roman"/>
        </w:rPr>
        <w:t>reaction with hydroxyl radicals and ozone)</w:t>
      </w:r>
      <w:r w:rsidR="005600DF" w:rsidRPr="00132F83">
        <w:rPr>
          <w:rFonts w:cs="Times New Roman"/>
        </w:rPr>
        <w:t xml:space="preserve">.   </w:t>
      </w:r>
    </w:p>
    <w:p w14:paraId="355B4499" w14:textId="77777777" w:rsidR="00A11582" w:rsidRPr="00132F83" w:rsidRDefault="00A11582" w:rsidP="00865A49">
      <w:pPr>
        <w:spacing w:after="0" w:line="240" w:lineRule="auto"/>
        <w:rPr>
          <w:rFonts w:cs="Times New Roman"/>
        </w:rPr>
      </w:pPr>
    </w:p>
    <w:p w14:paraId="6A6DF1BE" w14:textId="1C15D66C" w:rsidR="00CE5A87" w:rsidRPr="00132F83" w:rsidRDefault="00CE5A87" w:rsidP="00865A49">
      <w:pPr>
        <w:spacing w:after="0" w:line="240" w:lineRule="auto"/>
        <w:rPr>
          <w:rFonts w:cs="Times New Roman"/>
        </w:rPr>
      </w:pPr>
      <w:r w:rsidRPr="00132F83">
        <w:rPr>
          <w:rFonts w:cs="Times New Roman"/>
        </w:rPr>
        <w:t>A number of studies have documented atmospheric transport and deposition of pesticides</w:t>
      </w:r>
      <w:r w:rsidR="007074AB" w:rsidRPr="00132F83">
        <w:rPr>
          <w:rFonts w:cs="Times New Roman"/>
        </w:rPr>
        <w:t xml:space="preserve"> apparently</w:t>
      </w:r>
      <w:r w:rsidRPr="00132F83">
        <w:rPr>
          <w:rFonts w:cs="Times New Roman"/>
        </w:rPr>
        <w:t xml:space="preserve"> from the Central Valley to the Sierra Nevada Mountains (Fellers </w:t>
      </w:r>
      <w:r w:rsidRPr="00132F83">
        <w:rPr>
          <w:rFonts w:cs="Times New Roman"/>
          <w:i/>
        </w:rPr>
        <w:t>et al</w:t>
      </w:r>
      <w:r w:rsidRPr="00132F83">
        <w:rPr>
          <w:rFonts w:cs="Times New Roman"/>
        </w:rPr>
        <w:t xml:space="preserve">., 2004, Sparling </w:t>
      </w:r>
      <w:r w:rsidRPr="00132F83">
        <w:rPr>
          <w:rFonts w:cs="Times New Roman"/>
          <w:i/>
        </w:rPr>
        <w:t>et al</w:t>
      </w:r>
      <w:r w:rsidRPr="00132F83">
        <w:rPr>
          <w:rFonts w:cs="Times New Roman"/>
        </w:rPr>
        <w:t xml:space="preserve">., 2001, LeNoir </w:t>
      </w:r>
      <w:r w:rsidRPr="00132F83">
        <w:rPr>
          <w:rFonts w:cs="Times New Roman"/>
          <w:i/>
        </w:rPr>
        <w:t>et al</w:t>
      </w:r>
      <w:r w:rsidRPr="00132F83">
        <w:rPr>
          <w:rFonts w:cs="Times New Roman"/>
        </w:rPr>
        <w:t xml:space="preserve">., 1999, and McConnell et al., 1998).  Prevailing winds blow across the Central Valley eastward to the Sierra Nevada Mountains, transporting airborne industrial and agricultural pollutants into Sierra Nevada ecosystems (Fellers </w:t>
      </w:r>
      <w:r w:rsidRPr="00132F83">
        <w:rPr>
          <w:rFonts w:cs="Times New Roman"/>
          <w:i/>
        </w:rPr>
        <w:t>et al.</w:t>
      </w:r>
      <w:r w:rsidRPr="00132F83">
        <w:rPr>
          <w:rFonts w:cs="Times New Roman"/>
        </w:rPr>
        <w:t xml:space="preserve">, 2004, LeNoir </w:t>
      </w:r>
      <w:r w:rsidRPr="00132F83">
        <w:rPr>
          <w:rFonts w:cs="Times New Roman"/>
          <w:i/>
        </w:rPr>
        <w:t>et al</w:t>
      </w:r>
      <w:r w:rsidRPr="00132F83">
        <w:rPr>
          <w:rFonts w:cs="Times New Roman"/>
        </w:rPr>
        <w:t xml:space="preserve">., 1999, and McConnell </w:t>
      </w:r>
      <w:r w:rsidRPr="00132F83">
        <w:rPr>
          <w:rFonts w:cs="Times New Roman"/>
          <w:i/>
        </w:rPr>
        <w:t>et al</w:t>
      </w:r>
      <w:r w:rsidRPr="00132F83">
        <w:rPr>
          <w:rFonts w:cs="Times New Roman"/>
        </w:rPr>
        <w:t>., 1998).</w:t>
      </w:r>
      <w:r w:rsidR="006C71AE" w:rsidRPr="00132F83">
        <w:rPr>
          <w:rFonts w:cs="Times New Roman"/>
        </w:rPr>
        <w:t xml:space="preserve">  Available literature has also document</w:t>
      </w:r>
      <w:r w:rsidR="008E2DAF" w:rsidRPr="00132F83">
        <w:rPr>
          <w:rFonts w:cs="Times New Roman"/>
        </w:rPr>
        <w:t>ed</w:t>
      </w:r>
      <w:r w:rsidR="006C71AE" w:rsidRPr="00132F83">
        <w:rPr>
          <w:rFonts w:cs="Times New Roman"/>
        </w:rPr>
        <w:t xml:space="preserve"> oxon detections in air, rain, fog </w:t>
      </w:r>
      <w:r w:rsidR="006C71AE" w:rsidRPr="00132F83">
        <w:rPr>
          <w:rFonts w:cs="Times New Roman"/>
        </w:rPr>
        <w:fldChar w:fldCharType="begin"/>
      </w:r>
      <w:r w:rsidR="006C71AE" w:rsidRPr="00132F83">
        <w:rPr>
          <w:rFonts w:cs="Times New Roman"/>
        </w:rPr>
        <w:instrText xml:space="preserve"> ADDIN EN.CITE &lt;EndNote&gt;&lt;Cite&gt;&lt;Author&gt;Majewski&lt;/Author&gt;&lt;Year&gt;1995&lt;/Year&gt;&lt;RecNum&gt;1008&lt;/RecNum&gt;&lt;DisplayText&gt;&lt;style font="Times New Roman" size="12"&gt;(Majewski and Capel, 1995)&lt;/style&gt;&lt;/DisplayText&gt;&lt;record&gt;&lt;rec-number&gt;1008&lt;/rec-number&gt;&lt;foreign-keys&gt;&lt;key app="EN" db-id="s0xer2w2o0xwx3e0a0tx0sz3zradttw529er" timestamp="1402666775"&gt;1008&lt;/key&gt;&lt;/foreign-keys&gt;&lt;ref-type name="Book"&gt;6&lt;/ref-type&gt;&lt;contributors&gt;&lt;authors&gt;&lt;author&gt;Majewski, M.S.&lt;/author&gt;&lt;author&gt;Capel, P.D.&lt;/author&gt;&lt;/authors&gt;&lt;/contributors&gt;&lt;titles&gt;&lt;title&gt;Pesticides in the Atmosphere:  Distribution, Trends, and Governing Factors&lt;/title&gt;&lt;/titles&gt;&lt;dates&gt;&lt;year&gt;1995&lt;/year&gt;&lt;/dates&gt;&lt;pub-location&gt;Chelsea, MI&lt;/pub-location&gt;&lt;publisher&gt;Ann Arbor Press&lt;/publisher&gt;&lt;urls&gt;&lt;/urls&gt;&lt;/record&gt;&lt;/Cite&gt;&lt;/EndNote&gt;</w:instrText>
      </w:r>
      <w:r w:rsidR="006C71AE" w:rsidRPr="00132F83">
        <w:rPr>
          <w:rFonts w:cs="Times New Roman"/>
        </w:rPr>
        <w:fldChar w:fldCharType="separate"/>
      </w:r>
      <w:r w:rsidR="006C71AE" w:rsidRPr="00132F83">
        <w:rPr>
          <w:rFonts w:cs="Times New Roman"/>
          <w:noProof/>
        </w:rPr>
        <w:t>(Majewski and Capel, 1995)</w:t>
      </w:r>
      <w:r w:rsidR="006C71AE" w:rsidRPr="00132F83">
        <w:rPr>
          <w:rFonts w:cs="Times New Roman"/>
        </w:rPr>
        <w:fldChar w:fldCharType="end"/>
      </w:r>
      <w:r w:rsidR="006C71AE" w:rsidRPr="00132F83">
        <w:rPr>
          <w:rFonts w:cs="Times New Roman"/>
        </w:rPr>
        <w:t xml:space="preserve"> and surface waters in the United States </w:t>
      </w:r>
      <w:r w:rsidR="006C71AE" w:rsidRPr="00132F83">
        <w:rPr>
          <w:rFonts w:cs="Times New Roman"/>
        </w:rPr>
        <w:fldChar w:fldCharType="begin"/>
      </w:r>
      <w:r w:rsidR="006C71AE" w:rsidRPr="00132F83">
        <w:rPr>
          <w:rFonts w:cs="Times New Roman"/>
        </w:rPr>
        <w:instrText xml:space="preserve"> ADDIN EN.CITE &lt;EndNote&gt;&lt;Cite&gt;&lt;Author&gt;USGS&lt;/Author&gt;&lt;Year&gt;2011&lt;/Year&gt;&lt;RecNum&gt;1009&lt;/RecNum&gt;&lt;DisplayText&gt;&lt;style font="Times New Roman" size="12"&gt;(USGS, 2011)&lt;/style&gt;&lt;/DisplayText&gt;&lt;record&gt;&lt;rec-number&gt;1009&lt;/rec-number&gt;&lt;foreign-keys&gt;&lt;key app="EN" db-id="s0xer2w2o0xwx3e0a0tx0sz3zradttw529er" timestamp="1402666775"&gt;1009&lt;/key&gt;&lt;/foreign-keys&gt;&lt;ref-type name="EPA Document"&gt;51&lt;/ref-type&gt;&lt;contributors&gt;&lt;authors&gt;&lt;author&gt;USGS&lt;/author&gt;&lt;/authors&gt;&lt;secondary-authors&gt;&lt;author&gt;Scientific Investigation Report 2010-5139,&lt;/author&gt;&lt;/secondary-authors&gt;&lt;/contributors&gt;&lt;titles&gt;&lt;title&gt;Trends in Pesticide Concentrations in Urban Streams in the United States, 1992-2008&lt;/title&gt;&lt;tertiary-title&gt;National Water Quality Assessment Program. United States Geological Survey. United States Department of the Interior.&lt;/tertiary-title&gt;&lt;/titles&gt;&lt;dates&gt;&lt;year&gt;2011&lt;/year&gt;&lt;/dates&gt;&lt;urls&gt;&lt;related-urls&gt;&lt;url&gt;http://pubs.usgs.gov/sir/2010/5139/pdf/sir2010-5139.pdf&lt;/url&gt;&lt;/related-urls&gt;&lt;/urls&gt;&lt;access-date&gt;February 2, 2012&lt;/access-date&gt;&lt;/record&gt;&lt;/Cite&gt;&lt;/EndNote&gt;</w:instrText>
      </w:r>
      <w:r w:rsidR="006C71AE" w:rsidRPr="00132F83">
        <w:rPr>
          <w:rFonts w:cs="Times New Roman"/>
        </w:rPr>
        <w:fldChar w:fldCharType="separate"/>
      </w:r>
      <w:r w:rsidR="006C71AE" w:rsidRPr="00132F83">
        <w:rPr>
          <w:rFonts w:cs="Times New Roman"/>
          <w:noProof/>
        </w:rPr>
        <w:t>(USGS, 2011)</w:t>
      </w:r>
      <w:r w:rsidR="006C71AE" w:rsidRPr="00132F83">
        <w:rPr>
          <w:rFonts w:cs="Times New Roman"/>
        </w:rPr>
        <w:fldChar w:fldCharType="end"/>
      </w:r>
      <w:r w:rsidR="006C71AE" w:rsidRPr="00132F83">
        <w:rPr>
          <w:rFonts w:cs="Times New Roman"/>
        </w:rPr>
        <w:t xml:space="preserve">.  </w:t>
      </w:r>
      <w:r w:rsidR="00CC00E3" w:rsidRPr="00132F83">
        <w:rPr>
          <w:rFonts w:cs="Times New Roman"/>
        </w:rPr>
        <w:t>Although the</w:t>
      </w:r>
      <w:r w:rsidR="00A44915" w:rsidRPr="00132F83">
        <w:rPr>
          <w:rFonts w:cs="Times New Roman"/>
        </w:rPr>
        <w:t>se studies provide evidence that the</w:t>
      </w:r>
      <w:r w:rsidR="00CC00E3" w:rsidRPr="00132F83">
        <w:rPr>
          <w:rFonts w:cs="Times New Roman"/>
        </w:rPr>
        <w:t xml:space="preserve"> oxon </w:t>
      </w:r>
      <w:r w:rsidR="00861C0D" w:rsidRPr="00132F83">
        <w:rPr>
          <w:rFonts w:cs="Times New Roman"/>
        </w:rPr>
        <w:t>is present</w:t>
      </w:r>
      <w:r w:rsidR="00A44915" w:rsidRPr="00132F83">
        <w:rPr>
          <w:rFonts w:cs="Times New Roman"/>
        </w:rPr>
        <w:t xml:space="preserve"> in the environment</w:t>
      </w:r>
      <w:r w:rsidR="00CC00E3" w:rsidRPr="00132F83">
        <w:rPr>
          <w:rFonts w:cs="Times New Roman"/>
        </w:rPr>
        <w:t>, these studies do not provide sufficient, consistent information on the levels of the oxon degradate relative to the parent</w:t>
      </w:r>
      <w:r w:rsidR="00BF764F" w:rsidRPr="00132F83">
        <w:rPr>
          <w:rFonts w:cs="Times New Roman"/>
        </w:rPr>
        <w:t>, nor what</w:t>
      </w:r>
      <w:r w:rsidR="00CC00E3" w:rsidRPr="00132F83">
        <w:rPr>
          <w:rFonts w:cs="Times New Roman"/>
        </w:rPr>
        <w:t xml:space="preserve"> conditions favor the oxon formation and/or persistence in the environment.  </w:t>
      </w:r>
      <w:r w:rsidR="00BF764F" w:rsidRPr="00132F83">
        <w:rPr>
          <w:rFonts w:cs="Times New Roman"/>
        </w:rPr>
        <w:t>A</w:t>
      </w:r>
      <w:r w:rsidR="00CC00E3" w:rsidRPr="00132F83">
        <w:rPr>
          <w:rFonts w:cs="Times New Roman"/>
        </w:rPr>
        <w:t>s a result the actual transport pathway</w:t>
      </w:r>
      <w:r w:rsidR="007074AB" w:rsidRPr="00132F83">
        <w:rPr>
          <w:rFonts w:cs="Times New Roman"/>
        </w:rPr>
        <w:t>(s)</w:t>
      </w:r>
      <w:r w:rsidR="00CC00E3" w:rsidRPr="00132F83">
        <w:rPr>
          <w:rFonts w:cs="Times New Roman"/>
        </w:rPr>
        <w:t xml:space="preserve"> of</w:t>
      </w:r>
      <w:r w:rsidR="006C71AE" w:rsidRPr="00132F83">
        <w:rPr>
          <w:rFonts w:cs="Times New Roman"/>
        </w:rPr>
        <w:t xml:space="preserve"> the oxon </w:t>
      </w:r>
      <w:r w:rsidR="007074AB" w:rsidRPr="00132F83">
        <w:rPr>
          <w:rFonts w:cs="Times New Roman"/>
        </w:rPr>
        <w:t xml:space="preserve">are unclear </w:t>
      </w:r>
      <w:r w:rsidR="00CC00E3" w:rsidRPr="00132F83">
        <w:rPr>
          <w:rFonts w:cs="Times New Roman"/>
        </w:rPr>
        <w:t>(</w:t>
      </w:r>
      <w:r w:rsidR="00CC00E3" w:rsidRPr="00132F83">
        <w:rPr>
          <w:rFonts w:cs="Times New Roman"/>
          <w:i/>
        </w:rPr>
        <w:t>e.g.</w:t>
      </w:r>
      <w:r w:rsidR="00CC00E3" w:rsidRPr="00132F83">
        <w:rPr>
          <w:rFonts w:cs="Times New Roman"/>
        </w:rPr>
        <w:t xml:space="preserve">, </w:t>
      </w:r>
      <w:r w:rsidR="006C71AE" w:rsidRPr="00132F83">
        <w:rPr>
          <w:rFonts w:cs="Times New Roman"/>
        </w:rPr>
        <w:t xml:space="preserve">is </w:t>
      </w:r>
      <w:r w:rsidR="00CC00E3" w:rsidRPr="00132F83">
        <w:rPr>
          <w:rFonts w:cs="Times New Roman"/>
        </w:rPr>
        <w:t xml:space="preserve">it </w:t>
      </w:r>
      <w:r w:rsidR="006C71AE" w:rsidRPr="00132F83">
        <w:rPr>
          <w:rFonts w:cs="Times New Roman"/>
        </w:rPr>
        <w:t>for</w:t>
      </w:r>
      <w:r w:rsidR="00CC00E3" w:rsidRPr="00132F83">
        <w:rPr>
          <w:rFonts w:cs="Times New Roman"/>
        </w:rPr>
        <w:t xml:space="preserve">med in the treated areas and </w:t>
      </w:r>
      <w:r w:rsidR="006C71AE" w:rsidRPr="00132F83">
        <w:rPr>
          <w:rFonts w:cs="Times New Roman"/>
        </w:rPr>
        <w:t>transported via volatilization</w:t>
      </w:r>
      <w:r w:rsidR="00CC00E3" w:rsidRPr="00132F83">
        <w:rPr>
          <w:rFonts w:cs="Times New Roman"/>
        </w:rPr>
        <w:t>/runoff</w:t>
      </w:r>
      <w:r w:rsidR="006C71AE" w:rsidRPr="00132F83">
        <w:rPr>
          <w:rFonts w:cs="Times New Roman"/>
        </w:rPr>
        <w:t xml:space="preserve"> to waterbodies, or </w:t>
      </w:r>
      <w:r w:rsidR="00CC00E3" w:rsidRPr="00132F83">
        <w:rPr>
          <w:rFonts w:cs="Times New Roman"/>
        </w:rPr>
        <w:t>does</w:t>
      </w:r>
      <w:r w:rsidR="006C71AE" w:rsidRPr="00132F83">
        <w:rPr>
          <w:rFonts w:cs="Times New Roman"/>
        </w:rPr>
        <w:t xml:space="preserve"> the parent compound volatilize and </w:t>
      </w:r>
      <w:r w:rsidR="00CC00E3" w:rsidRPr="00132F83">
        <w:rPr>
          <w:rFonts w:cs="Times New Roman"/>
        </w:rPr>
        <w:t>then transform to oxon</w:t>
      </w:r>
      <w:r w:rsidR="006C71AE" w:rsidRPr="00132F83">
        <w:rPr>
          <w:rFonts w:cs="Times New Roman"/>
        </w:rPr>
        <w:t xml:space="preserve"> in the atmosphere or at the receiving waterbody</w:t>
      </w:r>
      <w:r w:rsidR="00CC00E3" w:rsidRPr="00132F83">
        <w:rPr>
          <w:rFonts w:cs="Times New Roman"/>
        </w:rPr>
        <w:t>)</w:t>
      </w:r>
      <w:r w:rsidR="00BF764F" w:rsidRPr="00132F83">
        <w:rPr>
          <w:rFonts w:cs="Times New Roman"/>
        </w:rPr>
        <w:t xml:space="preserve"> and how environmental estimated concentrations of the oxon </w:t>
      </w:r>
      <w:r w:rsidR="007074AB" w:rsidRPr="00132F83">
        <w:rPr>
          <w:rFonts w:cs="Times New Roman"/>
        </w:rPr>
        <w:t xml:space="preserve">could best </w:t>
      </w:r>
      <w:r w:rsidR="00BF764F" w:rsidRPr="00132F83">
        <w:rPr>
          <w:rFonts w:cs="Times New Roman"/>
        </w:rPr>
        <w:t>be modeled</w:t>
      </w:r>
      <w:r w:rsidR="006C71AE" w:rsidRPr="00132F83">
        <w:rPr>
          <w:rFonts w:cs="Times New Roman"/>
        </w:rPr>
        <w:t>.</w:t>
      </w:r>
    </w:p>
    <w:p w14:paraId="09638012" w14:textId="77777777" w:rsidR="00A11582" w:rsidRPr="00132F83" w:rsidRDefault="00A11582" w:rsidP="00865A49">
      <w:pPr>
        <w:spacing w:after="0" w:line="240" w:lineRule="auto"/>
        <w:rPr>
          <w:rFonts w:cs="Times New Roman"/>
        </w:rPr>
      </w:pPr>
    </w:p>
    <w:p w14:paraId="16DFF9CA" w14:textId="0B3F858B" w:rsidR="00A9403F" w:rsidRPr="00132F83" w:rsidRDefault="00A9403F" w:rsidP="00865A49">
      <w:pPr>
        <w:spacing w:after="0" w:line="240" w:lineRule="auto"/>
        <w:rPr>
          <w:rFonts w:cs="Times New Roman"/>
        </w:rPr>
      </w:pPr>
      <w:r w:rsidRPr="00132F83">
        <w:rPr>
          <w:rFonts w:cs="Times New Roman"/>
        </w:rPr>
        <w:t xml:space="preserve">Diazoxon was not detected in </w:t>
      </w:r>
      <w:r w:rsidR="006C71AE" w:rsidRPr="00132F83">
        <w:rPr>
          <w:rFonts w:cs="Times New Roman"/>
        </w:rPr>
        <w:t>registrant-submitted environmental fate studies</w:t>
      </w:r>
      <w:r w:rsidRPr="00132F83">
        <w:rPr>
          <w:rFonts w:cs="Times New Roman"/>
        </w:rPr>
        <w:t xml:space="preserve"> in which it was monitored except for one aerobic soil metabolism study, </w:t>
      </w:r>
      <w:r w:rsidR="003E2722" w:rsidRPr="00132F83">
        <w:rPr>
          <w:rFonts w:cs="Times New Roman"/>
        </w:rPr>
        <w:t>where</w:t>
      </w:r>
      <w:r w:rsidRPr="00132F83">
        <w:rPr>
          <w:rFonts w:cs="Times New Roman"/>
        </w:rPr>
        <w:t xml:space="preserve"> it was observed at a maximum amount of 0.6%</w:t>
      </w:r>
      <w:r w:rsidR="007074AB" w:rsidRPr="00132F83">
        <w:rPr>
          <w:rFonts w:cs="Times New Roman"/>
        </w:rPr>
        <w:t xml:space="preserve"> applied radioactivity</w:t>
      </w:r>
      <w:r w:rsidR="008E2DAF" w:rsidRPr="00132F83">
        <w:rPr>
          <w:rFonts w:cs="Times New Roman"/>
        </w:rPr>
        <w:t xml:space="preserve"> and in an atmospheric degradation study</w:t>
      </w:r>
      <w:r w:rsidRPr="00132F83">
        <w:rPr>
          <w:rFonts w:cs="Times New Roman"/>
        </w:rPr>
        <w:t xml:space="preserve">.  </w:t>
      </w:r>
      <w:r w:rsidR="008E2DAF" w:rsidRPr="00132F83">
        <w:rPr>
          <w:rFonts w:cs="Times New Roman"/>
        </w:rPr>
        <w:t>I</w:t>
      </w:r>
      <w:r w:rsidR="007074AB" w:rsidRPr="00132F83">
        <w:rPr>
          <w:rFonts w:cs="Times New Roman"/>
        </w:rPr>
        <w:t>n</w:t>
      </w:r>
      <w:r w:rsidR="006C71AE" w:rsidRPr="00132F83">
        <w:rPr>
          <w:rFonts w:cs="Times New Roman"/>
        </w:rPr>
        <w:t xml:space="preserve"> many of the studies the registrants did not indicate that they had analyzed for the oxon and in cases where the oxon was evaluated </w:t>
      </w:r>
      <w:r w:rsidR="008C12C1" w:rsidRPr="00132F83">
        <w:rPr>
          <w:rFonts w:cs="Times New Roman"/>
        </w:rPr>
        <w:t>the l</w:t>
      </w:r>
      <w:r w:rsidRPr="00132F83">
        <w:rPr>
          <w:rFonts w:cs="Times New Roman"/>
        </w:rPr>
        <w:t>imits of quantitation for diazoxon were high (1</w:t>
      </w:r>
      <w:r w:rsidR="006C71AE" w:rsidRPr="00132F83">
        <w:rPr>
          <w:rFonts w:cs="Times New Roman"/>
        </w:rPr>
        <w:t>0</w:t>
      </w:r>
      <w:r w:rsidRPr="00132F83">
        <w:rPr>
          <w:rFonts w:cs="Times New Roman"/>
        </w:rPr>
        <w:t xml:space="preserve"> to 2</w:t>
      </w:r>
      <w:r w:rsidR="006C71AE" w:rsidRPr="00132F83">
        <w:rPr>
          <w:rFonts w:cs="Times New Roman"/>
        </w:rPr>
        <w:t>0</w:t>
      </w:r>
      <w:r w:rsidRPr="00132F83">
        <w:rPr>
          <w:rFonts w:cs="Times New Roman"/>
        </w:rPr>
        <w:t xml:space="preserve"> </w:t>
      </w:r>
      <w:r w:rsidR="006C71AE" w:rsidRPr="00132F83">
        <w:rPr>
          <w:rFonts w:cs="Times New Roman"/>
        </w:rPr>
        <w:t>µ</w:t>
      </w:r>
      <w:r w:rsidRPr="00132F83">
        <w:rPr>
          <w:rFonts w:cs="Times New Roman"/>
        </w:rPr>
        <w:t xml:space="preserve">g/kg-soil).  </w:t>
      </w:r>
      <w:r w:rsidR="008E2DAF" w:rsidRPr="00132F83">
        <w:rPr>
          <w:rFonts w:cs="Times New Roman"/>
        </w:rPr>
        <w:t xml:space="preserve">Additionally, there were unidentified residues (maximums percent radioactivity associated with unidentified residues ranged from 0.9 to 13%) in the environmental fate studies that could have been associated with diazoxon.  </w:t>
      </w:r>
      <w:r w:rsidR="006C71AE" w:rsidRPr="00132F83">
        <w:rPr>
          <w:rFonts w:cs="Times New Roman"/>
        </w:rPr>
        <w:t>In an air photolysis study (MRID 49049901), d</w:t>
      </w:r>
      <w:r w:rsidRPr="00132F83">
        <w:rPr>
          <w:rFonts w:cs="Times New Roman"/>
        </w:rPr>
        <w:t xml:space="preserve">iazoxon was present in air before exposure to light at 9.60 parts per billion.  </w:t>
      </w:r>
      <w:r w:rsidR="006C71AE" w:rsidRPr="00132F83">
        <w:rPr>
          <w:rFonts w:cs="Times New Roman"/>
        </w:rPr>
        <w:t>In order to generate d</w:t>
      </w:r>
      <w:r w:rsidRPr="00132F83">
        <w:rPr>
          <w:rFonts w:cs="Times New Roman"/>
        </w:rPr>
        <w:t xml:space="preserve">iazinon </w:t>
      </w:r>
      <w:r w:rsidR="006C71AE" w:rsidRPr="00132F83">
        <w:rPr>
          <w:rFonts w:cs="Times New Roman"/>
        </w:rPr>
        <w:t xml:space="preserve">in the air, the compound </w:t>
      </w:r>
      <w:r w:rsidRPr="00132F83">
        <w:rPr>
          <w:rFonts w:cs="Times New Roman"/>
        </w:rPr>
        <w:t xml:space="preserve">was heated </w:t>
      </w:r>
      <w:r w:rsidR="006C71AE" w:rsidRPr="00132F83">
        <w:rPr>
          <w:rFonts w:cs="Times New Roman"/>
        </w:rPr>
        <w:t>and the study author</w:t>
      </w:r>
      <w:r w:rsidRPr="00132F83">
        <w:rPr>
          <w:rFonts w:cs="Times New Roman"/>
        </w:rPr>
        <w:t xml:space="preserve"> hypothesized that diazoxon formed with the heating of diazinon and was not due to photolysis. </w:t>
      </w:r>
      <w:r w:rsidR="009E7D0F" w:rsidRPr="00132F83">
        <w:rPr>
          <w:rFonts w:cs="Times New Roman"/>
        </w:rPr>
        <w:t xml:space="preserve">Diazoxon is not persistent in air, </w:t>
      </w:r>
      <w:r w:rsidR="007074AB" w:rsidRPr="00132F83">
        <w:rPr>
          <w:rFonts w:cs="Times New Roman"/>
        </w:rPr>
        <w:t xml:space="preserve">and has </w:t>
      </w:r>
      <w:r w:rsidR="009E7D0F" w:rsidRPr="00132F83">
        <w:rPr>
          <w:rFonts w:cs="Times New Roman"/>
        </w:rPr>
        <w:t>a</w:t>
      </w:r>
      <w:r w:rsidR="001466DD" w:rsidRPr="00132F83">
        <w:rPr>
          <w:rFonts w:cs="Times New Roman"/>
        </w:rPr>
        <w:t xml:space="preserve">  measured</w:t>
      </w:r>
      <w:r w:rsidR="009E7D0F" w:rsidRPr="00132F83">
        <w:rPr>
          <w:rFonts w:cs="Times New Roman"/>
        </w:rPr>
        <w:t xml:space="preserve"> atmospheric degradation half-life (estimated for the average 12-hour day time concentration of hydroxyl radicals at 30</w:t>
      </w:r>
      <w:r w:rsidR="009E7D0F" w:rsidRPr="00132F83">
        <w:rPr>
          <w:rFonts w:cs="Times New Roman"/>
          <w:vertAlign w:val="superscript"/>
        </w:rPr>
        <w:t>o</w:t>
      </w:r>
      <w:r w:rsidR="00864041" w:rsidRPr="00132F83">
        <w:rPr>
          <w:rFonts w:cs="Times New Roman"/>
        </w:rPr>
        <w:t>C</w:t>
      </w:r>
      <w:r w:rsidR="009E7D0F" w:rsidRPr="00132F83">
        <w:rPr>
          <w:rFonts w:cs="Times New Roman"/>
        </w:rPr>
        <w:t xml:space="preserve">) </w:t>
      </w:r>
      <w:r w:rsidR="00864041" w:rsidRPr="00132F83">
        <w:rPr>
          <w:rFonts w:cs="Times New Roman"/>
        </w:rPr>
        <w:t>of</w:t>
      </w:r>
      <w:r w:rsidR="009E7D0F" w:rsidRPr="00132F83">
        <w:rPr>
          <w:rFonts w:cs="Times New Roman"/>
        </w:rPr>
        <w:t xml:space="preserve"> 4.1 hours (MRID 49049902). </w:t>
      </w:r>
      <w:r w:rsidR="001466DD" w:rsidRPr="00132F83">
        <w:rPr>
          <w:rFonts w:cs="Times New Roman"/>
        </w:rPr>
        <w:t xml:space="preserve">The only submitted environmental fate study for diazoxon is an </w:t>
      </w:r>
      <w:r w:rsidR="000A5522" w:rsidRPr="00132F83">
        <w:rPr>
          <w:rFonts w:cs="Times New Roman"/>
        </w:rPr>
        <w:t xml:space="preserve">air photolysis study which estimated a half-life of 4 hours in air. </w:t>
      </w:r>
    </w:p>
    <w:p w14:paraId="1B0BF77E" w14:textId="77777777" w:rsidR="00865A49" w:rsidRPr="00132F83" w:rsidRDefault="00865A49" w:rsidP="00865A49">
      <w:pPr>
        <w:spacing w:after="0" w:line="240" w:lineRule="auto"/>
        <w:rPr>
          <w:rFonts w:cs="Times New Roman"/>
          <w:color w:val="000000"/>
        </w:rPr>
      </w:pPr>
    </w:p>
    <w:p w14:paraId="35226AB3" w14:textId="77777777" w:rsidR="00865A49" w:rsidRPr="00132F83" w:rsidRDefault="00865A49" w:rsidP="00865A49">
      <w:pPr>
        <w:spacing w:after="0" w:line="240" w:lineRule="auto"/>
        <w:rPr>
          <w:rFonts w:cs="Times New Roman"/>
          <w:color w:val="000000"/>
        </w:rPr>
      </w:pPr>
    </w:p>
    <w:p w14:paraId="23EB1F22" w14:textId="72227580" w:rsidR="00791F61" w:rsidRPr="00132F83" w:rsidRDefault="00E736EB" w:rsidP="00865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imes New Roman"/>
          <w:b/>
        </w:rPr>
      </w:pPr>
      <w:r w:rsidRPr="00132F83">
        <w:rPr>
          <w:rFonts w:cs="Times New Roman"/>
          <w:b/>
        </w:rPr>
        <w:t>Estimated</w:t>
      </w:r>
      <w:r w:rsidRPr="00132F83">
        <w:rPr>
          <w:rFonts w:cs="Times New Roman"/>
        </w:rPr>
        <w:t xml:space="preserve"> </w:t>
      </w:r>
      <w:r w:rsidR="00791F61" w:rsidRPr="00132F83">
        <w:rPr>
          <w:rFonts w:cs="Times New Roman"/>
          <w:b/>
        </w:rPr>
        <w:t>Atmospheric Formation and Decay</w:t>
      </w:r>
    </w:p>
    <w:p w14:paraId="4EC233B4" w14:textId="77777777" w:rsidR="00E736EB" w:rsidRPr="00132F83" w:rsidRDefault="00E736EB" w:rsidP="00865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imes New Roman"/>
          <w:b/>
        </w:rPr>
      </w:pPr>
    </w:p>
    <w:p w14:paraId="0E161E0B" w14:textId="3BEE24FD" w:rsidR="00791F61" w:rsidRPr="00132F83" w:rsidRDefault="00791F61" w:rsidP="00865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imes New Roman"/>
        </w:rPr>
      </w:pPr>
      <w:r w:rsidRPr="00132F83">
        <w:rPr>
          <w:rFonts w:cs="Times New Roman"/>
        </w:rPr>
        <w:t xml:space="preserve">OP insecticides may be converted to their oxons or other products by reaction with oxidants such as hydroxyl radical, ozone, or nitrate radical in the atmosphere.  The oxons themselves may also be degraded by the same oxidants, which will limit their </w:t>
      </w:r>
      <w:r w:rsidR="002F4C3E" w:rsidRPr="00132F83">
        <w:rPr>
          <w:rFonts w:cs="Times New Roman"/>
        </w:rPr>
        <w:t>persistence</w:t>
      </w:r>
      <w:r w:rsidRPr="00132F83">
        <w:rPr>
          <w:rFonts w:cs="Times New Roman"/>
        </w:rPr>
        <w:t xml:space="preserve"> in the atmosphere, and thus their potential for transport to distant locations.</w:t>
      </w:r>
    </w:p>
    <w:p w14:paraId="0B4657E9" w14:textId="77777777" w:rsidR="00E736EB" w:rsidRPr="00132F83" w:rsidRDefault="00E736EB" w:rsidP="00865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imes New Roman"/>
        </w:rPr>
      </w:pPr>
    </w:p>
    <w:p w14:paraId="018B3270" w14:textId="0C685DCA" w:rsidR="00791F61" w:rsidRPr="00132F83" w:rsidRDefault="00791F61" w:rsidP="00865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imes New Roman"/>
        </w:rPr>
      </w:pPr>
      <w:r w:rsidRPr="00132F83">
        <w:rPr>
          <w:rFonts w:cs="Times New Roman"/>
        </w:rPr>
        <w:t xml:space="preserve">We used the EPISuite model AOPWin (atmospheric oxidation program) to estimate reaction rate constants of </w:t>
      </w:r>
      <w:r w:rsidR="00E736EB" w:rsidRPr="00132F83">
        <w:rPr>
          <w:rFonts w:cs="Times New Roman"/>
        </w:rPr>
        <w:t xml:space="preserve">diazinon with these oxidants.  </w:t>
      </w:r>
      <w:r w:rsidR="00E736EB" w:rsidRPr="00D822E3">
        <w:rPr>
          <w:rFonts w:cs="Times New Roman"/>
          <w:b/>
        </w:rPr>
        <w:t xml:space="preserve">Table </w:t>
      </w:r>
      <w:r w:rsidR="005A72D8" w:rsidRPr="00132F83">
        <w:rPr>
          <w:rFonts w:cs="Times New Roman"/>
          <w:b/>
        </w:rPr>
        <w:t>B</w:t>
      </w:r>
      <w:r w:rsidR="005A72D8">
        <w:rPr>
          <w:rFonts w:cs="Times New Roman"/>
          <w:b/>
        </w:rPr>
        <w:t xml:space="preserve"> 1-9.</w:t>
      </w:r>
      <w:r w:rsidR="00E736EB" w:rsidRPr="00D822E3">
        <w:rPr>
          <w:rFonts w:cs="Times New Roman"/>
          <w:b/>
        </w:rPr>
        <w:t>3</w:t>
      </w:r>
      <w:r w:rsidRPr="00132F83">
        <w:rPr>
          <w:rFonts w:cs="Times New Roman"/>
        </w:rPr>
        <w:t xml:space="preserve"> lists the estimated rate constants (all in E-12 cm</w:t>
      </w:r>
      <w:r w:rsidRPr="00132F83">
        <w:rPr>
          <w:rFonts w:cs="Times New Roman"/>
          <w:vertAlign w:val="superscript"/>
        </w:rPr>
        <w:t>3</w:t>
      </w:r>
      <w:r w:rsidRPr="00132F83">
        <w:rPr>
          <w:rFonts w:cs="Times New Roman"/>
        </w:rPr>
        <w:t>/molecule-sec) for various reaction of hydroxy radical, and the est</w:t>
      </w:r>
      <w:r w:rsidR="00E736EB" w:rsidRPr="00132F83">
        <w:rPr>
          <w:rFonts w:cs="Times New Roman"/>
        </w:rPr>
        <w:t xml:space="preserve">imated atmospheric half-life, </w:t>
      </w:r>
      <w:r w:rsidRPr="00132F83">
        <w:rPr>
          <w:rFonts w:cs="Times New Roman"/>
        </w:rPr>
        <w:t>assuming an atmospheric concentration of 1.5E+6 molecules of OH radical per cm</w:t>
      </w:r>
      <w:r w:rsidRPr="00132F83">
        <w:rPr>
          <w:rFonts w:cs="Times New Roman"/>
          <w:vertAlign w:val="superscript"/>
        </w:rPr>
        <w:t>3</w:t>
      </w:r>
      <w:r w:rsidR="005D3F03" w:rsidRPr="00132F83">
        <w:rPr>
          <w:rFonts w:cs="Times New Roman"/>
        </w:rPr>
        <w:t>, and a 12-hour day</w:t>
      </w:r>
      <w:r w:rsidRPr="00132F83">
        <w:rPr>
          <w:rFonts w:cs="Times New Roman"/>
        </w:rPr>
        <w:t>.</w:t>
      </w:r>
      <w:r w:rsidR="005D3F03" w:rsidRPr="00132F83">
        <w:rPr>
          <w:rFonts w:cs="Times New Roman"/>
        </w:rPr>
        <w:t xml:space="preserve">  AOPWin did not predict any reaction with ozone or nitrate radical.</w:t>
      </w:r>
    </w:p>
    <w:p w14:paraId="7627D8A1" w14:textId="77777777" w:rsidR="00E736EB" w:rsidRPr="00132F83" w:rsidRDefault="00E736EB" w:rsidP="00865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imes New Roman"/>
        </w:rPr>
      </w:pPr>
    </w:p>
    <w:p w14:paraId="31C44B36" w14:textId="0BA93EC4" w:rsidR="00E736EB" w:rsidRPr="00132F83" w:rsidRDefault="00E736EB" w:rsidP="00865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imes New Roman"/>
          <w:b/>
        </w:rPr>
      </w:pPr>
      <w:r w:rsidRPr="00132F83">
        <w:rPr>
          <w:rFonts w:cs="Times New Roman"/>
          <w:b/>
        </w:rPr>
        <w:t xml:space="preserve">Table </w:t>
      </w:r>
      <w:r w:rsidR="005A72D8" w:rsidRPr="00132F83">
        <w:rPr>
          <w:rFonts w:cs="Times New Roman"/>
          <w:b/>
        </w:rPr>
        <w:t>B</w:t>
      </w:r>
      <w:r w:rsidR="005A72D8">
        <w:rPr>
          <w:rFonts w:cs="Times New Roman"/>
          <w:b/>
        </w:rPr>
        <w:t xml:space="preserve"> 1-9.</w:t>
      </w:r>
      <w:r w:rsidRPr="00132F83">
        <w:rPr>
          <w:rFonts w:cs="Times New Roman"/>
          <w:b/>
        </w:rPr>
        <w:t>3. Reaction Rate Constants and half-lives for diazinon Reacting with Hydroxyl Radical</w:t>
      </w:r>
    </w:p>
    <w:tbl>
      <w:tblPr>
        <w:tblStyle w:val="TableGrid"/>
        <w:tblW w:w="0" w:type="auto"/>
        <w:tblLook w:val="04A0" w:firstRow="1" w:lastRow="0" w:firstColumn="1" w:lastColumn="0" w:noHBand="0" w:noVBand="1"/>
      </w:tblPr>
      <w:tblGrid>
        <w:gridCol w:w="1357"/>
        <w:gridCol w:w="1349"/>
        <w:gridCol w:w="1328"/>
        <w:gridCol w:w="1328"/>
        <w:gridCol w:w="1332"/>
        <w:gridCol w:w="1328"/>
        <w:gridCol w:w="1328"/>
      </w:tblGrid>
      <w:tr w:rsidR="005D3F03" w:rsidRPr="00132F83" w14:paraId="18F0F702" w14:textId="77777777" w:rsidTr="00E736EB">
        <w:tc>
          <w:tcPr>
            <w:tcW w:w="1357" w:type="dxa"/>
          </w:tcPr>
          <w:p w14:paraId="66588925" w14:textId="77777777" w:rsidR="005D3F03" w:rsidRPr="00132F83" w:rsidRDefault="005D3F03" w:rsidP="00865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132F83">
              <w:rPr>
                <w:rFonts w:asciiTheme="minorHAnsi" w:hAnsiTheme="minorHAnsi"/>
                <w:sz w:val="22"/>
                <w:szCs w:val="22"/>
              </w:rPr>
              <w:t>Chemical</w:t>
            </w:r>
          </w:p>
        </w:tc>
        <w:tc>
          <w:tcPr>
            <w:tcW w:w="1349" w:type="dxa"/>
          </w:tcPr>
          <w:p w14:paraId="6D92397D" w14:textId="77777777" w:rsidR="005D3F03" w:rsidRPr="00132F83" w:rsidRDefault="005D3F03" w:rsidP="00865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132F83">
              <w:rPr>
                <w:rFonts w:asciiTheme="minorHAnsi" w:hAnsiTheme="minorHAnsi"/>
                <w:sz w:val="22"/>
                <w:szCs w:val="22"/>
              </w:rPr>
              <w:t>Hydrogen Abstraction</w:t>
            </w:r>
          </w:p>
        </w:tc>
        <w:tc>
          <w:tcPr>
            <w:tcW w:w="1328" w:type="dxa"/>
          </w:tcPr>
          <w:p w14:paraId="1DB46394" w14:textId="77777777" w:rsidR="005D3F03" w:rsidRPr="00132F83" w:rsidRDefault="005D3F03" w:rsidP="00865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132F83">
              <w:rPr>
                <w:rFonts w:asciiTheme="minorHAnsi" w:hAnsiTheme="minorHAnsi"/>
                <w:sz w:val="22"/>
                <w:szCs w:val="22"/>
              </w:rPr>
              <w:t>Reaction with S, N, or OH</w:t>
            </w:r>
          </w:p>
        </w:tc>
        <w:tc>
          <w:tcPr>
            <w:tcW w:w="1328" w:type="dxa"/>
          </w:tcPr>
          <w:p w14:paraId="2C5CDF49" w14:textId="77777777" w:rsidR="005D3F03" w:rsidRPr="00132F83" w:rsidRDefault="005D3F03" w:rsidP="00865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132F83">
              <w:rPr>
                <w:rFonts w:asciiTheme="minorHAnsi" w:hAnsiTheme="minorHAnsi"/>
                <w:sz w:val="22"/>
                <w:szCs w:val="22"/>
              </w:rPr>
              <w:t>Addition to Triple Bond</w:t>
            </w:r>
          </w:p>
        </w:tc>
        <w:tc>
          <w:tcPr>
            <w:tcW w:w="1332" w:type="dxa"/>
          </w:tcPr>
          <w:p w14:paraId="01EEC80B" w14:textId="77777777" w:rsidR="005D3F03" w:rsidRPr="00132F83" w:rsidRDefault="005D3F03" w:rsidP="00865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132F83">
              <w:rPr>
                <w:rFonts w:asciiTheme="minorHAnsi" w:hAnsiTheme="minorHAnsi"/>
                <w:sz w:val="22"/>
                <w:szCs w:val="22"/>
              </w:rPr>
              <w:t>Addition to Aromatic Ring</w:t>
            </w:r>
          </w:p>
        </w:tc>
        <w:tc>
          <w:tcPr>
            <w:tcW w:w="1328" w:type="dxa"/>
          </w:tcPr>
          <w:p w14:paraId="407CFD47" w14:textId="77777777" w:rsidR="005D3F03" w:rsidRPr="00132F83" w:rsidRDefault="005D3F03" w:rsidP="00865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132F83">
              <w:rPr>
                <w:rFonts w:asciiTheme="minorHAnsi" w:hAnsiTheme="minorHAnsi"/>
                <w:sz w:val="22"/>
                <w:szCs w:val="22"/>
              </w:rPr>
              <w:t>Addition to Fused Ring</w:t>
            </w:r>
          </w:p>
        </w:tc>
        <w:tc>
          <w:tcPr>
            <w:tcW w:w="1328" w:type="dxa"/>
          </w:tcPr>
          <w:p w14:paraId="160D57E0" w14:textId="77777777" w:rsidR="005D3F03" w:rsidRPr="00132F83" w:rsidRDefault="005D3F03" w:rsidP="00865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132F83">
              <w:rPr>
                <w:rFonts w:asciiTheme="minorHAnsi" w:hAnsiTheme="minorHAnsi"/>
                <w:sz w:val="22"/>
                <w:szCs w:val="22"/>
              </w:rPr>
              <w:t>Half-life of OH Reaction (Hours)</w:t>
            </w:r>
          </w:p>
        </w:tc>
      </w:tr>
      <w:tr w:rsidR="005D3F03" w:rsidRPr="00132F83" w14:paraId="635D6E56" w14:textId="77777777" w:rsidTr="00E736EB">
        <w:tc>
          <w:tcPr>
            <w:tcW w:w="1357" w:type="dxa"/>
          </w:tcPr>
          <w:p w14:paraId="344E96BF" w14:textId="77777777" w:rsidR="005D3F03" w:rsidRPr="00132F83" w:rsidRDefault="005D3F03" w:rsidP="00865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132F83">
              <w:rPr>
                <w:rFonts w:asciiTheme="minorHAnsi" w:hAnsiTheme="minorHAnsi"/>
                <w:sz w:val="22"/>
                <w:szCs w:val="22"/>
              </w:rPr>
              <w:t>Diazinon</w:t>
            </w:r>
          </w:p>
        </w:tc>
        <w:tc>
          <w:tcPr>
            <w:tcW w:w="1349" w:type="dxa"/>
          </w:tcPr>
          <w:p w14:paraId="45F9DECD" w14:textId="77777777" w:rsidR="005D3F03" w:rsidRPr="00132F83" w:rsidRDefault="005D3F03" w:rsidP="00865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132F83">
              <w:rPr>
                <w:rFonts w:asciiTheme="minorHAnsi" w:hAnsiTheme="minorHAnsi"/>
                <w:sz w:val="22"/>
                <w:szCs w:val="22"/>
              </w:rPr>
              <w:t>41.04</w:t>
            </w:r>
          </w:p>
        </w:tc>
        <w:tc>
          <w:tcPr>
            <w:tcW w:w="1328" w:type="dxa"/>
          </w:tcPr>
          <w:p w14:paraId="1DE527E8" w14:textId="77777777" w:rsidR="005D3F03" w:rsidRPr="00132F83" w:rsidRDefault="005D3F03" w:rsidP="00865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132F83">
              <w:rPr>
                <w:rFonts w:asciiTheme="minorHAnsi" w:hAnsiTheme="minorHAnsi"/>
                <w:sz w:val="22"/>
                <w:szCs w:val="22"/>
              </w:rPr>
              <w:t>53</w:t>
            </w:r>
          </w:p>
        </w:tc>
        <w:tc>
          <w:tcPr>
            <w:tcW w:w="1328" w:type="dxa"/>
          </w:tcPr>
          <w:p w14:paraId="7B38A30E" w14:textId="77777777" w:rsidR="005D3F03" w:rsidRPr="00132F83" w:rsidRDefault="005D3F03" w:rsidP="00865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132F83">
              <w:rPr>
                <w:rFonts w:asciiTheme="minorHAnsi" w:hAnsiTheme="minorHAnsi"/>
                <w:sz w:val="22"/>
                <w:szCs w:val="22"/>
              </w:rPr>
              <w:t>0</w:t>
            </w:r>
          </w:p>
        </w:tc>
        <w:tc>
          <w:tcPr>
            <w:tcW w:w="1332" w:type="dxa"/>
          </w:tcPr>
          <w:p w14:paraId="46D43DA2" w14:textId="77777777" w:rsidR="005D3F03" w:rsidRPr="00132F83" w:rsidRDefault="005D3F03" w:rsidP="00865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132F83">
              <w:rPr>
                <w:rFonts w:asciiTheme="minorHAnsi" w:hAnsiTheme="minorHAnsi"/>
                <w:sz w:val="22"/>
                <w:szCs w:val="22"/>
              </w:rPr>
              <w:t>2.6404</w:t>
            </w:r>
          </w:p>
        </w:tc>
        <w:tc>
          <w:tcPr>
            <w:tcW w:w="1328" w:type="dxa"/>
          </w:tcPr>
          <w:p w14:paraId="574D38E8" w14:textId="77777777" w:rsidR="005D3F03" w:rsidRPr="00132F83" w:rsidRDefault="005D3F03" w:rsidP="00865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132F83">
              <w:rPr>
                <w:rFonts w:asciiTheme="minorHAnsi" w:hAnsiTheme="minorHAnsi"/>
                <w:sz w:val="22"/>
                <w:szCs w:val="22"/>
              </w:rPr>
              <w:t>0</w:t>
            </w:r>
          </w:p>
        </w:tc>
        <w:tc>
          <w:tcPr>
            <w:tcW w:w="1328" w:type="dxa"/>
          </w:tcPr>
          <w:p w14:paraId="488CF9F1" w14:textId="77777777" w:rsidR="005D3F03" w:rsidRPr="00132F83" w:rsidRDefault="005D3F03" w:rsidP="00865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132F83">
              <w:rPr>
                <w:rFonts w:asciiTheme="minorHAnsi" w:hAnsiTheme="minorHAnsi"/>
                <w:sz w:val="22"/>
                <w:szCs w:val="22"/>
              </w:rPr>
              <w:t>1.328</w:t>
            </w:r>
          </w:p>
        </w:tc>
      </w:tr>
    </w:tbl>
    <w:p w14:paraId="125EC6A4" w14:textId="77777777" w:rsidR="00791F61" w:rsidRPr="00132F83" w:rsidRDefault="00791F61" w:rsidP="00865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imes New Roman"/>
        </w:rPr>
      </w:pPr>
    </w:p>
    <w:p w14:paraId="58F73C8C" w14:textId="1433635A" w:rsidR="00F93039" w:rsidRPr="00132F83" w:rsidRDefault="00E736EB" w:rsidP="00865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imes New Roman"/>
        </w:rPr>
      </w:pPr>
      <w:r w:rsidRPr="00132F83">
        <w:rPr>
          <w:rFonts w:cs="Times New Roman"/>
        </w:rPr>
        <w:t xml:space="preserve">The data in </w:t>
      </w:r>
      <w:r w:rsidRPr="00D822E3">
        <w:rPr>
          <w:rFonts w:cs="Times New Roman"/>
          <w:b/>
        </w:rPr>
        <w:t xml:space="preserve">Table </w:t>
      </w:r>
      <w:r w:rsidR="005A72D8" w:rsidRPr="00132F83">
        <w:rPr>
          <w:rFonts w:cs="Times New Roman"/>
          <w:b/>
        </w:rPr>
        <w:t>B</w:t>
      </w:r>
      <w:r w:rsidR="005A72D8">
        <w:rPr>
          <w:rFonts w:cs="Times New Roman"/>
          <w:b/>
        </w:rPr>
        <w:t xml:space="preserve"> 1-9.</w:t>
      </w:r>
      <w:r w:rsidRPr="00D822E3">
        <w:rPr>
          <w:rFonts w:cs="Times New Roman"/>
          <w:b/>
        </w:rPr>
        <w:t>3</w:t>
      </w:r>
      <w:r w:rsidR="005D3F03" w:rsidRPr="00132F83">
        <w:rPr>
          <w:rFonts w:cs="Times New Roman"/>
        </w:rPr>
        <w:t xml:space="preserve"> indicate that the reaction forming the oxon (reaction with S – sulfur, N – nitrogen, or hydroxy – OH) is the fastest reaction predicted with a rate constant of 53.  However, the competing reaction of hydrogen abstraction, which would attack and degrade the alkyl side chains of the phosphate ester, are almost as fast (rate constants 24 to 41).  This means that the formation of oxons would not be 100% of the </w:t>
      </w:r>
      <w:r w:rsidR="00F93039" w:rsidRPr="00132F83">
        <w:rPr>
          <w:rFonts w:cs="Times New Roman"/>
        </w:rPr>
        <w:t>parent OP reacting, and that any oxons formed would be subject to further degradation of the side chains.  Both processes are reflected in the overall half-</w:t>
      </w:r>
      <w:r w:rsidRPr="00132F83">
        <w:rPr>
          <w:rFonts w:cs="Times New Roman"/>
        </w:rPr>
        <w:t xml:space="preserve">life of the parent OP in </w:t>
      </w:r>
      <w:r w:rsidRPr="00D822E3">
        <w:rPr>
          <w:rFonts w:cs="Times New Roman"/>
          <w:b/>
        </w:rPr>
        <w:t xml:space="preserve">Table </w:t>
      </w:r>
      <w:r w:rsidR="00D822E3" w:rsidRPr="00D822E3">
        <w:rPr>
          <w:rFonts w:cs="Times New Roman"/>
          <w:b/>
        </w:rPr>
        <w:t>B9-</w:t>
      </w:r>
      <w:r w:rsidRPr="00D822E3">
        <w:rPr>
          <w:rFonts w:cs="Times New Roman"/>
          <w:b/>
        </w:rPr>
        <w:t>3</w:t>
      </w:r>
      <w:r w:rsidR="00F93039" w:rsidRPr="00132F83">
        <w:rPr>
          <w:rFonts w:cs="Times New Roman"/>
        </w:rPr>
        <w:t>.  Reactions of hydroxyl radical with aromatic rings are much slower (rate constants 0.04 to 2.60</w:t>
      </w:r>
      <w:r w:rsidR="008A2365" w:rsidRPr="00132F83">
        <w:rPr>
          <w:rFonts w:cs="Times New Roman"/>
        </w:rPr>
        <w:t>)</w:t>
      </w:r>
      <w:r w:rsidR="00F93039" w:rsidRPr="00132F83">
        <w:rPr>
          <w:rFonts w:cs="Times New Roman"/>
        </w:rPr>
        <w:t xml:space="preserve"> and would not result in much product.  </w:t>
      </w:r>
    </w:p>
    <w:p w14:paraId="71AE8ECC" w14:textId="77777777" w:rsidR="00E736EB" w:rsidRPr="00132F83" w:rsidRDefault="00E736EB" w:rsidP="00865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imes New Roman"/>
        </w:rPr>
      </w:pPr>
    </w:p>
    <w:p w14:paraId="210BE7EF" w14:textId="0685CFF7" w:rsidR="00791F61" w:rsidRPr="00132F83" w:rsidRDefault="00F93039" w:rsidP="00865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imes New Roman"/>
          <w:color w:val="000000"/>
        </w:rPr>
      </w:pPr>
      <w:r w:rsidRPr="00132F83">
        <w:rPr>
          <w:rFonts w:cs="Times New Roman"/>
        </w:rPr>
        <w:t xml:space="preserve">Degradation of parent OPs to less than 1% of the starting concentration would occur with seven half-lives, or </w:t>
      </w:r>
      <w:r w:rsidR="008A2365" w:rsidRPr="00132F83">
        <w:rPr>
          <w:rFonts w:cs="Times New Roman"/>
        </w:rPr>
        <w:t>9.3</w:t>
      </w:r>
      <w:r w:rsidRPr="00132F83">
        <w:rPr>
          <w:rFonts w:cs="Times New Roman"/>
        </w:rPr>
        <w:t xml:space="preserve"> hours for diazinon.  Maximum production of oxons would occur within this timeframe.</w:t>
      </w:r>
      <w:r w:rsidR="00E736EB" w:rsidRPr="00132F83">
        <w:rPr>
          <w:rFonts w:cs="Times New Roman"/>
        </w:rPr>
        <w:t xml:space="preserve"> </w:t>
      </w:r>
      <w:r w:rsidRPr="00132F83">
        <w:rPr>
          <w:rFonts w:cs="Times New Roman"/>
        </w:rPr>
        <w:t xml:space="preserve">Any oxons formed would be subject to further degradation by hydroxyl radical by the same reaction mechanisms, except for reaction with sulfur (S) which would already be complete.  </w:t>
      </w:r>
      <w:r w:rsidR="00E736EB" w:rsidRPr="00132F83">
        <w:rPr>
          <w:rFonts w:cs="Times New Roman"/>
        </w:rPr>
        <w:t>The half-life</w:t>
      </w:r>
      <w:r w:rsidRPr="00132F83">
        <w:rPr>
          <w:rFonts w:cs="Times New Roman"/>
        </w:rPr>
        <w:t xml:space="preserve"> of </w:t>
      </w:r>
      <w:r w:rsidR="00E736EB" w:rsidRPr="00132F83">
        <w:rPr>
          <w:rFonts w:cs="Times New Roman"/>
        </w:rPr>
        <w:t xml:space="preserve">diazoxon </w:t>
      </w:r>
      <w:r w:rsidRPr="00132F83">
        <w:rPr>
          <w:rFonts w:cs="Times New Roman"/>
        </w:rPr>
        <w:t xml:space="preserve">with the remaining processes, hydrogen abstraction and addition to aromatic ring, </w:t>
      </w:r>
      <w:r w:rsidR="00E736EB" w:rsidRPr="00132F83">
        <w:rPr>
          <w:rFonts w:cs="Times New Roman"/>
        </w:rPr>
        <w:t>is 2.9</w:t>
      </w:r>
      <w:r w:rsidRPr="00132F83">
        <w:rPr>
          <w:rFonts w:cs="Times New Roman"/>
        </w:rPr>
        <w:t xml:space="preserve"> hours.  The time to degradation to less than 1% of </w:t>
      </w:r>
      <w:r w:rsidR="008A2365" w:rsidRPr="00132F83">
        <w:rPr>
          <w:rFonts w:cs="Times New Roman"/>
        </w:rPr>
        <w:t>the maximum amount of oxon formed would thus be 20.6 hours (diazoxon).</w:t>
      </w:r>
      <w:r w:rsidRPr="00132F83">
        <w:rPr>
          <w:rFonts w:cs="Times New Roman"/>
        </w:rPr>
        <w:t xml:space="preserve">  </w:t>
      </w:r>
      <w:r w:rsidR="005D3F03" w:rsidRPr="00132F83">
        <w:rPr>
          <w:rFonts w:cs="Times New Roman"/>
        </w:rPr>
        <w:t xml:space="preserve"> </w:t>
      </w:r>
      <w:r w:rsidR="00791F61" w:rsidRPr="00132F83">
        <w:rPr>
          <w:rFonts w:cs="Times New Roman"/>
        </w:rPr>
        <w:t xml:space="preserve">  </w:t>
      </w:r>
    </w:p>
    <w:p w14:paraId="60CD8926" w14:textId="77777777" w:rsidR="00EB6F4E" w:rsidRPr="00132F83" w:rsidRDefault="00EB6F4E" w:rsidP="00865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imes New Roman"/>
          <w:color w:val="000000"/>
        </w:rPr>
      </w:pPr>
    </w:p>
    <w:p w14:paraId="2445BE3C" w14:textId="77777777" w:rsidR="00E736EB" w:rsidRPr="00132F83" w:rsidRDefault="00E736EB" w:rsidP="00865A49">
      <w:pPr>
        <w:spacing w:after="0" w:line="240" w:lineRule="auto"/>
        <w:jc w:val="both"/>
        <w:rPr>
          <w:rFonts w:cs="Times New Roman"/>
          <w:b/>
          <w:bCs/>
        </w:rPr>
      </w:pPr>
      <w:r w:rsidRPr="00132F83">
        <w:rPr>
          <w:rFonts w:cs="Times New Roman"/>
          <w:b/>
          <w:bCs/>
        </w:rPr>
        <w:t>Ambient Monitoring Data</w:t>
      </w:r>
    </w:p>
    <w:p w14:paraId="229FD219" w14:textId="77777777" w:rsidR="00E736EB" w:rsidRPr="00132F83" w:rsidRDefault="00E736EB" w:rsidP="00865A49">
      <w:pPr>
        <w:spacing w:after="0" w:line="240" w:lineRule="auto"/>
        <w:jc w:val="both"/>
        <w:rPr>
          <w:rFonts w:cs="Times New Roman"/>
          <w:b/>
          <w:bCs/>
        </w:rPr>
      </w:pPr>
    </w:p>
    <w:p w14:paraId="684BDBCD" w14:textId="3A0DBFB3" w:rsidR="00E736EB" w:rsidRPr="00132F83" w:rsidRDefault="00E736EB" w:rsidP="00865A49">
      <w:pPr>
        <w:spacing w:after="0" w:line="240" w:lineRule="auto"/>
        <w:rPr>
          <w:rFonts w:cs="Times New Roman"/>
        </w:rPr>
      </w:pPr>
      <w:r w:rsidRPr="00132F83">
        <w:rPr>
          <w:rFonts w:cs="Times New Roman"/>
        </w:rPr>
        <w:t xml:space="preserve">Ambient monitoring data are available for the oxon to indicate the presence of the oxon in air and water.  </w:t>
      </w:r>
      <w:r w:rsidR="0015490B" w:rsidRPr="00132F83">
        <w:rPr>
          <w:rFonts w:cs="Times New Roman"/>
        </w:rPr>
        <w:t>In general, diazinon was more frequently detected compared to diazoxon. When the two were detected together, they were generally at concentrations that were o</w:t>
      </w:r>
      <w:r w:rsidR="00127580" w:rsidRPr="00132F83">
        <w:rPr>
          <w:rFonts w:cs="Times New Roman"/>
        </w:rPr>
        <w:t>f</w:t>
      </w:r>
      <w:r w:rsidR="0015490B" w:rsidRPr="00132F83">
        <w:rPr>
          <w:rFonts w:cs="Times New Roman"/>
        </w:rPr>
        <w:t xml:space="preserve"> the same order of magnitude. These</w:t>
      </w:r>
      <w:r w:rsidR="00023F86" w:rsidRPr="00132F83">
        <w:rPr>
          <w:rFonts w:cs="Times New Roman"/>
        </w:rPr>
        <w:t xml:space="preserve"> data are limited in that there is no direct link between a pesticide application and the presence of the oxon. In addition, </w:t>
      </w:r>
      <w:r w:rsidRPr="00132F83">
        <w:rPr>
          <w:rFonts w:cs="Times New Roman"/>
        </w:rPr>
        <w:t>it is unclear how t</w:t>
      </w:r>
      <w:r w:rsidR="00023F86" w:rsidRPr="00132F83">
        <w:rPr>
          <w:rFonts w:cs="Times New Roman"/>
        </w:rPr>
        <w:t>he oxon arrived in the media</w:t>
      </w:r>
      <w:r w:rsidRPr="00132F83">
        <w:rPr>
          <w:rFonts w:cs="Times New Roman"/>
        </w:rPr>
        <w:t xml:space="preserve">. </w:t>
      </w:r>
    </w:p>
    <w:p w14:paraId="413C35B1" w14:textId="77777777" w:rsidR="00E736EB" w:rsidRPr="00132F83" w:rsidRDefault="00E736EB" w:rsidP="00865A49">
      <w:pPr>
        <w:spacing w:after="0" w:line="240" w:lineRule="auto"/>
        <w:rPr>
          <w:rFonts w:cs="Times New Roman"/>
        </w:rPr>
      </w:pPr>
    </w:p>
    <w:p w14:paraId="62865E24" w14:textId="622E9B61" w:rsidR="00023F86" w:rsidRPr="00132F83" w:rsidRDefault="00023F86" w:rsidP="00865A49">
      <w:pPr>
        <w:spacing w:after="0" w:line="240" w:lineRule="auto"/>
        <w:rPr>
          <w:rFonts w:cs="Times New Roman"/>
          <w:i/>
        </w:rPr>
      </w:pPr>
      <w:r w:rsidRPr="00132F83">
        <w:rPr>
          <w:rFonts w:cs="Times New Roman"/>
          <w:i/>
        </w:rPr>
        <w:t>Water</w:t>
      </w:r>
    </w:p>
    <w:p w14:paraId="57D68450" w14:textId="77777777" w:rsidR="00023F86" w:rsidRPr="00132F83" w:rsidRDefault="00023F86" w:rsidP="00865A49">
      <w:pPr>
        <w:spacing w:after="0" w:line="240" w:lineRule="auto"/>
        <w:rPr>
          <w:rFonts w:cs="Times New Roman"/>
        </w:rPr>
      </w:pPr>
    </w:p>
    <w:p w14:paraId="559FFAD1" w14:textId="0C17E8AB" w:rsidR="0015490B" w:rsidRPr="00132F83" w:rsidRDefault="00023F86" w:rsidP="00865A49">
      <w:pPr>
        <w:spacing w:after="0" w:line="240" w:lineRule="auto"/>
        <w:rPr>
          <w:rFonts w:cs="Times New Roman"/>
        </w:rPr>
      </w:pPr>
      <w:r w:rsidRPr="00132F83">
        <w:rPr>
          <w:rFonts w:cs="Times New Roman"/>
        </w:rPr>
        <w:t>The detection frequency of diazoxon in surface water is lower (0</w:t>
      </w:r>
      <w:r w:rsidR="00132F83">
        <w:rPr>
          <w:rFonts w:cs="Times New Roman"/>
        </w:rPr>
        <w:t>.6</w:t>
      </w:r>
      <w:r w:rsidRPr="00132F83">
        <w:rPr>
          <w:rFonts w:cs="Times New Roman"/>
        </w:rPr>
        <w:t xml:space="preserve"> to </w:t>
      </w:r>
      <w:r w:rsidR="00132F83">
        <w:rPr>
          <w:rFonts w:cs="Times New Roman"/>
        </w:rPr>
        <w:t>8</w:t>
      </w:r>
      <w:r w:rsidRPr="00132F83">
        <w:rPr>
          <w:rFonts w:cs="Times New Roman"/>
        </w:rPr>
        <w:t>%) than that for parent diazinon</w:t>
      </w:r>
      <w:r w:rsidR="000D3413" w:rsidRPr="00132F83">
        <w:rPr>
          <w:rFonts w:cs="Times New Roman"/>
        </w:rPr>
        <w:t xml:space="preserve"> (see detailed discussion of diazinon monitoring data in the environmental fate characterization)</w:t>
      </w:r>
      <w:r w:rsidRPr="00132F83">
        <w:rPr>
          <w:rFonts w:cs="Times New Roman"/>
        </w:rPr>
        <w:t>.  In surface water monitoring data wherein residues of both diazinon and diazoxon were detected, the ratios of the concentrations of diazoxon to diazinon ranged from 0 to 0.5.  Diazinon and diazoxon were sometimes detected in the same samples and sometimes did not co-occur in samples.</w:t>
      </w:r>
    </w:p>
    <w:p w14:paraId="04642B46" w14:textId="77777777" w:rsidR="00865A49" w:rsidRPr="00132F83" w:rsidRDefault="00865A49" w:rsidP="00865A49">
      <w:pPr>
        <w:spacing w:after="0" w:line="240" w:lineRule="auto"/>
        <w:rPr>
          <w:rFonts w:cs="Times New Roman"/>
        </w:rPr>
      </w:pPr>
    </w:p>
    <w:p w14:paraId="60B92023" w14:textId="53A72AF0" w:rsidR="0015490B" w:rsidRPr="00132F83" w:rsidRDefault="00023F86" w:rsidP="00865A49">
      <w:pPr>
        <w:spacing w:after="0" w:line="240" w:lineRule="auto"/>
        <w:rPr>
          <w:rFonts w:cs="Times New Roman"/>
          <w:color w:val="000000"/>
        </w:rPr>
      </w:pPr>
      <w:r w:rsidRPr="00132F83">
        <w:rPr>
          <w:rFonts w:cs="Times New Roman"/>
          <w:color w:val="000000"/>
        </w:rPr>
        <w:t>The USGS analyzed a total of 1,499 samples across sites throughout the United States for diazoxon between 2002 and 2014</w:t>
      </w:r>
      <w:r w:rsidR="00BA4480">
        <w:rPr>
          <w:rFonts w:cs="Times New Roman"/>
          <w:color w:val="000000"/>
        </w:rPr>
        <w:t xml:space="preserve"> (USGS, 2015)</w:t>
      </w:r>
      <w:r w:rsidRPr="00132F83">
        <w:rPr>
          <w:rFonts w:cs="Times New Roman"/>
          <w:color w:val="000000"/>
        </w:rPr>
        <w:t xml:space="preserve">.  Detections occurred in 2004 in California and Texas.  Concentrations ranged from not detected to 0.06 µg/L with the highest detected being detected in 2004.  The limit of quantitation ranged from 0.006 to 0.045 µg/L based on the range of </w:t>
      </w:r>
      <w:r w:rsidR="00127580" w:rsidRPr="00132F83">
        <w:rPr>
          <w:rFonts w:cs="Times New Roman"/>
          <w:color w:val="000000"/>
        </w:rPr>
        <w:t>‘</w:t>
      </w:r>
      <w:r w:rsidRPr="00132F83">
        <w:rPr>
          <w:rFonts w:cs="Times New Roman"/>
          <w:color w:val="000000"/>
        </w:rPr>
        <w:t>less than</w:t>
      </w:r>
      <w:r w:rsidR="00127580" w:rsidRPr="00132F83">
        <w:rPr>
          <w:rFonts w:cs="Times New Roman"/>
          <w:color w:val="000000"/>
        </w:rPr>
        <w:t>’</w:t>
      </w:r>
      <w:r w:rsidRPr="00132F83">
        <w:rPr>
          <w:rFonts w:cs="Times New Roman"/>
          <w:color w:val="000000"/>
        </w:rPr>
        <w:t xml:space="preserve"> values reported in the dataset.  </w:t>
      </w:r>
    </w:p>
    <w:p w14:paraId="209A961A" w14:textId="77777777" w:rsidR="0015490B" w:rsidRPr="00132F83" w:rsidRDefault="0015490B" w:rsidP="00865A49">
      <w:pPr>
        <w:spacing w:after="0" w:line="240" w:lineRule="auto"/>
        <w:rPr>
          <w:rFonts w:cs="Times New Roman"/>
          <w:color w:val="000000"/>
        </w:rPr>
      </w:pPr>
    </w:p>
    <w:p w14:paraId="657D2767" w14:textId="4779F1B3" w:rsidR="0015490B" w:rsidRPr="00132F83" w:rsidRDefault="00023F86" w:rsidP="00865A49">
      <w:pPr>
        <w:spacing w:after="0" w:line="240" w:lineRule="auto"/>
        <w:rPr>
          <w:rFonts w:cs="Times New Roman"/>
          <w:color w:val="000000"/>
        </w:rPr>
      </w:pPr>
      <w:r w:rsidRPr="00132F83">
        <w:rPr>
          <w:rFonts w:cs="Times New Roman"/>
          <w:color w:val="000000"/>
        </w:rPr>
        <w:t>STORET/Water Quality Exchange (WQX) is a repository for water quality, biological, and physical data maintained by the USEPA.  Data are submitted by states, tribes, and others.  Surface water samples were collected and analyzed for diazoxon.  In 2009 in Washington, 10 samples were collected and diazoxon all samples</w:t>
      </w:r>
      <w:r w:rsidR="00132F83">
        <w:rPr>
          <w:rFonts w:cs="Times New Roman"/>
          <w:color w:val="000000"/>
        </w:rPr>
        <w:t xml:space="preserve"> were</w:t>
      </w:r>
      <w:r w:rsidRPr="00132F83">
        <w:rPr>
          <w:rFonts w:cs="Times New Roman"/>
          <w:color w:val="000000"/>
        </w:rPr>
        <w:t xml:space="preserve"> below the quantitation level. Diazoxon was not detected in 1,659 samples collected in Minnesota between 2012 and 2013.  </w:t>
      </w:r>
    </w:p>
    <w:p w14:paraId="598EC81E" w14:textId="77777777" w:rsidR="0015490B" w:rsidRPr="00132F83" w:rsidRDefault="0015490B" w:rsidP="00865A49">
      <w:pPr>
        <w:spacing w:after="0" w:line="240" w:lineRule="auto"/>
        <w:rPr>
          <w:rFonts w:cs="Times New Roman"/>
          <w:color w:val="000000"/>
        </w:rPr>
      </w:pPr>
    </w:p>
    <w:p w14:paraId="0515BDCF" w14:textId="2C3A3AEB" w:rsidR="00023F86" w:rsidRPr="00132F83" w:rsidRDefault="00023F86" w:rsidP="00865A49">
      <w:pPr>
        <w:spacing w:after="0" w:line="240" w:lineRule="auto"/>
        <w:rPr>
          <w:rFonts w:cs="Times New Roman"/>
        </w:rPr>
      </w:pPr>
      <w:r w:rsidRPr="00132F83">
        <w:rPr>
          <w:rFonts w:cs="Times New Roman"/>
          <w:color w:val="000000"/>
        </w:rPr>
        <w:t xml:space="preserve">In the CDPR database, </w:t>
      </w:r>
      <w:r w:rsidRPr="00132F83">
        <w:rPr>
          <w:rFonts w:cs="Times New Roman"/>
        </w:rPr>
        <w:t>773 samples were analyzed to determine whether they contained diazoxon between 1991 and 1995.  Diazoxon was detected in five samples at 0.06, 0.08, 0.21, 0.39, and 0.43 µg/L.  The limit of quantitation ranged from 0.05 to 0.1 µg/L.  Detections occurred in Merced and San Joaquin counties in Spillways, wasteways, and a slough.</w:t>
      </w:r>
      <w:r w:rsidR="002A3CB5" w:rsidRPr="00132F83">
        <w:rPr>
          <w:rFonts w:cs="Times New Roman"/>
        </w:rPr>
        <w:t xml:space="preserve"> These data are limited in that the study was conducted at a time when diazinon use was permitted at much higher levels </w:t>
      </w:r>
      <w:r w:rsidR="00132F83">
        <w:rPr>
          <w:rFonts w:cs="Times New Roman"/>
        </w:rPr>
        <w:t xml:space="preserve">than allowed today </w:t>
      </w:r>
      <w:r w:rsidR="002A3CB5" w:rsidRPr="00132F83">
        <w:rPr>
          <w:rFonts w:cs="Times New Roman"/>
        </w:rPr>
        <w:t>and on many other use sites.</w:t>
      </w:r>
    </w:p>
    <w:p w14:paraId="6310583B" w14:textId="77777777" w:rsidR="00023F86" w:rsidRPr="00132F83" w:rsidRDefault="00023F86" w:rsidP="00865A49">
      <w:pPr>
        <w:spacing w:after="0" w:line="240" w:lineRule="auto"/>
        <w:rPr>
          <w:rFonts w:cs="Times New Roman"/>
        </w:rPr>
      </w:pPr>
    </w:p>
    <w:p w14:paraId="2E1F50AB" w14:textId="5BFB81E0" w:rsidR="00023F86" w:rsidRPr="00132F83" w:rsidRDefault="00023F86" w:rsidP="00865A49">
      <w:pPr>
        <w:spacing w:after="0" w:line="240" w:lineRule="auto"/>
        <w:rPr>
          <w:rFonts w:cs="Times New Roman"/>
          <w:i/>
        </w:rPr>
      </w:pPr>
      <w:r w:rsidRPr="00132F83">
        <w:rPr>
          <w:rFonts w:cs="Times New Roman"/>
          <w:i/>
        </w:rPr>
        <w:t>Air</w:t>
      </w:r>
    </w:p>
    <w:p w14:paraId="120ADD23" w14:textId="77777777" w:rsidR="00FA7ED8" w:rsidRPr="00132F83" w:rsidRDefault="00FA7ED8" w:rsidP="00865A49">
      <w:pPr>
        <w:spacing w:after="0" w:line="240" w:lineRule="auto"/>
        <w:rPr>
          <w:rFonts w:cs="Times New Roman"/>
          <w:i/>
        </w:rPr>
      </w:pPr>
    </w:p>
    <w:p w14:paraId="72052DF3" w14:textId="348CA5F8" w:rsidR="00023F86" w:rsidRPr="00132F83" w:rsidRDefault="00023F86" w:rsidP="00865A49">
      <w:pPr>
        <w:spacing w:after="0" w:line="240" w:lineRule="auto"/>
        <w:rPr>
          <w:rFonts w:cs="Times New Roman"/>
        </w:rPr>
      </w:pPr>
      <w:r w:rsidRPr="00132F83">
        <w:rPr>
          <w:rFonts w:cs="Times New Roman"/>
        </w:rPr>
        <w:t xml:space="preserve">Zabik and Seiber </w:t>
      </w:r>
      <w:r w:rsidR="00FA7ED8" w:rsidRPr="00132F83">
        <w:rPr>
          <w:rFonts w:cs="Times New Roman"/>
        </w:rPr>
        <w:t>(</w:t>
      </w:r>
      <w:r w:rsidRPr="00132F83">
        <w:rPr>
          <w:rFonts w:cs="Times New Roman"/>
        </w:rPr>
        <w:t>1993</w:t>
      </w:r>
      <w:r w:rsidR="00FA7ED8" w:rsidRPr="00132F83">
        <w:rPr>
          <w:rFonts w:cs="Times New Roman"/>
        </w:rPr>
        <w:t xml:space="preserve">) collected air samples in 1990 and 1991 from a national park in the Sierra Nevada Mountains. Diazinon was detected at concentrations ranging </w:t>
      </w:r>
      <w:r w:rsidR="00336EE1" w:rsidRPr="00132F83">
        <w:rPr>
          <w:rFonts w:cs="Times New Roman"/>
        </w:rPr>
        <w:t>&lt;1.4 (LOQ)</w:t>
      </w:r>
      <w:r w:rsidR="00FA7ED8" w:rsidRPr="00132F83">
        <w:rPr>
          <w:rFonts w:cs="Times New Roman"/>
        </w:rPr>
        <w:t>-10,000 pg/m</w:t>
      </w:r>
      <w:r w:rsidR="00FA7ED8" w:rsidRPr="00132F83">
        <w:rPr>
          <w:rFonts w:cs="Times New Roman"/>
          <w:vertAlign w:val="superscript"/>
        </w:rPr>
        <w:t>3</w:t>
      </w:r>
      <w:r w:rsidR="00FA7ED8" w:rsidRPr="00132F83">
        <w:rPr>
          <w:rFonts w:cs="Times New Roman"/>
        </w:rPr>
        <w:t>. Diazoxon concentrations ranged 4-3,000 pg/m</w:t>
      </w:r>
      <w:r w:rsidR="00FA7ED8" w:rsidRPr="00132F83">
        <w:rPr>
          <w:rFonts w:cs="Times New Roman"/>
          <w:vertAlign w:val="superscript"/>
        </w:rPr>
        <w:t>3</w:t>
      </w:r>
      <w:r w:rsidR="00FA7ED8" w:rsidRPr="00132F83">
        <w:rPr>
          <w:rFonts w:cs="Times New Roman"/>
        </w:rPr>
        <w:t>. The authors reported that 26% of the parent was converted to the oxon. In paired samples, the ratio of the oxon to the parent ranged 0.068-</w:t>
      </w:r>
      <w:r w:rsidR="00336EE1" w:rsidRPr="00132F83">
        <w:rPr>
          <w:rFonts w:cs="Times New Roman"/>
        </w:rPr>
        <w:t>3.9</w:t>
      </w:r>
      <w:r w:rsidR="00FA7ED8" w:rsidRPr="00132F83">
        <w:rPr>
          <w:rFonts w:cs="Times New Roman"/>
        </w:rPr>
        <w:t xml:space="preserve"> (N = </w:t>
      </w:r>
      <w:r w:rsidR="00336EE1" w:rsidRPr="00132F83">
        <w:rPr>
          <w:rFonts w:cs="Times New Roman"/>
        </w:rPr>
        <w:t>34</w:t>
      </w:r>
      <w:r w:rsidR="00FA7ED8" w:rsidRPr="00132F83">
        <w:rPr>
          <w:rFonts w:cs="Times New Roman"/>
        </w:rPr>
        <w:t>).</w:t>
      </w:r>
    </w:p>
    <w:p w14:paraId="5AB257B9" w14:textId="77777777" w:rsidR="00023F86" w:rsidRPr="00132F83" w:rsidRDefault="00023F86" w:rsidP="00865A49">
      <w:pPr>
        <w:spacing w:after="0" w:line="240" w:lineRule="auto"/>
        <w:rPr>
          <w:rFonts w:cs="Times New Roman"/>
        </w:rPr>
      </w:pPr>
    </w:p>
    <w:p w14:paraId="4A187A6D" w14:textId="0D5D89FC" w:rsidR="00023F86" w:rsidRPr="00132F83" w:rsidRDefault="00023F86" w:rsidP="00865A49">
      <w:pPr>
        <w:spacing w:after="0" w:line="240" w:lineRule="auto"/>
        <w:rPr>
          <w:rFonts w:cs="Times New Roman"/>
          <w:i/>
        </w:rPr>
      </w:pPr>
      <w:r w:rsidRPr="00132F83">
        <w:rPr>
          <w:rFonts w:cs="Times New Roman"/>
          <w:i/>
        </w:rPr>
        <w:t>Rain</w:t>
      </w:r>
    </w:p>
    <w:p w14:paraId="340976DC" w14:textId="77777777" w:rsidR="00EB40BB" w:rsidRPr="00132F83" w:rsidRDefault="00EB40BB" w:rsidP="00865A49">
      <w:pPr>
        <w:spacing w:after="0" w:line="240" w:lineRule="auto"/>
        <w:rPr>
          <w:rFonts w:cs="Times New Roman"/>
          <w:i/>
        </w:rPr>
      </w:pPr>
    </w:p>
    <w:p w14:paraId="281D76A6" w14:textId="1B4EF01C" w:rsidR="00023F86" w:rsidRPr="00132F83" w:rsidRDefault="00023F86" w:rsidP="00865A49">
      <w:pPr>
        <w:spacing w:after="0" w:line="240" w:lineRule="auto"/>
        <w:rPr>
          <w:rFonts w:cs="Times New Roman"/>
          <w:color w:val="000000"/>
        </w:rPr>
      </w:pPr>
      <w:r w:rsidRPr="00132F83">
        <w:rPr>
          <w:rFonts w:cs="Times New Roman"/>
        </w:rPr>
        <w:t>In a study of diazinon and diazoxon concentrations in precipitation in California, d</w:t>
      </w:r>
      <w:r w:rsidRPr="00132F83">
        <w:rPr>
          <w:rFonts w:cs="Times New Roman"/>
          <w:color w:val="000000"/>
        </w:rPr>
        <w:t xml:space="preserve">iazoxon was measured in 39% of samples (n=137), with mean and maximum concentrations of 0.041 and 0.300 µg/L, respectively. Diazinon was detected more frequently in this study (93%) with mean (0.149) and maximum (2.2) concentrations that were comparable to those of the oxon (Majewski et al. 2006). </w:t>
      </w:r>
    </w:p>
    <w:p w14:paraId="59BC272D" w14:textId="77777777" w:rsidR="00FA7ED8" w:rsidRPr="00132F83" w:rsidRDefault="00FA7ED8" w:rsidP="00865A49">
      <w:pPr>
        <w:spacing w:after="0" w:line="240" w:lineRule="auto"/>
        <w:rPr>
          <w:rFonts w:cs="Times New Roman"/>
        </w:rPr>
      </w:pPr>
    </w:p>
    <w:p w14:paraId="7FF81760" w14:textId="6161CE86" w:rsidR="00FA7ED8" w:rsidRPr="00132F83" w:rsidRDefault="00FA7ED8" w:rsidP="00865A49">
      <w:pPr>
        <w:spacing w:after="0" w:line="240" w:lineRule="auto"/>
        <w:rPr>
          <w:rFonts w:cs="Times New Roman"/>
        </w:rPr>
      </w:pPr>
      <w:r w:rsidRPr="00132F83">
        <w:rPr>
          <w:rFonts w:cs="Times New Roman"/>
        </w:rPr>
        <w:t xml:space="preserve">Zabik and Seiber (1993) also collected rain samples deposited in the Sierra Nevada Mountains. </w:t>
      </w:r>
      <w:r w:rsidR="00865A49" w:rsidRPr="00132F83">
        <w:rPr>
          <w:rFonts w:cs="Times New Roman"/>
        </w:rPr>
        <w:t>In their limited samples, they detected diazoxon at lower levels compared to the parent.</w:t>
      </w:r>
    </w:p>
    <w:p w14:paraId="4DDEF504" w14:textId="77777777" w:rsidR="00FA7ED8" w:rsidRPr="00132F83" w:rsidRDefault="00FA7ED8" w:rsidP="00865A49">
      <w:pPr>
        <w:spacing w:after="0" w:line="240" w:lineRule="auto"/>
        <w:rPr>
          <w:rFonts w:cs="Times New Roman"/>
        </w:rPr>
      </w:pPr>
    </w:p>
    <w:p w14:paraId="350316EE" w14:textId="40898FE6" w:rsidR="00023F86" w:rsidRPr="00132F83" w:rsidRDefault="00023F86" w:rsidP="00865A49">
      <w:pPr>
        <w:spacing w:after="0" w:line="240" w:lineRule="auto"/>
        <w:rPr>
          <w:rFonts w:cs="Times New Roman"/>
          <w:i/>
        </w:rPr>
      </w:pPr>
      <w:r w:rsidRPr="00132F83">
        <w:rPr>
          <w:rFonts w:cs="Times New Roman"/>
          <w:i/>
        </w:rPr>
        <w:t>Fog</w:t>
      </w:r>
    </w:p>
    <w:p w14:paraId="4D974D9E" w14:textId="77777777" w:rsidR="00023F86" w:rsidRPr="00132F83" w:rsidRDefault="00023F86" w:rsidP="00865A49">
      <w:pPr>
        <w:spacing w:after="0" w:line="240" w:lineRule="auto"/>
        <w:rPr>
          <w:rFonts w:cs="Times New Roman"/>
        </w:rPr>
      </w:pPr>
    </w:p>
    <w:p w14:paraId="78623ACD" w14:textId="7AB74C72" w:rsidR="00023F86" w:rsidRPr="00132F83" w:rsidRDefault="00023F86" w:rsidP="00865A49">
      <w:pPr>
        <w:spacing w:after="0" w:line="240" w:lineRule="auto"/>
        <w:rPr>
          <w:rFonts w:cs="Times New Roman"/>
          <w:color w:val="000000"/>
        </w:rPr>
      </w:pPr>
      <w:r w:rsidRPr="00132F83">
        <w:rPr>
          <w:rFonts w:cs="Times New Roman"/>
        </w:rPr>
        <w:t xml:space="preserve">Diazinon and diazoxon have been quantified fog in two different studies conducted in California. In 1986, </w:t>
      </w:r>
      <w:r w:rsidR="0015490B" w:rsidRPr="00132F83">
        <w:rPr>
          <w:rFonts w:cs="Times New Roman"/>
        </w:rPr>
        <w:t>diazinon concentrations ranged 0.31-18 ug/L and diazoxon concentrations ranged 0.42-28 ug/L (n = 6). The ratios of the oxon to the parent ranged 0.056-7.1, where the majority of the samples had concentrations of the two that were on the same order of magnitude (</w:t>
      </w:r>
      <w:r w:rsidR="0015490B" w:rsidRPr="00132F83">
        <w:rPr>
          <w:rFonts w:cs="Times New Roman"/>
          <w:bCs/>
        </w:rPr>
        <w:t xml:space="preserve">Glotfelty </w:t>
      </w:r>
      <w:r w:rsidR="0015490B" w:rsidRPr="00132F83">
        <w:rPr>
          <w:rFonts w:cs="Times New Roman"/>
          <w:bCs/>
          <w:i/>
        </w:rPr>
        <w:t>et al.</w:t>
      </w:r>
      <w:r w:rsidR="0015490B" w:rsidRPr="00132F83">
        <w:rPr>
          <w:rFonts w:cs="Times New Roman"/>
          <w:bCs/>
        </w:rPr>
        <w:t xml:space="preserve"> 1990)</w:t>
      </w:r>
      <w:r w:rsidR="0015490B" w:rsidRPr="00132F83">
        <w:rPr>
          <w:rFonts w:cs="Times New Roman"/>
        </w:rPr>
        <w:t>. In 1987, diazinon concentrations ranged 0.15-4.8 ug/L and diazoxon concentrations ranged 1.9-11 ug/L (n = 5). The ratios of the oxon to the parent ranged 0.067-13, where the majority of the samples had concentrations of the two that were on the same order of magnitude (</w:t>
      </w:r>
      <w:r w:rsidR="0015490B" w:rsidRPr="00132F83">
        <w:rPr>
          <w:rFonts w:cs="Times New Roman"/>
          <w:bCs/>
        </w:rPr>
        <w:t xml:space="preserve">Schomburg </w:t>
      </w:r>
      <w:r w:rsidR="0015490B" w:rsidRPr="00132F83">
        <w:rPr>
          <w:rFonts w:cs="Times New Roman"/>
          <w:bCs/>
          <w:i/>
        </w:rPr>
        <w:t>et al.</w:t>
      </w:r>
      <w:r w:rsidR="0015490B" w:rsidRPr="00132F83">
        <w:rPr>
          <w:rFonts w:cs="Times New Roman"/>
          <w:bCs/>
        </w:rPr>
        <w:t xml:space="preserve"> 1991)</w:t>
      </w:r>
      <w:r w:rsidR="0015490B" w:rsidRPr="00132F83">
        <w:rPr>
          <w:rFonts w:cs="Times New Roman"/>
        </w:rPr>
        <w:t>.</w:t>
      </w:r>
    </w:p>
    <w:p w14:paraId="003CE57E" w14:textId="77777777" w:rsidR="00865A49" w:rsidRDefault="00865A49" w:rsidP="00865A49">
      <w:pPr>
        <w:spacing w:after="0" w:line="240" w:lineRule="auto"/>
        <w:rPr>
          <w:rFonts w:cs="Times New Roman"/>
          <w:b/>
        </w:rPr>
      </w:pPr>
    </w:p>
    <w:p w14:paraId="379BA266" w14:textId="77777777" w:rsidR="00D822E3" w:rsidRDefault="00D822E3" w:rsidP="00865A49">
      <w:pPr>
        <w:spacing w:after="0" w:line="240" w:lineRule="auto"/>
        <w:rPr>
          <w:rFonts w:cs="Times New Roman"/>
          <w:b/>
        </w:rPr>
      </w:pPr>
    </w:p>
    <w:p w14:paraId="68B1F65F" w14:textId="77777777" w:rsidR="00D822E3" w:rsidRPr="00132F83" w:rsidRDefault="00D822E3" w:rsidP="00865A49">
      <w:pPr>
        <w:spacing w:after="0" w:line="240" w:lineRule="auto"/>
        <w:rPr>
          <w:rFonts w:cs="Times New Roman"/>
          <w:b/>
        </w:rPr>
      </w:pPr>
    </w:p>
    <w:p w14:paraId="5CCD4820" w14:textId="092A0A9A" w:rsidR="00E315A5" w:rsidRPr="00132F83" w:rsidRDefault="00756863" w:rsidP="00865A49">
      <w:pPr>
        <w:spacing w:after="0" w:line="240" w:lineRule="auto"/>
        <w:rPr>
          <w:rFonts w:cs="Times New Roman"/>
          <w:b/>
        </w:rPr>
      </w:pPr>
      <w:r w:rsidRPr="00132F83">
        <w:rPr>
          <w:rFonts w:cs="Times New Roman"/>
          <w:b/>
        </w:rPr>
        <w:t>Potential Effects of Diazoxon</w:t>
      </w:r>
    </w:p>
    <w:p w14:paraId="4A54CFC9" w14:textId="77777777" w:rsidR="00E315A5" w:rsidRPr="00132F83" w:rsidRDefault="00E315A5" w:rsidP="00865A49">
      <w:pPr>
        <w:spacing w:after="0" w:line="240" w:lineRule="auto"/>
        <w:rPr>
          <w:rFonts w:cs="Times New Roman"/>
        </w:rPr>
      </w:pPr>
    </w:p>
    <w:p w14:paraId="2F661FD9" w14:textId="0AE1624C" w:rsidR="0015490B" w:rsidRPr="00132F83" w:rsidRDefault="00D822E3" w:rsidP="00865A49">
      <w:pPr>
        <w:spacing w:after="0" w:line="240" w:lineRule="auto"/>
        <w:rPr>
          <w:rFonts w:cs="Times New Roman"/>
        </w:rPr>
      </w:pPr>
      <w:r>
        <w:rPr>
          <w:rFonts w:cs="Times New Roman"/>
        </w:rPr>
        <w:t>A</w:t>
      </w:r>
      <w:r w:rsidR="0015490B" w:rsidRPr="00132F83">
        <w:rPr>
          <w:rFonts w:cs="Times New Roman"/>
        </w:rPr>
        <w:t xml:space="preserve">vailable monitoring data indicate that, when detected, </w:t>
      </w:r>
      <w:r>
        <w:rPr>
          <w:rFonts w:cs="Times New Roman"/>
        </w:rPr>
        <w:t>diazoxon is generally detected at lower concentrations compared to the parent. In air, detections of the parent and oxon are similar in magnitude. Given</w:t>
      </w:r>
      <w:r w:rsidR="0015490B" w:rsidRPr="00132F83">
        <w:rPr>
          <w:rFonts w:cs="Times New Roman"/>
        </w:rPr>
        <w:t xml:space="preserve"> that diazoxon is of similar or somewhat greater toxicity compared to the parent, the effects of diazoxon </w:t>
      </w:r>
      <w:r w:rsidR="00D93534" w:rsidRPr="00132F83">
        <w:rPr>
          <w:rFonts w:cs="Times New Roman"/>
        </w:rPr>
        <w:t>on mortality and reproduction to exposed</w:t>
      </w:r>
      <w:r w:rsidR="0015490B" w:rsidRPr="00132F83">
        <w:rPr>
          <w:rFonts w:cs="Times New Roman"/>
        </w:rPr>
        <w:t xml:space="preserve"> non-target organisms are likely to be similar to those of the parent. </w:t>
      </w:r>
    </w:p>
    <w:p w14:paraId="7085193C" w14:textId="77777777" w:rsidR="0015490B" w:rsidRPr="00132F83" w:rsidRDefault="0015490B" w:rsidP="00865A49">
      <w:pPr>
        <w:spacing w:after="0" w:line="240" w:lineRule="auto"/>
        <w:rPr>
          <w:rFonts w:cs="Times New Roman"/>
        </w:rPr>
      </w:pPr>
    </w:p>
    <w:p w14:paraId="3A5EBC54" w14:textId="7D09D26E" w:rsidR="00365851" w:rsidRPr="00132F83" w:rsidRDefault="0015490B" w:rsidP="00865A49">
      <w:pPr>
        <w:spacing w:after="0" w:line="240" w:lineRule="auto"/>
        <w:rPr>
          <w:rFonts w:cs="Times New Roman"/>
        </w:rPr>
      </w:pPr>
      <w:r w:rsidRPr="00132F83">
        <w:rPr>
          <w:rFonts w:cs="Times New Roman"/>
        </w:rPr>
        <w:t xml:space="preserve">The likelihood of exposure to diazoxon may be less than </w:t>
      </w:r>
      <w:r w:rsidR="00127580" w:rsidRPr="00132F83">
        <w:rPr>
          <w:rFonts w:cs="Times New Roman"/>
        </w:rPr>
        <w:t xml:space="preserve">that of </w:t>
      </w:r>
      <w:r w:rsidRPr="00132F83">
        <w:rPr>
          <w:rFonts w:cs="Times New Roman"/>
        </w:rPr>
        <w:t xml:space="preserve">the parent. This is because </w:t>
      </w:r>
      <w:r w:rsidR="002A3CB5" w:rsidRPr="00132F83">
        <w:rPr>
          <w:rFonts w:cs="Times New Roman"/>
        </w:rPr>
        <w:t xml:space="preserve">1) </w:t>
      </w:r>
      <w:r w:rsidRPr="00132F83">
        <w:rPr>
          <w:rFonts w:cs="Times New Roman"/>
        </w:rPr>
        <w:t xml:space="preserve">diazinon </w:t>
      </w:r>
      <w:r w:rsidR="00365851" w:rsidRPr="00132F83">
        <w:rPr>
          <w:rFonts w:cs="Times New Roman"/>
        </w:rPr>
        <w:t xml:space="preserve">is </w:t>
      </w:r>
      <w:r w:rsidRPr="00132F83">
        <w:rPr>
          <w:rFonts w:cs="Times New Roman"/>
        </w:rPr>
        <w:t xml:space="preserve">less </w:t>
      </w:r>
      <w:r w:rsidR="00365851" w:rsidRPr="00132F83">
        <w:rPr>
          <w:rFonts w:cs="Times New Roman"/>
        </w:rPr>
        <w:t xml:space="preserve">persistent in the environment </w:t>
      </w:r>
      <w:r w:rsidR="00756863" w:rsidRPr="00132F83">
        <w:rPr>
          <w:rFonts w:cs="Times New Roman"/>
        </w:rPr>
        <w:t xml:space="preserve">when compared </w:t>
      </w:r>
      <w:r w:rsidR="002A3CB5" w:rsidRPr="00132F83">
        <w:rPr>
          <w:rFonts w:cs="Times New Roman"/>
        </w:rPr>
        <w:t xml:space="preserve">to diazinon and 2) </w:t>
      </w:r>
      <w:r w:rsidR="00756863" w:rsidRPr="00132F83">
        <w:rPr>
          <w:rFonts w:cs="Times New Roman"/>
        </w:rPr>
        <w:t>if oxon formation occurs in air, only a fraction of the applied diazinon would be transported to the ai</w:t>
      </w:r>
      <w:r w:rsidR="00D822E3">
        <w:rPr>
          <w:rFonts w:cs="Times New Roman"/>
        </w:rPr>
        <w:t xml:space="preserve">r and subject to transformation. </w:t>
      </w:r>
      <w:r w:rsidR="00127580" w:rsidRPr="00132F83">
        <w:rPr>
          <w:rFonts w:cs="Times New Roman"/>
        </w:rPr>
        <w:t>L</w:t>
      </w:r>
      <w:r w:rsidR="002A3CB5" w:rsidRPr="00132F83">
        <w:rPr>
          <w:rFonts w:cs="Times New Roman"/>
        </w:rPr>
        <w:t xml:space="preserve">ower exposure to diazoxon </w:t>
      </w:r>
      <w:r w:rsidR="00127580" w:rsidRPr="00132F83">
        <w:rPr>
          <w:rFonts w:cs="Times New Roman"/>
        </w:rPr>
        <w:t>is</w:t>
      </w:r>
      <w:r w:rsidR="002A3CB5" w:rsidRPr="00132F83">
        <w:rPr>
          <w:rFonts w:cs="Times New Roman"/>
        </w:rPr>
        <w:t xml:space="preserve"> </w:t>
      </w:r>
      <w:r w:rsidR="00127580" w:rsidRPr="00132F83">
        <w:rPr>
          <w:rFonts w:cs="Times New Roman"/>
        </w:rPr>
        <w:t xml:space="preserve">suggested </w:t>
      </w:r>
      <w:r w:rsidR="002A3CB5" w:rsidRPr="00132F83">
        <w:rPr>
          <w:rFonts w:cs="Times New Roman"/>
        </w:rPr>
        <w:t xml:space="preserve">by the available monitoring data </w:t>
      </w:r>
      <w:r w:rsidR="00127580" w:rsidRPr="00132F83">
        <w:rPr>
          <w:rFonts w:cs="Times New Roman"/>
        </w:rPr>
        <w:t xml:space="preserve">in which </w:t>
      </w:r>
      <w:r w:rsidR="002A3CB5" w:rsidRPr="00132F83">
        <w:rPr>
          <w:rFonts w:cs="Times New Roman"/>
        </w:rPr>
        <w:t xml:space="preserve">diazoxon was detected less frequently than the parent (when considering samples where both </w:t>
      </w:r>
      <w:r w:rsidR="00127580" w:rsidRPr="00132F83">
        <w:rPr>
          <w:rFonts w:cs="Times New Roman"/>
        </w:rPr>
        <w:t xml:space="preserve">chemicals </w:t>
      </w:r>
      <w:r w:rsidR="002A3CB5" w:rsidRPr="00132F83">
        <w:rPr>
          <w:rFonts w:cs="Times New Roman"/>
        </w:rPr>
        <w:t>were quantified).</w:t>
      </w:r>
    </w:p>
    <w:p w14:paraId="0FDBDAE7" w14:textId="77777777" w:rsidR="00756863" w:rsidRPr="00132F83" w:rsidRDefault="00756863" w:rsidP="00865A49">
      <w:pPr>
        <w:spacing w:after="0" w:line="240" w:lineRule="auto"/>
        <w:rPr>
          <w:rFonts w:cs="Times New Roman"/>
        </w:rPr>
      </w:pPr>
    </w:p>
    <w:p w14:paraId="776B6A9C" w14:textId="7E5375D4" w:rsidR="00865A49" w:rsidRPr="00132F83" w:rsidRDefault="00865A49" w:rsidP="00865A49">
      <w:pPr>
        <w:spacing w:after="0" w:line="240" w:lineRule="auto"/>
        <w:rPr>
          <w:rFonts w:cs="Times New Roman"/>
        </w:rPr>
      </w:pPr>
      <w:r w:rsidRPr="00132F83">
        <w:rPr>
          <w:rFonts w:cs="Times New Roman"/>
        </w:rPr>
        <w:t xml:space="preserve">For birds, the uncertainty associated with not quantifying diazoxon may be less because of the conservative nature of the foliar dissipation half-life that is used for diazinon. Available half-lives range </w:t>
      </w:r>
      <w:r w:rsidR="00127580" w:rsidRPr="00132F83">
        <w:rPr>
          <w:rFonts w:cs="Times New Roman"/>
        </w:rPr>
        <w:t xml:space="preserve">over </w:t>
      </w:r>
      <w:r w:rsidRPr="00132F83">
        <w:rPr>
          <w:rFonts w:cs="Times New Roman"/>
        </w:rPr>
        <w:t>an order of magnitude, i.e., 0.4-5.3 days. The dissipation of diazinon is conservatively represented by a 90</w:t>
      </w:r>
      <w:r w:rsidRPr="00132F83">
        <w:rPr>
          <w:rFonts w:cs="Times New Roman"/>
          <w:vertAlign w:val="superscript"/>
        </w:rPr>
        <w:t>th</w:t>
      </w:r>
      <w:r w:rsidRPr="00132F83">
        <w:rPr>
          <w:rFonts w:cs="Times New Roman"/>
        </w:rPr>
        <w:t xml:space="preserve"> percentile value of 5.2 days. The half-life of diazoxon </w:t>
      </w:r>
      <w:r w:rsidR="00B1102F" w:rsidRPr="00132F83">
        <w:rPr>
          <w:rFonts w:cs="Times New Roman"/>
        </w:rPr>
        <w:t xml:space="preserve">in air </w:t>
      </w:r>
      <w:r w:rsidRPr="00132F83">
        <w:rPr>
          <w:rFonts w:cs="Times New Roman"/>
        </w:rPr>
        <w:t>(4 hours) falls within this range. Given that the toxicity of diazinon and diazoxon are almost equal for birds (endpoints are within a factor of 3), any effects due to diazoxon, would potentially be captured by using a conservative half-life for diazinon</w:t>
      </w:r>
      <w:r w:rsidR="00B1102F" w:rsidRPr="00132F83">
        <w:rPr>
          <w:rFonts w:cs="Times New Roman"/>
        </w:rPr>
        <w:t xml:space="preserve"> and the toxicity endpoints based on exposure to diazinon</w:t>
      </w:r>
      <w:r w:rsidRPr="00132F83">
        <w:rPr>
          <w:rFonts w:cs="Times New Roman"/>
        </w:rPr>
        <w:t>.</w:t>
      </w:r>
    </w:p>
    <w:p w14:paraId="293BD51C" w14:textId="77777777" w:rsidR="00865A49" w:rsidRPr="00132F83" w:rsidRDefault="00865A49" w:rsidP="00865A49">
      <w:pPr>
        <w:spacing w:after="0" w:line="240" w:lineRule="auto"/>
        <w:rPr>
          <w:rFonts w:cs="Times New Roman"/>
        </w:rPr>
      </w:pPr>
    </w:p>
    <w:p w14:paraId="6A51E092" w14:textId="14D88B92" w:rsidR="00756863" w:rsidRPr="00132F83" w:rsidRDefault="00865A49" w:rsidP="00865A49">
      <w:pPr>
        <w:spacing w:after="0" w:line="240" w:lineRule="auto"/>
        <w:rPr>
          <w:rFonts w:cs="Times New Roman"/>
        </w:rPr>
      </w:pPr>
      <w:r w:rsidRPr="00132F83">
        <w:rPr>
          <w:rFonts w:cs="Times New Roman"/>
        </w:rPr>
        <w:t>The</w:t>
      </w:r>
      <w:r w:rsidR="00BB290A" w:rsidRPr="00132F83">
        <w:rPr>
          <w:rFonts w:cs="Times New Roman"/>
        </w:rPr>
        <w:t xml:space="preserve"> most conservative assumption</w:t>
      </w:r>
      <w:r w:rsidR="005539F8" w:rsidRPr="00132F83">
        <w:rPr>
          <w:rFonts w:cs="Times New Roman"/>
        </w:rPr>
        <w:t xml:space="preserve"> related to mortality </w:t>
      </w:r>
      <w:r w:rsidR="000D3413" w:rsidRPr="00132F83">
        <w:rPr>
          <w:rFonts w:cs="Times New Roman"/>
        </w:rPr>
        <w:t xml:space="preserve">to aquatic organisms </w:t>
      </w:r>
      <w:r w:rsidR="005539F8" w:rsidRPr="00132F83">
        <w:rPr>
          <w:rFonts w:cs="Times New Roman"/>
        </w:rPr>
        <w:t xml:space="preserve">would be that </w:t>
      </w:r>
      <w:r w:rsidR="00756863" w:rsidRPr="00132F83">
        <w:rPr>
          <w:rFonts w:cs="Times New Roman"/>
        </w:rPr>
        <w:t xml:space="preserve">diazoxon is </w:t>
      </w:r>
      <w:r w:rsidR="00C24C39" w:rsidRPr="00132F83">
        <w:rPr>
          <w:rFonts w:cs="Times New Roman"/>
        </w:rPr>
        <w:t>10x greater than the parent (</w:t>
      </w:r>
      <w:r w:rsidR="00BB290A" w:rsidRPr="00132F83">
        <w:rPr>
          <w:rFonts w:cs="Times New Roman"/>
        </w:rPr>
        <w:t xml:space="preserve">based on the yellow-legged frog data from </w:t>
      </w:r>
      <w:r w:rsidR="005539F8" w:rsidRPr="00132F83">
        <w:rPr>
          <w:rFonts w:cs="Times New Roman"/>
        </w:rPr>
        <w:t>ECOTOX 92498</w:t>
      </w:r>
      <w:r w:rsidR="00C24C39" w:rsidRPr="00132F83">
        <w:rPr>
          <w:rFonts w:cs="Times New Roman"/>
        </w:rPr>
        <w:t xml:space="preserve">). Available aquatic monitoring data with diazoxon and diazinon provide a maximum ratio of ½. When taken together, this suggests that when both diazinon and diazoxon occur in water, the mixture’s effect could exert </w:t>
      </w:r>
      <w:r w:rsidR="006C42D5" w:rsidRPr="00132F83">
        <w:rPr>
          <w:rFonts w:cs="Times New Roman"/>
        </w:rPr>
        <w:t xml:space="preserve">as much as </w:t>
      </w:r>
      <w:r w:rsidR="00C24C39" w:rsidRPr="00132F83">
        <w:rPr>
          <w:rFonts w:cs="Times New Roman"/>
        </w:rPr>
        <w:t>a 5</w:t>
      </w:r>
      <w:r w:rsidR="00041F8E" w:rsidRPr="00132F83">
        <w:rPr>
          <w:rFonts w:cs="Times New Roman"/>
        </w:rPr>
        <w:t>-</w:t>
      </w:r>
      <w:r w:rsidR="00C24C39" w:rsidRPr="00132F83">
        <w:rPr>
          <w:rFonts w:cs="Times New Roman"/>
        </w:rPr>
        <w:t xml:space="preserve">fold greater effect. </w:t>
      </w:r>
      <w:r w:rsidR="006C42D5" w:rsidRPr="00132F83">
        <w:rPr>
          <w:rFonts w:cs="Times New Roman"/>
        </w:rPr>
        <w:t>This amount of uncertainty is less significant compared to the uncertainty already incorporated into the</w:t>
      </w:r>
      <w:r w:rsidR="00BB290A" w:rsidRPr="00132F83">
        <w:rPr>
          <w:rFonts w:cs="Times New Roman"/>
        </w:rPr>
        <w:t xml:space="preserve"> mortality threshold </w:t>
      </w:r>
      <w:r w:rsidR="006C42D5" w:rsidRPr="00132F83">
        <w:rPr>
          <w:rFonts w:cs="Times New Roman"/>
        </w:rPr>
        <w:t>for diazinon</w:t>
      </w:r>
      <w:r w:rsidR="00BB290A" w:rsidRPr="00132F83">
        <w:rPr>
          <w:rFonts w:cs="Times New Roman"/>
        </w:rPr>
        <w:t xml:space="preserve"> for fish and aquatic phase amphibians</w:t>
      </w:r>
      <w:r w:rsidRPr="00132F83">
        <w:rPr>
          <w:rFonts w:cs="Times New Roman"/>
        </w:rPr>
        <w:t>, which spans orders of magnitude</w:t>
      </w:r>
      <w:r w:rsidRPr="00132F83">
        <w:rPr>
          <w:rStyle w:val="FootnoteReference"/>
          <w:rFonts w:cs="Times New Roman"/>
        </w:rPr>
        <w:footnoteReference w:id="1"/>
      </w:r>
      <w:r w:rsidRPr="00132F83">
        <w:rPr>
          <w:rFonts w:cs="Times New Roman"/>
        </w:rPr>
        <w:t>.</w:t>
      </w:r>
      <w:r w:rsidR="00BB290A" w:rsidRPr="00132F83">
        <w:rPr>
          <w:rFonts w:cs="Times New Roman"/>
        </w:rPr>
        <w:t xml:space="preserve"> </w:t>
      </w:r>
      <w:r w:rsidRPr="00132F83">
        <w:rPr>
          <w:rFonts w:cs="Times New Roman"/>
        </w:rPr>
        <w:t>Therefore,</w:t>
      </w:r>
      <w:r w:rsidR="00BB290A" w:rsidRPr="00132F83">
        <w:rPr>
          <w:rFonts w:cs="Times New Roman"/>
        </w:rPr>
        <w:t xml:space="preserve"> a lack of quantification of potential increases of mortality due to presence of diazoxon does not </w:t>
      </w:r>
      <w:r w:rsidRPr="00132F83">
        <w:rPr>
          <w:rFonts w:cs="Times New Roman"/>
        </w:rPr>
        <w:t>represent greater</w:t>
      </w:r>
      <w:r w:rsidR="002A3CB5" w:rsidRPr="00132F83">
        <w:rPr>
          <w:rFonts w:cs="Times New Roman"/>
        </w:rPr>
        <w:t xml:space="preserve"> uncertainty </w:t>
      </w:r>
      <w:r w:rsidR="00C50A2F" w:rsidRPr="00132F83">
        <w:rPr>
          <w:rFonts w:cs="Times New Roman"/>
        </w:rPr>
        <w:t xml:space="preserve">compared to what is </w:t>
      </w:r>
      <w:r w:rsidR="002A3CB5" w:rsidRPr="00132F83">
        <w:rPr>
          <w:rFonts w:cs="Times New Roman"/>
        </w:rPr>
        <w:t xml:space="preserve">already inherent in the </w:t>
      </w:r>
      <w:r w:rsidR="00C50A2F" w:rsidRPr="00132F83">
        <w:rPr>
          <w:rFonts w:cs="Times New Roman"/>
        </w:rPr>
        <w:t xml:space="preserve">mortality </w:t>
      </w:r>
      <w:r w:rsidR="002A3CB5" w:rsidRPr="00132F83">
        <w:rPr>
          <w:rFonts w:cs="Times New Roman"/>
        </w:rPr>
        <w:t>thresholds for diazinon.</w:t>
      </w:r>
    </w:p>
    <w:p w14:paraId="48AE15AF" w14:textId="77777777" w:rsidR="000D3413" w:rsidRPr="00132F83" w:rsidRDefault="000D3413" w:rsidP="00865A49">
      <w:pPr>
        <w:spacing w:after="0" w:line="240" w:lineRule="auto"/>
        <w:rPr>
          <w:rFonts w:cs="Times New Roman"/>
        </w:rPr>
      </w:pPr>
    </w:p>
    <w:p w14:paraId="7330AA49" w14:textId="389EC6AE" w:rsidR="002A3CB5" w:rsidRPr="00132F83" w:rsidRDefault="002A3CB5" w:rsidP="00865A49">
      <w:pPr>
        <w:spacing w:after="0" w:line="240" w:lineRule="auto"/>
        <w:rPr>
          <w:rFonts w:cs="Times New Roman"/>
        </w:rPr>
      </w:pPr>
      <w:r w:rsidRPr="00132F83">
        <w:rPr>
          <w:rFonts w:cs="Times New Roman"/>
        </w:rPr>
        <w:t>Diazoxon exposures may be most of concern for potential increases in AChE inhibition</w:t>
      </w:r>
      <w:r w:rsidR="000D3413" w:rsidRPr="00132F83">
        <w:rPr>
          <w:rFonts w:cs="Times New Roman"/>
        </w:rPr>
        <w:t xml:space="preserve"> in aquatic invertebrates</w:t>
      </w:r>
      <w:r w:rsidRPr="00132F83">
        <w:rPr>
          <w:rFonts w:cs="Times New Roman"/>
        </w:rPr>
        <w:t xml:space="preserve">. Available data for one test species of shrimp indicated that diazoxon </w:t>
      </w:r>
      <w:r w:rsidR="000D3413" w:rsidRPr="00132F83">
        <w:rPr>
          <w:rFonts w:cs="Times New Roman"/>
        </w:rPr>
        <w:t>resulted in</w:t>
      </w:r>
      <w:r w:rsidRPr="00132F83">
        <w:rPr>
          <w:rFonts w:cs="Times New Roman"/>
        </w:rPr>
        <w:t xml:space="preserve"> </w:t>
      </w:r>
      <w:r w:rsidR="000D3413" w:rsidRPr="00132F83">
        <w:rPr>
          <w:rFonts w:cs="Times New Roman"/>
        </w:rPr>
        <w:t>almost a 1000x</w:t>
      </w:r>
      <w:r w:rsidRPr="00132F83">
        <w:rPr>
          <w:rFonts w:cs="Times New Roman"/>
        </w:rPr>
        <w:t xml:space="preserve"> greater effect </w:t>
      </w:r>
      <w:r w:rsidR="00C50A2F" w:rsidRPr="00132F83">
        <w:rPr>
          <w:rFonts w:cs="Times New Roman"/>
        </w:rPr>
        <w:t xml:space="preserve">(IC50) </w:t>
      </w:r>
      <w:r w:rsidRPr="00132F83">
        <w:rPr>
          <w:rFonts w:cs="Times New Roman"/>
        </w:rPr>
        <w:t xml:space="preserve">compared to the parent alone (ECOTOX </w:t>
      </w:r>
      <w:r w:rsidRPr="00132F83">
        <w:rPr>
          <w:rFonts w:cs="Times New Roman"/>
          <w:color w:val="000000"/>
        </w:rPr>
        <w:t xml:space="preserve">3043). </w:t>
      </w:r>
      <w:r w:rsidR="00A40C76" w:rsidRPr="00132F83">
        <w:rPr>
          <w:rFonts w:cs="Times New Roman"/>
          <w:color w:val="000000"/>
        </w:rPr>
        <w:t xml:space="preserve">This would indicate that in cases where diazoxon is present, there could </w:t>
      </w:r>
      <w:r w:rsidR="00D93534" w:rsidRPr="00132F83">
        <w:rPr>
          <w:rFonts w:cs="Times New Roman"/>
          <w:color w:val="000000"/>
        </w:rPr>
        <w:t xml:space="preserve">be a concern for AChE inhibition </w:t>
      </w:r>
      <w:r w:rsidR="00C50A2F" w:rsidRPr="00132F83">
        <w:rPr>
          <w:rFonts w:cs="Times New Roman"/>
          <w:color w:val="000000"/>
        </w:rPr>
        <w:t xml:space="preserve">in aquatic invertebrates </w:t>
      </w:r>
      <w:r w:rsidR="00D93534" w:rsidRPr="00132F83">
        <w:rPr>
          <w:rFonts w:cs="Times New Roman"/>
          <w:color w:val="000000"/>
        </w:rPr>
        <w:t xml:space="preserve">at levels where there is no concern </w:t>
      </w:r>
      <w:r w:rsidR="000D3413" w:rsidRPr="00132F83">
        <w:rPr>
          <w:rFonts w:cs="Times New Roman"/>
          <w:color w:val="000000"/>
        </w:rPr>
        <w:t>based on</w:t>
      </w:r>
      <w:r w:rsidR="00D93534" w:rsidRPr="00132F83">
        <w:rPr>
          <w:rFonts w:cs="Times New Roman"/>
          <w:color w:val="000000"/>
        </w:rPr>
        <w:t xml:space="preserve"> the parent</w:t>
      </w:r>
      <w:r w:rsidR="000D3413" w:rsidRPr="00132F83">
        <w:rPr>
          <w:rFonts w:cs="Times New Roman"/>
          <w:color w:val="000000"/>
        </w:rPr>
        <w:t xml:space="preserve"> alone</w:t>
      </w:r>
      <w:r w:rsidR="00D93534" w:rsidRPr="00132F83">
        <w:rPr>
          <w:rFonts w:cs="Times New Roman"/>
          <w:color w:val="000000"/>
        </w:rPr>
        <w:t xml:space="preserve">. </w:t>
      </w:r>
    </w:p>
    <w:p w14:paraId="50645141" w14:textId="565B4584" w:rsidR="006C42D5" w:rsidRPr="00132F83" w:rsidRDefault="002A3CB5" w:rsidP="00865A49">
      <w:pPr>
        <w:spacing w:after="0" w:line="240" w:lineRule="auto"/>
        <w:rPr>
          <w:rFonts w:cs="Times New Roman"/>
        </w:rPr>
      </w:pPr>
      <w:r w:rsidRPr="00132F83">
        <w:rPr>
          <w:rFonts w:cs="Times New Roman"/>
        </w:rPr>
        <w:t xml:space="preserve"> </w:t>
      </w:r>
    </w:p>
    <w:p w14:paraId="6221339A" w14:textId="77777777" w:rsidR="00756863" w:rsidRPr="00132F83" w:rsidRDefault="00756863" w:rsidP="00865A49">
      <w:pPr>
        <w:spacing w:after="0" w:line="240" w:lineRule="auto"/>
        <w:rPr>
          <w:rFonts w:cs="Times New Roman"/>
        </w:rPr>
      </w:pPr>
    </w:p>
    <w:p w14:paraId="74F46A67" w14:textId="6F755EED" w:rsidR="00756863" w:rsidRDefault="00756863" w:rsidP="00865A49">
      <w:pPr>
        <w:spacing w:after="0" w:line="240" w:lineRule="auto"/>
        <w:rPr>
          <w:rFonts w:cs="Times New Roman"/>
          <w:b/>
        </w:rPr>
      </w:pPr>
      <w:r w:rsidRPr="00132F83">
        <w:rPr>
          <w:rFonts w:cs="Times New Roman"/>
          <w:b/>
        </w:rPr>
        <w:t>References</w:t>
      </w:r>
    </w:p>
    <w:p w14:paraId="04C79B3E" w14:textId="77777777" w:rsidR="001A458A" w:rsidRPr="00132F83" w:rsidRDefault="001A458A" w:rsidP="00865A49">
      <w:pPr>
        <w:spacing w:after="0" w:line="240" w:lineRule="auto"/>
        <w:rPr>
          <w:rFonts w:cs="Times New Roman"/>
          <w:b/>
        </w:rPr>
      </w:pPr>
    </w:p>
    <w:p w14:paraId="7571F871" w14:textId="6572E294" w:rsidR="00365851" w:rsidRPr="00132F83" w:rsidRDefault="001A458A" w:rsidP="00865A49">
      <w:pPr>
        <w:spacing w:after="0" w:line="240" w:lineRule="auto"/>
        <w:rPr>
          <w:rFonts w:cs="Times New Roman"/>
        </w:rPr>
      </w:pPr>
      <w:r w:rsidRPr="001A458A">
        <w:rPr>
          <w:rFonts w:cs="Times New Roman"/>
        </w:rPr>
        <w:t>D</w:t>
      </w:r>
      <w:r w:rsidR="001238A6">
        <w:rPr>
          <w:rFonts w:cs="Times New Roman"/>
        </w:rPr>
        <w:t xml:space="preserve">uirk, S.E., and T.W. Collette. </w:t>
      </w:r>
      <w:r w:rsidRPr="001A458A">
        <w:rPr>
          <w:rFonts w:cs="Times New Roman"/>
        </w:rPr>
        <w:t>2006. Degradation of chlorpyrifos in aqueous chlorine solutions: Pathways, kinetics, and modeling. Environ. Sci. Technol., 40(2): 546 – 551.</w:t>
      </w:r>
    </w:p>
    <w:p w14:paraId="25E16DB5" w14:textId="77777777" w:rsidR="00762F2C" w:rsidRDefault="00762F2C" w:rsidP="00865A49">
      <w:pPr>
        <w:spacing w:after="0" w:line="240" w:lineRule="auto"/>
        <w:rPr>
          <w:rFonts w:cs="Times New Roman"/>
          <w:color w:val="000000"/>
        </w:rPr>
      </w:pPr>
    </w:p>
    <w:p w14:paraId="7669FCF8" w14:textId="0D7AB194" w:rsidR="00762F2C" w:rsidRDefault="00762F2C" w:rsidP="00865A49">
      <w:pPr>
        <w:spacing w:after="0" w:line="240" w:lineRule="auto"/>
        <w:rPr>
          <w:rFonts w:cs="Times New Roman"/>
          <w:color w:val="000000"/>
        </w:rPr>
      </w:pPr>
      <w:r w:rsidRPr="00762F2C">
        <w:rPr>
          <w:rFonts w:cs="Times New Roman"/>
          <w:color w:val="000000"/>
        </w:rPr>
        <w:t xml:space="preserve">Fellers, G. M., McConnell, L. L., Pratt, D., </w:t>
      </w:r>
      <w:r w:rsidR="00122A6B">
        <w:rPr>
          <w:rFonts w:cs="Times New Roman"/>
          <w:color w:val="000000"/>
        </w:rPr>
        <w:t>and</w:t>
      </w:r>
      <w:r w:rsidRPr="00762F2C">
        <w:rPr>
          <w:rFonts w:cs="Times New Roman"/>
          <w:color w:val="000000"/>
        </w:rPr>
        <w:t xml:space="preserve"> Datta, S. </w:t>
      </w:r>
      <w:r w:rsidR="001238A6">
        <w:rPr>
          <w:rFonts w:cs="Times New Roman"/>
          <w:color w:val="000000"/>
        </w:rPr>
        <w:t>2004</w:t>
      </w:r>
      <w:r w:rsidRPr="00762F2C">
        <w:rPr>
          <w:rFonts w:cs="Times New Roman"/>
          <w:color w:val="000000"/>
        </w:rPr>
        <w:t>. Pesticides in Mountain Yellow-Legged Frogs (</w:t>
      </w:r>
      <w:r w:rsidRPr="00762F2C">
        <w:rPr>
          <w:rFonts w:cs="Times New Roman"/>
          <w:i/>
          <w:color w:val="000000"/>
        </w:rPr>
        <w:t>Rana Mucosa</w:t>
      </w:r>
      <w:r w:rsidRPr="00762F2C">
        <w:rPr>
          <w:rFonts w:cs="Times New Roman"/>
          <w:color w:val="000000"/>
        </w:rPr>
        <w:t>) from the Sierra Nevada Mountains of California. Environmental Toxicology and Chemistry. 23(9), 2170-2177.</w:t>
      </w:r>
    </w:p>
    <w:p w14:paraId="1F81E631" w14:textId="77777777" w:rsidR="00762F2C" w:rsidRDefault="00762F2C" w:rsidP="00865A49">
      <w:pPr>
        <w:spacing w:after="0" w:line="240" w:lineRule="auto"/>
        <w:rPr>
          <w:rFonts w:cs="Times New Roman"/>
          <w:color w:val="000000"/>
        </w:rPr>
      </w:pPr>
    </w:p>
    <w:p w14:paraId="015B7F76" w14:textId="328D3FB2" w:rsidR="00271AB4" w:rsidRPr="00132F83" w:rsidRDefault="00271AB4" w:rsidP="00865A49">
      <w:pPr>
        <w:spacing w:after="0" w:line="240" w:lineRule="auto"/>
        <w:rPr>
          <w:rFonts w:cs="Times New Roman"/>
          <w:color w:val="000000"/>
        </w:rPr>
      </w:pPr>
      <w:r w:rsidRPr="00132F83">
        <w:rPr>
          <w:rFonts w:cs="Times New Roman"/>
          <w:color w:val="000000"/>
        </w:rPr>
        <w:t>Glotfelty, D.E., Majewski, M.S. and J.N. Seiber. 1990.  Distribution of several</w:t>
      </w:r>
      <w:r w:rsidR="00756863" w:rsidRPr="00132F83">
        <w:rPr>
          <w:rFonts w:cs="Times New Roman"/>
          <w:color w:val="000000"/>
        </w:rPr>
        <w:t xml:space="preserve"> </w:t>
      </w:r>
      <w:r w:rsidRPr="00132F83">
        <w:rPr>
          <w:rFonts w:cs="Times New Roman"/>
          <w:color w:val="000000"/>
        </w:rPr>
        <w:t xml:space="preserve">organophosphorus insecticides and their oxygen analogues in a foggy atmosphere. </w:t>
      </w:r>
      <w:r w:rsidR="00E0186E" w:rsidRPr="00132F83">
        <w:rPr>
          <w:rFonts w:cs="Times New Roman"/>
          <w:color w:val="000000"/>
        </w:rPr>
        <w:t>Environmental</w:t>
      </w:r>
      <w:r w:rsidRPr="00132F83">
        <w:rPr>
          <w:rFonts w:cs="Times New Roman"/>
          <w:color w:val="000000"/>
        </w:rPr>
        <w:t xml:space="preserve"> Science and Technology, 24 (3), 353-357.</w:t>
      </w:r>
    </w:p>
    <w:p w14:paraId="571B6067" w14:textId="77777777" w:rsidR="00762F2C" w:rsidRPr="00762F2C" w:rsidRDefault="00762F2C" w:rsidP="00762F2C">
      <w:pPr>
        <w:autoSpaceDE w:val="0"/>
        <w:autoSpaceDN w:val="0"/>
        <w:adjustRightInd w:val="0"/>
        <w:spacing w:after="0" w:line="240" w:lineRule="auto"/>
        <w:rPr>
          <w:rFonts w:ascii="Calibri" w:hAnsi="Calibri" w:cs="Calibri"/>
          <w:color w:val="000000"/>
          <w:sz w:val="24"/>
          <w:szCs w:val="24"/>
        </w:rPr>
      </w:pPr>
    </w:p>
    <w:p w14:paraId="504E2177" w14:textId="77DAF0FD" w:rsidR="00762F2C" w:rsidRPr="00762F2C" w:rsidRDefault="00762F2C" w:rsidP="00762F2C">
      <w:pPr>
        <w:autoSpaceDE w:val="0"/>
        <w:autoSpaceDN w:val="0"/>
        <w:adjustRightInd w:val="0"/>
        <w:spacing w:after="0" w:line="240" w:lineRule="auto"/>
        <w:rPr>
          <w:rFonts w:ascii="Calibri" w:hAnsi="Calibri" w:cs="Calibri"/>
          <w:color w:val="000000"/>
        </w:rPr>
      </w:pPr>
      <w:r w:rsidRPr="00762F2C">
        <w:rPr>
          <w:rFonts w:ascii="Calibri" w:hAnsi="Calibri" w:cs="Calibri"/>
          <w:color w:val="000000"/>
        </w:rPr>
        <w:t xml:space="preserve">LeNoir, J. S., McConnell, L. L., Fellers, G. M., Cahill, T. M., </w:t>
      </w:r>
      <w:r w:rsidR="003231A8">
        <w:rPr>
          <w:rFonts w:ascii="Calibri" w:hAnsi="Calibri" w:cs="Calibri"/>
          <w:color w:val="000000"/>
        </w:rPr>
        <w:t>and</w:t>
      </w:r>
      <w:r w:rsidRPr="00762F2C">
        <w:rPr>
          <w:rFonts w:ascii="Calibri" w:hAnsi="Calibri" w:cs="Calibri"/>
          <w:color w:val="000000"/>
        </w:rPr>
        <w:t xml:space="preserve"> Seiber, J. N. 1999. Summertime Transport of Current-use pesticides from California’s Central Valley to the Sierra Nevada Mountain Range, USA. Environmental Toxicology and Chemistry, 18(12), 2715-2722.</w:t>
      </w:r>
    </w:p>
    <w:p w14:paraId="1B886C19" w14:textId="77777777" w:rsidR="00762F2C" w:rsidRDefault="00762F2C" w:rsidP="00865A49">
      <w:pPr>
        <w:spacing w:after="0" w:line="240" w:lineRule="auto"/>
        <w:rPr>
          <w:rFonts w:cs="Times New Roman"/>
          <w:color w:val="000000"/>
        </w:rPr>
      </w:pPr>
    </w:p>
    <w:p w14:paraId="5C0FE44B" w14:textId="0577D1DA" w:rsidR="00590739" w:rsidRDefault="00590739" w:rsidP="00865A49">
      <w:pPr>
        <w:spacing w:after="0" w:line="240" w:lineRule="auto"/>
        <w:rPr>
          <w:rFonts w:cs="Times New Roman"/>
          <w:color w:val="000000"/>
        </w:rPr>
      </w:pPr>
      <w:r w:rsidRPr="00590739">
        <w:rPr>
          <w:rFonts w:cs="Times New Roman"/>
          <w:color w:val="000000"/>
        </w:rPr>
        <w:t>Magara, Y., T. Aizawa, N. Matumoto, and F. Souna. 1994. Degradation of pesticides by chlorination during water purification. Water Sci. Technol., 30(7): 119 – 128.</w:t>
      </w:r>
    </w:p>
    <w:p w14:paraId="3DC71A97" w14:textId="77777777" w:rsidR="00590739" w:rsidRPr="00132F83" w:rsidRDefault="00590739" w:rsidP="00865A49">
      <w:pPr>
        <w:spacing w:after="0" w:line="240" w:lineRule="auto"/>
        <w:rPr>
          <w:rFonts w:cs="Times New Roman"/>
          <w:color w:val="000000"/>
        </w:rPr>
      </w:pPr>
    </w:p>
    <w:p w14:paraId="2CA8B38A" w14:textId="6FD167DA" w:rsidR="00335316" w:rsidRPr="00132F83" w:rsidRDefault="00271AB4" w:rsidP="00865A49">
      <w:pPr>
        <w:spacing w:after="0" w:line="240" w:lineRule="auto"/>
        <w:jc w:val="both"/>
        <w:rPr>
          <w:rFonts w:cs="Times New Roman"/>
          <w:color w:val="000000"/>
        </w:rPr>
      </w:pPr>
      <w:r w:rsidRPr="00132F83">
        <w:rPr>
          <w:rFonts w:cs="Times New Roman"/>
          <w:color w:val="000000"/>
        </w:rPr>
        <w:t>Majewski, M.S. and P.D. Capel. 1995. Pesticides in the atmosphere: distribution, trends, and governing factors. Ann Arbor Press, Inc. Chelsea, MI.</w:t>
      </w:r>
    </w:p>
    <w:p w14:paraId="6E2A3554" w14:textId="77777777" w:rsidR="001B70E5" w:rsidRPr="00132F83" w:rsidRDefault="001B70E5" w:rsidP="00865A49">
      <w:pPr>
        <w:spacing w:after="0" w:line="240" w:lineRule="auto"/>
        <w:jc w:val="both"/>
        <w:rPr>
          <w:rFonts w:cs="Times New Roman"/>
          <w:color w:val="000000"/>
        </w:rPr>
      </w:pPr>
    </w:p>
    <w:p w14:paraId="3B30E36C" w14:textId="36AFBD9B" w:rsidR="00335316" w:rsidRPr="00132F83" w:rsidRDefault="00335316" w:rsidP="00865A49">
      <w:pPr>
        <w:spacing w:after="0" w:line="240" w:lineRule="auto"/>
        <w:jc w:val="both"/>
        <w:rPr>
          <w:rFonts w:cs="Times New Roman"/>
        </w:rPr>
      </w:pPr>
      <w:r w:rsidRPr="00132F83">
        <w:rPr>
          <w:rFonts w:cs="Times New Roman"/>
        </w:rPr>
        <w:t>Majewski, M.S., Zamora, C., Foreman, W.T., and C.R. Kratzer. 2006. Contribution of</w:t>
      </w:r>
      <w:r w:rsidR="00756863" w:rsidRPr="00132F83">
        <w:rPr>
          <w:rFonts w:cs="Times New Roman"/>
        </w:rPr>
        <w:t xml:space="preserve"> </w:t>
      </w:r>
      <w:r w:rsidRPr="00132F83">
        <w:rPr>
          <w:rFonts w:cs="Times New Roman"/>
        </w:rPr>
        <w:t>atmospheric deposition to pesticide loads in surface water runoff.  United States</w:t>
      </w:r>
      <w:r w:rsidR="00756863" w:rsidRPr="00132F83">
        <w:rPr>
          <w:rFonts w:cs="Times New Roman"/>
        </w:rPr>
        <w:t xml:space="preserve"> </w:t>
      </w:r>
      <w:r w:rsidRPr="00132F83">
        <w:rPr>
          <w:rFonts w:cs="Times New Roman"/>
        </w:rPr>
        <w:t xml:space="preserve">Geological Survey. Open-file Report 2005-1307. Available online at: </w:t>
      </w:r>
      <w:r w:rsidRPr="00132F83">
        <w:rPr>
          <w:rFonts w:cs="Times New Roman"/>
        </w:rPr>
        <w:tab/>
      </w:r>
      <w:hyperlink r:id="rId11" w:history="1">
        <w:r w:rsidRPr="00132F83">
          <w:rPr>
            <w:rStyle w:val="Hyperlink"/>
            <w:rFonts w:cs="Times New Roman"/>
          </w:rPr>
          <w:t>http://pubs.usgs.gov/of/2005/1307/</w:t>
        </w:r>
      </w:hyperlink>
      <w:r w:rsidRPr="00132F83">
        <w:rPr>
          <w:rFonts w:cs="Times New Roman"/>
        </w:rPr>
        <w:t>.</w:t>
      </w:r>
    </w:p>
    <w:p w14:paraId="644CBAA5" w14:textId="6C76F91D" w:rsidR="001B70E5" w:rsidRDefault="001B70E5" w:rsidP="00865A49">
      <w:pPr>
        <w:spacing w:after="0" w:line="240" w:lineRule="auto"/>
        <w:jc w:val="both"/>
        <w:rPr>
          <w:rFonts w:cs="Times New Roman"/>
        </w:rPr>
      </w:pPr>
    </w:p>
    <w:p w14:paraId="2B3FC0C7" w14:textId="064952D4" w:rsidR="0065259B" w:rsidRDefault="0065259B" w:rsidP="00865A49">
      <w:pPr>
        <w:spacing w:after="0" w:line="240" w:lineRule="auto"/>
        <w:jc w:val="both"/>
        <w:rPr>
          <w:rFonts w:cs="Times New Roman"/>
        </w:rPr>
      </w:pPr>
      <w:r w:rsidRPr="0065259B">
        <w:rPr>
          <w:rFonts w:cs="Times New Roman"/>
        </w:rPr>
        <w:t>Mc</w:t>
      </w:r>
      <w:r>
        <w:rPr>
          <w:rFonts w:cs="Times New Roman"/>
        </w:rPr>
        <w:t>C</w:t>
      </w:r>
      <w:r w:rsidRPr="0065259B">
        <w:rPr>
          <w:rFonts w:cs="Times New Roman"/>
        </w:rPr>
        <w:t>onnell, L. L., Lenoir, J. S., Datta, S., and Seiber, J. N. 1998. Wet Deposition of Current-Use Pesticides in the Sierra Nevada Mountain Range, California, USA. Environmental Toxicology and Chemistry 17: 1908-1916.</w:t>
      </w:r>
    </w:p>
    <w:p w14:paraId="40D79C22" w14:textId="77777777" w:rsidR="0065259B" w:rsidRPr="00132F83" w:rsidRDefault="0065259B" w:rsidP="00865A49">
      <w:pPr>
        <w:spacing w:after="0" w:line="240" w:lineRule="auto"/>
        <w:jc w:val="both"/>
        <w:rPr>
          <w:rFonts w:cs="Times New Roman"/>
        </w:rPr>
      </w:pPr>
    </w:p>
    <w:p w14:paraId="2021AAE6" w14:textId="72E38F4B" w:rsidR="004E687C" w:rsidRDefault="004E687C" w:rsidP="00865A49">
      <w:pPr>
        <w:spacing w:after="0" w:line="240" w:lineRule="auto"/>
        <w:jc w:val="both"/>
        <w:rPr>
          <w:rFonts w:cs="Times New Roman"/>
          <w:color w:val="000000"/>
        </w:rPr>
      </w:pPr>
      <w:r w:rsidRPr="00132F83">
        <w:rPr>
          <w:rFonts w:cs="Times New Roman"/>
          <w:color w:val="000000"/>
        </w:rPr>
        <w:t>Schomburg, C.J., Glotfelty, D.E., and J.N. Selber. 1991. Pesticide occurrenc</w:t>
      </w:r>
      <w:r w:rsidR="00756863" w:rsidRPr="00132F83">
        <w:rPr>
          <w:rFonts w:cs="Times New Roman"/>
          <w:color w:val="000000"/>
        </w:rPr>
        <w:t xml:space="preserve">e and distribution in </w:t>
      </w:r>
      <w:r w:rsidRPr="00132F83">
        <w:rPr>
          <w:rFonts w:cs="Times New Roman"/>
          <w:color w:val="000000"/>
        </w:rPr>
        <w:t>fog collected near Monterey, California. Environmental S</w:t>
      </w:r>
      <w:r w:rsidR="00756863" w:rsidRPr="00132F83">
        <w:rPr>
          <w:rFonts w:cs="Times New Roman"/>
          <w:color w:val="000000"/>
        </w:rPr>
        <w:t xml:space="preserve">cience and Technology, 25, </w:t>
      </w:r>
      <w:r w:rsidR="00756863" w:rsidRPr="00132F83">
        <w:rPr>
          <w:rFonts w:cs="Times New Roman"/>
          <w:color w:val="000000"/>
        </w:rPr>
        <w:tab/>
        <w:t xml:space="preserve">155 </w:t>
      </w:r>
      <w:r w:rsidRPr="00132F83">
        <w:rPr>
          <w:rFonts w:cs="Times New Roman"/>
          <w:color w:val="000000"/>
        </w:rPr>
        <w:t>160.</w:t>
      </w:r>
    </w:p>
    <w:p w14:paraId="42FCFA34" w14:textId="77777777" w:rsidR="000A1367" w:rsidRPr="00132F83" w:rsidRDefault="000A1367" w:rsidP="00865A49">
      <w:pPr>
        <w:spacing w:after="0" w:line="240" w:lineRule="auto"/>
        <w:jc w:val="both"/>
        <w:rPr>
          <w:rFonts w:cs="Times New Roman"/>
          <w:color w:val="000000"/>
        </w:rPr>
      </w:pPr>
    </w:p>
    <w:p w14:paraId="36443076" w14:textId="30855E03" w:rsidR="00D5335D" w:rsidRDefault="000A1367" w:rsidP="00D5335D">
      <w:pPr>
        <w:spacing w:after="0" w:line="240" w:lineRule="auto"/>
        <w:jc w:val="both"/>
        <w:rPr>
          <w:rFonts w:cs="Times New Roman"/>
          <w:color w:val="000000"/>
        </w:rPr>
      </w:pPr>
      <w:r w:rsidRPr="000A1367">
        <w:rPr>
          <w:rFonts w:cs="Times New Roman"/>
          <w:color w:val="000000"/>
        </w:rPr>
        <w:t xml:space="preserve">Sparling, D. W., Fellers, G. M., </w:t>
      </w:r>
      <w:r w:rsidR="003231A8">
        <w:rPr>
          <w:rFonts w:cs="Times New Roman"/>
          <w:color w:val="000000"/>
        </w:rPr>
        <w:t>and</w:t>
      </w:r>
      <w:r w:rsidRPr="000A1367">
        <w:rPr>
          <w:rFonts w:cs="Times New Roman"/>
          <w:color w:val="000000"/>
        </w:rPr>
        <w:t xml:space="preserve"> McConnell, L. L. 2001. Pesticides and amphibian population declines in California, USA. Environ. Toxicol. and Chem., 20(7), 1591-1595.</w:t>
      </w:r>
    </w:p>
    <w:p w14:paraId="182F944B" w14:textId="77777777" w:rsidR="000A1367" w:rsidRPr="00D5335D" w:rsidRDefault="000A1367" w:rsidP="00D5335D">
      <w:pPr>
        <w:spacing w:after="0" w:line="240" w:lineRule="auto"/>
        <w:jc w:val="both"/>
        <w:rPr>
          <w:rFonts w:cs="Times New Roman"/>
          <w:color w:val="000000"/>
        </w:rPr>
      </w:pPr>
    </w:p>
    <w:p w14:paraId="39703010" w14:textId="56017CC2" w:rsidR="001238A6" w:rsidRDefault="001238A6" w:rsidP="001238A6">
      <w:pPr>
        <w:spacing w:after="0" w:line="240" w:lineRule="auto"/>
        <w:rPr>
          <w:rFonts w:cs="Times New Roman"/>
          <w:color w:val="000000"/>
        </w:rPr>
      </w:pPr>
      <w:r w:rsidRPr="001238A6">
        <w:rPr>
          <w:rFonts w:cs="Times New Roman"/>
          <w:color w:val="000000"/>
        </w:rPr>
        <w:t>USGS. 2011. Trends in Pesticide Concentrations in Urban Streams in the United States, 1992-2008.  Scientific Investigation Report 2010-5139. National Water Quality Assessment Program. United States Geological Survey. United States Department of the Interior. Available at http://pubs.usgs.gov/sir/2010/5139/pdf/sir2010-5139.pdf (Accessed February 2, 2012).</w:t>
      </w:r>
    </w:p>
    <w:p w14:paraId="121C0E76" w14:textId="77777777" w:rsidR="001238A6" w:rsidRDefault="001238A6" w:rsidP="001238A6">
      <w:pPr>
        <w:spacing w:after="0" w:line="240" w:lineRule="auto"/>
        <w:rPr>
          <w:rFonts w:cs="Times New Roman"/>
          <w:color w:val="000000"/>
        </w:rPr>
      </w:pPr>
    </w:p>
    <w:p w14:paraId="3BCEC12C" w14:textId="186D700C" w:rsidR="008A4928" w:rsidRDefault="008A4928" w:rsidP="00D5335D">
      <w:pPr>
        <w:spacing w:after="0" w:line="240" w:lineRule="auto"/>
        <w:jc w:val="both"/>
        <w:rPr>
          <w:rFonts w:cs="Times New Roman"/>
          <w:color w:val="000000"/>
        </w:rPr>
      </w:pPr>
      <w:r w:rsidRPr="008A4928">
        <w:rPr>
          <w:rFonts w:cs="Times New Roman"/>
          <w:color w:val="000000"/>
        </w:rPr>
        <w:t xml:space="preserve">USGS. 2015. National Water-Quality Assessment Program (NAWQA). U.S. Geological Survey. Available at http://water.usgs.gov/nawqa/ (Accessed January 15, 2015). </w:t>
      </w:r>
    </w:p>
    <w:p w14:paraId="4E6ED7D9" w14:textId="77777777" w:rsidR="008A4928" w:rsidRDefault="008A4928" w:rsidP="00D5335D">
      <w:pPr>
        <w:spacing w:after="0" w:line="240" w:lineRule="auto"/>
        <w:jc w:val="both"/>
        <w:rPr>
          <w:rFonts w:cs="Times New Roman"/>
          <w:color w:val="000000"/>
        </w:rPr>
      </w:pPr>
    </w:p>
    <w:p w14:paraId="6EA131C4" w14:textId="0A525E14" w:rsidR="001B70E5" w:rsidRDefault="00D5335D" w:rsidP="00D5335D">
      <w:pPr>
        <w:spacing w:after="0" w:line="240" w:lineRule="auto"/>
        <w:jc w:val="both"/>
        <w:rPr>
          <w:rFonts w:cs="Times New Roman"/>
          <w:color w:val="000000"/>
        </w:rPr>
      </w:pPr>
      <w:r w:rsidRPr="00D5335D">
        <w:rPr>
          <w:rFonts w:cs="Times New Roman"/>
          <w:color w:val="000000"/>
        </w:rPr>
        <w:t>Wu, J.G., and D.A. Laird. 2003. Abiotic transformation of chlorpyrifos to chlorpyrifos oxon in chlorinated water. Environ. Toxicol. Chem., 22(2): 261 – 264.</w:t>
      </w:r>
    </w:p>
    <w:p w14:paraId="4788A2EB" w14:textId="77777777" w:rsidR="00D5335D" w:rsidRPr="00132F83" w:rsidRDefault="00D5335D" w:rsidP="00D5335D">
      <w:pPr>
        <w:spacing w:after="0" w:line="240" w:lineRule="auto"/>
        <w:jc w:val="both"/>
        <w:rPr>
          <w:rFonts w:cs="Times New Roman"/>
          <w:color w:val="000000"/>
        </w:rPr>
      </w:pPr>
    </w:p>
    <w:p w14:paraId="5EFC6D54" w14:textId="4F81A2DB" w:rsidR="00335316" w:rsidRPr="00132F83" w:rsidRDefault="009E7D0F" w:rsidP="00865A49">
      <w:pPr>
        <w:spacing w:after="0" w:line="240" w:lineRule="auto"/>
        <w:rPr>
          <w:rFonts w:cs="Times New Roman"/>
        </w:rPr>
      </w:pPr>
      <w:r w:rsidRPr="00132F83">
        <w:rPr>
          <w:rFonts w:cs="Times New Roman"/>
        </w:rPr>
        <w:t>Zabik, J.M. and J.N. Seiber. 1993. Atmospheric transport of organophosphate pesticides from California's Central Valley to the Sierra Nevada Mountains. J environ qual. 22: 80-90.</w:t>
      </w:r>
    </w:p>
    <w:sectPr w:rsidR="00335316" w:rsidRPr="00132F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18EB5" w14:textId="77777777" w:rsidR="009F3BE1" w:rsidRDefault="009F3BE1" w:rsidP="007145EE">
      <w:pPr>
        <w:spacing w:after="0" w:line="240" w:lineRule="auto"/>
      </w:pPr>
      <w:r>
        <w:separator/>
      </w:r>
    </w:p>
  </w:endnote>
  <w:endnote w:type="continuationSeparator" w:id="0">
    <w:p w14:paraId="4C759E92" w14:textId="77777777" w:rsidR="009F3BE1" w:rsidRDefault="009F3BE1" w:rsidP="00714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4BDCE" w14:textId="4D5D5A61" w:rsidR="00132F83" w:rsidRDefault="00132F83">
    <w:pPr>
      <w:pStyle w:val="Footer"/>
      <w:jc w:val="center"/>
    </w:pPr>
    <w:r>
      <w:t xml:space="preserve">B9 (PF) - </w:t>
    </w:r>
    <w:sdt>
      <w:sdtPr>
        <w:id w:val="13627878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219A6">
          <w:rPr>
            <w:noProof/>
          </w:rPr>
          <w:t>9</w:t>
        </w:r>
        <w:r>
          <w:rPr>
            <w:noProof/>
          </w:rPr>
          <w:fldChar w:fldCharType="end"/>
        </w:r>
      </w:sdtContent>
    </w:sdt>
  </w:p>
  <w:p w14:paraId="6D62067F" w14:textId="786C64D2" w:rsidR="00132F83" w:rsidRDefault="00132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1C00D" w14:textId="77777777" w:rsidR="009F3BE1" w:rsidRDefault="009F3BE1" w:rsidP="007145EE">
      <w:pPr>
        <w:spacing w:after="0" w:line="240" w:lineRule="auto"/>
      </w:pPr>
      <w:r>
        <w:separator/>
      </w:r>
    </w:p>
  </w:footnote>
  <w:footnote w:type="continuationSeparator" w:id="0">
    <w:p w14:paraId="2C8CCAD6" w14:textId="77777777" w:rsidR="009F3BE1" w:rsidRDefault="009F3BE1" w:rsidP="007145EE">
      <w:pPr>
        <w:spacing w:after="0" w:line="240" w:lineRule="auto"/>
      </w:pPr>
      <w:r>
        <w:continuationSeparator/>
      </w:r>
    </w:p>
  </w:footnote>
  <w:footnote w:id="1">
    <w:p w14:paraId="2292E4FF" w14:textId="0680B8D9" w:rsidR="00865A49" w:rsidRPr="00D822E3" w:rsidRDefault="00865A49">
      <w:pPr>
        <w:pStyle w:val="FootnoteText"/>
        <w:rPr>
          <w:rFonts w:asciiTheme="minorHAnsi" w:hAnsiTheme="minorHAnsi"/>
          <w:sz w:val="22"/>
          <w:szCs w:val="22"/>
        </w:rPr>
      </w:pPr>
      <w:r w:rsidRPr="00D822E3">
        <w:rPr>
          <w:rStyle w:val="FootnoteReference"/>
          <w:rFonts w:asciiTheme="minorHAnsi" w:hAnsiTheme="minorHAnsi"/>
          <w:sz w:val="22"/>
          <w:szCs w:val="22"/>
        </w:rPr>
        <w:footnoteRef/>
      </w:r>
      <w:r w:rsidRPr="00D822E3">
        <w:rPr>
          <w:rFonts w:asciiTheme="minorHAnsi" w:hAnsiTheme="minorHAnsi"/>
          <w:sz w:val="22"/>
          <w:szCs w:val="22"/>
        </w:rPr>
        <w:t xml:space="preserve"> for the HC05: SE = 115, CV = 0.48; for the threshold, the uncertainty bound due to slope values represents an additional order of magnitude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cryptProviderType="rsaAES" w:cryptAlgorithmClass="hash" w:cryptAlgorithmType="typeAny" w:cryptAlgorithmSid="14" w:cryptSpinCount="100000" w:hash="W9igNJYDgUi2tYzy+j7RyIUUK6X4HhyL0yj5fVYP2vNob6Nemxsxp4qEyWIzfN0wy1BmwY/DWdWV42eXsE/g1A==" w:salt="IrnxkZqllnkDkilNIJZLww=="/>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EEB"/>
    <w:rsid w:val="0001589D"/>
    <w:rsid w:val="00020198"/>
    <w:rsid w:val="00023F86"/>
    <w:rsid w:val="00023FFB"/>
    <w:rsid w:val="00030F02"/>
    <w:rsid w:val="00041F8E"/>
    <w:rsid w:val="00082410"/>
    <w:rsid w:val="000A1367"/>
    <w:rsid w:val="000A5522"/>
    <w:rsid w:val="000D3413"/>
    <w:rsid w:val="000D6B36"/>
    <w:rsid w:val="000E6085"/>
    <w:rsid w:val="00122A6B"/>
    <w:rsid w:val="001238A6"/>
    <w:rsid w:val="00127580"/>
    <w:rsid w:val="00132F83"/>
    <w:rsid w:val="001466DD"/>
    <w:rsid w:val="0015490B"/>
    <w:rsid w:val="00185AE3"/>
    <w:rsid w:val="0019524E"/>
    <w:rsid w:val="001A0991"/>
    <w:rsid w:val="001A458A"/>
    <w:rsid w:val="001A5C6C"/>
    <w:rsid w:val="001B1E37"/>
    <w:rsid w:val="001B70E5"/>
    <w:rsid w:val="001F40AF"/>
    <w:rsid w:val="00210F0F"/>
    <w:rsid w:val="00230869"/>
    <w:rsid w:val="00253E41"/>
    <w:rsid w:val="00271AB4"/>
    <w:rsid w:val="00277104"/>
    <w:rsid w:val="002A3CB5"/>
    <w:rsid w:val="002B7581"/>
    <w:rsid w:val="002F4C3E"/>
    <w:rsid w:val="003231A8"/>
    <w:rsid w:val="00324EF4"/>
    <w:rsid w:val="00335316"/>
    <w:rsid w:val="00336EE1"/>
    <w:rsid w:val="00365851"/>
    <w:rsid w:val="0037632C"/>
    <w:rsid w:val="003E2722"/>
    <w:rsid w:val="003E5ED1"/>
    <w:rsid w:val="003F37EA"/>
    <w:rsid w:val="00406A2D"/>
    <w:rsid w:val="00410EC9"/>
    <w:rsid w:val="00433914"/>
    <w:rsid w:val="00463617"/>
    <w:rsid w:val="004B36A0"/>
    <w:rsid w:val="004C17C0"/>
    <w:rsid w:val="004E687C"/>
    <w:rsid w:val="00503613"/>
    <w:rsid w:val="00514E24"/>
    <w:rsid w:val="00520DEC"/>
    <w:rsid w:val="005539F8"/>
    <w:rsid w:val="005600DF"/>
    <w:rsid w:val="005811FD"/>
    <w:rsid w:val="00590739"/>
    <w:rsid w:val="005A72D8"/>
    <w:rsid w:val="005B5D67"/>
    <w:rsid w:val="005D3F03"/>
    <w:rsid w:val="00605236"/>
    <w:rsid w:val="00642BC7"/>
    <w:rsid w:val="0065259B"/>
    <w:rsid w:val="00660D2E"/>
    <w:rsid w:val="006B0388"/>
    <w:rsid w:val="006C42D5"/>
    <w:rsid w:val="006C71AE"/>
    <w:rsid w:val="006C7B60"/>
    <w:rsid w:val="006F693C"/>
    <w:rsid w:val="007074AB"/>
    <w:rsid w:val="007145EE"/>
    <w:rsid w:val="00756863"/>
    <w:rsid w:val="00762F2C"/>
    <w:rsid w:val="0076385D"/>
    <w:rsid w:val="00791F61"/>
    <w:rsid w:val="007B3EEB"/>
    <w:rsid w:val="007C1081"/>
    <w:rsid w:val="007E12CE"/>
    <w:rsid w:val="00831D04"/>
    <w:rsid w:val="00850626"/>
    <w:rsid w:val="00861C0D"/>
    <w:rsid w:val="00864041"/>
    <w:rsid w:val="00865A49"/>
    <w:rsid w:val="00876C1A"/>
    <w:rsid w:val="00895039"/>
    <w:rsid w:val="008A2365"/>
    <w:rsid w:val="008A4928"/>
    <w:rsid w:val="008C12C1"/>
    <w:rsid w:val="008E2DAF"/>
    <w:rsid w:val="009133EC"/>
    <w:rsid w:val="00947E69"/>
    <w:rsid w:val="00972878"/>
    <w:rsid w:val="009D7DC1"/>
    <w:rsid w:val="009E7D0F"/>
    <w:rsid w:val="009F317E"/>
    <w:rsid w:val="009F3BE1"/>
    <w:rsid w:val="00A11582"/>
    <w:rsid w:val="00A31B91"/>
    <w:rsid w:val="00A40C76"/>
    <w:rsid w:val="00A44915"/>
    <w:rsid w:val="00A574CF"/>
    <w:rsid w:val="00A9403F"/>
    <w:rsid w:val="00AA18F6"/>
    <w:rsid w:val="00B1102F"/>
    <w:rsid w:val="00B219A6"/>
    <w:rsid w:val="00B27950"/>
    <w:rsid w:val="00B31F65"/>
    <w:rsid w:val="00B76FA0"/>
    <w:rsid w:val="00B83CC2"/>
    <w:rsid w:val="00B846E4"/>
    <w:rsid w:val="00BA134F"/>
    <w:rsid w:val="00BA4480"/>
    <w:rsid w:val="00BB290A"/>
    <w:rsid w:val="00BE41B0"/>
    <w:rsid w:val="00BF1077"/>
    <w:rsid w:val="00BF764F"/>
    <w:rsid w:val="00C208CD"/>
    <w:rsid w:val="00C246CE"/>
    <w:rsid w:val="00C24C39"/>
    <w:rsid w:val="00C50A2F"/>
    <w:rsid w:val="00C72670"/>
    <w:rsid w:val="00C751E1"/>
    <w:rsid w:val="00C931FC"/>
    <w:rsid w:val="00C96EE4"/>
    <w:rsid w:val="00C971F2"/>
    <w:rsid w:val="00CC00E3"/>
    <w:rsid w:val="00CC7F89"/>
    <w:rsid w:val="00CE5A87"/>
    <w:rsid w:val="00D10FCA"/>
    <w:rsid w:val="00D5335D"/>
    <w:rsid w:val="00D74A76"/>
    <w:rsid w:val="00D822E3"/>
    <w:rsid w:val="00D93534"/>
    <w:rsid w:val="00DB5738"/>
    <w:rsid w:val="00E0186E"/>
    <w:rsid w:val="00E01BC4"/>
    <w:rsid w:val="00E2599D"/>
    <w:rsid w:val="00E30B1A"/>
    <w:rsid w:val="00E315A5"/>
    <w:rsid w:val="00E57093"/>
    <w:rsid w:val="00E736EB"/>
    <w:rsid w:val="00E92F41"/>
    <w:rsid w:val="00EB40BB"/>
    <w:rsid w:val="00EB6F4E"/>
    <w:rsid w:val="00EC0D13"/>
    <w:rsid w:val="00F52057"/>
    <w:rsid w:val="00F6303D"/>
    <w:rsid w:val="00F7329C"/>
    <w:rsid w:val="00F76250"/>
    <w:rsid w:val="00F76D53"/>
    <w:rsid w:val="00F93039"/>
    <w:rsid w:val="00FA52A3"/>
    <w:rsid w:val="00FA7ED8"/>
    <w:rsid w:val="00FC7441"/>
    <w:rsid w:val="00FD7A06"/>
    <w:rsid w:val="00FF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30313"/>
  <w15:docId w15:val="{18B46441-3459-4EE8-8AF2-7F11158A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rsid w:val="007B3EEB"/>
    <w:pPr>
      <w:spacing w:after="0" w:line="240" w:lineRule="auto"/>
    </w:pPr>
    <w:rPr>
      <w:rFonts w:ascii="Times New Roman" w:eastAsia="Times New Roman" w:hAnsi="Times New Roman" w:cs="Times New Roman"/>
      <w:b/>
      <w:bCs/>
      <w:sz w:val="20"/>
      <w:szCs w:val="20"/>
    </w:rPr>
  </w:style>
  <w:style w:type="character" w:styleId="Hyperlink">
    <w:name w:val="Hyperlink"/>
    <w:basedOn w:val="DefaultParagraphFont"/>
    <w:rsid w:val="007145EE"/>
    <w:rPr>
      <w:color w:val="0000FF"/>
      <w:u w:val="single"/>
    </w:rPr>
  </w:style>
  <w:style w:type="paragraph" w:styleId="FootnoteText">
    <w:name w:val="footnote text"/>
    <w:basedOn w:val="Normal"/>
    <w:link w:val="FootnoteTextChar"/>
    <w:semiHidden/>
    <w:rsid w:val="007145EE"/>
    <w:pPr>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semiHidden/>
    <w:rsid w:val="007145EE"/>
    <w:rPr>
      <w:rFonts w:ascii="Times New Roman" w:eastAsia="Times New Roman" w:hAnsi="Times New Roman" w:cs="Times New Roman"/>
      <w:sz w:val="20"/>
      <w:szCs w:val="24"/>
    </w:rPr>
  </w:style>
  <w:style w:type="character" w:styleId="FootnoteReference">
    <w:name w:val="footnote reference"/>
    <w:basedOn w:val="DefaultParagraphFont"/>
    <w:semiHidden/>
    <w:rsid w:val="007145EE"/>
    <w:rPr>
      <w:vertAlign w:val="superscript"/>
    </w:rPr>
  </w:style>
  <w:style w:type="table" w:styleId="TableGrid">
    <w:name w:val="Table Grid"/>
    <w:basedOn w:val="TableNormal"/>
    <w:rsid w:val="00642B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basedOn w:val="DefaultParagraphFont"/>
    <w:link w:val="Caption"/>
    <w:rsid w:val="00EB6F4E"/>
    <w:rPr>
      <w:rFonts w:ascii="Times New Roman" w:eastAsia="Times New Roman" w:hAnsi="Times New Roman" w:cs="Times New Roman"/>
      <w:b/>
      <w:bCs/>
      <w:sz w:val="20"/>
      <w:szCs w:val="20"/>
    </w:rPr>
  </w:style>
  <w:style w:type="paragraph" w:customStyle="1" w:styleId="Default">
    <w:name w:val="Default"/>
    <w:rsid w:val="00210F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10F0F"/>
    <w:rPr>
      <w:sz w:val="16"/>
      <w:szCs w:val="16"/>
    </w:rPr>
  </w:style>
  <w:style w:type="paragraph" w:styleId="CommentText">
    <w:name w:val="annotation text"/>
    <w:basedOn w:val="Normal"/>
    <w:link w:val="CommentTextChar"/>
    <w:uiPriority w:val="99"/>
    <w:semiHidden/>
    <w:unhideWhenUsed/>
    <w:rsid w:val="00210F0F"/>
    <w:pPr>
      <w:spacing w:line="240" w:lineRule="auto"/>
    </w:pPr>
    <w:rPr>
      <w:sz w:val="20"/>
      <w:szCs w:val="20"/>
    </w:rPr>
  </w:style>
  <w:style w:type="character" w:customStyle="1" w:styleId="CommentTextChar">
    <w:name w:val="Comment Text Char"/>
    <w:basedOn w:val="DefaultParagraphFont"/>
    <w:link w:val="CommentText"/>
    <w:uiPriority w:val="99"/>
    <w:semiHidden/>
    <w:rsid w:val="00210F0F"/>
    <w:rPr>
      <w:sz w:val="20"/>
      <w:szCs w:val="20"/>
    </w:rPr>
  </w:style>
  <w:style w:type="paragraph" w:styleId="CommentSubject">
    <w:name w:val="annotation subject"/>
    <w:basedOn w:val="CommentText"/>
    <w:next w:val="CommentText"/>
    <w:link w:val="CommentSubjectChar"/>
    <w:uiPriority w:val="99"/>
    <w:semiHidden/>
    <w:unhideWhenUsed/>
    <w:rsid w:val="00210F0F"/>
    <w:rPr>
      <w:b/>
      <w:bCs/>
    </w:rPr>
  </w:style>
  <w:style w:type="character" w:customStyle="1" w:styleId="CommentSubjectChar">
    <w:name w:val="Comment Subject Char"/>
    <w:basedOn w:val="CommentTextChar"/>
    <w:link w:val="CommentSubject"/>
    <w:uiPriority w:val="99"/>
    <w:semiHidden/>
    <w:rsid w:val="00210F0F"/>
    <w:rPr>
      <w:b/>
      <w:bCs/>
      <w:sz w:val="20"/>
      <w:szCs w:val="20"/>
    </w:rPr>
  </w:style>
  <w:style w:type="paragraph" w:styleId="BalloonText">
    <w:name w:val="Balloon Text"/>
    <w:basedOn w:val="Normal"/>
    <w:link w:val="BalloonTextChar"/>
    <w:uiPriority w:val="99"/>
    <w:semiHidden/>
    <w:unhideWhenUsed/>
    <w:rsid w:val="00210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F0F"/>
    <w:rPr>
      <w:rFonts w:ascii="Segoe UI" w:hAnsi="Segoe UI" w:cs="Segoe UI"/>
      <w:sz w:val="18"/>
      <w:szCs w:val="18"/>
    </w:rPr>
  </w:style>
  <w:style w:type="paragraph" w:styleId="Header">
    <w:name w:val="header"/>
    <w:basedOn w:val="Normal"/>
    <w:link w:val="HeaderChar"/>
    <w:uiPriority w:val="99"/>
    <w:unhideWhenUsed/>
    <w:rsid w:val="00132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F83"/>
  </w:style>
  <w:style w:type="paragraph" w:styleId="Footer">
    <w:name w:val="footer"/>
    <w:basedOn w:val="Normal"/>
    <w:link w:val="FooterChar"/>
    <w:uiPriority w:val="99"/>
    <w:unhideWhenUsed/>
    <w:rsid w:val="00132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ubs.usgs.gov/of/2005/1307/"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9956D-1681-4387-93DE-AF9F6C22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3415</Words>
  <Characters>19468</Characters>
  <Application>Microsoft Office Word</Application>
  <DocSecurity>6</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Peck, Charles</dc:creator>
  <cp:lastModifiedBy>Garber, Kristina</cp:lastModifiedBy>
  <cp:revision>6</cp:revision>
  <dcterms:created xsi:type="dcterms:W3CDTF">2017-01-06T19:29:00Z</dcterms:created>
  <dcterms:modified xsi:type="dcterms:W3CDTF">2017-01-10T20:38:00Z</dcterms:modified>
</cp:coreProperties>
</file>