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9802" w14:textId="1FBA1066" w:rsidR="00CC664F" w:rsidRDefault="00CD6E03" w:rsidP="00CC664F">
      <w:pPr>
        <w:rPr>
          <w:b/>
          <w:color w:val="4472C4" w:themeColor="accent5"/>
          <w:sz w:val="32"/>
          <w:szCs w:val="32"/>
        </w:rPr>
      </w:pPr>
      <w:r>
        <w:rPr>
          <w:b/>
          <w:color w:val="4472C4" w:themeColor="accent5"/>
          <w:sz w:val="32"/>
          <w:szCs w:val="32"/>
        </w:rPr>
        <w:t>Clothianidin</w:t>
      </w:r>
      <w:r w:rsidR="00CC664F" w:rsidRPr="00D279F4">
        <w:rPr>
          <w:b/>
          <w:color w:val="4472C4" w:themeColor="accent5"/>
          <w:sz w:val="32"/>
          <w:szCs w:val="32"/>
        </w:rPr>
        <w:t xml:space="preserve"> Executive Summary for </w:t>
      </w:r>
      <w:r w:rsidR="00B01EBB">
        <w:rPr>
          <w:b/>
          <w:color w:val="4472C4" w:themeColor="accent5"/>
          <w:sz w:val="32"/>
          <w:szCs w:val="32"/>
        </w:rPr>
        <w:t>Biological Evaluation</w:t>
      </w:r>
    </w:p>
    <w:p w14:paraId="7768384A" w14:textId="77777777" w:rsidR="00330467" w:rsidRDefault="00330467"/>
    <w:p w14:paraId="400042D2" w14:textId="5F04D711" w:rsidR="008322C6" w:rsidRDefault="007E1321" w:rsidP="575D139D">
      <w:r>
        <w:t xml:space="preserve">A biological evaluation (BE) is a generic term for an analysis that a federal agency conducts when it </w:t>
      </w:r>
      <w:proofErr w:type="gramStart"/>
      <w:r>
        <w:t>takes action</w:t>
      </w:r>
      <w:proofErr w:type="gramEnd"/>
      <w:r>
        <w:t xml:space="preserve"> subject to review under the Endangered Species Act (ESA). EPA prepares a BE to evaluate the potential effects of an agency action (here </w:t>
      </w:r>
      <w:r w:rsidR="00330467">
        <w:t xml:space="preserve">registered uses of </w:t>
      </w:r>
      <w:r w:rsidR="00CD6E03">
        <w:t>clothianidin</w:t>
      </w:r>
      <w:r w:rsidR="00DF03C3">
        <w:t xml:space="preserve"> (</w:t>
      </w:r>
      <w:r w:rsidR="00A0790B">
        <w:t xml:space="preserve">PC Codes: </w:t>
      </w:r>
      <w:r w:rsidR="00CD6E03">
        <w:t>044309</w:t>
      </w:r>
      <w:r w:rsidR="00330467">
        <w:t>)</w:t>
      </w:r>
      <w:r>
        <w:t xml:space="preserve"> on listed and proposed species and designated and proposed critical habitat)</w:t>
      </w:r>
      <w:r w:rsidR="007166BF">
        <w:t xml:space="preserve">. </w:t>
      </w:r>
      <w:r w:rsidR="0082687E">
        <w:t>Th</w:t>
      </w:r>
      <w:r>
        <w:t xml:space="preserve">is BE </w:t>
      </w:r>
      <w:proofErr w:type="gramStart"/>
      <w:r w:rsidR="0082687E">
        <w:t>encompasses</w:t>
      </w:r>
      <w:proofErr w:type="gramEnd"/>
      <w:r w:rsidR="0082687E">
        <w:t xml:space="preserve"> the review of all </w:t>
      </w:r>
      <w:r>
        <w:t xml:space="preserve">the </w:t>
      </w:r>
      <w:r w:rsidR="0082687E">
        <w:t xml:space="preserve">registered uses, and </w:t>
      </w:r>
      <w:r>
        <w:t xml:space="preserve">the </w:t>
      </w:r>
      <w:r w:rsidR="0082687E">
        <w:t xml:space="preserve">approved product labels for all pesticide products containing </w:t>
      </w:r>
      <w:r w:rsidR="00CD6E03">
        <w:t>clothianidin</w:t>
      </w:r>
      <w:r w:rsidR="0082687E">
        <w:t>.</w:t>
      </w:r>
    </w:p>
    <w:p w14:paraId="3CE683EE" w14:textId="77777777" w:rsidR="008322C6" w:rsidRDefault="008322C6" w:rsidP="575D139D"/>
    <w:p w14:paraId="6B66151D" w14:textId="76FDE3FA" w:rsidR="007E1321" w:rsidRDefault="003916B6" w:rsidP="13FCB244">
      <w:pPr>
        <w:rPr>
          <w:rFonts w:eastAsiaTheme="minorEastAsia"/>
        </w:rPr>
      </w:pPr>
      <w:r>
        <w:rPr>
          <w:rStyle w:val="eop"/>
        </w:rPr>
        <w:t xml:space="preserve">Under its current approach for registration review for conventional pesticides, EPA meets its ESA obligations through a three-step process. </w:t>
      </w:r>
      <w:r w:rsidRPr="14F7C6B6">
        <w:rPr>
          <w:rStyle w:val="eop"/>
        </w:rPr>
        <w:t xml:space="preserve">EPA’s development of this BE includes two steps. </w:t>
      </w:r>
      <w:r w:rsidRPr="14F7C6B6">
        <w:rPr>
          <w:rFonts w:eastAsiaTheme="minorEastAsia"/>
        </w:rPr>
        <w:t xml:space="preserve">In Step 1, for each listed species and each designated critical habitat, EPA evaluates whether the registered uses of </w:t>
      </w:r>
      <w:r w:rsidR="00542E25">
        <w:rPr>
          <w:rFonts w:eastAsiaTheme="minorEastAsia"/>
        </w:rPr>
        <w:t>clothianidin</w:t>
      </w:r>
      <w:r w:rsidRPr="14F7C6B6">
        <w:rPr>
          <w:rFonts w:eastAsiaTheme="minorEastAsia"/>
        </w:rPr>
        <w:t xml:space="preserve"> will have No Effect (NE) or if the registered uses May Affect (MA) an individual of such species or habitat (separate determinations made for each species and critical habitat).</w:t>
      </w:r>
      <w:r>
        <w:rPr>
          <w:rFonts w:eastAsiaTheme="minorEastAsia"/>
        </w:rPr>
        <w:t xml:space="preserve"> </w:t>
      </w:r>
      <w:r w:rsidRPr="14F7C6B6">
        <w:rPr>
          <w:rFonts w:eastAsiaTheme="minorEastAsia"/>
        </w:rPr>
        <w:t xml:space="preserve">More specifically, </w:t>
      </w:r>
      <w:r w:rsidRPr="00D957E6">
        <w:rPr>
          <w:rFonts w:eastAsiaTheme="minorEastAsia"/>
        </w:rPr>
        <w:t xml:space="preserve">Step 1 is intended to be a conservative screen that is heavily reliant upon overlap of </w:t>
      </w:r>
      <w:r>
        <w:rPr>
          <w:rFonts w:eastAsiaTheme="minorEastAsia"/>
        </w:rPr>
        <w:t xml:space="preserve">(1) </w:t>
      </w:r>
      <w:r w:rsidRPr="00D957E6">
        <w:rPr>
          <w:rFonts w:eastAsiaTheme="minorEastAsia"/>
        </w:rPr>
        <w:t xml:space="preserve">areas where </w:t>
      </w:r>
      <w:r>
        <w:rPr>
          <w:rFonts w:eastAsiaTheme="minorEastAsia"/>
        </w:rPr>
        <w:t xml:space="preserve">an environmentally discernable effect could occur from any labeled use of </w:t>
      </w:r>
      <w:r w:rsidRPr="00D957E6">
        <w:rPr>
          <w:rFonts w:eastAsiaTheme="minorEastAsia"/>
        </w:rPr>
        <w:t xml:space="preserve">the pesticide being assessed </w:t>
      </w:r>
      <w:r>
        <w:rPr>
          <w:rFonts w:eastAsiaTheme="minorEastAsia"/>
        </w:rPr>
        <w:t xml:space="preserve">(assumes the pesticide could be used in all areas allowable on the label) </w:t>
      </w:r>
      <w:r w:rsidRPr="00D957E6">
        <w:rPr>
          <w:rFonts w:eastAsiaTheme="minorEastAsia"/>
        </w:rPr>
        <w:t xml:space="preserve">with </w:t>
      </w:r>
      <w:r>
        <w:rPr>
          <w:rFonts w:eastAsiaTheme="minorEastAsia"/>
        </w:rPr>
        <w:t xml:space="preserve">(2) areas where </w:t>
      </w:r>
      <w:r w:rsidRPr="00D957E6">
        <w:rPr>
          <w:rFonts w:eastAsiaTheme="minorEastAsia"/>
        </w:rPr>
        <w:t>species range/designated critical</w:t>
      </w:r>
      <w:r>
        <w:rPr>
          <w:rFonts w:eastAsiaTheme="minorEastAsia"/>
        </w:rPr>
        <w:t xml:space="preserve"> </w:t>
      </w:r>
      <w:r w:rsidRPr="00D957E6">
        <w:rPr>
          <w:rFonts w:eastAsiaTheme="minorEastAsia"/>
        </w:rPr>
        <w:t>habitat</w:t>
      </w:r>
      <w:r>
        <w:rPr>
          <w:rFonts w:eastAsiaTheme="minorEastAsia"/>
        </w:rPr>
        <w:t xml:space="preserve"> occurs</w:t>
      </w:r>
      <w:r w:rsidRPr="00D957E6">
        <w:rPr>
          <w:rFonts w:eastAsiaTheme="minorEastAsia"/>
        </w:rPr>
        <w:t>.</w:t>
      </w:r>
      <w:r>
        <w:rPr>
          <w:rFonts w:eastAsiaTheme="minorEastAsia"/>
        </w:rPr>
        <w:t xml:space="preserve"> </w:t>
      </w:r>
      <w:r w:rsidRPr="00D957E6">
        <w:rPr>
          <w:rFonts w:eastAsiaTheme="minorEastAsia"/>
        </w:rPr>
        <w:t xml:space="preserve">It uses conservative assumptions and is intended to screen out species that are not reasonably expected to be exposed </w:t>
      </w:r>
      <w:r>
        <w:rPr>
          <w:rFonts w:eastAsiaTheme="minorEastAsia"/>
        </w:rPr>
        <w:t xml:space="preserve">to the pesticide </w:t>
      </w:r>
      <w:r w:rsidRPr="00D957E6">
        <w:rPr>
          <w:rFonts w:eastAsiaTheme="minorEastAsia"/>
        </w:rPr>
        <w:t xml:space="preserve">because they are outside of the </w:t>
      </w:r>
      <w:r>
        <w:rPr>
          <w:rFonts w:eastAsiaTheme="minorEastAsia"/>
        </w:rPr>
        <w:t xml:space="preserve">pesticide use area. </w:t>
      </w:r>
      <w:r w:rsidRPr="14F7C6B6">
        <w:rPr>
          <w:rFonts w:eastAsiaTheme="minorEastAsia"/>
        </w:rPr>
        <w:t xml:space="preserve">If EPA determines there is no effect, that is the end of the analysis for that </w:t>
      </w:r>
      <w:proofErr w:type="gramStart"/>
      <w:r w:rsidRPr="14F7C6B6">
        <w:rPr>
          <w:rFonts w:eastAsiaTheme="minorEastAsia"/>
        </w:rPr>
        <w:t>particular species</w:t>
      </w:r>
      <w:proofErr w:type="gramEnd"/>
      <w:r w:rsidRPr="14F7C6B6">
        <w:rPr>
          <w:rFonts w:eastAsiaTheme="minorEastAsia"/>
        </w:rPr>
        <w:t>.</w:t>
      </w:r>
    </w:p>
    <w:p w14:paraId="5AAFCD23" w14:textId="77777777" w:rsidR="007E1321" w:rsidRDefault="007E1321" w:rsidP="00CE1C66">
      <w:pPr>
        <w:rPr>
          <w:rFonts w:eastAsiaTheme="minorEastAsia"/>
        </w:rPr>
      </w:pPr>
    </w:p>
    <w:p w14:paraId="17FB9E7F" w14:textId="362060BC" w:rsidR="007E1321" w:rsidRDefault="003916B6" w:rsidP="007E1321">
      <w:pPr>
        <w:rPr>
          <w:rFonts w:eastAsiaTheme="minorEastAsia"/>
        </w:rPr>
      </w:pPr>
      <w:r w:rsidRPr="14F7C6B6">
        <w:rPr>
          <w:rFonts w:eastAsiaTheme="minorEastAsia"/>
        </w:rPr>
        <w:t xml:space="preserve">In Step 2, for those species and critical habitats that EPA determines an individual may be affected, EPA uses additional information to determine if </w:t>
      </w:r>
      <w:r w:rsidR="00542E25">
        <w:rPr>
          <w:rFonts w:eastAsiaTheme="minorEastAsia"/>
        </w:rPr>
        <w:t>clothianidin</w:t>
      </w:r>
      <w:r w:rsidRPr="14F7C6B6">
        <w:rPr>
          <w:rFonts w:eastAsiaTheme="minorEastAsia"/>
        </w:rPr>
        <w:t xml:space="preserve"> may affect but </w:t>
      </w:r>
      <w:r>
        <w:rPr>
          <w:rFonts w:eastAsiaTheme="minorEastAsia"/>
        </w:rPr>
        <w:t>is N</w:t>
      </w:r>
      <w:r w:rsidRPr="14F7C6B6">
        <w:rPr>
          <w:rFonts w:eastAsiaTheme="minorEastAsia"/>
        </w:rPr>
        <w:t xml:space="preserve">ot Likely to Adversely Affect (NLAA) or may affect and is Likely to Adversely Affect (LAA) each individual species or critical habitat. </w:t>
      </w:r>
      <w:r w:rsidRPr="004606B4">
        <w:rPr>
          <w:rFonts w:eastAsiaTheme="minorEastAsia"/>
        </w:rPr>
        <w:t>Step 2</w:t>
      </w:r>
      <w:r>
        <w:rPr>
          <w:rFonts w:eastAsiaTheme="minorEastAsia"/>
        </w:rPr>
        <w:t xml:space="preserve"> </w:t>
      </w:r>
      <w:r w:rsidRPr="004606B4">
        <w:rPr>
          <w:rFonts w:eastAsiaTheme="minorEastAsia"/>
        </w:rPr>
        <w:t>uses a more refined spatial overlap with specific pesticide use sites to calculate the portion of the</w:t>
      </w:r>
      <w:r>
        <w:rPr>
          <w:rFonts w:eastAsiaTheme="minorEastAsia"/>
        </w:rPr>
        <w:t xml:space="preserve"> </w:t>
      </w:r>
      <w:r w:rsidRPr="004606B4">
        <w:rPr>
          <w:rFonts w:eastAsiaTheme="minorEastAsia"/>
        </w:rPr>
        <w:t xml:space="preserve">population exposed, considers life history information, </w:t>
      </w:r>
      <w:r>
        <w:rPr>
          <w:rFonts w:eastAsiaTheme="minorEastAsia"/>
        </w:rPr>
        <w:t>considers actual pesticide applications (usage data), additional</w:t>
      </w:r>
      <w:r w:rsidRPr="004606B4">
        <w:rPr>
          <w:rFonts w:eastAsiaTheme="minorEastAsia"/>
        </w:rPr>
        <w:t xml:space="preserve"> toxicity data</w:t>
      </w:r>
      <w:r>
        <w:rPr>
          <w:rFonts w:eastAsiaTheme="minorEastAsia"/>
        </w:rPr>
        <w:t>,</w:t>
      </w:r>
      <w:r w:rsidRPr="004606B4">
        <w:rPr>
          <w:rFonts w:eastAsiaTheme="minorEastAsia"/>
        </w:rPr>
        <w:t xml:space="preserve"> and </w:t>
      </w:r>
      <w:r>
        <w:rPr>
          <w:rFonts w:eastAsiaTheme="minorEastAsia"/>
        </w:rPr>
        <w:t xml:space="preserve">a range of </w:t>
      </w:r>
      <w:r w:rsidRPr="004606B4">
        <w:rPr>
          <w:rFonts w:eastAsiaTheme="minorEastAsia"/>
        </w:rPr>
        <w:t>potential exposure</w:t>
      </w:r>
      <w:r>
        <w:rPr>
          <w:rFonts w:eastAsiaTheme="minorEastAsia"/>
        </w:rPr>
        <w:t xml:space="preserve"> </w:t>
      </w:r>
      <w:r w:rsidRPr="004606B4">
        <w:rPr>
          <w:rFonts w:eastAsiaTheme="minorEastAsia"/>
        </w:rPr>
        <w:t xml:space="preserve">concentrations. </w:t>
      </w:r>
      <w:r w:rsidRPr="14F7C6B6">
        <w:rPr>
          <w:rFonts w:eastAsiaTheme="minorEastAsia"/>
        </w:rPr>
        <w:t>If EPA makes a NLAA determination, then EPA must informally consult with the Services. Otherwise, if EPA makes a LAA determination, EPA must engage in formal consultation with the Services. Details on the method, models and tools used for making NE, NLAA and LAA determinations are provided in the Revised Method document.</w:t>
      </w:r>
      <w:r>
        <w:rPr>
          <w:rStyle w:val="FootnoteReference"/>
          <w:rFonts w:eastAsiaTheme="minorEastAsia"/>
        </w:rPr>
        <w:footnoteReference w:id="2"/>
      </w:r>
    </w:p>
    <w:p w14:paraId="2AFC1E78" w14:textId="77777777" w:rsidR="007E1321" w:rsidRDefault="007E1321" w:rsidP="007E1321">
      <w:pPr>
        <w:rPr>
          <w:rFonts w:eastAsiaTheme="minorEastAsia"/>
        </w:rPr>
      </w:pPr>
    </w:p>
    <w:p w14:paraId="25299B24" w14:textId="1761F04B" w:rsidR="007E1321" w:rsidRPr="007F52A1" w:rsidRDefault="003916B6" w:rsidP="007E1321">
      <w:pPr>
        <w:rPr>
          <w:rFonts w:ascii="Calibri" w:eastAsia="Calibri" w:hAnsi="Calibri" w:cs="Calibri"/>
        </w:rPr>
      </w:pPr>
      <w:r w:rsidRPr="14F7C6B6">
        <w:rPr>
          <w:rFonts w:eastAsiaTheme="minorEastAsia"/>
        </w:rPr>
        <w:t xml:space="preserve">Practically, the LAA </w:t>
      </w:r>
      <w:r w:rsidRPr="005043BC">
        <w:rPr>
          <w:rFonts w:ascii="Calibri" w:eastAsia="Calibri" w:hAnsi="Calibri" w:cs="Calibri"/>
        </w:rPr>
        <w:t xml:space="preserve">threshold for a BE is very </w:t>
      </w:r>
      <w:r>
        <w:rPr>
          <w:rFonts w:ascii="Calibri" w:eastAsia="Calibri" w:hAnsi="Calibri" w:cs="Calibri"/>
        </w:rPr>
        <w:t>conservative</w:t>
      </w:r>
      <w:r w:rsidRPr="005043BC">
        <w:rPr>
          <w:rFonts w:ascii="Calibri" w:eastAsia="Calibri" w:hAnsi="Calibri" w:cs="Calibri"/>
        </w:rPr>
        <w:t xml:space="preserve"> as the </w:t>
      </w:r>
      <w:r>
        <w:rPr>
          <w:rFonts w:ascii="Calibri" w:eastAsia="Calibri" w:hAnsi="Calibri" w:cs="Calibri"/>
        </w:rPr>
        <w:t xml:space="preserve">likely </w:t>
      </w:r>
      <w:r w:rsidRPr="005043BC">
        <w:rPr>
          <w:rFonts w:ascii="Calibri" w:eastAsia="Calibri" w:hAnsi="Calibri" w:cs="Calibri"/>
        </w:rPr>
        <w:t>“take” of even one individual of a species triggers LAA (even if that species is almost recovered</w:t>
      </w:r>
      <w:r w:rsidRPr="14F7C6B6">
        <w:rPr>
          <w:rFonts w:ascii="Calibri" w:eastAsia="Calibri" w:hAnsi="Calibri" w:cs="Calibri"/>
        </w:rPr>
        <w:t>).</w:t>
      </w:r>
      <w:r w:rsidRPr="005043BC">
        <w:rPr>
          <w:rFonts w:ascii="Calibri" w:eastAsia="Calibri" w:hAnsi="Calibri" w:cs="Calibri"/>
        </w:rPr>
        <w:t xml:space="preserve"> This often results in a high number of </w:t>
      </w:r>
      <w:r>
        <w:rPr>
          <w:rFonts w:ascii="Calibri" w:eastAsia="Calibri" w:hAnsi="Calibri" w:cs="Calibri"/>
        </w:rPr>
        <w:t>M</w:t>
      </w:r>
      <w:r w:rsidRPr="005043BC">
        <w:rPr>
          <w:rFonts w:ascii="Calibri" w:eastAsia="Calibri" w:hAnsi="Calibri" w:cs="Calibri"/>
        </w:rPr>
        <w:t xml:space="preserve">ay </w:t>
      </w:r>
      <w:r>
        <w:rPr>
          <w:rFonts w:ascii="Calibri" w:eastAsia="Calibri" w:hAnsi="Calibri" w:cs="Calibri"/>
        </w:rPr>
        <w:t>A</w:t>
      </w:r>
      <w:r w:rsidRPr="005043BC">
        <w:rPr>
          <w:rFonts w:ascii="Calibri" w:eastAsia="Calibri" w:hAnsi="Calibri" w:cs="Calibri"/>
        </w:rPr>
        <w:t xml:space="preserve">ffect determinations in a BE. </w:t>
      </w:r>
      <w:r>
        <w:rPr>
          <w:rFonts w:ascii="Calibri" w:eastAsia="Calibri" w:hAnsi="Calibri" w:cs="Calibri"/>
        </w:rPr>
        <w:t>An LAA determination in the</w:t>
      </w:r>
      <w:r w:rsidRPr="005043BC">
        <w:rPr>
          <w:rFonts w:ascii="Calibri" w:eastAsia="Calibri" w:hAnsi="Calibri" w:cs="Calibri"/>
        </w:rPr>
        <w:t xml:space="preserve"> BE, however, should not be interpreted to mean that EPA has </w:t>
      </w:r>
      <w:proofErr w:type="gramStart"/>
      <w:r w:rsidRPr="005043BC">
        <w:rPr>
          <w:rFonts w:ascii="Calibri" w:eastAsia="Calibri" w:hAnsi="Calibri" w:cs="Calibri"/>
        </w:rPr>
        <w:t>made a determination</w:t>
      </w:r>
      <w:proofErr w:type="gramEnd"/>
      <w:r w:rsidRPr="005043BC">
        <w:rPr>
          <w:rFonts w:ascii="Calibri" w:eastAsia="Calibri" w:hAnsi="Calibri" w:cs="Calibri"/>
        </w:rPr>
        <w:t xml:space="preserve"> that </w:t>
      </w:r>
      <w:r w:rsidR="00542E25">
        <w:rPr>
          <w:rFonts w:ascii="Calibri" w:eastAsia="Calibri" w:hAnsi="Calibri" w:cs="Calibri"/>
        </w:rPr>
        <w:t>clothianidin</w:t>
      </w:r>
      <w:r w:rsidRPr="005043BC">
        <w:rPr>
          <w:rFonts w:ascii="Calibri" w:eastAsia="Calibri" w:hAnsi="Calibri" w:cs="Calibri"/>
        </w:rPr>
        <w:t xml:space="preserve"> is putting a species in </w:t>
      </w:r>
      <w:r w:rsidRPr="14F7C6B6">
        <w:rPr>
          <w:rFonts w:ascii="Calibri" w:eastAsia="Calibri" w:hAnsi="Calibri" w:cs="Calibri"/>
        </w:rPr>
        <w:t>jeopardy</w:t>
      </w:r>
      <w:r w:rsidRPr="005043BC">
        <w:rPr>
          <w:rFonts w:ascii="Calibri" w:eastAsia="Calibri" w:hAnsi="Calibri" w:cs="Calibri"/>
        </w:rPr>
        <w:t xml:space="preserve">. Those determinations are made </w:t>
      </w:r>
      <w:proofErr w:type="gramStart"/>
      <w:r w:rsidRPr="005043BC">
        <w:rPr>
          <w:rFonts w:ascii="Calibri" w:eastAsia="Calibri" w:hAnsi="Calibri" w:cs="Calibri"/>
        </w:rPr>
        <w:t>in the course of</w:t>
      </w:r>
      <w:proofErr w:type="gramEnd"/>
      <w:r w:rsidRPr="005043BC">
        <w:rPr>
          <w:rFonts w:ascii="Calibri" w:eastAsia="Calibri" w:hAnsi="Calibri" w:cs="Calibri"/>
        </w:rPr>
        <w:t xml:space="preserve"> Step 3</w:t>
      </w:r>
      <w:r>
        <w:rPr>
          <w:rFonts w:ascii="Calibri" w:eastAsia="Calibri" w:hAnsi="Calibri" w:cs="Calibri"/>
        </w:rPr>
        <w:t xml:space="preserve"> by the National Marine Fisheries Service and the Fish and Wildlife Service (referred to as The Services)</w:t>
      </w:r>
      <w:r w:rsidRPr="005043BC">
        <w:rPr>
          <w:rFonts w:ascii="Calibri" w:eastAsia="Calibri" w:hAnsi="Calibri" w:cs="Calibri"/>
        </w:rPr>
        <w:t>.</w:t>
      </w:r>
    </w:p>
    <w:p w14:paraId="48317ABC" w14:textId="77777777" w:rsidR="007E1321" w:rsidRDefault="007E1321" w:rsidP="007E1321">
      <w:pPr>
        <w:rPr>
          <w:rFonts w:eastAsiaTheme="minorEastAsia"/>
        </w:rPr>
      </w:pPr>
    </w:p>
    <w:p w14:paraId="2D3E6327" w14:textId="09976BA9" w:rsidR="007E1321" w:rsidRDefault="007E1321" w:rsidP="007E1321">
      <w:pPr>
        <w:rPr>
          <w:rFonts w:eastAsiaTheme="minorEastAsia"/>
        </w:rPr>
      </w:pPr>
      <w:r w:rsidRPr="14F7C6B6">
        <w:rPr>
          <w:rFonts w:eastAsiaTheme="minorEastAsia"/>
        </w:rPr>
        <w:t>Step 3 is part of the formal consultation process. Here, the Services prepare a biological opinion (</w:t>
      </w:r>
      <w:r w:rsidR="003916B6">
        <w:rPr>
          <w:rFonts w:eastAsiaTheme="minorEastAsia"/>
        </w:rPr>
        <w:t>B</w:t>
      </w:r>
      <w:r w:rsidRPr="14F7C6B6">
        <w:rPr>
          <w:rFonts w:eastAsiaTheme="minorEastAsia"/>
        </w:rPr>
        <w:t>i</w:t>
      </w:r>
      <w:r w:rsidR="003916B6">
        <w:rPr>
          <w:rFonts w:eastAsiaTheme="minorEastAsia"/>
        </w:rPr>
        <w:t>O</w:t>
      </w:r>
      <w:r w:rsidRPr="14F7C6B6">
        <w:rPr>
          <w:rFonts w:eastAsiaTheme="minorEastAsia"/>
        </w:rPr>
        <w:t xml:space="preserve">p), which builds upon EPA’s BE to determine whether the potential adverse effect will jeopardize the continued existence of a species or destroy or adversely modify critical habitat. The analysis in Step 3 considers whether the anticipated adverse effects to individuals described in the BE will negatively </w:t>
      </w:r>
      <w:r w:rsidRPr="14F7C6B6">
        <w:rPr>
          <w:rFonts w:eastAsiaTheme="minorEastAsia"/>
        </w:rPr>
        <w:lastRenderedPageBreak/>
        <w:t xml:space="preserve">affect populations and the species they comprise such that they jeopardize the continued existence of the species. </w:t>
      </w:r>
    </w:p>
    <w:p w14:paraId="5E96EBC7" w14:textId="77777777" w:rsidR="00445B71" w:rsidRPr="008506C0" w:rsidRDefault="00445B71" w:rsidP="00CE1C66">
      <w:pPr>
        <w:rPr>
          <w:rFonts w:eastAsiaTheme="minorEastAsia"/>
          <w:color w:val="4472C4" w:themeColor="accent5"/>
        </w:rPr>
      </w:pPr>
    </w:p>
    <w:p w14:paraId="008EC454" w14:textId="1B76560B" w:rsidR="000470DD" w:rsidRPr="008506C0" w:rsidRDefault="00641ABE" w:rsidP="0045224D">
      <w:pPr>
        <w:pStyle w:val="Heading1"/>
        <w:rPr>
          <w:color w:val="4472C4" w:themeColor="accent5"/>
        </w:rPr>
      </w:pPr>
      <w:r w:rsidRPr="008506C0">
        <w:rPr>
          <w:color w:val="4472C4" w:themeColor="accent5"/>
        </w:rPr>
        <w:t>General Information</w:t>
      </w:r>
    </w:p>
    <w:p w14:paraId="2486265E" w14:textId="77777777" w:rsidR="00D15DE7" w:rsidRDefault="00D15DE7" w:rsidP="0045224D">
      <w:pPr>
        <w:rPr>
          <w:rFonts w:cstheme="minorHAnsi"/>
        </w:rPr>
      </w:pPr>
    </w:p>
    <w:p w14:paraId="050DD26A" w14:textId="3C2B3863" w:rsidR="00F97DA2" w:rsidRPr="004F5B7D" w:rsidRDefault="00FC707A" w:rsidP="78A3B47B">
      <w:r>
        <w:t>Clothianidin</w:t>
      </w:r>
      <w:r w:rsidRPr="005C7182">
        <w:t xml:space="preserve"> is in the N-nitroguanidine group of neonicotinoids (IRAC subclass 4A) along with </w:t>
      </w:r>
      <w:r w:rsidR="00542E25">
        <w:t>clothianidin</w:t>
      </w:r>
      <w:r w:rsidRPr="005C7182">
        <w:t xml:space="preserve">, </w:t>
      </w:r>
      <w:r>
        <w:t>thiamethoxam</w:t>
      </w:r>
      <w:r w:rsidRPr="005C7182">
        <w:t xml:space="preserve">, and dinotefuran. </w:t>
      </w:r>
      <w:r>
        <w:t>The</w:t>
      </w:r>
      <w:r w:rsidRPr="005C7182">
        <w:t xml:space="preserve"> mode of action </w:t>
      </w:r>
      <w:r w:rsidR="00851281">
        <w:t xml:space="preserve">for neonics </w:t>
      </w:r>
      <w:r w:rsidRPr="005C7182">
        <w:t xml:space="preserve">on target insects (terrestrial and aquatic) involves out-competing the neurotransmitter acetylcholine for available binding sites on the nAChRs </w:t>
      </w:r>
      <w:r w:rsidR="00196F6C">
        <w:t xml:space="preserve">proteins </w:t>
      </w:r>
      <w:r w:rsidRPr="005C7182">
        <w:t xml:space="preserve">(Zhang </w:t>
      </w:r>
      <w:r w:rsidRPr="005C7182">
        <w:rPr>
          <w:i/>
        </w:rPr>
        <w:t>et al</w:t>
      </w:r>
      <w:r w:rsidRPr="005C7182">
        <w:t>. 2008)</w:t>
      </w:r>
      <w:r>
        <w:rPr>
          <w:rStyle w:val="FootnoteReference"/>
        </w:rPr>
        <w:footnoteReference w:id="3"/>
      </w:r>
      <w:r w:rsidRPr="005C7182">
        <w:t>.</w:t>
      </w:r>
      <w:r w:rsidR="002E4092">
        <w:t xml:space="preserve"> </w:t>
      </w:r>
      <w:r w:rsidRPr="005C7182">
        <w:t>At low concentrations, neonicotinoids cause excessive nervous stimulation and at high</w:t>
      </w:r>
      <w:r>
        <w:t>er</w:t>
      </w:r>
      <w:r w:rsidRPr="005C7182">
        <w:t xml:space="preserve"> concentrations, insect paralysis and death will occur (Tomizawa and Casida 2005</w:t>
      </w:r>
      <w:r>
        <w:rPr>
          <w:rStyle w:val="FootnoteReference"/>
        </w:rPr>
        <w:footnoteReference w:id="4"/>
      </w:r>
      <w:r w:rsidRPr="005C7182">
        <w:t xml:space="preserve">). </w:t>
      </w:r>
      <w:r w:rsidR="00B83A28">
        <w:t>In plants, c</w:t>
      </w:r>
      <w:r w:rsidRPr="004F75EF">
        <w:t xml:space="preserve">lothianidin </w:t>
      </w:r>
      <w:r>
        <w:t xml:space="preserve">is mobile in </w:t>
      </w:r>
      <w:r w:rsidR="00B83A28">
        <w:t xml:space="preserve">the </w:t>
      </w:r>
      <w:r w:rsidRPr="004F75EF">
        <w:t xml:space="preserve">xylem and phloem and </w:t>
      </w:r>
      <w:r w:rsidR="00B83A28">
        <w:t xml:space="preserve">is </w:t>
      </w:r>
      <w:r w:rsidRPr="004F75EF">
        <w:t>readily taken up by the roots and translocated throughout the plant via the transpiration stream</w:t>
      </w:r>
      <w:r>
        <w:t>. As such, c</w:t>
      </w:r>
      <w:r w:rsidRPr="007B3B9F">
        <w:t xml:space="preserve">lothianidin kills feeding insects via ingestion or direct contact routes of </w:t>
      </w:r>
      <w:r w:rsidRPr="003570BE">
        <w:t>exposure.</w:t>
      </w:r>
      <w:r w:rsidR="004F5B7D" w:rsidRPr="003570BE">
        <w:t xml:space="preserve"> </w:t>
      </w:r>
      <w:r w:rsidR="00CD6E03" w:rsidRPr="003570BE">
        <w:t>Clothianidin</w:t>
      </w:r>
      <w:r w:rsidR="009D0AE4" w:rsidRPr="003570BE">
        <w:t xml:space="preserve"> is used on a wide variety of agricultural crops. </w:t>
      </w:r>
      <w:r w:rsidR="00196F6C">
        <w:t>N</w:t>
      </w:r>
      <w:r w:rsidR="009D0AE4" w:rsidRPr="003570BE">
        <w:t xml:space="preserve">on-agricultural uses include applications </w:t>
      </w:r>
      <w:r w:rsidR="003570BE" w:rsidRPr="003570BE">
        <w:t>to turf, poultry houses, and ornamentals</w:t>
      </w:r>
      <w:r w:rsidR="009D0AE4" w:rsidRPr="003570BE">
        <w:t>.</w:t>
      </w:r>
      <w:r w:rsidR="004F5B7D" w:rsidRPr="446212B1">
        <w:rPr>
          <w:rFonts w:ascii="Calibri" w:eastAsia="Calibri" w:hAnsi="Calibri" w:cs="Calibri"/>
          <w:color w:val="000000"/>
          <w:shd w:val="clear" w:color="auto" w:fill="E6E6E6"/>
          <w:lang w:val="en-CA"/>
        </w:rPr>
        <w:fldChar w:fldCharType="begin"/>
      </w:r>
      <w:r w:rsidR="004F5B7D" w:rsidRPr="446212B1">
        <w:rPr>
          <w:lang w:val="en-CA"/>
        </w:rPr>
        <w:instrText xml:space="preserve"> SEQ CHAPTER \h \r 1</w:instrText>
      </w:r>
      <w:r w:rsidR="004F5B7D" w:rsidRPr="446212B1">
        <w:rPr>
          <w:rFonts w:ascii="Calibri" w:eastAsia="Calibri" w:hAnsi="Calibri" w:cs="Calibri"/>
          <w:color w:val="000000"/>
          <w:shd w:val="clear" w:color="auto" w:fill="E6E6E6"/>
          <w:lang w:val="en-CA"/>
        </w:rPr>
        <w:fldChar w:fldCharType="end"/>
      </w:r>
    </w:p>
    <w:p w14:paraId="0CB636CD" w14:textId="77777777" w:rsidR="00F97DA2" w:rsidRDefault="00F97DA2" w:rsidP="78A3B47B"/>
    <w:p w14:paraId="21882C27" w14:textId="7C9621DC" w:rsidR="00F97DA2" w:rsidRDefault="779B53C2" w:rsidP="78A3B47B">
      <w:pPr>
        <w:rPr>
          <w:highlight w:val="yellow"/>
        </w:rPr>
      </w:pPr>
      <w:r w:rsidRPr="78A3B47B">
        <w:rPr>
          <w:rFonts w:ascii="Calibri" w:eastAsia="Calibri" w:hAnsi="Calibri" w:cs="Calibri"/>
        </w:rPr>
        <w:t xml:space="preserve">This BE </w:t>
      </w:r>
      <w:proofErr w:type="gramStart"/>
      <w:r w:rsidRPr="78A3B47B">
        <w:rPr>
          <w:rFonts w:ascii="Calibri" w:eastAsia="Calibri" w:hAnsi="Calibri" w:cs="Calibri"/>
        </w:rPr>
        <w:t>assesses</w:t>
      </w:r>
      <w:proofErr w:type="gramEnd"/>
      <w:r w:rsidRPr="78A3B47B">
        <w:rPr>
          <w:rFonts w:ascii="Calibri" w:eastAsia="Calibri" w:hAnsi="Calibri" w:cs="Calibri"/>
        </w:rPr>
        <w:t xml:space="preserve"> all </w:t>
      </w:r>
      <w:r w:rsidR="006C026D">
        <w:rPr>
          <w:rFonts w:ascii="Calibri" w:eastAsia="Calibri" w:hAnsi="Calibri" w:cs="Calibri"/>
        </w:rPr>
        <w:t xml:space="preserve">uses on all </w:t>
      </w:r>
      <w:r w:rsidRPr="78A3B47B">
        <w:rPr>
          <w:rFonts w:ascii="Calibri" w:eastAsia="Calibri" w:hAnsi="Calibri" w:cs="Calibri"/>
        </w:rPr>
        <w:t xml:space="preserve">currently registered labels. </w:t>
      </w:r>
      <w:r w:rsidR="00B9537B" w:rsidRPr="00E7221A">
        <w:t>Max</w:t>
      </w:r>
      <w:r w:rsidR="00B9537B" w:rsidRPr="2175F442">
        <w:rPr>
          <w:color w:val="000000" w:themeColor="text1"/>
        </w:rPr>
        <w:t>imum application rates and minimum application retreatment intervals are based on the use defined by the Preliminary Aquatic and Non-Pollinator Terrestrial Risk Assessment to Support Registration Review</w:t>
      </w:r>
      <w:r w:rsidR="00B9537B">
        <w:rPr>
          <w:rStyle w:val="FootnoteReference"/>
          <w:color w:val="000000" w:themeColor="text1"/>
        </w:rPr>
        <w:footnoteReference w:id="5"/>
      </w:r>
      <w:r w:rsidR="00B9537B" w:rsidRPr="2175F442">
        <w:rPr>
          <w:color w:val="000000" w:themeColor="text1"/>
        </w:rPr>
        <w:t xml:space="preserve"> and addendum</w:t>
      </w:r>
      <w:r w:rsidR="00B9537B">
        <w:rPr>
          <w:rStyle w:val="FootnoteReference"/>
          <w:color w:val="000000" w:themeColor="text1"/>
        </w:rPr>
        <w:footnoteReference w:id="6"/>
      </w:r>
      <w:r w:rsidR="00B9537B" w:rsidRPr="2175F442">
        <w:rPr>
          <w:color w:val="000000" w:themeColor="text1"/>
        </w:rPr>
        <w:t>, unless otherwise note</w:t>
      </w:r>
      <w:r w:rsidR="00B9537B" w:rsidRPr="00E7221A">
        <w:t>d</w:t>
      </w:r>
      <w:r w:rsidR="00B9537B" w:rsidRPr="00E7221A">
        <w:rPr>
          <w:rFonts w:ascii="Calibri" w:eastAsia="Calibri" w:hAnsi="Calibri" w:cs="Calibri"/>
        </w:rPr>
        <w:t xml:space="preserve">. </w:t>
      </w:r>
      <w:r w:rsidRPr="78A3B47B">
        <w:rPr>
          <w:rFonts w:ascii="Calibri" w:eastAsia="Calibri" w:hAnsi="Calibri" w:cs="Calibri"/>
        </w:rPr>
        <w:t xml:space="preserve"> </w:t>
      </w:r>
      <w:r w:rsidRPr="00D50421">
        <w:rPr>
          <w:rFonts w:ascii="Calibri" w:eastAsia="Calibri" w:hAnsi="Calibri" w:cs="Calibri"/>
          <w:b/>
          <w:bCs/>
        </w:rPr>
        <w:t>APPENDIX 1-2</w:t>
      </w:r>
      <w:r w:rsidRPr="78A3B47B">
        <w:rPr>
          <w:rFonts w:ascii="Calibri" w:eastAsia="Calibri" w:hAnsi="Calibri" w:cs="Calibri"/>
        </w:rPr>
        <w:t xml:space="preserve"> provides the use information as further</w:t>
      </w:r>
      <w:r w:rsidRPr="00D50421">
        <w:rPr>
          <w:rFonts w:ascii="Calibri" w:eastAsia="Calibri" w:hAnsi="Calibri" w:cs="Calibri"/>
        </w:rPr>
        <w:t xml:space="preserve"> refined b</w:t>
      </w:r>
      <w:r w:rsidRPr="78A3B47B">
        <w:rPr>
          <w:rFonts w:ascii="Calibri" w:eastAsia="Calibri" w:hAnsi="Calibri" w:cs="Calibri"/>
        </w:rPr>
        <w:t>y EPA, summarizing details relevant for modeling the maximum use patterns.</w:t>
      </w:r>
      <w:r w:rsidRPr="00D50421">
        <w:rPr>
          <w:rFonts w:ascii="Calibri" w:eastAsia="Calibri" w:hAnsi="Calibri" w:cs="Calibri"/>
          <w:b/>
          <w:bCs/>
        </w:rPr>
        <w:t xml:space="preserve"> APPENDICES 1-2</w:t>
      </w:r>
      <w:r w:rsidRPr="78A3B47B">
        <w:rPr>
          <w:rFonts w:ascii="Calibri" w:eastAsia="Calibri" w:hAnsi="Calibri" w:cs="Calibri"/>
        </w:rPr>
        <w:t xml:space="preserve"> and </w:t>
      </w:r>
      <w:r w:rsidRPr="00D50421">
        <w:rPr>
          <w:rFonts w:ascii="Calibri" w:eastAsia="Calibri" w:hAnsi="Calibri" w:cs="Calibri"/>
          <w:b/>
          <w:bCs/>
        </w:rPr>
        <w:t>3-1</w:t>
      </w:r>
      <w:r w:rsidRPr="78A3B47B">
        <w:rPr>
          <w:rFonts w:ascii="Calibri" w:eastAsia="Calibri" w:hAnsi="Calibri" w:cs="Calibri"/>
        </w:rPr>
        <w:t xml:space="preserve"> provide additional details on how these uses were modeled.</w:t>
      </w:r>
    </w:p>
    <w:p w14:paraId="4384A2D4" w14:textId="63ADAE67" w:rsidR="00F97DA2" w:rsidRDefault="00F97DA2" w:rsidP="78A3B47B"/>
    <w:p w14:paraId="4AB690B8" w14:textId="6170E517" w:rsidR="78A3B47B" w:rsidRDefault="00021555" w:rsidP="00064C5B">
      <w:r w:rsidRPr="002B4055">
        <w:rPr>
          <w:rFonts w:eastAsia="Times New Roman" w:cs="Times New Roman"/>
        </w:rPr>
        <w:t xml:space="preserve">There are currently </w:t>
      </w:r>
      <w:r>
        <w:rPr>
          <w:rFonts w:eastAsia="Times New Roman" w:cs="Times New Roman"/>
        </w:rPr>
        <w:t>46</w:t>
      </w:r>
      <w:r w:rsidRPr="002B4055">
        <w:rPr>
          <w:rFonts w:eastAsia="Times New Roman" w:cs="Times New Roman"/>
        </w:rPr>
        <w:t xml:space="preserve"> registered Section 3 end-use products for </w:t>
      </w:r>
      <w:r>
        <w:rPr>
          <w:rFonts w:eastAsia="Times New Roman" w:cs="Times New Roman"/>
        </w:rPr>
        <w:t>clothianidin</w:t>
      </w:r>
      <w:r w:rsidRPr="002B4055">
        <w:rPr>
          <w:rFonts w:eastAsia="Times New Roman" w:cs="Times New Roman"/>
        </w:rPr>
        <w:t xml:space="preserve">. Registered uses include a wide array of agricultural crops, including but not limited </w:t>
      </w:r>
      <w:proofErr w:type="gramStart"/>
      <w:r w:rsidRPr="002B4055">
        <w:rPr>
          <w:rFonts w:eastAsia="Times New Roman" w:cs="Times New Roman"/>
        </w:rPr>
        <w:t>to:</w:t>
      </w:r>
      <w:proofErr w:type="gramEnd"/>
      <w:r w:rsidRPr="002B4055">
        <w:rPr>
          <w:rFonts w:eastAsia="Times New Roman" w:cs="Times New Roman"/>
        </w:rPr>
        <w:t xml:space="preserve"> </w:t>
      </w:r>
      <w:r w:rsidRPr="00E21879">
        <w:rPr>
          <w:rFonts w:eastAsia="Times New Roman" w:cs="Times New Roman"/>
        </w:rPr>
        <w:t>root and tuber vegetables, leafy vegetables, brassica, cucurbits, fruiting vegetables, cereal grains, citrus fruit, pome fruit, stone fruit, berries, tree nuts, beans and other legumes, herbs, cotton, and tobacco.</w:t>
      </w:r>
      <w:r w:rsidRPr="002B4055">
        <w:rPr>
          <w:rFonts w:eastAsia="Times New Roman" w:cs="Times New Roman"/>
        </w:rPr>
        <w:t xml:space="preserve"> </w:t>
      </w:r>
      <w:r>
        <w:rPr>
          <w:rFonts w:eastAsia="Times New Roman" w:cs="Times New Roman"/>
        </w:rPr>
        <w:t>Clothianidin</w:t>
      </w:r>
      <w:r w:rsidRPr="002B4055">
        <w:rPr>
          <w:rFonts w:eastAsia="Times New Roman" w:cs="Times New Roman"/>
        </w:rPr>
        <w:t xml:space="preserve"> is also </w:t>
      </w:r>
      <w:r w:rsidRPr="00E21879">
        <w:rPr>
          <w:rFonts w:eastAsia="Times New Roman" w:cs="Times New Roman"/>
        </w:rPr>
        <w:t>registered for several non-agricultural uses, including commercial premises, outdoor residential, ornamentals trees, turf, and livestock areas. Applications</w:t>
      </w:r>
      <w:r w:rsidRPr="00BF4FDE">
        <w:rPr>
          <w:rFonts w:eastAsia="Times New Roman" w:cs="Times New Roman"/>
        </w:rPr>
        <w:t xml:space="preserve"> may be made via a variety of methods including aerial and ground foliar sprays</w:t>
      </w:r>
      <w:r w:rsidRPr="00732AF4">
        <w:rPr>
          <w:rFonts w:eastAsia="Times New Roman" w:cs="Times New Roman"/>
        </w:rPr>
        <w:t>, soil treatment (</w:t>
      </w:r>
      <w:r w:rsidRPr="00732AF4">
        <w:rPr>
          <w:rFonts w:eastAsia="Times New Roman" w:cs="Times New Roman"/>
          <w:i/>
        </w:rPr>
        <w:t>e.g.</w:t>
      </w:r>
      <w:r w:rsidRPr="00732AF4">
        <w:rPr>
          <w:rFonts w:eastAsia="Times New Roman" w:cs="Times New Roman"/>
        </w:rPr>
        <w:t>, drench), chemigation (</w:t>
      </w:r>
      <w:r w:rsidRPr="00732AF4">
        <w:rPr>
          <w:rFonts w:eastAsia="Times New Roman" w:cs="Times New Roman"/>
          <w:i/>
        </w:rPr>
        <w:t>e.g.</w:t>
      </w:r>
      <w:r w:rsidRPr="00732AF4">
        <w:rPr>
          <w:rFonts w:eastAsia="Times New Roman" w:cs="Times New Roman"/>
        </w:rPr>
        <w:t xml:space="preserve">, soil incorporation or foliar), </w:t>
      </w:r>
      <w:r w:rsidR="00D7215E">
        <w:rPr>
          <w:rFonts w:eastAsia="Times New Roman" w:cs="Times New Roman"/>
        </w:rPr>
        <w:t xml:space="preserve">granular, </w:t>
      </w:r>
      <w:r w:rsidRPr="00732AF4">
        <w:rPr>
          <w:rFonts w:eastAsia="Times New Roman" w:cs="Times New Roman"/>
        </w:rPr>
        <w:t>seed treatment, and</w:t>
      </w:r>
      <w:r>
        <w:rPr>
          <w:rFonts w:eastAsia="Times New Roman" w:cs="Times New Roman"/>
        </w:rPr>
        <w:t xml:space="preserve"> </w:t>
      </w:r>
      <w:r w:rsidR="00196F6C">
        <w:rPr>
          <w:rFonts w:eastAsia="Times New Roman" w:cs="Times New Roman"/>
        </w:rPr>
        <w:t xml:space="preserve">outdoor </w:t>
      </w:r>
      <w:r>
        <w:rPr>
          <w:rFonts w:eastAsia="Times New Roman" w:cs="Times New Roman"/>
        </w:rPr>
        <w:t>bait placement</w:t>
      </w:r>
      <w:r w:rsidRPr="00BF4FDE">
        <w:rPr>
          <w:rFonts w:eastAsia="Times New Roman" w:cs="Times New Roman"/>
        </w:rPr>
        <w:t xml:space="preserve">. Maximum single foliar application rates for </w:t>
      </w:r>
      <w:r>
        <w:rPr>
          <w:rFonts w:eastAsia="Times New Roman" w:cs="Times New Roman"/>
        </w:rPr>
        <w:t>clothianidin</w:t>
      </w:r>
      <w:r w:rsidRPr="00BF4FDE">
        <w:rPr>
          <w:rFonts w:eastAsia="Times New Roman" w:cs="Times New Roman"/>
        </w:rPr>
        <w:t xml:space="preserve"> range </w:t>
      </w:r>
      <w:r w:rsidRPr="00732AF4">
        <w:rPr>
          <w:rFonts w:eastAsia="Times New Roman" w:cs="Times New Roman"/>
        </w:rPr>
        <w:t xml:space="preserve">from </w:t>
      </w:r>
      <w:r w:rsidRPr="00732AF4">
        <w:t xml:space="preserve">0.05-0.2 </w:t>
      </w:r>
      <w:r w:rsidRPr="00732AF4">
        <w:rPr>
          <w:rFonts w:eastAsia="Times New Roman" w:cs="Times New Roman"/>
        </w:rPr>
        <w:t>lb a</w:t>
      </w:r>
      <w:r w:rsidRPr="00BF4FDE">
        <w:rPr>
          <w:rFonts w:eastAsia="Times New Roman" w:cs="Times New Roman"/>
        </w:rPr>
        <w:t>.i./A</w:t>
      </w:r>
      <w:r>
        <w:rPr>
          <w:rFonts w:eastAsia="Times New Roman" w:cs="Times New Roman"/>
        </w:rPr>
        <w:t xml:space="preserve"> for agricultural uses</w:t>
      </w:r>
      <w:r w:rsidRPr="00BF4FDE">
        <w:rPr>
          <w:rFonts w:eastAsia="Times New Roman" w:cs="Times New Roman"/>
        </w:rPr>
        <w:t>.</w:t>
      </w:r>
      <w:r w:rsidRPr="002B4055">
        <w:t xml:space="preserve"> </w:t>
      </w:r>
      <w:bookmarkStart w:id="0" w:name="_Hlk78808214"/>
      <w:r w:rsidR="00B50795">
        <w:t>Maximum s</w:t>
      </w:r>
      <w:r w:rsidR="00064C5B">
        <w:t>ingle application rates of 0.4 lb a.i./A are associated with the non-agricultural uses.</w:t>
      </w:r>
      <w:bookmarkEnd w:id="0"/>
    </w:p>
    <w:p w14:paraId="4E7F28E3" w14:textId="77777777" w:rsidR="00064C5B" w:rsidRDefault="00064C5B" w:rsidP="00064C5B"/>
    <w:p w14:paraId="1120E45C" w14:textId="6B545CDC" w:rsidR="0076039A" w:rsidRDefault="0076039A" w:rsidP="0076039A">
      <w:r>
        <w:t xml:space="preserve">Nationally, among surveyed agricultural crops, clothianidin usage has shown an overall </w:t>
      </w:r>
      <w:r w:rsidR="006C026D">
        <w:t xml:space="preserve">increasing </w:t>
      </w:r>
      <w:r>
        <w:t xml:space="preserve">trend in pounds applied and </w:t>
      </w:r>
      <w:r w:rsidR="006C026D">
        <w:t xml:space="preserve">total </w:t>
      </w:r>
      <w:r>
        <w:t>acres treated since 2005 with a slight decrease in 2018. During the most recent five years of available survey data (</w:t>
      </w:r>
      <w:r w:rsidRPr="000125AC">
        <w:t>2014 -2018</w:t>
      </w:r>
      <w:r>
        <w:t xml:space="preserve">), less than 50,000 pounds of clothianidin were </w:t>
      </w:r>
      <w:r>
        <w:lastRenderedPageBreak/>
        <w:t xml:space="preserve">applied to less than 500,000 acres of agricultural crops annually, in 25 states. </w:t>
      </w:r>
      <w:r w:rsidRPr="00B824C6">
        <w:t xml:space="preserve">During this time frame, the crops with the most usage in terms of annual average total pounds of active ingredient applied were cotton (8,000 lbs), potatoes (5,000 lbs), and </w:t>
      </w:r>
      <w:r w:rsidRPr="00495CAC">
        <w:t>soybeans (5,000 lbs). The crops with the most usage in terms of total treated acreage were the same with 100,000, 90,000 and 40,000 acres treated for soybeans, cotton</w:t>
      </w:r>
      <w:r>
        <w:t>,</w:t>
      </w:r>
      <w:r w:rsidRPr="00495CAC">
        <w:t xml:space="preserve"> and potatoes, respectively (see </w:t>
      </w:r>
      <w:r w:rsidRPr="00495CAC">
        <w:rPr>
          <w:b/>
          <w:bCs/>
        </w:rPr>
        <w:t xml:space="preserve">APPENDIX 1-4 </w:t>
      </w:r>
      <w:r w:rsidRPr="00495CAC">
        <w:t xml:space="preserve">for details). </w:t>
      </w:r>
      <w:r>
        <w:t>Approximately 50% of</w:t>
      </w:r>
      <w:r w:rsidR="000D667D">
        <w:t xml:space="preserve"> clothianidin’s agricultural applications are comprised of </w:t>
      </w:r>
      <w:r>
        <w:t xml:space="preserve">four crops (cotton, potatoes, </w:t>
      </w:r>
      <w:proofErr w:type="gramStart"/>
      <w:r>
        <w:t>soybeans</w:t>
      </w:r>
      <w:proofErr w:type="gramEnd"/>
      <w:r>
        <w:t xml:space="preserve"> and broccoli). In terms of total acres treated, approximately 50% of the acres treated with clothianidin are planted with two crops (cotton and soybeans). The remaining clothianidin applications are spread over 20 other crops</w:t>
      </w:r>
      <w:r w:rsidR="000D667D">
        <w:t xml:space="preserve"> (e.g.</w:t>
      </w:r>
      <w:r w:rsidR="00577C53">
        <w:t xml:space="preserve">, </w:t>
      </w:r>
      <w:r w:rsidR="00577C53" w:rsidRPr="00E21879">
        <w:rPr>
          <w:rFonts w:eastAsia="Times New Roman" w:cs="Times New Roman"/>
        </w:rPr>
        <w:t xml:space="preserve">leafy vegetables, cucurbits, fruiting vegetables, cereal grains, citrus fruit, pome fruit, stone fruit, berries, tree nuts, </w:t>
      </w:r>
      <w:r w:rsidR="00577C53">
        <w:rPr>
          <w:rFonts w:eastAsia="Times New Roman" w:cs="Times New Roman"/>
        </w:rPr>
        <w:t xml:space="preserve">and </w:t>
      </w:r>
      <w:r w:rsidR="00577C53" w:rsidRPr="00E21879">
        <w:rPr>
          <w:rFonts w:eastAsia="Times New Roman" w:cs="Times New Roman"/>
        </w:rPr>
        <w:t>beans and other legumes</w:t>
      </w:r>
      <w:r w:rsidR="00A914B5">
        <w:t>)</w:t>
      </w:r>
      <w:r>
        <w:t xml:space="preserve">. While the vast majority of clothianidin is only applied to a handful of crops, examination of the percent of individual crops grown by state that are treated with clothianidin indicates that usage is prevalent for certain crops in certain states. For instance, an average of 55% of peaches in South Carolina, 75% and 65% of apples in Virginia and West Virginia respectively and 75% of pumpkins in Texas are treated annually with </w:t>
      </w:r>
      <w:bookmarkStart w:id="1" w:name="_Hlk76241984"/>
      <w:r>
        <w:t xml:space="preserve">clothianidin </w:t>
      </w:r>
      <w:bookmarkEnd w:id="1"/>
      <w:r w:rsidRPr="002975B9">
        <w:rPr>
          <w:b/>
          <w:bCs/>
        </w:rPr>
        <w:t>(</w:t>
      </w:r>
      <w:r>
        <w:rPr>
          <w:b/>
          <w:bCs/>
        </w:rPr>
        <w:t>APPENDIX 1-4)</w:t>
      </w:r>
      <w:r>
        <w:t xml:space="preserve">. </w:t>
      </w:r>
    </w:p>
    <w:p w14:paraId="1983A6EE" w14:textId="4B86E58B" w:rsidR="008A3BF6" w:rsidRPr="00A176F1" w:rsidRDefault="008A3BF6" w:rsidP="008A3BF6">
      <w:pPr>
        <w:rPr>
          <w:highlight w:val="green"/>
        </w:rPr>
      </w:pPr>
      <w:r w:rsidRPr="00495CAC">
        <w:t xml:space="preserve">  </w:t>
      </w:r>
    </w:p>
    <w:p w14:paraId="205D8F81" w14:textId="3F9A5E57" w:rsidR="008A3BF6" w:rsidRDefault="008A3BF6" w:rsidP="008A3BF6">
      <w:r w:rsidRPr="00EB5043">
        <w:t>Over 9,000 pounds of clothianidin are applied to non-agricultural sites annually.</w:t>
      </w:r>
      <w:r w:rsidRPr="00EB5043">
        <w:rPr>
          <w:lang w:val="en-CA"/>
        </w:rPr>
        <w:t xml:space="preserve"> Most recent non-agricultural usage data from 2013 or 2016 depending on the use site (see </w:t>
      </w:r>
      <w:r w:rsidRPr="00EB5043">
        <w:rPr>
          <w:b/>
          <w:bCs/>
          <w:lang w:val="en-CA"/>
        </w:rPr>
        <w:t>APPENDIX 1-4</w:t>
      </w:r>
      <w:r w:rsidRPr="00EB5043">
        <w:rPr>
          <w:lang w:val="en-CA"/>
        </w:rPr>
        <w:t xml:space="preserve"> for details) show that the largest use</w:t>
      </w:r>
      <w:r w:rsidR="00F736B8">
        <w:rPr>
          <w:lang w:val="en-CA"/>
        </w:rPr>
        <w:t>s</w:t>
      </w:r>
      <w:r w:rsidRPr="00EB5043">
        <w:rPr>
          <w:lang w:val="en-CA"/>
        </w:rPr>
        <w:t xml:space="preserve"> in terms of average annual pounds applied </w:t>
      </w:r>
      <w:r w:rsidR="00F736B8">
        <w:rPr>
          <w:lang w:val="en-CA"/>
        </w:rPr>
        <w:t>are</w:t>
      </w:r>
      <w:r w:rsidRPr="00EB5043">
        <w:rPr>
          <w:lang w:val="en-CA"/>
        </w:rPr>
        <w:t xml:space="preserve"> broad spectrum treatment and bed bug treatment</w:t>
      </w:r>
      <w:r w:rsidRPr="00EB5043">
        <w:rPr>
          <w:b/>
          <w:bCs/>
          <w:lang w:val="en-CA"/>
        </w:rPr>
        <w:t xml:space="preserve">. </w:t>
      </w:r>
      <w:r w:rsidRPr="00EB5043">
        <w:t>Other use sites are either not surveyed at the national level or no usage was reported.</w:t>
      </w:r>
    </w:p>
    <w:p w14:paraId="66A6EB3D" w14:textId="77777777" w:rsidR="008A3BF6" w:rsidRDefault="008A3BF6" w:rsidP="008A3BF6"/>
    <w:p w14:paraId="1123BE10" w14:textId="42A51405" w:rsidR="0076039A" w:rsidRDefault="0076039A" w:rsidP="008A3BF6">
      <w:bookmarkStart w:id="2" w:name="_Hlk51846325"/>
      <w:r>
        <w:t xml:space="preserve">Seed treatment with clothianidin is generally considered to be widespread in terms of the number of crops and the percentage of the crop planted with treated seed. However, quantitative seed treatment usage data are difficult to obtain due to the complexities of capturing this usage information from growers. While verifiable quantitative usage data that indicate the total pounds </w:t>
      </w:r>
      <w:r w:rsidR="003325FE">
        <w:t xml:space="preserve">of </w:t>
      </w:r>
      <w:r>
        <w:t>active ingredient used to treat seed or the location and the number of acres planted with treated seed are not currently available, applications of clothianidin to seed and seed pieces may be generally characterized as commonly used on a wide variety of crop seeds and seed pieces for planting based on extension recommendations and other information.</w:t>
      </w:r>
    </w:p>
    <w:p w14:paraId="1F8C2DB5" w14:textId="77777777" w:rsidR="0076039A" w:rsidRDefault="0076039A" w:rsidP="008A3BF6"/>
    <w:p w14:paraId="0743EB19" w14:textId="3082470F" w:rsidR="00C157C7" w:rsidRDefault="008A3BF6" w:rsidP="008A3BF6">
      <w:r w:rsidRPr="008B37E4">
        <w:t xml:space="preserve">The major transport routes </w:t>
      </w:r>
      <w:r w:rsidR="003325FE">
        <w:t xml:space="preserve">of clothianidin </w:t>
      </w:r>
      <w:r w:rsidRPr="008B37E4">
        <w:t>off the treated area include runoff and spray drift</w:t>
      </w:r>
      <w:r>
        <w:t xml:space="preserve"> for broadcast uses</w:t>
      </w:r>
      <w:r w:rsidRPr="008B37E4">
        <w:t xml:space="preserve">. </w:t>
      </w:r>
      <w:r w:rsidRPr="008B37E4">
        <w:rPr>
          <w:rFonts w:cstheme="minorHAnsi"/>
        </w:rPr>
        <w:t xml:space="preserve">Clothianidin has a high solubility, low octanol-water partitioning coefficient, low vapor pressure, and low Henry’s Constant. </w:t>
      </w:r>
      <w:r w:rsidRPr="004024EA">
        <w:rPr>
          <w:rFonts w:cstheme="minorHAnsi"/>
        </w:rPr>
        <w:t xml:space="preserve">These data suggest that clothianidin has a low potential for volatilization and </w:t>
      </w:r>
      <w:r w:rsidRPr="003A2544">
        <w:rPr>
          <w:rFonts w:cstheme="minorHAnsi"/>
        </w:rPr>
        <w:t xml:space="preserve">bioaccumulation. </w:t>
      </w:r>
      <w:r w:rsidRPr="003A2544">
        <w:t>The major route</w:t>
      </w:r>
      <w:r>
        <w:t xml:space="preserve"> of dissipation for clothianidin appears to be photolysis, with an aqueous photolysis half-life less than 1 day and a soil photolysis half-life of 34 days. </w:t>
      </w:r>
      <w:r w:rsidRPr="00CB4D11">
        <w:rPr>
          <w:rFonts w:cstheme="minorHAnsi"/>
        </w:rPr>
        <w:t xml:space="preserve">The preponderance of clothianidin surface water detections </w:t>
      </w:r>
      <w:proofErr w:type="gramStart"/>
      <w:r w:rsidRPr="00CB4D11">
        <w:rPr>
          <w:rFonts w:cstheme="minorHAnsi"/>
        </w:rPr>
        <w:t>are</w:t>
      </w:r>
      <w:proofErr w:type="gramEnd"/>
      <w:r w:rsidRPr="00CB4D11">
        <w:rPr>
          <w:rFonts w:cstheme="minorHAnsi"/>
        </w:rPr>
        <w:t xml:space="preserve"> in agricultural areas and in </w:t>
      </w:r>
      <w:r w:rsidRPr="004024EA">
        <w:rPr>
          <w:rFonts w:cstheme="minorHAnsi"/>
        </w:rPr>
        <w:t xml:space="preserve">the vicinity of local use areas. </w:t>
      </w:r>
      <w:r w:rsidRPr="00735616">
        <w:t xml:space="preserve">Additional details on the fate of clothianidin are provided in </w:t>
      </w:r>
      <w:r w:rsidRPr="00735616">
        <w:rPr>
          <w:b/>
        </w:rPr>
        <w:t>Chapter 3</w:t>
      </w:r>
      <w:r w:rsidRPr="00735616">
        <w:t xml:space="preserve"> of the B</w:t>
      </w:r>
      <w:r w:rsidR="00F736B8">
        <w:t>E</w:t>
      </w:r>
      <w:r w:rsidRPr="00735616">
        <w:t>.</w:t>
      </w:r>
      <w:bookmarkEnd w:id="2"/>
    </w:p>
    <w:p w14:paraId="1A946BB3" w14:textId="77777777" w:rsidR="00FC707A" w:rsidRPr="0045224D" w:rsidRDefault="00FC707A" w:rsidP="0045224D">
      <w:pPr>
        <w:rPr>
          <w:rFonts w:ascii="Calibri" w:eastAsia="Calibri" w:hAnsi="Calibri" w:cs="Calibri"/>
          <w:color w:val="000000"/>
        </w:rPr>
      </w:pPr>
    </w:p>
    <w:p w14:paraId="64023964" w14:textId="27299EDB" w:rsidR="00187845" w:rsidRPr="008506C0" w:rsidRDefault="00187845" w:rsidP="0098319A">
      <w:pPr>
        <w:pStyle w:val="Heading1"/>
        <w:rPr>
          <w:color w:val="4472C4" w:themeColor="accent5"/>
        </w:rPr>
      </w:pPr>
      <w:r w:rsidRPr="008506C0">
        <w:rPr>
          <w:color w:val="4472C4" w:themeColor="accent5"/>
        </w:rPr>
        <w:t>Toxicity Summary</w:t>
      </w:r>
    </w:p>
    <w:p w14:paraId="02C01200" w14:textId="6C081D77" w:rsidR="00187845" w:rsidRDefault="00187845" w:rsidP="00187845"/>
    <w:p w14:paraId="7B8E5BE1" w14:textId="77777777" w:rsidR="00187845" w:rsidRDefault="00187845" w:rsidP="00187845">
      <w:pPr>
        <w:tabs>
          <w:tab w:val="left" w:pos="1260"/>
        </w:tabs>
      </w:pPr>
      <w:r>
        <w:t>Clothianidin is practically non-toxic to fish on an acute toxicity basis and effects growth following chronic exposure. For aquatic invertebrates, the level of sensitivity to clothianidin varies greatly among species on an acute toxicity basis. For example, clothianidin is practically non-toxic to water fleas (</w:t>
      </w:r>
      <w:r w:rsidRPr="005779DD">
        <w:rPr>
          <w:i/>
        </w:rPr>
        <w:t>Daphnia magna</w:t>
      </w:r>
      <w:r>
        <w:t xml:space="preserve">) but is very highly toxic to other taxa such as aquatic insects. Reproduction is affected in both freshwater and estuarine/marine invertebrates. Effects on development are also observed in benthic invertebrates. Effects on yield are observed in both aquatic vascular and non-vascular plants, but only at relatively high-test concentrations (compared to aquatic invertebrates). In terrestrial organisms, </w:t>
      </w:r>
      <w:r>
        <w:lastRenderedPageBreak/>
        <w:t>clothianidin is characterized as moderately toxic to birds on an acute oral exposure basis and practically nontoxic on a subacute dietary exposure basis. Effects on eggshell thinning represent the most sensitive chronic toxicity endpoint, which is observed in the Northern bobwhite quail. Clothianidin is classified as moderately toxic to mammals on an acute oral exposure basis. Chronic exposure with the Norway rat (</w:t>
      </w:r>
      <w:r w:rsidRPr="00DF57A4">
        <w:rPr>
          <w:i/>
          <w:iCs/>
        </w:rPr>
        <w:t>Rattus norvegicus</w:t>
      </w:r>
      <w:r>
        <w:t>) results in effects on growth and maturation in offspring. Clothianidin is also</w:t>
      </w:r>
      <w:r w:rsidRPr="00DF57A4">
        <w:t xml:space="preserve"> highly toxic to bees</w:t>
      </w:r>
      <w:r>
        <w:t xml:space="preserve"> on an acute basis</w:t>
      </w:r>
      <w:r w:rsidRPr="00DF57A4">
        <w:t xml:space="preserve">, </w:t>
      </w:r>
      <w:r>
        <w:t>and a</w:t>
      </w:r>
      <w:r w:rsidRPr="00DF57A4">
        <w:t xml:space="preserve">vailable data suggest potential effects to honeybee and bumble bee colonies, that manifest as </w:t>
      </w:r>
      <w:r>
        <w:t>decreases</w:t>
      </w:r>
      <w:r w:rsidRPr="00DF57A4">
        <w:t xml:space="preserve"> </w:t>
      </w:r>
      <w:r>
        <w:t>in</w:t>
      </w:r>
      <w:r w:rsidRPr="00DF57A4">
        <w:t xml:space="preserve"> </w:t>
      </w:r>
      <w:r>
        <w:t xml:space="preserve">brood and number of adults. </w:t>
      </w:r>
      <w:r w:rsidRPr="00BF7438">
        <w:t xml:space="preserve">Clothianidin </w:t>
      </w:r>
      <w:r>
        <w:t>exhibits</w:t>
      </w:r>
      <w:r w:rsidRPr="00BF7438">
        <w:t xml:space="preserve"> low toxicity to terrestrial plants.</w:t>
      </w:r>
      <w:r>
        <w:t xml:space="preserve"> </w:t>
      </w:r>
      <w:r w:rsidRPr="00A65C1B">
        <w:t xml:space="preserve">From 2010 to 2018, there were 49 ecological incidents categorized as possible to highly probable in their certainty that clothianidin was involved in the incident. There are 4 additional backlogged incidents </w:t>
      </w:r>
      <w:r>
        <w:t xml:space="preserve">(i.e., those </w:t>
      </w:r>
      <w:r w:rsidRPr="00A65C1B">
        <w:t xml:space="preserve">that have not been fully investigated, </w:t>
      </w:r>
      <w:r>
        <w:t>and do not have a certainty classification)</w:t>
      </w:r>
      <w:r w:rsidRPr="00A65C1B">
        <w:t xml:space="preserve"> from 2017-2020</w:t>
      </w:r>
      <w:r>
        <w:t xml:space="preserve"> </w:t>
      </w:r>
      <w:r w:rsidRPr="00A65C1B">
        <w:t>but appear to be related to clothianidin usage.</w:t>
      </w:r>
      <w:r>
        <w:t xml:space="preserve"> Ecological incidents involving clothianidin have been reported for all assessed taxa except reptiles, amphibians, aquatic invertebrates, and aquatic plants.</w:t>
      </w:r>
    </w:p>
    <w:p w14:paraId="1F67BA6E" w14:textId="77777777" w:rsidR="00187845" w:rsidRDefault="00187845" w:rsidP="00187845"/>
    <w:p w14:paraId="6967D2D1" w14:textId="77777777" w:rsidR="00187845" w:rsidRDefault="00187845" w:rsidP="00187845">
      <w:r>
        <w:t xml:space="preserve">Available toxicity data for aquatic taxa indicate that, in general, the degradates of clothianidin are of similar toxicity (non-toxic) or less toxic than parent clothianidin. However, TMG is of concern to benthic invertebrates based on reductions in larval emergence. Because the mobility of clothianidin and its degradates indicate that they do not readily bind to soil or sediment, unextracted residues were not considered for further analysis. Therefore, the stressors of concern for the aquatic assessment are determined to be clothianidin as well as the degradate TMG. </w:t>
      </w:r>
      <w:r w:rsidRPr="00D75D09">
        <w:rPr>
          <w:rFonts w:eastAsia="Calibri"/>
        </w:rPr>
        <w:t>For the terrestrial assessment, the stressor of concern is clothianidin</w:t>
      </w:r>
      <w:r>
        <w:rPr>
          <w:rFonts w:eastAsia="Calibri"/>
        </w:rPr>
        <w:t xml:space="preserve"> </w:t>
      </w:r>
      <w:r w:rsidRPr="00D75D09">
        <w:rPr>
          <w:rFonts w:eastAsia="Calibri"/>
        </w:rPr>
        <w:t>only.</w:t>
      </w:r>
      <w:r>
        <w:rPr>
          <w:rFonts w:eastAsia="Calibri"/>
        </w:rPr>
        <w:t xml:space="preserve"> </w:t>
      </w:r>
      <w:r w:rsidRPr="00BA7C04">
        <w:t xml:space="preserve">Consideration of the potential increased toxicity of formulations is considered through the selection of toxicity endpoints and is discussed further in </w:t>
      </w:r>
      <w:r w:rsidRPr="00BA7C04">
        <w:rPr>
          <w:b/>
          <w:bCs/>
        </w:rPr>
        <w:t>Chapter 2</w:t>
      </w:r>
      <w:r w:rsidRPr="00BA7C04">
        <w:t>.</w:t>
      </w:r>
    </w:p>
    <w:p w14:paraId="0E5F5D63" w14:textId="77777777" w:rsidR="00187845" w:rsidRPr="00187845" w:rsidRDefault="00187845" w:rsidP="00187845"/>
    <w:p w14:paraId="48B45DA5" w14:textId="76CAFABE" w:rsidR="00E91586" w:rsidRPr="008506C0" w:rsidRDefault="00E91586" w:rsidP="0098319A">
      <w:pPr>
        <w:pStyle w:val="Heading1"/>
        <w:rPr>
          <w:color w:val="4472C4" w:themeColor="accent5"/>
        </w:rPr>
      </w:pPr>
      <w:r w:rsidRPr="008506C0">
        <w:rPr>
          <w:color w:val="4472C4" w:themeColor="accent5"/>
        </w:rPr>
        <w:t xml:space="preserve">Exposure </w:t>
      </w:r>
      <w:r w:rsidR="00033DB4" w:rsidRPr="008506C0">
        <w:rPr>
          <w:color w:val="4472C4" w:themeColor="accent5"/>
        </w:rPr>
        <w:t>Methods</w:t>
      </w:r>
    </w:p>
    <w:p w14:paraId="54ABB624" w14:textId="77777777" w:rsidR="00E91586" w:rsidRPr="00507E9A" w:rsidRDefault="00E91586" w:rsidP="0045224D"/>
    <w:p w14:paraId="4938168C" w14:textId="6E87A05A" w:rsidR="00C633D9" w:rsidRDefault="004D0F93" w:rsidP="0045224D">
      <w:r w:rsidRPr="00994F37">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CD6E03">
        <w:rPr>
          <w:rFonts w:cs="Times New Roman"/>
        </w:rPr>
        <w:t>clothianidin</w:t>
      </w:r>
      <w:r w:rsidR="00525490" w:rsidRPr="00994F37">
        <w:rPr>
          <w:rFonts w:cs="Times New Roman"/>
        </w:rPr>
        <w:t xml:space="preserve"> uses in specific geographic regions within generic habitats (referred to as bins) using the </w:t>
      </w:r>
      <w:r w:rsidR="00525490" w:rsidRPr="00994F37">
        <w:t>Pesticide Root Zone Model (PRZM5) and the Variable Volume Water Model (VVWM)</w:t>
      </w:r>
      <w:r w:rsidR="00525490" w:rsidRPr="00994F37">
        <w:rPr>
          <w:rStyle w:val="FootnoteReference"/>
        </w:rPr>
        <w:footnoteReference w:id="7"/>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CD6E03">
        <w:t>clothianidin</w:t>
      </w:r>
      <w:r w:rsidR="00F53333" w:rsidRPr="00994F37">
        <w:t xml:space="preserve">. </w:t>
      </w:r>
      <w:r w:rsidR="00303775" w:rsidRPr="00994F37">
        <w:t>For terrestrial exposures, existing models [</w:t>
      </w:r>
      <w:r w:rsidR="008204F8">
        <w:rPr>
          <w:i/>
        </w:rPr>
        <w:t>i.e.</w:t>
      </w:r>
      <w:r w:rsidR="00303775" w:rsidRPr="00994F37">
        <w:t>, AgDRIFT, earthworm fugacity model, Terrestrial Herpetofaunal Exposure Residue Program Simulation (T-HERPS), Terrestrial Residue Exposure model (T-REX) and portions of the Terrestrial Investigation Model (TIM)] were combined and modified into a single tool that is referred to as the MAGTool (</w:t>
      </w:r>
      <w:r w:rsidR="00303775" w:rsidRPr="00994F37">
        <w:rPr>
          <w:b/>
        </w:rPr>
        <w:t>Chapter 4</w:t>
      </w:r>
      <w:r w:rsidR="00303775" w:rsidRPr="00994F37">
        <w:t>).</w:t>
      </w:r>
      <w:r w:rsidR="00303775" w:rsidRPr="000C6A3E">
        <w:t xml:space="preserve"> </w:t>
      </w:r>
      <w:r w:rsidR="00C932E3">
        <w:t>This assessment replaces EPA’s TerrPlant model with the Plant Assessment Tool (PAT)</w:t>
      </w:r>
      <w:r w:rsidR="00CC5A0F">
        <w:t>. T</w:t>
      </w:r>
      <w:r w:rsidR="00C932E3">
        <w:t>he latter is a more refined exposure model for terrestrial, wetland and aquatic plants.</w:t>
      </w:r>
    </w:p>
    <w:p w14:paraId="1799170E" w14:textId="77777777" w:rsidR="00445B71" w:rsidRDefault="00445B71" w:rsidP="0045224D"/>
    <w:p w14:paraId="04280AA5" w14:textId="312B87B5" w:rsidR="00CF1313" w:rsidRPr="008506C0" w:rsidRDefault="00033DB4" w:rsidP="0098319A">
      <w:pPr>
        <w:pStyle w:val="Heading1"/>
        <w:rPr>
          <w:color w:val="4472C4" w:themeColor="accent5"/>
        </w:rPr>
      </w:pPr>
      <w:r w:rsidRPr="008506C0">
        <w:rPr>
          <w:color w:val="4472C4" w:themeColor="accent5"/>
        </w:rPr>
        <w:t>O</w:t>
      </w:r>
      <w:r w:rsidR="00C633D9" w:rsidRPr="008506C0">
        <w:rPr>
          <w:color w:val="4472C4" w:themeColor="accent5"/>
        </w:rPr>
        <w:t xml:space="preserve">verlap </w:t>
      </w:r>
      <w:r w:rsidRPr="008506C0">
        <w:rPr>
          <w:color w:val="4472C4" w:themeColor="accent5"/>
        </w:rPr>
        <w:t>A</w:t>
      </w:r>
      <w:r w:rsidR="00C633D9" w:rsidRPr="008506C0">
        <w:rPr>
          <w:color w:val="4472C4" w:themeColor="accent5"/>
        </w:rPr>
        <w:t>nalys</w:t>
      </w:r>
      <w:r w:rsidRPr="008506C0">
        <w:rPr>
          <w:color w:val="4472C4" w:themeColor="accent5"/>
        </w:rPr>
        <w:t>e</w:t>
      </w:r>
      <w:r w:rsidR="00C633D9" w:rsidRPr="008506C0">
        <w:rPr>
          <w:color w:val="4472C4" w:themeColor="accent5"/>
        </w:rPr>
        <w:t>s</w:t>
      </w:r>
    </w:p>
    <w:p w14:paraId="5ABFACB4" w14:textId="77777777" w:rsidR="00607C24" w:rsidRDefault="00607C24"/>
    <w:p w14:paraId="3C6AFD12" w14:textId="3C176804" w:rsidR="00DC04D5" w:rsidRDefault="00CC3A60" w:rsidP="0098319A">
      <w:r w:rsidRPr="25EBD91D">
        <w:rPr>
          <w:color w:val="000000" w:themeColor="text1"/>
        </w:rPr>
        <w:t>Step 1 of the BE involves an analysis of the potential overlap of the action area and individual species ranges and critical habitat. The action area was derived in ArcGIS 10.</w:t>
      </w:r>
      <w:r>
        <w:rPr>
          <w:color w:val="000000" w:themeColor="text1"/>
        </w:rPr>
        <w:t>8</w:t>
      </w:r>
      <w:r w:rsidRPr="25EBD91D">
        <w:rPr>
          <w:color w:val="000000" w:themeColor="text1"/>
        </w:rPr>
        <w:t xml:space="preserve"> by combining the data layers representative of </w:t>
      </w:r>
      <w:r w:rsidR="00B9537B">
        <w:rPr>
          <w:color w:val="000000" w:themeColor="text1"/>
        </w:rPr>
        <w:t>clothianidin</w:t>
      </w:r>
      <w:r w:rsidRPr="25EBD91D">
        <w:rPr>
          <w:color w:val="000000" w:themeColor="text1"/>
        </w:rPr>
        <w:t xml:space="preserve"> </w:t>
      </w:r>
      <w:r w:rsidR="003916B6">
        <w:t>uses and then buffering them out to the off-site transport distance estimated using the AgDRIFT model (</w:t>
      </w:r>
      <w:r w:rsidR="003916B6" w:rsidRPr="14F7C6B6">
        <w:rPr>
          <w:b/>
          <w:bCs/>
        </w:rPr>
        <w:t>APPENDIX 1-6</w:t>
      </w:r>
      <w:r w:rsidR="003916B6">
        <w:t xml:space="preserve">). The overlaps of action area and individual species’ ranges or critical habitats were calculated. This analysis used spatial data of species’ ranges and critical </w:t>
      </w:r>
      <w:r w:rsidR="003916B6">
        <w:lastRenderedPageBreak/>
        <w:t>habitats from the FWS and NMFS. In the contiguous United States (ConUS), agricultural potential use sites are represented using the USDA Crop Data Layer (CDL) (</w:t>
      </w:r>
      <w:r w:rsidR="003916B6" w:rsidRPr="14F7C6B6">
        <w:rPr>
          <w:b/>
          <w:bCs/>
        </w:rPr>
        <w:t>APPENDIX 1-5</w:t>
      </w:r>
      <w:r w:rsidR="003916B6">
        <w:t>). All species or critical habitats with some overlap of the action area and their range or designated critical habitat, or with some overlap on species that the listed species depends on (</w:t>
      </w:r>
      <w:r w:rsidR="003916B6" w:rsidRPr="14F7C6B6">
        <w:rPr>
          <w:b/>
          <w:bCs/>
        </w:rPr>
        <w:t>Chapter 4</w:t>
      </w:r>
      <w:r w:rsidR="003916B6">
        <w:t>) move on to step 2 and are assessed to make LAA/NLAA determinations.</w:t>
      </w:r>
    </w:p>
    <w:p w14:paraId="47D45F57" w14:textId="77777777" w:rsidR="00CC3A60" w:rsidRDefault="00CC3A60" w:rsidP="0098319A"/>
    <w:p w14:paraId="54323EAA" w14:textId="40EA8A5F" w:rsidR="00C633D9" w:rsidRPr="008506C0" w:rsidRDefault="00033DB4" w:rsidP="00CC5A0F">
      <w:pPr>
        <w:pStyle w:val="Heading1"/>
        <w:rPr>
          <w:color w:val="4472C4" w:themeColor="accent5"/>
        </w:rPr>
      </w:pPr>
      <w:r w:rsidRPr="008506C0">
        <w:rPr>
          <w:color w:val="4472C4" w:themeColor="accent5"/>
        </w:rPr>
        <w:t>Effects Determinations</w:t>
      </w:r>
    </w:p>
    <w:p w14:paraId="4AA96D1A" w14:textId="77777777" w:rsidR="00AD0553" w:rsidRDefault="00AD0553" w:rsidP="00BB517C">
      <w:pPr>
        <w:keepNext/>
        <w:keepLines/>
      </w:pPr>
    </w:p>
    <w:p w14:paraId="4F84B477" w14:textId="70B94484" w:rsidR="00631002" w:rsidRDefault="00631002" w:rsidP="00631002">
      <w:pPr>
        <w:rPr>
          <w:b/>
          <w:bCs/>
        </w:rPr>
      </w:pPr>
      <w:r>
        <w:t xml:space="preserve">This BE makes effects determinations (NE, </w:t>
      </w:r>
      <w:r w:rsidR="00A54A79">
        <w:t xml:space="preserve">MA, </w:t>
      </w:r>
      <w:r>
        <w:t>NLAA</w:t>
      </w:r>
      <w:r w:rsidR="00A54A79">
        <w:t>,</w:t>
      </w:r>
      <w:r>
        <w:t xml:space="preserve"> or LAA)</w:t>
      </w:r>
      <w:r w:rsidR="00A54A79">
        <w:rPr>
          <w:rStyle w:val="FootnoteReference"/>
        </w:rPr>
        <w:footnoteReference w:id="8"/>
      </w:r>
      <w:r>
        <w:t xml:space="preserve"> for</w:t>
      </w:r>
      <w:r w:rsidRPr="008F32E8">
        <w:t xml:space="preserve"> </w:t>
      </w:r>
      <w:r w:rsidR="00243DDB">
        <w:t>1821</w:t>
      </w:r>
      <w:r w:rsidRPr="008F32E8">
        <w:t xml:space="preserve"> listed species, and </w:t>
      </w:r>
      <w:r w:rsidRPr="007400FE">
        <w:t>7</w:t>
      </w:r>
      <w:r>
        <w:t>9</w:t>
      </w:r>
      <w:r w:rsidR="00243DDB">
        <w:t>1</w:t>
      </w:r>
      <w:r w:rsidRPr="008F32E8">
        <w:t xml:space="preserve"> designated</w:t>
      </w:r>
      <w:r>
        <w:t xml:space="preserve"> critical habitats. </w:t>
      </w:r>
      <w:r w:rsidR="00C82074">
        <w:t>Under Step 1, EPA made</w:t>
      </w:r>
      <w:r w:rsidR="00C31041" w:rsidRPr="00C31041">
        <w:rPr>
          <w:rFonts w:eastAsia="Calibri" w:cs="Calibri"/>
        </w:rPr>
        <w:t xml:space="preserve"> </w:t>
      </w:r>
      <w:r w:rsidR="00C31041">
        <w:rPr>
          <w:rFonts w:eastAsia="Calibri" w:cs="Calibri"/>
        </w:rPr>
        <w:t xml:space="preserve">NE determinations </w:t>
      </w:r>
      <w:r w:rsidR="00C31041" w:rsidRPr="00861A28">
        <w:rPr>
          <w:rFonts w:eastAsia="Calibri" w:cs="Calibri"/>
        </w:rPr>
        <w:t xml:space="preserve">for </w:t>
      </w:r>
      <w:r w:rsidR="00CD6E03" w:rsidRPr="00861A28">
        <w:rPr>
          <w:rFonts w:eastAsia="Calibri" w:cs="Calibri"/>
        </w:rPr>
        <w:t>2</w:t>
      </w:r>
      <w:r w:rsidR="00D7215E">
        <w:rPr>
          <w:rFonts w:eastAsia="Calibri" w:cs="Calibri"/>
        </w:rPr>
        <w:t>59</w:t>
      </w:r>
      <w:r w:rsidR="00CD6E03" w:rsidRPr="00861A28">
        <w:rPr>
          <w:rFonts w:eastAsia="Calibri" w:cs="Calibri"/>
        </w:rPr>
        <w:t xml:space="preserve"> </w:t>
      </w:r>
      <w:r w:rsidR="00C82074">
        <w:rPr>
          <w:rFonts w:eastAsia="Calibri" w:cs="Calibri"/>
        </w:rPr>
        <w:t xml:space="preserve">species </w:t>
      </w:r>
      <w:r w:rsidR="00CD6E03" w:rsidRPr="00861A28">
        <w:rPr>
          <w:rFonts w:eastAsia="Calibri" w:cs="Calibri"/>
        </w:rPr>
        <w:t>and 1</w:t>
      </w:r>
      <w:r w:rsidR="00D7215E">
        <w:rPr>
          <w:rFonts w:eastAsia="Calibri" w:cs="Calibri"/>
        </w:rPr>
        <w:t>31</w:t>
      </w:r>
      <w:r w:rsidR="00C31041" w:rsidRPr="00861A28">
        <w:rPr>
          <w:rFonts w:eastAsia="Calibri" w:cs="Calibri"/>
        </w:rPr>
        <w:t xml:space="preserve"> critical habitat</w:t>
      </w:r>
      <w:r w:rsidR="00C82074">
        <w:rPr>
          <w:rFonts w:eastAsia="Calibri" w:cs="Calibri"/>
        </w:rPr>
        <w:t xml:space="preserve">s </w:t>
      </w:r>
      <w:r w:rsidR="00C82074" w:rsidRPr="008B4300">
        <w:t>because there was not overlap between the species range/critical habitat and the action area.</w:t>
      </w:r>
      <w:r w:rsidRPr="000C2F82">
        <w:t xml:space="preserve"> </w:t>
      </w:r>
      <w:bookmarkStart w:id="3" w:name="_Hlk57015010"/>
      <w:r w:rsidR="00C82074">
        <w:t xml:space="preserve">EPA made MA determinations for </w:t>
      </w:r>
      <w:r w:rsidR="00D7215E">
        <w:t>1562</w:t>
      </w:r>
      <w:r w:rsidR="00C82074">
        <w:t xml:space="preserve"> species and </w:t>
      </w:r>
      <w:r w:rsidR="00D7215E">
        <w:t>660</w:t>
      </w:r>
      <w:r w:rsidR="00C82074">
        <w:t xml:space="preserve"> critical habitats. As explained above, a</w:t>
      </w:r>
      <w:r w:rsidR="00C82074" w:rsidRPr="14F7C6B6">
        <w:rPr>
          <w:rFonts w:ascii="Calibri" w:eastAsia="Calibri" w:hAnsi="Calibri" w:cs="Calibri"/>
          <w:color w:val="000000" w:themeColor="text1"/>
        </w:rPr>
        <w:t>ll species and critical habitats with a MA determination progressed to the Step 2 analysis where an NLAA or LAA determination is made</w:t>
      </w:r>
      <w:r w:rsidR="003916B6">
        <w:rPr>
          <w:rStyle w:val="FootnoteReference"/>
          <w:rFonts w:ascii="Calibri" w:eastAsia="Calibri" w:hAnsi="Calibri" w:cs="Calibri"/>
          <w:color w:val="000000" w:themeColor="text1"/>
        </w:rPr>
        <w:footnoteReference w:id="9"/>
      </w:r>
      <w:r w:rsidR="00C82074">
        <w:rPr>
          <w:rFonts w:ascii="Calibri" w:eastAsia="Calibri" w:hAnsi="Calibri" w:cs="Calibri"/>
          <w:color w:val="000000" w:themeColor="text1"/>
        </w:rPr>
        <w:t>.</w:t>
      </w:r>
      <w:r w:rsidR="00C82074" w:rsidRPr="00A20A15">
        <w:rPr>
          <w:rFonts w:eastAsia="Times New Roman"/>
        </w:rPr>
        <w:t xml:space="preserve"> </w:t>
      </w:r>
      <w:r w:rsidR="00C82074">
        <w:rPr>
          <w:rFonts w:eastAsia="Times New Roman"/>
        </w:rPr>
        <w:t xml:space="preserve">In Step 2, EPA made </w:t>
      </w:r>
      <w:r w:rsidR="00073359" w:rsidRPr="00A20A15">
        <w:rPr>
          <w:rFonts w:eastAsia="Times New Roman"/>
        </w:rPr>
        <w:t xml:space="preserve">NLAA determinations for </w:t>
      </w:r>
      <w:r w:rsidR="00CD6E03" w:rsidRPr="00A20A15">
        <w:rPr>
          <w:rFonts w:eastAsia="Times New Roman"/>
        </w:rPr>
        <w:t>33</w:t>
      </w:r>
      <w:r w:rsidR="00903F4B">
        <w:rPr>
          <w:rFonts w:eastAsia="Times New Roman"/>
        </w:rPr>
        <w:t>7</w:t>
      </w:r>
      <w:r w:rsidR="00073359" w:rsidRPr="00A20A15">
        <w:rPr>
          <w:rFonts w:eastAsia="Times New Roman"/>
        </w:rPr>
        <w:t xml:space="preserve"> species and </w:t>
      </w:r>
      <w:r w:rsidR="00CD6E03" w:rsidRPr="00A20A15">
        <w:rPr>
          <w:rFonts w:eastAsia="Times New Roman"/>
        </w:rPr>
        <w:t>2</w:t>
      </w:r>
      <w:r w:rsidR="00D7215E">
        <w:rPr>
          <w:rFonts w:eastAsia="Times New Roman"/>
        </w:rPr>
        <w:t>1</w:t>
      </w:r>
      <w:r w:rsidR="00903F4B">
        <w:rPr>
          <w:rFonts w:eastAsia="Times New Roman"/>
        </w:rPr>
        <w:t>4</w:t>
      </w:r>
      <w:r w:rsidR="00073359" w:rsidRPr="00A20A15">
        <w:rPr>
          <w:rFonts w:eastAsia="Times New Roman"/>
        </w:rPr>
        <w:t xml:space="preserve"> critical habitat</w:t>
      </w:r>
      <w:r w:rsidR="00C82074">
        <w:rPr>
          <w:rFonts w:eastAsia="Times New Roman"/>
        </w:rPr>
        <w:t>s.</w:t>
      </w:r>
      <w:r w:rsidR="00073359" w:rsidRPr="00A20A15">
        <w:rPr>
          <w:rFonts w:eastAsia="Times New Roman"/>
        </w:rPr>
        <w:t xml:space="preserve"> </w:t>
      </w:r>
      <w:r w:rsidR="00C82074">
        <w:rPr>
          <w:rFonts w:eastAsia="Times New Roman"/>
        </w:rPr>
        <w:t>EPA made</w:t>
      </w:r>
      <w:r w:rsidR="00073359" w:rsidRPr="00A20A15">
        <w:rPr>
          <w:rFonts w:eastAsia="Times New Roman"/>
        </w:rPr>
        <w:t xml:space="preserve"> LAA determinations for 1</w:t>
      </w:r>
      <w:r w:rsidR="00D7215E">
        <w:rPr>
          <w:rFonts w:eastAsia="Times New Roman"/>
        </w:rPr>
        <w:t>22</w:t>
      </w:r>
      <w:r w:rsidR="00903F4B">
        <w:rPr>
          <w:rFonts w:eastAsia="Times New Roman"/>
        </w:rPr>
        <w:t>5</w:t>
      </w:r>
      <w:r w:rsidR="00073359" w:rsidRPr="00A20A15">
        <w:rPr>
          <w:rFonts w:eastAsia="Times New Roman"/>
        </w:rPr>
        <w:t xml:space="preserve"> species and </w:t>
      </w:r>
      <w:r w:rsidR="00D7215E">
        <w:rPr>
          <w:rFonts w:eastAsia="Times New Roman"/>
        </w:rPr>
        <w:t>44</w:t>
      </w:r>
      <w:r w:rsidR="00903F4B">
        <w:rPr>
          <w:rFonts w:eastAsia="Times New Roman"/>
        </w:rPr>
        <w:t>6</w:t>
      </w:r>
      <w:r w:rsidR="00073359" w:rsidRPr="00A20A15">
        <w:rPr>
          <w:rFonts w:eastAsia="Times New Roman"/>
        </w:rPr>
        <w:t xml:space="preserve"> critical habitats</w:t>
      </w:r>
      <w:r w:rsidR="00C31041" w:rsidRPr="00A20A15">
        <w:rPr>
          <w:rFonts w:eastAsia="Calibri" w:cs="Calibri"/>
        </w:rPr>
        <w:t xml:space="preserve">. </w:t>
      </w:r>
      <w:bookmarkEnd w:id="3"/>
      <w:r w:rsidRPr="000C2F82">
        <w:t xml:space="preserve">Specific species determinations are provided in </w:t>
      </w:r>
      <w:r w:rsidRPr="000C2F82">
        <w:rPr>
          <w:b/>
          <w:bCs/>
        </w:rPr>
        <w:t>APPENDIX 4-1.</w:t>
      </w:r>
    </w:p>
    <w:p w14:paraId="116792A5" w14:textId="361BD1AC" w:rsidR="00C31041" w:rsidRDefault="00C31041" w:rsidP="00631002">
      <w:pPr>
        <w:rPr>
          <w:b/>
          <w:bCs/>
        </w:rPr>
      </w:pPr>
    </w:p>
    <w:p w14:paraId="5F9FDA55" w14:textId="6C6B3B8E" w:rsidR="00CC3A60" w:rsidRPr="008A10CB" w:rsidRDefault="00CC3A60" w:rsidP="00CC3A60">
      <w:r w:rsidRPr="008A10CB">
        <w:t xml:space="preserve">For each LAA determination, </w:t>
      </w:r>
      <w:r w:rsidR="003916B6">
        <w:t xml:space="preserve">EPA also </w:t>
      </w:r>
      <w:r w:rsidR="00A15140">
        <w:t>grouped</w:t>
      </w:r>
      <w:r w:rsidR="003916B6">
        <w:t xml:space="preserve"> these determinations into three categories </w:t>
      </w:r>
      <w:r w:rsidRPr="008A10CB">
        <w:t>(</w:t>
      </w:r>
      <w:r w:rsidRPr="008A10CB">
        <w:rPr>
          <w:i/>
        </w:rPr>
        <w:t>i.e.,</w:t>
      </w:r>
      <w:r w:rsidRPr="008A10CB">
        <w:t xml:space="preserve"> strongest, </w:t>
      </w:r>
      <w:proofErr w:type="gramStart"/>
      <w:r w:rsidRPr="008A10CB">
        <w:t>moderate</w:t>
      </w:r>
      <w:proofErr w:type="gramEnd"/>
      <w:r w:rsidRPr="008A10CB">
        <w:t xml:space="preserve"> and weakest) </w:t>
      </w:r>
      <w:r w:rsidR="003916B6">
        <w:t>which</w:t>
      </w:r>
      <w:r w:rsidRPr="008A10CB">
        <w:t xml:space="preserve"> characterize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w:t>
      </w:r>
      <w:r w:rsidR="003916B6">
        <w:t>whether impacts could occur due to direct toxicity to the species or to both direct toxicity and to its prey, pollination, habitat, and dispersal (PPHD)</w:t>
      </w:r>
      <w:r w:rsidRPr="008A10CB">
        <w:t xml:space="preserve">, the presence of reported incidents involving the species taxa or PPHD taxa, the presence of monitoring data that exceeds endpoints, </w:t>
      </w:r>
      <w:r w:rsidR="003916B6">
        <w:t>whether species’ habitats are potential use sites or if they could only be exposed  from spray drift, and the likelihood of drift into a species habitat (</w:t>
      </w:r>
      <w:r w:rsidR="003916B6" w:rsidRPr="00BB5BE9">
        <w:rPr>
          <w:i/>
          <w:iCs/>
        </w:rPr>
        <w:t>e.g</w:t>
      </w:r>
      <w:r w:rsidR="003916B6">
        <w:t>., if the species inhabits forests).</w:t>
      </w:r>
      <w:r w:rsidRPr="008A10CB">
        <w:t xml:space="preserve"> </w:t>
      </w:r>
    </w:p>
    <w:p w14:paraId="448F0C00" w14:textId="7BF77712" w:rsidR="00DC04D5" w:rsidRDefault="00FD644E" w:rsidP="00310F57">
      <w:r w:rsidRPr="00FD644E">
        <w:t xml:space="preserve"> </w:t>
      </w:r>
    </w:p>
    <w:p w14:paraId="2E81FB16" w14:textId="164B2687" w:rsidR="00FA3E72" w:rsidRDefault="000C2F82" w:rsidP="00FA3E72">
      <w:r>
        <w:t xml:space="preserve">Of the LAA determinations, </w:t>
      </w:r>
      <w:r w:rsidR="00631002">
        <w:t>the majority (</w:t>
      </w:r>
      <w:r w:rsidR="00CD6E03">
        <w:t>81</w:t>
      </w:r>
      <w:r>
        <w:t xml:space="preserve">% </w:t>
      </w:r>
      <w:r w:rsidR="00631002">
        <w:t xml:space="preserve">of species </w:t>
      </w:r>
      <w:r w:rsidR="003916B6">
        <w:t xml:space="preserve">and 78% of critical habitats) </w:t>
      </w:r>
      <w:r>
        <w:t>were considered to have moderate evidence</w:t>
      </w:r>
      <w:r w:rsidR="003177C9">
        <w:t xml:space="preserve">. </w:t>
      </w:r>
      <w:bookmarkStart w:id="4" w:name="_Hlk57013924"/>
      <w:r w:rsidR="003916B6" w:rsidRPr="00BC793B">
        <w:t>Strongest evidence was found for</w:t>
      </w:r>
      <w:r w:rsidR="003916B6">
        <w:t xml:space="preserve"> none</w:t>
      </w:r>
      <w:r w:rsidR="003916B6" w:rsidRPr="00BC793B">
        <w:t xml:space="preserve"> of </w:t>
      </w:r>
      <w:r w:rsidR="003916B6">
        <w:t xml:space="preserve">the </w:t>
      </w:r>
      <w:r w:rsidR="003916B6" w:rsidRPr="00BC793B">
        <w:t xml:space="preserve">species </w:t>
      </w:r>
      <w:r w:rsidR="003916B6">
        <w:t>or</w:t>
      </w:r>
      <w:r w:rsidR="003916B6" w:rsidRPr="00BC793B">
        <w:t xml:space="preserve"> critical habitat LAA determinations. Weakest evidence was found for </w:t>
      </w:r>
      <w:r w:rsidR="003916B6">
        <w:t>19</w:t>
      </w:r>
      <w:r w:rsidR="003916B6" w:rsidRPr="00BC793B">
        <w:t xml:space="preserve">% of species and </w:t>
      </w:r>
      <w:r w:rsidR="003916B6">
        <w:t>22</w:t>
      </w:r>
      <w:r w:rsidR="003916B6" w:rsidRPr="00BC793B">
        <w:t>% of critical habitat LAA determinations.</w:t>
      </w:r>
      <w:r w:rsidR="003916B6">
        <w:t xml:space="preserve"> </w:t>
      </w:r>
      <w:bookmarkEnd w:id="4"/>
      <w:r w:rsidR="00C31041">
        <w:t xml:space="preserve">Open Space Developed, </w:t>
      </w:r>
      <w:r w:rsidR="00BB7507">
        <w:t xml:space="preserve">Developed, and Poultry Litter (considered a non-agricultural use as it relates to the application of manure contaminated with clothianidin rather than a direct application of clothianidin) </w:t>
      </w:r>
      <w:r>
        <w:t>were the use sites most frequently associated with</w:t>
      </w:r>
      <w:r w:rsidR="237360F0">
        <w:t xml:space="preserve"> predicted</w:t>
      </w:r>
      <w:r>
        <w:t xml:space="preserve"> impacts to species or critical habitats with LAA determinations.</w:t>
      </w:r>
      <w:r w:rsidR="00631002">
        <w:t xml:space="preserve"> </w:t>
      </w:r>
      <w:r w:rsidR="003625CA">
        <w:t xml:space="preserve">LAA determinations were made for species across all taxa. </w:t>
      </w:r>
      <w:r w:rsidR="00957545">
        <w:t>Because clothianidin</w:t>
      </w:r>
      <w:r w:rsidR="00957545" w:rsidRPr="001F5C51">
        <w:t xml:space="preserve"> is highly toxic to</w:t>
      </w:r>
      <w:r w:rsidR="00957545">
        <w:t xml:space="preserve"> terrestrial and aquatic</w:t>
      </w:r>
      <w:r w:rsidR="00957545" w:rsidRPr="001F5C51">
        <w:t xml:space="preserve"> </w:t>
      </w:r>
      <w:r w:rsidR="00957545">
        <w:t>invertebrates but is much less</w:t>
      </w:r>
      <w:r w:rsidR="00957545" w:rsidRPr="001F5C51">
        <w:t xml:space="preserve"> toxic to</w:t>
      </w:r>
      <w:r w:rsidR="00957545">
        <w:t xml:space="preserve"> other vertebrate and plant taxa, </w:t>
      </w:r>
      <w:r w:rsidR="00957545" w:rsidRPr="00D7215E">
        <w:t>12</w:t>
      </w:r>
      <w:r w:rsidR="00D7215E" w:rsidRPr="00D7215E">
        <w:t>2</w:t>
      </w:r>
      <w:r w:rsidR="00903F4B">
        <w:t>5</w:t>
      </w:r>
      <w:r w:rsidR="00957545" w:rsidRPr="00D7215E">
        <w:t xml:space="preserve"> of the 1</w:t>
      </w:r>
      <w:r w:rsidR="00D7215E" w:rsidRPr="00D7215E">
        <w:t>057</w:t>
      </w:r>
      <w:r w:rsidR="00957545">
        <w:t xml:space="preserve"> LAA determinations were based on effects to PPHD alone (see </w:t>
      </w:r>
      <w:r w:rsidR="00957545" w:rsidRPr="00BB517C">
        <w:rPr>
          <w:b/>
          <w:bCs/>
        </w:rPr>
        <w:t>Table 4-7</w:t>
      </w:r>
      <w:r w:rsidR="008506C0">
        <w:rPr>
          <w:b/>
          <w:bCs/>
        </w:rPr>
        <w:t xml:space="preserve"> </w:t>
      </w:r>
      <w:r w:rsidR="008506C0" w:rsidRPr="008506C0">
        <w:t>in</w:t>
      </w:r>
      <w:r w:rsidR="008506C0">
        <w:rPr>
          <w:b/>
          <w:bCs/>
        </w:rPr>
        <w:t xml:space="preserve"> Chapter 4</w:t>
      </w:r>
      <w:r w:rsidR="00957545">
        <w:t>). Having impacts only to PPHD also contributes to the high number of moderate strength of evidence</w:t>
      </w:r>
      <w:r w:rsidR="0042226C">
        <w:t xml:space="preserve"> classifications</w:t>
      </w:r>
      <w:r w:rsidR="00957545">
        <w:t>.</w:t>
      </w:r>
      <w:r w:rsidR="00743F08" w:rsidRPr="446212B1">
        <w:rPr>
          <w:i/>
          <w:iCs/>
        </w:rPr>
        <w:t xml:space="preserve"> </w:t>
      </w:r>
      <w:r w:rsidR="00743F08">
        <w:t xml:space="preserve">For certain species, there were uncertainties in the </w:t>
      </w:r>
      <w:r w:rsidR="00CD6E03">
        <w:t>clothianidin</w:t>
      </w:r>
      <w:r w:rsidR="002C401D">
        <w:t xml:space="preserve"> </w:t>
      </w:r>
      <w:r w:rsidR="00743F08">
        <w:t>effects determinations based on the resolution of spatial data</w:t>
      </w:r>
      <w:r w:rsidR="00A028B8">
        <w:t>. For species and critical habitats</w:t>
      </w:r>
      <w:r w:rsidR="0042226C">
        <w:t>,</w:t>
      </w:r>
      <w:r w:rsidR="00A028B8">
        <w:t xml:space="preserve"> there were uncertainties</w:t>
      </w:r>
      <w:r w:rsidR="006544B5">
        <w:t xml:space="preserve"> in the</w:t>
      </w:r>
      <w:r w:rsidR="00A028B8">
        <w:t xml:space="preserve"> </w:t>
      </w:r>
      <w:r w:rsidR="00743F08">
        <w:t xml:space="preserve">resolution of usage data and the threshold for assessing impacts on PPHD (detailed in </w:t>
      </w:r>
      <w:r w:rsidR="00743F08" w:rsidRPr="446212B1">
        <w:rPr>
          <w:b/>
          <w:bCs/>
        </w:rPr>
        <w:t>Chapter 4</w:t>
      </w:r>
      <w:r w:rsidR="00743F08">
        <w:t>).</w:t>
      </w:r>
      <w:r w:rsidR="00743F08" w:rsidRPr="446212B1">
        <w:rPr>
          <w:i/>
          <w:iCs/>
        </w:rPr>
        <w:t xml:space="preserve"> </w:t>
      </w:r>
      <w:r w:rsidR="008506C0" w:rsidRPr="008506C0">
        <w:rPr>
          <w:b/>
          <w:bCs/>
        </w:rPr>
        <w:fldChar w:fldCharType="begin"/>
      </w:r>
      <w:r w:rsidR="008506C0" w:rsidRPr="008506C0">
        <w:instrText xml:space="preserve"> REF _Ref80263574 \h </w:instrText>
      </w:r>
      <w:r w:rsidR="008506C0" w:rsidRPr="008506C0">
        <w:rPr>
          <w:b/>
          <w:bCs/>
        </w:rPr>
        <w:instrText xml:space="preserve"> \* MERGEFORMAT </w:instrText>
      </w:r>
      <w:r w:rsidR="008506C0" w:rsidRPr="008506C0">
        <w:rPr>
          <w:b/>
          <w:bCs/>
        </w:rPr>
      </w:r>
      <w:r w:rsidR="008506C0" w:rsidRPr="008506C0">
        <w:rPr>
          <w:b/>
          <w:bCs/>
        </w:rPr>
        <w:fldChar w:fldCharType="separate"/>
      </w:r>
      <w:r w:rsidR="008506C0" w:rsidRPr="008506C0">
        <w:rPr>
          <w:b/>
          <w:bCs/>
          <w:color w:val="000000" w:themeColor="text1"/>
        </w:rPr>
        <w:t xml:space="preserve">Table </w:t>
      </w:r>
      <w:r w:rsidR="008506C0" w:rsidRPr="008506C0">
        <w:rPr>
          <w:b/>
          <w:bCs/>
          <w:noProof/>
          <w:color w:val="000000" w:themeColor="text1"/>
        </w:rPr>
        <w:t>1</w:t>
      </w:r>
      <w:r w:rsidR="008506C0" w:rsidRPr="008506C0">
        <w:rPr>
          <w:b/>
          <w:bCs/>
        </w:rPr>
        <w:fldChar w:fldCharType="end"/>
      </w:r>
      <w:r w:rsidR="008506C0">
        <w:rPr>
          <w:b/>
          <w:bCs/>
        </w:rPr>
        <w:t xml:space="preserve"> </w:t>
      </w:r>
      <w:r w:rsidR="008506C0" w:rsidRPr="008506C0">
        <w:t>and</w:t>
      </w:r>
      <w:r w:rsidR="008506C0">
        <w:rPr>
          <w:b/>
          <w:bCs/>
        </w:rPr>
        <w:t xml:space="preserve"> </w:t>
      </w:r>
      <w:r w:rsidR="008506C0" w:rsidRPr="008506C0">
        <w:rPr>
          <w:b/>
          <w:bCs/>
        </w:rPr>
        <w:fldChar w:fldCharType="begin"/>
      </w:r>
      <w:r w:rsidR="008506C0" w:rsidRPr="008506C0">
        <w:rPr>
          <w:b/>
          <w:bCs/>
        </w:rPr>
        <w:instrText xml:space="preserve"> REF _Ref80263576 \h  \* MERGEFORMAT </w:instrText>
      </w:r>
      <w:r w:rsidR="008506C0" w:rsidRPr="008506C0">
        <w:rPr>
          <w:b/>
          <w:bCs/>
        </w:rPr>
      </w:r>
      <w:r w:rsidR="008506C0" w:rsidRPr="008506C0">
        <w:rPr>
          <w:b/>
          <w:bCs/>
        </w:rPr>
        <w:fldChar w:fldCharType="separate"/>
      </w:r>
      <w:r w:rsidR="008506C0" w:rsidRPr="008506C0">
        <w:rPr>
          <w:b/>
          <w:bCs/>
          <w:color w:val="000000" w:themeColor="text1"/>
        </w:rPr>
        <w:t xml:space="preserve">Table </w:t>
      </w:r>
      <w:r w:rsidR="008506C0" w:rsidRPr="008506C0">
        <w:rPr>
          <w:b/>
          <w:bCs/>
          <w:noProof/>
          <w:color w:val="000000" w:themeColor="text1"/>
        </w:rPr>
        <w:t>2</w:t>
      </w:r>
      <w:r w:rsidR="008506C0" w:rsidRPr="008506C0">
        <w:rPr>
          <w:b/>
          <w:bCs/>
        </w:rPr>
        <w:fldChar w:fldCharType="end"/>
      </w:r>
      <w:r w:rsidR="007E6AE0" w:rsidRPr="00BB517C">
        <w:rPr>
          <w:b/>
          <w:bCs/>
        </w:rPr>
        <w:t xml:space="preserve"> </w:t>
      </w:r>
      <w:r w:rsidR="00C85ED0" w:rsidRPr="00AD0553">
        <w:t>summarize the NE, NLAA and LAA determinations for species and critical habitats.</w:t>
      </w:r>
      <w:r w:rsidR="00D1256E" w:rsidRPr="00AD0553">
        <w:t xml:space="preserve"> </w:t>
      </w:r>
      <w:r w:rsidR="008506C0" w:rsidRPr="008506C0">
        <w:rPr>
          <w:b/>
          <w:bCs/>
        </w:rPr>
        <w:fldChar w:fldCharType="begin"/>
      </w:r>
      <w:r w:rsidR="008506C0" w:rsidRPr="008506C0">
        <w:instrText xml:space="preserve"> REF _Ref80263607 \h </w:instrText>
      </w:r>
      <w:r w:rsidR="008506C0" w:rsidRPr="008506C0">
        <w:rPr>
          <w:b/>
          <w:bCs/>
        </w:rPr>
        <w:instrText xml:space="preserve"> \* MERGEFORMAT </w:instrText>
      </w:r>
      <w:r w:rsidR="008506C0" w:rsidRPr="008506C0">
        <w:rPr>
          <w:b/>
          <w:bCs/>
        </w:rPr>
      </w:r>
      <w:r w:rsidR="008506C0" w:rsidRPr="008506C0">
        <w:rPr>
          <w:b/>
          <w:bCs/>
        </w:rPr>
        <w:fldChar w:fldCharType="separate"/>
      </w:r>
      <w:r w:rsidR="008506C0" w:rsidRPr="008506C0">
        <w:rPr>
          <w:b/>
          <w:bCs/>
          <w:color w:val="000000" w:themeColor="text1"/>
        </w:rPr>
        <w:t xml:space="preserve">Table </w:t>
      </w:r>
      <w:r w:rsidR="008506C0" w:rsidRPr="008506C0">
        <w:rPr>
          <w:b/>
          <w:bCs/>
          <w:noProof/>
          <w:color w:val="000000" w:themeColor="text1"/>
        </w:rPr>
        <w:t>3</w:t>
      </w:r>
      <w:r w:rsidR="008506C0" w:rsidRPr="008506C0">
        <w:rPr>
          <w:b/>
          <w:bCs/>
        </w:rPr>
        <w:fldChar w:fldCharType="end"/>
      </w:r>
      <w:r w:rsidR="008506C0">
        <w:rPr>
          <w:b/>
          <w:bCs/>
        </w:rPr>
        <w:t xml:space="preserve"> </w:t>
      </w:r>
      <w:r w:rsidR="00D1256E">
        <w:t xml:space="preserve">summarizes the </w:t>
      </w:r>
      <w:r w:rsidR="00F06B22">
        <w:t>strength of evidence classifications for the</w:t>
      </w:r>
      <w:r w:rsidR="00D1256E">
        <w:t xml:space="preserve"> LAA determinations</w:t>
      </w:r>
      <w:r w:rsidR="00F06B22">
        <w:t>.</w:t>
      </w:r>
    </w:p>
    <w:p w14:paraId="32737A78" w14:textId="77777777" w:rsidR="00542E25" w:rsidRDefault="00542E25" w:rsidP="00FA3E72"/>
    <w:p w14:paraId="1828164A" w14:textId="7ED0A9C0" w:rsidR="00C82074" w:rsidRDefault="00187845" w:rsidP="00FA3E72">
      <w:r w:rsidRPr="28E83263">
        <w:rPr>
          <w:rFonts w:ascii="Calibri" w:eastAsia="Calibri" w:hAnsi="Calibri" w:cs="Calibri"/>
        </w:rPr>
        <w:lastRenderedPageBreak/>
        <w:t>EPA makes an LAA determination when there is the potential for a single individual of a species to be affected by the labeled use of a pesticide, which is a conservative threshold. This often results in a high number of LAA determinations. An LAA determination in the BE should not be interpreted to mean that EPA has determined that the registered use of imidacloprid is putting a listed species in jeopardy. The National Marine Fisheries Service and the Fish and Wildlife Service make those determinations.</w:t>
      </w:r>
    </w:p>
    <w:p w14:paraId="7182A354" w14:textId="0BEDB34C" w:rsidR="00B408AC" w:rsidRPr="000903AD" w:rsidRDefault="00B408AC" w:rsidP="00B408AC">
      <w:pPr>
        <w:keepNext/>
        <w:rPr>
          <w:b/>
        </w:rPr>
      </w:pPr>
    </w:p>
    <w:p w14:paraId="7B03AFE5" w14:textId="293AFD7C" w:rsidR="008506C0" w:rsidRPr="008506C0" w:rsidRDefault="008506C0" w:rsidP="008506C0">
      <w:pPr>
        <w:pStyle w:val="Caption"/>
        <w:keepNext/>
        <w:rPr>
          <w:b/>
          <w:bCs/>
          <w:i w:val="0"/>
          <w:iCs w:val="0"/>
          <w:color w:val="000000" w:themeColor="text1"/>
          <w:sz w:val="22"/>
          <w:szCs w:val="22"/>
        </w:rPr>
      </w:pPr>
      <w:bookmarkStart w:id="5" w:name="_Ref80263574"/>
      <w:r w:rsidRPr="008506C0">
        <w:rPr>
          <w:b/>
          <w:bCs/>
          <w:i w:val="0"/>
          <w:iCs w:val="0"/>
          <w:color w:val="000000" w:themeColor="text1"/>
          <w:sz w:val="22"/>
          <w:szCs w:val="22"/>
        </w:rPr>
        <w:t xml:space="preserve">Table </w:t>
      </w:r>
      <w:r w:rsidRPr="008506C0">
        <w:rPr>
          <w:b/>
          <w:bCs/>
          <w:i w:val="0"/>
          <w:iCs w:val="0"/>
          <w:color w:val="000000" w:themeColor="text1"/>
          <w:sz w:val="22"/>
          <w:szCs w:val="22"/>
        </w:rPr>
        <w:fldChar w:fldCharType="begin"/>
      </w:r>
      <w:r w:rsidRPr="008506C0">
        <w:rPr>
          <w:b/>
          <w:bCs/>
          <w:i w:val="0"/>
          <w:iCs w:val="0"/>
          <w:color w:val="000000" w:themeColor="text1"/>
          <w:sz w:val="22"/>
          <w:szCs w:val="22"/>
        </w:rPr>
        <w:instrText xml:space="preserve"> SEQ Table \* ARABIC </w:instrText>
      </w:r>
      <w:r w:rsidRPr="008506C0">
        <w:rPr>
          <w:b/>
          <w:bCs/>
          <w:i w:val="0"/>
          <w:iCs w:val="0"/>
          <w:color w:val="000000" w:themeColor="text1"/>
          <w:sz w:val="22"/>
          <w:szCs w:val="22"/>
        </w:rPr>
        <w:fldChar w:fldCharType="separate"/>
      </w:r>
      <w:r>
        <w:rPr>
          <w:b/>
          <w:bCs/>
          <w:i w:val="0"/>
          <w:iCs w:val="0"/>
          <w:noProof/>
          <w:color w:val="000000" w:themeColor="text1"/>
          <w:sz w:val="22"/>
          <w:szCs w:val="22"/>
        </w:rPr>
        <w:t>1</w:t>
      </w:r>
      <w:r w:rsidRPr="008506C0">
        <w:rPr>
          <w:b/>
          <w:bCs/>
          <w:i w:val="0"/>
          <w:iCs w:val="0"/>
          <w:color w:val="000000" w:themeColor="text1"/>
          <w:sz w:val="22"/>
          <w:szCs w:val="22"/>
        </w:rPr>
        <w:fldChar w:fldCharType="end"/>
      </w:r>
      <w:bookmarkEnd w:id="5"/>
      <w:r w:rsidRPr="008506C0">
        <w:rPr>
          <w:b/>
          <w:bCs/>
          <w:i w:val="0"/>
          <w:iCs w:val="0"/>
          <w:color w:val="000000" w:themeColor="text1"/>
          <w:sz w:val="22"/>
          <w:szCs w:val="22"/>
        </w:rPr>
        <w:t>. Summary of Species Effects Determinations for Clothianidin (Counts by Taxon).</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20"/>
        <w:gridCol w:w="1080"/>
        <w:gridCol w:w="1980"/>
        <w:gridCol w:w="1890"/>
        <w:gridCol w:w="720"/>
      </w:tblGrid>
      <w:tr w:rsidR="00A20A15" w:rsidRPr="00EA30D7" w14:paraId="7C661351" w14:textId="77777777" w:rsidTr="008506C0">
        <w:trPr>
          <w:trHeight w:val="510"/>
        </w:trPr>
        <w:tc>
          <w:tcPr>
            <w:tcW w:w="2240" w:type="dxa"/>
            <w:vMerge w:val="restart"/>
            <w:shd w:val="clear" w:color="000000" w:fill="E7E6E6"/>
            <w:noWrap/>
            <w:vAlign w:val="center"/>
            <w:hideMark/>
          </w:tcPr>
          <w:p w14:paraId="11D10EB6"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Taxon</w:t>
            </w:r>
          </w:p>
        </w:tc>
        <w:tc>
          <w:tcPr>
            <w:tcW w:w="1800" w:type="dxa"/>
            <w:gridSpan w:val="2"/>
            <w:shd w:val="clear" w:color="000000" w:fill="E7E6E6"/>
            <w:vAlign w:val="center"/>
            <w:hideMark/>
          </w:tcPr>
          <w:p w14:paraId="1C2E191D"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Step 1 Effects Determinations</w:t>
            </w:r>
          </w:p>
        </w:tc>
        <w:tc>
          <w:tcPr>
            <w:tcW w:w="3870" w:type="dxa"/>
            <w:gridSpan w:val="2"/>
            <w:shd w:val="clear" w:color="000000" w:fill="E7E6E6"/>
            <w:noWrap/>
            <w:vAlign w:val="center"/>
            <w:hideMark/>
          </w:tcPr>
          <w:p w14:paraId="2F861B78"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Step 2 Effects Determinations</w:t>
            </w:r>
          </w:p>
        </w:tc>
        <w:tc>
          <w:tcPr>
            <w:tcW w:w="720" w:type="dxa"/>
            <w:vMerge w:val="restart"/>
            <w:shd w:val="clear" w:color="000000" w:fill="E7E6E6"/>
            <w:noWrap/>
            <w:vAlign w:val="center"/>
            <w:hideMark/>
          </w:tcPr>
          <w:p w14:paraId="46D88B55"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Totals</w:t>
            </w:r>
          </w:p>
        </w:tc>
      </w:tr>
      <w:tr w:rsidR="00A20A15" w:rsidRPr="00EA30D7" w14:paraId="187B7D25" w14:textId="77777777" w:rsidTr="008506C0">
        <w:trPr>
          <w:trHeight w:val="564"/>
        </w:trPr>
        <w:tc>
          <w:tcPr>
            <w:tcW w:w="2240" w:type="dxa"/>
            <w:vMerge/>
            <w:vAlign w:val="center"/>
            <w:hideMark/>
          </w:tcPr>
          <w:p w14:paraId="730009A7" w14:textId="77777777" w:rsidR="00A20A15" w:rsidRPr="00EA30D7" w:rsidRDefault="00A20A15" w:rsidP="009B24AE">
            <w:pPr>
              <w:rPr>
                <w:rFonts w:ascii="Calibri" w:hAnsi="Calibri" w:cs="Calibri"/>
                <w:b/>
                <w:bCs/>
                <w:sz w:val="20"/>
              </w:rPr>
            </w:pPr>
          </w:p>
        </w:tc>
        <w:tc>
          <w:tcPr>
            <w:tcW w:w="720" w:type="dxa"/>
            <w:shd w:val="clear" w:color="000000" w:fill="E7E6E6"/>
            <w:vAlign w:val="center"/>
            <w:hideMark/>
          </w:tcPr>
          <w:p w14:paraId="637F35FD"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No Effect</w:t>
            </w:r>
          </w:p>
        </w:tc>
        <w:tc>
          <w:tcPr>
            <w:tcW w:w="1080" w:type="dxa"/>
            <w:shd w:val="clear" w:color="000000" w:fill="E7E6E6"/>
            <w:vAlign w:val="center"/>
            <w:hideMark/>
          </w:tcPr>
          <w:p w14:paraId="22472186"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May Affect</w:t>
            </w:r>
          </w:p>
        </w:tc>
        <w:tc>
          <w:tcPr>
            <w:tcW w:w="1980" w:type="dxa"/>
            <w:shd w:val="clear" w:color="000000" w:fill="E7E6E6"/>
            <w:vAlign w:val="center"/>
            <w:hideMark/>
          </w:tcPr>
          <w:p w14:paraId="1DDDD9C3"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Not Likely to Adversely Affect</w:t>
            </w:r>
          </w:p>
        </w:tc>
        <w:tc>
          <w:tcPr>
            <w:tcW w:w="1890" w:type="dxa"/>
            <w:shd w:val="clear" w:color="000000" w:fill="E7E6E6"/>
            <w:vAlign w:val="center"/>
            <w:hideMark/>
          </w:tcPr>
          <w:p w14:paraId="62F7DDA3"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Likely to Adversely Affect</w:t>
            </w:r>
          </w:p>
        </w:tc>
        <w:tc>
          <w:tcPr>
            <w:tcW w:w="720" w:type="dxa"/>
            <w:vMerge/>
            <w:vAlign w:val="center"/>
            <w:hideMark/>
          </w:tcPr>
          <w:p w14:paraId="59FEA136" w14:textId="77777777" w:rsidR="00A20A15" w:rsidRPr="00EA30D7" w:rsidRDefault="00A20A15" w:rsidP="009B24AE">
            <w:pPr>
              <w:rPr>
                <w:rFonts w:ascii="Calibri" w:hAnsi="Calibri" w:cs="Calibri"/>
                <w:b/>
                <w:bCs/>
                <w:sz w:val="20"/>
              </w:rPr>
            </w:pPr>
          </w:p>
        </w:tc>
      </w:tr>
      <w:tr w:rsidR="00B34D22" w:rsidRPr="00EA30D7" w14:paraId="62A6BCEE" w14:textId="77777777" w:rsidTr="008506C0">
        <w:trPr>
          <w:trHeight w:val="300"/>
        </w:trPr>
        <w:tc>
          <w:tcPr>
            <w:tcW w:w="2240" w:type="dxa"/>
            <w:shd w:val="clear" w:color="auto" w:fill="auto"/>
            <w:noWrap/>
            <w:vAlign w:val="center"/>
            <w:hideMark/>
          </w:tcPr>
          <w:p w14:paraId="547CB6D4" w14:textId="338966C2" w:rsidR="00B34D22" w:rsidRPr="00EA30D7" w:rsidRDefault="00B34D22" w:rsidP="00B34D22">
            <w:pPr>
              <w:rPr>
                <w:rFonts w:ascii="Calibri" w:hAnsi="Calibri" w:cs="Calibri"/>
                <w:sz w:val="20"/>
              </w:rPr>
            </w:pPr>
            <w:r w:rsidRPr="008376B0">
              <w:rPr>
                <w:rFonts w:ascii="Calibri" w:hAnsi="Calibri" w:cs="Calibri"/>
                <w:sz w:val="20"/>
              </w:rPr>
              <w:t>Mammals</w:t>
            </w:r>
          </w:p>
        </w:tc>
        <w:tc>
          <w:tcPr>
            <w:tcW w:w="720" w:type="dxa"/>
            <w:shd w:val="clear" w:color="auto" w:fill="auto"/>
            <w:vAlign w:val="center"/>
            <w:hideMark/>
          </w:tcPr>
          <w:p w14:paraId="4F7EBA4E" w14:textId="30B0A7F3" w:rsidR="00B34D22" w:rsidRPr="00EA30D7" w:rsidRDefault="00B34D22" w:rsidP="00B34D22">
            <w:pPr>
              <w:jc w:val="center"/>
              <w:rPr>
                <w:rFonts w:ascii="Calibri" w:hAnsi="Calibri" w:cs="Calibri"/>
                <w:sz w:val="20"/>
              </w:rPr>
            </w:pPr>
            <w:r w:rsidRPr="008376B0">
              <w:rPr>
                <w:rFonts w:ascii="Calibri" w:hAnsi="Calibri" w:cs="Calibri"/>
                <w:sz w:val="20"/>
              </w:rPr>
              <w:t>1</w:t>
            </w:r>
          </w:p>
        </w:tc>
        <w:tc>
          <w:tcPr>
            <w:tcW w:w="1080" w:type="dxa"/>
            <w:shd w:val="clear" w:color="auto" w:fill="auto"/>
            <w:vAlign w:val="center"/>
            <w:hideMark/>
          </w:tcPr>
          <w:p w14:paraId="4BBE33A1" w14:textId="06DFD3AF" w:rsidR="00B34D22" w:rsidRPr="00EA30D7" w:rsidRDefault="00B34D22" w:rsidP="00B34D22">
            <w:pPr>
              <w:jc w:val="center"/>
              <w:rPr>
                <w:rFonts w:ascii="Calibri" w:hAnsi="Calibri" w:cs="Calibri"/>
                <w:sz w:val="20"/>
              </w:rPr>
            </w:pPr>
            <w:r w:rsidRPr="008376B0">
              <w:rPr>
                <w:rFonts w:ascii="Calibri" w:hAnsi="Calibri" w:cs="Calibri"/>
                <w:sz w:val="20"/>
              </w:rPr>
              <w:t>101</w:t>
            </w:r>
          </w:p>
        </w:tc>
        <w:tc>
          <w:tcPr>
            <w:tcW w:w="1980" w:type="dxa"/>
            <w:shd w:val="clear" w:color="auto" w:fill="auto"/>
            <w:noWrap/>
            <w:vAlign w:val="center"/>
            <w:hideMark/>
          </w:tcPr>
          <w:p w14:paraId="5ACF738A" w14:textId="155C7261" w:rsidR="00B34D22" w:rsidRPr="00EA30D7" w:rsidRDefault="00B34D22" w:rsidP="00B34D22">
            <w:pPr>
              <w:jc w:val="center"/>
              <w:rPr>
                <w:rFonts w:ascii="Calibri" w:hAnsi="Calibri" w:cs="Calibri"/>
                <w:sz w:val="20"/>
              </w:rPr>
            </w:pPr>
            <w:r w:rsidRPr="008376B0">
              <w:rPr>
                <w:rFonts w:ascii="Calibri" w:hAnsi="Calibri" w:cs="Calibri"/>
                <w:sz w:val="20"/>
              </w:rPr>
              <w:t>4</w:t>
            </w:r>
            <w:r w:rsidR="00903F4B">
              <w:rPr>
                <w:rFonts w:ascii="Calibri" w:hAnsi="Calibri" w:cs="Calibri"/>
                <w:sz w:val="20"/>
              </w:rPr>
              <w:t>6</w:t>
            </w:r>
          </w:p>
        </w:tc>
        <w:tc>
          <w:tcPr>
            <w:tcW w:w="1890" w:type="dxa"/>
            <w:shd w:val="clear" w:color="auto" w:fill="auto"/>
            <w:noWrap/>
            <w:vAlign w:val="center"/>
            <w:hideMark/>
          </w:tcPr>
          <w:p w14:paraId="63905CFB" w14:textId="11A37871" w:rsidR="00B34D22" w:rsidRPr="00EA30D7" w:rsidRDefault="00B34D22" w:rsidP="00B34D22">
            <w:pPr>
              <w:jc w:val="center"/>
              <w:rPr>
                <w:rFonts w:ascii="Calibri" w:hAnsi="Calibri" w:cs="Calibri"/>
              </w:rPr>
            </w:pPr>
            <w:r w:rsidRPr="008376B0">
              <w:rPr>
                <w:rFonts w:ascii="Calibri" w:hAnsi="Calibri" w:cs="Calibri"/>
                <w:sz w:val="20"/>
              </w:rPr>
              <w:t>5</w:t>
            </w:r>
            <w:r w:rsidR="00903F4B">
              <w:rPr>
                <w:rFonts w:ascii="Calibri" w:hAnsi="Calibri" w:cs="Calibri"/>
                <w:sz w:val="20"/>
              </w:rPr>
              <w:t>5</w:t>
            </w:r>
          </w:p>
        </w:tc>
        <w:tc>
          <w:tcPr>
            <w:tcW w:w="720" w:type="dxa"/>
            <w:shd w:val="clear" w:color="auto" w:fill="auto"/>
            <w:noWrap/>
            <w:vAlign w:val="center"/>
            <w:hideMark/>
          </w:tcPr>
          <w:p w14:paraId="344BFFF2" w14:textId="4E39C58C" w:rsidR="00B34D22" w:rsidRPr="00EA30D7" w:rsidRDefault="00B34D22" w:rsidP="00B34D22">
            <w:pPr>
              <w:jc w:val="center"/>
              <w:rPr>
                <w:rFonts w:ascii="Calibri" w:hAnsi="Calibri" w:cs="Calibri"/>
              </w:rPr>
            </w:pPr>
            <w:r w:rsidRPr="008376B0">
              <w:rPr>
                <w:rFonts w:ascii="Calibri" w:hAnsi="Calibri" w:cs="Calibri"/>
                <w:sz w:val="20"/>
              </w:rPr>
              <w:t>102</w:t>
            </w:r>
          </w:p>
        </w:tc>
      </w:tr>
      <w:tr w:rsidR="00B34D22" w:rsidRPr="00EA30D7" w14:paraId="3C7A24A0" w14:textId="77777777" w:rsidTr="008506C0">
        <w:trPr>
          <w:trHeight w:val="300"/>
        </w:trPr>
        <w:tc>
          <w:tcPr>
            <w:tcW w:w="2240" w:type="dxa"/>
            <w:shd w:val="clear" w:color="auto" w:fill="auto"/>
            <w:noWrap/>
            <w:vAlign w:val="center"/>
            <w:hideMark/>
          </w:tcPr>
          <w:p w14:paraId="31AAE462" w14:textId="09432F5E" w:rsidR="00B34D22" w:rsidRPr="00EA30D7" w:rsidRDefault="00B34D22" w:rsidP="00B34D22">
            <w:pPr>
              <w:rPr>
                <w:rFonts w:ascii="Calibri" w:hAnsi="Calibri" w:cs="Calibri"/>
                <w:sz w:val="20"/>
              </w:rPr>
            </w:pPr>
            <w:r w:rsidRPr="008376B0">
              <w:rPr>
                <w:rFonts w:ascii="Calibri" w:hAnsi="Calibri" w:cs="Calibri"/>
                <w:sz w:val="20"/>
              </w:rPr>
              <w:t>Birds</w:t>
            </w:r>
          </w:p>
        </w:tc>
        <w:tc>
          <w:tcPr>
            <w:tcW w:w="720" w:type="dxa"/>
            <w:shd w:val="clear" w:color="auto" w:fill="auto"/>
            <w:vAlign w:val="center"/>
            <w:hideMark/>
          </w:tcPr>
          <w:p w14:paraId="040848FD" w14:textId="5C936A08" w:rsidR="00B34D22" w:rsidRPr="00EA30D7" w:rsidRDefault="00B34D22" w:rsidP="00B34D22">
            <w:pPr>
              <w:jc w:val="center"/>
              <w:rPr>
                <w:rFonts w:ascii="Calibri" w:hAnsi="Calibri" w:cs="Calibri"/>
                <w:sz w:val="20"/>
              </w:rPr>
            </w:pPr>
            <w:r w:rsidRPr="008376B0">
              <w:rPr>
                <w:rFonts w:ascii="Calibri" w:hAnsi="Calibri" w:cs="Calibri"/>
                <w:sz w:val="20"/>
              </w:rPr>
              <w:t>6</w:t>
            </w:r>
          </w:p>
        </w:tc>
        <w:tc>
          <w:tcPr>
            <w:tcW w:w="1080" w:type="dxa"/>
            <w:shd w:val="clear" w:color="auto" w:fill="auto"/>
            <w:vAlign w:val="center"/>
            <w:hideMark/>
          </w:tcPr>
          <w:p w14:paraId="4CE4CD07" w14:textId="20D53E02" w:rsidR="00B34D22" w:rsidRPr="00EA30D7" w:rsidRDefault="00B34D22" w:rsidP="00B34D22">
            <w:pPr>
              <w:jc w:val="center"/>
              <w:rPr>
                <w:rFonts w:ascii="Calibri" w:hAnsi="Calibri" w:cs="Calibri"/>
                <w:sz w:val="20"/>
              </w:rPr>
            </w:pPr>
            <w:r w:rsidRPr="008376B0">
              <w:rPr>
                <w:rFonts w:ascii="Calibri" w:hAnsi="Calibri" w:cs="Calibri"/>
                <w:sz w:val="20"/>
              </w:rPr>
              <w:t>102</w:t>
            </w:r>
          </w:p>
        </w:tc>
        <w:tc>
          <w:tcPr>
            <w:tcW w:w="1980" w:type="dxa"/>
            <w:shd w:val="clear" w:color="auto" w:fill="auto"/>
            <w:noWrap/>
            <w:vAlign w:val="center"/>
            <w:hideMark/>
          </w:tcPr>
          <w:p w14:paraId="009A6B73" w14:textId="57B32B86" w:rsidR="00B34D22" w:rsidRPr="00EA30D7" w:rsidRDefault="00B34D22" w:rsidP="00B34D22">
            <w:pPr>
              <w:jc w:val="center"/>
              <w:rPr>
                <w:rFonts w:ascii="Calibri" w:hAnsi="Calibri" w:cs="Calibri"/>
                <w:sz w:val="20"/>
              </w:rPr>
            </w:pPr>
            <w:r w:rsidRPr="008376B0">
              <w:rPr>
                <w:rFonts w:ascii="Calibri" w:hAnsi="Calibri" w:cs="Calibri"/>
                <w:sz w:val="20"/>
              </w:rPr>
              <w:t>31</w:t>
            </w:r>
          </w:p>
        </w:tc>
        <w:tc>
          <w:tcPr>
            <w:tcW w:w="1890" w:type="dxa"/>
            <w:shd w:val="clear" w:color="auto" w:fill="auto"/>
            <w:noWrap/>
            <w:vAlign w:val="center"/>
            <w:hideMark/>
          </w:tcPr>
          <w:p w14:paraId="3F18CF74" w14:textId="1207AB48" w:rsidR="00B34D22" w:rsidRPr="00EA30D7" w:rsidRDefault="00B34D22" w:rsidP="00B34D22">
            <w:pPr>
              <w:jc w:val="center"/>
              <w:rPr>
                <w:rFonts w:ascii="Calibri" w:hAnsi="Calibri" w:cs="Calibri"/>
              </w:rPr>
            </w:pPr>
            <w:r w:rsidRPr="008376B0">
              <w:rPr>
                <w:rFonts w:ascii="Calibri" w:hAnsi="Calibri" w:cs="Calibri"/>
                <w:sz w:val="20"/>
              </w:rPr>
              <w:t>71</w:t>
            </w:r>
          </w:p>
        </w:tc>
        <w:tc>
          <w:tcPr>
            <w:tcW w:w="720" w:type="dxa"/>
            <w:shd w:val="clear" w:color="auto" w:fill="auto"/>
            <w:noWrap/>
            <w:vAlign w:val="center"/>
            <w:hideMark/>
          </w:tcPr>
          <w:p w14:paraId="35DB6338" w14:textId="58F51CB1" w:rsidR="00B34D22" w:rsidRPr="00EA30D7" w:rsidRDefault="00B34D22" w:rsidP="00B34D22">
            <w:pPr>
              <w:jc w:val="center"/>
              <w:rPr>
                <w:rFonts w:ascii="Calibri" w:hAnsi="Calibri" w:cs="Calibri"/>
              </w:rPr>
            </w:pPr>
            <w:r w:rsidRPr="008376B0">
              <w:rPr>
                <w:rFonts w:ascii="Calibri" w:hAnsi="Calibri" w:cs="Calibri"/>
                <w:sz w:val="20"/>
              </w:rPr>
              <w:t>108</w:t>
            </w:r>
          </w:p>
        </w:tc>
      </w:tr>
      <w:tr w:rsidR="00B34D22" w:rsidRPr="00EA30D7" w14:paraId="5BA41375" w14:textId="77777777" w:rsidTr="008506C0">
        <w:trPr>
          <w:trHeight w:val="300"/>
        </w:trPr>
        <w:tc>
          <w:tcPr>
            <w:tcW w:w="2240" w:type="dxa"/>
            <w:shd w:val="clear" w:color="auto" w:fill="auto"/>
            <w:noWrap/>
            <w:vAlign w:val="center"/>
            <w:hideMark/>
          </w:tcPr>
          <w:p w14:paraId="34DBDA54" w14:textId="022F5938" w:rsidR="00B34D22" w:rsidRPr="00EA30D7" w:rsidRDefault="00B34D22" w:rsidP="00B34D22">
            <w:pPr>
              <w:rPr>
                <w:rFonts w:ascii="Calibri" w:hAnsi="Calibri" w:cs="Calibri"/>
                <w:sz w:val="20"/>
              </w:rPr>
            </w:pPr>
            <w:r w:rsidRPr="008376B0">
              <w:rPr>
                <w:rFonts w:ascii="Calibri" w:hAnsi="Calibri" w:cs="Calibri"/>
                <w:sz w:val="20"/>
              </w:rPr>
              <w:t>Amphibians</w:t>
            </w:r>
          </w:p>
        </w:tc>
        <w:tc>
          <w:tcPr>
            <w:tcW w:w="720" w:type="dxa"/>
            <w:shd w:val="clear" w:color="auto" w:fill="auto"/>
            <w:vAlign w:val="center"/>
            <w:hideMark/>
          </w:tcPr>
          <w:p w14:paraId="715397F0" w14:textId="28326E2B" w:rsidR="00B34D22" w:rsidRPr="00EA30D7" w:rsidRDefault="00B34D22" w:rsidP="00B34D22">
            <w:pPr>
              <w:jc w:val="center"/>
              <w:rPr>
                <w:rFonts w:ascii="Calibri" w:hAnsi="Calibri" w:cs="Calibri"/>
                <w:sz w:val="20"/>
              </w:rPr>
            </w:pPr>
            <w:r w:rsidRPr="008376B0">
              <w:rPr>
                <w:rFonts w:ascii="Calibri" w:hAnsi="Calibri" w:cs="Calibri"/>
                <w:sz w:val="20"/>
              </w:rPr>
              <w:t>0</w:t>
            </w:r>
          </w:p>
        </w:tc>
        <w:tc>
          <w:tcPr>
            <w:tcW w:w="1080" w:type="dxa"/>
            <w:shd w:val="clear" w:color="auto" w:fill="auto"/>
            <w:vAlign w:val="center"/>
            <w:hideMark/>
          </w:tcPr>
          <w:p w14:paraId="2EF8C0B5" w14:textId="2A0E692E" w:rsidR="00B34D22" w:rsidRPr="00EA30D7" w:rsidRDefault="00B34D22" w:rsidP="00B34D22">
            <w:pPr>
              <w:jc w:val="center"/>
              <w:rPr>
                <w:rFonts w:ascii="Calibri" w:hAnsi="Calibri" w:cs="Calibri"/>
                <w:sz w:val="20"/>
              </w:rPr>
            </w:pPr>
            <w:r w:rsidRPr="008376B0">
              <w:rPr>
                <w:rFonts w:ascii="Calibri" w:hAnsi="Calibri" w:cs="Calibri"/>
                <w:sz w:val="20"/>
              </w:rPr>
              <w:t>39</w:t>
            </w:r>
          </w:p>
        </w:tc>
        <w:tc>
          <w:tcPr>
            <w:tcW w:w="1980" w:type="dxa"/>
            <w:shd w:val="clear" w:color="auto" w:fill="auto"/>
            <w:noWrap/>
            <w:vAlign w:val="center"/>
            <w:hideMark/>
          </w:tcPr>
          <w:p w14:paraId="1805B699" w14:textId="5D5D80A8" w:rsidR="00B34D22" w:rsidRPr="00EA30D7" w:rsidRDefault="00B34D22" w:rsidP="00B34D22">
            <w:pPr>
              <w:jc w:val="center"/>
              <w:rPr>
                <w:rFonts w:ascii="Calibri" w:hAnsi="Calibri" w:cs="Calibri"/>
                <w:sz w:val="20"/>
              </w:rPr>
            </w:pPr>
            <w:r w:rsidRPr="008376B0">
              <w:rPr>
                <w:rFonts w:ascii="Calibri" w:hAnsi="Calibri" w:cs="Calibri"/>
                <w:sz w:val="20"/>
              </w:rPr>
              <w:t>0</w:t>
            </w:r>
          </w:p>
        </w:tc>
        <w:tc>
          <w:tcPr>
            <w:tcW w:w="1890" w:type="dxa"/>
            <w:shd w:val="clear" w:color="auto" w:fill="auto"/>
            <w:noWrap/>
            <w:vAlign w:val="center"/>
            <w:hideMark/>
          </w:tcPr>
          <w:p w14:paraId="2E3AD311" w14:textId="7230B1AA" w:rsidR="00B34D22" w:rsidRPr="00EA30D7" w:rsidRDefault="00B34D22" w:rsidP="00B34D22">
            <w:pPr>
              <w:jc w:val="center"/>
              <w:rPr>
                <w:rFonts w:ascii="Calibri" w:hAnsi="Calibri" w:cs="Calibri"/>
              </w:rPr>
            </w:pPr>
            <w:r w:rsidRPr="008376B0">
              <w:rPr>
                <w:rFonts w:ascii="Calibri" w:hAnsi="Calibri" w:cs="Calibri"/>
                <w:sz w:val="20"/>
              </w:rPr>
              <w:t>39</w:t>
            </w:r>
          </w:p>
        </w:tc>
        <w:tc>
          <w:tcPr>
            <w:tcW w:w="720" w:type="dxa"/>
            <w:shd w:val="clear" w:color="auto" w:fill="auto"/>
            <w:noWrap/>
            <w:vAlign w:val="center"/>
            <w:hideMark/>
          </w:tcPr>
          <w:p w14:paraId="21BFF198" w14:textId="56D32B15" w:rsidR="00B34D22" w:rsidRPr="00EA30D7" w:rsidRDefault="00B34D22" w:rsidP="00B34D22">
            <w:pPr>
              <w:jc w:val="center"/>
              <w:rPr>
                <w:rFonts w:ascii="Calibri" w:hAnsi="Calibri" w:cs="Calibri"/>
              </w:rPr>
            </w:pPr>
            <w:r w:rsidRPr="008376B0">
              <w:rPr>
                <w:rFonts w:ascii="Calibri" w:hAnsi="Calibri" w:cs="Calibri"/>
                <w:sz w:val="20"/>
              </w:rPr>
              <w:t>39</w:t>
            </w:r>
          </w:p>
        </w:tc>
      </w:tr>
      <w:tr w:rsidR="00B34D22" w:rsidRPr="00EA30D7" w14:paraId="6061D852" w14:textId="77777777" w:rsidTr="008506C0">
        <w:trPr>
          <w:trHeight w:val="300"/>
        </w:trPr>
        <w:tc>
          <w:tcPr>
            <w:tcW w:w="2240" w:type="dxa"/>
            <w:shd w:val="clear" w:color="auto" w:fill="auto"/>
            <w:noWrap/>
            <w:vAlign w:val="center"/>
            <w:hideMark/>
          </w:tcPr>
          <w:p w14:paraId="408B5508" w14:textId="7603E265" w:rsidR="00B34D22" w:rsidRPr="00EA30D7" w:rsidRDefault="00B34D22" w:rsidP="00B34D22">
            <w:pPr>
              <w:rPr>
                <w:rFonts w:ascii="Calibri" w:hAnsi="Calibri" w:cs="Calibri"/>
                <w:sz w:val="20"/>
              </w:rPr>
            </w:pPr>
            <w:r w:rsidRPr="008376B0">
              <w:rPr>
                <w:rFonts w:ascii="Calibri" w:hAnsi="Calibri" w:cs="Calibri"/>
                <w:sz w:val="20"/>
              </w:rPr>
              <w:t>Reptiles</w:t>
            </w:r>
          </w:p>
        </w:tc>
        <w:tc>
          <w:tcPr>
            <w:tcW w:w="720" w:type="dxa"/>
            <w:shd w:val="clear" w:color="auto" w:fill="auto"/>
            <w:vAlign w:val="center"/>
            <w:hideMark/>
          </w:tcPr>
          <w:p w14:paraId="3C49F277" w14:textId="43D04C2A" w:rsidR="00B34D22" w:rsidRPr="00EA30D7" w:rsidRDefault="00B34D22" w:rsidP="00B34D22">
            <w:pPr>
              <w:jc w:val="center"/>
              <w:rPr>
                <w:rFonts w:ascii="Calibri" w:hAnsi="Calibri" w:cs="Calibri"/>
                <w:sz w:val="20"/>
              </w:rPr>
            </w:pPr>
            <w:r w:rsidRPr="008376B0">
              <w:rPr>
                <w:rFonts w:ascii="Calibri" w:hAnsi="Calibri" w:cs="Calibri"/>
                <w:sz w:val="20"/>
              </w:rPr>
              <w:t>8</w:t>
            </w:r>
          </w:p>
        </w:tc>
        <w:tc>
          <w:tcPr>
            <w:tcW w:w="1080" w:type="dxa"/>
            <w:shd w:val="clear" w:color="auto" w:fill="auto"/>
            <w:vAlign w:val="center"/>
            <w:hideMark/>
          </w:tcPr>
          <w:p w14:paraId="7BE7A1E8" w14:textId="05BCF024" w:rsidR="00B34D22" w:rsidRPr="00EA30D7" w:rsidRDefault="00B34D22" w:rsidP="00B34D22">
            <w:pPr>
              <w:jc w:val="center"/>
              <w:rPr>
                <w:rFonts w:ascii="Calibri" w:hAnsi="Calibri" w:cs="Calibri"/>
                <w:sz w:val="20"/>
              </w:rPr>
            </w:pPr>
            <w:r w:rsidRPr="008376B0">
              <w:rPr>
                <w:rFonts w:ascii="Calibri" w:hAnsi="Calibri" w:cs="Calibri"/>
                <w:sz w:val="20"/>
              </w:rPr>
              <w:t>39</w:t>
            </w:r>
          </w:p>
        </w:tc>
        <w:tc>
          <w:tcPr>
            <w:tcW w:w="1980" w:type="dxa"/>
            <w:shd w:val="clear" w:color="auto" w:fill="auto"/>
            <w:noWrap/>
            <w:vAlign w:val="center"/>
            <w:hideMark/>
          </w:tcPr>
          <w:p w14:paraId="003B49F4" w14:textId="31094786" w:rsidR="00B34D22" w:rsidRPr="00EA30D7" w:rsidRDefault="00B34D22" w:rsidP="00B34D22">
            <w:pPr>
              <w:jc w:val="center"/>
              <w:rPr>
                <w:rFonts w:ascii="Calibri" w:hAnsi="Calibri" w:cs="Calibri"/>
                <w:sz w:val="20"/>
              </w:rPr>
            </w:pPr>
            <w:r w:rsidRPr="008376B0">
              <w:rPr>
                <w:rFonts w:ascii="Calibri" w:hAnsi="Calibri" w:cs="Calibri"/>
                <w:sz w:val="20"/>
              </w:rPr>
              <w:t>13</w:t>
            </w:r>
          </w:p>
        </w:tc>
        <w:tc>
          <w:tcPr>
            <w:tcW w:w="1890" w:type="dxa"/>
            <w:shd w:val="clear" w:color="auto" w:fill="auto"/>
            <w:noWrap/>
            <w:vAlign w:val="center"/>
            <w:hideMark/>
          </w:tcPr>
          <w:p w14:paraId="7D90D51A" w14:textId="29E2EEBA" w:rsidR="00B34D22" w:rsidRPr="00EA30D7" w:rsidRDefault="00B34D22" w:rsidP="00B34D22">
            <w:pPr>
              <w:jc w:val="center"/>
              <w:rPr>
                <w:rFonts w:ascii="Calibri" w:hAnsi="Calibri" w:cs="Calibri"/>
              </w:rPr>
            </w:pPr>
            <w:r w:rsidRPr="008376B0">
              <w:rPr>
                <w:rFonts w:ascii="Calibri" w:hAnsi="Calibri" w:cs="Calibri"/>
                <w:sz w:val="20"/>
              </w:rPr>
              <w:t>26</w:t>
            </w:r>
          </w:p>
        </w:tc>
        <w:tc>
          <w:tcPr>
            <w:tcW w:w="720" w:type="dxa"/>
            <w:shd w:val="clear" w:color="auto" w:fill="auto"/>
            <w:noWrap/>
            <w:vAlign w:val="center"/>
            <w:hideMark/>
          </w:tcPr>
          <w:p w14:paraId="384C40E1" w14:textId="7F9A6AD8" w:rsidR="00B34D22" w:rsidRPr="00EA30D7" w:rsidRDefault="00B34D22" w:rsidP="00B34D22">
            <w:pPr>
              <w:jc w:val="center"/>
              <w:rPr>
                <w:rFonts w:ascii="Calibri" w:hAnsi="Calibri" w:cs="Calibri"/>
              </w:rPr>
            </w:pPr>
            <w:r w:rsidRPr="008376B0">
              <w:rPr>
                <w:rFonts w:ascii="Calibri" w:hAnsi="Calibri" w:cs="Calibri"/>
                <w:sz w:val="20"/>
              </w:rPr>
              <w:t>47</w:t>
            </w:r>
          </w:p>
        </w:tc>
      </w:tr>
      <w:tr w:rsidR="00B34D22" w:rsidRPr="00EA30D7" w14:paraId="416C3F84" w14:textId="77777777" w:rsidTr="008506C0">
        <w:trPr>
          <w:trHeight w:val="300"/>
        </w:trPr>
        <w:tc>
          <w:tcPr>
            <w:tcW w:w="2240" w:type="dxa"/>
            <w:shd w:val="clear" w:color="auto" w:fill="auto"/>
            <w:noWrap/>
            <w:vAlign w:val="center"/>
            <w:hideMark/>
          </w:tcPr>
          <w:p w14:paraId="24B4A0CD" w14:textId="7C8275D4" w:rsidR="00B34D22" w:rsidRPr="00EA30D7" w:rsidRDefault="00B34D22" w:rsidP="00B34D22">
            <w:pPr>
              <w:rPr>
                <w:rFonts w:ascii="Calibri" w:hAnsi="Calibri" w:cs="Calibri"/>
                <w:sz w:val="20"/>
              </w:rPr>
            </w:pPr>
            <w:r w:rsidRPr="008376B0">
              <w:rPr>
                <w:rFonts w:ascii="Calibri" w:hAnsi="Calibri" w:cs="Calibri"/>
                <w:sz w:val="20"/>
              </w:rPr>
              <w:t>Fish</w:t>
            </w:r>
          </w:p>
        </w:tc>
        <w:tc>
          <w:tcPr>
            <w:tcW w:w="720" w:type="dxa"/>
            <w:shd w:val="clear" w:color="auto" w:fill="auto"/>
            <w:vAlign w:val="center"/>
            <w:hideMark/>
          </w:tcPr>
          <w:p w14:paraId="4089983D" w14:textId="7A046B17" w:rsidR="00B34D22" w:rsidRPr="00EA30D7" w:rsidRDefault="00B34D22" w:rsidP="00B34D22">
            <w:pPr>
              <w:jc w:val="center"/>
              <w:rPr>
                <w:rFonts w:ascii="Calibri" w:hAnsi="Calibri" w:cs="Calibri"/>
                <w:sz w:val="20"/>
              </w:rPr>
            </w:pPr>
            <w:r w:rsidRPr="008376B0">
              <w:rPr>
                <w:rFonts w:ascii="Calibri" w:hAnsi="Calibri" w:cs="Calibri"/>
                <w:sz w:val="20"/>
              </w:rPr>
              <w:t>4</w:t>
            </w:r>
          </w:p>
        </w:tc>
        <w:tc>
          <w:tcPr>
            <w:tcW w:w="1080" w:type="dxa"/>
            <w:shd w:val="clear" w:color="auto" w:fill="auto"/>
            <w:vAlign w:val="center"/>
            <w:hideMark/>
          </w:tcPr>
          <w:p w14:paraId="79A225BD" w14:textId="44AFE198" w:rsidR="00B34D22" w:rsidRPr="00EA30D7" w:rsidRDefault="00B34D22" w:rsidP="00B34D22">
            <w:pPr>
              <w:jc w:val="center"/>
              <w:rPr>
                <w:rFonts w:ascii="Calibri" w:hAnsi="Calibri" w:cs="Calibri"/>
                <w:sz w:val="20"/>
              </w:rPr>
            </w:pPr>
            <w:r w:rsidRPr="008376B0">
              <w:rPr>
                <w:rFonts w:ascii="Calibri" w:hAnsi="Calibri" w:cs="Calibri"/>
                <w:sz w:val="20"/>
              </w:rPr>
              <w:t>187</w:t>
            </w:r>
          </w:p>
        </w:tc>
        <w:tc>
          <w:tcPr>
            <w:tcW w:w="1980" w:type="dxa"/>
            <w:shd w:val="clear" w:color="auto" w:fill="auto"/>
            <w:noWrap/>
            <w:vAlign w:val="center"/>
            <w:hideMark/>
          </w:tcPr>
          <w:p w14:paraId="5C8EABBC" w14:textId="6512EE87" w:rsidR="00B34D22" w:rsidRPr="00EA30D7" w:rsidRDefault="00B34D22" w:rsidP="00B34D22">
            <w:pPr>
              <w:jc w:val="center"/>
              <w:rPr>
                <w:rFonts w:ascii="Calibri" w:hAnsi="Calibri" w:cs="Calibri"/>
                <w:sz w:val="20"/>
              </w:rPr>
            </w:pPr>
            <w:r w:rsidRPr="008376B0">
              <w:rPr>
                <w:rFonts w:ascii="Calibri" w:hAnsi="Calibri" w:cs="Calibri"/>
                <w:sz w:val="20"/>
              </w:rPr>
              <w:t>13</w:t>
            </w:r>
          </w:p>
        </w:tc>
        <w:tc>
          <w:tcPr>
            <w:tcW w:w="1890" w:type="dxa"/>
            <w:shd w:val="clear" w:color="auto" w:fill="auto"/>
            <w:noWrap/>
            <w:vAlign w:val="center"/>
            <w:hideMark/>
          </w:tcPr>
          <w:p w14:paraId="685F30AC" w14:textId="49391531" w:rsidR="00B34D22" w:rsidRPr="00EA30D7" w:rsidRDefault="00B34D22" w:rsidP="00B34D22">
            <w:pPr>
              <w:jc w:val="center"/>
              <w:rPr>
                <w:rFonts w:ascii="Calibri" w:hAnsi="Calibri" w:cs="Calibri"/>
              </w:rPr>
            </w:pPr>
            <w:r w:rsidRPr="008376B0">
              <w:rPr>
                <w:rFonts w:ascii="Calibri" w:hAnsi="Calibri" w:cs="Calibri"/>
                <w:sz w:val="20"/>
              </w:rPr>
              <w:t>174</w:t>
            </w:r>
          </w:p>
        </w:tc>
        <w:tc>
          <w:tcPr>
            <w:tcW w:w="720" w:type="dxa"/>
            <w:shd w:val="clear" w:color="auto" w:fill="auto"/>
            <w:noWrap/>
            <w:vAlign w:val="center"/>
            <w:hideMark/>
          </w:tcPr>
          <w:p w14:paraId="26DB2D79" w14:textId="3F80BED3" w:rsidR="00B34D22" w:rsidRPr="00EA30D7" w:rsidRDefault="00B34D22" w:rsidP="00B34D22">
            <w:pPr>
              <w:jc w:val="center"/>
              <w:rPr>
                <w:rFonts w:ascii="Calibri" w:hAnsi="Calibri" w:cs="Calibri"/>
              </w:rPr>
            </w:pPr>
            <w:r w:rsidRPr="008376B0">
              <w:rPr>
                <w:rFonts w:ascii="Calibri" w:hAnsi="Calibri" w:cs="Calibri"/>
                <w:sz w:val="20"/>
              </w:rPr>
              <w:t>191</w:t>
            </w:r>
          </w:p>
        </w:tc>
      </w:tr>
      <w:tr w:rsidR="00B34D22" w:rsidRPr="00EA30D7" w14:paraId="793B1758" w14:textId="77777777" w:rsidTr="008506C0">
        <w:trPr>
          <w:trHeight w:val="300"/>
        </w:trPr>
        <w:tc>
          <w:tcPr>
            <w:tcW w:w="2240" w:type="dxa"/>
            <w:shd w:val="clear" w:color="auto" w:fill="auto"/>
            <w:noWrap/>
            <w:vAlign w:val="center"/>
            <w:hideMark/>
          </w:tcPr>
          <w:p w14:paraId="70CD8C82" w14:textId="406F428E" w:rsidR="00B34D22" w:rsidRPr="00EA30D7" w:rsidRDefault="00B34D22" w:rsidP="00B34D22">
            <w:pPr>
              <w:rPr>
                <w:rFonts w:ascii="Calibri" w:hAnsi="Calibri" w:cs="Calibri"/>
                <w:sz w:val="20"/>
              </w:rPr>
            </w:pPr>
            <w:r w:rsidRPr="008376B0">
              <w:rPr>
                <w:rFonts w:ascii="Calibri" w:hAnsi="Calibri" w:cs="Calibri"/>
                <w:sz w:val="20"/>
              </w:rPr>
              <w:t>Plants</w:t>
            </w:r>
          </w:p>
        </w:tc>
        <w:tc>
          <w:tcPr>
            <w:tcW w:w="720" w:type="dxa"/>
            <w:shd w:val="clear" w:color="auto" w:fill="auto"/>
            <w:vAlign w:val="center"/>
            <w:hideMark/>
          </w:tcPr>
          <w:p w14:paraId="1894441A" w14:textId="005897F4" w:rsidR="00B34D22" w:rsidRPr="00EA30D7" w:rsidRDefault="00B34D22" w:rsidP="00B34D22">
            <w:pPr>
              <w:jc w:val="center"/>
              <w:rPr>
                <w:rFonts w:ascii="Calibri" w:hAnsi="Calibri" w:cs="Calibri"/>
                <w:sz w:val="20"/>
              </w:rPr>
            </w:pPr>
            <w:r w:rsidRPr="008376B0">
              <w:rPr>
                <w:rFonts w:ascii="Calibri" w:hAnsi="Calibri" w:cs="Calibri"/>
                <w:sz w:val="20"/>
              </w:rPr>
              <w:t>72</w:t>
            </w:r>
          </w:p>
        </w:tc>
        <w:tc>
          <w:tcPr>
            <w:tcW w:w="1080" w:type="dxa"/>
            <w:shd w:val="clear" w:color="auto" w:fill="auto"/>
            <w:vAlign w:val="center"/>
            <w:hideMark/>
          </w:tcPr>
          <w:p w14:paraId="0B054A14" w14:textId="244EDA19" w:rsidR="00B34D22" w:rsidRPr="00EA30D7" w:rsidRDefault="00B34D22" w:rsidP="00B34D22">
            <w:pPr>
              <w:jc w:val="center"/>
              <w:rPr>
                <w:rFonts w:ascii="Calibri" w:hAnsi="Calibri" w:cs="Calibri"/>
                <w:sz w:val="20"/>
              </w:rPr>
            </w:pPr>
            <w:r w:rsidRPr="008376B0">
              <w:rPr>
                <w:rFonts w:ascii="Calibri" w:hAnsi="Calibri" w:cs="Calibri"/>
                <w:sz w:val="20"/>
              </w:rPr>
              <w:t>878</w:t>
            </w:r>
          </w:p>
        </w:tc>
        <w:tc>
          <w:tcPr>
            <w:tcW w:w="1980" w:type="dxa"/>
            <w:shd w:val="clear" w:color="auto" w:fill="auto"/>
            <w:noWrap/>
            <w:vAlign w:val="center"/>
            <w:hideMark/>
          </w:tcPr>
          <w:p w14:paraId="64F79052" w14:textId="410AE64D" w:rsidR="00B34D22" w:rsidRPr="00EA30D7" w:rsidRDefault="00B34D22" w:rsidP="00B34D22">
            <w:pPr>
              <w:jc w:val="center"/>
              <w:rPr>
                <w:rFonts w:ascii="Calibri" w:hAnsi="Calibri" w:cs="Calibri"/>
                <w:sz w:val="20"/>
              </w:rPr>
            </w:pPr>
            <w:r w:rsidRPr="008376B0">
              <w:rPr>
                <w:rFonts w:ascii="Calibri" w:hAnsi="Calibri" w:cs="Calibri"/>
                <w:sz w:val="20"/>
              </w:rPr>
              <w:t>175</w:t>
            </w:r>
          </w:p>
        </w:tc>
        <w:tc>
          <w:tcPr>
            <w:tcW w:w="1890" w:type="dxa"/>
            <w:shd w:val="clear" w:color="auto" w:fill="auto"/>
            <w:noWrap/>
            <w:vAlign w:val="center"/>
            <w:hideMark/>
          </w:tcPr>
          <w:p w14:paraId="08687654" w14:textId="48A67CEA" w:rsidR="00B34D22" w:rsidRPr="00EA30D7" w:rsidRDefault="00B34D22" w:rsidP="00B34D22">
            <w:pPr>
              <w:jc w:val="center"/>
              <w:rPr>
                <w:rFonts w:ascii="Calibri" w:hAnsi="Calibri" w:cs="Calibri"/>
              </w:rPr>
            </w:pPr>
            <w:r w:rsidRPr="008376B0">
              <w:rPr>
                <w:rFonts w:ascii="Calibri" w:hAnsi="Calibri" w:cs="Calibri"/>
                <w:sz w:val="20"/>
              </w:rPr>
              <w:t>703</w:t>
            </w:r>
          </w:p>
        </w:tc>
        <w:tc>
          <w:tcPr>
            <w:tcW w:w="720" w:type="dxa"/>
            <w:shd w:val="clear" w:color="auto" w:fill="auto"/>
            <w:noWrap/>
            <w:vAlign w:val="center"/>
            <w:hideMark/>
          </w:tcPr>
          <w:p w14:paraId="2A903482" w14:textId="11F084DC" w:rsidR="00B34D22" w:rsidRPr="00EA30D7" w:rsidRDefault="00B34D22" w:rsidP="00B34D22">
            <w:pPr>
              <w:jc w:val="center"/>
              <w:rPr>
                <w:rFonts w:ascii="Calibri" w:hAnsi="Calibri" w:cs="Calibri"/>
              </w:rPr>
            </w:pPr>
            <w:r w:rsidRPr="008376B0">
              <w:rPr>
                <w:rFonts w:ascii="Calibri" w:hAnsi="Calibri" w:cs="Calibri"/>
                <w:sz w:val="20"/>
              </w:rPr>
              <w:t>950</w:t>
            </w:r>
          </w:p>
        </w:tc>
      </w:tr>
      <w:tr w:rsidR="00B34D22" w:rsidRPr="00EA30D7" w14:paraId="6C6D170E" w14:textId="77777777" w:rsidTr="008506C0">
        <w:trPr>
          <w:trHeight w:val="300"/>
        </w:trPr>
        <w:tc>
          <w:tcPr>
            <w:tcW w:w="2240" w:type="dxa"/>
            <w:shd w:val="clear" w:color="auto" w:fill="auto"/>
            <w:noWrap/>
            <w:vAlign w:val="center"/>
            <w:hideMark/>
          </w:tcPr>
          <w:p w14:paraId="6AFB8D0B" w14:textId="65527E5F" w:rsidR="00B34D22" w:rsidRPr="00EA30D7" w:rsidRDefault="00B34D22" w:rsidP="00B34D22">
            <w:pPr>
              <w:rPr>
                <w:rFonts w:ascii="Calibri" w:hAnsi="Calibri" w:cs="Calibri"/>
                <w:sz w:val="20"/>
              </w:rPr>
            </w:pPr>
            <w:r w:rsidRPr="008376B0">
              <w:rPr>
                <w:rFonts w:ascii="Calibri" w:hAnsi="Calibri" w:cs="Calibri"/>
                <w:sz w:val="20"/>
              </w:rPr>
              <w:t>Aquatic Invertebrates</w:t>
            </w:r>
          </w:p>
        </w:tc>
        <w:tc>
          <w:tcPr>
            <w:tcW w:w="720" w:type="dxa"/>
            <w:shd w:val="clear" w:color="auto" w:fill="auto"/>
            <w:vAlign w:val="center"/>
            <w:hideMark/>
          </w:tcPr>
          <w:p w14:paraId="4F5EC56C" w14:textId="73057793" w:rsidR="00B34D22" w:rsidRPr="00EA30D7" w:rsidRDefault="00B34D22" w:rsidP="00B34D22">
            <w:pPr>
              <w:jc w:val="center"/>
              <w:rPr>
                <w:rFonts w:ascii="Calibri" w:hAnsi="Calibri" w:cs="Calibri"/>
                <w:sz w:val="20"/>
              </w:rPr>
            </w:pPr>
            <w:r w:rsidRPr="008376B0">
              <w:rPr>
                <w:rFonts w:ascii="Calibri" w:hAnsi="Calibri" w:cs="Calibri"/>
                <w:sz w:val="20"/>
              </w:rPr>
              <w:t>151</w:t>
            </w:r>
          </w:p>
        </w:tc>
        <w:tc>
          <w:tcPr>
            <w:tcW w:w="1080" w:type="dxa"/>
            <w:shd w:val="clear" w:color="auto" w:fill="auto"/>
            <w:vAlign w:val="center"/>
            <w:hideMark/>
          </w:tcPr>
          <w:p w14:paraId="01C8A5C4" w14:textId="4B94200D" w:rsidR="00B34D22" w:rsidRPr="00EA30D7" w:rsidRDefault="00B34D22" w:rsidP="00B34D22">
            <w:pPr>
              <w:jc w:val="center"/>
              <w:rPr>
                <w:rFonts w:ascii="Calibri" w:hAnsi="Calibri" w:cs="Calibri"/>
                <w:sz w:val="20"/>
              </w:rPr>
            </w:pPr>
            <w:r w:rsidRPr="008376B0">
              <w:rPr>
                <w:rFonts w:ascii="Calibri" w:hAnsi="Calibri" w:cs="Calibri"/>
                <w:sz w:val="20"/>
              </w:rPr>
              <w:t>72</w:t>
            </w:r>
          </w:p>
        </w:tc>
        <w:tc>
          <w:tcPr>
            <w:tcW w:w="1980" w:type="dxa"/>
            <w:shd w:val="clear" w:color="auto" w:fill="auto"/>
            <w:noWrap/>
            <w:vAlign w:val="center"/>
            <w:hideMark/>
          </w:tcPr>
          <w:p w14:paraId="098C0867" w14:textId="36752DF1" w:rsidR="00B34D22" w:rsidRPr="00EA30D7" w:rsidRDefault="00B34D22" w:rsidP="00B34D22">
            <w:pPr>
              <w:jc w:val="center"/>
              <w:rPr>
                <w:rFonts w:ascii="Calibri" w:hAnsi="Calibri" w:cs="Calibri"/>
                <w:sz w:val="20"/>
              </w:rPr>
            </w:pPr>
            <w:r w:rsidRPr="008376B0">
              <w:rPr>
                <w:rFonts w:ascii="Calibri" w:hAnsi="Calibri" w:cs="Calibri"/>
                <w:sz w:val="20"/>
              </w:rPr>
              <w:t>34</w:t>
            </w:r>
          </w:p>
        </w:tc>
        <w:tc>
          <w:tcPr>
            <w:tcW w:w="1890" w:type="dxa"/>
            <w:shd w:val="clear" w:color="auto" w:fill="auto"/>
            <w:noWrap/>
            <w:vAlign w:val="center"/>
            <w:hideMark/>
          </w:tcPr>
          <w:p w14:paraId="5C2B13BC" w14:textId="13FA69D8" w:rsidR="00B34D22" w:rsidRPr="00EA30D7" w:rsidRDefault="00B34D22" w:rsidP="00B34D22">
            <w:pPr>
              <w:jc w:val="center"/>
              <w:rPr>
                <w:rFonts w:ascii="Calibri" w:hAnsi="Calibri" w:cs="Calibri"/>
              </w:rPr>
            </w:pPr>
            <w:r w:rsidRPr="008376B0">
              <w:rPr>
                <w:rFonts w:ascii="Calibri" w:hAnsi="Calibri" w:cs="Calibri"/>
                <w:sz w:val="20"/>
              </w:rPr>
              <w:t>38</w:t>
            </w:r>
          </w:p>
        </w:tc>
        <w:tc>
          <w:tcPr>
            <w:tcW w:w="720" w:type="dxa"/>
            <w:shd w:val="clear" w:color="auto" w:fill="auto"/>
            <w:noWrap/>
            <w:vAlign w:val="center"/>
            <w:hideMark/>
          </w:tcPr>
          <w:p w14:paraId="7BA10C98" w14:textId="138AB8D2" w:rsidR="00B34D22" w:rsidRPr="00EA30D7" w:rsidRDefault="00B34D22" w:rsidP="00B34D22">
            <w:pPr>
              <w:jc w:val="center"/>
              <w:rPr>
                <w:rFonts w:ascii="Calibri" w:hAnsi="Calibri" w:cs="Calibri"/>
              </w:rPr>
            </w:pPr>
            <w:r w:rsidRPr="008376B0">
              <w:rPr>
                <w:rFonts w:ascii="Calibri" w:hAnsi="Calibri" w:cs="Calibri"/>
                <w:sz w:val="20"/>
              </w:rPr>
              <w:t>223</w:t>
            </w:r>
          </w:p>
        </w:tc>
      </w:tr>
      <w:tr w:rsidR="00B34D22" w:rsidRPr="00EA30D7" w14:paraId="345D0CE8" w14:textId="77777777" w:rsidTr="008506C0">
        <w:trPr>
          <w:trHeight w:val="300"/>
        </w:trPr>
        <w:tc>
          <w:tcPr>
            <w:tcW w:w="2240" w:type="dxa"/>
            <w:shd w:val="clear" w:color="auto" w:fill="auto"/>
            <w:noWrap/>
            <w:vAlign w:val="center"/>
            <w:hideMark/>
          </w:tcPr>
          <w:p w14:paraId="301A6D65" w14:textId="10ED384D" w:rsidR="00B34D22" w:rsidRPr="00EA30D7" w:rsidRDefault="00B34D22" w:rsidP="00B34D22">
            <w:pPr>
              <w:rPr>
                <w:rFonts w:ascii="Calibri" w:hAnsi="Calibri" w:cs="Calibri"/>
                <w:sz w:val="20"/>
              </w:rPr>
            </w:pPr>
            <w:r w:rsidRPr="008376B0">
              <w:rPr>
                <w:rFonts w:ascii="Calibri" w:hAnsi="Calibri" w:cs="Calibri"/>
                <w:sz w:val="20"/>
              </w:rPr>
              <w:t>Terrestrial Invertebrates</w:t>
            </w:r>
          </w:p>
        </w:tc>
        <w:tc>
          <w:tcPr>
            <w:tcW w:w="720" w:type="dxa"/>
            <w:shd w:val="clear" w:color="auto" w:fill="auto"/>
            <w:vAlign w:val="center"/>
            <w:hideMark/>
          </w:tcPr>
          <w:p w14:paraId="00E39888" w14:textId="4433A4AD" w:rsidR="00B34D22" w:rsidRPr="00EA30D7" w:rsidRDefault="00B34D22" w:rsidP="00B34D22">
            <w:pPr>
              <w:jc w:val="center"/>
              <w:rPr>
                <w:rFonts w:ascii="Calibri" w:hAnsi="Calibri" w:cs="Calibri"/>
                <w:sz w:val="20"/>
              </w:rPr>
            </w:pPr>
            <w:r w:rsidRPr="008376B0">
              <w:rPr>
                <w:rFonts w:ascii="Calibri" w:hAnsi="Calibri" w:cs="Calibri"/>
                <w:sz w:val="20"/>
              </w:rPr>
              <w:t>17</w:t>
            </w:r>
          </w:p>
        </w:tc>
        <w:tc>
          <w:tcPr>
            <w:tcW w:w="1080" w:type="dxa"/>
            <w:shd w:val="clear" w:color="auto" w:fill="auto"/>
            <w:vAlign w:val="center"/>
            <w:hideMark/>
          </w:tcPr>
          <w:p w14:paraId="365F4EE8" w14:textId="43F01036" w:rsidR="00B34D22" w:rsidRPr="00EA30D7" w:rsidRDefault="00B34D22" w:rsidP="00B34D22">
            <w:pPr>
              <w:jc w:val="center"/>
              <w:rPr>
                <w:rFonts w:ascii="Calibri" w:hAnsi="Calibri" w:cs="Calibri"/>
                <w:sz w:val="20"/>
              </w:rPr>
            </w:pPr>
            <w:r w:rsidRPr="008376B0">
              <w:rPr>
                <w:rFonts w:ascii="Calibri" w:hAnsi="Calibri" w:cs="Calibri"/>
                <w:sz w:val="20"/>
              </w:rPr>
              <w:t>144</w:t>
            </w:r>
          </w:p>
        </w:tc>
        <w:tc>
          <w:tcPr>
            <w:tcW w:w="1980" w:type="dxa"/>
            <w:shd w:val="clear" w:color="auto" w:fill="auto"/>
            <w:noWrap/>
            <w:vAlign w:val="center"/>
            <w:hideMark/>
          </w:tcPr>
          <w:p w14:paraId="0162E849" w14:textId="10147F75" w:rsidR="00B34D22" w:rsidRPr="00EA30D7" w:rsidRDefault="00B34D22" w:rsidP="00B34D22">
            <w:pPr>
              <w:jc w:val="center"/>
              <w:rPr>
                <w:rFonts w:ascii="Calibri" w:hAnsi="Calibri" w:cs="Calibri"/>
                <w:sz w:val="20"/>
              </w:rPr>
            </w:pPr>
            <w:r w:rsidRPr="008376B0">
              <w:rPr>
                <w:rFonts w:ascii="Calibri" w:hAnsi="Calibri" w:cs="Calibri"/>
                <w:sz w:val="20"/>
              </w:rPr>
              <w:t>25</w:t>
            </w:r>
          </w:p>
        </w:tc>
        <w:tc>
          <w:tcPr>
            <w:tcW w:w="1890" w:type="dxa"/>
            <w:shd w:val="clear" w:color="auto" w:fill="auto"/>
            <w:noWrap/>
            <w:vAlign w:val="center"/>
            <w:hideMark/>
          </w:tcPr>
          <w:p w14:paraId="4A75FAD5" w14:textId="74071DA6" w:rsidR="00B34D22" w:rsidRPr="00EA30D7" w:rsidRDefault="00B34D22" w:rsidP="00B34D22">
            <w:pPr>
              <w:jc w:val="center"/>
              <w:rPr>
                <w:rFonts w:ascii="Calibri" w:hAnsi="Calibri" w:cs="Calibri"/>
              </w:rPr>
            </w:pPr>
            <w:r w:rsidRPr="008376B0">
              <w:rPr>
                <w:rFonts w:ascii="Calibri" w:hAnsi="Calibri" w:cs="Calibri"/>
                <w:sz w:val="20"/>
              </w:rPr>
              <w:t>119</w:t>
            </w:r>
          </w:p>
        </w:tc>
        <w:tc>
          <w:tcPr>
            <w:tcW w:w="720" w:type="dxa"/>
            <w:shd w:val="clear" w:color="auto" w:fill="auto"/>
            <w:noWrap/>
            <w:vAlign w:val="center"/>
            <w:hideMark/>
          </w:tcPr>
          <w:p w14:paraId="2B248DB4" w14:textId="1016A089" w:rsidR="00B34D22" w:rsidRPr="00EA30D7" w:rsidRDefault="00B34D22" w:rsidP="00B34D22">
            <w:pPr>
              <w:jc w:val="center"/>
              <w:rPr>
                <w:rFonts w:ascii="Calibri" w:hAnsi="Calibri" w:cs="Calibri"/>
              </w:rPr>
            </w:pPr>
            <w:r w:rsidRPr="008376B0">
              <w:rPr>
                <w:rFonts w:ascii="Calibri" w:hAnsi="Calibri" w:cs="Calibri"/>
                <w:sz w:val="20"/>
              </w:rPr>
              <w:t>161</w:t>
            </w:r>
          </w:p>
        </w:tc>
      </w:tr>
      <w:tr w:rsidR="00B34D22" w:rsidRPr="00EA30D7" w14:paraId="1DA7264B" w14:textId="77777777" w:rsidTr="008506C0">
        <w:trPr>
          <w:trHeight w:val="300"/>
        </w:trPr>
        <w:tc>
          <w:tcPr>
            <w:tcW w:w="2240" w:type="dxa"/>
            <w:shd w:val="clear" w:color="000000" w:fill="D9D9D9"/>
            <w:noWrap/>
            <w:vAlign w:val="center"/>
            <w:hideMark/>
          </w:tcPr>
          <w:p w14:paraId="70C4E3F0" w14:textId="19E57C09" w:rsidR="00B34D22" w:rsidRPr="008506C0" w:rsidRDefault="00B34D22" w:rsidP="00B34D22">
            <w:pPr>
              <w:rPr>
                <w:rFonts w:ascii="Calibri" w:hAnsi="Calibri" w:cs="Calibri"/>
                <w:b/>
                <w:bCs/>
                <w:sz w:val="20"/>
              </w:rPr>
            </w:pPr>
            <w:r w:rsidRPr="008506C0">
              <w:rPr>
                <w:rFonts w:ascii="Calibri" w:hAnsi="Calibri" w:cs="Calibri"/>
                <w:b/>
                <w:bCs/>
                <w:sz w:val="20"/>
              </w:rPr>
              <w:t>Total</w:t>
            </w:r>
          </w:p>
        </w:tc>
        <w:tc>
          <w:tcPr>
            <w:tcW w:w="720" w:type="dxa"/>
            <w:shd w:val="clear" w:color="000000" w:fill="D9D9D9"/>
            <w:vAlign w:val="center"/>
            <w:hideMark/>
          </w:tcPr>
          <w:p w14:paraId="4C696F37" w14:textId="4EBCDB68" w:rsidR="00B34D22" w:rsidRPr="008506C0" w:rsidRDefault="00B34D22" w:rsidP="00B34D22">
            <w:pPr>
              <w:jc w:val="center"/>
              <w:rPr>
                <w:rFonts w:ascii="Calibri" w:hAnsi="Calibri" w:cs="Calibri"/>
                <w:b/>
                <w:bCs/>
                <w:sz w:val="20"/>
              </w:rPr>
            </w:pPr>
            <w:r w:rsidRPr="008506C0">
              <w:rPr>
                <w:rFonts w:ascii="Calibri" w:hAnsi="Calibri" w:cs="Calibri"/>
                <w:b/>
                <w:bCs/>
                <w:sz w:val="20"/>
              </w:rPr>
              <w:t>259</w:t>
            </w:r>
          </w:p>
        </w:tc>
        <w:tc>
          <w:tcPr>
            <w:tcW w:w="1080" w:type="dxa"/>
            <w:shd w:val="clear" w:color="000000" w:fill="D9D9D9"/>
            <w:vAlign w:val="center"/>
            <w:hideMark/>
          </w:tcPr>
          <w:p w14:paraId="03DC62BB" w14:textId="524E86E8" w:rsidR="00B34D22" w:rsidRPr="008506C0" w:rsidRDefault="00B34D22" w:rsidP="00B34D22">
            <w:pPr>
              <w:jc w:val="center"/>
              <w:rPr>
                <w:rFonts w:ascii="Calibri" w:hAnsi="Calibri" w:cs="Calibri"/>
                <w:b/>
                <w:bCs/>
                <w:sz w:val="20"/>
              </w:rPr>
            </w:pPr>
            <w:r w:rsidRPr="008506C0">
              <w:rPr>
                <w:rFonts w:ascii="Calibri" w:hAnsi="Calibri" w:cs="Calibri"/>
                <w:b/>
                <w:bCs/>
                <w:sz w:val="20"/>
              </w:rPr>
              <w:t>1562</w:t>
            </w:r>
          </w:p>
        </w:tc>
        <w:tc>
          <w:tcPr>
            <w:tcW w:w="1980" w:type="dxa"/>
            <w:shd w:val="clear" w:color="000000" w:fill="D9D9D9"/>
            <w:vAlign w:val="center"/>
            <w:hideMark/>
          </w:tcPr>
          <w:p w14:paraId="38C459EE" w14:textId="6CFEB1E9" w:rsidR="00B34D22" w:rsidRPr="008506C0" w:rsidRDefault="00B34D22" w:rsidP="00B34D22">
            <w:pPr>
              <w:jc w:val="center"/>
              <w:rPr>
                <w:rFonts w:ascii="Calibri" w:hAnsi="Calibri" w:cs="Calibri"/>
                <w:b/>
                <w:bCs/>
                <w:sz w:val="20"/>
              </w:rPr>
            </w:pPr>
            <w:r w:rsidRPr="008506C0">
              <w:rPr>
                <w:rFonts w:ascii="Calibri" w:hAnsi="Calibri" w:cs="Calibri"/>
                <w:b/>
                <w:bCs/>
                <w:sz w:val="20"/>
              </w:rPr>
              <w:t>33</w:t>
            </w:r>
            <w:r w:rsidR="00903F4B" w:rsidRPr="008506C0">
              <w:rPr>
                <w:rFonts w:ascii="Calibri" w:hAnsi="Calibri" w:cs="Calibri"/>
                <w:b/>
                <w:bCs/>
                <w:sz w:val="20"/>
              </w:rPr>
              <w:t>7</w:t>
            </w:r>
          </w:p>
        </w:tc>
        <w:tc>
          <w:tcPr>
            <w:tcW w:w="1890" w:type="dxa"/>
            <w:shd w:val="clear" w:color="000000" w:fill="D9D9D9"/>
            <w:vAlign w:val="center"/>
            <w:hideMark/>
          </w:tcPr>
          <w:p w14:paraId="5FBAC990" w14:textId="403FDC50" w:rsidR="00B34D22" w:rsidRPr="008506C0" w:rsidRDefault="00B34D22" w:rsidP="00B34D22">
            <w:pPr>
              <w:jc w:val="center"/>
              <w:rPr>
                <w:rFonts w:ascii="Calibri" w:hAnsi="Calibri" w:cs="Calibri"/>
                <w:b/>
                <w:bCs/>
                <w:sz w:val="20"/>
              </w:rPr>
            </w:pPr>
            <w:r w:rsidRPr="008506C0">
              <w:rPr>
                <w:rFonts w:ascii="Calibri" w:hAnsi="Calibri" w:cs="Calibri"/>
                <w:b/>
                <w:bCs/>
                <w:sz w:val="20"/>
              </w:rPr>
              <w:t>122</w:t>
            </w:r>
            <w:r w:rsidR="00903F4B" w:rsidRPr="008506C0">
              <w:rPr>
                <w:rFonts w:ascii="Calibri" w:hAnsi="Calibri" w:cs="Calibri"/>
                <w:b/>
                <w:bCs/>
                <w:sz w:val="20"/>
              </w:rPr>
              <w:t>5</w:t>
            </w:r>
          </w:p>
        </w:tc>
        <w:tc>
          <w:tcPr>
            <w:tcW w:w="720" w:type="dxa"/>
            <w:shd w:val="clear" w:color="000000" w:fill="D9D9D9"/>
            <w:noWrap/>
            <w:vAlign w:val="center"/>
            <w:hideMark/>
          </w:tcPr>
          <w:p w14:paraId="1BD38BCE" w14:textId="63E9C5C1" w:rsidR="00B34D22" w:rsidRPr="008506C0" w:rsidRDefault="00B34D22" w:rsidP="00B34D22">
            <w:pPr>
              <w:jc w:val="center"/>
              <w:rPr>
                <w:rFonts w:ascii="Calibri" w:hAnsi="Calibri" w:cs="Calibri"/>
                <w:b/>
                <w:bCs/>
                <w:sz w:val="20"/>
              </w:rPr>
            </w:pPr>
            <w:r w:rsidRPr="008506C0">
              <w:rPr>
                <w:rFonts w:ascii="Calibri" w:hAnsi="Calibri" w:cs="Calibri"/>
                <w:b/>
                <w:bCs/>
                <w:sz w:val="20"/>
              </w:rPr>
              <w:t>1821</w:t>
            </w:r>
          </w:p>
        </w:tc>
      </w:tr>
      <w:tr w:rsidR="00B34D22" w:rsidRPr="00EA30D7" w14:paraId="68216B6F" w14:textId="77777777" w:rsidTr="008506C0">
        <w:trPr>
          <w:trHeight w:val="324"/>
        </w:trPr>
        <w:tc>
          <w:tcPr>
            <w:tcW w:w="2240" w:type="dxa"/>
            <w:shd w:val="clear" w:color="000000" w:fill="D9D9D9"/>
            <w:noWrap/>
            <w:vAlign w:val="center"/>
            <w:hideMark/>
          </w:tcPr>
          <w:p w14:paraId="3074D786" w14:textId="35C004F4" w:rsidR="00B34D22" w:rsidRPr="008506C0" w:rsidRDefault="00B34D22" w:rsidP="00B34D22">
            <w:pPr>
              <w:rPr>
                <w:rFonts w:ascii="Calibri" w:hAnsi="Calibri" w:cs="Calibri"/>
                <w:b/>
                <w:bCs/>
                <w:sz w:val="20"/>
              </w:rPr>
            </w:pPr>
            <w:r w:rsidRPr="008506C0">
              <w:rPr>
                <w:rFonts w:ascii="Calibri" w:hAnsi="Calibri" w:cs="Calibri"/>
                <w:b/>
                <w:bCs/>
                <w:sz w:val="20"/>
              </w:rPr>
              <w:t>Percent of total</w:t>
            </w:r>
          </w:p>
        </w:tc>
        <w:tc>
          <w:tcPr>
            <w:tcW w:w="720" w:type="dxa"/>
            <w:shd w:val="clear" w:color="000000" w:fill="D9D9D9"/>
            <w:noWrap/>
            <w:vAlign w:val="center"/>
            <w:hideMark/>
          </w:tcPr>
          <w:p w14:paraId="0D7D0613" w14:textId="42B15B70" w:rsidR="00B34D22" w:rsidRPr="008506C0" w:rsidRDefault="00B34D22" w:rsidP="00B34D22">
            <w:pPr>
              <w:jc w:val="center"/>
              <w:rPr>
                <w:rFonts w:ascii="Calibri" w:hAnsi="Calibri" w:cs="Calibri"/>
                <w:b/>
                <w:bCs/>
                <w:sz w:val="20"/>
              </w:rPr>
            </w:pPr>
            <w:r w:rsidRPr="008506C0">
              <w:rPr>
                <w:rFonts w:ascii="Calibri" w:hAnsi="Calibri" w:cs="Calibri"/>
                <w:b/>
                <w:bCs/>
                <w:sz w:val="20"/>
              </w:rPr>
              <w:t>14%</w:t>
            </w:r>
          </w:p>
        </w:tc>
        <w:tc>
          <w:tcPr>
            <w:tcW w:w="1080" w:type="dxa"/>
            <w:shd w:val="clear" w:color="000000" w:fill="D9D9D9"/>
            <w:noWrap/>
            <w:vAlign w:val="center"/>
            <w:hideMark/>
          </w:tcPr>
          <w:p w14:paraId="105ECAF1" w14:textId="0A7D9AF5" w:rsidR="00B34D22" w:rsidRPr="008506C0" w:rsidRDefault="00B34D22" w:rsidP="00B34D22">
            <w:pPr>
              <w:jc w:val="center"/>
              <w:rPr>
                <w:rFonts w:ascii="Calibri" w:hAnsi="Calibri" w:cs="Calibri"/>
                <w:b/>
                <w:bCs/>
                <w:sz w:val="20"/>
              </w:rPr>
            </w:pPr>
            <w:r w:rsidRPr="008506C0">
              <w:rPr>
                <w:rFonts w:ascii="Calibri" w:hAnsi="Calibri" w:cs="Calibri"/>
                <w:b/>
                <w:bCs/>
                <w:sz w:val="20"/>
              </w:rPr>
              <w:t>86%</w:t>
            </w:r>
          </w:p>
        </w:tc>
        <w:tc>
          <w:tcPr>
            <w:tcW w:w="1980" w:type="dxa"/>
            <w:shd w:val="clear" w:color="000000" w:fill="D9D9D9"/>
            <w:noWrap/>
            <w:vAlign w:val="center"/>
            <w:hideMark/>
          </w:tcPr>
          <w:p w14:paraId="1F9C3055" w14:textId="2CCBA721" w:rsidR="00B34D22" w:rsidRPr="008506C0" w:rsidRDefault="00B34D22" w:rsidP="00B34D22">
            <w:pPr>
              <w:jc w:val="center"/>
              <w:rPr>
                <w:rFonts w:ascii="Calibri" w:hAnsi="Calibri" w:cs="Calibri"/>
                <w:b/>
                <w:bCs/>
                <w:sz w:val="20"/>
              </w:rPr>
            </w:pPr>
            <w:r w:rsidRPr="008506C0">
              <w:rPr>
                <w:rFonts w:ascii="Calibri" w:hAnsi="Calibri" w:cs="Calibri"/>
                <w:b/>
                <w:bCs/>
                <w:sz w:val="20"/>
              </w:rPr>
              <w:t>19%</w:t>
            </w:r>
          </w:p>
        </w:tc>
        <w:tc>
          <w:tcPr>
            <w:tcW w:w="1890" w:type="dxa"/>
            <w:shd w:val="clear" w:color="000000" w:fill="D9D9D9"/>
            <w:noWrap/>
            <w:vAlign w:val="center"/>
            <w:hideMark/>
          </w:tcPr>
          <w:p w14:paraId="45F6E9DF" w14:textId="2F814808" w:rsidR="00B34D22" w:rsidRPr="008506C0" w:rsidRDefault="00B34D22" w:rsidP="00B34D22">
            <w:pPr>
              <w:jc w:val="center"/>
              <w:rPr>
                <w:rFonts w:ascii="Calibri" w:hAnsi="Calibri" w:cs="Calibri"/>
                <w:b/>
                <w:bCs/>
                <w:sz w:val="20"/>
              </w:rPr>
            </w:pPr>
            <w:r w:rsidRPr="008506C0">
              <w:rPr>
                <w:rFonts w:ascii="Calibri" w:hAnsi="Calibri" w:cs="Calibri"/>
                <w:b/>
                <w:bCs/>
                <w:sz w:val="20"/>
              </w:rPr>
              <w:t>67%</w:t>
            </w:r>
          </w:p>
        </w:tc>
        <w:tc>
          <w:tcPr>
            <w:tcW w:w="720" w:type="dxa"/>
            <w:shd w:val="clear" w:color="000000" w:fill="D9D9D9"/>
            <w:noWrap/>
            <w:vAlign w:val="center"/>
            <w:hideMark/>
          </w:tcPr>
          <w:p w14:paraId="2C76E44F" w14:textId="799BCD3D" w:rsidR="00B34D22" w:rsidRPr="008506C0" w:rsidRDefault="00B34D22" w:rsidP="00B34D22">
            <w:pPr>
              <w:jc w:val="center"/>
              <w:rPr>
                <w:b/>
                <w:bCs/>
                <w:sz w:val="20"/>
              </w:rPr>
            </w:pPr>
            <w:r w:rsidRPr="008506C0">
              <w:rPr>
                <w:b/>
                <w:bCs/>
                <w:sz w:val="20"/>
              </w:rPr>
              <w:t> </w:t>
            </w:r>
          </w:p>
        </w:tc>
      </w:tr>
    </w:tbl>
    <w:p w14:paraId="76FEDEE5" w14:textId="1B9D187A" w:rsidR="00B408AC" w:rsidRPr="003C3C6D" w:rsidRDefault="00B408AC" w:rsidP="00B408AC">
      <w:pPr>
        <w:rPr>
          <w:b/>
        </w:rPr>
      </w:pPr>
    </w:p>
    <w:p w14:paraId="5F4C80E7" w14:textId="2E9D165F" w:rsidR="008506C0" w:rsidRPr="008506C0" w:rsidRDefault="008506C0" w:rsidP="008506C0">
      <w:pPr>
        <w:pStyle w:val="Caption"/>
        <w:keepNext/>
        <w:rPr>
          <w:b/>
          <w:bCs/>
          <w:i w:val="0"/>
          <w:iCs w:val="0"/>
          <w:color w:val="000000" w:themeColor="text1"/>
          <w:sz w:val="22"/>
          <w:szCs w:val="22"/>
        </w:rPr>
      </w:pPr>
      <w:bookmarkStart w:id="6" w:name="_Ref80263576"/>
      <w:r w:rsidRPr="008506C0">
        <w:rPr>
          <w:b/>
          <w:bCs/>
          <w:i w:val="0"/>
          <w:iCs w:val="0"/>
          <w:color w:val="000000" w:themeColor="text1"/>
          <w:sz w:val="22"/>
          <w:szCs w:val="22"/>
        </w:rPr>
        <w:t xml:space="preserve">Table </w:t>
      </w:r>
      <w:r w:rsidRPr="008506C0">
        <w:rPr>
          <w:b/>
          <w:bCs/>
          <w:i w:val="0"/>
          <w:iCs w:val="0"/>
          <w:color w:val="000000" w:themeColor="text1"/>
          <w:sz w:val="22"/>
          <w:szCs w:val="22"/>
        </w:rPr>
        <w:fldChar w:fldCharType="begin"/>
      </w:r>
      <w:r w:rsidRPr="008506C0">
        <w:rPr>
          <w:b/>
          <w:bCs/>
          <w:i w:val="0"/>
          <w:iCs w:val="0"/>
          <w:color w:val="000000" w:themeColor="text1"/>
          <w:sz w:val="22"/>
          <w:szCs w:val="22"/>
        </w:rPr>
        <w:instrText xml:space="preserve"> SEQ Table \* ARABIC </w:instrText>
      </w:r>
      <w:r w:rsidRPr="008506C0">
        <w:rPr>
          <w:b/>
          <w:bCs/>
          <w:i w:val="0"/>
          <w:iCs w:val="0"/>
          <w:color w:val="000000" w:themeColor="text1"/>
          <w:sz w:val="22"/>
          <w:szCs w:val="22"/>
        </w:rPr>
        <w:fldChar w:fldCharType="separate"/>
      </w:r>
      <w:r>
        <w:rPr>
          <w:b/>
          <w:bCs/>
          <w:i w:val="0"/>
          <w:iCs w:val="0"/>
          <w:noProof/>
          <w:color w:val="000000" w:themeColor="text1"/>
          <w:sz w:val="22"/>
          <w:szCs w:val="22"/>
        </w:rPr>
        <w:t>2</w:t>
      </w:r>
      <w:r w:rsidRPr="008506C0">
        <w:rPr>
          <w:b/>
          <w:bCs/>
          <w:i w:val="0"/>
          <w:iCs w:val="0"/>
          <w:color w:val="000000" w:themeColor="text1"/>
          <w:sz w:val="22"/>
          <w:szCs w:val="22"/>
        </w:rPr>
        <w:fldChar w:fldCharType="end"/>
      </w:r>
      <w:bookmarkEnd w:id="6"/>
      <w:r w:rsidRPr="008506C0">
        <w:rPr>
          <w:b/>
          <w:bCs/>
          <w:i w:val="0"/>
          <w:iCs w:val="0"/>
          <w:color w:val="000000" w:themeColor="text1"/>
          <w:sz w:val="22"/>
          <w:szCs w:val="22"/>
        </w:rPr>
        <w:t>. Summary of Critical Habitat Effects Determinations for Clothianidin (Counts by Taxon).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20"/>
        <w:gridCol w:w="1080"/>
        <w:gridCol w:w="1980"/>
        <w:gridCol w:w="1954"/>
        <w:gridCol w:w="810"/>
      </w:tblGrid>
      <w:tr w:rsidR="00A20A15" w:rsidRPr="00EA30D7" w14:paraId="49827B2A" w14:textId="77777777" w:rsidTr="008506C0">
        <w:trPr>
          <w:trHeight w:val="510"/>
        </w:trPr>
        <w:tc>
          <w:tcPr>
            <w:tcW w:w="2240" w:type="dxa"/>
            <w:vMerge w:val="restart"/>
            <w:shd w:val="clear" w:color="000000" w:fill="E7E6E6"/>
            <w:noWrap/>
            <w:vAlign w:val="center"/>
            <w:hideMark/>
          </w:tcPr>
          <w:p w14:paraId="32FA3D64"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Taxon</w:t>
            </w:r>
          </w:p>
        </w:tc>
        <w:tc>
          <w:tcPr>
            <w:tcW w:w="1800" w:type="dxa"/>
            <w:gridSpan w:val="2"/>
            <w:shd w:val="clear" w:color="000000" w:fill="E7E6E6"/>
            <w:vAlign w:val="center"/>
            <w:hideMark/>
          </w:tcPr>
          <w:p w14:paraId="4511F7AD"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Step 1 Effects Determinations</w:t>
            </w:r>
          </w:p>
        </w:tc>
        <w:tc>
          <w:tcPr>
            <w:tcW w:w="3934" w:type="dxa"/>
            <w:gridSpan w:val="2"/>
            <w:shd w:val="clear" w:color="000000" w:fill="E7E6E6"/>
            <w:noWrap/>
            <w:vAlign w:val="center"/>
            <w:hideMark/>
          </w:tcPr>
          <w:p w14:paraId="5D577339"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Step 2 Effects Determinations</w:t>
            </w:r>
          </w:p>
        </w:tc>
        <w:tc>
          <w:tcPr>
            <w:tcW w:w="810" w:type="dxa"/>
            <w:vMerge w:val="restart"/>
            <w:shd w:val="clear" w:color="000000" w:fill="E7E6E6"/>
            <w:noWrap/>
            <w:vAlign w:val="center"/>
            <w:hideMark/>
          </w:tcPr>
          <w:p w14:paraId="7EEC4791"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Totals</w:t>
            </w:r>
          </w:p>
        </w:tc>
      </w:tr>
      <w:tr w:rsidR="00A20A15" w:rsidRPr="00EA30D7" w14:paraId="34B40003" w14:textId="77777777" w:rsidTr="008506C0">
        <w:trPr>
          <w:trHeight w:val="564"/>
        </w:trPr>
        <w:tc>
          <w:tcPr>
            <w:tcW w:w="2240" w:type="dxa"/>
            <w:vMerge/>
            <w:vAlign w:val="center"/>
            <w:hideMark/>
          </w:tcPr>
          <w:p w14:paraId="2DBBCCE8" w14:textId="77777777" w:rsidR="00A20A15" w:rsidRPr="00EA30D7" w:rsidRDefault="00A20A15" w:rsidP="009B24AE">
            <w:pPr>
              <w:rPr>
                <w:rFonts w:ascii="Calibri" w:hAnsi="Calibri" w:cs="Calibri"/>
                <w:b/>
                <w:bCs/>
                <w:sz w:val="20"/>
              </w:rPr>
            </w:pPr>
          </w:p>
        </w:tc>
        <w:tc>
          <w:tcPr>
            <w:tcW w:w="720" w:type="dxa"/>
            <w:shd w:val="clear" w:color="000000" w:fill="E7E6E6"/>
            <w:vAlign w:val="center"/>
            <w:hideMark/>
          </w:tcPr>
          <w:p w14:paraId="18B0A12C"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No Effect</w:t>
            </w:r>
          </w:p>
        </w:tc>
        <w:tc>
          <w:tcPr>
            <w:tcW w:w="1080" w:type="dxa"/>
            <w:shd w:val="clear" w:color="000000" w:fill="E7E6E6"/>
            <w:vAlign w:val="center"/>
            <w:hideMark/>
          </w:tcPr>
          <w:p w14:paraId="4B23D400"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May Affect</w:t>
            </w:r>
          </w:p>
        </w:tc>
        <w:tc>
          <w:tcPr>
            <w:tcW w:w="1980" w:type="dxa"/>
            <w:shd w:val="clear" w:color="000000" w:fill="E7E6E6"/>
            <w:vAlign w:val="center"/>
            <w:hideMark/>
          </w:tcPr>
          <w:p w14:paraId="3888D4A0"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Not Likely to Adversely Affect</w:t>
            </w:r>
          </w:p>
        </w:tc>
        <w:tc>
          <w:tcPr>
            <w:tcW w:w="1954" w:type="dxa"/>
            <w:shd w:val="clear" w:color="000000" w:fill="E7E6E6"/>
            <w:vAlign w:val="center"/>
            <w:hideMark/>
          </w:tcPr>
          <w:p w14:paraId="7451C2AE"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Likely to Adversely Affect</w:t>
            </w:r>
          </w:p>
        </w:tc>
        <w:tc>
          <w:tcPr>
            <w:tcW w:w="810" w:type="dxa"/>
            <w:vMerge/>
            <w:vAlign w:val="center"/>
            <w:hideMark/>
          </w:tcPr>
          <w:p w14:paraId="7FA69521" w14:textId="77777777" w:rsidR="00A20A15" w:rsidRPr="00EA30D7" w:rsidRDefault="00A20A15" w:rsidP="009B24AE">
            <w:pPr>
              <w:rPr>
                <w:rFonts w:ascii="Calibri" w:hAnsi="Calibri" w:cs="Calibri"/>
                <w:b/>
                <w:bCs/>
                <w:sz w:val="20"/>
              </w:rPr>
            </w:pPr>
          </w:p>
        </w:tc>
      </w:tr>
      <w:tr w:rsidR="00B34D22" w:rsidRPr="00EA30D7" w14:paraId="28CB6201" w14:textId="77777777" w:rsidTr="008506C0">
        <w:trPr>
          <w:trHeight w:val="300"/>
        </w:trPr>
        <w:tc>
          <w:tcPr>
            <w:tcW w:w="2240" w:type="dxa"/>
            <w:shd w:val="clear" w:color="auto" w:fill="auto"/>
            <w:noWrap/>
            <w:vAlign w:val="center"/>
            <w:hideMark/>
          </w:tcPr>
          <w:p w14:paraId="787131A7" w14:textId="71111C3B" w:rsidR="00B34D22" w:rsidRPr="00EA30D7" w:rsidRDefault="00B34D22" w:rsidP="00B34D22">
            <w:pPr>
              <w:rPr>
                <w:rFonts w:ascii="Calibri" w:hAnsi="Calibri" w:cs="Calibri"/>
                <w:sz w:val="20"/>
              </w:rPr>
            </w:pPr>
            <w:r w:rsidRPr="008376B0">
              <w:rPr>
                <w:rFonts w:ascii="Calibri" w:hAnsi="Calibri" w:cs="Calibri"/>
                <w:sz w:val="20"/>
              </w:rPr>
              <w:t>Mammals</w:t>
            </w:r>
          </w:p>
        </w:tc>
        <w:tc>
          <w:tcPr>
            <w:tcW w:w="720" w:type="dxa"/>
            <w:shd w:val="clear" w:color="auto" w:fill="auto"/>
            <w:vAlign w:val="center"/>
            <w:hideMark/>
          </w:tcPr>
          <w:p w14:paraId="298AC736" w14:textId="783102F7" w:rsidR="00B34D22" w:rsidRPr="00EA30D7" w:rsidRDefault="00B34D22" w:rsidP="00B34D22">
            <w:pPr>
              <w:jc w:val="center"/>
              <w:rPr>
                <w:rFonts w:ascii="Calibri" w:hAnsi="Calibri" w:cs="Calibri"/>
              </w:rPr>
            </w:pPr>
            <w:r w:rsidRPr="008376B0">
              <w:rPr>
                <w:rFonts w:ascii="Calibri" w:hAnsi="Calibri" w:cs="Calibri"/>
                <w:sz w:val="20"/>
              </w:rPr>
              <w:t>0</w:t>
            </w:r>
          </w:p>
        </w:tc>
        <w:tc>
          <w:tcPr>
            <w:tcW w:w="1080" w:type="dxa"/>
            <w:shd w:val="clear" w:color="auto" w:fill="auto"/>
            <w:vAlign w:val="center"/>
            <w:hideMark/>
          </w:tcPr>
          <w:p w14:paraId="4C0919B0" w14:textId="71300942" w:rsidR="00B34D22" w:rsidRPr="00EA30D7" w:rsidRDefault="00B34D22" w:rsidP="00B34D22">
            <w:pPr>
              <w:jc w:val="center"/>
              <w:rPr>
                <w:rFonts w:ascii="Calibri" w:hAnsi="Calibri" w:cs="Calibri"/>
                <w:sz w:val="20"/>
              </w:rPr>
            </w:pPr>
            <w:r w:rsidRPr="008376B0">
              <w:rPr>
                <w:rFonts w:ascii="Calibri" w:hAnsi="Calibri" w:cs="Calibri"/>
                <w:sz w:val="20"/>
              </w:rPr>
              <w:t>33</w:t>
            </w:r>
          </w:p>
        </w:tc>
        <w:tc>
          <w:tcPr>
            <w:tcW w:w="1980" w:type="dxa"/>
            <w:shd w:val="clear" w:color="auto" w:fill="auto"/>
            <w:noWrap/>
            <w:vAlign w:val="center"/>
            <w:hideMark/>
          </w:tcPr>
          <w:p w14:paraId="142B6230" w14:textId="5BEB3EB9" w:rsidR="00B34D22" w:rsidRPr="00EA30D7" w:rsidRDefault="00B34D22" w:rsidP="00B34D22">
            <w:pPr>
              <w:jc w:val="center"/>
              <w:rPr>
                <w:rFonts w:ascii="Calibri" w:hAnsi="Calibri" w:cs="Calibri"/>
              </w:rPr>
            </w:pPr>
            <w:r w:rsidRPr="008376B0">
              <w:rPr>
                <w:rFonts w:ascii="Calibri" w:hAnsi="Calibri" w:cs="Calibri"/>
                <w:sz w:val="20"/>
              </w:rPr>
              <w:t>1</w:t>
            </w:r>
            <w:r w:rsidR="00903F4B">
              <w:rPr>
                <w:rFonts w:ascii="Calibri" w:hAnsi="Calibri" w:cs="Calibri"/>
                <w:sz w:val="20"/>
              </w:rPr>
              <w:t>7</w:t>
            </w:r>
          </w:p>
        </w:tc>
        <w:tc>
          <w:tcPr>
            <w:tcW w:w="1954" w:type="dxa"/>
            <w:shd w:val="clear" w:color="auto" w:fill="auto"/>
            <w:noWrap/>
            <w:vAlign w:val="center"/>
            <w:hideMark/>
          </w:tcPr>
          <w:p w14:paraId="5F627878" w14:textId="1D957F4E" w:rsidR="00B34D22" w:rsidRPr="00EA30D7" w:rsidRDefault="00B34D22" w:rsidP="00B34D22">
            <w:pPr>
              <w:jc w:val="center"/>
              <w:rPr>
                <w:rFonts w:ascii="Calibri" w:hAnsi="Calibri" w:cs="Calibri"/>
              </w:rPr>
            </w:pPr>
            <w:r w:rsidRPr="008376B0">
              <w:rPr>
                <w:rFonts w:ascii="Calibri" w:hAnsi="Calibri" w:cs="Calibri"/>
                <w:sz w:val="20"/>
              </w:rPr>
              <w:t>1</w:t>
            </w:r>
            <w:r w:rsidR="00903F4B">
              <w:rPr>
                <w:rFonts w:ascii="Calibri" w:hAnsi="Calibri" w:cs="Calibri"/>
                <w:sz w:val="20"/>
              </w:rPr>
              <w:t>6</w:t>
            </w:r>
          </w:p>
        </w:tc>
        <w:tc>
          <w:tcPr>
            <w:tcW w:w="810" w:type="dxa"/>
            <w:shd w:val="clear" w:color="auto" w:fill="auto"/>
            <w:noWrap/>
            <w:vAlign w:val="center"/>
            <w:hideMark/>
          </w:tcPr>
          <w:p w14:paraId="5FB473CD" w14:textId="43A902AB" w:rsidR="00B34D22" w:rsidRPr="00EA30D7" w:rsidRDefault="00B34D22" w:rsidP="00B34D22">
            <w:pPr>
              <w:jc w:val="center"/>
              <w:rPr>
                <w:rFonts w:ascii="Calibri" w:hAnsi="Calibri" w:cs="Calibri"/>
              </w:rPr>
            </w:pPr>
            <w:r w:rsidRPr="008376B0">
              <w:rPr>
                <w:rFonts w:ascii="Calibri" w:hAnsi="Calibri" w:cs="Calibri"/>
                <w:sz w:val="20"/>
              </w:rPr>
              <w:t>33</w:t>
            </w:r>
          </w:p>
        </w:tc>
      </w:tr>
      <w:tr w:rsidR="00B34D22" w:rsidRPr="00EA30D7" w14:paraId="6E488C0C" w14:textId="77777777" w:rsidTr="008506C0">
        <w:trPr>
          <w:trHeight w:val="300"/>
        </w:trPr>
        <w:tc>
          <w:tcPr>
            <w:tcW w:w="2240" w:type="dxa"/>
            <w:shd w:val="clear" w:color="auto" w:fill="auto"/>
            <w:noWrap/>
            <w:vAlign w:val="center"/>
            <w:hideMark/>
          </w:tcPr>
          <w:p w14:paraId="1D7B94BC" w14:textId="11AD3D49" w:rsidR="00B34D22" w:rsidRPr="00EA30D7" w:rsidRDefault="00B34D22" w:rsidP="00B34D22">
            <w:pPr>
              <w:rPr>
                <w:rFonts w:ascii="Calibri" w:hAnsi="Calibri" w:cs="Calibri"/>
                <w:sz w:val="20"/>
              </w:rPr>
            </w:pPr>
            <w:r w:rsidRPr="008376B0">
              <w:rPr>
                <w:rFonts w:ascii="Calibri" w:hAnsi="Calibri" w:cs="Calibri"/>
                <w:sz w:val="20"/>
              </w:rPr>
              <w:t>Birds</w:t>
            </w:r>
          </w:p>
        </w:tc>
        <w:tc>
          <w:tcPr>
            <w:tcW w:w="720" w:type="dxa"/>
            <w:shd w:val="clear" w:color="auto" w:fill="auto"/>
            <w:vAlign w:val="center"/>
            <w:hideMark/>
          </w:tcPr>
          <w:p w14:paraId="2905B801" w14:textId="3F0EE40D" w:rsidR="00B34D22" w:rsidRPr="00EA30D7" w:rsidRDefault="00B34D22" w:rsidP="00B34D22">
            <w:pPr>
              <w:jc w:val="center"/>
              <w:rPr>
                <w:rFonts w:ascii="Calibri" w:hAnsi="Calibri" w:cs="Calibri"/>
              </w:rPr>
            </w:pPr>
            <w:r w:rsidRPr="008376B0">
              <w:rPr>
                <w:rFonts w:ascii="Calibri" w:hAnsi="Calibri" w:cs="Calibri"/>
                <w:sz w:val="20"/>
              </w:rPr>
              <w:t>2</w:t>
            </w:r>
          </w:p>
        </w:tc>
        <w:tc>
          <w:tcPr>
            <w:tcW w:w="1080" w:type="dxa"/>
            <w:shd w:val="clear" w:color="auto" w:fill="auto"/>
            <w:vAlign w:val="center"/>
            <w:hideMark/>
          </w:tcPr>
          <w:p w14:paraId="5B70D1AF" w14:textId="3D8214FD" w:rsidR="00B34D22" w:rsidRPr="00EA30D7" w:rsidRDefault="00B34D22" w:rsidP="00B34D22">
            <w:pPr>
              <w:jc w:val="center"/>
              <w:rPr>
                <w:rFonts w:ascii="Calibri" w:hAnsi="Calibri" w:cs="Calibri"/>
                <w:sz w:val="20"/>
              </w:rPr>
            </w:pPr>
            <w:r w:rsidRPr="008376B0">
              <w:rPr>
                <w:rFonts w:ascii="Calibri" w:hAnsi="Calibri" w:cs="Calibri"/>
                <w:sz w:val="20"/>
              </w:rPr>
              <w:t>29</w:t>
            </w:r>
          </w:p>
        </w:tc>
        <w:tc>
          <w:tcPr>
            <w:tcW w:w="1980" w:type="dxa"/>
            <w:shd w:val="clear" w:color="auto" w:fill="auto"/>
            <w:noWrap/>
            <w:vAlign w:val="center"/>
            <w:hideMark/>
          </w:tcPr>
          <w:p w14:paraId="1228FFD1" w14:textId="424786E4" w:rsidR="00B34D22" w:rsidRPr="00EA30D7" w:rsidRDefault="00B34D22" w:rsidP="00B34D22">
            <w:pPr>
              <w:jc w:val="center"/>
              <w:rPr>
                <w:rFonts w:ascii="Calibri" w:hAnsi="Calibri" w:cs="Calibri"/>
              </w:rPr>
            </w:pPr>
            <w:r w:rsidRPr="008376B0">
              <w:rPr>
                <w:rFonts w:ascii="Calibri" w:hAnsi="Calibri" w:cs="Calibri"/>
                <w:sz w:val="20"/>
              </w:rPr>
              <w:t>3</w:t>
            </w:r>
          </w:p>
        </w:tc>
        <w:tc>
          <w:tcPr>
            <w:tcW w:w="1954" w:type="dxa"/>
            <w:shd w:val="clear" w:color="auto" w:fill="auto"/>
            <w:noWrap/>
            <w:vAlign w:val="center"/>
            <w:hideMark/>
          </w:tcPr>
          <w:p w14:paraId="49EAB537" w14:textId="4987092B" w:rsidR="00B34D22" w:rsidRPr="00EA30D7" w:rsidRDefault="00B34D22" w:rsidP="00B34D22">
            <w:pPr>
              <w:jc w:val="center"/>
              <w:rPr>
                <w:rFonts w:ascii="Calibri" w:hAnsi="Calibri" w:cs="Calibri"/>
              </w:rPr>
            </w:pPr>
            <w:r w:rsidRPr="008376B0">
              <w:rPr>
                <w:rFonts w:ascii="Calibri" w:hAnsi="Calibri" w:cs="Calibri"/>
                <w:sz w:val="20"/>
              </w:rPr>
              <w:t>26</w:t>
            </w:r>
          </w:p>
        </w:tc>
        <w:tc>
          <w:tcPr>
            <w:tcW w:w="810" w:type="dxa"/>
            <w:shd w:val="clear" w:color="auto" w:fill="auto"/>
            <w:noWrap/>
            <w:vAlign w:val="center"/>
            <w:hideMark/>
          </w:tcPr>
          <w:p w14:paraId="4C36D2FA" w14:textId="74EA6E23" w:rsidR="00B34D22" w:rsidRPr="00EA30D7" w:rsidRDefault="00B34D22" w:rsidP="00B34D22">
            <w:pPr>
              <w:jc w:val="center"/>
              <w:rPr>
                <w:rFonts w:ascii="Calibri" w:hAnsi="Calibri" w:cs="Calibri"/>
              </w:rPr>
            </w:pPr>
            <w:r w:rsidRPr="008376B0">
              <w:rPr>
                <w:rFonts w:ascii="Calibri" w:hAnsi="Calibri" w:cs="Calibri"/>
                <w:sz w:val="20"/>
              </w:rPr>
              <w:t>31</w:t>
            </w:r>
          </w:p>
        </w:tc>
      </w:tr>
      <w:tr w:rsidR="00B34D22" w:rsidRPr="00EA30D7" w14:paraId="5535668A" w14:textId="77777777" w:rsidTr="008506C0">
        <w:trPr>
          <w:trHeight w:val="300"/>
        </w:trPr>
        <w:tc>
          <w:tcPr>
            <w:tcW w:w="2240" w:type="dxa"/>
            <w:shd w:val="clear" w:color="auto" w:fill="auto"/>
            <w:noWrap/>
            <w:vAlign w:val="center"/>
            <w:hideMark/>
          </w:tcPr>
          <w:p w14:paraId="70319048" w14:textId="13EC93EB" w:rsidR="00B34D22" w:rsidRPr="00EA30D7" w:rsidRDefault="00B34D22" w:rsidP="00B34D22">
            <w:pPr>
              <w:rPr>
                <w:rFonts w:ascii="Calibri" w:hAnsi="Calibri" w:cs="Calibri"/>
                <w:sz w:val="20"/>
              </w:rPr>
            </w:pPr>
            <w:r w:rsidRPr="008376B0">
              <w:rPr>
                <w:rFonts w:ascii="Calibri" w:hAnsi="Calibri" w:cs="Calibri"/>
                <w:sz w:val="20"/>
              </w:rPr>
              <w:t>Amphibians</w:t>
            </w:r>
          </w:p>
        </w:tc>
        <w:tc>
          <w:tcPr>
            <w:tcW w:w="720" w:type="dxa"/>
            <w:shd w:val="clear" w:color="auto" w:fill="auto"/>
            <w:vAlign w:val="center"/>
            <w:hideMark/>
          </w:tcPr>
          <w:p w14:paraId="387917F6" w14:textId="14DF4941" w:rsidR="00B34D22" w:rsidRPr="00EA30D7" w:rsidRDefault="00B34D22" w:rsidP="00B34D22">
            <w:pPr>
              <w:jc w:val="center"/>
              <w:rPr>
                <w:rFonts w:ascii="Calibri" w:hAnsi="Calibri" w:cs="Calibri"/>
              </w:rPr>
            </w:pPr>
            <w:r w:rsidRPr="008376B0">
              <w:rPr>
                <w:rFonts w:ascii="Calibri" w:hAnsi="Calibri" w:cs="Calibri"/>
                <w:sz w:val="20"/>
              </w:rPr>
              <w:t>0</w:t>
            </w:r>
          </w:p>
        </w:tc>
        <w:tc>
          <w:tcPr>
            <w:tcW w:w="1080" w:type="dxa"/>
            <w:shd w:val="clear" w:color="auto" w:fill="auto"/>
            <w:vAlign w:val="center"/>
            <w:hideMark/>
          </w:tcPr>
          <w:p w14:paraId="1899114F" w14:textId="7B40D5DE" w:rsidR="00B34D22" w:rsidRPr="00EA30D7" w:rsidRDefault="00B34D22" w:rsidP="00B34D22">
            <w:pPr>
              <w:jc w:val="center"/>
              <w:rPr>
                <w:rFonts w:ascii="Calibri" w:hAnsi="Calibri" w:cs="Calibri"/>
                <w:sz w:val="20"/>
              </w:rPr>
            </w:pPr>
            <w:r w:rsidRPr="008376B0">
              <w:rPr>
                <w:rFonts w:ascii="Calibri" w:hAnsi="Calibri" w:cs="Calibri"/>
                <w:sz w:val="20"/>
              </w:rPr>
              <w:t>26</w:t>
            </w:r>
          </w:p>
        </w:tc>
        <w:tc>
          <w:tcPr>
            <w:tcW w:w="1980" w:type="dxa"/>
            <w:shd w:val="clear" w:color="auto" w:fill="auto"/>
            <w:noWrap/>
            <w:vAlign w:val="center"/>
            <w:hideMark/>
          </w:tcPr>
          <w:p w14:paraId="4339CE7A" w14:textId="669B752F" w:rsidR="00B34D22" w:rsidRPr="00EA30D7" w:rsidRDefault="00B34D22" w:rsidP="00B34D22">
            <w:pPr>
              <w:jc w:val="center"/>
              <w:rPr>
                <w:rFonts w:ascii="Calibri" w:hAnsi="Calibri" w:cs="Calibri"/>
              </w:rPr>
            </w:pPr>
            <w:r w:rsidRPr="008376B0">
              <w:rPr>
                <w:rFonts w:ascii="Calibri" w:hAnsi="Calibri" w:cs="Calibri"/>
                <w:sz w:val="20"/>
              </w:rPr>
              <w:t>0</w:t>
            </w:r>
          </w:p>
        </w:tc>
        <w:tc>
          <w:tcPr>
            <w:tcW w:w="1954" w:type="dxa"/>
            <w:shd w:val="clear" w:color="auto" w:fill="auto"/>
            <w:noWrap/>
            <w:vAlign w:val="center"/>
            <w:hideMark/>
          </w:tcPr>
          <w:p w14:paraId="1BB302CD" w14:textId="06C2B2DD" w:rsidR="00B34D22" w:rsidRPr="00EA30D7" w:rsidRDefault="00B34D22" w:rsidP="00B34D22">
            <w:pPr>
              <w:jc w:val="center"/>
              <w:rPr>
                <w:rFonts w:ascii="Calibri" w:hAnsi="Calibri" w:cs="Calibri"/>
              </w:rPr>
            </w:pPr>
            <w:r w:rsidRPr="008376B0">
              <w:rPr>
                <w:rFonts w:ascii="Calibri" w:hAnsi="Calibri" w:cs="Calibri"/>
                <w:sz w:val="20"/>
              </w:rPr>
              <w:t>26</w:t>
            </w:r>
          </w:p>
        </w:tc>
        <w:tc>
          <w:tcPr>
            <w:tcW w:w="810" w:type="dxa"/>
            <w:shd w:val="clear" w:color="auto" w:fill="auto"/>
            <w:noWrap/>
            <w:vAlign w:val="center"/>
            <w:hideMark/>
          </w:tcPr>
          <w:p w14:paraId="3D7F3C34" w14:textId="1FAFD573" w:rsidR="00B34D22" w:rsidRPr="00EA30D7" w:rsidRDefault="00B34D22" w:rsidP="00B34D22">
            <w:pPr>
              <w:jc w:val="center"/>
              <w:rPr>
                <w:rFonts w:ascii="Calibri" w:hAnsi="Calibri" w:cs="Calibri"/>
              </w:rPr>
            </w:pPr>
            <w:r w:rsidRPr="008376B0">
              <w:rPr>
                <w:rFonts w:ascii="Calibri" w:hAnsi="Calibri" w:cs="Calibri"/>
                <w:sz w:val="20"/>
              </w:rPr>
              <w:t>26</w:t>
            </w:r>
          </w:p>
        </w:tc>
      </w:tr>
      <w:tr w:rsidR="00B34D22" w:rsidRPr="00EA30D7" w14:paraId="4BE91B92" w14:textId="77777777" w:rsidTr="008506C0">
        <w:trPr>
          <w:trHeight w:val="300"/>
        </w:trPr>
        <w:tc>
          <w:tcPr>
            <w:tcW w:w="2240" w:type="dxa"/>
            <w:shd w:val="clear" w:color="auto" w:fill="auto"/>
            <w:noWrap/>
            <w:vAlign w:val="center"/>
            <w:hideMark/>
          </w:tcPr>
          <w:p w14:paraId="7CAB9931" w14:textId="03DF125B" w:rsidR="00B34D22" w:rsidRPr="00EA30D7" w:rsidRDefault="00B34D22" w:rsidP="00B34D22">
            <w:pPr>
              <w:rPr>
                <w:rFonts w:ascii="Calibri" w:hAnsi="Calibri" w:cs="Calibri"/>
                <w:sz w:val="20"/>
              </w:rPr>
            </w:pPr>
            <w:r w:rsidRPr="008376B0">
              <w:rPr>
                <w:rFonts w:ascii="Calibri" w:hAnsi="Calibri" w:cs="Calibri"/>
                <w:sz w:val="20"/>
              </w:rPr>
              <w:t>Reptiles</w:t>
            </w:r>
          </w:p>
        </w:tc>
        <w:tc>
          <w:tcPr>
            <w:tcW w:w="720" w:type="dxa"/>
            <w:shd w:val="clear" w:color="auto" w:fill="auto"/>
            <w:vAlign w:val="center"/>
            <w:hideMark/>
          </w:tcPr>
          <w:p w14:paraId="5E20DD91" w14:textId="064FE926" w:rsidR="00B34D22" w:rsidRPr="00EA30D7" w:rsidRDefault="00B34D22" w:rsidP="00B34D22">
            <w:pPr>
              <w:jc w:val="center"/>
              <w:rPr>
                <w:rFonts w:ascii="Calibri" w:hAnsi="Calibri" w:cs="Calibri"/>
              </w:rPr>
            </w:pPr>
            <w:r w:rsidRPr="008376B0">
              <w:rPr>
                <w:rFonts w:ascii="Calibri" w:hAnsi="Calibri" w:cs="Calibri"/>
                <w:sz w:val="20"/>
              </w:rPr>
              <w:t>5</w:t>
            </w:r>
          </w:p>
        </w:tc>
        <w:tc>
          <w:tcPr>
            <w:tcW w:w="1080" w:type="dxa"/>
            <w:shd w:val="clear" w:color="auto" w:fill="auto"/>
            <w:vAlign w:val="center"/>
            <w:hideMark/>
          </w:tcPr>
          <w:p w14:paraId="2DE0EBC1" w14:textId="79221FD2" w:rsidR="00B34D22" w:rsidRPr="00EA30D7" w:rsidRDefault="00B34D22" w:rsidP="00B34D22">
            <w:pPr>
              <w:jc w:val="center"/>
              <w:rPr>
                <w:rFonts w:ascii="Calibri" w:hAnsi="Calibri" w:cs="Calibri"/>
                <w:sz w:val="20"/>
              </w:rPr>
            </w:pPr>
            <w:r w:rsidRPr="008376B0">
              <w:rPr>
                <w:rFonts w:ascii="Calibri" w:hAnsi="Calibri" w:cs="Calibri"/>
                <w:sz w:val="20"/>
              </w:rPr>
              <w:t>11</w:t>
            </w:r>
          </w:p>
        </w:tc>
        <w:tc>
          <w:tcPr>
            <w:tcW w:w="1980" w:type="dxa"/>
            <w:shd w:val="clear" w:color="auto" w:fill="auto"/>
            <w:noWrap/>
            <w:vAlign w:val="center"/>
            <w:hideMark/>
          </w:tcPr>
          <w:p w14:paraId="28C10A0E" w14:textId="02265E21" w:rsidR="00B34D22" w:rsidRPr="00EA30D7" w:rsidRDefault="00B34D22" w:rsidP="00B34D22">
            <w:pPr>
              <w:jc w:val="center"/>
              <w:rPr>
                <w:rFonts w:ascii="Calibri" w:hAnsi="Calibri" w:cs="Calibri"/>
              </w:rPr>
            </w:pPr>
            <w:r w:rsidRPr="008376B0">
              <w:rPr>
                <w:rFonts w:ascii="Calibri" w:hAnsi="Calibri" w:cs="Calibri"/>
                <w:sz w:val="20"/>
              </w:rPr>
              <w:t>5</w:t>
            </w:r>
          </w:p>
        </w:tc>
        <w:tc>
          <w:tcPr>
            <w:tcW w:w="1954" w:type="dxa"/>
            <w:shd w:val="clear" w:color="auto" w:fill="auto"/>
            <w:noWrap/>
            <w:vAlign w:val="center"/>
            <w:hideMark/>
          </w:tcPr>
          <w:p w14:paraId="10AB84BE" w14:textId="31C565D9" w:rsidR="00B34D22" w:rsidRPr="00EA30D7" w:rsidRDefault="00B34D22" w:rsidP="00B34D22">
            <w:pPr>
              <w:jc w:val="center"/>
              <w:rPr>
                <w:rFonts w:ascii="Calibri" w:hAnsi="Calibri" w:cs="Calibri"/>
              </w:rPr>
            </w:pPr>
            <w:r w:rsidRPr="008376B0">
              <w:rPr>
                <w:rFonts w:ascii="Calibri" w:hAnsi="Calibri" w:cs="Calibri"/>
                <w:sz w:val="20"/>
              </w:rPr>
              <w:t>6</w:t>
            </w:r>
          </w:p>
        </w:tc>
        <w:tc>
          <w:tcPr>
            <w:tcW w:w="810" w:type="dxa"/>
            <w:shd w:val="clear" w:color="auto" w:fill="auto"/>
            <w:noWrap/>
            <w:vAlign w:val="center"/>
            <w:hideMark/>
          </w:tcPr>
          <w:p w14:paraId="1F1035B5" w14:textId="61D54323" w:rsidR="00B34D22" w:rsidRPr="00EA30D7" w:rsidRDefault="00B34D22" w:rsidP="00B34D22">
            <w:pPr>
              <w:jc w:val="center"/>
              <w:rPr>
                <w:rFonts w:ascii="Calibri" w:hAnsi="Calibri" w:cs="Calibri"/>
              </w:rPr>
            </w:pPr>
            <w:r w:rsidRPr="008376B0">
              <w:rPr>
                <w:rFonts w:ascii="Calibri" w:hAnsi="Calibri" w:cs="Calibri"/>
                <w:sz w:val="20"/>
              </w:rPr>
              <w:t>16</w:t>
            </w:r>
          </w:p>
        </w:tc>
      </w:tr>
      <w:tr w:rsidR="00B34D22" w:rsidRPr="00EA30D7" w14:paraId="5465DE1D" w14:textId="77777777" w:rsidTr="008506C0">
        <w:trPr>
          <w:trHeight w:val="300"/>
        </w:trPr>
        <w:tc>
          <w:tcPr>
            <w:tcW w:w="2240" w:type="dxa"/>
            <w:shd w:val="clear" w:color="auto" w:fill="auto"/>
            <w:noWrap/>
            <w:vAlign w:val="center"/>
            <w:hideMark/>
          </w:tcPr>
          <w:p w14:paraId="48D3A06E" w14:textId="62105687" w:rsidR="00B34D22" w:rsidRPr="00EA30D7" w:rsidRDefault="00B34D22" w:rsidP="00B34D22">
            <w:pPr>
              <w:rPr>
                <w:rFonts w:ascii="Calibri" w:hAnsi="Calibri" w:cs="Calibri"/>
                <w:sz w:val="20"/>
              </w:rPr>
            </w:pPr>
            <w:r w:rsidRPr="008376B0">
              <w:rPr>
                <w:rFonts w:ascii="Calibri" w:hAnsi="Calibri" w:cs="Calibri"/>
                <w:sz w:val="20"/>
              </w:rPr>
              <w:t>Fish</w:t>
            </w:r>
          </w:p>
        </w:tc>
        <w:tc>
          <w:tcPr>
            <w:tcW w:w="720" w:type="dxa"/>
            <w:shd w:val="clear" w:color="auto" w:fill="auto"/>
            <w:vAlign w:val="center"/>
            <w:hideMark/>
          </w:tcPr>
          <w:p w14:paraId="79BE877B" w14:textId="1CE5FB71" w:rsidR="00B34D22" w:rsidRPr="00EA30D7" w:rsidRDefault="00B34D22" w:rsidP="00B34D22">
            <w:pPr>
              <w:jc w:val="center"/>
              <w:rPr>
                <w:rFonts w:ascii="Calibri" w:hAnsi="Calibri" w:cs="Calibri"/>
              </w:rPr>
            </w:pPr>
            <w:r w:rsidRPr="008376B0">
              <w:rPr>
                <w:rFonts w:ascii="Calibri" w:hAnsi="Calibri" w:cs="Calibri"/>
                <w:sz w:val="20"/>
              </w:rPr>
              <w:t>3</w:t>
            </w:r>
          </w:p>
        </w:tc>
        <w:tc>
          <w:tcPr>
            <w:tcW w:w="1080" w:type="dxa"/>
            <w:shd w:val="clear" w:color="auto" w:fill="auto"/>
            <w:vAlign w:val="center"/>
            <w:hideMark/>
          </w:tcPr>
          <w:p w14:paraId="1D606CA0" w14:textId="1C086BC0" w:rsidR="00B34D22" w:rsidRPr="00EA30D7" w:rsidRDefault="00B34D22" w:rsidP="00B34D22">
            <w:pPr>
              <w:jc w:val="center"/>
              <w:rPr>
                <w:rFonts w:ascii="Calibri" w:hAnsi="Calibri" w:cs="Calibri"/>
                <w:sz w:val="20"/>
              </w:rPr>
            </w:pPr>
            <w:r w:rsidRPr="008376B0">
              <w:rPr>
                <w:rFonts w:ascii="Calibri" w:hAnsi="Calibri" w:cs="Calibri"/>
                <w:sz w:val="20"/>
              </w:rPr>
              <w:t>102</w:t>
            </w:r>
          </w:p>
        </w:tc>
        <w:tc>
          <w:tcPr>
            <w:tcW w:w="1980" w:type="dxa"/>
            <w:shd w:val="clear" w:color="auto" w:fill="auto"/>
            <w:noWrap/>
            <w:vAlign w:val="center"/>
            <w:hideMark/>
          </w:tcPr>
          <w:p w14:paraId="1734022E" w14:textId="31F0A123" w:rsidR="00B34D22" w:rsidRPr="00EA30D7" w:rsidRDefault="00B34D22" w:rsidP="00B34D22">
            <w:pPr>
              <w:jc w:val="center"/>
              <w:rPr>
                <w:rFonts w:ascii="Calibri" w:hAnsi="Calibri" w:cs="Calibri"/>
              </w:rPr>
            </w:pPr>
            <w:r w:rsidRPr="008376B0">
              <w:rPr>
                <w:rFonts w:ascii="Calibri" w:hAnsi="Calibri" w:cs="Calibri"/>
                <w:sz w:val="20"/>
              </w:rPr>
              <w:t>5</w:t>
            </w:r>
          </w:p>
        </w:tc>
        <w:tc>
          <w:tcPr>
            <w:tcW w:w="1954" w:type="dxa"/>
            <w:shd w:val="clear" w:color="auto" w:fill="auto"/>
            <w:noWrap/>
            <w:vAlign w:val="center"/>
            <w:hideMark/>
          </w:tcPr>
          <w:p w14:paraId="41446033" w14:textId="1A724CE2" w:rsidR="00B34D22" w:rsidRPr="00EA30D7" w:rsidRDefault="00B34D22" w:rsidP="00B34D22">
            <w:pPr>
              <w:jc w:val="center"/>
              <w:rPr>
                <w:rFonts w:ascii="Calibri" w:hAnsi="Calibri" w:cs="Calibri"/>
              </w:rPr>
            </w:pPr>
            <w:r w:rsidRPr="008376B0">
              <w:rPr>
                <w:rFonts w:ascii="Calibri" w:hAnsi="Calibri" w:cs="Calibri"/>
                <w:sz w:val="20"/>
              </w:rPr>
              <w:t>97</w:t>
            </w:r>
          </w:p>
        </w:tc>
        <w:tc>
          <w:tcPr>
            <w:tcW w:w="810" w:type="dxa"/>
            <w:shd w:val="clear" w:color="auto" w:fill="auto"/>
            <w:noWrap/>
            <w:vAlign w:val="center"/>
            <w:hideMark/>
          </w:tcPr>
          <w:p w14:paraId="772B54EC" w14:textId="4113B9EB" w:rsidR="00B34D22" w:rsidRPr="00EA30D7" w:rsidRDefault="00B34D22" w:rsidP="00B34D22">
            <w:pPr>
              <w:jc w:val="center"/>
              <w:rPr>
                <w:rFonts w:ascii="Calibri" w:hAnsi="Calibri" w:cs="Calibri"/>
              </w:rPr>
            </w:pPr>
            <w:r w:rsidRPr="008376B0">
              <w:rPr>
                <w:rFonts w:ascii="Calibri" w:hAnsi="Calibri" w:cs="Calibri"/>
                <w:sz w:val="20"/>
              </w:rPr>
              <w:t>105</w:t>
            </w:r>
          </w:p>
        </w:tc>
      </w:tr>
      <w:tr w:rsidR="00B34D22" w:rsidRPr="00EA30D7" w14:paraId="2AE55304" w14:textId="77777777" w:rsidTr="008506C0">
        <w:trPr>
          <w:trHeight w:val="300"/>
        </w:trPr>
        <w:tc>
          <w:tcPr>
            <w:tcW w:w="2240" w:type="dxa"/>
            <w:shd w:val="clear" w:color="auto" w:fill="auto"/>
            <w:noWrap/>
            <w:vAlign w:val="center"/>
            <w:hideMark/>
          </w:tcPr>
          <w:p w14:paraId="6306EC74" w14:textId="4B0BAF58" w:rsidR="00B34D22" w:rsidRPr="00EA30D7" w:rsidRDefault="00B34D22" w:rsidP="00B34D22">
            <w:pPr>
              <w:rPr>
                <w:rFonts w:ascii="Calibri" w:hAnsi="Calibri" w:cs="Calibri"/>
                <w:sz w:val="20"/>
              </w:rPr>
            </w:pPr>
            <w:r w:rsidRPr="008376B0">
              <w:rPr>
                <w:rFonts w:ascii="Calibri" w:hAnsi="Calibri" w:cs="Calibri"/>
                <w:sz w:val="20"/>
              </w:rPr>
              <w:t>Plants</w:t>
            </w:r>
          </w:p>
        </w:tc>
        <w:tc>
          <w:tcPr>
            <w:tcW w:w="720" w:type="dxa"/>
            <w:shd w:val="clear" w:color="auto" w:fill="auto"/>
            <w:vAlign w:val="center"/>
            <w:hideMark/>
          </w:tcPr>
          <w:p w14:paraId="1BAA09E4" w14:textId="6E2884F0" w:rsidR="00B34D22" w:rsidRPr="00EA30D7" w:rsidRDefault="00B34D22" w:rsidP="00B34D22">
            <w:pPr>
              <w:jc w:val="center"/>
              <w:rPr>
                <w:rFonts w:ascii="Calibri" w:hAnsi="Calibri" w:cs="Calibri"/>
              </w:rPr>
            </w:pPr>
            <w:r w:rsidRPr="008376B0">
              <w:rPr>
                <w:rFonts w:ascii="Calibri" w:hAnsi="Calibri" w:cs="Calibri"/>
                <w:sz w:val="20"/>
              </w:rPr>
              <w:t>64</w:t>
            </w:r>
          </w:p>
        </w:tc>
        <w:tc>
          <w:tcPr>
            <w:tcW w:w="1080" w:type="dxa"/>
            <w:shd w:val="clear" w:color="auto" w:fill="auto"/>
            <w:vAlign w:val="center"/>
            <w:hideMark/>
          </w:tcPr>
          <w:p w14:paraId="654A2AF2" w14:textId="2224007A" w:rsidR="00B34D22" w:rsidRPr="00EA30D7" w:rsidRDefault="00B34D22" w:rsidP="00B34D22">
            <w:pPr>
              <w:jc w:val="center"/>
              <w:rPr>
                <w:rFonts w:ascii="Calibri" w:hAnsi="Calibri" w:cs="Calibri"/>
                <w:sz w:val="20"/>
              </w:rPr>
            </w:pPr>
            <w:r w:rsidRPr="008376B0">
              <w:rPr>
                <w:rFonts w:ascii="Calibri" w:hAnsi="Calibri" w:cs="Calibri"/>
                <w:sz w:val="20"/>
              </w:rPr>
              <w:t>396</w:t>
            </w:r>
          </w:p>
        </w:tc>
        <w:tc>
          <w:tcPr>
            <w:tcW w:w="1980" w:type="dxa"/>
            <w:shd w:val="clear" w:color="auto" w:fill="auto"/>
            <w:noWrap/>
            <w:vAlign w:val="center"/>
            <w:hideMark/>
          </w:tcPr>
          <w:p w14:paraId="695E6BD0" w14:textId="72936007" w:rsidR="00B34D22" w:rsidRPr="00EA30D7" w:rsidRDefault="00B34D22" w:rsidP="00B34D22">
            <w:pPr>
              <w:jc w:val="center"/>
              <w:rPr>
                <w:rFonts w:ascii="Calibri" w:hAnsi="Calibri" w:cs="Calibri"/>
              </w:rPr>
            </w:pPr>
            <w:r w:rsidRPr="008376B0">
              <w:rPr>
                <w:rFonts w:ascii="Calibri" w:hAnsi="Calibri" w:cs="Calibri"/>
                <w:sz w:val="20"/>
              </w:rPr>
              <w:t>165</w:t>
            </w:r>
          </w:p>
        </w:tc>
        <w:tc>
          <w:tcPr>
            <w:tcW w:w="1954" w:type="dxa"/>
            <w:shd w:val="clear" w:color="auto" w:fill="auto"/>
            <w:noWrap/>
            <w:vAlign w:val="center"/>
            <w:hideMark/>
          </w:tcPr>
          <w:p w14:paraId="665B0BF6" w14:textId="6540F422" w:rsidR="00B34D22" w:rsidRPr="00EA30D7" w:rsidRDefault="00B34D22" w:rsidP="00B34D22">
            <w:pPr>
              <w:jc w:val="center"/>
              <w:rPr>
                <w:rFonts w:ascii="Calibri" w:hAnsi="Calibri" w:cs="Calibri"/>
              </w:rPr>
            </w:pPr>
            <w:r w:rsidRPr="008376B0">
              <w:rPr>
                <w:rFonts w:ascii="Calibri" w:hAnsi="Calibri" w:cs="Calibri"/>
                <w:sz w:val="20"/>
              </w:rPr>
              <w:t>231</w:t>
            </w:r>
          </w:p>
        </w:tc>
        <w:tc>
          <w:tcPr>
            <w:tcW w:w="810" w:type="dxa"/>
            <w:shd w:val="clear" w:color="auto" w:fill="auto"/>
            <w:noWrap/>
            <w:vAlign w:val="center"/>
            <w:hideMark/>
          </w:tcPr>
          <w:p w14:paraId="4DE6D0CE" w14:textId="1E999A15" w:rsidR="00B34D22" w:rsidRPr="00EA30D7" w:rsidRDefault="00B34D22" w:rsidP="00B34D22">
            <w:pPr>
              <w:jc w:val="center"/>
              <w:rPr>
                <w:rFonts w:ascii="Calibri" w:hAnsi="Calibri" w:cs="Calibri"/>
              </w:rPr>
            </w:pPr>
            <w:r w:rsidRPr="008376B0">
              <w:rPr>
                <w:rFonts w:ascii="Calibri" w:hAnsi="Calibri" w:cs="Calibri"/>
                <w:sz w:val="20"/>
              </w:rPr>
              <w:t>460</w:t>
            </w:r>
          </w:p>
        </w:tc>
      </w:tr>
      <w:tr w:rsidR="00B34D22" w:rsidRPr="00EA30D7" w14:paraId="221FBDFD" w14:textId="77777777" w:rsidTr="008506C0">
        <w:trPr>
          <w:trHeight w:val="300"/>
        </w:trPr>
        <w:tc>
          <w:tcPr>
            <w:tcW w:w="2240" w:type="dxa"/>
            <w:shd w:val="clear" w:color="auto" w:fill="auto"/>
            <w:noWrap/>
            <w:vAlign w:val="center"/>
            <w:hideMark/>
          </w:tcPr>
          <w:p w14:paraId="3AAE94AC" w14:textId="1EF569BB" w:rsidR="00B34D22" w:rsidRPr="00EA30D7" w:rsidRDefault="00B34D22" w:rsidP="00B34D22">
            <w:pPr>
              <w:rPr>
                <w:rFonts w:ascii="Calibri" w:hAnsi="Calibri" w:cs="Calibri"/>
                <w:sz w:val="20"/>
              </w:rPr>
            </w:pPr>
            <w:r w:rsidRPr="008376B0">
              <w:rPr>
                <w:rFonts w:ascii="Calibri" w:hAnsi="Calibri" w:cs="Calibri"/>
                <w:sz w:val="20"/>
              </w:rPr>
              <w:t>Aquatic Invertebrates</w:t>
            </w:r>
          </w:p>
        </w:tc>
        <w:tc>
          <w:tcPr>
            <w:tcW w:w="720" w:type="dxa"/>
            <w:shd w:val="clear" w:color="auto" w:fill="auto"/>
            <w:vAlign w:val="center"/>
            <w:hideMark/>
          </w:tcPr>
          <w:p w14:paraId="568A6A9E" w14:textId="5AF0B887" w:rsidR="00B34D22" w:rsidRPr="00EA30D7" w:rsidRDefault="00B34D22" w:rsidP="00B34D22">
            <w:pPr>
              <w:jc w:val="center"/>
              <w:rPr>
                <w:rFonts w:ascii="Calibri" w:hAnsi="Calibri" w:cs="Calibri"/>
              </w:rPr>
            </w:pPr>
            <w:r w:rsidRPr="008376B0">
              <w:rPr>
                <w:rFonts w:ascii="Calibri" w:hAnsi="Calibri" w:cs="Calibri"/>
                <w:sz w:val="20"/>
              </w:rPr>
              <w:t>50</w:t>
            </w:r>
          </w:p>
        </w:tc>
        <w:tc>
          <w:tcPr>
            <w:tcW w:w="1080" w:type="dxa"/>
            <w:shd w:val="clear" w:color="auto" w:fill="auto"/>
            <w:vAlign w:val="center"/>
            <w:hideMark/>
          </w:tcPr>
          <w:p w14:paraId="17290AF7" w14:textId="47DDB66F" w:rsidR="00B34D22" w:rsidRPr="00EA30D7" w:rsidRDefault="00B34D22" w:rsidP="00B34D22">
            <w:pPr>
              <w:jc w:val="center"/>
              <w:rPr>
                <w:rFonts w:ascii="Calibri" w:hAnsi="Calibri" w:cs="Calibri"/>
                <w:sz w:val="20"/>
              </w:rPr>
            </w:pPr>
            <w:r w:rsidRPr="008376B0">
              <w:rPr>
                <w:rFonts w:ascii="Calibri" w:hAnsi="Calibri" w:cs="Calibri"/>
                <w:sz w:val="20"/>
              </w:rPr>
              <w:t>21</w:t>
            </w:r>
          </w:p>
        </w:tc>
        <w:tc>
          <w:tcPr>
            <w:tcW w:w="1980" w:type="dxa"/>
            <w:shd w:val="clear" w:color="auto" w:fill="auto"/>
            <w:noWrap/>
            <w:vAlign w:val="center"/>
            <w:hideMark/>
          </w:tcPr>
          <w:p w14:paraId="1C9657DC" w14:textId="3D271D79" w:rsidR="00B34D22" w:rsidRPr="00EA30D7" w:rsidRDefault="00B34D22" w:rsidP="00B34D22">
            <w:pPr>
              <w:jc w:val="center"/>
              <w:rPr>
                <w:rFonts w:ascii="Calibri" w:hAnsi="Calibri" w:cs="Calibri"/>
              </w:rPr>
            </w:pPr>
            <w:r w:rsidRPr="008376B0">
              <w:rPr>
                <w:rFonts w:ascii="Calibri" w:hAnsi="Calibri" w:cs="Calibri"/>
                <w:sz w:val="20"/>
              </w:rPr>
              <w:t>3</w:t>
            </w:r>
          </w:p>
        </w:tc>
        <w:tc>
          <w:tcPr>
            <w:tcW w:w="1954" w:type="dxa"/>
            <w:shd w:val="clear" w:color="auto" w:fill="auto"/>
            <w:noWrap/>
            <w:vAlign w:val="center"/>
            <w:hideMark/>
          </w:tcPr>
          <w:p w14:paraId="4EB55A41" w14:textId="12D959CC" w:rsidR="00B34D22" w:rsidRPr="00EA30D7" w:rsidRDefault="00B34D22" w:rsidP="00B34D22">
            <w:pPr>
              <w:jc w:val="center"/>
              <w:rPr>
                <w:rFonts w:ascii="Calibri" w:hAnsi="Calibri" w:cs="Calibri"/>
              </w:rPr>
            </w:pPr>
            <w:r w:rsidRPr="008376B0">
              <w:rPr>
                <w:rFonts w:ascii="Calibri" w:hAnsi="Calibri" w:cs="Calibri"/>
                <w:sz w:val="20"/>
              </w:rPr>
              <w:t>18</w:t>
            </w:r>
          </w:p>
        </w:tc>
        <w:tc>
          <w:tcPr>
            <w:tcW w:w="810" w:type="dxa"/>
            <w:shd w:val="clear" w:color="auto" w:fill="auto"/>
            <w:noWrap/>
            <w:vAlign w:val="center"/>
            <w:hideMark/>
          </w:tcPr>
          <w:p w14:paraId="1E544675" w14:textId="11D6CE43" w:rsidR="00B34D22" w:rsidRPr="00EA30D7" w:rsidRDefault="00B34D22" w:rsidP="00B34D22">
            <w:pPr>
              <w:jc w:val="center"/>
              <w:rPr>
                <w:rFonts w:ascii="Calibri" w:hAnsi="Calibri" w:cs="Calibri"/>
              </w:rPr>
            </w:pPr>
            <w:r w:rsidRPr="008376B0">
              <w:rPr>
                <w:rFonts w:ascii="Calibri" w:hAnsi="Calibri" w:cs="Calibri"/>
                <w:sz w:val="20"/>
              </w:rPr>
              <w:t>71</w:t>
            </w:r>
          </w:p>
        </w:tc>
      </w:tr>
      <w:tr w:rsidR="00B34D22" w:rsidRPr="00EA30D7" w14:paraId="65D6EE76" w14:textId="77777777" w:rsidTr="008506C0">
        <w:trPr>
          <w:trHeight w:val="300"/>
        </w:trPr>
        <w:tc>
          <w:tcPr>
            <w:tcW w:w="2240" w:type="dxa"/>
            <w:shd w:val="clear" w:color="auto" w:fill="auto"/>
            <w:noWrap/>
            <w:vAlign w:val="center"/>
            <w:hideMark/>
          </w:tcPr>
          <w:p w14:paraId="36C85154" w14:textId="1AEFF979" w:rsidR="00B34D22" w:rsidRPr="00EA30D7" w:rsidRDefault="00B34D22" w:rsidP="00B34D22">
            <w:pPr>
              <w:rPr>
                <w:rFonts w:ascii="Calibri" w:hAnsi="Calibri" w:cs="Calibri"/>
                <w:sz w:val="20"/>
              </w:rPr>
            </w:pPr>
            <w:r w:rsidRPr="008376B0">
              <w:rPr>
                <w:rFonts w:ascii="Calibri" w:hAnsi="Calibri" w:cs="Calibri"/>
                <w:sz w:val="20"/>
              </w:rPr>
              <w:t>Terrestrial Invertebrates</w:t>
            </w:r>
          </w:p>
        </w:tc>
        <w:tc>
          <w:tcPr>
            <w:tcW w:w="720" w:type="dxa"/>
            <w:shd w:val="clear" w:color="auto" w:fill="auto"/>
            <w:vAlign w:val="center"/>
            <w:hideMark/>
          </w:tcPr>
          <w:p w14:paraId="3DE4C2C1" w14:textId="23283F3D" w:rsidR="00B34D22" w:rsidRPr="00EA30D7" w:rsidRDefault="00B34D22" w:rsidP="00B34D22">
            <w:pPr>
              <w:jc w:val="center"/>
              <w:rPr>
                <w:rFonts w:ascii="Calibri" w:hAnsi="Calibri" w:cs="Calibri"/>
              </w:rPr>
            </w:pPr>
            <w:r w:rsidRPr="008376B0">
              <w:rPr>
                <w:rFonts w:ascii="Calibri" w:hAnsi="Calibri" w:cs="Calibri"/>
                <w:sz w:val="20"/>
              </w:rPr>
              <w:t>7</w:t>
            </w:r>
          </w:p>
        </w:tc>
        <w:tc>
          <w:tcPr>
            <w:tcW w:w="1080" w:type="dxa"/>
            <w:shd w:val="clear" w:color="auto" w:fill="auto"/>
            <w:vAlign w:val="center"/>
            <w:hideMark/>
          </w:tcPr>
          <w:p w14:paraId="0C104BA5" w14:textId="0293A276" w:rsidR="00B34D22" w:rsidRPr="00EA30D7" w:rsidRDefault="00B34D22" w:rsidP="00B34D22">
            <w:pPr>
              <w:jc w:val="center"/>
              <w:rPr>
                <w:rFonts w:ascii="Calibri" w:hAnsi="Calibri" w:cs="Calibri"/>
                <w:sz w:val="20"/>
              </w:rPr>
            </w:pPr>
            <w:r w:rsidRPr="008376B0">
              <w:rPr>
                <w:rFonts w:ascii="Calibri" w:hAnsi="Calibri" w:cs="Calibri"/>
                <w:sz w:val="20"/>
              </w:rPr>
              <w:t>42</w:t>
            </w:r>
          </w:p>
        </w:tc>
        <w:tc>
          <w:tcPr>
            <w:tcW w:w="1980" w:type="dxa"/>
            <w:shd w:val="clear" w:color="auto" w:fill="auto"/>
            <w:noWrap/>
            <w:vAlign w:val="center"/>
            <w:hideMark/>
          </w:tcPr>
          <w:p w14:paraId="6832B123" w14:textId="5B955DBC" w:rsidR="00B34D22" w:rsidRPr="00EA30D7" w:rsidRDefault="00B34D22" w:rsidP="00B34D22">
            <w:pPr>
              <w:jc w:val="center"/>
              <w:rPr>
                <w:rFonts w:ascii="Calibri" w:hAnsi="Calibri" w:cs="Calibri"/>
              </w:rPr>
            </w:pPr>
            <w:r w:rsidRPr="008376B0">
              <w:rPr>
                <w:rFonts w:ascii="Calibri" w:hAnsi="Calibri" w:cs="Calibri"/>
                <w:sz w:val="20"/>
              </w:rPr>
              <w:t>16</w:t>
            </w:r>
          </w:p>
        </w:tc>
        <w:tc>
          <w:tcPr>
            <w:tcW w:w="1954" w:type="dxa"/>
            <w:shd w:val="clear" w:color="auto" w:fill="auto"/>
            <w:noWrap/>
            <w:vAlign w:val="center"/>
            <w:hideMark/>
          </w:tcPr>
          <w:p w14:paraId="7BC26E64" w14:textId="22F42A8F" w:rsidR="00B34D22" w:rsidRPr="00EA30D7" w:rsidRDefault="00B34D22" w:rsidP="00B34D22">
            <w:pPr>
              <w:jc w:val="center"/>
              <w:rPr>
                <w:rFonts w:ascii="Calibri" w:hAnsi="Calibri" w:cs="Calibri"/>
              </w:rPr>
            </w:pPr>
            <w:r w:rsidRPr="008376B0">
              <w:rPr>
                <w:rFonts w:ascii="Calibri" w:hAnsi="Calibri" w:cs="Calibri"/>
                <w:sz w:val="20"/>
              </w:rPr>
              <w:t>26</w:t>
            </w:r>
          </w:p>
        </w:tc>
        <w:tc>
          <w:tcPr>
            <w:tcW w:w="810" w:type="dxa"/>
            <w:shd w:val="clear" w:color="auto" w:fill="auto"/>
            <w:noWrap/>
            <w:vAlign w:val="center"/>
            <w:hideMark/>
          </w:tcPr>
          <w:p w14:paraId="6D11FAFF" w14:textId="1436C638" w:rsidR="00B34D22" w:rsidRPr="00EA30D7" w:rsidRDefault="00B34D22" w:rsidP="00B34D22">
            <w:pPr>
              <w:jc w:val="center"/>
              <w:rPr>
                <w:rFonts w:ascii="Calibri" w:hAnsi="Calibri" w:cs="Calibri"/>
              </w:rPr>
            </w:pPr>
            <w:r w:rsidRPr="008376B0">
              <w:rPr>
                <w:rFonts w:ascii="Calibri" w:hAnsi="Calibri" w:cs="Calibri"/>
                <w:sz w:val="20"/>
              </w:rPr>
              <w:t>49</w:t>
            </w:r>
          </w:p>
        </w:tc>
      </w:tr>
      <w:tr w:rsidR="00B34D22" w:rsidRPr="00EA30D7" w14:paraId="28F12A4A" w14:textId="77777777" w:rsidTr="008506C0">
        <w:trPr>
          <w:trHeight w:val="300"/>
        </w:trPr>
        <w:tc>
          <w:tcPr>
            <w:tcW w:w="2240" w:type="dxa"/>
            <w:shd w:val="clear" w:color="000000" w:fill="D9D9D9"/>
            <w:noWrap/>
            <w:vAlign w:val="center"/>
            <w:hideMark/>
          </w:tcPr>
          <w:p w14:paraId="01871F61" w14:textId="1C7A9A72" w:rsidR="00B34D22" w:rsidRPr="008506C0" w:rsidRDefault="00B34D22" w:rsidP="00B34D22">
            <w:pPr>
              <w:rPr>
                <w:rFonts w:ascii="Calibri" w:hAnsi="Calibri" w:cs="Calibri"/>
                <w:b/>
                <w:bCs/>
                <w:sz w:val="20"/>
              </w:rPr>
            </w:pPr>
            <w:r w:rsidRPr="008506C0">
              <w:rPr>
                <w:rFonts w:ascii="Calibri" w:hAnsi="Calibri" w:cs="Calibri"/>
                <w:b/>
                <w:bCs/>
                <w:sz w:val="20"/>
              </w:rPr>
              <w:t>Total</w:t>
            </w:r>
          </w:p>
        </w:tc>
        <w:tc>
          <w:tcPr>
            <w:tcW w:w="720" w:type="dxa"/>
            <w:shd w:val="clear" w:color="000000" w:fill="D9D9D9"/>
            <w:vAlign w:val="center"/>
            <w:hideMark/>
          </w:tcPr>
          <w:p w14:paraId="37CB7F0A" w14:textId="29DBA984" w:rsidR="00B34D22" w:rsidRPr="008506C0" w:rsidRDefault="00B34D22" w:rsidP="00B34D22">
            <w:pPr>
              <w:jc w:val="center"/>
              <w:rPr>
                <w:rFonts w:ascii="Calibri" w:hAnsi="Calibri" w:cs="Calibri"/>
                <w:b/>
                <w:bCs/>
                <w:sz w:val="20"/>
              </w:rPr>
            </w:pPr>
            <w:r w:rsidRPr="008506C0">
              <w:rPr>
                <w:rFonts w:ascii="Calibri" w:hAnsi="Calibri" w:cs="Calibri"/>
                <w:b/>
                <w:bCs/>
                <w:sz w:val="20"/>
              </w:rPr>
              <w:t>131</w:t>
            </w:r>
          </w:p>
        </w:tc>
        <w:tc>
          <w:tcPr>
            <w:tcW w:w="1080" w:type="dxa"/>
            <w:shd w:val="clear" w:color="000000" w:fill="D9D9D9"/>
            <w:vAlign w:val="center"/>
            <w:hideMark/>
          </w:tcPr>
          <w:p w14:paraId="14D58252" w14:textId="69EF9C0B" w:rsidR="00B34D22" w:rsidRPr="008506C0" w:rsidRDefault="00B34D22" w:rsidP="00B34D22">
            <w:pPr>
              <w:jc w:val="center"/>
              <w:rPr>
                <w:rFonts w:ascii="Calibri" w:hAnsi="Calibri" w:cs="Calibri"/>
                <w:b/>
                <w:bCs/>
                <w:sz w:val="20"/>
              </w:rPr>
            </w:pPr>
            <w:r w:rsidRPr="008506C0">
              <w:rPr>
                <w:rFonts w:ascii="Calibri" w:hAnsi="Calibri" w:cs="Calibri"/>
                <w:b/>
                <w:bCs/>
                <w:sz w:val="20"/>
              </w:rPr>
              <w:t>660</w:t>
            </w:r>
          </w:p>
        </w:tc>
        <w:tc>
          <w:tcPr>
            <w:tcW w:w="1980" w:type="dxa"/>
            <w:shd w:val="clear" w:color="000000" w:fill="D9D9D9"/>
            <w:vAlign w:val="center"/>
            <w:hideMark/>
          </w:tcPr>
          <w:p w14:paraId="5DF54101" w14:textId="6C0029AE" w:rsidR="00B34D22" w:rsidRPr="008506C0" w:rsidRDefault="00B34D22" w:rsidP="00B34D22">
            <w:pPr>
              <w:jc w:val="center"/>
              <w:rPr>
                <w:rFonts w:ascii="Calibri" w:hAnsi="Calibri" w:cs="Calibri"/>
                <w:b/>
                <w:bCs/>
                <w:sz w:val="20"/>
              </w:rPr>
            </w:pPr>
            <w:r w:rsidRPr="008506C0">
              <w:rPr>
                <w:rFonts w:ascii="Calibri" w:hAnsi="Calibri" w:cs="Calibri"/>
                <w:b/>
                <w:bCs/>
                <w:sz w:val="20"/>
              </w:rPr>
              <w:t>21</w:t>
            </w:r>
            <w:r w:rsidR="00903F4B" w:rsidRPr="008506C0">
              <w:rPr>
                <w:rFonts w:ascii="Calibri" w:hAnsi="Calibri" w:cs="Calibri"/>
                <w:b/>
                <w:bCs/>
                <w:sz w:val="20"/>
              </w:rPr>
              <w:t>4</w:t>
            </w:r>
          </w:p>
        </w:tc>
        <w:tc>
          <w:tcPr>
            <w:tcW w:w="1954" w:type="dxa"/>
            <w:shd w:val="clear" w:color="000000" w:fill="D9D9D9"/>
            <w:vAlign w:val="center"/>
            <w:hideMark/>
          </w:tcPr>
          <w:p w14:paraId="24CBAC91" w14:textId="44CB202C" w:rsidR="00B34D22" w:rsidRPr="008506C0" w:rsidRDefault="00B34D22" w:rsidP="00B34D22">
            <w:pPr>
              <w:jc w:val="center"/>
              <w:rPr>
                <w:rFonts w:ascii="Calibri" w:hAnsi="Calibri" w:cs="Calibri"/>
                <w:b/>
                <w:bCs/>
                <w:sz w:val="20"/>
              </w:rPr>
            </w:pPr>
            <w:r w:rsidRPr="008506C0">
              <w:rPr>
                <w:rFonts w:ascii="Calibri" w:hAnsi="Calibri" w:cs="Calibri"/>
                <w:b/>
                <w:bCs/>
                <w:sz w:val="20"/>
              </w:rPr>
              <w:t>44</w:t>
            </w:r>
            <w:r w:rsidR="00903F4B" w:rsidRPr="008506C0">
              <w:rPr>
                <w:rFonts w:ascii="Calibri" w:hAnsi="Calibri" w:cs="Calibri"/>
                <w:b/>
                <w:bCs/>
                <w:sz w:val="20"/>
              </w:rPr>
              <w:t>6</w:t>
            </w:r>
          </w:p>
        </w:tc>
        <w:tc>
          <w:tcPr>
            <w:tcW w:w="810" w:type="dxa"/>
            <w:shd w:val="clear" w:color="000000" w:fill="D9D9D9"/>
            <w:noWrap/>
            <w:vAlign w:val="center"/>
            <w:hideMark/>
          </w:tcPr>
          <w:p w14:paraId="34A7EB0D" w14:textId="4A8EEBC9" w:rsidR="00B34D22" w:rsidRPr="008506C0" w:rsidRDefault="00B34D22" w:rsidP="00B34D22">
            <w:pPr>
              <w:jc w:val="center"/>
              <w:rPr>
                <w:rFonts w:ascii="Calibri" w:hAnsi="Calibri" w:cs="Calibri"/>
                <w:b/>
                <w:bCs/>
                <w:sz w:val="20"/>
              </w:rPr>
            </w:pPr>
            <w:r w:rsidRPr="008506C0">
              <w:rPr>
                <w:rFonts w:ascii="Calibri" w:hAnsi="Calibri" w:cs="Calibri"/>
                <w:b/>
                <w:bCs/>
                <w:sz w:val="20"/>
              </w:rPr>
              <w:t>791</w:t>
            </w:r>
          </w:p>
        </w:tc>
      </w:tr>
      <w:tr w:rsidR="00B34D22" w:rsidRPr="00EA30D7" w14:paraId="5AAC884E" w14:textId="77777777" w:rsidTr="008506C0">
        <w:trPr>
          <w:trHeight w:val="324"/>
        </w:trPr>
        <w:tc>
          <w:tcPr>
            <w:tcW w:w="2240" w:type="dxa"/>
            <w:shd w:val="clear" w:color="000000" w:fill="D9D9D9"/>
            <w:noWrap/>
            <w:vAlign w:val="center"/>
            <w:hideMark/>
          </w:tcPr>
          <w:p w14:paraId="46F0272F" w14:textId="3D9E7113" w:rsidR="00B34D22" w:rsidRPr="008506C0" w:rsidRDefault="00B34D22" w:rsidP="00B34D22">
            <w:pPr>
              <w:rPr>
                <w:rFonts w:ascii="Calibri" w:hAnsi="Calibri" w:cs="Calibri"/>
                <w:b/>
                <w:bCs/>
                <w:sz w:val="20"/>
              </w:rPr>
            </w:pPr>
            <w:r w:rsidRPr="008506C0">
              <w:rPr>
                <w:rFonts w:ascii="Calibri" w:hAnsi="Calibri" w:cs="Calibri"/>
                <w:b/>
                <w:bCs/>
                <w:sz w:val="20"/>
              </w:rPr>
              <w:t>Percent of total</w:t>
            </w:r>
          </w:p>
        </w:tc>
        <w:tc>
          <w:tcPr>
            <w:tcW w:w="720" w:type="dxa"/>
            <w:shd w:val="clear" w:color="000000" w:fill="D9D9D9"/>
            <w:noWrap/>
            <w:vAlign w:val="center"/>
            <w:hideMark/>
          </w:tcPr>
          <w:p w14:paraId="061C08CD" w14:textId="6ED4A56A" w:rsidR="00B34D22" w:rsidRPr="008506C0" w:rsidRDefault="00B34D22" w:rsidP="00B34D22">
            <w:pPr>
              <w:jc w:val="center"/>
              <w:rPr>
                <w:rFonts w:ascii="Calibri" w:hAnsi="Calibri" w:cs="Calibri"/>
                <w:b/>
                <w:bCs/>
                <w:sz w:val="20"/>
              </w:rPr>
            </w:pPr>
            <w:r w:rsidRPr="008506C0">
              <w:rPr>
                <w:rFonts w:ascii="Calibri" w:hAnsi="Calibri" w:cs="Calibri"/>
                <w:b/>
                <w:bCs/>
                <w:sz w:val="20"/>
              </w:rPr>
              <w:t>17%</w:t>
            </w:r>
          </w:p>
        </w:tc>
        <w:tc>
          <w:tcPr>
            <w:tcW w:w="1080" w:type="dxa"/>
            <w:shd w:val="clear" w:color="000000" w:fill="D9D9D9"/>
            <w:noWrap/>
            <w:vAlign w:val="center"/>
            <w:hideMark/>
          </w:tcPr>
          <w:p w14:paraId="7C8A41F6" w14:textId="5C9F8E4A" w:rsidR="00B34D22" w:rsidRPr="008506C0" w:rsidRDefault="00B34D22" w:rsidP="00B34D22">
            <w:pPr>
              <w:jc w:val="center"/>
              <w:rPr>
                <w:rFonts w:ascii="Calibri" w:hAnsi="Calibri" w:cs="Calibri"/>
                <w:b/>
                <w:bCs/>
                <w:sz w:val="20"/>
              </w:rPr>
            </w:pPr>
            <w:r w:rsidRPr="008506C0">
              <w:rPr>
                <w:rFonts w:ascii="Calibri" w:hAnsi="Calibri" w:cs="Calibri"/>
                <w:b/>
                <w:bCs/>
                <w:sz w:val="20"/>
              </w:rPr>
              <w:t>83%</w:t>
            </w:r>
          </w:p>
        </w:tc>
        <w:tc>
          <w:tcPr>
            <w:tcW w:w="1980" w:type="dxa"/>
            <w:shd w:val="clear" w:color="000000" w:fill="D9D9D9"/>
            <w:noWrap/>
            <w:vAlign w:val="center"/>
            <w:hideMark/>
          </w:tcPr>
          <w:p w14:paraId="5F1181FC" w14:textId="7A999637" w:rsidR="00B34D22" w:rsidRPr="008506C0" w:rsidRDefault="00B34D22" w:rsidP="00B34D22">
            <w:pPr>
              <w:jc w:val="center"/>
              <w:rPr>
                <w:rFonts w:ascii="Calibri" w:hAnsi="Calibri" w:cs="Calibri"/>
                <w:b/>
                <w:bCs/>
                <w:sz w:val="20"/>
              </w:rPr>
            </w:pPr>
            <w:r w:rsidRPr="008506C0">
              <w:rPr>
                <w:rFonts w:ascii="Calibri" w:hAnsi="Calibri" w:cs="Calibri"/>
                <w:b/>
                <w:bCs/>
                <w:sz w:val="20"/>
              </w:rPr>
              <w:t>27%</w:t>
            </w:r>
          </w:p>
        </w:tc>
        <w:tc>
          <w:tcPr>
            <w:tcW w:w="1954" w:type="dxa"/>
            <w:shd w:val="clear" w:color="000000" w:fill="D9D9D9"/>
            <w:noWrap/>
            <w:vAlign w:val="center"/>
            <w:hideMark/>
          </w:tcPr>
          <w:p w14:paraId="3DB4980F" w14:textId="2A7F1B5F" w:rsidR="00B34D22" w:rsidRPr="008506C0" w:rsidRDefault="00B34D22" w:rsidP="00B34D22">
            <w:pPr>
              <w:jc w:val="center"/>
              <w:rPr>
                <w:rFonts w:ascii="Calibri" w:hAnsi="Calibri" w:cs="Calibri"/>
                <w:b/>
                <w:bCs/>
                <w:sz w:val="20"/>
              </w:rPr>
            </w:pPr>
            <w:r w:rsidRPr="008506C0">
              <w:rPr>
                <w:rFonts w:ascii="Calibri" w:hAnsi="Calibri" w:cs="Calibri"/>
                <w:b/>
                <w:bCs/>
                <w:sz w:val="20"/>
              </w:rPr>
              <w:t>56%</w:t>
            </w:r>
          </w:p>
        </w:tc>
        <w:tc>
          <w:tcPr>
            <w:tcW w:w="810" w:type="dxa"/>
            <w:shd w:val="clear" w:color="000000" w:fill="D9D9D9"/>
            <w:noWrap/>
            <w:vAlign w:val="center"/>
            <w:hideMark/>
          </w:tcPr>
          <w:p w14:paraId="543A466C" w14:textId="52F07F5E" w:rsidR="00B34D22" w:rsidRPr="008506C0" w:rsidRDefault="00B34D22" w:rsidP="00B34D22">
            <w:pPr>
              <w:rPr>
                <w:b/>
                <w:bCs/>
                <w:szCs w:val="24"/>
              </w:rPr>
            </w:pPr>
            <w:r w:rsidRPr="008506C0">
              <w:rPr>
                <w:b/>
                <w:bCs/>
                <w:sz w:val="20"/>
              </w:rPr>
              <w:t> </w:t>
            </w:r>
          </w:p>
        </w:tc>
      </w:tr>
    </w:tbl>
    <w:p w14:paraId="3AF60A45" w14:textId="77777777" w:rsidR="00B408AC" w:rsidRDefault="00B408AC" w:rsidP="00B408AC">
      <w:pPr>
        <w:rPr>
          <w:sz w:val="20"/>
        </w:rPr>
      </w:pPr>
    </w:p>
    <w:p w14:paraId="55DD1A74" w14:textId="08C8BF07" w:rsidR="00B408AC" w:rsidRDefault="00B408AC" w:rsidP="00B408AC">
      <w:pPr>
        <w:rPr>
          <w:noProof/>
          <w:sz w:val="20"/>
        </w:rPr>
      </w:pPr>
    </w:p>
    <w:p w14:paraId="6BEF5244" w14:textId="3BD5E34E" w:rsidR="008506C0" w:rsidRPr="008506C0" w:rsidRDefault="008506C0" w:rsidP="00E97B0E">
      <w:pPr>
        <w:pStyle w:val="Caption"/>
        <w:keepNext/>
        <w:keepLines/>
        <w:rPr>
          <w:b/>
          <w:bCs/>
          <w:i w:val="0"/>
          <w:iCs w:val="0"/>
          <w:color w:val="000000" w:themeColor="text1"/>
          <w:sz w:val="22"/>
          <w:szCs w:val="22"/>
        </w:rPr>
      </w:pPr>
      <w:bookmarkStart w:id="7" w:name="_Ref80263607"/>
      <w:r w:rsidRPr="008506C0">
        <w:rPr>
          <w:b/>
          <w:bCs/>
          <w:i w:val="0"/>
          <w:iCs w:val="0"/>
          <w:color w:val="000000" w:themeColor="text1"/>
          <w:sz w:val="22"/>
          <w:szCs w:val="22"/>
        </w:rPr>
        <w:lastRenderedPageBreak/>
        <w:t xml:space="preserve">Table </w:t>
      </w:r>
      <w:r w:rsidRPr="008506C0">
        <w:rPr>
          <w:b/>
          <w:bCs/>
          <w:i w:val="0"/>
          <w:iCs w:val="0"/>
          <w:color w:val="000000" w:themeColor="text1"/>
          <w:sz w:val="22"/>
          <w:szCs w:val="22"/>
        </w:rPr>
        <w:fldChar w:fldCharType="begin"/>
      </w:r>
      <w:r w:rsidRPr="008506C0">
        <w:rPr>
          <w:b/>
          <w:bCs/>
          <w:i w:val="0"/>
          <w:iCs w:val="0"/>
          <w:color w:val="000000" w:themeColor="text1"/>
          <w:sz w:val="22"/>
          <w:szCs w:val="22"/>
        </w:rPr>
        <w:instrText xml:space="preserve"> SEQ Table \* ARABIC </w:instrText>
      </w:r>
      <w:r w:rsidRPr="008506C0">
        <w:rPr>
          <w:b/>
          <w:bCs/>
          <w:i w:val="0"/>
          <w:iCs w:val="0"/>
          <w:color w:val="000000" w:themeColor="text1"/>
          <w:sz w:val="22"/>
          <w:szCs w:val="22"/>
        </w:rPr>
        <w:fldChar w:fldCharType="separate"/>
      </w:r>
      <w:r w:rsidRPr="008506C0">
        <w:rPr>
          <w:b/>
          <w:bCs/>
          <w:i w:val="0"/>
          <w:iCs w:val="0"/>
          <w:noProof/>
          <w:color w:val="000000" w:themeColor="text1"/>
          <w:sz w:val="22"/>
          <w:szCs w:val="22"/>
        </w:rPr>
        <w:t>3</w:t>
      </w:r>
      <w:r w:rsidRPr="008506C0">
        <w:rPr>
          <w:b/>
          <w:bCs/>
          <w:i w:val="0"/>
          <w:iCs w:val="0"/>
          <w:color w:val="000000" w:themeColor="text1"/>
          <w:sz w:val="22"/>
          <w:szCs w:val="22"/>
        </w:rPr>
        <w:fldChar w:fldCharType="end"/>
      </w:r>
      <w:bookmarkEnd w:id="7"/>
      <w:r w:rsidRPr="008506C0">
        <w:rPr>
          <w:b/>
          <w:bCs/>
          <w:i w:val="0"/>
          <w:iCs w:val="0"/>
          <w:color w:val="000000" w:themeColor="text1"/>
          <w:sz w:val="22"/>
          <w:szCs w:val="22"/>
        </w:rPr>
        <w:t>. Classification of LAA Determinations by Strength of Evidence.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661"/>
        <w:gridCol w:w="1579"/>
        <w:gridCol w:w="1440"/>
        <w:gridCol w:w="1710"/>
      </w:tblGrid>
      <w:tr w:rsidR="00A20A15" w:rsidRPr="00EA30D7" w14:paraId="67062B55" w14:textId="77777777" w:rsidTr="008506C0">
        <w:trPr>
          <w:trHeight w:val="300"/>
        </w:trPr>
        <w:tc>
          <w:tcPr>
            <w:tcW w:w="2960" w:type="dxa"/>
            <w:vMerge w:val="restart"/>
            <w:shd w:val="clear" w:color="000000" w:fill="E7E6E6"/>
            <w:noWrap/>
            <w:vAlign w:val="center"/>
            <w:hideMark/>
          </w:tcPr>
          <w:p w14:paraId="6FACFB9F" w14:textId="77777777" w:rsidR="00A20A15" w:rsidRPr="00EA30D7" w:rsidRDefault="00A20A15" w:rsidP="00E97B0E">
            <w:pPr>
              <w:keepNext/>
              <w:keepLines/>
              <w:rPr>
                <w:rFonts w:ascii="Calibri" w:hAnsi="Calibri" w:cs="Calibri"/>
                <w:b/>
                <w:bCs/>
                <w:sz w:val="20"/>
              </w:rPr>
            </w:pPr>
            <w:r w:rsidRPr="00EA30D7">
              <w:rPr>
                <w:rFonts w:ascii="Calibri" w:hAnsi="Calibri" w:cs="Calibri"/>
                <w:b/>
                <w:bCs/>
                <w:sz w:val="20"/>
              </w:rPr>
              <w:t>Strength of LAA call</w:t>
            </w:r>
          </w:p>
        </w:tc>
        <w:tc>
          <w:tcPr>
            <w:tcW w:w="3240" w:type="dxa"/>
            <w:gridSpan w:val="2"/>
            <w:shd w:val="clear" w:color="000000" w:fill="E7E6E6"/>
            <w:noWrap/>
            <w:vAlign w:val="center"/>
            <w:hideMark/>
          </w:tcPr>
          <w:p w14:paraId="5A3DEBCF" w14:textId="77777777" w:rsidR="00A20A15" w:rsidRPr="00EA30D7" w:rsidRDefault="00A20A15" w:rsidP="00E97B0E">
            <w:pPr>
              <w:keepNext/>
              <w:keepLines/>
              <w:jc w:val="center"/>
              <w:rPr>
                <w:rFonts w:ascii="Calibri" w:hAnsi="Calibri" w:cs="Calibri"/>
                <w:b/>
                <w:bCs/>
                <w:sz w:val="20"/>
              </w:rPr>
            </w:pPr>
            <w:r w:rsidRPr="00EA30D7">
              <w:rPr>
                <w:rFonts w:ascii="Calibri" w:hAnsi="Calibri" w:cs="Calibri"/>
                <w:b/>
                <w:bCs/>
                <w:sz w:val="20"/>
              </w:rPr>
              <w:t>Species range</w:t>
            </w:r>
          </w:p>
        </w:tc>
        <w:tc>
          <w:tcPr>
            <w:tcW w:w="3150" w:type="dxa"/>
            <w:gridSpan w:val="2"/>
            <w:shd w:val="clear" w:color="000000" w:fill="E7E6E6"/>
            <w:vAlign w:val="center"/>
            <w:hideMark/>
          </w:tcPr>
          <w:p w14:paraId="148C5784" w14:textId="77777777" w:rsidR="00A20A15" w:rsidRPr="00EA30D7" w:rsidRDefault="00A20A15" w:rsidP="00E97B0E">
            <w:pPr>
              <w:keepNext/>
              <w:keepLines/>
              <w:jc w:val="center"/>
              <w:rPr>
                <w:rFonts w:ascii="Calibri" w:hAnsi="Calibri" w:cs="Calibri"/>
                <w:b/>
                <w:bCs/>
                <w:sz w:val="20"/>
              </w:rPr>
            </w:pPr>
            <w:r w:rsidRPr="00EA30D7">
              <w:rPr>
                <w:rFonts w:ascii="Calibri" w:hAnsi="Calibri" w:cs="Calibri"/>
                <w:b/>
                <w:bCs/>
                <w:sz w:val="20"/>
              </w:rPr>
              <w:t>Critical Habitat</w:t>
            </w:r>
          </w:p>
        </w:tc>
      </w:tr>
      <w:tr w:rsidR="00A20A15" w:rsidRPr="00EA30D7" w14:paraId="20680415" w14:textId="77777777" w:rsidTr="008506C0">
        <w:trPr>
          <w:trHeight w:val="564"/>
        </w:trPr>
        <w:tc>
          <w:tcPr>
            <w:tcW w:w="2960" w:type="dxa"/>
            <w:vMerge/>
            <w:vAlign w:val="center"/>
            <w:hideMark/>
          </w:tcPr>
          <w:p w14:paraId="72B9478C" w14:textId="77777777" w:rsidR="00A20A15" w:rsidRPr="00EA30D7" w:rsidRDefault="00A20A15" w:rsidP="009B24AE">
            <w:pPr>
              <w:rPr>
                <w:rFonts w:ascii="Calibri" w:hAnsi="Calibri" w:cs="Calibri"/>
                <w:b/>
                <w:bCs/>
                <w:sz w:val="20"/>
              </w:rPr>
            </w:pPr>
          </w:p>
        </w:tc>
        <w:tc>
          <w:tcPr>
            <w:tcW w:w="1661" w:type="dxa"/>
            <w:shd w:val="clear" w:color="000000" w:fill="E7E6E6"/>
            <w:noWrap/>
            <w:vAlign w:val="center"/>
            <w:hideMark/>
          </w:tcPr>
          <w:p w14:paraId="48FAC6BC"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Number</w:t>
            </w:r>
          </w:p>
        </w:tc>
        <w:tc>
          <w:tcPr>
            <w:tcW w:w="1579" w:type="dxa"/>
            <w:shd w:val="clear" w:color="000000" w:fill="E7E6E6"/>
            <w:vAlign w:val="center"/>
            <w:hideMark/>
          </w:tcPr>
          <w:p w14:paraId="57A70452"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 xml:space="preserve">% </w:t>
            </w:r>
            <w:proofErr w:type="gramStart"/>
            <w:r w:rsidRPr="00EA30D7">
              <w:rPr>
                <w:rFonts w:ascii="Calibri" w:hAnsi="Calibri" w:cs="Calibri"/>
                <w:b/>
                <w:bCs/>
                <w:sz w:val="20"/>
              </w:rPr>
              <w:t>of</w:t>
            </w:r>
            <w:proofErr w:type="gramEnd"/>
            <w:r w:rsidRPr="00EA30D7">
              <w:rPr>
                <w:rFonts w:ascii="Calibri" w:hAnsi="Calibri" w:cs="Calibri"/>
                <w:b/>
                <w:bCs/>
                <w:sz w:val="20"/>
              </w:rPr>
              <w:t xml:space="preserve"> LAA determinations</w:t>
            </w:r>
          </w:p>
        </w:tc>
        <w:tc>
          <w:tcPr>
            <w:tcW w:w="1440" w:type="dxa"/>
            <w:shd w:val="clear" w:color="000000" w:fill="E7E6E6"/>
            <w:vAlign w:val="center"/>
            <w:hideMark/>
          </w:tcPr>
          <w:p w14:paraId="3D5D9874"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Number</w:t>
            </w:r>
          </w:p>
        </w:tc>
        <w:tc>
          <w:tcPr>
            <w:tcW w:w="1710" w:type="dxa"/>
            <w:shd w:val="clear" w:color="000000" w:fill="E7E6E6"/>
            <w:vAlign w:val="center"/>
            <w:hideMark/>
          </w:tcPr>
          <w:p w14:paraId="4AAE6BBD" w14:textId="77777777" w:rsidR="00A20A15" w:rsidRPr="00EA30D7" w:rsidRDefault="00A20A15" w:rsidP="009B24AE">
            <w:pPr>
              <w:jc w:val="center"/>
              <w:rPr>
                <w:rFonts w:ascii="Calibri" w:hAnsi="Calibri" w:cs="Calibri"/>
                <w:b/>
                <w:bCs/>
                <w:sz w:val="20"/>
              </w:rPr>
            </w:pPr>
            <w:r w:rsidRPr="00EA30D7">
              <w:rPr>
                <w:rFonts w:ascii="Calibri" w:hAnsi="Calibri" w:cs="Calibri"/>
                <w:b/>
                <w:bCs/>
                <w:sz w:val="20"/>
              </w:rPr>
              <w:t xml:space="preserve">% </w:t>
            </w:r>
            <w:proofErr w:type="gramStart"/>
            <w:r w:rsidRPr="00EA30D7">
              <w:rPr>
                <w:rFonts w:ascii="Calibri" w:hAnsi="Calibri" w:cs="Calibri"/>
                <w:b/>
                <w:bCs/>
                <w:sz w:val="20"/>
              </w:rPr>
              <w:t>of</w:t>
            </w:r>
            <w:proofErr w:type="gramEnd"/>
            <w:r w:rsidRPr="00EA30D7">
              <w:rPr>
                <w:rFonts w:ascii="Calibri" w:hAnsi="Calibri" w:cs="Calibri"/>
                <w:b/>
                <w:bCs/>
                <w:sz w:val="20"/>
              </w:rPr>
              <w:t xml:space="preserve"> LAA determinations</w:t>
            </w:r>
          </w:p>
        </w:tc>
      </w:tr>
      <w:tr w:rsidR="00B34D22" w:rsidRPr="00EA30D7" w14:paraId="3FCDD874" w14:textId="77777777" w:rsidTr="008506C0">
        <w:trPr>
          <w:trHeight w:val="300"/>
        </w:trPr>
        <w:tc>
          <w:tcPr>
            <w:tcW w:w="2960" w:type="dxa"/>
            <w:shd w:val="clear" w:color="auto" w:fill="auto"/>
            <w:noWrap/>
            <w:vAlign w:val="center"/>
            <w:hideMark/>
          </w:tcPr>
          <w:p w14:paraId="51716BF9" w14:textId="58AE7F69" w:rsidR="00B34D22" w:rsidRPr="00EA30D7" w:rsidRDefault="00B34D22" w:rsidP="00B34D22">
            <w:pPr>
              <w:rPr>
                <w:rFonts w:ascii="Calibri" w:hAnsi="Calibri" w:cs="Calibri"/>
                <w:sz w:val="20"/>
              </w:rPr>
            </w:pPr>
            <w:r w:rsidRPr="00EA30D7">
              <w:rPr>
                <w:rFonts w:ascii="Calibri" w:hAnsi="Calibri" w:cs="Calibri"/>
                <w:sz w:val="20"/>
              </w:rPr>
              <w:t>Strongest evidence of LAA</w:t>
            </w:r>
          </w:p>
        </w:tc>
        <w:tc>
          <w:tcPr>
            <w:tcW w:w="1661" w:type="dxa"/>
            <w:shd w:val="clear" w:color="auto" w:fill="auto"/>
            <w:noWrap/>
            <w:vAlign w:val="center"/>
            <w:hideMark/>
          </w:tcPr>
          <w:p w14:paraId="07482134" w14:textId="16D4060B" w:rsidR="00B34D22" w:rsidRPr="00EA30D7" w:rsidRDefault="00B34D22" w:rsidP="00B34D22">
            <w:pPr>
              <w:jc w:val="center"/>
              <w:rPr>
                <w:rFonts w:ascii="Calibri" w:hAnsi="Calibri" w:cs="Calibri"/>
                <w:sz w:val="20"/>
              </w:rPr>
            </w:pPr>
            <w:r w:rsidRPr="008376B0">
              <w:rPr>
                <w:rFonts w:ascii="Calibri" w:hAnsi="Calibri" w:cs="Calibri"/>
                <w:sz w:val="20"/>
              </w:rPr>
              <w:t>0</w:t>
            </w:r>
          </w:p>
        </w:tc>
        <w:tc>
          <w:tcPr>
            <w:tcW w:w="1579" w:type="dxa"/>
            <w:shd w:val="clear" w:color="auto" w:fill="auto"/>
            <w:vAlign w:val="center"/>
            <w:hideMark/>
          </w:tcPr>
          <w:p w14:paraId="752E7106" w14:textId="01B6B003" w:rsidR="00B34D22" w:rsidRPr="00EA30D7" w:rsidRDefault="00B34D22" w:rsidP="00B34D22">
            <w:pPr>
              <w:jc w:val="center"/>
              <w:rPr>
                <w:rFonts w:ascii="Calibri" w:hAnsi="Calibri" w:cs="Calibri"/>
                <w:sz w:val="20"/>
              </w:rPr>
            </w:pPr>
            <w:r w:rsidRPr="008376B0">
              <w:rPr>
                <w:rFonts w:ascii="Calibri" w:hAnsi="Calibri" w:cs="Calibri"/>
                <w:sz w:val="20"/>
              </w:rPr>
              <w:t>0%</w:t>
            </w:r>
          </w:p>
        </w:tc>
        <w:tc>
          <w:tcPr>
            <w:tcW w:w="1440" w:type="dxa"/>
            <w:shd w:val="clear" w:color="auto" w:fill="auto"/>
            <w:noWrap/>
            <w:vAlign w:val="center"/>
            <w:hideMark/>
          </w:tcPr>
          <w:p w14:paraId="11B2E8AC" w14:textId="6907C034" w:rsidR="00B34D22" w:rsidRPr="00EA30D7" w:rsidRDefault="00B34D22" w:rsidP="00B34D22">
            <w:pPr>
              <w:jc w:val="center"/>
              <w:rPr>
                <w:rFonts w:ascii="Calibri" w:hAnsi="Calibri" w:cs="Calibri"/>
                <w:sz w:val="20"/>
              </w:rPr>
            </w:pPr>
            <w:r w:rsidRPr="008376B0">
              <w:rPr>
                <w:rFonts w:ascii="Calibri" w:hAnsi="Calibri" w:cs="Calibri"/>
                <w:sz w:val="20"/>
              </w:rPr>
              <w:t>0</w:t>
            </w:r>
          </w:p>
        </w:tc>
        <w:tc>
          <w:tcPr>
            <w:tcW w:w="1710" w:type="dxa"/>
            <w:shd w:val="clear" w:color="auto" w:fill="auto"/>
            <w:vAlign w:val="center"/>
            <w:hideMark/>
          </w:tcPr>
          <w:p w14:paraId="1794BAC5" w14:textId="761A7A75" w:rsidR="00B34D22" w:rsidRPr="00EA30D7" w:rsidRDefault="00B34D22" w:rsidP="00B34D22">
            <w:pPr>
              <w:jc w:val="center"/>
              <w:rPr>
                <w:rFonts w:ascii="Calibri" w:hAnsi="Calibri" w:cs="Calibri"/>
                <w:sz w:val="20"/>
              </w:rPr>
            </w:pPr>
            <w:r w:rsidRPr="008376B0">
              <w:rPr>
                <w:rFonts w:ascii="Calibri" w:hAnsi="Calibri" w:cs="Calibri"/>
                <w:sz w:val="20"/>
              </w:rPr>
              <w:t>0%</w:t>
            </w:r>
          </w:p>
        </w:tc>
      </w:tr>
      <w:tr w:rsidR="00B34D22" w:rsidRPr="00EA30D7" w14:paraId="6C1E27F7" w14:textId="77777777" w:rsidTr="008506C0">
        <w:trPr>
          <w:trHeight w:val="300"/>
        </w:trPr>
        <w:tc>
          <w:tcPr>
            <w:tcW w:w="2960" w:type="dxa"/>
            <w:shd w:val="clear" w:color="auto" w:fill="auto"/>
            <w:noWrap/>
            <w:vAlign w:val="center"/>
            <w:hideMark/>
          </w:tcPr>
          <w:p w14:paraId="56F5BF84" w14:textId="4C172B50" w:rsidR="00B34D22" w:rsidRPr="00EA30D7" w:rsidRDefault="00B34D22" w:rsidP="00B34D22">
            <w:pPr>
              <w:rPr>
                <w:rFonts w:ascii="Calibri" w:hAnsi="Calibri" w:cs="Calibri"/>
                <w:sz w:val="20"/>
              </w:rPr>
            </w:pPr>
            <w:r w:rsidRPr="00EA30D7">
              <w:rPr>
                <w:rFonts w:ascii="Calibri" w:hAnsi="Calibri" w:cs="Calibri"/>
                <w:sz w:val="20"/>
              </w:rPr>
              <w:t>Moderate evidence of LAA</w:t>
            </w:r>
          </w:p>
        </w:tc>
        <w:tc>
          <w:tcPr>
            <w:tcW w:w="1661" w:type="dxa"/>
            <w:shd w:val="clear" w:color="auto" w:fill="auto"/>
            <w:noWrap/>
            <w:vAlign w:val="center"/>
            <w:hideMark/>
          </w:tcPr>
          <w:p w14:paraId="2CC121F1" w14:textId="4B425861" w:rsidR="00B34D22" w:rsidRPr="00EA30D7" w:rsidRDefault="00B34D22" w:rsidP="00B34D22">
            <w:pPr>
              <w:jc w:val="center"/>
              <w:rPr>
                <w:rFonts w:ascii="Calibri" w:hAnsi="Calibri" w:cs="Calibri"/>
                <w:sz w:val="20"/>
              </w:rPr>
            </w:pPr>
            <w:r w:rsidRPr="008376B0">
              <w:rPr>
                <w:rFonts w:ascii="Calibri" w:hAnsi="Calibri" w:cs="Calibri"/>
                <w:sz w:val="20"/>
              </w:rPr>
              <w:t>994</w:t>
            </w:r>
          </w:p>
        </w:tc>
        <w:tc>
          <w:tcPr>
            <w:tcW w:w="1579" w:type="dxa"/>
            <w:shd w:val="clear" w:color="auto" w:fill="auto"/>
            <w:vAlign w:val="center"/>
            <w:hideMark/>
          </w:tcPr>
          <w:p w14:paraId="083FDF1D" w14:textId="3E622456" w:rsidR="00B34D22" w:rsidRPr="00EA30D7" w:rsidRDefault="00B34D22" w:rsidP="00B34D22">
            <w:pPr>
              <w:jc w:val="center"/>
              <w:rPr>
                <w:rFonts w:ascii="Calibri" w:hAnsi="Calibri" w:cs="Calibri"/>
                <w:sz w:val="20"/>
              </w:rPr>
            </w:pPr>
            <w:r w:rsidRPr="008376B0">
              <w:rPr>
                <w:rFonts w:ascii="Calibri" w:hAnsi="Calibri" w:cs="Calibri"/>
                <w:sz w:val="20"/>
              </w:rPr>
              <w:t>81%</w:t>
            </w:r>
          </w:p>
        </w:tc>
        <w:tc>
          <w:tcPr>
            <w:tcW w:w="1440" w:type="dxa"/>
            <w:shd w:val="clear" w:color="auto" w:fill="auto"/>
            <w:noWrap/>
            <w:vAlign w:val="center"/>
            <w:hideMark/>
          </w:tcPr>
          <w:p w14:paraId="155F16BB" w14:textId="0F08FC1A" w:rsidR="00B34D22" w:rsidRPr="00EA30D7" w:rsidRDefault="00B34D22" w:rsidP="00B34D22">
            <w:pPr>
              <w:jc w:val="center"/>
              <w:rPr>
                <w:rFonts w:ascii="Calibri" w:hAnsi="Calibri" w:cs="Calibri"/>
                <w:sz w:val="20"/>
              </w:rPr>
            </w:pPr>
            <w:r w:rsidRPr="008376B0">
              <w:rPr>
                <w:rFonts w:ascii="Calibri" w:hAnsi="Calibri" w:cs="Calibri"/>
                <w:sz w:val="20"/>
              </w:rPr>
              <w:t>349</w:t>
            </w:r>
          </w:p>
        </w:tc>
        <w:tc>
          <w:tcPr>
            <w:tcW w:w="1710" w:type="dxa"/>
            <w:shd w:val="clear" w:color="auto" w:fill="auto"/>
            <w:vAlign w:val="center"/>
            <w:hideMark/>
          </w:tcPr>
          <w:p w14:paraId="7BF7CA70" w14:textId="597713B3" w:rsidR="00B34D22" w:rsidRPr="00EA30D7" w:rsidRDefault="00B34D22" w:rsidP="00B34D22">
            <w:pPr>
              <w:jc w:val="center"/>
              <w:rPr>
                <w:rFonts w:ascii="Calibri" w:hAnsi="Calibri" w:cs="Calibri"/>
                <w:sz w:val="20"/>
              </w:rPr>
            </w:pPr>
            <w:r w:rsidRPr="008376B0">
              <w:rPr>
                <w:rFonts w:ascii="Calibri" w:hAnsi="Calibri" w:cs="Calibri"/>
                <w:sz w:val="20"/>
              </w:rPr>
              <w:t>78%</w:t>
            </w:r>
          </w:p>
        </w:tc>
      </w:tr>
      <w:tr w:rsidR="00B34D22" w:rsidRPr="00EA30D7" w14:paraId="7C8A09DA" w14:textId="77777777" w:rsidTr="008506C0">
        <w:trPr>
          <w:trHeight w:val="300"/>
        </w:trPr>
        <w:tc>
          <w:tcPr>
            <w:tcW w:w="2960" w:type="dxa"/>
            <w:shd w:val="clear" w:color="auto" w:fill="auto"/>
            <w:noWrap/>
            <w:vAlign w:val="center"/>
            <w:hideMark/>
          </w:tcPr>
          <w:p w14:paraId="5BF0238B" w14:textId="4DD9D1FB" w:rsidR="00B34D22" w:rsidRPr="00EA30D7" w:rsidRDefault="00B34D22" w:rsidP="00B34D22">
            <w:pPr>
              <w:rPr>
                <w:rFonts w:ascii="Calibri" w:hAnsi="Calibri" w:cs="Calibri"/>
                <w:sz w:val="20"/>
              </w:rPr>
            </w:pPr>
            <w:r w:rsidRPr="00EA30D7">
              <w:rPr>
                <w:rFonts w:ascii="Calibri" w:hAnsi="Calibri" w:cs="Calibri"/>
                <w:sz w:val="20"/>
              </w:rPr>
              <w:t>Weakest evidence of LAA</w:t>
            </w:r>
          </w:p>
        </w:tc>
        <w:tc>
          <w:tcPr>
            <w:tcW w:w="1661" w:type="dxa"/>
            <w:shd w:val="clear" w:color="auto" w:fill="auto"/>
            <w:noWrap/>
            <w:vAlign w:val="center"/>
            <w:hideMark/>
          </w:tcPr>
          <w:p w14:paraId="26906C3B" w14:textId="2C781056" w:rsidR="00B34D22" w:rsidRPr="00EA30D7" w:rsidRDefault="00B34D22" w:rsidP="00B34D22">
            <w:pPr>
              <w:jc w:val="center"/>
              <w:rPr>
                <w:rFonts w:ascii="Calibri" w:hAnsi="Calibri" w:cs="Calibri"/>
                <w:sz w:val="20"/>
              </w:rPr>
            </w:pPr>
            <w:r w:rsidRPr="008376B0">
              <w:rPr>
                <w:rFonts w:ascii="Calibri" w:hAnsi="Calibri" w:cs="Calibri"/>
                <w:sz w:val="20"/>
              </w:rPr>
              <w:t>23</w:t>
            </w:r>
            <w:r w:rsidR="00903F4B">
              <w:rPr>
                <w:rFonts w:ascii="Calibri" w:hAnsi="Calibri" w:cs="Calibri"/>
                <w:sz w:val="20"/>
              </w:rPr>
              <w:t>1</w:t>
            </w:r>
          </w:p>
        </w:tc>
        <w:tc>
          <w:tcPr>
            <w:tcW w:w="1579" w:type="dxa"/>
            <w:shd w:val="clear" w:color="auto" w:fill="auto"/>
            <w:vAlign w:val="center"/>
            <w:hideMark/>
          </w:tcPr>
          <w:p w14:paraId="0D94DA05" w14:textId="06BA8548" w:rsidR="00B34D22" w:rsidRPr="00EA30D7" w:rsidRDefault="00B34D22" w:rsidP="00B34D22">
            <w:pPr>
              <w:jc w:val="center"/>
              <w:rPr>
                <w:rFonts w:ascii="Calibri" w:hAnsi="Calibri" w:cs="Calibri"/>
                <w:sz w:val="20"/>
              </w:rPr>
            </w:pPr>
            <w:r w:rsidRPr="008376B0">
              <w:rPr>
                <w:rFonts w:ascii="Calibri" w:hAnsi="Calibri" w:cs="Calibri"/>
                <w:sz w:val="20"/>
              </w:rPr>
              <w:t>19%</w:t>
            </w:r>
          </w:p>
        </w:tc>
        <w:tc>
          <w:tcPr>
            <w:tcW w:w="1440" w:type="dxa"/>
            <w:shd w:val="clear" w:color="auto" w:fill="auto"/>
            <w:noWrap/>
            <w:vAlign w:val="center"/>
            <w:hideMark/>
          </w:tcPr>
          <w:p w14:paraId="227CA957" w14:textId="42475EEA" w:rsidR="00B34D22" w:rsidRPr="00EA30D7" w:rsidRDefault="00B34D22" w:rsidP="00B34D22">
            <w:pPr>
              <w:jc w:val="center"/>
              <w:rPr>
                <w:rFonts w:ascii="Calibri" w:hAnsi="Calibri" w:cs="Calibri"/>
                <w:sz w:val="20"/>
              </w:rPr>
            </w:pPr>
            <w:r w:rsidRPr="008376B0">
              <w:rPr>
                <w:rFonts w:ascii="Calibri" w:hAnsi="Calibri" w:cs="Calibri"/>
                <w:sz w:val="20"/>
              </w:rPr>
              <w:t>9</w:t>
            </w:r>
            <w:r w:rsidR="00903F4B">
              <w:rPr>
                <w:rFonts w:ascii="Calibri" w:hAnsi="Calibri" w:cs="Calibri"/>
                <w:sz w:val="20"/>
              </w:rPr>
              <w:t>7</w:t>
            </w:r>
          </w:p>
        </w:tc>
        <w:tc>
          <w:tcPr>
            <w:tcW w:w="1710" w:type="dxa"/>
            <w:shd w:val="clear" w:color="auto" w:fill="auto"/>
            <w:vAlign w:val="center"/>
            <w:hideMark/>
          </w:tcPr>
          <w:p w14:paraId="237938F0" w14:textId="3ADDD802" w:rsidR="00B34D22" w:rsidRPr="00EA30D7" w:rsidRDefault="00B34D22" w:rsidP="00B34D22">
            <w:pPr>
              <w:jc w:val="center"/>
              <w:rPr>
                <w:rFonts w:ascii="Calibri" w:hAnsi="Calibri" w:cs="Calibri"/>
                <w:sz w:val="20"/>
              </w:rPr>
            </w:pPr>
            <w:r w:rsidRPr="008376B0">
              <w:rPr>
                <w:rFonts w:ascii="Calibri" w:hAnsi="Calibri" w:cs="Calibri"/>
                <w:sz w:val="20"/>
              </w:rPr>
              <w:t>22%</w:t>
            </w:r>
          </w:p>
        </w:tc>
      </w:tr>
    </w:tbl>
    <w:p w14:paraId="1E8D93E5" w14:textId="040F3125" w:rsidR="00634B4C" w:rsidRPr="00634B4C" w:rsidRDefault="00634B4C" w:rsidP="0076039A">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02B3" w14:textId="77777777" w:rsidR="00F9083C" w:rsidRDefault="00F9083C" w:rsidP="00330467">
      <w:r>
        <w:separator/>
      </w:r>
    </w:p>
  </w:endnote>
  <w:endnote w:type="continuationSeparator" w:id="0">
    <w:p w14:paraId="41FC913D" w14:textId="77777777" w:rsidR="00F9083C" w:rsidRDefault="00F9083C" w:rsidP="00330467">
      <w:r>
        <w:continuationSeparator/>
      </w:r>
    </w:p>
  </w:endnote>
  <w:endnote w:type="continuationNotice" w:id="1">
    <w:p w14:paraId="288C6E08" w14:textId="77777777" w:rsidR="00F9083C" w:rsidRDefault="00F9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25573"/>
      <w:docPartObj>
        <w:docPartGallery w:val="Page Numbers (Bottom of Page)"/>
        <w:docPartUnique/>
      </w:docPartObj>
    </w:sdtPr>
    <w:sdtEndPr>
      <w:rPr>
        <w:noProof/>
      </w:rPr>
    </w:sdtEndPr>
    <w:sdtContent>
      <w:p w14:paraId="7866E9DD" w14:textId="383B5100" w:rsidR="00D7215E" w:rsidRDefault="00D7215E">
        <w:pPr>
          <w:pStyle w:val="Footer"/>
          <w:jc w:val="center"/>
        </w:pPr>
        <w:r>
          <w:fldChar w:fldCharType="begin"/>
        </w:r>
        <w:r>
          <w:instrText xml:space="preserve"> PAGE   \* MERGEFORMAT </w:instrText>
        </w:r>
        <w:r>
          <w:fldChar w:fldCharType="separate"/>
        </w:r>
        <w:r w:rsidR="00F371A9">
          <w:rPr>
            <w:noProof/>
          </w:rPr>
          <w:t>7</w:t>
        </w:r>
        <w:r>
          <w:rPr>
            <w:noProof/>
          </w:rPr>
          <w:fldChar w:fldCharType="end"/>
        </w:r>
      </w:p>
    </w:sdtContent>
  </w:sdt>
  <w:p w14:paraId="1AB6F49F" w14:textId="77777777" w:rsidR="00273646" w:rsidRDefault="0027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1026" w14:textId="77777777" w:rsidR="00F9083C" w:rsidRDefault="00F9083C" w:rsidP="00330467">
      <w:r>
        <w:separator/>
      </w:r>
    </w:p>
  </w:footnote>
  <w:footnote w:type="continuationSeparator" w:id="0">
    <w:p w14:paraId="1AB935FA" w14:textId="77777777" w:rsidR="00F9083C" w:rsidRDefault="00F9083C" w:rsidP="00330467">
      <w:r>
        <w:continuationSeparator/>
      </w:r>
    </w:p>
  </w:footnote>
  <w:footnote w:type="continuationNotice" w:id="1">
    <w:p w14:paraId="32CB20C1" w14:textId="77777777" w:rsidR="00F9083C" w:rsidRDefault="00F9083C"/>
  </w:footnote>
  <w:footnote w:id="2">
    <w:p w14:paraId="55F2C23A" w14:textId="77777777" w:rsidR="003916B6" w:rsidRDefault="003916B6" w:rsidP="003916B6">
      <w:pPr>
        <w:pStyle w:val="FootnoteText"/>
      </w:pPr>
      <w:r>
        <w:rPr>
          <w:rStyle w:val="FootnoteReference"/>
        </w:rPr>
        <w:footnoteRef/>
      </w:r>
      <w:r>
        <w:t xml:space="preserve"> </w:t>
      </w:r>
      <w:r w:rsidRPr="00EF04FD">
        <w:t>https://www3.epa.gov/pesticides/nas/revised/revised-method-march2020.pdf</w:t>
      </w:r>
      <w:r>
        <w:t xml:space="preserve"> </w:t>
      </w:r>
    </w:p>
  </w:footnote>
  <w:footnote w:id="3">
    <w:p w14:paraId="16072327" w14:textId="1ABB7C0C" w:rsidR="00FC707A" w:rsidRPr="002F5DE0" w:rsidRDefault="00FC707A" w:rsidP="00FC707A">
      <w:pPr>
        <w:rPr>
          <w:sz w:val="20"/>
          <w:szCs w:val="20"/>
        </w:rPr>
      </w:pPr>
      <w:r w:rsidRPr="002F5DE0">
        <w:rPr>
          <w:rStyle w:val="FootnoteReference"/>
          <w:sz w:val="20"/>
          <w:szCs w:val="20"/>
        </w:rPr>
        <w:footnoteRef/>
      </w:r>
      <w:r w:rsidRPr="002F5DE0">
        <w:rPr>
          <w:sz w:val="20"/>
          <w:szCs w:val="20"/>
        </w:rPr>
        <w:t xml:space="preserve"> Zhang, Y, Liu, S, Gu, J, </w:t>
      </w:r>
      <w:proofErr w:type="gramStart"/>
      <w:r w:rsidRPr="002F5DE0">
        <w:rPr>
          <w:sz w:val="20"/>
          <w:szCs w:val="20"/>
        </w:rPr>
        <w:t>Song,F</w:t>
      </w:r>
      <w:proofErr w:type="gramEnd"/>
      <w:r w:rsidRPr="002F5DE0">
        <w:rPr>
          <w:sz w:val="20"/>
          <w:szCs w:val="20"/>
        </w:rPr>
        <w:t xml:space="preserve">, Yao, X, Liu, Z. 2008. </w:t>
      </w:r>
      <w:r w:rsidR="00542E25">
        <w:rPr>
          <w:sz w:val="20"/>
          <w:szCs w:val="20"/>
        </w:rPr>
        <w:t>Clothianidin</w:t>
      </w:r>
      <w:r w:rsidRPr="002F5DE0">
        <w:rPr>
          <w:sz w:val="20"/>
          <w:szCs w:val="20"/>
        </w:rPr>
        <w:t xml:space="preserve"> acts as an antagonist on insect nicotinic acetylcholine receptor containing the Y151M mutation. Neuroscience Letters. 446:97– 100.</w:t>
      </w:r>
    </w:p>
  </w:footnote>
  <w:footnote w:id="4">
    <w:p w14:paraId="7E42B532" w14:textId="77777777" w:rsidR="00FC707A" w:rsidRPr="002F5DE0" w:rsidRDefault="00FC707A" w:rsidP="00FC707A">
      <w:pPr>
        <w:rPr>
          <w:sz w:val="20"/>
          <w:szCs w:val="20"/>
        </w:rPr>
      </w:pPr>
      <w:r w:rsidRPr="002F5DE0">
        <w:rPr>
          <w:rStyle w:val="FootnoteReference"/>
          <w:sz w:val="20"/>
          <w:szCs w:val="20"/>
        </w:rPr>
        <w:footnoteRef/>
      </w:r>
      <w:r w:rsidRPr="002F5DE0">
        <w:rPr>
          <w:sz w:val="20"/>
          <w:szCs w:val="20"/>
        </w:rPr>
        <w:t xml:space="preserve"> Tomizawa, M, Casida, J. 2005. Neonicotinoid insecticide toxicology: mechanisms of Selective Action. </w:t>
      </w:r>
    </w:p>
    <w:p w14:paraId="602E3493" w14:textId="77777777" w:rsidR="00FC707A" w:rsidRPr="002F5DE0" w:rsidRDefault="00FC707A" w:rsidP="00FC707A">
      <w:pPr>
        <w:rPr>
          <w:sz w:val="20"/>
          <w:szCs w:val="20"/>
        </w:rPr>
      </w:pPr>
      <w:r w:rsidRPr="002F5DE0">
        <w:rPr>
          <w:sz w:val="20"/>
          <w:szCs w:val="20"/>
        </w:rPr>
        <w:t>Annual Review of Pharmacology and Toxicology, 45, 247–268.</w:t>
      </w:r>
    </w:p>
  </w:footnote>
  <w:footnote w:id="5">
    <w:p w14:paraId="402EDD7A" w14:textId="0361899F" w:rsidR="00B9537B" w:rsidRPr="002F5DE0" w:rsidRDefault="00B9537B" w:rsidP="00B9537B">
      <w:pPr>
        <w:pStyle w:val="EndNoteBibliography"/>
        <w:ind w:left="720" w:hanging="720"/>
        <w:rPr>
          <w:i/>
          <w:iCs/>
          <w:sz w:val="20"/>
          <w:szCs w:val="20"/>
        </w:rPr>
      </w:pPr>
      <w:r w:rsidRPr="002F5DE0">
        <w:rPr>
          <w:rStyle w:val="FootnoteReference"/>
          <w:sz w:val="20"/>
          <w:szCs w:val="20"/>
        </w:rPr>
        <w:footnoteRef/>
      </w:r>
      <w:r w:rsidRPr="002F5DE0">
        <w:rPr>
          <w:sz w:val="20"/>
          <w:szCs w:val="20"/>
        </w:rPr>
        <w:t xml:space="preserve"> </w:t>
      </w:r>
      <w:r w:rsidRPr="002F5DE0">
        <w:rPr>
          <w:i/>
          <w:iCs/>
          <w:sz w:val="20"/>
          <w:szCs w:val="20"/>
        </w:rPr>
        <w:t>Clothianidin – Transmittal of the Preliminary Aquatic and Non-Pollinator Terrestrial Risk Assessments to</w:t>
      </w:r>
    </w:p>
    <w:p w14:paraId="60F36FE1" w14:textId="77777777" w:rsidR="00B9537B" w:rsidRPr="002F5DE0" w:rsidRDefault="00B9537B" w:rsidP="00B9537B">
      <w:pPr>
        <w:pStyle w:val="EndNoteBibliography"/>
        <w:ind w:left="720" w:hanging="720"/>
        <w:rPr>
          <w:sz w:val="20"/>
          <w:szCs w:val="20"/>
        </w:rPr>
      </w:pPr>
      <w:r w:rsidRPr="002F5DE0">
        <w:rPr>
          <w:i/>
          <w:iCs/>
          <w:sz w:val="20"/>
          <w:szCs w:val="20"/>
        </w:rPr>
        <w:t xml:space="preserve">   Support Registration Review</w:t>
      </w:r>
      <w:r w:rsidRPr="002F5DE0">
        <w:rPr>
          <w:sz w:val="20"/>
          <w:szCs w:val="20"/>
        </w:rPr>
        <w:t xml:space="preserve">. Environmental Protection Agency, Office of Pesticide Programs, Environmental </w:t>
      </w:r>
    </w:p>
    <w:p w14:paraId="0EFC042E" w14:textId="1A8DE84E" w:rsidR="00B9537B" w:rsidRPr="002F5DE0" w:rsidRDefault="00B9537B" w:rsidP="002F5DE0">
      <w:pPr>
        <w:pStyle w:val="EndNoteBibliography"/>
        <w:ind w:left="720" w:hanging="720"/>
        <w:rPr>
          <w:sz w:val="20"/>
          <w:szCs w:val="20"/>
        </w:rPr>
      </w:pPr>
      <w:r w:rsidRPr="002F5DE0">
        <w:rPr>
          <w:i/>
          <w:iCs/>
          <w:sz w:val="20"/>
          <w:szCs w:val="20"/>
        </w:rPr>
        <w:t xml:space="preserve">   </w:t>
      </w:r>
      <w:r w:rsidRPr="002F5DE0">
        <w:rPr>
          <w:sz w:val="20"/>
          <w:szCs w:val="20"/>
        </w:rPr>
        <w:t>Fate and Effects Division, November 27, 2017.</w:t>
      </w:r>
    </w:p>
  </w:footnote>
  <w:footnote w:id="6">
    <w:p w14:paraId="7170BD37" w14:textId="051F0F20" w:rsidR="00B9537B" w:rsidRPr="002F5DE0" w:rsidRDefault="00B9537B" w:rsidP="00957545">
      <w:pPr>
        <w:pStyle w:val="EndNoteBibliography"/>
        <w:ind w:left="90" w:hanging="90"/>
        <w:rPr>
          <w:i/>
          <w:iCs/>
          <w:sz w:val="20"/>
          <w:szCs w:val="20"/>
        </w:rPr>
      </w:pPr>
      <w:r w:rsidRPr="002F5DE0">
        <w:rPr>
          <w:rStyle w:val="FootnoteReference"/>
          <w:sz w:val="20"/>
          <w:szCs w:val="20"/>
        </w:rPr>
        <w:footnoteRef/>
      </w:r>
      <w:r w:rsidRPr="002F5DE0">
        <w:rPr>
          <w:sz w:val="20"/>
          <w:szCs w:val="20"/>
        </w:rPr>
        <w:t xml:space="preserve"> </w:t>
      </w:r>
      <w:r w:rsidRPr="002F5DE0">
        <w:rPr>
          <w:i/>
          <w:iCs/>
          <w:sz w:val="20"/>
          <w:szCs w:val="20"/>
        </w:rPr>
        <w:t>Clothianidin Non-pollinator Addendum and Chenical-specific Response to Comments for Public Comments Received on the Registration Review Preliminary Pollinator and Preliminary Non-pollinator Risk Assessments.</w:t>
      </w:r>
      <w:r w:rsidRPr="002F5DE0">
        <w:rPr>
          <w:sz w:val="20"/>
          <w:szCs w:val="20"/>
        </w:rPr>
        <w:t xml:space="preserve"> Environmental Protection Agency, Office of Pesticide Programs, Environmental Fate and Effects Division, January </w:t>
      </w:r>
      <w:r w:rsidR="00957545" w:rsidRPr="002F5DE0">
        <w:rPr>
          <w:sz w:val="20"/>
          <w:szCs w:val="20"/>
        </w:rPr>
        <w:t>8</w:t>
      </w:r>
      <w:r w:rsidRPr="002F5DE0">
        <w:rPr>
          <w:sz w:val="20"/>
          <w:szCs w:val="20"/>
        </w:rPr>
        <w:t>, 2020.</w:t>
      </w:r>
    </w:p>
    <w:p w14:paraId="0D17D8BA" w14:textId="77777777" w:rsidR="00B9537B" w:rsidRDefault="00B9537B" w:rsidP="00B9537B">
      <w:pPr>
        <w:pStyle w:val="FootnoteText"/>
      </w:pPr>
    </w:p>
  </w:footnote>
  <w:footnote w:id="7">
    <w:p w14:paraId="5F0D0456" w14:textId="4FAC842D" w:rsidR="00273646" w:rsidRDefault="00273646"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1" w:history="1">
        <w:r w:rsidRPr="000C244B">
          <w:t>https://www.epa.gov/pesticide-science-and-assessing-pesticide-risks/models-pesticide-risk-assessment</w:t>
        </w:r>
      </w:hyperlink>
    </w:p>
  </w:footnote>
  <w:footnote w:id="8">
    <w:p w14:paraId="07B07D7D" w14:textId="1927F44F" w:rsidR="00A54A79" w:rsidRDefault="00A54A79">
      <w:pPr>
        <w:pStyle w:val="FootnoteText"/>
      </w:pPr>
      <w:r>
        <w:rPr>
          <w:rStyle w:val="FootnoteReference"/>
        </w:rPr>
        <w:footnoteRef/>
      </w:r>
      <w:r>
        <w:t xml:space="preserve"> NE = No effect. MA = May affect. NLAA = Not likely to adversely affect. LAA = Likely to adversely affect.</w:t>
      </w:r>
    </w:p>
  </w:footnote>
  <w:footnote w:id="9">
    <w:p w14:paraId="3175864C" w14:textId="6E0C2515" w:rsidR="003916B6" w:rsidRDefault="003916B6">
      <w:pPr>
        <w:pStyle w:val="FootnoteText"/>
      </w:pPr>
      <w:r>
        <w:rPr>
          <w:rStyle w:val="FootnoteReference"/>
        </w:rPr>
        <w:footnoteRef/>
      </w:r>
      <w:r>
        <w:t xml:space="preserve"> Available at: </w:t>
      </w:r>
      <w:hyperlink r:id="rId2"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CfgIOv8uTyCPUdYqUnnULRctQoEyPXmT2LWfclf3FKZuwinozBSxHNMukarsDqBAIVV//IaZDTrIUatiQil0Q==" w:salt="lgGRCCN1vw3rU+sukvoEFQ=="/>
  <w:defaultTabStop w:val="720"/>
  <w:doNotShadeFormData/>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1555"/>
    <w:rsid w:val="0002673C"/>
    <w:rsid w:val="000324E8"/>
    <w:rsid w:val="00033AAD"/>
    <w:rsid w:val="00033DB4"/>
    <w:rsid w:val="000347EF"/>
    <w:rsid w:val="000446F0"/>
    <w:rsid w:val="000470DD"/>
    <w:rsid w:val="000500CD"/>
    <w:rsid w:val="00052A71"/>
    <w:rsid w:val="000563AF"/>
    <w:rsid w:val="00064C5B"/>
    <w:rsid w:val="00065954"/>
    <w:rsid w:val="000677AA"/>
    <w:rsid w:val="000707E4"/>
    <w:rsid w:val="00073359"/>
    <w:rsid w:val="00073594"/>
    <w:rsid w:val="00074FBE"/>
    <w:rsid w:val="000807D9"/>
    <w:rsid w:val="000829C5"/>
    <w:rsid w:val="00083B6C"/>
    <w:rsid w:val="00084977"/>
    <w:rsid w:val="00084AB7"/>
    <w:rsid w:val="00086AA1"/>
    <w:rsid w:val="00092FF0"/>
    <w:rsid w:val="000A1407"/>
    <w:rsid w:val="000A4725"/>
    <w:rsid w:val="000A575F"/>
    <w:rsid w:val="000B334D"/>
    <w:rsid w:val="000B4CBE"/>
    <w:rsid w:val="000C244B"/>
    <w:rsid w:val="000C2F82"/>
    <w:rsid w:val="000C6A3E"/>
    <w:rsid w:val="000D2F44"/>
    <w:rsid w:val="000D4CAA"/>
    <w:rsid w:val="000D667D"/>
    <w:rsid w:val="000D6870"/>
    <w:rsid w:val="000D7D0E"/>
    <w:rsid w:val="000E309A"/>
    <w:rsid w:val="000E6928"/>
    <w:rsid w:val="000F2DC8"/>
    <w:rsid w:val="000F3AF7"/>
    <w:rsid w:val="000F4327"/>
    <w:rsid w:val="0010233C"/>
    <w:rsid w:val="00111382"/>
    <w:rsid w:val="00122436"/>
    <w:rsid w:val="00122E66"/>
    <w:rsid w:val="001232B3"/>
    <w:rsid w:val="00126F63"/>
    <w:rsid w:val="001311E9"/>
    <w:rsid w:val="0013472B"/>
    <w:rsid w:val="00134B79"/>
    <w:rsid w:val="00140F58"/>
    <w:rsid w:val="0014269E"/>
    <w:rsid w:val="00143F04"/>
    <w:rsid w:val="001466FC"/>
    <w:rsid w:val="001521D1"/>
    <w:rsid w:val="00154BDA"/>
    <w:rsid w:val="00160A09"/>
    <w:rsid w:val="00160CD1"/>
    <w:rsid w:val="00161E12"/>
    <w:rsid w:val="0016247A"/>
    <w:rsid w:val="00171173"/>
    <w:rsid w:val="0017152A"/>
    <w:rsid w:val="00171E4D"/>
    <w:rsid w:val="001726C9"/>
    <w:rsid w:val="00174FFA"/>
    <w:rsid w:val="001813A9"/>
    <w:rsid w:val="00186168"/>
    <w:rsid w:val="00187845"/>
    <w:rsid w:val="00190605"/>
    <w:rsid w:val="0019177D"/>
    <w:rsid w:val="001926CA"/>
    <w:rsid w:val="00192708"/>
    <w:rsid w:val="00196F6C"/>
    <w:rsid w:val="001A3C45"/>
    <w:rsid w:val="001A40B9"/>
    <w:rsid w:val="001A4F5C"/>
    <w:rsid w:val="001B30FB"/>
    <w:rsid w:val="001C2986"/>
    <w:rsid w:val="001C3796"/>
    <w:rsid w:val="001C387E"/>
    <w:rsid w:val="001C4866"/>
    <w:rsid w:val="001C6B2E"/>
    <w:rsid w:val="001C75EE"/>
    <w:rsid w:val="001D451C"/>
    <w:rsid w:val="001D4536"/>
    <w:rsid w:val="001D4EB7"/>
    <w:rsid w:val="001D504C"/>
    <w:rsid w:val="001E5734"/>
    <w:rsid w:val="001F099E"/>
    <w:rsid w:val="001F2E23"/>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43DDB"/>
    <w:rsid w:val="0025055B"/>
    <w:rsid w:val="00251B86"/>
    <w:rsid w:val="00253286"/>
    <w:rsid w:val="002636EB"/>
    <w:rsid w:val="0026396F"/>
    <w:rsid w:val="0026517A"/>
    <w:rsid w:val="00266071"/>
    <w:rsid w:val="00267E9F"/>
    <w:rsid w:val="002716A0"/>
    <w:rsid w:val="00273646"/>
    <w:rsid w:val="00274175"/>
    <w:rsid w:val="002825F5"/>
    <w:rsid w:val="0028493E"/>
    <w:rsid w:val="00291476"/>
    <w:rsid w:val="002A269E"/>
    <w:rsid w:val="002A59CB"/>
    <w:rsid w:val="002B275B"/>
    <w:rsid w:val="002B49A3"/>
    <w:rsid w:val="002B59D7"/>
    <w:rsid w:val="002C07E5"/>
    <w:rsid w:val="002C2ECC"/>
    <w:rsid w:val="002C401D"/>
    <w:rsid w:val="002C4CFD"/>
    <w:rsid w:val="002C5413"/>
    <w:rsid w:val="002D139E"/>
    <w:rsid w:val="002D2A52"/>
    <w:rsid w:val="002D7CF9"/>
    <w:rsid w:val="002E01CF"/>
    <w:rsid w:val="002E4092"/>
    <w:rsid w:val="002F0C39"/>
    <w:rsid w:val="002F0ED3"/>
    <w:rsid w:val="002F4C76"/>
    <w:rsid w:val="002F5578"/>
    <w:rsid w:val="002F5DE0"/>
    <w:rsid w:val="002F6F7A"/>
    <w:rsid w:val="00303446"/>
    <w:rsid w:val="00303775"/>
    <w:rsid w:val="00303C39"/>
    <w:rsid w:val="00304D29"/>
    <w:rsid w:val="00310D68"/>
    <w:rsid w:val="00310F57"/>
    <w:rsid w:val="00312480"/>
    <w:rsid w:val="00312DD7"/>
    <w:rsid w:val="003177C9"/>
    <w:rsid w:val="00323F48"/>
    <w:rsid w:val="0033021F"/>
    <w:rsid w:val="00330467"/>
    <w:rsid w:val="00330580"/>
    <w:rsid w:val="003325FE"/>
    <w:rsid w:val="003415BC"/>
    <w:rsid w:val="0035065E"/>
    <w:rsid w:val="0035147F"/>
    <w:rsid w:val="00351C75"/>
    <w:rsid w:val="0035312E"/>
    <w:rsid w:val="00353477"/>
    <w:rsid w:val="00354E8A"/>
    <w:rsid w:val="003570BE"/>
    <w:rsid w:val="003625CA"/>
    <w:rsid w:val="0037205B"/>
    <w:rsid w:val="00374D1B"/>
    <w:rsid w:val="00376484"/>
    <w:rsid w:val="003819F0"/>
    <w:rsid w:val="003873C0"/>
    <w:rsid w:val="003916B6"/>
    <w:rsid w:val="00391D18"/>
    <w:rsid w:val="00393A4D"/>
    <w:rsid w:val="003A5FA6"/>
    <w:rsid w:val="003A6483"/>
    <w:rsid w:val="003B252C"/>
    <w:rsid w:val="003B2CCB"/>
    <w:rsid w:val="003B4B31"/>
    <w:rsid w:val="003B4B69"/>
    <w:rsid w:val="003B5F9B"/>
    <w:rsid w:val="003B6C80"/>
    <w:rsid w:val="003B6FF6"/>
    <w:rsid w:val="003C3423"/>
    <w:rsid w:val="003C6E81"/>
    <w:rsid w:val="003D3716"/>
    <w:rsid w:val="003D3A62"/>
    <w:rsid w:val="003D63A9"/>
    <w:rsid w:val="003D74AE"/>
    <w:rsid w:val="003E55A5"/>
    <w:rsid w:val="003F0BF1"/>
    <w:rsid w:val="003F60A7"/>
    <w:rsid w:val="003F770C"/>
    <w:rsid w:val="0040084F"/>
    <w:rsid w:val="00415354"/>
    <w:rsid w:val="00415D0E"/>
    <w:rsid w:val="00416CC9"/>
    <w:rsid w:val="00421756"/>
    <w:rsid w:val="0042226C"/>
    <w:rsid w:val="00422A85"/>
    <w:rsid w:val="00424A3F"/>
    <w:rsid w:val="0043262D"/>
    <w:rsid w:val="00433D9E"/>
    <w:rsid w:val="004344EE"/>
    <w:rsid w:val="00437D68"/>
    <w:rsid w:val="004406B5"/>
    <w:rsid w:val="004406D6"/>
    <w:rsid w:val="00441872"/>
    <w:rsid w:val="00442D91"/>
    <w:rsid w:val="0044391F"/>
    <w:rsid w:val="00445B71"/>
    <w:rsid w:val="0045224D"/>
    <w:rsid w:val="00457E1B"/>
    <w:rsid w:val="00460F1E"/>
    <w:rsid w:val="00465462"/>
    <w:rsid w:val="00466923"/>
    <w:rsid w:val="004669A2"/>
    <w:rsid w:val="00467636"/>
    <w:rsid w:val="00467DA9"/>
    <w:rsid w:val="00467F27"/>
    <w:rsid w:val="00474A82"/>
    <w:rsid w:val="00474F88"/>
    <w:rsid w:val="00477FD7"/>
    <w:rsid w:val="00480C4A"/>
    <w:rsid w:val="00483026"/>
    <w:rsid w:val="004861E1"/>
    <w:rsid w:val="00486AA8"/>
    <w:rsid w:val="00487A73"/>
    <w:rsid w:val="004A40CE"/>
    <w:rsid w:val="004A7BBB"/>
    <w:rsid w:val="004B4A43"/>
    <w:rsid w:val="004B6CC4"/>
    <w:rsid w:val="004B7AC3"/>
    <w:rsid w:val="004C15A5"/>
    <w:rsid w:val="004C5553"/>
    <w:rsid w:val="004C5C58"/>
    <w:rsid w:val="004C66F1"/>
    <w:rsid w:val="004D0F93"/>
    <w:rsid w:val="004D1BDC"/>
    <w:rsid w:val="004E026F"/>
    <w:rsid w:val="004E2E0F"/>
    <w:rsid w:val="004E3D6B"/>
    <w:rsid w:val="004F3CBE"/>
    <w:rsid w:val="004F5B7D"/>
    <w:rsid w:val="004F5CED"/>
    <w:rsid w:val="004F7FAF"/>
    <w:rsid w:val="00504FC6"/>
    <w:rsid w:val="00507E9A"/>
    <w:rsid w:val="005235EC"/>
    <w:rsid w:val="00525490"/>
    <w:rsid w:val="005267CA"/>
    <w:rsid w:val="00542D42"/>
    <w:rsid w:val="00542E25"/>
    <w:rsid w:val="00545971"/>
    <w:rsid w:val="00546A2E"/>
    <w:rsid w:val="00546DD1"/>
    <w:rsid w:val="00550153"/>
    <w:rsid w:val="005556FD"/>
    <w:rsid w:val="00555EFB"/>
    <w:rsid w:val="005632D1"/>
    <w:rsid w:val="0056475E"/>
    <w:rsid w:val="005721BD"/>
    <w:rsid w:val="00574444"/>
    <w:rsid w:val="005760B5"/>
    <w:rsid w:val="00577C53"/>
    <w:rsid w:val="005807A5"/>
    <w:rsid w:val="00580A2F"/>
    <w:rsid w:val="005837A9"/>
    <w:rsid w:val="00585018"/>
    <w:rsid w:val="005949FD"/>
    <w:rsid w:val="00596AC4"/>
    <w:rsid w:val="005A0539"/>
    <w:rsid w:val="005A2C5D"/>
    <w:rsid w:val="005A3384"/>
    <w:rsid w:val="005A7E2E"/>
    <w:rsid w:val="005B5236"/>
    <w:rsid w:val="005B73D0"/>
    <w:rsid w:val="005C180C"/>
    <w:rsid w:val="005C4C21"/>
    <w:rsid w:val="005C5690"/>
    <w:rsid w:val="005D04D6"/>
    <w:rsid w:val="005D1BFA"/>
    <w:rsid w:val="005E3D9A"/>
    <w:rsid w:val="005E521C"/>
    <w:rsid w:val="005E53CB"/>
    <w:rsid w:val="005E72B7"/>
    <w:rsid w:val="006008C7"/>
    <w:rsid w:val="00607C24"/>
    <w:rsid w:val="0061209B"/>
    <w:rsid w:val="006123E4"/>
    <w:rsid w:val="00613A27"/>
    <w:rsid w:val="00614514"/>
    <w:rsid w:val="0061478A"/>
    <w:rsid w:val="006153F1"/>
    <w:rsid w:val="00615933"/>
    <w:rsid w:val="00615B53"/>
    <w:rsid w:val="00623D7B"/>
    <w:rsid w:val="00624D1B"/>
    <w:rsid w:val="0062526A"/>
    <w:rsid w:val="00631002"/>
    <w:rsid w:val="00634B4C"/>
    <w:rsid w:val="00637D92"/>
    <w:rsid w:val="00641ABE"/>
    <w:rsid w:val="00645EC3"/>
    <w:rsid w:val="00653ADF"/>
    <w:rsid w:val="006544B5"/>
    <w:rsid w:val="006722F0"/>
    <w:rsid w:val="00672413"/>
    <w:rsid w:val="00673C2B"/>
    <w:rsid w:val="00674268"/>
    <w:rsid w:val="00675167"/>
    <w:rsid w:val="006837D9"/>
    <w:rsid w:val="00690822"/>
    <w:rsid w:val="006A2247"/>
    <w:rsid w:val="006A445C"/>
    <w:rsid w:val="006B2641"/>
    <w:rsid w:val="006B26A2"/>
    <w:rsid w:val="006B5C3A"/>
    <w:rsid w:val="006B7254"/>
    <w:rsid w:val="006C026D"/>
    <w:rsid w:val="006C1B49"/>
    <w:rsid w:val="006C74EC"/>
    <w:rsid w:val="006D0523"/>
    <w:rsid w:val="006D607A"/>
    <w:rsid w:val="006D75E4"/>
    <w:rsid w:val="006E289F"/>
    <w:rsid w:val="006E464C"/>
    <w:rsid w:val="006F013E"/>
    <w:rsid w:val="006F28F5"/>
    <w:rsid w:val="006F4EA6"/>
    <w:rsid w:val="006F62E6"/>
    <w:rsid w:val="00706F74"/>
    <w:rsid w:val="00714D28"/>
    <w:rsid w:val="007166BF"/>
    <w:rsid w:val="00716C94"/>
    <w:rsid w:val="0071784E"/>
    <w:rsid w:val="007179AF"/>
    <w:rsid w:val="00717C3E"/>
    <w:rsid w:val="00720C1B"/>
    <w:rsid w:val="00722DCA"/>
    <w:rsid w:val="007256EF"/>
    <w:rsid w:val="00733A4C"/>
    <w:rsid w:val="007400FE"/>
    <w:rsid w:val="00743F08"/>
    <w:rsid w:val="007505C3"/>
    <w:rsid w:val="007527F8"/>
    <w:rsid w:val="0076039A"/>
    <w:rsid w:val="00761978"/>
    <w:rsid w:val="007655CF"/>
    <w:rsid w:val="007667F0"/>
    <w:rsid w:val="007738C2"/>
    <w:rsid w:val="0077570A"/>
    <w:rsid w:val="00775F47"/>
    <w:rsid w:val="00777D4D"/>
    <w:rsid w:val="00783261"/>
    <w:rsid w:val="00783B1B"/>
    <w:rsid w:val="00784B2B"/>
    <w:rsid w:val="00785131"/>
    <w:rsid w:val="00791137"/>
    <w:rsid w:val="007917C1"/>
    <w:rsid w:val="00794C5D"/>
    <w:rsid w:val="007A47BE"/>
    <w:rsid w:val="007A6A83"/>
    <w:rsid w:val="007B16CA"/>
    <w:rsid w:val="007B590C"/>
    <w:rsid w:val="007B79A6"/>
    <w:rsid w:val="007B7CA3"/>
    <w:rsid w:val="007C0A56"/>
    <w:rsid w:val="007C0A6E"/>
    <w:rsid w:val="007C274A"/>
    <w:rsid w:val="007D6193"/>
    <w:rsid w:val="007E1321"/>
    <w:rsid w:val="007E5095"/>
    <w:rsid w:val="007E6AE0"/>
    <w:rsid w:val="007E7809"/>
    <w:rsid w:val="007F332A"/>
    <w:rsid w:val="007F779A"/>
    <w:rsid w:val="00802603"/>
    <w:rsid w:val="00804152"/>
    <w:rsid w:val="008079BF"/>
    <w:rsid w:val="00807C1C"/>
    <w:rsid w:val="00816821"/>
    <w:rsid w:val="008204F8"/>
    <w:rsid w:val="00822B4E"/>
    <w:rsid w:val="00822E4E"/>
    <w:rsid w:val="00824B8D"/>
    <w:rsid w:val="0082687E"/>
    <w:rsid w:val="008322C6"/>
    <w:rsid w:val="00836465"/>
    <w:rsid w:val="008409A0"/>
    <w:rsid w:val="008506C0"/>
    <w:rsid w:val="00851281"/>
    <w:rsid w:val="00857BF5"/>
    <w:rsid w:val="008607F5"/>
    <w:rsid w:val="00861834"/>
    <w:rsid w:val="00861A28"/>
    <w:rsid w:val="00867F6F"/>
    <w:rsid w:val="00870924"/>
    <w:rsid w:val="008722AF"/>
    <w:rsid w:val="00872545"/>
    <w:rsid w:val="00875818"/>
    <w:rsid w:val="00877954"/>
    <w:rsid w:val="00886C2F"/>
    <w:rsid w:val="00890ADD"/>
    <w:rsid w:val="00893971"/>
    <w:rsid w:val="00893E03"/>
    <w:rsid w:val="00896EBA"/>
    <w:rsid w:val="008A3BF6"/>
    <w:rsid w:val="008A4BA2"/>
    <w:rsid w:val="008C01AA"/>
    <w:rsid w:val="008C5566"/>
    <w:rsid w:val="008D1C96"/>
    <w:rsid w:val="008D3F6A"/>
    <w:rsid w:val="008D449E"/>
    <w:rsid w:val="008F32E8"/>
    <w:rsid w:val="008F3EFA"/>
    <w:rsid w:val="008F4386"/>
    <w:rsid w:val="008F51AB"/>
    <w:rsid w:val="008F522B"/>
    <w:rsid w:val="0090266C"/>
    <w:rsid w:val="00903F4B"/>
    <w:rsid w:val="00916F11"/>
    <w:rsid w:val="009174AE"/>
    <w:rsid w:val="009231AB"/>
    <w:rsid w:val="00923AD3"/>
    <w:rsid w:val="00925B29"/>
    <w:rsid w:val="009269B6"/>
    <w:rsid w:val="00930D5F"/>
    <w:rsid w:val="009325C0"/>
    <w:rsid w:val="00932D15"/>
    <w:rsid w:val="009341F6"/>
    <w:rsid w:val="00937150"/>
    <w:rsid w:val="00943861"/>
    <w:rsid w:val="00957545"/>
    <w:rsid w:val="009630C0"/>
    <w:rsid w:val="00966889"/>
    <w:rsid w:val="00971428"/>
    <w:rsid w:val="00972637"/>
    <w:rsid w:val="009737F7"/>
    <w:rsid w:val="00982D77"/>
    <w:rsid w:val="0098319A"/>
    <w:rsid w:val="00984AC9"/>
    <w:rsid w:val="00992533"/>
    <w:rsid w:val="00994F37"/>
    <w:rsid w:val="0099729A"/>
    <w:rsid w:val="009A5892"/>
    <w:rsid w:val="009B24AE"/>
    <w:rsid w:val="009C04B2"/>
    <w:rsid w:val="009C68AE"/>
    <w:rsid w:val="009D0AE4"/>
    <w:rsid w:val="009D27B5"/>
    <w:rsid w:val="009D72A8"/>
    <w:rsid w:val="009E419B"/>
    <w:rsid w:val="009F23D5"/>
    <w:rsid w:val="009F34B8"/>
    <w:rsid w:val="00A00EE6"/>
    <w:rsid w:val="00A028B8"/>
    <w:rsid w:val="00A02B04"/>
    <w:rsid w:val="00A048A0"/>
    <w:rsid w:val="00A05EF2"/>
    <w:rsid w:val="00A06212"/>
    <w:rsid w:val="00A0790B"/>
    <w:rsid w:val="00A15140"/>
    <w:rsid w:val="00A157DD"/>
    <w:rsid w:val="00A20A15"/>
    <w:rsid w:val="00A217A1"/>
    <w:rsid w:val="00A250EC"/>
    <w:rsid w:val="00A2710C"/>
    <w:rsid w:val="00A27315"/>
    <w:rsid w:val="00A309AC"/>
    <w:rsid w:val="00A34D82"/>
    <w:rsid w:val="00A4112C"/>
    <w:rsid w:val="00A47034"/>
    <w:rsid w:val="00A47677"/>
    <w:rsid w:val="00A52C4E"/>
    <w:rsid w:val="00A54A79"/>
    <w:rsid w:val="00A6266E"/>
    <w:rsid w:val="00A63BEF"/>
    <w:rsid w:val="00A64A60"/>
    <w:rsid w:val="00A64CC1"/>
    <w:rsid w:val="00A667A2"/>
    <w:rsid w:val="00A6786A"/>
    <w:rsid w:val="00A70322"/>
    <w:rsid w:val="00A70773"/>
    <w:rsid w:val="00A77024"/>
    <w:rsid w:val="00A80427"/>
    <w:rsid w:val="00A81875"/>
    <w:rsid w:val="00A84162"/>
    <w:rsid w:val="00A87C73"/>
    <w:rsid w:val="00A9031B"/>
    <w:rsid w:val="00A914B5"/>
    <w:rsid w:val="00A918B9"/>
    <w:rsid w:val="00A953F6"/>
    <w:rsid w:val="00A95B31"/>
    <w:rsid w:val="00AA06FB"/>
    <w:rsid w:val="00AB5B88"/>
    <w:rsid w:val="00AB7C89"/>
    <w:rsid w:val="00AD0553"/>
    <w:rsid w:val="00AD4289"/>
    <w:rsid w:val="00AD4BC2"/>
    <w:rsid w:val="00AD5886"/>
    <w:rsid w:val="00AD6291"/>
    <w:rsid w:val="00AE15F1"/>
    <w:rsid w:val="00AE52D0"/>
    <w:rsid w:val="00AF1780"/>
    <w:rsid w:val="00AF46D5"/>
    <w:rsid w:val="00AF4B48"/>
    <w:rsid w:val="00AF4EE9"/>
    <w:rsid w:val="00B001CB"/>
    <w:rsid w:val="00B00553"/>
    <w:rsid w:val="00B01CB2"/>
    <w:rsid w:val="00B01EBB"/>
    <w:rsid w:val="00B04AA7"/>
    <w:rsid w:val="00B14677"/>
    <w:rsid w:val="00B14E21"/>
    <w:rsid w:val="00B1575D"/>
    <w:rsid w:val="00B25DA0"/>
    <w:rsid w:val="00B32975"/>
    <w:rsid w:val="00B32F80"/>
    <w:rsid w:val="00B34D22"/>
    <w:rsid w:val="00B36A79"/>
    <w:rsid w:val="00B408AC"/>
    <w:rsid w:val="00B41EAE"/>
    <w:rsid w:val="00B436BE"/>
    <w:rsid w:val="00B50795"/>
    <w:rsid w:val="00B732A0"/>
    <w:rsid w:val="00B771CB"/>
    <w:rsid w:val="00B77EA4"/>
    <w:rsid w:val="00B821D2"/>
    <w:rsid w:val="00B83A28"/>
    <w:rsid w:val="00B85C2A"/>
    <w:rsid w:val="00B91F3F"/>
    <w:rsid w:val="00B932FF"/>
    <w:rsid w:val="00B9537B"/>
    <w:rsid w:val="00BA5F89"/>
    <w:rsid w:val="00BB0C2D"/>
    <w:rsid w:val="00BB4937"/>
    <w:rsid w:val="00BB517C"/>
    <w:rsid w:val="00BB5F7C"/>
    <w:rsid w:val="00BB7507"/>
    <w:rsid w:val="00BC1486"/>
    <w:rsid w:val="00BC7456"/>
    <w:rsid w:val="00BC793B"/>
    <w:rsid w:val="00BC7AF6"/>
    <w:rsid w:val="00BD5C3E"/>
    <w:rsid w:val="00BD61C4"/>
    <w:rsid w:val="00BE2EE3"/>
    <w:rsid w:val="00BE2F82"/>
    <w:rsid w:val="00BE70F9"/>
    <w:rsid w:val="00BE7466"/>
    <w:rsid w:val="00BF577E"/>
    <w:rsid w:val="00C01C9E"/>
    <w:rsid w:val="00C01E44"/>
    <w:rsid w:val="00C056AC"/>
    <w:rsid w:val="00C06BE5"/>
    <w:rsid w:val="00C1079F"/>
    <w:rsid w:val="00C13650"/>
    <w:rsid w:val="00C157C7"/>
    <w:rsid w:val="00C17A63"/>
    <w:rsid w:val="00C20F1A"/>
    <w:rsid w:val="00C21087"/>
    <w:rsid w:val="00C22250"/>
    <w:rsid w:val="00C227C7"/>
    <w:rsid w:val="00C2703F"/>
    <w:rsid w:val="00C3016B"/>
    <w:rsid w:val="00C31041"/>
    <w:rsid w:val="00C33B53"/>
    <w:rsid w:val="00C340DE"/>
    <w:rsid w:val="00C40778"/>
    <w:rsid w:val="00C41195"/>
    <w:rsid w:val="00C41D89"/>
    <w:rsid w:val="00C5619C"/>
    <w:rsid w:val="00C57F9E"/>
    <w:rsid w:val="00C633D9"/>
    <w:rsid w:val="00C663E3"/>
    <w:rsid w:val="00C6B454"/>
    <w:rsid w:val="00C700FB"/>
    <w:rsid w:val="00C72EBE"/>
    <w:rsid w:val="00C74F6B"/>
    <w:rsid w:val="00C7543E"/>
    <w:rsid w:val="00C7566C"/>
    <w:rsid w:val="00C76A8B"/>
    <w:rsid w:val="00C8016A"/>
    <w:rsid w:val="00C8066C"/>
    <w:rsid w:val="00C82074"/>
    <w:rsid w:val="00C823F4"/>
    <w:rsid w:val="00C852DC"/>
    <w:rsid w:val="00C85ED0"/>
    <w:rsid w:val="00C932E3"/>
    <w:rsid w:val="00C9564C"/>
    <w:rsid w:val="00CA023E"/>
    <w:rsid w:val="00CA3472"/>
    <w:rsid w:val="00CA4CDB"/>
    <w:rsid w:val="00CB23DA"/>
    <w:rsid w:val="00CC2634"/>
    <w:rsid w:val="00CC3277"/>
    <w:rsid w:val="00CC3A60"/>
    <w:rsid w:val="00CC3B65"/>
    <w:rsid w:val="00CC5A0F"/>
    <w:rsid w:val="00CC664F"/>
    <w:rsid w:val="00CD3692"/>
    <w:rsid w:val="00CD6E03"/>
    <w:rsid w:val="00CE0987"/>
    <w:rsid w:val="00CE1C66"/>
    <w:rsid w:val="00CE2FDF"/>
    <w:rsid w:val="00CE3D42"/>
    <w:rsid w:val="00CE643E"/>
    <w:rsid w:val="00CF1313"/>
    <w:rsid w:val="00CF21A2"/>
    <w:rsid w:val="00CF3F0F"/>
    <w:rsid w:val="00CF48EB"/>
    <w:rsid w:val="00D021E3"/>
    <w:rsid w:val="00D026F3"/>
    <w:rsid w:val="00D10797"/>
    <w:rsid w:val="00D112E7"/>
    <w:rsid w:val="00D1256E"/>
    <w:rsid w:val="00D12DB0"/>
    <w:rsid w:val="00D15940"/>
    <w:rsid w:val="00D15DE7"/>
    <w:rsid w:val="00D21938"/>
    <w:rsid w:val="00D23232"/>
    <w:rsid w:val="00D240AD"/>
    <w:rsid w:val="00D304BE"/>
    <w:rsid w:val="00D36912"/>
    <w:rsid w:val="00D40751"/>
    <w:rsid w:val="00D4557D"/>
    <w:rsid w:val="00D45B2B"/>
    <w:rsid w:val="00D467CD"/>
    <w:rsid w:val="00D50421"/>
    <w:rsid w:val="00D60E43"/>
    <w:rsid w:val="00D6321B"/>
    <w:rsid w:val="00D64F94"/>
    <w:rsid w:val="00D70B7B"/>
    <w:rsid w:val="00D71037"/>
    <w:rsid w:val="00D7215E"/>
    <w:rsid w:val="00D72DE9"/>
    <w:rsid w:val="00D768C5"/>
    <w:rsid w:val="00D8211E"/>
    <w:rsid w:val="00D827DC"/>
    <w:rsid w:val="00D853B2"/>
    <w:rsid w:val="00D8647A"/>
    <w:rsid w:val="00D93717"/>
    <w:rsid w:val="00DA6892"/>
    <w:rsid w:val="00DB0394"/>
    <w:rsid w:val="00DB5E5D"/>
    <w:rsid w:val="00DC04D5"/>
    <w:rsid w:val="00DD01A0"/>
    <w:rsid w:val="00DD4803"/>
    <w:rsid w:val="00DE01FB"/>
    <w:rsid w:val="00DE73D0"/>
    <w:rsid w:val="00DF03C3"/>
    <w:rsid w:val="00DF273A"/>
    <w:rsid w:val="00DF5435"/>
    <w:rsid w:val="00E0039A"/>
    <w:rsid w:val="00E06F80"/>
    <w:rsid w:val="00E11D84"/>
    <w:rsid w:val="00E16B87"/>
    <w:rsid w:val="00E21D0D"/>
    <w:rsid w:val="00E35815"/>
    <w:rsid w:val="00E53606"/>
    <w:rsid w:val="00E61DA7"/>
    <w:rsid w:val="00E64C9B"/>
    <w:rsid w:val="00E8546B"/>
    <w:rsid w:val="00E91586"/>
    <w:rsid w:val="00E94DD1"/>
    <w:rsid w:val="00E97B0E"/>
    <w:rsid w:val="00EA463C"/>
    <w:rsid w:val="00EA65DD"/>
    <w:rsid w:val="00EB2B80"/>
    <w:rsid w:val="00EB33B0"/>
    <w:rsid w:val="00EB37E2"/>
    <w:rsid w:val="00EB3DAE"/>
    <w:rsid w:val="00EB4EC3"/>
    <w:rsid w:val="00EC4EC5"/>
    <w:rsid w:val="00EC74A5"/>
    <w:rsid w:val="00ED0D37"/>
    <w:rsid w:val="00ED2F94"/>
    <w:rsid w:val="00ED345A"/>
    <w:rsid w:val="00ED3BBB"/>
    <w:rsid w:val="00ED45B2"/>
    <w:rsid w:val="00ED538A"/>
    <w:rsid w:val="00ED79AF"/>
    <w:rsid w:val="00F02672"/>
    <w:rsid w:val="00F03042"/>
    <w:rsid w:val="00F06B22"/>
    <w:rsid w:val="00F16A5D"/>
    <w:rsid w:val="00F3442C"/>
    <w:rsid w:val="00F3627D"/>
    <w:rsid w:val="00F36E89"/>
    <w:rsid w:val="00F371A9"/>
    <w:rsid w:val="00F41F3A"/>
    <w:rsid w:val="00F42297"/>
    <w:rsid w:val="00F45B82"/>
    <w:rsid w:val="00F47759"/>
    <w:rsid w:val="00F47B1B"/>
    <w:rsid w:val="00F50985"/>
    <w:rsid w:val="00F52072"/>
    <w:rsid w:val="00F53333"/>
    <w:rsid w:val="00F60E0D"/>
    <w:rsid w:val="00F67DCD"/>
    <w:rsid w:val="00F736B8"/>
    <w:rsid w:val="00F83E96"/>
    <w:rsid w:val="00F84F72"/>
    <w:rsid w:val="00F9083C"/>
    <w:rsid w:val="00F928BA"/>
    <w:rsid w:val="00F97AFB"/>
    <w:rsid w:val="00F97DA2"/>
    <w:rsid w:val="00FA3E72"/>
    <w:rsid w:val="00FA58A7"/>
    <w:rsid w:val="00FA7985"/>
    <w:rsid w:val="00FB02F3"/>
    <w:rsid w:val="00FB0444"/>
    <w:rsid w:val="00FC5424"/>
    <w:rsid w:val="00FC707A"/>
    <w:rsid w:val="00FC7AB0"/>
    <w:rsid w:val="00FD2771"/>
    <w:rsid w:val="00FD352D"/>
    <w:rsid w:val="00FD62B2"/>
    <w:rsid w:val="00FD644E"/>
    <w:rsid w:val="00FE10F3"/>
    <w:rsid w:val="00FE2D84"/>
    <w:rsid w:val="00FF367E"/>
    <w:rsid w:val="00FF56A7"/>
    <w:rsid w:val="021767A3"/>
    <w:rsid w:val="023E48C8"/>
    <w:rsid w:val="0935FF5E"/>
    <w:rsid w:val="0A1390B2"/>
    <w:rsid w:val="0A6FB050"/>
    <w:rsid w:val="0F1863A0"/>
    <w:rsid w:val="12E73EAD"/>
    <w:rsid w:val="13EB5016"/>
    <w:rsid w:val="13FCB244"/>
    <w:rsid w:val="14BD997A"/>
    <w:rsid w:val="159F0E6A"/>
    <w:rsid w:val="17DC4E28"/>
    <w:rsid w:val="19E4EA16"/>
    <w:rsid w:val="1A727F8D"/>
    <w:rsid w:val="1F45F0B0"/>
    <w:rsid w:val="237360F0"/>
    <w:rsid w:val="272D5728"/>
    <w:rsid w:val="2A13202A"/>
    <w:rsid w:val="2B103355"/>
    <w:rsid w:val="2F32BC8C"/>
    <w:rsid w:val="3036AF10"/>
    <w:rsid w:val="30CAF642"/>
    <w:rsid w:val="312BAC6D"/>
    <w:rsid w:val="32018DC1"/>
    <w:rsid w:val="32C1BE9C"/>
    <w:rsid w:val="35FB1532"/>
    <w:rsid w:val="38BAB4F9"/>
    <w:rsid w:val="3952A759"/>
    <w:rsid w:val="3A7C9795"/>
    <w:rsid w:val="3E1D8833"/>
    <w:rsid w:val="3FA29A5D"/>
    <w:rsid w:val="446212B1"/>
    <w:rsid w:val="4524AEF2"/>
    <w:rsid w:val="47A47503"/>
    <w:rsid w:val="4F5D2F8C"/>
    <w:rsid w:val="52088357"/>
    <w:rsid w:val="575D139D"/>
    <w:rsid w:val="5AEC6106"/>
    <w:rsid w:val="5F2E670A"/>
    <w:rsid w:val="602DF85B"/>
    <w:rsid w:val="6094CFEC"/>
    <w:rsid w:val="614FAB28"/>
    <w:rsid w:val="62AA29CF"/>
    <w:rsid w:val="62F772EB"/>
    <w:rsid w:val="652B504D"/>
    <w:rsid w:val="68DBCA72"/>
    <w:rsid w:val="6BB4A09B"/>
    <w:rsid w:val="74D16C9C"/>
    <w:rsid w:val="779B53C2"/>
    <w:rsid w:val="78A3B47B"/>
    <w:rsid w:val="7CFE0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F75038"/>
  <w15:docId w15:val="{2430218A-6C61-487F-B0B1-5D30B2DB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aliases w:val="Signature Table"/>
    <w:basedOn w:val="TableNormal"/>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unhideWhenUsed/>
    <w:rsid w:val="005B5236"/>
    <w:rPr>
      <w:sz w:val="16"/>
      <w:szCs w:val="16"/>
    </w:rPr>
  </w:style>
  <w:style w:type="paragraph" w:styleId="CommentText">
    <w:name w:val="annotation text"/>
    <w:basedOn w:val="Normal"/>
    <w:link w:val="CommentTextChar"/>
    <w:uiPriority w:val="99"/>
    <w:unhideWhenUsed/>
    <w:qFormat/>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customStyle="1" w:styleId="UnresolvedMention1">
    <w:name w:val="Unresolved Mention1"/>
    <w:basedOn w:val="DefaultParagraphFont"/>
    <w:uiPriority w:val="99"/>
    <w:unhideWhenUsed/>
    <w:rsid w:val="00672413"/>
    <w:rPr>
      <w:color w:val="605E5C"/>
      <w:shd w:val="clear" w:color="auto" w:fill="E1DFDD"/>
    </w:rPr>
  </w:style>
  <w:style w:type="paragraph" w:styleId="Revision">
    <w:name w:val="Revision"/>
    <w:hidden/>
    <w:uiPriority w:val="99"/>
    <w:semiHidden/>
    <w:rsid w:val="007B7CA3"/>
  </w:style>
  <w:style w:type="paragraph" w:styleId="NoSpacing">
    <w:name w:val="No Spacing"/>
    <w:uiPriority w:val="1"/>
    <w:qFormat/>
    <w:rsid w:val="000470DD"/>
    <w:rPr>
      <w:rFonts w:ascii="Calibri" w:eastAsia="Calibri" w:hAnsi="Calibri" w:cs="Calibri"/>
      <w:color w:val="000000"/>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8506C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UserInfo>
        <DisplayName>Lowit, Michael</DisplayName>
        <AccountId>6286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EB563-11CB-4141-A05D-4B05021555E8}">
  <ds:schemaRefs>
    <ds:schemaRef ds:uri="http://schemas.openxmlformats.org/officeDocument/2006/bibliography"/>
  </ds:schemaRefs>
</ds:datastoreItem>
</file>

<file path=customXml/itemProps2.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3.xml><?xml version="1.0" encoding="utf-8"?>
<ds:datastoreItem xmlns:ds="http://schemas.openxmlformats.org/officeDocument/2006/customXml" ds:itemID="{65175136-2FDC-4730-9839-2C689A2F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A5291-ED1F-4B03-BE11-F0259FE6854C}">
  <ds:schemaRefs>
    <ds:schemaRef ds:uri="http://www.w3.org/XML/1998/namespace"/>
    <ds:schemaRef ds:uri="http://schemas.microsoft.com/sharepoint/v3/fields"/>
    <ds:schemaRef ds:uri="http://purl.org/dc/elements/1.1/"/>
    <ds:schemaRef ds:uri="http://purl.org/dc/dcmitype/"/>
    <ds:schemaRef ds:uri="http://schemas.microsoft.com/office/2006/documentManagement/types"/>
    <ds:schemaRef ds:uri="4ffa91fb-a0ff-4ac5-b2db-65c790d184a4"/>
    <ds:schemaRef ds:uri="http://purl.org/dc/terms/"/>
    <ds:schemaRef ds:uri="http://schemas.openxmlformats.org/package/2006/metadata/core-properties"/>
    <ds:schemaRef ds:uri="1b69afd8-9bdb-481b-b26a-06cbd17fa30c"/>
    <ds:schemaRef ds:uri="a5d1ca4e-0a3f-4119-b619-e20b93ebd1aa"/>
    <ds:schemaRef ds:uri="http://schemas.microsoft.com/office/infopath/2007/PartnerControls"/>
    <ds:schemaRef ds:uri="http://schemas.microsoft.com/sharepoint.v3"/>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BE49C36F-FB7D-45C3-B76F-A96993AF2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Orrick, Greg</cp:lastModifiedBy>
  <cp:revision>2</cp:revision>
  <dcterms:created xsi:type="dcterms:W3CDTF">2022-06-01T22:43:00Z</dcterms:created>
  <dcterms:modified xsi:type="dcterms:W3CDTF">2022-06-01T22:43:00Z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