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DFDD" w14:textId="77777777" w:rsidR="001D33A3" w:rsidRPr="003F358D" w:rsidRDefault="001D33A3" w:rsidP="005859DB">
      <w:pPr>
        <w:jc w:val="center"/>
        <w:rPr>
          <w:rFonts w:asciiTheme="minorHAnsi" w:hAnsiTheme="minorHAnsi" w:cstheme="minorHAnsi"/>
          <w:b/>
          <w:bCs/>
          <w:sz w:val="28"/>
          <w:szCs w:val="28"/>
        </w:rPr>
      </w:pPr>
      <w:r w:rsidRPr="003F358D">
        <w:rPr>
          <w:rFonts w:asciiTheme="minorHAnsi" w:hAnsiTheme="minorHAnsi" w:cstheme="minorHAnsi"/>
          <w:b/>
          <w:bCs/>
          <w:sz w:val="28"/>
          <w:szCs w:val="28"/>
        </w:rPr>
        <w:t>Response to Public Comments Received on</w:t>
      </w:r>
    </w:p>
    <w:p w14:paraId="6BD7DCC7" w14:textId="77777777" w:rsidR="001D33A3" w:rsidRPr="003F358D" w:rsidRDefault="001D33A3" w:rsidP="005859DB">
      <w:pPr>
        <w:jc w:val="center"/>
        <w:rPr>
          <w:rFonts w:asciiTheme="minorHAnsi" w:hAnsiTheme="minorHAnsi" w:cstheme="minorHAnsi"/>
          <w:b/>
          <w:bCs/>
          <w:sz w:val="28"/>
          <w:szCs w:val="28"/>
        </w:rPr>
      </w:pPr>
    </w:p>
    <w:p w14:paraId="533DA0AC" w14:textId="77777777" w:rsidR="001D33A3" w:rsidRPr="003F358D" w:rsidRDefault="001D33A3" w:rsidP="005859DB">
      <w:pPr>
        <w:jc w:val="center"/>
        <w:rPr>
          <w:rFonts w:asciiTheme="minorHAnsi" w:hAnsiTheme="minorHAnsi" w:cstheme="minorHAnsi"/>
          <w:b/>
          <w:bCs/>
          <w:sz w:val="28"/>
          <w:szCs w:val="28"/>
        </w:rPr>
      </w:pPr>
      <w:r w:rsidRPr="003F358D">
        <w:rPr>
          <w:rFonts w:asciiTheme="minorHAnsi" w:hAnsiTheme="minorHAnsi" w:cstheme="minorHAnsi"/>
          <w:b/>
          <w:bCs/>
          <w:sz w:val="28"/>
          <w:szCs w:val="28"/>
        </w:rPr>
        <w:t>Draft Biological Evaluations for</w:t>
      </w:r>
    </w:p>
    <w:p w14:paraId="7E49D35A" w14:textId="77777777" w:rsidR="001D33A3" w:rsidRPr="003F358D" w:rsidRDefault="001D33A3" w:rsidP="005859DB">
      <w:pPr>
        <w:jc w:val="center"/>
        <w:rPr>
          <w:rFonts w:asciiTheme="minorHAnsi" w:hAnsiTheme="minorHAnsi" w:cstheme="minorHAnsi"/>
          <w:b/>
          <w:bCs/>
          <w:sz w:val="28"/>
          <w:szCs w:val="28"/>
        </w:rPr>
      </w:pPr>
    </w:p>
    <w:p w14:paraId="713E20F9" w14:textId="4A54D75A" w:rsidR="001D33A3" w:rsidRPr="003F358D" w:rsidRDefault="001D33A3" w:rsidP="005859DB">
      <w:pPr>
        <w:jc w:val="center"/>
        <w:rPr>
          <w:rFonts w:asciiTheme="minorHAnsi" w:hAnsiTheme="minorHAnsi" w:cstheme="minorHAnsi"/>
          <w:b/>
          <w:bCs/>
          <w:sz w:val="28"/>
          <w:szCs w:val="28"/>
        </w:rPr>
      </w:pPr>
      <w:r w:rsidRPr="003F358D">
        <w:rPr>
          <w:rFonts w:asciiTheme="minorHAnsi" w:hAnsiTheme="minorHAnsi" w:cstheme="minorHAnsi"/>
          <w:b/>
          <w:bCs/>
          <w:sz w:val="28"/>
          <w:szCs w:val="28"/>
        </w:rPr>
        <w:t>Imidacloprid, Thiamethoxam, and Clothianidin</w:t>
      </w:r>
    </w:p>
    <w:p w14:paraId="7783E544" w14:textId="77777777" w:rsidR="001D33A3" w:rsidRPr="003F358D" w:rsidRDefault="001D33A3" w:rsidP="005859DB">
      <w:pPr>
        <w:jc w:val="center"/>
        <w:rPr>
          <w:rFonts w:asciiTheme="minorHAnsi" w:hAnsiTheme="minorHAnsi" w:cstheme="minorHAnsi"/>
        </w:rPr>
      </w:pPr>
    </w:p>
    <w:p w14:paraId="19FF68CD" w14:textId="58F3724D" w:rsidR="001D33A3" w:rsidRDefault="001D33A3" w:rsidP="005859DB">
      <w:pPr>
        <w:jc w:val="center"/>
        <w:rPr>
          <w:rFonts w:asciiTheme="minorHAnsi" w:hAnsiTheme="minorHAnsi" w:cstheme="minorHAnsi"/>
        </w:rPr>
      </w:pPr>
    </w:p>
    <w:p w14:paraId="0E74D8C1" w14:textId="77777777" w:rsidR="00EA0C16" w:rsidRPr="003F358D" w:rsidRDefault="00EA0C16" w:rsidP="005859DB">
      <w:pPr>
        <w:jc w:val="center"/>
        <w:rPr>
          <w:rFonts w:asciiTheme="minorHAnsi" w:hAnsiTheme="minorHAnsi" w:cstheme="minorHAnsi"/>
        </w:rPr>
      </w:pPr>
    </w:p>
    <w:p w14:paraId="76644721" w14:textId="785C7F2C"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June 2022</w:t>
      </w:r>
    </w:p>
    <w:p w14:paraId="0009A1D9" w14:textId="77777777" w:rsidR="001D33A3" w:rsidRPr="003F358D" w:rsidRDefault="001D33A3" w:rsidP="005859DB">
      <w:pPr>
        <w:jc w:val="center"/>
        <w:rPr>
          <w:rFonts w:asciiTheme="minorHAnsi" w:hAnsiTheme="minorHAnsi" w:cstheme="minorHAnsi"/>
          <w:sz w:val="24"/>
          <w:szCs w:val="24"/>
          <w:highlight w:val="yellow"/>
        </w:rPr>
      </w:pPr>
    </w:p>
    <w:p w14:paraId="0C92A1D4" w14:textId="77777777" w:rsidR="001D33A3" w:rsidRPr="003F358D" w:rsidRDefault="001D33A3" w:rsidP="005859DB">
      <w:pPr>
        <w:jc w:val="center"/>
        <w:rPr>
          <w:rFonts w:asciiTheme="minorHAnsi" w:hAnsiTheme="minorHAnsi" w:cstheme="minorHAnsi"/>
          <w:sz w:val="24"/>
          <w:szCs w:val="24"/>
          <w:highlight w:val="yellow"/>
        </w:rPr>
      </w:pPr>
    </w:p>
    <w:p w14:paraId="70570AFF" w14:textId="77777777" w:rsidR="001D33A3" w:rsidRPr="003F358D" w:rsidRDefault="001D33A3" w:rsidP="005859DB">
      <w:pPr>
        <w:rPr>
          <w:rFonts w:asciiTheme="minorHAnsi" w:hAnsiTheme="minorHAnsi" w:cstheme="minorHAnsi"/>
          <w:sz w:val="24"/>
          <w:szCs w:val="24"/>
          <w:highlight w:val="yellow"/>
        </w:rPr>
      </w:pPr>
    </w:p>
    <w:p w14:paraId="564DBCFC" w14:textId="77777777" w:rsidR="001D33A3" w:rsidRPr="003F358D" w:rsidRDefault="001D33A3" w:rsidP="005859DB">
      <w:pPr>
        <w:rPr>
          <w:rFonts w:asciiTheme="minorHAnsi" w:hAnsiTheme="minorHAnsi" w:cstheme="minorHAnsi"/>
          <w:sz w:val="24"/>
          <w:szCs w:val="24"/>
          <w:highlight w:val="yellow"/>
        </w:rPr>
      </w:pPr>
    </w:p>
    <w:p w14:paraId="7F57E9FB" w14:textId="77777777" w:rsidR="001D33A3" w:rsidRPr="003F358D" w:rsidRDefault="001D33A3" w:rsidP="005859DB">
      <w:pPr>
        <w:jc w:val="center"/>
        <w:rPr>
          <w:rFonts w:asciiTheme="minorHAnsi" w:hAnsiTheme="minorHAnsi" w:cstheme="minorHAnsi"/>
          <w:sz w:val="24"/>
          <w:szCs w:val="24"/>
        </w:rPr>
      </w:pPr>
    </w:p>
    <w:p w14:paraId="6AB84B9A" w14:textId="77777777"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Environmental Fate and Effects Division</w:t>
      </w:r>
    </w:p>
    <w:p w14:paraId="3B3931E1" w14:textId="2FAA14E0"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Biological and Economic Analysis Division</w:t>
      </w:r>
    </w:p>
    <w:p w14:paraId="1C3B63E6" w14:textId="77777777"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Pesticide Reevaluation Division</w:t>
      </w:r>
    </w:p>
    <w:p w14:paraId="2D743C42" w14:textId="77777777"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Office of Pesticide Programs</w:t>
      </w:r>
    </w:p>
    <w:p w14:paraId="5F387150" w14:textId="77777777"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Office of Chemical Safety and Pollution Prevention</w:t>
      </w:r>
    </w:p>
    <w:p w14:paraId="135FF2E4" w14:textId="77777777"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U.S. Environmental Protection Agency</w:t>
      </w:r>
    </w:p>
    <w:p w14:paraId="62F5CCB9" w14:textId="77777777" w:rsidR="001D33A3" w:rsidRPr="003F358D" w:rsidRDefault="001D33A3" w:rsidP="005859DB">
      <w:pPr>
        <w:jc w:val="center"/>
        <w:rPr>
          <w:rFonts w:asciiTheme="minorHAnsi" w:hAnsiTheme="minorHAnsi" w:cstheme="minorHAnsi"/>
          <w:sz w:val="24"/>
          <w:szCs w:val="24"/>
        </w:rPr>
      </w:pPr>
      <w:r w:rsidRPr="003F358D">
        <w:rPr>
          <w:rFonts w:asciiTheme="minorHAnsi" w:hAnsiTheme="minorHAnsi" w:cstheme="minorHAnsi"/>
          <w:sz w:val="24"/>
          <w:szCs w:val="24"/>
        </w:rPr>
        <w:t>Washington, DC</w:t>
      </w:r>
    </w:p>
    <w:p w14:paraId="0ABBC262" w14:textId="77777777" w:rsidR="001D33A3" w:rsidRPr="004D51BC" w:rsidRDefault="001D33A3" w:rsidP="005859DB">
      <w:pPr>
        <w:rPr>
          <w:highlight w:val="yellow"/>
        </w:rPr>
      </w:pPr>
      <w:bookmarkStart w:id="0" w:name="_Toc273944651"/>
      <w:bookmarkStart w:id="1" w:name="_Toc273944730"/>
      <w:bookmarkStart w:id="2" w:name="_Toc273945182"/>
      <w:bookmarkStart w:id="3" w:name="_Toc273945265"/>
      <w:bookmarkStart w:id="4" w:name="_Toc273945386"/>
      <w:bookmarkStart w:id="5" w:name="_Toc273945450"/>
      <w:bookmarkStart w:id="6" w:name="_Toc273945886"/>
      <w:bookmarkStart w:id="7" w:name="_Toc273946380"/>
      <w:bookmarkStart w:id="8" w:name="_Toc274036772"/>
      <w:bookmarkStart w:id="9" w:name="_Toc274036895"/>
      <w:bookmarkStart w:id="10" w:name="_Toc274036991"/>
      <w:bookmarkStart w:id="11" w:name="_Toc274037848"/>
      <w:bookmarkStart w:id="12" w:name="_Toc275245452"/>
      <w:bookmarkStart w:id="13" w:name="_Toc275245720"/>
      <w:bookmarkStart w:id="14" w:name="_Toc275262201"/>
      <w:bookmarkStart w:id="15" w:name="_Toc275266801"/>
      <w:bookmarkStart w:id="16" w:name="_Toc275266894"/>
      <w:bookmarkStart w:id="17" w:name="_Toc275267637"/>
      <w:bookmarkStart w:id="18" w:name="_Toc275270392"/>
      <w:bookmarkStart w:id="19" w:name="_Toc275270857"/>
      <w:bookmarkStart w:id="20" w:name="_Toc275271985"/>
      <w:bookmarkStart w:id="21" w:name="_Toc391327571"/>
      <w:bookmarkStart w:id="22" w:name="_Toc395008479"/>
      <w:bookmarkStart w:id="23" w:name="_Toc395188338"/>
      <w:bookmarkStart w:id="24" w:name="_Toc395188482"/>
      <w:bookmarkStart w:id="25" w:name="_Toc395687495"/>
      <w:bookmarkStart w:id="26" w:name="_Toc396799789"/>
      <w:r w:rsidRPr="004D51BC">
        <w:rPr>
          <w:noProof/>
          <w:highlight w:val="yellow"/>
        </w:rPr>
        <w:drawing>
          <wp:anchor distT="0" distB="0" distL="114300" distR="114300" simplePos="0" relativeHeight="251658240" behindDoc="0" locked="0" layoutInCell="1" allowOverlap="1" wp14:anchorId="1EE140FA" wp14:editId="3CAB89E8">
            <wp:simplePos x="0" y="0"/>
            <wp:positionH relativeFrom="column">
              <wp:posOffset>2514600</wp:posOffset>
            </wp:positionH>
            <wp:positionV relativeFrom="paragraph">
              <wp:posOffset>560070</wp:posOffset>
            </wp:positionV>
            <wp:extent cx="967105" cy="941070"/>
            <wp:effectExtent l="0" t="0" r="0" b="0"/>
            <wp:wrapSquare wrapText="bothSides"/>
            <wp:docPr id="1" name="Picture 1" descr="United States Environmental Protection Agen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States Environmental Protection Agency">
                      <a:hlinkClick r:id="rId12"/>
                    </pic:cNvPr>
                    <pic:cNvPicPr>
                      <a:picLocks noChangeAspect="1" noChangeArrowheads="1"/>
                    </pic:cNvPicPr>
                  </pic:nvPicPr>
                  <pic:blipFill>
                    <a:blip r:embed="rId13" r:link="rId14" cstate="print"/>
                    <a:srcRect/>
                    <a:stretch>
                      <a:fillRect/>
                    </a:stretch>
                  </pic:blipFill>
                  <pic:spPr bwMode="auto">
                    <a:xfrm>
                      <a:off x="0" y="0"/>
                      <a:ext cx="967105" cy="941070"/>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01CCFAA" w14:textId="77777777" w:rsidR="001D33A3" w:rsidRPr="004D51BC" w:rsidRDefault="001D33A3" w:rsidP="005859DB">
      <w:pPr>
        <w:rPr>
          <w:b/>
          <w:bCs/>
          <w:highlight w:val="yellow"/>
        </w:rPr>
      </w:pPr>
    </w:p>
    <w:p w14:paraId="4C579116" w14:textId="77777777" w:rsidR="001D33A3" w:rsidRPr="004D51BC" w:rsidRDefault="001D33A3" w:rsidP="005859DB">
      <w:pPr>
        <w:rPr>
          <w:b/>
          <w:bCs/>
          <w:highlight w:val="yellow"/>
        </w:rPr>
      </w:pPr>
    </w:p>
    <w:p w14:paraId="5665DB26" w14:textId="77777777" w:rsidR="001D33A3" w:rsidRPr="004D51BC" w:rsidRDefault="001D33A3" w:rsidP="005859DB">
      <w:pPr>
        <w:rPr>
          <w:b/>
          <w:bCs/>
          <w:highlight w:val="yellow"/>
        </w:rPr>
      </w:pPr>
    </w:p>
    <w:p w14:paraId="1C9518B3" w14:textId="14EE2FA1" w:rsidR="001D33A3" w:rsidRDefault="001D33A3" w:rsidP="005859DB">
      <w:pPr>
        <w:rPr>
          <w:b/>
          <w:bCs/>
          <w:highlight w:val="yellow"/>
        </w:rPr>
      </w:pPr>
      <w:r w:rsidRPr="004D51BC">
        <w:rPr>
          <w:b/>
          <w:bCs/>
          <w:highlight w:val="yellow"/>
        </w:rPr>
        <w:br w:type="page"/>
      </w:r>
    </w:p>
    <w:p w14:paraId="057A8348" w14:textId="77777777" w:rsidR="0009763B" w:rsidRDefault="0009763B" w:rsidP="005859DB">
      <w:pPr>
        <w:rPr>
          <w:b/>
          <w:bCs/>
          <w:highlight w:val="yellow"/>
        </w:rPr>
        <w:sectPr w:rsidR="0009763B" w:rsidSect="005C5E5D">
          <w:footerReference w:type="default" r:id="rId15"/>
          <w:pgSz w:w="12240" w:h="15840"/>
          <w:pgMar w:top="1440" w:right="1440" w:bottom="1440" w:left="1440" w:header="720" w:footer="720" w:gutter="0"/>
          <w:cols w:space="720"/>
          <w:docGrid w:linePitch="360"/>
        </w:sectPr>
      </w:pPr>
    </w:p>
    <w:p w14:paraId="3FACFB77" w14:textId="5BC50B30" w:rsidR="0009763B" w:rsidRPr="0009763B" w:rsidRDefault="0009763B" w:rsidP="005859DB">
      <w:pPr>
        <w:pStyle w:val="BodyText"/>
        <w:rPr>
          <w:rFonts w:asciiTheme="minorHAnsi" w:hAnsiTheme="minorHAnsi" w:cstheme="minorHAnsi"/>
          <w:b/>
          <w:bCs/>
          <w:sz w:val="28"/>
          <w:szCs w:val="28"/>
        </w:rPr>
      </w:pPr>
      <w:r w:rsidRPr="0009763B">
        <w:rPr>
          <w:rFonts w:asciiTheme="minorHAnsi" w:hAnsiTheme="minorHAnsi" w:cstheme="minorHAnsi"/>
          <w:b/>
          <w:bCs/>
          <w:sz w:val="28"/>
          <w:szCs w:val="28"/>
        </w:rPr>
        <w:lastRenderedPageBreak/>
        <w:t>Table of Contents</w:t>
      </w:r>
    </w:p>
    <w:p w14:paraId="00225AF2" w14:textId="186F05F2" w:rsidR="0089290F" w:rsidRDefault="0009763B">
      <w:pPr>
        <w:pStyle w:val="TOC1"/>
        <w:tabs>
          <w:tab w:val="right" w:leader="dot" w:pos="9350"/>
        </w:tabs>
        <w:rPr>
          <w:rFonts w:eastAsiaTheme="minorEastAsia" w:cstheme="minorBidi"/>
          <w:noProof/>
        </w:rPr>
      </w:pPr>
      <w:r>
        <w:rPr>
          <w:b/>
          <w:bCs/>
          <w:highlight w:val="yellow"/>
        </w:rPr>
        <w:fldChar w:fldCharType="begin"/>
      </w:r>
      <w:r>
        <w:rPr>
          <w:b/>
          <w:bCs/>
          <w:highlight w:val="yellow"/>
        </w:rPr>
        <w:instrText xml:space="preserve"> TOC \o "1-3" \h \z \u </w:instrText>
      </w:r>
      <w:r>
        <w:rPr>
          <w:b/>
          <w:bCs/>
          <w:highlight w:val="yellow"/>
        </w:rPr>
        <w:fldChar w:fldCharType="separate"/>
      </w:r>
      <w:hyperlink w:anchor="_Toc106187569" w:history="1">
        <w:r w:rsidR="0089290F" w:rsidRPr="00A167D5">
          <w:rPr>
            <w:rStyle w:val="Hyperlink"/>
            <w:noProof/>
          </w:rPr>
          <w:t xml:space="preserve">1 </w:t>
        </w:r>
        <w:r w:rsidR="0089290F">
          <w:rPr>
            <w:rFonts w:eastAsiaTheme="minorEastAsia" w:cstheme="minorBidi"/>
            <w:noProof/>
          </w:rPr>
          <w:tab/>
        </w:r>
        <w:r w:rsidR="0089290F" w:rsidRPr="00A167D5">
          <w:rPr>
            <w:rStyle w:val="Hyperlink"/>
            <w:noProof/>
          </w:rPr>
          <w:t>Introduction</w:t>
        </w:r>
        <w:r w:rsidR="0089290F">
          <w:rPr>
            <w:noProof/>
            <w:webHidden/>
          </w:rPr>
          <w:tab/>
        </w:r>
        <w:r w:rsidR="0089290F">
          <w:rPr>
            <w:noProof/>
            <w:webHidden/>
          </w:rPr>
          <w:fldChar w:fldCharType="begin"/>
        </w:r>
        <w:r w:rsidR="0089290F">
          <w:rPr>
            <w:noProof/>
            <w:webHidden/>
          </w:rPr>
          <w:instrText xml:space="preserve"> PAGEREF _Toc106187569 \h </w:instrText>
        </w:r>
        <w:r w:rsidR="0089290F">
          <w:rPr>
            <w:noProof/>
            <w:webHidden/>
          </w:rPr>
        </w:r>
        <w:r w:rsidR="0089290F">
          <w:rPr>
            <w:noProof/>
            <w:webHidden/>
          </w:rPr>
          <w:fldChar w:fldCharType="separate"/>
        </w:r>
        <w:r w:rsidR="0089290F">
          <w:rPr>
            <w:noProof/>
            <w:webHidden/>
          </w:rPr>
          <w:t>2</w:t>
        </w:r>
        <w:r w:rsidR="0089290F">
          <w:rPr>
            <w:noProof/>
            <w:webHidden/>
          </w:rPr>
          <w:fldChar w:fldCharType="end"/>
        </w:r>
      </w:hyperlink>
    </w:p>
    <w:p w14:paraId="4107A69E" w14:textId="33E9DBFF" w:rsidR="0089290F" w:rsidRDefault="00C67BA4">
      <w:pPr>
        <w:pStyle w:val="TOC1"/>
        <w:tabs>
          <w:tab w:val="right" w:leader="dot" w:pos="9350"/>
        </w:tabs>
        <w:rPr>
          <w:rFonts w:eastAsiaTheme="minorEastAsia" w:cstheme="minorBidi"/>
          <w:noProof/>
        </w:rPr>
      </w:pPr>
      <w:hyperlink w:anchor="_Toc106187570" w:history="1">
        <w:r w:rsidR="0089290F" w:rsidRPr="00A167D5">
          <w:rPr>
            <w:rStyle w:val="Hyperlink"/>
            <w:noProof/>
          </w:rPr>
          <w:t>2</w:t>
        </w:r>
        <w:r w:rsidR="0089290F">
          <w:rPr>
            <w:rFonts w:eastAsiaTheme="minorEastAsia" w:cstheme="minorBidi"/>
            <w:noProof/>
          </w:rPr>
          <w:tab/>
        </w:r>
        <w:r w:rsidR="0089290F" w:rsidRPr="00A167D5">
          <w:rPr>
            <w:rStyle w:val="Hyperlink"/>
            <w:noProof/>
          </w:rPr>
          <w:t>Responses to Public Comments Common Across the Three Neonicotinoids (Imidacloprid, Thiamethoxam, and Clothianidin)</w:t>
        </w:r>
        <w:r w:rsidR="0089290F">
          <w:rPr>
            <w:noProof/>
            <w:webHidden/>
          </w:rPr>
          <w:tab/>
        </w:r>
        <w:r w:rsidR="0089290F">
          <w:rPr>
            <w:noProof/>
            <w:webHidden/>
          </w:rPr>
          <w:fldChar w:fldCharType="begin"/>
        </w:r>
        <w:r w:rsidR="0089290F">
          <w:rPr>
            <w:noProof/>
            <w:webHidden/>
          </w:rPr>
          <w:instrText xml:space="preserve"> PAGEREF _Toc106187570 \h </w:instrText>
        </w:r>
        <w:r w:rsidR="0089290F">
          <w:rPr>
            <w:noProof/>
            <w:webHidden/>
          </w:rPr>
        </w:r>
        <w:r w:rsidR="0089290F">
          <w:rPr>
            <w:noProof/>
            <w:webHidden/>
          </w:rPr>
          <w:fldChar w:fldCharType="separate"/>
        </w:r>
        <w:r w:rsidR="0089290F">
          <w:rPr>
            <w:noProof/>
            <w:webHidden/>
          </w:rPr>
          <w:t>5</w:t>
        </w:r>
        <w:r w:rsidR="0089290F">
          <w:rPr>
            <w:noProof/>
            <w:webHidden/>
          </w:rPr>
          <w:fldChar w:fldCharType="end"/>
        </w:r>
      </w:hyperlink>
    </w:p>
    <w:p w14:paraId="5D8FD7C9" w14:textId="2A55726A" w:rsidR="0089290F" w:rsidRDefault="00C67BA4">
      <w:pPr>
        <w:pStyle w:val="TOC2"/>
        <w:tabs>
          <w:tab w:val="right" w:leader="dot" w:pos="9350"/>
        </w:tabs>
        <w:rPr>
          <w:rFonts w:eastAsiaTheme="minorEastAsia" w:cstheme="minorBidi"/>
          <w:noProof/>
        </w:rPr>
      </w:pPr>
      <w:hyperlink w:anchor="_Toc106187571" w:history="1">
        <w:r w:rsidR="0089290F" w:rsidRPr="00A167D5">
          <w:rPr>
            <w:rStyle w:val="Hyperlink"/>
            <w:noProof/>
          </w:rPr>
          <w:t>2.1  EPA Processes</w:t>
        </w:r>
        <w:r w:rsidR="0089290F">
          <w:rPr>
            <w:noProof/>
            <w:webHidden/>
          </w:rPr>
          <w:tab/>
        </w:r>
        <w:r w:rsidR="0089290F">
          <w:rPr>
            <w:noProof/>
            <w:webHidden/>
          </w:rPr>
          <w:fldChar w:fldCharType="begin"/>
        </w:r>
        <w:r w:rsidR="0089290F">
          <w:rPr>
            <w:noProof/>
            <w:webHidden/>
          </w:rPr>
          <w:instrText xml:space="preserve"> PAGEREF _Toc106187571 \h </w:instrText>
        </w:r>
        <w:r w:rsidR="0089290F">
          <w:rPr>
            <w:noProof/>
            <w:webHidden/>
          </w:rPr>
        </w:r>
        <w:r w:rsidR="0089290F">
          <w:rPr>
            <w:noProof/>
            <w:webHidden/>
          </w:rPr>
          <w:fldChar w:fldCharType="separate"/>
        </w:r>
        <w:r w:rsidR="0089290F">
          <w:rPr>
            <w:noProof/>
            <w:webHidden/>
          </w:rPr>
          <w:t>5</w:t>
        </w:r>
        <w:r w:rsidR="0089290F">
          <w:rPr>
            <w:noProof/>
            <w:webHidden/>
          </w:rPr>
          <w:fldChar w:fldCharType="end"/>
        </w:r>
      </w:hyperlink>
    </w:p>
    <w:p w14:paraId="725620D2" w14:textId="77D3F0E2" w:rsidR="0089290F" w:rsidRDefault="00C67BA4">
      <w:pPr>
        <w:pStyle w:val="TOC2"/>
        <w:tabs>
          <w:tab w:val="right" w:leader="dot" w:pos="9350"/>
        </w:tabs>
        <w:rPr>
          <w:rFonts w:eastAsiaTheme="minorEastAsia" w:cstheme="minorBidi"/>
          <w:noProof/>
        </w:rPr>
      </w:pPr>
      <w:hyperlink w:anchor="_Toc106187572" w:history="1">
        <w:r w:rsidR="0089290F" w:rsidRPr="00A167D5">
          <w:rPr>
            <w:rStyle w:val="Hyperlink"/>
            <w:noProof/>
          </w:rPr>
          <w:t>2.2  Benefits of Neonicotinoids in Row Crops</w:t>
        </w:r>
        <w:r w:rsidR="0089290F">
          <w:rPr>
            <w:noProof/>
            <w:webHidden/>
          </w:rPr>
          <w:tab/>
        </w:r>
        <w:r w:rsidR="0089290F">
          <w:rPr>
            <w:noProof/>
            <w:webHidden/>
          </w:rPr>
          <w:fldChar w:fldCharType="begin"/>
        </w:r>
        <w:r w:rsidR="0089290F">
          <w:rPr>
            <w:noProof/>
            <w:webHidden/>
          </w:rPr>
          <w:instrText xml:space="preserve"> PAGEREF _Toc106187572 \h </w:instrText>
        </w:r>
        <w:r w:rsidR="0089290F">
          <w:rPr>
            <w:noProof/>
            <w:webHidden/>
          </w:rPr>
        </w:r>
        <w:r w:rsidR="0089290F">
          <w:rPr>
            <w:noProof/>
            <w:webHidden/>
          </w:rPr>
          <w:fldChar w:fldCharType="separate"/>
        </w:r>
        <w:r w:rsidR="0089290F">
          <w:rPr>
            <w:noProof/>
            <w:webHidden/>
          </w:rPr>
          <w:t>6</w:t>
        </w:r>
        <w:r w:rsidR="0089290F">
          <w:rPr>
            <w:noProof/>
            <w:webHidden/>
          </w:rPr>
          <w:fldChar w:fldCharType="end"/>
        </w:r>
      </w:hyperlink>
    </w:p>
    <w:p w14:paraId="6D35FA38" w14:textId="0C253420" w:rsidR="0089290F" w:rsidRDefault="00C67BA4">
      <w:pPr>
        <w:pStyle w:val="TOC2"/>
        <w:tabs>
          <w:tab w:val="right" w:leader="dot" w:pos="9350"/>
        </w:tabs>
        <w:rPr>
          <w:rFonts w:eastAsiaTheme="minorEastAsia" w:cstheme="minorBidi"/>
          <w:noProof/>
        </w:rPr>
      </w:pPr>
      <w:hyperlink w:anchor="_Toc106187573" w:history="1">
        <w:r w:rsidR="0089290F" w:rsidRPr="00A167D5">
          <w:rPr>
            <w:rStyle w:val="Hyperlink"/>
            <w:noProof/>
          </w:rPr>
          <w:t>2.3  Benefits of Neonicotinoids in Specialty Fruits and Vegetables</w:t>
        </w:r>
        <w:r w:rsidR="0089290F">
          <w:rPr>
            <w:noProof/>
            <w:webHidden/>
          </w:rPr>
          <w:tab/>
        </w:r>
        <w:r w:rsidR="0089290F">
          <w:rPr>
            <w:noProof/>
            <w:webHidden/>
          </w:rPr>
          <w:fldChar w:fldCharType="begin"/>
        </w:r>
        <w:r w:rsidR="0089290F">
          <w:rPr>
            <w:noProof/>
            <w:webHidden/>
          </w:rPr>
          <w:instrText xml:space="preserve"> PAGEREF _Toc106187573 \h </w:instrText>
        </w:r>
        <w:r w:rsidR="0089290F">
          <w:rPr>
            <w:noProof/>
            <w:webHidden/>
          </w:rPr>
        </w:r>
        <w:r w:rsidR="0089290F">
          <w:rPr>
            <w:noProof/>
            <w:webHidden/>
          </w:rPr>
          <w:fldChar w:fldCharType="separate"/>
        </w:r>
        <w:r w:rsidR="0089290F">
          <w:rPr>
            <w:noProof/>
            <w:webHidden/>
          </w:rPr>
          <w:t>7</w:t>
        </w:r>
        <w:r w:rsidR="0089290F">
          <w:rPr>
            <w:noProof/>
            <w:webHidden/>
          </w:rPr>
          <w:fldChar w:fldCharType="end"/>
        </w:r>
      </w:hyperlink>
    </w:p>
    <w:p w14:paraId="4ACD1FC4" w14:textId="4ACA0EA3" w:rsidR="0089290F" w:rsidRDefault="00C67BA4">
      <w:pPr>
        <w:pStyle w:val="TOC2"/>
        <w:tabs>
          <w:tab w:val="right" w:leader="dot" w:pos="9350"/>
        </w:tabs>
        <w:rPr>
          <w:rFonts w:eastAsiaTheme="minorEastAsia" w:cstheme="minorBidi"/>
          <w:noProof/>
        </w:rPr>
      </w:pPr>
      <w:hyperlink w:anchor="_Toc106187574" w:history="1">
        <w:r w:rsidR="0089290F" w:rsidRPr="00A167D5">
          <w:rPr>
            <w:rStyle w:val="Hyperlink"/>
            <w:noProof/>
          </w:rPr>
          <w:t>2.4  Benefits of Neonicotinoids in Nursery and Floriculture</w:t>
        </w:r>
        <w:r w:rsidR="0089290F">
          <w:rPr>
            <w:noProof/>
            <w:webHidden/>
          </w:rPr>
          <w:tab/>
        </w:r>
        <w:r w:rsidR="0089290F">
          <w:rPr>
            <w:noProof/>
            <w:webHidden/>
          </w:rPr>
          <w:fldChar w:fldCharType="begin"/>
        </w:r>
        <w:r w:rsidR="0089290F">
          <w:rPr>
            <w:noProof/>
            <w:webHidden/>
          </w:rPr>
          <w:instrText xml:space="preserve"> PAGEREF _Toc106187574 \h </w:instrText>
        </w:r>
        <w:r w:rsidR="0089290F">
          <w:rPr>
            <w:noProof/>
            <w:webHidden/>
          </w:rPr>
        </w:r>
        <w:r w:rsidR="0089290F">
          <w:rPr>
            <w:noProof/>
            <w:webHidden/>
          </w:rPr>
          <w:fldChar w:fldCharType="separate"/>
        </w:r>
        <w:r w:rsidR="0089290F">
          <w:rPr>
            <w:noProof/>
            <w:webHidden/>
          </w:rPr>
          <w:t>10</w:t>
        </w:r>
        <w:r w:rsidR="0089290F">
          <w:rPr>
            <w:noProof/>
            <w:webHidden/>
          </w:rPr>
          <w:fldChar w:fldCharType="end"/>
        </w:r>
      </w:hyperlink>
    </w:p>
    <w:p w14:paraId="3A4891EC" w14:textId="41937F31" w:rsidR="0089290F" w:rsidRDefault="00C67BA4">
      <w:pPr>
        <w:pStyle w:val="TOC2"/>
        <w:tabs>
          <w:tab w:val="right" w:leader="dot" w:pos="9350"/>
        </w:tabs>
        <w:rPr>
          <w:rFonts w:eastAsiaTheme="minorEastAsia" w:cstheme="minorBidi"/>
          <w:noProof/>
        </w:rPr>
      </w:pPr>
      <w:hyperlink w:anchor="_Toc106187575" w:history="1">
        <w:r w:rsidR="0089290F" w:rsidRPr="00A167D5">
          <w:rPr>
            <w:rStyle w:val="Hyperlink"/>
            <w:noProof/>
          </w:rPr>
          <w:t>2.5  Poultry Litter</w:t>
        </w:r>
        <w:r w:rsidR="0089290F">
          <w:rPr>
            <w:noProof/>
            <w:webHidden/>
          </w:rPr>
          <w:tab/>
        </w:r>
        <w:r w:rsidR="0089290F">
          <w:rPr>
            <w:noProof/>
            <w:webHidden/>
          </w:rPr>
          <w:fldChar w:fldCharType="begin"/>
        </w:r>
        <w:r w:rsidR="0089290F">
          <w:rPr>
            <w:noProof/>
            <w:webHidden/>
          </w:rPr>
          <w:instrText xml:space="preserve"> PAGEREF _Toc106187575 \h </w:instrText>
        </w:r>
        <w:r w:rsidR="0089290F">
          <w:rPr>
            <w:noProof/>
            <w:webHidden/>
          </w:rPr>
        </w:r>
        <w:r w:rsidR="0089290F">
          <w:rPr>
            <w:noProof/>
            <w:webHidden/>
          </w:rPr>
          <w:fldChar w:fldCharType="separate"/>
        </w:r>
        <w:r w:rsidR="0089290F">
          <w:rPr>
            <w:noProof/>
            <w:webHidden/>
          </w:rPr>
          <w:t>10</w:t>
        </w:r>
        <w:r w:rsidR="0089290F">
          <w:rPr>
            <w:noProof/>
            <w:webHidden/>
          </w:rPr>
          <w:fldChar w:fldCharType="end"/>
        </w:r>
      </w:hyperlink>
    </w:p>
    <w:p w14:paraId="0D12DDE9" w14:textId="1618C5CF" w:rsidR="0089290F" w:rsidRDefault="00C67BA4">
      <w:pPr>
        <w:pStyle w:val="TOC2"/>
        <w:tabs>
          <w:tab w:val="right" w:leader="dot" w:pos="9350"/>
        </w:tabs>
        <w:rPr>
          <w:rFonts w:eastAsiaTheme="minorEastAsia" w:cstheme="minorBidi"/>
          <w:noProof/>
        </w:rPr>
      </w:pPr>
      <w:hyperlink w:anchor="_Toc106187576" w:history="1">
        <w:r w:rsidR="0089290F" w:rsidRPr="00A167D5">
          <w:rPr>
            <w:rStyle w:val="Hyperlink"/>
            <w:noProof/>
          </w:rPr>
          <w:t>2.6  Usage Data</w:t>
        </w:r>
        <w:r w:rsidR="0089290F">
          <w:rPr>
            <w:noProof/>
            <w:webHidden/>
          </w:rPr>
          <w:tab/>
        </w:r>
        <w:r w:rsidR="0089290F">
          <w:rPr>
            <w:noProof/>
            <w:webHidden/>
          </w:rPr>
          <w:fldChar w:fldCharType="begin"/>
        </w:r>
        <w:r w:rsidR="0089290F">
          <w:rPr>
            <w:noProof/>
            <w:webHidden/>
          </w:rPr>
          <w:instrText xml:space="preserve"> PAGEREF _Toc106187576 \h </w:instrText>
        </w:r>
        <w:r w:rsidR="0089290F">
          <w:rPr>
            <w:noProof/>
            <w:webHidden/>
          </w:rPr>
        </w:r>
        <w:r w:rsidR="0089290F">
          <w:rPr>
            <w:noProof/>
            <w:webHidden/>
          </w:rPr>
          <w:fldChar w:fldCharType="separate"/>
        </w:r>
        <w:r w:rsidR="0089290F">
          <w:rPr>
            <w:noProof/>
            <w:webHidden/>
          </w:rPr>
          <w:t>11</w:t>
        </w:r>
        <w:r w:rsidR="0089290F">
          <w:rPr>
            <w:noProof/>
            <w:webHidden/>
          </w:rPr>
          <w:fldChar w:fldCharType="end"/>
        </w:r>
      </w:hyperlink>
    </w:p>
    <w:p w14:paraId="27D7D896" w14:textId="2E34930B" w:rsidR="0089290F" w:rsidRDefault="00C67BA4">
      <w:pPr>
        <w:pStyle w:val="TOC2"/>
        <w:tabs>
          <w:tab w:val="right" w:leader="dot" w:pos="9350"/>
        </w:tabs>
        <w:rPr>
          <w:rFonts w:eastAsiaTheme="minorEastAsia" w:cstheme="minorBidi"/>
          <w:noProof/>
        </w:rPr>
      </w:pPr>
      <w:hyperlink w:anchor="_Toc106187577" w:history="1">
        <w:r w:rsidR="0089290F" w:rsidRPr="00A167D5">
          <w:rPr>
            <w:rStyle w:val="Hyperlink"/>
            <w:noProof/>
          </w:rPr>
          <w:t>2.7  Seed Treatment</w:t>
        </w:r>
        <w:r w:rsidR="0089290F">
          <w:rPr>
            <w:noProof/>
            <w:webHidden/>
          </w:rPr>
          <w:tab/>
        </w:r>
        <w:r w:rsidR="0089290F">
          <w:rPr>
            <w:noProof/>
            <w:webHidden/>
          </w:rPr>
          <w:fldChar w:fldCharType="begin"/>
        </w:r>
        <w:r w:rsidR="0089290F">
          <w:rPr>
            <w:noProof/>
            <w:webHidden/>
          </w:rPr>
          <w:instrText xml:space="preserve"> PAGEREF _Toc106187577 \h </w:instrText>
        </w:r>
        <w:r w:rsidR="0089290F">
          <w:rPr>
            <w:noProof/>
            <w:webHidden/>
          </w:rPr>
        </w:r>
        <w:r w:rsidR="0089290F">
          <w:rPr>
            <w:noProof/>
            <w:webHidden/>
          </w:rPr>
          <w:fldChar w:fldCharType="separate"/>
        </w:r>
        <w:r w:rsidR="0089290F">
          <w:rPr>
            <w:noProof/>
            <w:webHidden/>
          </w:rPr>
          <w:t>17</w:t>
        </w:r>
        <w:r w:rsidR="0089290F">
          <w:rPr>
            <w:noProof/>
            <w:webHidden/>
          </w:rPr>
          <w:fldChar w:fldCharType="end"/>
        </w:r>
      </w:hyperlink>
    </w:p>
    <w:p w14:paraId="1E9CBB06" w14:textId="3F3A0EA9" w:rsidR="0089290F" w:rsidRDefault="00C67BA4">
      <w:pPr>
        <w:pStyle w:val="TOC2"/>
        <w:tabs>
          <w:tab w:val="right" w:leader="dot" w:pos="9350"/>
        </w:tabs>
        <w:rPr>
          <w:rFonts w:eastAsiaTheme="minorEastAsia" w:cstheme="minorBidi"/>
          <w:noProof/>
        </w:rPr>
      </w:pPr>
      <w:hyperlink w:anchor="_Toc106187578" w:history="1">
        <w:r w:rsidR="0089290F" w:rsidRPr="00A167D5">
          <w:rPr>
            <w:rStyle w:val="Hyperlink"/>
            <w:noProof/>
          </w:rPr>
          <w:t>2.8  Assessment Methodology</w:t>
        </w:r>
        <w:r w:rsidR="0089290F">
          <w:rPr>
            <w:noProof/>
            <w:webHidden/>
          </w:rPr>
          <w:tab/>
        </w:r>
        <w:r w:rsidR="0089290F">
          <w:rPr>
            <w:noProof/>
            <w:webHidden/>
          </w:rPr>
          <w:fldChar w:fldCharType="begin"/>
        </w:r>
        <w:r w:rsidR="0089290F">
          <w:rPr>
            <w:noProof/>
            <w:webHidden/>
          </w:rPr>
          <w:instrText xml:space="preserve"> PAGEREF _Toc106187578 \h </w:instrText>
        </w:r>
        <w:r w:rsidR="0089290F">
          <w:rPr>
            <w:noProof/>
            <w:webHidden/>
          </w:rPr>
        </w:r>
        <w:r w:rsidR="0089290F">
          <w:rPr>
            <w:noProof/>
            <w:webHidden/>
          </w:rPr>
          <w:fldChar w:fldCharType="separate"/>
        </w:r>
        <w:r w:rsidR="0089290F">
          <w:rPr>
            <w:noProof/>
            <w:webHidden/>
          </w:rPr>
          <w:t>19</w:t>
        </w:r>
        <w:r w:rsidR="0089290F">
          <w:rPr>
            <w:noProof/>
            <w:webHidden/>
          </w:rPr>
          <w:fldChar w:fldCharType="end"/>
        </w:r>
      </w:hyperlink>
    </w:p>
    <w:p w14:paraId="7DBFA86C" w14:textId="699F3A43" w:rsidR="0089290F" w:rsidRDefault="00C67BA4">
      <w:pPr>
        <w:pStyle w:val="TOC1"/>
        <w:tabs>
          <w:tab w:val="right" w:leader="dot" w:pos="9350"/>
        </w:tabs>
        <w:rPr>
          <w:rFonts w:eastAsiaTheme="minorEastAsia" w:cstheme="minorBidi"/>
          <w:noProof/>
        </w:rPr>
      </w:pPr>
      <w:hyperlink w:anchor="_Toc106187579" w:history="1">
        <w:r w:rsidR="0089290F" w:rsidRPr="00A167D5">
          <w:rPr>
            <w:rStyle w:val="Hyperlink"/>
            <w:noProof/>
          </w:rPr>
          <w:t>3</w:t>
        </w:r>
        <w:r w:rsidR="0089290F">
          <w:rPr>
            <w:rFonts w:eastAsiaTheme="minorEastAsia" w:cstheme="minorBidi"/>
            <w:noProof/>
          </w:rPr>
          <w:tab/>
        </w:r>
        <w:r w:rsidR="0089290F" w:rsidRPr="00A167D5">
          <w:rPr>
            <w:rStyle w:val="Hyperlink"/>
            <w:noProof/>
          </w:rPr>
          <w:t>Responses to Public Comments Specific to Imidacloprid</w:t>
        </w:r>
        <w:r w:rsidR="0089290F">
          <w:rPr>
            <w:noProof/>
            <w:webHidden/>
          </w:rPr>
          <w:tab/>
        </w:r>
        <w:r w:rsidR="0089290F">
          <w:rPr>
            <w:noProof/>
            <w:webHidden/>
          </w:rPr>
          <w:fldChar w:fldCharType="begin"/>
        </w:r>
        <w:r w:rsidR="0089290F">
          <w:rPr>
            <w:noProof/>
            <w:webHidden/>
          </w:rPr>
          <w:instrText xml:space="preserve"> PAGEREF _Toc106187579 \h </w:instrText>
        </w:r>
        <w:r w:rsidR="0089290F">
          <w:rPr>
            <w:noProof/>
            <w:webHidden/>
          </w:rPr>
        </w:r>
        <w:r w:rsidR="0089290F">
          <w:rPr>
            <w:noProof/>
            <w:webHidden/>
          </w:rPr>
          <w:fldChar w:fldCharType="separate"/>
        </w:r>
        <w:r w:rsidR="0089290F">
          <w:rPr>
            <w:noProof/>
            <w:webHidden/>
          </w:rPr>
          <w:t>30</w:t>
        </w:r>
        <w:r w:rsidR="0089290F">
          <w:rPr>
            <w:noProof/>
            <w:webHidden/>
          </w:rPr>
          <w:fldChar w:fldCharType="end"/>
        </w:r>
      </w:hyperlink>
    </w:p>
    <w:p w14:paraId="3CAD2FDF" w14:textId="2A4E604D" w:rsidR="0089290F" w:rsidRDefault="00C67BA4">
      <w:pPr>
        <w:pStyle w:val="TOC1"/>
        <w:tabs>
          <w:tab w:val="right" w:leader="dot" w:pos="9350"/>
        </w:tabs>
        <w:rPr>
          <w:rFonts w:eastAsiaTheme="minorEastAsia" w:cstheme="minorBidi"/>
          <w:noProof/>
        </w:rPr>
      </w:pPr>
      <w:hyperlink w:anchor="_Toc106187580" w:history="1">
        <w:r w:rsidR="0089290F" w:rsidRPr="00A167D5">
          <w:rPr>
            <w:rStyle w:val="Hyperlink"/>
            <w:noProof/>
          </w:rPr>
          <w:t>4</w:t>
        </w:r>
        <w:r w:rsidR="0089290F">
          <w:rPr>
            <w:rFonts w:eastAsiaTheme="minorEastAsia" w:cstheme="minorBidi"/>
            <w:noProof/>
          </w:rPr>
          <w:tab/>
        </w:r>
        <w:r w:rsidR="0089290F" w:rsidRPr="00A167D5">
          <w:rPr>
            <w:rStyle w:val="Hyperlink"/>
            <w:noProof/>
          </w:rPr>
          <w:t>Responses to Public Comments Specific to Thiamethoxam</w:t>
        </w:r>
        <w:r w:rsidR="0089290F">
          <w:rPr>
            <w:noProof/>
            <w:webHidden/>
          </w:rPr>
          <w:tab/>
        </w:r>
        <w:r w:rsidR="0089290F">
          <w:rPr>
            <w:noProof/>
            <w:webHidden/>
          </w:rPr>
          <w:fldChar w:fldCharType="begin"/>
        </w:r>
        <w:r w:rsidR="0089290F">
          <w:rPr>
            <w:noProof/>
            <w:webHidden/>
          </w:rPr>
          <w:instrText xml:space="preserve"> PAGEREF _Toc106187580 \h </w:instrText>
        </w:r>
        <w:r w:rsidR="0089290F">
          <w:rPr>
            <w:noProof/>
            <w:webHidden/>
          </w:rPr>
        </w:r>
        <w:r w:rsidR="0089290F">
          <w:rPr>
            <w:noProof/>
            <w:webHidden/>
          </w:rPr>
          <w:fldChar w:fldCharType="separate"/>
        </w:r>
        <w:r w:rsidR="0089290F">
          <w:rPr>
            <w:noProof/>
            <w:webHidden/>
          </w:rPr>
          <w:t>41</w:t>
        </w:r>
        <w:r w:rsidR="0089290F">
          <w:rPr>
            <w:noProof/>
            <w:webHidden/>
          </w:rPr>
          <w:fldChar w:fldCharType="end"/>
        </w:r>
      </w:hyperlink>
    </w:p>
    <w:p w14:paraId="5B124292" w14:textId="1CFB4726" w:rsidR="0089290F" w:rsidRDefault="00C67BA4">
      <w:pPr>
        <w:pStyle w:val="TOC1"/>
        <w:tabs>
          <w:tab w:val="right" w:leader="dot" w:pos="9350"/>
        </w:tabs>
        <w:rPr>
          <w:rFonts w:eastAsiaTheme="minorEastAsia" w:cstheme="minorBidi"/>
          <w:noProof/>
        </w:rPr>
      </w:pPr>
      <w:hyperlink w:anchor="_Toc106187581" w:history="1">
        <w:r w:rsidR="0089290F" w:rsidRPr="00A167D5">
          <w:rPr>
            <w:rStyle w:val="Hyperlink"/>
            <w:noProof/>
          </w:rPr>
          <w:t>5</w:t>
        </w:r>
        <w:r w:rsidR="0089290F">
          <w:rPr>
            <w:rFonts w:eastAsiaTheme="minorEastAsia" w:cstheme="minorBidi"/>
            <w:noProof/>
          </w:rPr>
          <w:tab/>
        </w:r>
        <w:r w:rsidR="0089290F" w:rsidRPr="00A167D5">
          <w:rPr>
            <w:rStyle w:val="Hyperlink"/>
            <w:noProof/>
          </w:rPr>
          <w:t>Responses to Public Comments Specific to Clothianidin</w:t>
        </w:r>
        <w:r w:rsidR="0089290F">
          <w:rPr>
            <w:noProof/>
            <w:webHidden/>
          </w:rPr>
          <w:tab/>
        </w:r>
        <w:r w:rsidR="0089290F">
          <w:rPr>
            <w:noProof/>
            <w:webHidden/>
          </w:rPr>
          <w:fldChar w:fldCharType="begin"/>
        </w:r>
        <w:r w:rsidR="0089290F">
          <w:rPr>
            <w:noProof/>
            <w:webHidden/>
          </w:rPr>
          <w:instrText xml:space="preserve"> PAGEREF _Toc106187581 \h </w:instrText>
        </w:r>
        <w:r w:rsidR="0089290F">
          <w:rPr>
            <w:noProof/>
            <w:webHidden/>
          </w:rPr>
        </w:r>
        <w:r w:rsidR="0089290F">
          <w:rPr>
            <w:noProof/>
            <w:webHidden/>
          </w:rPr>
          <w:fldChar w:fldCharType="separate"/>
        </w:r>
        <w:r w:rsidR="0089290F">
          <w:rPr>
            <w:noProof/>
            <w:webHidden/>
          </w:rPr>
          <w:t>45</w:t>
        </w:r>
        <w:r w:rsidR="0089290F">
          <w:rPr>
            <w:noProof/>
            <w:webHidden/>
          </w:rPr>
          <w:fldChar w:fldCharType="end"/>
        </w:r>
      </w:hyperlink>
    </w:p>
    <w:p w14:paraId="6690BC98" w14:textId="7891BB2A" w:rsidR="0089290F" w:rsidRDefault="00C67BA4">
      <w:pPr>
        <w:pStyle w:val="TOC1"/>
        <w:tabs>
          <w:tab w:val="right" w:leader="dot" w:pos="9350"/>
        </w:tabs>
        <w:rPr>
          <w:rFonts w:eastAsiaTheme="minorEastAsia" w:cstheme="minorBidi"/>
          <w:noProof/>
        </w:rPr>
      </w:pPr>
      <w:hyperlink w:anchor="_Toc106187582" w:history="1">
        <w:r w:rsidR="0089290F" w:rsidRPr="00A167D5">
          <w:rPr>
            <w:rStyle w:val="Hyperlink"/>
            <w:noProof/>
          </w:rPr>
          <w:t>Appendix A.  List of Commenters for Neonicotinoid BEs</w:t>
        </w:r>
        <w:r w:rsidR="0089290F">
          <w:rPr>
            <w:noProof/>
            <w:webHidden/>
          </w:rPr>
          <w:tab/>
        </w:r>
        <w:r w:rsidR="0089290F">
          <w:rPr>
            <w:noProof/>
            <w:webHidden/>
          </w:rPr>
          <w:fldChar w:fldCharType="begin"/>
        </w:r>
        <w:r w:rsidR="0089290F">
          <w:rPr>
            <w:noProof/>
            <w:webHidden/>
          </w:rPr>
          <w:instrText xml:space="preserve"> PAGEREF _Toc106187582 \h </w:instrText>
        </w:r>
        <w:r w:rsidR="0089290F">
          <w:rPr>
            <w:noProof/>
            <w:webHidden/>
          </w:rPr>
        </w:r>
        <w:r w:rsidR="0089290F">
          <w:rPr>
            <w:noProof/>
            <w:webHidden/>
          </w:rPr>
          <w:fldChar w:fldCharType="separate"/>
        </w:r>
        <w:r w:rsidR="0089290F">
          <w:rPr>
            <w:noProof/>
            <w:webHidden/>
          </w:rPr>
          <w:t>52</w:t>
        </w:r>
        <w:r w:rsidR="0089290F">
          <w:rPr>
            <w:noProof/>
            <w:webHidden/>
          </w:rPr>
          <w:fldChar w:fldCharType="end"/>
        </w:r>
      </w:hyperlink>
    </w:p>
    <w:p w14:paraId="59A00017" w14:textId="4525E3B0" w:rsidR="0089290F" w:rsidRDefault="00C67BA4">
      <w:pPr>
        <w:pStyle w:val="TOC1"/>
        <w:tabs>
          <w:tab w:val="right" w:leader="dot" w:pos="9350"/>
        </w:tabs>
        <w:rPr>
          <w:rFonts w:eastAsiaTheme="minorEastAsia" w:cstheme="minorBidi"/>
          <w:noProof/>
        </w:rPr>
      </w:pPr>
      <w:hyperlink w:anchor="_Toc106187583" w:history="1">
        <w:r w:rsidR="0089290F" w:rsidRPr="00A167D5">
          <w:rPr>
            <w:rStyle w:val="Hyperlink"/>
            <w:noProof/>
          </w:rPr>
          <w:t>Appendix B.  Monitoring Data Analysis for Neonicotinoids in Wastewater Treatment Plants (WWTPs)</w:t>
        </w:r>
        <w:r w:rsidR="0089290F">
          <w:rPr>
            <w:noProof/>
            <w:webHidden/>
          </w:rPr>
          <w:tab/>
        </w:r>
        <w:r w:rsidR="0089290F">
          <w:rPr>
            <w:noProof/>
            <w:webHidden/>
          </w:rPr>
          <w:fldChar w:fldCharType="begin"/>
        </w:r>
        <w:r w:rsidR="0089290F">
          <w:rPr>
            <w:noProof/>
            <w:webHidden/>
          </w:rPr>
          <w:instrText xml:space="preserve"> PAGEREF _Toc106187583 \h </w:instrText>
        </w:r>
        <w:r w:rsidR="0089290F">
          <w:rPr>
            <w:noProof/>
            <w:webHidden/>
          </w:rPr>
        </w:r>
        <w:r w:rsidR="0089290F">
          <w:rPr>
            <w:noProof/>
            <w:webHidden/>
          </w:rPr>
          <w:fldChar w:fldCharType="separate"/>
        </w:r>
        <w:r w:rsidR="0089290F">
          <w:rPr>
            <w:noProof/>
            <w:webHidden/>
          </w:rPr>
          <w:t>55</w:t>
        </w:r>
        <w:r w:rsidR="0089290F">
          <w:rPr>
            <w:noProof/>
            <w:webHidden/>
          </w:rPr>
          <w:fldChar w:fldCharType="end"/>
        </w:r>
      </w:hyperlink>
    </w:p>
    <w:p w14:paraId="10A5E0AC" w14:textId="6A304945" w:rsidR="0009763B" w:rsidRDefault="0009763B" w:rsidP="005859DB">
      <w:pPr>
        <w:rPr>
          <w:b/>
          <w:bCs/>
          <w:highlight w:val="yellow"/>
        </w:rPr>
      </w:pPr>
      <w:r>
        <w:rPr>
          <w:b/>
          <w:bCs/>
          <w:highlight w:val="yellow"/>
        </w:rPr>
        <w:fldChar w:fldCharType="end"/>
      </w:r>
    </w:p>
    <w:p w14:paraId="355AC315" w14:textId="77777777" w:rsidR="0009763B" w:rsidRPr="004D51BC" w:rsidRDefault="0009763B" w:rsidP="005859DB">
      <w:pPr>
        <w:rPr>
          <w:b/>
          <w:bCs/>
          <w:highlight w:val="yellow"/>
        </w:rPr>
      </w:pPr>
    </w:p>
    <w:p w14:paraId="14965F54" w14:textId="71A10D45" w:rsidR="003F358D" w:rsidRPr="00920929" w:rsidRDefault="003F358D" w:rsidP="005859DB">
      <w:pPr>
        <w:pStyle w:val="Heading1"/>
      </w:pPr>
      <w:bookmarkStart w:id="27" w:name="_Toc66463609"/>
      <w:bookmarkStart w:id="28" w:name="_Toc87380181"/>
      <w:bookmarkStart w:id="29" w:name="_Toc106187569"/>
      <w:r w:rsidRPr="00920929">
        <w:t xml:space="preserve">1 </w:t>
      </w:r>
      <w:r w:rsidRPr="00920929">
        <w:tab/>
        <w:t>Introduction</w:t>
      </w:r>
      <w:bookmarkEnd w:id="27"/>
      <w:bookmarkEnd w:id="28"/>
      <w:bookmarkEnd w:id="29"/>
    </w:p>
    <w:p w14:paraId="43F037FF" w14:textId="77777777" w:rsidR="002E25B2" w:rsidRPr="00115F96" w:rsidRDefault="002E25B2" w:rsidP="005859DB">
      <w:pPr>
        <w:pStyle w:val="Default"/>
        <w:rPr>
          <w:rFonts w:asciiTheme="minorHAnsi" w:hAnsiTheme="minorHAnsi" w:cstheme="minorHAnsi"/>
          <w:sz w:val="22"/>
          <w:szCs w:val="22"/>
        </w:rPr>
      </w:pPr>
    </w:p>
    <w:p w14:paraId="01005710" w14:textId="54504A67" w:rsidR="004E61EA" w:rsidRDefault="002E25B2" w:rsidP="005859DB">
      <w:pPr>
        <w:pStyle w:val="Default"/>
        <w:rPr>
          <w:rFonts w:asciiTheme="minorHAnsi" w:hAnsiTheme="minorHAnsi" w:cstheme="minorHAnsi"/>
          <w:sz w:val="22"/>
          <w:szCs w:val="22"/>
        </w:rPr>
      </w:pPr>
      <w:r w:rsidRPr="00115F96">
        <w:rPr>
          <w:rFonts w:asciiTheme="minorHAnsi" w:hAnsiTheme="minorHAnsi" w:cstheme="minorHAnsi"/>
          <w:sz w:val="22"/>
          <w:szCs w:val="22"/>
        </w:rPr>
        <w:t xml:space="preserve">This </w:t>
      </w:r>
      <w:r w:rsidR="001513A2" w:rsidRPr="0F8E5146">
        <w:rPr>
          <w:rFonts w:asciiTheme="minorHAnsi" w:hAnsiTheme="minorHAnsi" w:cstheme="minorBidi"/>
          <w:sz w:val="22"/>
          <w:szCs w:val="22"/>
        </w:rPr>
        <w:t xml:space="preserve">response to comments (RTC) </w:t>
      </w:r>
      <w:r w:rsidR="00B968B9" w:rsidRPr="00115F96">
        <w:rPr>
          <w:rFonts w:asciiTheme="minorHAnsi" w:hAnsiTheme="minorHAnsi" w:cstheme="minorHAnsi"/>
          <w:sz w:val="22"/>
          <w:szCs w:val="22"/>
        </w:rPr>
        <w:t>document provides</w:t>
      </w:r>
      <w:r w:rsidRPr="00115F96">
        <w:rPr>
          <w:rFonts w:asciiTheme="minorHAnsi" w:hAnsiTheme="minorHAnsi" w:cstheme="minorHAnsi"/>
          <w:sz w:val="22"/>
          <w:szCs w:val="22"/>
        </w:rPr>
        <w:t xml:space="preserve"> the response of the Environmental </w:t>
      </w:r>
      <w:r w:rsidR="00BA771B">
        <w:rPr>
          <w:rFonts w:asciiTheme="minorHAnsi" w:hAnsiTheme="minorHAnsi" w:cstheme="minorHAnsi"/>
          <w:sz w:val="22"/>
          <w:szCs w:val="22"/>
        </w:rPr>
        <w:t>Protection Agency</w:t>
      </w:r>
      <w:r w:rsidRPr="00115F96">
        <w:rPr>
          <w:rFonts w:asciiTheme="minorHAnsi" w:hAnsiTheme="minorHAnsi" w:cstheme="minorHAnsi"/>
          <w:sz w:val="22"/>
          <w:szCs w:val="22"/>
        </w:rPr>
        <w:t xml:space="preserve"> (E</w:t>
      </w:r>
      <w:r w:rsidR="00BA771B">
        <w:rPr>
          <w:rFonts w:asciiTheme="minorHAnsi" w:hAnsiTheme="minorHAnsi" w:cstheme="minorHAnsi"/>
          <w:sz w:val="22"/>
          <w:szCs w:val="22"/>
        </w:rPr>
        <w:t>PA</w:t>
      </w:r>
      <w:r w:rsidRPr="00115F96">
        <w:rPr>
          <w:rFonts w:asciiTheme="minorHAnsi" w:hAnsiTheme="minorHAnsi" w:cstheme="minorHAnsi"/>
          <w:sz w:val="22"/>
          <w:szCs w:val="22"/>
        </w:rPr>
        <w:t>) to public comments</w:t>
      </w:r>
      <w:r w:rsidR="007E77B2">
        <w:rPr>
          <w:rFonts w:asciiTheme="minorHAnsi" w:hAnsiTheme="minorHAnsi" w:cstheme="minorHAnsi"/>
          <w:sz w:val="22"/>
          <w:szCs w:val="22"/>
        </w:rPr>
        <w:t xml:space="preserve"> received </w:t>
      </w:r>
      <w:r w:rsidR="007C6D74">
        <w:rPr>
          <w:rFonts w:asciiTheme="minorHAnsi" w:hAnsiTheme="minorHAnsi" w:cstheme="minorHAnsi"/>
          <w:sz w:val="22"/>
          <w:szCs w:val="22"/>
        </w:rPr>
        <w:t xml:space="preserve">regarding the </w:t>
      </w:r>
      <w:r w:rsidR="007C6D74" w:rsidRPr="007C6D74">
        <w:rPr>
          <w:rFonts w:asciiTheme="minorHAnsi" w:hAnsiTheme="minorHAnsi" w:cstheme="minorHAnsi"/>
          <w:sz w:val="22"/>
          <w:szCs w:val="22"/>
        </w:rPr>
        <w:t xml:space="preserve">draft </w:t>
      </w:r>
      <w:r w:rsidR="007C6D74">
        <w:rPr>
          <w:rFonts w:asciiTheme="minorHAnsi" w:hAnsiTheme="minorHAnsi" w:cstheme="minorHAnsi"/>
          <w:sz w:val="22"/>
          <w:szCs w:val="22"/>
        </w:rPr>
        <w:t xml:space="preserve">national-level listed species </w:t>
      </w:r>
      <w:r w:rsidR="007C6D74" w:rsidRPr="007C6D74">
        <w:rPr>
          <w:rFonts w:asciiTheme="minorHAnsi" w:hAnsiTheme="minorHAnsi" w:cstheme="minorHAnsi"/>
          <w:sz w:val="22"/>
          <w:szCs w:val="22"/>
        </w:rPr>
        <w:t xml:space="preserve">biological evaluations (BE) for </w:t>
      </w:r>
      <w:r w:rsidR="007C6D74">
        <w:rPr>
          <w:rFonts w:asciiTheme="minorHAnsi" w:hAnsiTheme="minorHAnsi" w:cstheme="minorHAnsi"/>
          <w:sz w:val="22"/>
          <w:szCs w:val="22"/>
        </w:rPr>
        <w:t>three</w:t>
      </w:r>
      <w:r w:rsidRPr="00115F96">
        <w:rPr>
          <w:rFonts w:asciiTheme="minorHAnsi" w:hAnsiTheme="minorHAnsi" w:cstheme="minorHAnsi"/>
          <w:sz w:val="22"/>
          <w:szCs w:val="22"/>
        </w:rPr>
        <w:t xml:space="preserve"> </w:t>
      </w:r>
      <w:r w:rsidR="00942B96" w:rsidRPr="00115F96">
        <w:rPr>
          <w:rFonts w:asciiTheme="minorHAnsi" w:hAnsiTheme="minorHAnsi" w:cstheme="minorHAnsi"/>
          <w:sz w:val="22"/>
          <w:szCs w:val="22"/>
        </w:rPr>
        <w:t>neonicotinoid</w:t>
      </w:r>
      <w:r w:rsidRPr="00115F96">
        <w:rPr>
          <w:rFonts w:asciiTheme="minorHAnsi" w:hAnsiTheme="minorHAnsi" w:cstheme="minorHAnsi"/>
          <w:sz w:val="22"/>
          <w:szCs w:val="22"/>
        </w:rPr>
        <w:t xml:space="preserve"> insecticides</w:t>
      </w:r>
      <w:r w:rsidR="00942B96" w:rsidRPr="00115F96">
        <w:rPr>
          <w:rFonts w:asciiTheme="minorHAnsi" w:hAnsiTheme="minorHAnsi" w:cstheme="minorHAnsi"/>
          <w:sz w:val="22"/>
          <w:szCs w:val="22"/>
        </w:rPr>
        <w:t>:</w:t>
      </w:r>
      <w:r w:rsidRPr="00115F96">
        <w:rPr>
          <w:rFonts w:asciiTheme="minorHAnsi" w:hAnsiTheme="minorHAnsi" w:cstheme="minorHAnsi"/>
          <w:sz w:val="22"/>
          <w:szCs w:val="22"/>
        </w:rPr>
        <w:t xml:space="preserve"> imidacloprid</w:t>
      </w:r>
      <w:r w:rsidR="007D3EEB" w:rsidRPr="00115F96">
        <w:rPr>
          <w:rFonts w:asciiTheme="minorHAnsi" w:hAnsiTheme="minorHAnsi" w:cstheme="minorHAnsi"/>
          <w:sz w:val="22"/>
          <w:szCs w:val="22"/>
        </w:rPr>
        <w:t xml:space="preserve"> (IMI)</w:t>
      </w:r>
      <w:r w:rsidRPr="00115F96">
        <w:rPr>
          <w:rFonts w:asciiTheme="minorHAnsi" w:hAnsiTheme="minorHAnsi" w:cstheme="minorHAnsi"/>
          <w:sz w:val="22"/>
          <w:szCs w:val="22"/>
        </w:rPr>
        <w:t>, thiamethoxam</w:t>
      </w:r>
      <w:r w:rsidR="007D3EEB" w:rsidRPr="00115F96">
        <w:rPr>
          <w:rFonts w:asciiTheme="minorHAnsi" w:hAnsiTheme="minorHAnsi" w:cstheme="minorHAnsi"/>
          <w:sz w:val="22"/>
          <w:szCs w:val="22"/>
        </w:rPr>
        <w:t xml:space="preserve"> (THIA)</w:t>
      </w:r>
      <w:r w:rsidR="007C6D74">
        <w:rPr>
          <w:rFonts w:asciiTheme="minorHAnsi" w:hAnsiTheme="minorHAnsi" w:cstheme="minorHAnsi"/>
          <w:sz w:val="22"/>
          <w:szCs w:val="22"/>
        </w:rPr>
        <w:t xml:space="preserve">, and </w:t>
      </w:r>
      <w:r w:rsidR="007C6D74" w:rsidRPr="00115F96">
        <w:rPr>
          <w:rFonts w:asciiTheme="minorHAnsi" w:hAnsiTheme="minorHAnsi" w:cstheme="minorHAnsi"/>
          <w:sz w:val="22"/>
          <w:szCs w:val="22"/>
        </w:rPr>
        <w:t>clothianidin (CLO)</w:t>
      </w:r>
      <w:r w:rsidRPr="00115F96">
        <w:rPr>
          <w:rFonts w:asciiTheme="minorHAnsi" w:hAnsiTheme="minorHAnsi" w:cstheme="minorHAnsi"/>
          <w:sz w:val="22"/>
          <w:szCs w:val="22"/>
        </w:rPr>
        <w:t xml:space="preserve">. </w:t>
      </w:r>
      <w:r w:rsidR="005B35F9">
        <w:rPr>
          <w:rFonts w:asciiTheme="minorHAnsi" w:hAnsiTheme="minorHAnsi" w:cstheme="minorHAnsi"/>
          <w:sz w:val="22"/>
          <w:szCs w:val="22"/>
        </w:rPr>
        <w:t xml:space="preserve">This document </w:t>
      </w:r>
      <w:r w:rsidR="00187A76">
        <w:rPr>
          <w:rFonts w:asciiTheme="minorHAnsi" w:hAnsiTheme="minorHAnsi" w:cstheme="minorHAnsi"/>
          <w:sz w:val="22"/>
          <w:szCs w:val="22"/>
        </w:rPr>
        <w:t xml:space="preserve">includes responses </w:t>
      </w:r>
      <w:r w:rsidR="00544770">
        <w:rPr>
          <w:rFonts w:asciiTheme="minorHAnsi" w:hAnsiTheme="minorHAnsi" w:cstheme="minorHAnsi"/>
          <w:sz w:val="22"/>
          <w:szCs w:val="22"/>
        </w:rPr>
        <w:t>from the Office of Pesticide Programs’ (OPP) Environmental Fate and Effects Division</w:t>
      </w:r>
      <w:r w:rsidR="00187A76">
        <w:rPr>
          <w:rFonts w:asciiTheme="minorHAnsi" w:hAnsiTheme="minorHAnsi" w:cstheme="minorHAnsi"/>
          <w:sz w:val="22"/>
          <w:szCs w:val="22"/>
        </w:rPr>
        <w:t xml:space="preserve"> </w:t>
      </w:r>
      <w:r w:rsidR="00544770">
        <w:rPr>
          <w:rFonts w:asciiTheme="minorHAnsi" w:hAnsiTheme="minorHAnsi" w:cstheme="minorHAnsi"/>
          <w:sz w:val="22"/>
          <w:szCs w:val="22"/>
        </w:rPr>
        <w:t xml:space="preserve">(EFED), </w:t>
      </w:r>
      <w:r w:rsidR="00E07A5F" w:rsidRPr="00E07A5F">
        <w:rPr>
          <w:rFonts w:asciiTheme="minorHAnsi" w:hAnsiTheme="minorHAnsi" w:cstheme="minorHAnsi"/>
          <w:sz w:val="22"/>
          <w:szCs w:val="22"/>
        </w:rPr>
        <w:t>Biological and Economic Analysis Division</w:t>
      </w:r>
      <w:r w:rsidR="00E07A5F">
        <w:rPr>
          <w:rFonts w:asciiTheme="minorHAnsi" w:hAnsiTheme="minorHAnsi" w:cstheme="minorHAnsi"/>
          <w:sz w:val="22"/>
          <w:szCs w:val="22"/>
        </w:rPr>
        <w:t xml:space="preserve"> </w:t>
      </w:r>
      <w:r w:rsidR="00544770">
        <w:rPr>
          <w:rFonts w:asciiTheme="minorHAnsi" w:hAnsiTheme="minorHAnsi" w:cstheme="minorHAnsi"/>
          <w:sz w:val="22"/>
          <w:szCs w:val="22"/>
        </w:rPr>
        <w:t xml:space="preserve">(BEAD), </w:t>
      </w:r>
      <w:r w:rsidR="00E07A5F">
        <w:rPr>
          <w:rFonts w:asciiTheme="minorHAnsi" w:hAnsiTheme="minorHAnsi" w:cstheme="minorHAnsi"/>
          <w:sz w:val="22"/>
          <w:szCs w:val="22"/>
        </w:rPr>
        <w:t xml:space="preserve">and </w:t>
      </w:r>
      <w:r w:rsidR="00496AA4">
        <w:rPr>
          <w:rFonts w:asciiTheme="minorHAnsi" w:hAnsiTheme="minorHAnsi" w:cstheme="minorHAnsi"/>
          <w:sz w:val="22"/>
          <w:szCs w:val="22"/>
        </w:rPr>
        <w:t>Pesticide Re-evaluation Division</w:t>
      </w:r>
      <w:r w:rsidR="00544770">
        <w:rPr>
          <w:rFonts w:asciiTheme="minorHAnsi" w:hAnsiTheme="minorHAnsi" w:cstheme="minorHAnsi"/>
          <w:sz w:val="22"/>
          <w:szCs w:val="22"/>
        </w:rPr>
        <w:t xml:space="preserve"> (PRD) to </w:t>
      </w:r>
      <w:r w:rsidR="00E92A13">
        <w:rPr>
          <w:rFonts w:asciiTheme="minorHAnsi" w:hAnsiTheme="minorHAnsi" w:cstheme="minorHAnsi"/>
          <w:sz w:val="22"/>
          <w:szCs w:val="22"/>
        </w:rPr>
        <w:t xml:space="preserve">division-relevant </w:t>
      </w:r>
      <w:r w:rsidR="00544770">
        <w:rPr>
          <w:rFonts w:asciiTheme="minorHAnsi" w:hAnsiTheme="minorHAnsi" w:cstheme="minorHAnsi"/>
          <w:sz w:val="22"/>
          <w:szCs w:val="22"/>
        </w:rPr>
        <w:t>comments</w:t>
      </w:r>
      <w:r w:rsidR="005B35F9">
        <w:rPr>
          <w:rFonts w:asciiTheme="minorHAnsi" w:hAnsiTheme="minorHAnsi" w:cstheme="minorHAnsi"/>
          <w:sz w:val="22"/>
          <w:szCs w:val="22"/>
        </w:rPr>
        <w:t xml:space="preserve">. </w:t>
      </w:r>
    </w:p>
    <w:p w14:paraId="21A39738" w14:textId="77777777" w:rsidR="004E61EA" w:rsidRDefault="004E61EA" w:rsidP="005859DB">
      <w:pPr>
        <w:pStyle w:val="Default"/>
        <w:rPr>
          <w:rFonts w:asciiTheme="minorHAnsi" w:hAnsiTheme="minorHAnsi" w:cstheme="minorHAnsi"/>
          <w:sz w:val="22"/>
          <w:szCs w:val="22"/>
        </w:rPr>
      </w:pPr>
    </w:p>
    <w:p w14:paraId="77D5045E" w14:textId="07ACCB42" w:rsidR="00B968B9" w:rsidRPr="00115F96" w:rsidRDefault="00B968B9" w:rsidP="005859DB">
      <w:pPr>
        <w:pStyle w:val="Default"/>
        <w:rPr>
          <w:rFonts w:asciiTheme="minorHAnsi" w:hAnsiTheme="minorHAnsi" w:cstheme="minorBidi"/>
          <w:sz w:val="22"/>
          <w:szCs w:val="22"/>
        </w:rPr>
      </w:pPr>
      <w:r w:rsidRPr="60630911">
        <w:rPr>
          <w:rFonts w:asciiTheme="minorHAnsi" w:hAnsiTheme="minorHAnsi" w:cstheme="minorBidi"/>
          <w:sz w:val="22"/>
          <w:szCs w:val="22"/>
        </w:rPr>
        <w:t xml:space="preserve">This </w:t>
      </w:r>
      <w:r w:rsidR="001513A2" w:rsidRPr="60630911">
        <w:rPr>
          <w:rFonts w:asciiTheme="minorHAnsi" w:hAnsiTheme="minorHAnsi" w:cstheme="minorBidi"/>
          <w:sz w:val="22"/>
          <w:szCs w:val="22"/>
        </w:rPr>
        <w:t xml:space="preserve">RTC </w:t>
      </w:r>
      <w:r w:rsidRPr="60630911">
        <w:rPr>
          <w:rFonts w:asciiTheme="minorHAnsi" w:hAnsiTheme="minorHAnsi" w:cstheme="minorBidi"/>
          <w:sz w:val="22"/>
          <w:szCs w:val="22"/>
        </w:rPr>
        <w:t xml:space="preserve">document </w:t>
      </w:r>
      <w:r w:rsidR="003F358D" w:rsidRPr="60630911">
        <w:rPr>
          <w:rFonts w:asciiTheme="minorHAnsi" w:hAnsiTheme="minorHAnsi" w:cstheme="minorBidi"/>
          <w:sz w:val="22"/>
          <w:szCs w:val="22"/>
        </w:rPr>
        <w:t>has five</w:t>
      </w:r>
      <w:r w:rsidR="007E77B2" w:rsidRPr="60630911">
        <w:rPr>
          <w:rFonts w:asciiTheme="minorHAnsi" w:hAnsiTheme="minorHAnsi" w:cstheme="minorBidi"/>
          <w:sz w:val="22"/>
          <w:szCs w:val="22"/>
        </w:rPr>
        <w:t xml:space="preserve"> sections</w:t>
      </w:r>
      <w:r w:rsidR="00A83B87" w:rsidRPr="60630911">
        <w:rPr>
          <w:rFonts w:asciiTheme="minorHAnsi" w:hAnsiTheme="minorHAnsi" w:cstheme="minorBidi"/>
          <w:sz w:val="22"/>
          <w:szCs w:val="22"/>
        </w:rPr>
        <w:t xml:space="preserve">. </w:t>
      </w:r>
      <w:r w:rsidR="00A83B87" w:rsidRPr="60630911">
        <w:rPr>
          <w:rFonts w:asciiTheme="minorHAnsi" w:hAnsiTheme="minorHAnsi" w:cstheme="minorBidi"/>
          <w:b/>
          <w:bCs/>
          <w:sz w:val="22"/>
          <w:szCs w:val="22"/>
        </w:rPr>
        <w:t>Section 1</w:t>
      </w:r>
      <w:r w:rsidR="007E77B2" w:rsidRPr="60630911">
        <w:rPr>
          <w:rFonts w:asciiTheme="minorHAnsi" w:hAnsiTheme="minorHAnsi" w:cstheme="minorBidi"/>
          <w:sz w:val="22"/>
          <w:szCs w:val="22"/>
        </w:rPr>
        <w:t xml:space="preserve"> </w:t>
      </w:r>
      <w:r w:rsidR="003F358D" w:rsidRPr="60630911">
        <w:rPr>
          <w:rFonts w:asciiTheme="minorHAnsi" w:hAnsiTheme="minorHAnsi" w:cstheme="minorBidi"/>
          <w:sz w:val="22"/>
          <w:szCs w:val="22"/>
        </w:rPr>
        <w:t xml:space="preserve">is the introduction. </w:t>
      </w:r>
      <w:r w:rsidR="003F358D" w:rsidRPr="60630911">
        <w:rPr>
          <w:rFonts w:asciiTheme="minorHAnsi" w:hAnsiTheme="minorHAnsi" w:cstheme="minorBidi"/>
          <w:b/>
          <w:bCs/>
          <w:sz w:val="22"/>
          <w:szCs w:val="22"/>
        </w:rPr>
        <w:t>Section 2</w:t>
      </w:r>
      <w:r w:rsidR="007E77B2" w:rsidRPr="60630911">
        <w:rPr>
          <w:rFonts w:asciiTheme="minorHAnsi" w:hAnsiTheme="minorHAnsi" w:cstheme="minorBidi"/>
          <w:sz w:val="22"/>
          <w:szCs w:val="22"/>
        </w:rPr>
        <w:t xml:space="preserve"> </w:t>
      </w:r>
      <w:r w:rsidRPr="60630911">
        <w:rPr>
          <w:rFonts w:asciiTheme="minorHAnsi" w:hAnsiTheme="minorHAnsi" w:cstheme="minorBidi"/>
          <w:sz w:val="22"/>
          <w:szCs w:val="22"/>
        </w:rPr>
        <w:t>res</w:t>
      </w:r>
      <w:r w:rsidR="002B3956" w:rsidRPr="60630911">
        <w:rPr>
          <w:rFonts w:asciiTheme="minorHAnsi" w:hAnsiTheme="minorHAnsi" w:cstheme="minorBidi"/>
          <w:sz w:val="22"/>
          <w:szCs w:val="22"/>
        </w:rPr>
        <w:t>ponds to public comments that a</w:t>
      </w:r>
      <w:r w:rsidRPr="60630911">
        <w:rPr>
          <w:rFonts w:asciiTheme="minorHAnsi" w:hAnsiTheme="minorHAnsi" w:cstheme="minorBidi"/>
          <w:sz w:val="22"/>
          <w:szCs w:val="22"/>
        </w:rPr>
        <w:t>re common across</w:t>
      </w:r>
      <w:r w:rsidR="00FC2F1B" w:rsidRPr="60630911">
        <w:rPr>
          <w:rFonts w:asciiTheme="minorHAnsi" w:hAnsiTheme="minorHAnsi" w:cstheme="minorBidi"/>
          <w:sz w:val="22"/>
          <w:szCs w:val="22"/>
        </w:rPr>
        <w:t xml:space="preserve"> all </w:t>
      </w:r>
      <w:r w:rsidR="004F3BFF" w:rsidRPr="60630911">
        <w:rPr>
          <w:rFonts w:asciiTheme="minorHAnsi" w:hAnsiTheme="minorHAnsi" w:cstheme="minorBidi"/>
          <w:sz w:val="22"/>
          <w:szCs w:val="22"/>
        </w:rPr>
        <w:t>three</w:t>
      </w:r>
      <w:r w:rsidR="009038BE" w:rsidRPr="60630911">
        <w:rPr>
          <w:rFonts w:asciiTheme="minorHAnsi" w:hAnsiTheme="minorHAnsi" w:cstheme="minorBidi"/>
          <w:sz w:val="22"/>
          <w:szCs w:val="22"/>
        </w:rPr>
        <w:t xml:space="preserve"> neonicotinoid </w:t>
      </w:r>
      <w:r w:rsidR="00FC2F1B" w:rsidRPr="60630911">
        <w:rPr>
          <w:rFonts w:asciiTheme="minorHAnsi" w:hAnsiTheme="minorHAnsi" w:cstheme="minorBidi"/>
          <w:sz w:val="22"/>
          <w:szCs w:val="22"/>
        </w:rPr>
        <w:t>active ingredient</w:t>
      </w:r>
      <w:r w:rsidR="00A83B87" w:rsidRPr="60630911">
        <w:rPr>
          <w:rFonts w:asciiTheme="minorHAnsi" w:hAnsiTheme="minorHAnsi" w:cstheme="minorBidi"/>
          <w:sz w:val="22"/>
          <w:szCs w:val="22"/>
        </w:rPr>
        <w:t>s</w:t>
      </w:r>
      <w:r w:rsidR="006E3DFE" w:rsidRPr="60630911">
        <w:rPr>
          <w:rFonts w:asciiTheme="minorHAnsi" w:hAnsiTheme="minorHAnsi" w:cstheme="minorBidi"/>
          <w:sz w:val="22"/>
          <w:szCs w:val="22"/>
        </w:rPr>
        <w:t xml:space="preserve"> (a.i.)</w:t>
      </w:r>
      <w:r w:rsidR="00A83B87" w:rsidRPr="60630911">
        <w:rPr>
          <w:rFonts w:asciiTheme="minorHAnsi" w:hAnsiTheme="minorHAnsi" w:cstheme="minorBidi"/>
          <w:sz w:val="22"/>
          <w:szCs w:val="22"/>
        </w:rPr>
        <w:t xml:space="preserve">. These comments are more general in nature and either apply across all a.i.s or did not </w:t>
      </w:r>
      <w:r w:rsidR="00796D4C" w:rsidRPr="60630911">
        <w:rPr>
          <w:rFonts w:asciiTheme="minorHAnsi" w:hAnsiTheme="minorHAnsi" w:cstheme="minorBidi"/>
          <w:sz w:val="22"/>
          <w:szCs w:val="22"/>
        </w:rPr>
        <w:t>require</w:t>
      </w:r>
      <w:r w:rsidR="00A83B87" w:rsidRPr="60630911">
        <w:rPr>
          <w:rFonts w:asciiTheme="minorHAnsi" w:hAnsiTheme="minorHAnsi" w:cstheme="minorBidi"/>
          <w:sz w:val="22"/>
          <w:szCs w:val="22"/>
        </w:rPr>
        <w:t xml:space="preserve"> an in-depth scientific analysis or response.</w:t>
      </w:r>
      <w:r w:rsidR="00776D12" w:rsidRPr="60630911">
        <w:rPr>
          <w:rFonts w:asciiTheme="minorHAnsi" w:hAnsiTheme="minorHAnsi" w:cstheme="minorBidi"/>
          <w:sz w:val="22"/>
          <w:szCs w:val="22"/>
        </w:rPr>
        <w:t xml:space="preserve"> </w:t>
      </w:r>
      <w:r w:rsidR="00A83B87" w:rsidRPr="60630911">
        <w:rPr>
          <w:rFonts w:asciiTheme="minorHAnsi" w:hAnsiTheme="minorHAnsi" w:cstheme="minorBidi"/>
          <w:b/>
          <w:bCs/>
          <w:sz w:val="22"/>
          <w:szCs w:val="22"/>
        </w:rPr>
        <w:t xml:space="preserve">Sections </w:t>
      </w:r>
      <w:r w:rsidR="003F358D" w:rsidRPr="60630911">
        <w:rPr>
          <w:rFonts w:asciiTheme="minorHAnsi" w:hAnsiTheme="minorHAnsi" w:cstheme="minorBidi"/>
          <w:b/>
          <w:bCs/>
          <w:sz w:val="22"/>
          <w:szCs w:val="22"/>
        </w:rPr>
        <w:t>3</w:t>
      </w:r>
      <w:r w:rsidR="00A83B87" w:rsidRPr="60630911">
        <w:rPr>
          <w:rFonts w:asciiTheme="minorHAnsi" w:hAnsiTheme="minorHAnsi" w:cstheme="minorBidi"/>
          <w:b/>
          <w:bCs/>
          <w:sz w:val="22"/>
          <w:szCs w:val="22"/>
        </w:rPr>
        <w:t xml:space="preserve"> – </w:t>
      </w:r>
      <w:r w:rsidR="003F358D" w:rsidRPr="60630911">
        <w:rPr>
          <w:rFonts w:asciiTheme="minorHAnsi" w:hAnsiTheme="minorHAnsi" w:cstheme="minorBidi"/>
          <w:b/>
          <w:bCs/>
          <w:sz w:val="22"/>
          <w:szCs w:val="22"/>
        </w:rPr>
        <w:t>5</w:t>
      </w:r>
      <w:r w:rsidR="00A83B87" w:rsidRPr="60630911">
        <w:rPr>
          <w:rFonts w:asciiTheme="minorHAnsi" w:hAnsiTheme="minorHAnsi" w:cstheme="minorBidi"/>
          <w:sz w:val="22"/>
          <w:szCs w:val="22"/>
        </w:rPr>
        <w:t xml:space="preserve"> are </w:t>
      </w:r>
      <w:r w:rsidR="007E77B2" w:rsidRPr="60630911">
        <w:rPr>
          <w:rFonts w:asciiTheme="minorHAnsi" w:hAnsiTheme="minorHAnsi" w:cstheme="minorBidi"/>
          <w:sz w:val="22"/>
          <w:szCs w:val="22"/>
        </w:rPr>
        <w:t xml:space="preserve">chemical-specific sections for each of the </w:t>
      </w:r>
      <w:r w:rsidR="004F3BFF" w:rsidRPr="60630911">
        <w:rPr>
          <w:rFonts w:asciiTheme="minorHAnsi" w:hAnsiTheme="minorHAnsi" w:cstheme="minorBidi"/>
          <w:sz w:val="22"/>
          <w:szCs w:val="22"/>
        </w:rPr>
        <w:t>three</w:t>
      </w:r>
      <w:r w:rsidR="007E77B2" w:rsidRPr="60630911">
        <w:rPr>
          <w:rFonts w:asciiTheme="minorHAnsi" w:hAnsiTheme="minorHAnsi" w:cstheme="minorBidi"/>
          <w:sz w:val="22"/>
          <w:szCs w:val="22"/>
        </w:rPr>
        <w:t xml:space="preserve"> active ingredients</w:t>
      </w:r>
      <w:r w:rsidR="004E61EA" w:rsidRPr="60630911">
        <w:rPr>
          <w:rFonts w:asciiTheme="minorHAnsi" w:hAnsiTheme="minorHAnsi" w:cstheme="minorBidi"/>
          <w:sz w:val="22"/>
          <w:szCs w:val="22"/>
        </w:rPr>
        <w:t xml:space="preserve"> imidacloprid, thiamethoxam</w:t>
      </w:r>
      <w:r w:rsidR="004F3BFF" w:rsidRPr="60630911">
        <w:rPr>
          <w:rFonts w:asciiTheme="minorHAnsi" w:hAnsiTheme="minorHAnsi" w:cstheme="minorBidi"/>
          <w:sz w:val="22"/>
          <w:szCs w:val="22"/>
        </w:rPr>
        <w:t>, and clothianidin</w:t>
      </w:r>
      <w:r w:rsidR="00A83B87" w:rsidRPr="60630911">
        <w:rPr>
          <w:rFonts w:asciiTheme="minorHAnsi" w:hAnsiTheme="minorHAnsi" w:cstheme="minorBidi"/>
          <w:sz w:val="22"/>
          <w:szCs w:val="22"/>
        </w:rPr>
        <w:t>.</w:t>
      </w:r>
      <w:r w:rsidR="00911AD9" w:rsidRPr="60630911">
        <w:rPr>
          <w:rFonts w:asciiTheme="minorHAnsi" w:hAnsiTheme="minorHAnsi" w:cstheme="minorBidi"/>
          <w:sz w:val="22"/>
          <w:szCs w:val="22"/>
        </w:rPr>
        <w:t xml:space="preserve"> A list of all </w:t>
      </w:r>
      <w:r w:rsidR="00DC3C60">
        <w:rPr>
          <w:rFonts w:asciiTheme="minorHAnsi" w:hAnsiTheme="minorHAnsi" w:cstheme="minorBidi"/>
          <w:sz w:val="22"/>
          <w:szCs w:val="22"/>
        </w:rPr>
        <w:t>commenter</w:t>
      </w:r>
      <w:r w:rsidR="00911AD9" w:rsidRPr="60630911">
        <w:rPr>
          <w:rFonts w:asciiTheme="minorHAnsi" w:hAnsiTheme="minorHAnsi" w:cstheme="minorBidi"/>
          <w:sz w:val="22"/>
          <w:szCs w:val="22"/>
        </w:rPr>
        <w:t xml:space="preserve">s is provided in </w:t>
      </w:r>
      <w:r w:rsidR="00911AD9" w:rsidRPr="60630911">
        <w:rPr>
          <w:rFonts w:asciiTheme="minorHAnsi" w:hAnsiTheme="minorHAnsi" w:cstheme="minorBidi"/>
          <w:b/>
          <w:bCs/>
          <w:sz w:val="22"/>
          <w:szCs w:val="22"/>
        </w:rPr>
        <w:t>Appendix A</w:t>
      </w:r>
      <w:r w:rsidR="006E7D01" w:rsidRPr="008B7371">
        <w:rPr>
          <w:rFonts w:asciiTheme="minorHAnsi" w:hAnsiTheme="minorHAnsi" w:cstheme="minorBidi"/>
          <w:sz w:val="22"/>
          <w:szCs w:val="22"/>
        </w:rPr>
        <w:t>.</w:t>
      </w:r>
      <w:r w:rsidR="00911AD9" w:rsidRPr="60630911">
        <w:rPr>
          <w:rFonts w:asciiTheme="minorHAnsi" w:hAnsiTheme="minorHAnsi" w:cstheme="minorBidi"/>
          <w:sz w:val="22"/>
          <w:szCs w:val="22"/>
        </w:rPr>
        <w:t xml:space="preserve"> </w:t>
      </w:r>
      <w:r w:rsidR="00911AD9" w:rsidRPr="60630911">
        <w:rPr>
          <w:rFonts w:asciiTheme="minorHAnsi" w:hAnsiTheme="minorHAnsi" w:cstheme="minorBidi"/>
          <w:b/>
          <w:bCs/>
          <w:sz w:val="22"/>
          <w:szCs w:val="22"/>
        </w:rPr>
        <w:t>Appendix B</w:t>
      </w:r>
      <w:r w:rsidR="00911AD9" w:rsidRPr="60630911">
        <w:rPr>
          <w:rFonts w:asciiTheme="minorHAnsi" w:hAnsiTheme="minorHAnsi" w:cstheme="minorBidi"/>
          <w:sz w:val="22"/>
          <w:szCs w:val="22"/>
        </w:rPr>
        <w:t xml:space="preserve"> address</w:t>
      </w:r>
      <w:r w:rsidR="006E7D01" w:rsidRPr="60630911">
        <w:rPr>
          <w:rFonts w:asciiTheme="minorHAnsi" w:hAnsiTheme="minorHAnsi" w:cstheme="minorBidi"/>
          <w:sz w:val="22"/>
          <w:szCs w:val="22"/>
        </w:rPr>
        <w:t>es</w:t>
      </w:r>
      <w:r w:rsidR="00911AD9" w:rsidRPr="60630911">
        <w:rPr>
          <w:rFonts w:asciiTheme="minorHAnsi" w:hAnsiTheme="minorHAnsi" w:cstheme="minorBidi"/>
          <w:sz w:val="22"/>
          <w:szCs w:val="22"/>
        </w:rPr>
        <w:t xml:space="preserve"> monitoring data associated with wastewater treatment plant discharge and how the levels compare to </w:t>
      </w:r>
      <w:r w:rsidR="004D65BE">
        <w:rPr>
          <w:rFonts w:asciiTheme="minorHAnsi" w:hAnsiTheme="minorHAnsi" w:cstheme="minorBidi"/>
          <w:sz w:val="22"/>
          <w:szCs w:val="22"/>
        </w:rPr>
        <w:t xml:space="preserve">estimated </w:t>
      </w:r>
      <w:r w:rsidR="00796D4C" w:rsidRPr="60630911">
        <w:rPr>
          <w:rFonts w:asciiTheme="minorHAnsi" w:hAnsiTheme="minorHAnsi" w:cstheme="minorBidi"/>
          <w:sz w:val="22"/>
          <w:szCs w:val="22"/>
        </w:rPr>
        <w:t xml:space="preserve">environmental </w:t>
      </w:r>
      <w:r w:rsidR="004D65BE">
        <w:rPr>
          <w:rFonts w:asciiTheme="minorHAnsi" w:hAnsiTheme="minorHAnsi" w:cstheme="minorBidi"/>
          <w:sz w:val="22"/>
          <w:szCs w:val="22"/>
        </w:rPr>
        <w:t>concentrations (EEC)</w:t>
      </w:r>
      <w:r w:rsidR="001E5F87">
        <w:rPr>
          <w:rFonts w:asciiTheme="minorHAnsi" w:hAnsiTheme="minorHAnsi" w:cstheme="minorBidi"/>
          <w:sz w:val="22"/>
          <w:szCs w:val="22"/>
        </w:rPr>
        <w:t xml:space="preserve"> </w:t>
      </w:r>
      <w:r w:rsidR="004D65BE">
        <w:rPr>
          <w:rFonts w:asciiTheme="minorHAnsi" w:hAnsiTheme="minorHAnsi" w:cstheme="minorBidi"/>
          <w:sz w:val="22"/>
          <w:szCs w:val="22"/>
        </w:rPr>
        <w:t>reported</w:t>
      </w:r>
      <w:r w:rsidR="00911AD9" w:rsidRPr="60630911">
        <w:rPr>
          <w:rFonts w:asciiTheme="minorHAnsi" w:hAnsiTheme="minorHAnsi" w:cstheme="minorBidi"/>
          <w:sz w:val="22"/>
          <w:szCs w:val="22"/>
        </w:rPr>
        <w:t xml:space="preserve"> in the BEs.  </w:t>
      </w:r>
    </w:p>
    <w:p w14:paraId="3DCFB13C" w14:textId="77777777" w:rsidR="004E61EA" w:rsidRDefault="004E61EA" w:rsidP="005859DB">
      <w:pPr>
        <w:pStyle w:val="Default"/>
        <w:rPr>
          <w:rFonts w:asciiTheme="minorHAnsi" w:hAnsiTheme="minorHAnsi" w:cstheme="minorHAnsi"/>
          <w:sz w:val="22"/>
          <w:szCs w:val="22"/>
        </w:rPr>
      </w:pPr>
    </w:p>
    <w:p w14:paraId="6C8A3ACD" w14:textId="599CA4F0" w:rsidR="00463D08" w:rsidRDefault="0061303C" w:rsidP="005859DB">
      <w:pPr>
        <w:rPr>
          <w:rFonts w:asciiTheme="minorHAnsi" w:hAnsiTheme="minorHAnsi" w:cstheme="minorHAnsi"/>
          <w:bCs/>
        </w:rPr>
      </w:pPr>
      <w:r>
        <w:rPr>
          <w:rFonts w:asciiTheme="minorHAnsi" w:hAnsiTheme="minorHAnsi"/>
        </w:rPr>
        <w:t>A total of 473</w:t>
      </w:r>
      <w:r w:rsidR="009E4B70" w:rsidRPr="009E4B70">
        <w:rPr>
          <w:rFonts w:asciiTheme="minorHAnsi" w:hAnsiTheme="minorHAnsi" w:cstheme="minorHAnsi"/>
          <w:bCs/>
        </w:rPr>
        <w:t xml:space="preserve"> comment</w:t>
      </w:r>
      <w:r>
        <w:rPr>
          <w:rFonts w:asciiTheme="minorHAnsi" w:hAnsiTheme="minorHAnsi" w:cstheme="minorHAnsi"/>
          <w:bCs/>
        </w:rPr>
        <w:t xml:space="preserve"> document</w:t>
      </w:r>
      <w:r w:rsidR="009E4B70" w:rsidRPr="009E4B70">
        <w:rPr>
          <w:rFonts w:asciiTheme="minorHAnsi" w:hAnsiTheme="minorHAnsi" w:cstheme="minorHAnsi"/>
          <w:bCs/>
        </w:rPr>
        <w:t xml:space="preserve">s </w:t>
      </w:r>
      <w:r>
        <w:rPr>
          <w:rFonts w:asciiTheme="minorHAnsi" w:hAnsiTheme="minorHAnsi" w:cstheme="minorHAnsi"/>
          <w:bCs/>
        </w:rPr>
        <w:t xml:space="preserve">were submitted to the docket in </w:t>
      </w:r>
      <w:hyperlink r:id="rId16" w:history="1">
        <w:r w:rsidR="009A6AAF" w:rsidRPr="0018404E">
          <w:rPr>
            <w:rStyle w:val="Hyperlink"/>
            <w:rFonts w:asciiTheme="minorHAnsi" w:hAnsiTheme="minorHAnsi" w:cstheme="minorHAnsi"/>
            <w:bCs/>
          </w:rPr>
          <w:t>www.regulations.gov</w:t>
        </w:r>
      </w:hyperlink>
      <w:r w:rsidR="009A6AAF">
        <w:rPr>
          <w:rFonts w:asciiTheme="minorHAnsi" w:hAnsiTheme="minorHAnsi" w:cstheme="minorHAnsi"/>
          <w:bCs/>
        </w:rPr>
        <w:t xml:space="preserve"> </w:t>
      </w:r>
      <w:r w:rsidR="009E4B70" w:rsidRPr="009E4B70">
        <w:rPr>
          <w:rFonts w:asciiTheme="minorHAnsi" w:hAnsiTheme="minorHAnsi" w:cstheme="minorHAnsi"/>
          <w:bCs/>
        </w:rPr>
        <w:t>pertain</w:t>
      </w:r>
      <w:r>
        <w:rPr>
          <w:rFonts w:asciiTheme="minorHAnsi" w:hAnsiTheme="minorHAnsi" w:cstheme="minorHAnsi"/>
          <w:bCs/>
        </w:rPr>
        <w:t>ing</w:t>
      </w:r>
      <w:r w:rsidR="009E4B70" w:rsidRPr="009E4B70">
        <w:rPr>
          <w:rFonts w:asciiTheme="minorHAnsi" w:hAnsiTheme="minorHAnsi" w:cstheme="minorHAnsi"/>
          <w:bCs/>
        </w:rPr>
        <w:t xml:space="preserve"> to the draft </w:t>
      </w:r>
      <w:r>
        <w:rPr>
          <w:rFonts w:asciiTheme="minorHAnsi" w:hAnsiTheme="minorHAnsi" w:cstheme="minorHAnsi"/>
          <w:bCs/>
        </w:rPr>
        <w:t>BEs</w:t>
      </w:r>
      <w:r w:rsidR="009E4B70" w:rsidRPr="009E4B70">
        <w:rPr>
          <w:rFonts w:asciiTheme="minorHAnsi" w:hAnsiTheme="minorHAnsi" w:cstheme="minorHAnsi"/>
          <w:bCs/>
        </w:rPr>
        <w:t xml:space="preserve"> for </w:t>
      </w:r>
      <w:r w:rsidR="009E4B70">
        <w:rPr>
          <w:rFonts w:asciiTheme="minorHAnsi" w:hAnsiTheme="minorHAnsi" w:cstheme="minorHAnsi"/>
          <w:bCs/>
        </w:rPr>
        <w:t>the three neonicotinoids</w:t>
      </w:r>
      <w:r w:rsidR="00AC62D4">
        <w:rPr>
          <w:rFonts w:asciiTheme="minorHAnsi" w:hAnsiTheme="minorHAnsi" w:cstheme="minorHAnsi"/>
          <w:bCs/>
        </w:rPr>
        <w:t xml:space="preserve"> (docket ID: </w:t>
      </w:r>
      <w:r w:rsidR="00AC62D4" w:rsidRPr="0061303C">
        <w:rPr>
          <w:rFonts w:asciiTheme="minorHAnsi" w:hAnsiTheme="minorHAnsi" w:cstheme="minorHAnsi"/>
          <w:bCs/>
        </w:rPr>
        <w:t>EPA-HQ-OPP-2021-0575</w:t>
      </w:r>
      <w:r w:rsidR="00AC62D4">
        <w:rPr>
          <w:rFonts w:asciiTheme="minorHAnsi" w:hAnsiTheme="minorHAnsi" w:cstheme="minorHAnsi"/>
          <w:bCs/>
        </w:rPr>
        <w:t>)</w:t>
      </w:r>
      <w:r w:rsidR="009E4B70" w:rsidRPr="009E4B70">
        <w:rPr>
          <w:rFonts w:asciiTheme="minorHAnsi" w:hAnsiTheme="minorHAnsi" w:cstheme="minorHAnsi"/>
          <w:bCs/>
        </w:rPr>
        <w:t xml:space="preserve">. </w:t>
      </w:r>
      <w:r w:rsidR="00867304">
        <w:rPr>
          <w:rFonts w:asciiTheme="minorHAnsi" w:hAnsiTheme="minorHAnsi" w:cstheme="minorHAnsi"/>
          <w:bCs/>
        </w:rPr>
        <w:t xml:space="preserve">These included </w:t>
      </w:r>
      <w:r w:rsidR="00C946D7">
        <w:rPr>
          <w:rFonts w:asciiTheme="minorHAnsi" w:hAnsiTheme="minorHAnsi" w:cstheme="minorHAnsi"/>
          <w:bCs/>
        </w:rPr>
        <w:t xml:space="preserve">approximately </w:t>
      </w:r>
      <w:r w:rsidR="00867304">
        <w:rPr>
          <w:rFonts w:asciiTheme="minorHAnsi" w:hAnsiTheme="minorHAnsi" w:cstheme="minorHAnsi"/>
          <w:bCs/>
        </w:rPr>
        <w:t xml:space="preserve">350 comments from individuals and 7 </w:t>
      </w:r>
      <w:r w:rsidR="009E4B70" w:rsidRPr="009E4B70">
        <w:rPr>
          <w:rFonts w:asciiTheme="minorHAnsi" w:hAnsiTheme="minorHAnsi" w:cstheme="minorHAnsi"/>
          <w:bCs/>
        </w:rPr>
        <w:t xml:space="preserve">mass mail campaigns </w:t>
      </w:r>
      <w:r w:rsidR="00867304">
        <w:rPr>
          <w:rFonts w:asciiTheme="minorHAnsi" w:hAnsiTheme="minorHAnsi" w:cstheme="minorHAnsi"/>
          <w:bCs/>
        </w:rPr>
        <w:t>with</w:t>
      </w:r>
      <w:r w:rsidR="009E4B70" w:rsidRPr="009E4B70">
        <w:rPr>
          <w:rFonts w:asciiTheme="minorHAnsi" w:hAnsiTheme="minorHAnsi" w:cstheme="minorHAnsi"/>
          <w:bCs/>
        </w:rPr>
        <w:t xml:space="preserve"> a total of approximately </w:t>
      </w:r>
      <w:r w:rsidR="00826AF1">
        <w:rPr>
          <w:rFonts w:asciiTheme="minorHAnsi" w:hAnsiTheme="minorHAnsi" w:cstheme="minorHAnsi"/>
          <w:bCs/>
        </w:rPr>
        <w:t>6</w:t>
      </w:r>
      <w:r w:rsidR="00867304">
        <w:rPr>
          <w:rFonts w:asciiTheme="minorHAnsi" w:hAnsiTheme="minorHAnsi" w:cstheme="minorHAnsi"/>
          <w:bCs/>
        </w:rPr>
        <w:t>7</w:t>
      </w:r>
      <w:r w:rsidR="00826AF1">
        <w:rPr>
          <w:rFonts w:asciiTheme="minorHAnsi" w:hAnsiTheme="minorHAnsi" w:cstheme="minorHAnsi"/>
          <w:bCs/>
        </w:rPr>
        <w:t xml:space="preserve">,000 </w:t>
      </w:r>
      <w:r w:rsidR="009E4B70" w:rsidRPr="009E4B70">
        <w:rPr>
          <w:rFonts w:asciiTheme="minorHAnsi" w:hAnsiTheme="minorHAnsi" w:cstheme="minorHAnsi"/>
          <w:bCs/>
        </w:rPr>
        <w:t>signatures</w:t>
      </w:r>
      <w:r w:rsidR="009E4B70">
        <w:rPr>
          <w:rFonts w:asciiTheme="minorHAnsi" w:hAnsiTheme="minorHAnsi" w:cstheme="minorHAnsi"/>
          <w:bCs/>
        </w:rPr>
        <w:t>.</w:t>
      </w:r>
      <w:r w:rsidR="009E4B70" w:rsidRPr="009E4B70">
        <w:rPr>
          <w:rFonts w:asciiTheme="minorHAnsi" w:hAnsiTheme="minorHAnsi" w:cstheme="minorHAnsi"/>
          <w:bCs/>
        </w:rPr>
        <w:t xml:space="preserve"> </w:t>
      </w:r>
      <w:r w:rsidR="00867304">
        <w:rPr>
          <w:rFonts w:asciiTheme="minorHAnsi" w:hAnsiTheme="minorHAnsi" w:cstheme="minorHAnsi"/>
          <w:bCs/>
        </w:rPr>
        <w:t>C</w:t>
      </w:r>
      <w:r w:rsidR="009E4B70" w:rsidRPr="009E4B70">
        <w:rPr>
          <w:rFonts w:asciiTheme="minorHAnsi" w:hAnsiTheme="minorHAnsi" w:cstheme="minorHAnsi"/>
          <w:bCs/>
        </w:rPr>
        <w:t xml:space="preserve">omments were </w:t>
      </w:r>
      <w:r w:rsidR="00867304">
        <w:rPr>
          <w:rFonts w:asciiTheme="minorHAnsi" w:hAnsiTheme="minorHAnsi" w:cstheme="minorHAnsi"/>
          <w:bCs/>
        </w:rPr>
        <w:t xml:space="preserve">also </w:t>
      </w:r>
      <w:r w:rsidR="009E4B70" w:rsidRPr="009E4B70">
        <w:rPr>
          <w:rFonts w:asciiTheme="minorHAnsi" w:hAnsiTheme="minorHAnsi" w:cstheme="minorHAnsi"/>
          <w:bCs/>
        </w:rPr>
        <w:t>submitted by various stakeholder</w:t>
      </w:r>
      <w:r w:rsidR="00867304">
        <w:rPr>
          <w:rFonts w:asciiTheme="minorHAnsi" w:hAnsiTheme="minorHAnsi" w:cstheme="minorHAnsi"/>
          <w:bCs/>
        </w:rPr>
        <w:t xml:space="preserve"> organization</w:t>
      </w:r>
      <w:r w:rsidR="009E4B70" w:rsidRPr="009E4B70">
        <w:rPr>
          <w:rFonts w:asciiTheme="minorHAnsi" w:hAnsiTheme="minorHAnsi" w:cstheme="minorHAnsi"/>
          <w:bCs/>
        </w:rPr>
        <w:t xml:space="preserve">s, including </w:t>
      </w:r>
      <w:r w:rsidR="00867304" w:rsidRPr="009E4B70">
        <w:rPr>
          <w:rFonts w:asciiTheme="minorHAnsi" w:hAnsiTheme="minorHAnsi" w:cstheme="minorHAnsi"/>
          <w:bCs/>
        </w:rPr>
        <w:t xml:space="preserve">environmental </w:t>
      </w:r>
      <w:r w:rsidR="00867304">
        <w:rPr>
          <w:rFonts w:asciiTheme="minorHAnsi" w:hAnsiTheme="minorHAnsi" w:cstheme="minorHAnsi"/>
          <w:bCs/>
        </w:rPr>
        <w:t xml:space="preserve">and other </w:t>
      </w:r>
      <w:r w:rsidR="00867304" w:rsidRPr="009E4B70">
        <w:rPr>
          <w:rFonts w:asciiTheme="minorHAnsi" w:hAnsiTheme="minorHAnsi" w:cstheme="minorHAnsi"/>
          <w:bCs/>
        </w:rPr>
        <w:t>non-governmental organizations</w:t>
      </w:r>
      <w:r w:rsidR="00867304">
        <w:rPr>
          <w:rFonts w:asciiTheme="minorHAnsi" w:hAnsiTheme="minorHAnsi" w:cstheme="minorHAnsi"/>
          <w:bCs/>
        </w:rPr>
        <w:t>;</w:t>
      </w:r>
      <w:r w:rsidR="00867304" w:rsidRPr="009E4B70">
        <w:rPr>
          <w:rFonts w:asciiTheme="minorHAnsi" w:hAnsiTheme="minorHAnsi" w:cstheme="minorHAnsi"/>
          <w:bCs/>
        </w:rPr>
        <w:t xml:space="preserve"> </w:t>
      </w:r>
      <w:r w:rsidR="009E4B70" w:rsidRPr="009E4B70">
        <w:rPr>
          <w:rFonts w:asciiTheme="minorHAnsi" w:hAnsiTheme="minorHAnsi" w:cstheme="minorHAnsi"/>
          <w:bCs/>
        </w:rPr>
        <w:t>pesticide registrants</w:t>
      </w:r>
      <w:r w:rsidR="00867304">
        <w:rPr>
          <w:rFonts w:asciiTheme="minorHAnsi" w:hAnsiTheme="minorHAnsi" w:cstheme="minorHAnsi"/>
          <w:bCs/>
        </w:rPr>
        <w:t xml:space="preserve"> and</w:t>
      </w:r>
      <w:r w:rsidR="009E4B70" w:rsidRPr="009E4B70">
        <w:rPr>
          <w:rFonts w:asciiTheme="minorHAnsi" w:hAnsiTheme="minorHAnsi" w:cstheme="minorHAnsi"/>
          <w:bCs/>
        </w:rPr>
        <w:t xml:space="preserve"> registrant groups</w:t>
      </w:r>
      <w:r w:rsidR="00867304">
        <w:rPr>
          <w:rFonts w:asciiTheme="minorHAnsi" w:hAnsiTheme="minorHAnsi" w:cstheme="minorHAnsi"/>
          <w:bCs/>
        </w:rPr>
        <w:t xml:space="preserve">, </w:t>
      </w:r>
      <w:r w:rsidR="009E4B70" w:rsidRPr="009E4B70">
        <w:rPr>
          <w:rFonts w:asciiTheme="minorHAnsi" w:hAnsiTheme="minorHAnsi" w:cstheme="minorHAnsi"/>
          <w:bCs/>
        </w:rPr>
        <w:lastRenderedPageBreak/>
        <w:t xml:space="preserve">affiliates, </w:t>
      </w:r>
      <w:r w:rsidR="00867304">
        <w:rPr>
          <w:rFonts w:asciiTheme="minorHAnsi" w:hAnsiTheme="minorHAnsi" w:cstheme="minorHAnsi"/>
          <w:bCs/>
        </w:rPr>
        <w:t xml:space="preserve">and consultants; </w:t>
      </w:r>
      <w:r w:rsidR="005F05ED">
        <w:rPr>
          <w:rFonts w:asciiTheme="minorHAnsi" w:hAnsiTheme="minorHAnsi" w:cstheme="minorHAnsi"/>
          <w:bCs/>
        </w:rPr>
        <w:t xml:space="preserve">commercial associations; farm bureaus; </w:t>
      </w:r>
      <w:r w:rsidR="009E4B70" w:rsidRPr="009E4B70">
        <w:rPr>
          <w:rFonts w:asciiTheme="minorHAnsi" w:hAnsiTheme="minorHAnsi" w:cstheme="minorHAnsi"/>
          <w:bCs/>
        </w:rPr>
        <w:t>grower</w:t>
      </w:r>
      <w:r w:rsidR="005F05ED">
        <w:rPr>
          <w:rFonts w:asciiTheme="minorHAnsi" w:hAnsiTheme="minorHAnsi" w:cstheme="minorHAnsi"/>
          <w:bCs/>
        </w:rPr>
        <w:t>s;</w:t>
      </w:r>
      <w:r w:rsidR="009E4B70" w:rsidRPr="009E4B70">
        <w:rPr>
          <w:rFonts w:asciiTheme="minorHAnsi" w:hAnsiTheme="minorHAnsi" w:cstheme="minorHAnsi"/>
          <w:bCs/>
        </w:rPr>
        <w:t xml:space="preserve"> </w:t>
      </w:r>
      <w:r w:rsidR="005F05ED">
        <w:rPr>
          <w:rFonts w:asciiTheme="minorHAnsi" w:hAnsiTheme="minorHAnsi" w:cstheme="minorHAnsi"/>
          <w:bCs/>
        </w:rPr>
        <w:t xml:space="preserve">academic organizations; </w:t>
      </w:r>
      <w:r w:rsidR="009E4B70" w:rsidRPr="009E4B70">
        <w:rPr>
          <w:rFonts w:asciiTheme="minorHAnsi" w:hAnsiTheme="minorHAnsi" w:cstheme="minorHAnsi"/>
          <w:bCs/>
        </w:rPr>
        <w:t xml:space="preserve">and </w:t>
      </w:r>
      <w:r w:rsidR="005F05ED">
        <w:rPr>
          <w:rFonts w:asciiTheme="minorHAnsi" w:hAnsiTheme="minorHAnsi" w:cstheme="minorHAnsi"/>
          <w:bCs/>
        </w:rPr>
        <w:t>loc</w:t>
      </w:r>
      <w:r w:rsidR="009E4B70" w:rsidRPr="009E4B70">
        <w:rPr>
          <w:rFonts w:asciiTheme="minorHAnsi" w:hAnsiTheme="minorHAnsi" w:cstheme="minorHAnsi"/>
          <w:bCs/>
        </w:rPr>
        <w:t>al</w:t>
      </w:r>
      <w:r w:rsidR="005F05ED">
        <w:rPr>
          <w:rFonts w:asciiTheme="minorHAnsi" w:hAnsiTheme="minorHAnsi" w:cstheme="minorHAnsi"/>
          <w:bCs/>
        </w:rPr>
        <w:t>, state, and federal government agencies</w:t>
      </w:r>
      <w:r w:rsidR="009E4B70" w:rsidRPr="009E4B70">
        <w:rPr>
          <w:rFonts w:asciiTheme="minorHAnsi" w:hAnsiTheme="minorHAnsi" w:cstheme="minorHAnsi"/>
          <w:bCs/>
        </w:rPr>
        <w:t xml:space="preserve">. A list of all </w:t>
      </w:r>
      <w:r w:rsidR="00DC3C60">
        <w:rPr>
          <w:rFonts w:asciiTheme="minorHAnsi" w:hAnsiTheme="minorHAnsi" w:cstheme="minorHAnsi"/>
          <w:bCs/>
        </w:rPr>
        <w:t>commenter</w:t>
      </w:r>
      <w:r w:rsidR="009E4B70" w:rsidRPr="009E4B70">
        <w:rPr>
          <w:rFonts w:asciiTheme="minorHAnsi" w:hAnsiTheme="minorHAnsi" w:cstheme="minorHAnsi"/>
          <w:bCs/>
        </w:rPr>
        <w:t xml:space="preserve">s is provided in </w:t>
      </w:r>
      <w:r w:rsidR="009E4B70" w:rsidRPr="00826AF1">
        <w:rPr>
          <w:rFonts w:asciiTheme="minorHAnsi" w:hAnsiTheme="minorHAnsi" w:cstheme="minorHAnsi"/>
          <w:b/>
        </w:rPr>
        <w:t>Appendix A</w:t>
      </w:r>
      <w:r w:rsidR="009E4B70" w:rsidRPr="009E4B70">
        <w:rPr>
          <w:rFonts w:asciiTheme="minorHAnsi" w:hAnsiTheme="minorHAnsi" w:cstheme="minorHAnsi"/>
          <w:bCs/>
        </w:rPr>
        <w:t xml:space="preserve"> (note that individual</w:t>
      </w:r>
      <w:r w:rsidR="00503F8E">
        <w:rPr>
          <w:rFonts w:asciiTheme="minorHAnsi" w:hAnsiTheme="minorHAnsi" w:cstheme="minorHAnsi"/>
          <w:bCs/>
        </w:rPr>
        <w:t xml:space="preserve"> citizen</w:t>
      </w:r>
      <w:r w:rsidR="009E4B70" w:rsidRPr="009E4B70">
        <w:rPr>
          <w:rFonts w:asciiTheme="minorHAnsi" w:hAnsiTheme="minorHAnsi" w:cstheme="minorHAnsi"/>
          <w:bCs/>
        </w:rPr>
        <w:t xml:space="preserve"> </w:t>
      </w:r>
      <w:r w:rsidR="00DC3C60">
        <w:rPr>
          <w:rFonts w:asciiTheme="minorHAnsi" w:hAnsiTheme="minorHAnsi" w:cstheme="minorHAnsi"/>
          <w:bCs/>
        </w:rPr>
        <w:t>commenter</w:t>
      </w:r>
      <w:r w:rsidR="009E4B70" w:rsidRPr="009E4B70">
        <w:rPr>
          <w:rFonts w:asciiTheme="minorHAnsi" w:hAnsiTheme="minorHAnsi" w:cstheme="minorHAnsi"/>
          <w:bCs/>
        </w:rPr>
        <w:t xml:space="preserve">s are not listed individually). </w:t>
      </w:r>
      <w:r w:rsidR="00B4664D">
        <w:rPr>
          <w:rFonts w:asciiTheme="minorHAnsi" w:hAnsiTheme="minorHAnsi" w:cstheme="minorHAnsi"/>
          <w:bCs/>
        </w:rPr>
        <w:t>Since</w:t>
      </w:r>
      <w:r w:rsidR="009E4B70" w:rsidRPr="009E4B70">
        <w:rPr>
          <w:rFonts w:asciiTheme="minorHAnsi" w:hAnsiTheme="minorHAnsi" w:cstheme="minorHAnsi"/>
          <w:bCs/>
        </w:rPr>
        <w:t xml:space="preserve"> many of the comments had similar themes and subjects, the responses below are grouped by common subject area, rather than individual </w:t>
      </w:r>
      <w:r w:rsidR="00DC3C60">
        <w:rPr>
          <w:rFonts w:asciiTheme="minorHAnsi" w:hAnsiTheme="minorHAnsi" w:cstheme="minorHAnsi"/>
          <w:bCs/>
        </w:rPr>
        <w:t>commenter</w:t>
      </w:r>
      <w:r w:rsidR="009E4B70" w:rsidRPr="009E4B70">
        <w:rPr>
          <w:rFonts w:asciiTheme="minorHAnsi" w:hAnsiTheme="minorHAnsi" w:cstheme="minorHAnsi"/>
          <w:bCs/>
        </w:rPr>
        <w:t>s.</w:t>
      </w:r>
    </w:p>
    <w:p w14:paraId="005C3B80" w14:textId="77777777" w:rsidR="00463D08" w:rsidRDefault="00463D08" w:rsidP="005859DB">
      <w:pPr>
        <w:rPr>
          <w:rFonts w:asciiTheme="minorHAnsi" w:hAnsiTheme="minorHAnsi" w:cstheme="minorHAnsi"/>
          <w:bCs/>
        </w:rPr>
      </w:pPr>
    </w:p>
    <w:p w14:paraId="258016B9" w14:textId="72678F1D" w:rsidR="009E4B70" w:rsidRPr="009E4B70" w:rsidRDefault="00DC3C60" w:rsidP="2A3AE54D">
      <w:pPr>
        <w:rPr>
          <w:rFonts w:asciiTheme="minorHAnsi" w:hAnsiTheme="minorHAnsi"/>
        </w:rPr>
      </w:pPr>
      <w:r>
        <w:rPr>
          <w:rFonts w:asciiTheme="minorHAnsi" w:hAnsiTheme="minorHAnsi"/>
        </w:rPr>
        <w:t>Commenter</w:t>
      </w:r>
      <w:r w:rsidR="5D1E2B25" w:rsidRPr="2A3AE54D">
        <w:rPr>
          <w:rFonts w:asciiTheme="minorHAnsi" w:hAnsiTheme="minorHAnsi"/>
        </w:rPr>
        <w:t>s</w:t>
      </w:r>
      <w:r w:rsidR="01803CBF" w:rsidRPr="2A3AE54D">
        <w:rPr>
          <w:rFonts w:asciiTheme="minorHAnsi" w:hAnsiTheme="minorHAnsi"/>
        </w:rPr>
        <w:t xml:space="preserve"> noted that </w:t>
      </w:r>
      <w:r w:rsidR="15D73898" w:rsidRPr="2A3AE54D">
        <w:rPr>
          <w:rFonts w:asciiTheme="minorHAnsi" w:hAnsiTheme="minorHAnsi"/>
        </w:rPr>
        <w:t xml:space="preserve">since there were such a large number of Likely to Adversely Affect (LAA) determinations made, EPA should begin the cancellation process for neonicotinoids. It is important to </w:t>
      </w:r>
      <w:r w:rsidR="1E0A5AA9" w:rsidRPr="2A3AE54D">
        <w:rPr>
          <w:rFonts w:asciiTheme="minorHAnsi" w:hAnsiTheme="minorHAnsi"/>
        </w:rPr>
        <w:t xml:space="preserve">note </w:t>
      </w:r>
      <w:r w:rsidR="15D73898" w:rsidRPr="2A3AE54D">
        <w:rPr>
          <w:rFonts w:asciiTheme="minorHAnsi" w:hAnsiTheme="minorHAnsi"/>
        </w:rPr>
        <w:t xml:space="preserve">that the LAA threshold for a BE is very conservative as the likely “take” of even one individual of a species triggers </w:t>
      </w:r>
      <w:r w:rsidR="00DC0D4D" w:rsidRPr="2A3AE54D">
        <w:rPr>
          <w:rFonts w:asciiTheme="minorHAnsi" w:hAnsiTheme="minorHAnsi"/>
        </w:rPr>
        <w:t xml:space="preserve">an </w:t>
      </w:r>
      <w:r w:rsidR="15D73898" w:rsidRPr="2A3AE54D">
        <w:rPr>
          <w:rFonts w:asciiTheme="minorHAnsi" w:hAnsiTheme="minorHAnsi"/>
        </w:rPr>
        <w:t>LAA</w:t>
      </w:r>
      <w:r w:rsidR="00DC0D4D" w:rsidRPr="2A3AE54D">
        <w:rPr>
          <w:rFonts w:asciiTheme="minorHAnsi" w:hAnsiTheme="minorHAnsi"/>
        </w:rPr>
        <w:t xml:space="preserve"> determination</w:t>
      </w:r>
      <w:r w:rsidR="15D73898" w:rsidRPr="2A3AE54D">
        <w:rPr>
          <w:rFonts w:asciiTheme="minorHAnsi" w:hAnsiTheme="minorHAnsi"/>
        </w:rPr>
        <w:t xml:space="preserve">. An LAA determination </w:t>
      </w:r>
      <w:r w:rsidR="4D3A3A32" w:rsidRPr="2A3AE54D">
        <w:rPr>
          <w:rFonts w:asciiTheme="minorHAnsi" w:hAnsiTheme="minorHAnsi"/>
        </w:rPr>
        <w:t xml:space="preserve">in the BE should not be interpreted to </w:t>
      </w:r>
      <w:r w:rsidR="01803CBF" w:rsidRPr="2A3AE54D">
        <w:rPr>
          <w:rFonts w:asciiTheme="minorHAnsi" w:hAnsiTheme="minorHAnsi"/>
        </w:rPr>
        <w:t>mean</w:t>
      </w:r>
      <w:r w:rsidR="4D3A3A32" w:rsidRPr="2A3AE54D">
        <w:rPr>
          <w:rFonts w:asciiTheme="minorHAnsi" w:hAnsiTheme="minorHAnsi"/>
        </w:rPr>
        <w:t xml:space="preserve"> that EPA has made a determination that neonicotinoids are putting listed species in jeopardy. Those determinations are made by the Services in their </w:t>
      </w:r>
      <w:r w:rsidR="003B7C07">
        <w:rPr>
          <w:rFonts w:asciiTheme="minorHAnsi" w:hAnsiTheme="minorHAnsi"/>
        </w:rPr>
        <w:t>b</w:t>
      </w:r>
      <w:r w:rsidR="4D3A3A32" w:rsidRPr="2A3AE54D">
        <w:rPr>
          <w:rFonts w:asciiTheme="minorHAnsi" w:hAnsiTheme="minorHAnsi"/>
        </w:rPr>
        <w:t xml:space="preserve">iological </w:t>
      </w:r>
      <w:r w:rsidR="003B7C07">
        <w:rPr>
          <w:rFonts w:asciiTheme="minorHAnsi" w:hAnsiTheme="minorHAnsi"/>
        </w:rPr>
        <w:t>o</w:t>
      </w:r>
      <w:r w:rsidR="4D3A3A32" w:rsidRPr="2A3AE54D">
        <w:rPr>
          <w:rFonts w:asciiTheme="minorHAnsi" w:hAnsiTheme="minorHAnsi"/>
        </w:rPr>
        <w:t xml:space="preserve">pinions. EPA will </w:t>
      </w:r>
      <w:proofErr w:type="gramStart"/>
      <w:r w:rsidR="4D3A3A32" w:rsidRPr="2A3AE54D">
        <w:rPr>
          <w:rFonts w:asciiTheme="minorHAnsi" w:hAnsiTheme="minorHAnsi"/>
        </w:rPr>
        <w:t>make a determination</w:t>
      </w:r>
      <w:proofErr w:type="gramEnd"/>
      <w:r w:rsidR="4D3A3A32" w:rsidRPr="2A3AE54D">
        <w:rPr>
          <w:rFonts w:asciiTheme="minorHAnsi" w:hAnsiTheme="minorHAnsi"/>
        </w:rPr>
        <w:t xml:space="preserve"> on the state of the registration of the neonicotinoids after the </w:t>
      </w:r>
      <w:r w:rsidR="003B7C07">
        <w:rPr>
          <w:rFonts w:asciiTheme="minorHAnsi" w:hAnsiTheme="minorHAnsi"/>
        </w:rPr>
        <w:t>b</w:t>
      </w:r>
      <w:r w:rsidR="4D3A3A32" w:rsidRPr="2A3AE54D">
        <w:rPr>
          <w:rFonts w:asciiTheme="minorHAnsi" w:hAnsiTheme="minorHAnsi"/>
        </w:rPr>
        <w:t xml:space="preserve">iological </w:t>
      </w:r>
      <w:r w:rsidR="003B7C07">
        <w:rPr>
          <w:rFonts w:asciiTheme="minorHAnsi" w:hAnsiTheme="minorHAnsi"/>
        </w:rPr>
        <w:t>o</w:t>
      </w:r>
      <w:r w:rsidR="4D3A3A32" w:rsidRPr="2A3AE54D">
        <w:rPr>
          <w:rFonts w:asciiTheme="minorHAnsi" w:hAnsiTheme="minorHAnsi"/>
        </w:rPr>
        <w:t>pinions have been finalized.</w:t>
      </w:r>
      <w:r w:rsidR="15D73898" w:rsidRPr="2A3AE54D">
        <w:rPr>
          <w:rFonts w:asciiTheme="minorHAnsi" w:hAnsiTheme="minorHAnsi"/>
        </w:rPr>
        <w:t xml:space="preserve">  </w:t>
      </w:r>
    </w:p>
    <w:p w14:paraId="3DF46D15" w14:textId="77777777" w:rsidR="009E4B70" w:rsidRPr="009E4B70" w:rsidRDefault="009E4B70" w:rsidP="005859DB">
      <w:pPr>
        <w:rPr>
          <w:rFonts w:asciiTheme="minorHAnsi" w:hAnsiTheme="minorHAnsi" w:cstheme="minorHAnsi"/>
          <w:bCs/>
        </w:rPr>
      </w:pPr>
    </w:p>
    <w:p w14:paraId="6509891B" w14:textId="3981DBF5" w:rsidR="009E4B70" w:rsidRPr="009E4B70" w:rsidRDefault="009E4B70" w:rsidP="005859DB">
      <w:pPr>
        <w:rPr>
          <w:rFonts w:asciiTheme="minorHAnsi" w:hAnsiTheme="minorHAnsi" w:cstheme="minorHAnsi"/>
          <w:bCs/>
        </w:rPr>
      </w:pPr>
      <w:r w:rsidRPr="009E4B70">
        <w:rPr>
          <w:rFonts w:asciiTheme="minorHAnsi" w:hAnsiTheme="minorHAnsi" w:cstheme="minorHAnsi"/>
          <w:bCs/>
        </w:rPr>
        <w:t>A common theme throughout the comments was that EPA should do more to evaluate risks to listed species based on what is commonly occurring on the landscape (</w:t>
      </w:r>
      <w:r w:rsidRPr="00B4664D">
        <w:rPr>
          <w:rFonts w:asciiTheme="minorHAnsi" w:hAnsiTheme="minorHAnsi" w:cstheme="minorHAnsi"/>
          <w:bCs/>
          <w:i/>
          <w:iCs/>
        </w:rPr>
        <w:t>e.g</w:t>
      </w:r>
      <w:r w:rsidRPr="009E4B70">
        <w:rPr>
          <w:rFonts w:asciiTheme="minorHAnsi" w:hAnsiTheme="minorHAnsi" w:cstheme="minorHAnsi"/>
          <w:bCs/>
        </w:rPr>
        <w:t xml:space="preserve">., the use of </w:t>
      </w:r>
      <w:r w:rsidR="00C53EC7">
        <w:rPr>
          <w:rFonts w:asciiTheme="minorHAnsi" w:hAnsiTheme="minorHAnsi" w:cstheme="minorHAnsi"/>
          <w:bCs/>
        </w:rPr>
        <w:t>average</w:t>
      </w:r>
      <w:r w:rsidRPr="009E4B70">
        <w:rPr>
          <w:rFonts w:asciiTheme="minorHAnsi" w:hAnsiTheme="minorHAnsi" w:cstheme="minorHAnsi"/>
          <w:bCs/>
        </w:rPr>
        <w:t xml:space="preserve"> application rates, common agricultural practices, and updated spray drift technologies) and consider risks associated with individual uses. EPA has considered some of these practices in its weight of evidence analysis. EPA evaluated, according to the label</w:t>
      </w:r>
      <w:r w:rsidR="004B2D71">
        <w:rPr>
          <w:rFonts w:asciiTheme="minorHAnsi" w:hAnsiTheme="minorHAnsi" w:cstheme="minorHAnsi"/>
          <w:bCs/>
        </w:rPr>
        <w:t>ed use directions</w:t>
      </w:r>
      <w:r w:rsidRPr="009E4B70">
        <w:rPr>
          <w:rFonts w:asciiTheme="minorHAnsi" w:hAnsiTheme="minorHAnsi" w:cstheme="minorHAnsi"/>
          <w:bCs/>
        </w:rPr>
        <w:t xml:space="preserve">, whether an individual of a listed species may be affected according to the maximum </w:t>
      </w:r>
      <w:r w:rsidR="004B2D71">
        <w:rPr>
          <w:rFonts w:asciiTheme="minorHAnsi" w:hAnsiTheme="minorHAnsi" w:cstheme="minorHAnsi"/>
          <w:bCs/>
        </w:rPr>
        <w:t>use</w:t>
      </w:r>
      <w:r w:rsidRPr="009E4B70">
        <w:rPr>
          <w:rFonts w:asciiTheme="minorHAnsi" w:hAnsiTheme="minorHAnsi" w:cstheme="minorHAnsi"/>
          <w:bCs/>
        </w:rPr>
        <w:t xml:space="preserve"> rates and method</w:t>
      </w:r>
      <w:r w:rsidR="004B2D71">
        <w:rPr>
          <w:rFonts w:asciiTheme="minorHAnsi" w:hAnsiTheme="minorHAnsi" w:cstheme="minorHAnsi"/>
          <w:bCs/>
        </w:rPr>
        <w:t>s</w:t>
      </w:r>
      <w:r w:rsidRPr="009E4B70">
        <w:rPr>
          <w:rFonts w:asciiTheme="minorHAnsi" w:hAnsiTheme="minorHAnsi" w:cstheme="minorHAnsi"/>
          <w:bCs/>
        </w:rPr>
        <w:t xml:space="preserve"> of application</w:t>
      </w:r>
      <w:r w:rsidR="004B2D71">
        <w:rPr>
          <w:rFonts w:asciiTheme="minorHAnsi" w:hAnsiTheme="minorHAnsi" w:cstheme="minorHAnsi"/>
          <w:bCs/>
        </w:rPr>
        <w:t xml:space="preserve"> on the labels</w:t>
      </w:r>
      <w:r w:rsidRPr="009E4B70">
        <w:rPr>
          <w:rFonts w:asciiTheme="minorHAnsi" w:hAnsiTheme="minorHAnsi" w:cstheme="minorHAnsi"/>
          <w:bCs/>
        </w:rPr>
        <w:t xml:space="preserve">, even if the majority of </w:t>
      </w:r>
      <w:r w:rsidR="00E77C33">
        <w:rPr>
          <w:rFonts w:asciiTheme="minorHAnsi" w:hAnsiTheme="minorHAnsi" w:cstheme="minorHAnsi"/>
          <w:bCs/>
        </w:rPr>
        <w:t>actual</w:t>
      </w:r>
      <w:r w:rsidRPr="009E4B70">
        <w:rPr>
          <w:rFonts w:asciiTheme="minorHAnsi" w:hAnsiTheme="minorHAnsi" w:cstheme="minorHAnsi"/>
          <w:bCs/>
        </w:rPr>
        <w:t xml:space="preserve"> applications could result in lower exposures (</w:t>
      </w:r>
      <w:r w:rsidRPr="00B4664D">
        <w:rPr>
          <w:rFonts w:asciiTheme="minorHAnsi" w:hAnsiTheme="minorHAnsi" w:cstheme="minorHAnsi"/>
          <w:bCs/>
          <w:i/>
          <w:iCs/>
        </w:rPr>
        <w:t>e.g</w:t>
      </w:r>
      <w:r w:rsidRPr="009E4B70">
        <w:rPr>
          <w:rFonts w:asciiTheme="minorHAnsi" w:hAnsiTheme="minorHAnsi" w:cstheme="minorHAnsi"/>
          <w:bCs/>
        </w:rPr>
        <w:t xml:space="preserve">., </w:t>
      </w:r>
      <w:r w:rsidR="00D74E95">
        <w:rPr>
          <w:rFonts w:asciiTheme="minorHAnsi" w:hAnsiTheme="minorHAnsi" w:cstheme="minorHAnsi"/>
          <w:bCs/>
        </w:rPr>
        <w:t>from</w:t>
      </w:r>
      <w:r w:rsidR="00934505">
        <w:rPr>
          <w:rFonts w:asciiTheme="minorHAnsi" w:hAnsiTheme="minorHAnsi" w:cstheme="minorHAnsi"/>
          <w:bCs/>
        </w:rPr>
        <w:t xml:space="preserve"> lower </w:t>
      </w:r>
      <w:r w:rsidRPr="009E4B70">
        <w:rPr>
          <w:rFonts w:asciiTheme="minorHAnsi" w:hAnsiTheme="minorHAnsi" w:cstheme="minorHAnsi"/>
          <w:bCs/>
        </w:rPr>
        <w:t>application rate</w:t>
      </w:r>
      <w:r w:rsidR="00934505">
        <w:rPr>
          <w:rFonts w:asciiTheme="minorHAnsi" w:hAnsiTheme="minorHAnsi" w:cstheme="minorHAnsi"/>
          <w:bCs/>
        </w:rPr>
        <w:t>s</w:t>
      </w:r>
      <w:r w:rsidRPr="009E4B70">
        <w:rPr>
          <w:rFonts w:asciiTheme="minorHAnsi" w:hAnsiTheme="minorHAnsi" w:cstheme="minorHAnsi"/>
          <w:bCs/>
        </w:rPr>
        <w:t xml:space="preserve"> </w:t>
      </w:r>
      <w:r w:rsidR="00934505">
        <w:rPr>
          <w:rFonts w:asciiTheme="minorHAnsi" w:hAnsiTheme="minorHAnsi" w:cstheme="minorHAnsi"/>
          <w:bCs/>
        </w:rPr>
        <w:t xml:space="preserve">and/or </w:t>
      </w:r>
      <w:r w:rsidR="008163D1">
        <w:rPr>
          <w:rFonts w:asciiTheme="minorHAnsi" w:hAnsiTheme="minorHAnsi" w:cstheme="minorHAnsi"/>
          <w:bCs/>
        </w:rPr>
        <w:t xml:space="preserve">spray </w:t>
      </w:r>
      <w:r w:rsidR="00934505">
        <w:rPr>
          <w:rFonts w:asciiTheme="minorHAnsi" w:hAnsiTheme="minorHAnsi" w:cstheme="minorHAnsi"/>
          <w:bCs/>
        </w:rPr>
        <w:t xml:space="preserve">drift reduction </w:t>
      </w:r>
      <w:r w:rsidRPr="009E4B70">
        <w:rPr>
          <w:rFonts w:asciiTheme="minorHAnsi" w:hAnsiTheme="minorHAnsi" w:cstheme="minorHAnsi"/>
          <w:bCs/>
        </w:rPr>
        <w:t>technology). In turn, the action area is then determined based on the full spatial footprint of the labeled use</w:t>
      </w:r>
      <w:r w:rsidR="00E77C33">
        <w:rPr>
          <w:rFonts w:asciiTheme="minorHAnsi" w:hAnsiTheme="minorHAnsi" w:cstheme="minorHAnsi"/>
          <w:bCs/>
        </w:rPr>
        <w:t xml:space="preserve"> site</w:t>
      </w:r>
      <w:r w:rsidRPr="009E4B70">
        <w:rPr>
          <w:rFonts w:asciiTheme="minorHAnsi" w:hAnsiTheme="minorHAnsi" w:cstheme="minorHAnsi"/>
          <w:bCs/>
        </w:rPr>
        <w:t xml:space="preserve">s. When determining the likelihood of adverse effects to an individual and the strength of the evidence supporting </w:t>
      </w:r>
      <w:r w:rsidR="00176100">
        <w:rPr>
          <w:rFonts w:asciiTheme="minorHAnsi" w:hAnsiTheme="minorHAnsi" w:cstheme="minorHAnsi"/>
          <w:bCs/>
        </w:rPr>
        <w:t>effects</w:t>
      </w:r>
      <w:r w:rsidR="00176100" w:rsidRPr="009E4B70">
        <w:rPr>
          <w:rFonts w:asciiTheme="minorHAnsi" w:hAnsiTheme="minorHAnsi" w:cstheme="minorHAnsi"/>
          <w:bCs/>
        </w:rPr>
        <w:t xml:space="preserve"> </w:t>
      </w:r>
      <w:r w:rsidRPr="009E4B70">
        <w:rPr>
          <w:rFonts w:asciiTheme="minorHAnsi" w:hAnsiTheme="minorHAnsi" w:cstheme="minorHAnsi"/>
          <w:bCs/>
        </w:rPr>
        <w:t>conclusions, EPA consider</w:t>
      </w:r>
      <w:r w:rsidR="006A6BE1">
        <w:rPr>
          <w:rFonts w:asciiTheme="minorHAnsi" w:hAnsiTheme="minorHAnsi" w:cstheme="minorHAnsi"/>
          <w:bCs/>
        </w:rPr>
        <w:t>ed</w:t>
      </w:r>
      <w:r w:rsidRPr="009E4B70">
        <w:rPr>
          <w:rFonts w:asciiTheme="minorHAnsi" w:hAnsiTheme="minorHAnsi" w:cstheme="minorHAnsi"/>
          <w:bCs/>
        </w:rPr>
        <w:t xml:space="preserve"> the labeled use</w:t>
      </w:r>
      <w:r w:rsidR="00E77C33">
        <w:rPr>
          <w:rFonts w:asciiTheme="minorHAnsi" w:hAnsiTheme="minorHAnsi" w:cstheme="minorHAnsi"/>
          <w:bCs/>
        </w:rPr>
        <w:t xml:space="preserve"> direction</w:t>
      </w:r>
      <w:r w:rsidRPr="009E4B70">
        <w:rPr>
          <w:rFonts w:asciiTheme="minorHAnsi" w:hAnsiTheme="minorHAnsi" w:cstheme="minorHAnsi"/>
          <w:bCs/>
        </w:rPr>
        <w:t xml:space="preserve">s in the context of available usage data and common agronomic practices as well as alternative assumptions regarding toxicity and potential exposure. </w:t>
      </w:r>
    </w:p>
    <w:p w14:paraId="39DDBFC7" w14:textId="77777777" w:rsidR="009E4B70" w:rsidRPr="009E4B70" w:rsidRDefault="009E4B70" w:rsidP="005859DB">
      <w:pPr>
        <w:rPr>
          <w:rFonts w:asciiTheme="minorHAnsi" w:hAnsiTheme="minorHAnsi" w:cstheme="minorHAnsi"/>
          <w:bCs/>
        </w:rPr>
      </w:pPr>
    </w:p>
    <w:p w14:paraId="0B130F83" w14:textId="43BADFDA" w:rsidR="009E4B70" w:rsidRPr="009E4B70" w:rsidRDefault="5902C374" w:rsidP="2A3AE54D">
      <w:pPr>
        <w:rPr>
          <w:rFonts w:asciiTheme="minorHAnsi" w:hAnsiTheme="minorHAnsi"/>
        </w:rPr>
      </w:pPr>
      <w:bookmarkStart w:id="30" w:name="_Hlk105429188"/>
      <w:r w:rsidRPr="2A3AE54D">
        <w:rPr>
          <w:rFonts w:asciiTheme="minorHAnsi" w:hAnsiTheme="minorHAnsi"/>
        </w:rPr>
        <w:t>In regard to addressing public comments and initiating consultation with the Services under Section 7</w:t>
      </w:r>
      <w:r w:rsidR="1E0A5AA9" w:rsidRPr="2A3AE54D">
        <w:rPr>
          <w:rFonts w:asciiTheme="minorHAnsi" w:hAnsiTheme="minorHAnsi"/>
        </w:rPr>
        <w:t xml:space="preserve"> of the Endangered Species Act</w:t>
      </w:r>
      <w:r w:rsidRPr="2A3AE54D">
        <w:rPr>
          <w:rFonts w:asciiTheme="minorHAnsi" w:hAnsiTheme="minorHAnsi"/>
        </w:rPr>
        <w:t xml:space="preserve">, EPA carefully considered the comments to determine if any updates to the BEs were necessary, particularly in context with implementing mitigation measures that would reduce the potential for jeopardy. In many cases the information or data submitted in the comments </w:t>
      </w:r>
      <w:r w:rsidR="00CE607B">
        <w:rPr>
          <w:rFonts w:asciiTheme="minorHAnsi" w:hAnsiTheme="minorHAnsi"/>
        </w:rPr>
        <w:t xml:space="preserve">would have little </w:t>
      </w:r>
      <w:r w:rsidRPr="2A3AE54D">
        <w:rPr>
          <w:rFonts w:asciiTheme="minorHAnsi" w:hAnsiTheme="minorHAnsi"/>
        </w:rPr>
        <w:t xml:space="preserve">to </w:t>
      </w:r>
      <w:r w:rsidR="00CE607B">
        <w:rPr>
          <w:rFonts w:asciiTheme="minorHAnsi" w:hAnsiTheme="minorHAnsi"/>
        </w:rPr>
        <w:t>no</w:t>
      </w:r>
      <w:r w:rsidRPr="2A3AE54D">
        <w:rPr>
          <w:rFonts w:asciiTheme="minorHAnsi" w:hAnsiTheme="minorHAnsi"/>
        </w:rPr>
        <w:t xml:space="preserve"> bearing on the likelihood of impacting one individual, considering the conservative nature of the </w:t>
      </w:r>
      <w:r w:rsidR="4EDCF295" w:rsidRPr="2A3AE54D">
        <w:rPr>
          <w:rFonts w:asciiTheme="minorHAnsi" w:hAnsiTheme="minorHAnsi"/>
        </w:rPr>
        <w:t>effect</w:t>
      </w:r>
      <w:r w:rsidRPr="2A3AE54D">
        <w:rPr>
          <w:rFonts w:asciiTheme="minorHAnsi" w:hAnsiTheme="minorHAnsi"/>
        </w:rPr>
        <w:t xml:space="preserve"> determinations</w:t>
      </w:r>
      <w:r w:rsidR="4EDCF295" w:rsidRPr="2A3AE54D">
        <w:rPr>
          <w:rFonts w:asciiTheme="minorHAnsi" w:hAnsiTheme="minorHAnsi"/>
        </w:rPr>
        <w:t xml:space="preserve"> (</w:t>
      </w:r>
      <w:r w:rsidR="4EDCF295" w:rsidRPr="2A3AE54D">
        <w:rPr>
          <w:rFonts w:asciiTheme="minorHAnsi" w:hAnsiTheme="minorHAnsi"/>
          <w:i/>
          <w:iCs/>
        </w:rPr>
        <w:t>i.e</w:t>
      </w:r>
      <w:r w:rsidR="4EDCF295" w:rsidRPr="2A3AE54D">
        <w:rPr>
          <w:rFonts w:asciiTheme="minorHAnsi" w:hAnsiTheme="minorHAnsi"/>
        </w:rPr>
        <w:t>., No Effect (NE), Not Likely to Adversely Affect (NLAA), and Likely to Adversely Affect (LAA)</w:t>
      </w:r>
      <w:r w:rsidR="31D44C34" w:rsidRPr="2A3AE54D">
        <w:rPr>
          <w:rFonts w:asciiTheme="minorHAnsi" w:hAnsiTheme="minorHAnsi"/>
        </w:rPr>
        <w:t xml:space="preserve"> determinations)</w:t>
      </w:r>
      <w:r w:rsidRPr="2A3AE54D">
        <w:rPr>
          <w:rFonts w:asciiTheme="minorHAnsi" w:hAnsiTheme="minorHAnsi"/>
        </w:rPr>
        <w:t>.</w:t>
      </w:r>
    </w:p>
    <w:p w14:paraId="4EC611CB" w14:textId="77777777" w:rsidR="009E4B70" w:rsidRPr="009E4B70" w:rsidRDefault="009E4B70" w:rsidP="005859DB">
      <w:pPr>
        <w:rPr>
          <w:rFonts w:asciiTheme="minorHAnsi" w:hAnsiTheme="minorHAnsi" w:cstheme="minorHAnsi"/>
          <w:bCs/>
        </w:rPr>
      </w:pPr>
    </w:p>
    <w:p w14:paraId="2EA34B12" w14:textId="143B24DF" w:rsidR="00861181" w:rsidRPr="007C008C" w:rsidRDefault="009E4B70" w:rsidP="005859DB">
      <w:pPr>
        <w:rPr>
          <w:rFonts w:asciiTheme="minorHAnsi" w:hAnsiTheme="minorHAnsi" w:cstheme="minorHAnsi"/>
          <w:b/>
          <w:color w:val="0070C0"/>
          <w:sz w:val="28"/>
          <w:szCs w:val="28"/>
        </w:rPr>
      </w:pPr>
      <w:r w:rsidRPr="009E4B70">
        <w:rPr>
          <w:rFonts w:asciiTheme="minorHAnsi" w:hAnsiTheme="minorHAnsi" w:cstheme="minorHAnsi"/>
          <w:bCs/>
        </w:rPr>
        <w:t xml:space="preserve">EPA will </w:t>
      </w:r>
      <w:r>
        <w:rPr>
          <w:rFonts w:asciiTheme="minorHAnsi" w:hAnsiTheme="minorHAnsi" w:cstheme="minorHAnsi"/>
          <w:bCs/>
        </w:rPr>
        <w:t xml:space="preserve">continue to </w:t>
      </w:r>
      <w:r w:rsidRPr="009E4B70">
        <w:rPr>
          <w:rFonts w:asciiTheme="minorHAnsi" w:hAnsiTheme="minorHAnsi" w:cstheme="minorHAnsi"/>
          <w:bCs/>
        </w:rPr>
        <w:t xml:space="preserve">work with the </w:t>
      </w:r>
      <w:r w:rsidR="00023FD8">
        <w:rPr>
          <w:rFonts w:asciiTheme="minorHAnsi" w:hAnsiTheme="minorHAnsi" w:cstheme="minorHAnsi"/>
          <w:bCs/>
        </w:rPr>
        <w:t>U.S. Fish and Wildlife Service and National Marine Fisheries Service (collectively referred to as the “</w:t>
      </w:r>
      <w:r w:rsidRPr="009E4B70">
        <w:rPr>
          <w:rFonts w:asciiTheme="minorHAnsi" w:hAnsiTheme="minorHAnsi" w:cstheme="minorHAnsi"/>
          <w:bCs/>
        </w:rPr>
        <w:t>Services</w:t>
      </w:r>
      <w:r w:rsidR="00023FD8">
        <w:rPr>
          <w:rFonts w:asciiTheme="minorHAnsi" w:hAnsiTheme="minorHAnsi" w:cstheme="minorHAnsi"/>
          <w:bCs/>
        </w:rPr>
        <w:t>”)</w:t>
      </w:r>
      <w:r w:rsidRPr="009E4B70">
        <w:rPr>
          <w:rFonts w:asciiTheme="minorHAnsi" w:hAnsiTheme="minorHAnsi" w:cstheme="minorHAnsi"/>
          <w:bCs/>
        </w:rPr>
        <w:t xml:space="preserve"> during consultation to update any analyses </w:t>
      </w:r>
      <w:r w:rsidR="00E72225">
        <w:rPr>
          <w:rFonts w:asciiTheme="minorHAnsi" w:hAnsiTheme="minorHAnsi" w:cstheme="minorHAnsi"/>
          <w:bCs/>
        </w:rPr>
        <w:t xml:space="preserve">and/or effects determinations </w:t>
      </w:r>
      <w:r w:rsidRPr="009E4B70">
        <w:rPr>
          <w:rFonts w:asciiTheme="minorHAnsi" w:hAnsiTheme="minorHAnsi" w:cstheme="minorHAnsi"/>
          <w:bCs/>
        </w:rPr>
        <w:t>that are needed to</w:t>
      </w:r>
      <w:r w:rsidR="002366CB">
        <w:rPr>
          <w:rFonts w:asciiTheme="minorHAnsi" w:hAnsiTheme="minorHAnsi" w:cstheme="minorHAnsi"/>
          <w:bCs/>
        </w:rPr>
        <w:t xml:space="preserve"> predict or</w:t>
      </w:r>
      <w:r w:rsidRPr="009E4B70">
        <w:rPr>
          <w:rFonts w:asciiTheme="minorHAnsi" w:hAnsiTheme="minorHAnsi" w:cstheme="minorHAnsi"/>
          <w:bCs/>
        </w:rPr>
        <w:t xml:space="preserve"> determine if the Action would likely rise to the level of jeopardy </w:t>
      </w:r>
      <w:r w:rsidR="00E72225">
        <w:rPr>
          <w:rFonts w:asciiTheme="minorHAnsi" w:hAnsiTheme="minorHAnsi" w:cstheme="minorHAnsi"/>
          <w:bCs/>
        </w:rPr>
        <w:t xml:space="preserve">(J) </w:t>
      </w:r>
      <w:r w:rsidRPr="009E4B70">
        <w:rPr>
          <w:rFonts w:asciiTheme="minorHAnsi" w:hAnsiTheme="minorHAnsi" w:cstheme="minorHAnsi"/>
          <w:bCs/>
        </w:rPr>
        <w:t xml:space="preserve">of a species or adverse modification </w:t>
      </w:r>
      <w:r w:rsidR="00E72225">
        <w:rPr>
          <w:rFonts w:asciiTheme="minorHAnsi" w:hAnsiTheme="minorHAnsi" w:cstheme="minorHAnsi"/>
          <w:bCs/>
        </w:rPr>
        <w:t xml:space="preserve">(AM) </w:t>
      </w:r>
      <w:r w:rsidRPr="009E4B70">
        <w:rPr>
          <w:rFonts w:asciiTheme="minorHAnsi" w:hAnsiTheme="minorHAnsi" w:cstheme="minorHAnsi"/>
          <w:bCs/>
        </w:rPr>
        <w:t xml:space="preserve">of </w:t>
      </w:r>
      <w:r w:rsidR="00DA043C">
        <w:rPr>
          <w:rFonts w:asciiTheme="minorHAnsi" w:hAnsiTheme="minorHAnsi" w:cstheme="minorHAnsi"/>
          <w:bCs/>
        </w:rPr>
        <w:t xml:space="preserve">its </w:t>
      </w:r>
      <w:r w:rsidRPr="009E4B70">
        <w:rPr>
          <w:rFonts w:asciiTheme="minorHAnsi" w:hAnsiTheme="minorHAnsi" w:cstheme="minorHAnsi"/>
          <w:bCs/>
        </w:rPr>
        <w:t>critical habitat.</w:t>
      </w:r>
      <w:r>
        <w:rPr>
          <w:rFonts w:asciiTheme="minorHAnsi" w:hAnsiTheme="minorHAnsi" w:cstheme="minorHAnsi"/>
        </w:rPr>
        <w:t xml:space="preserve"> </w:t>
      </w:r>
      <w:r w:rsidR="0010426E">
        <w:rPr>
          <w:rFonts w:asciiTheme="minorHAnsi" w:hAnsiTheme="minorHAnsi" w:cstheme="minorHAnsi"/>
        </w:rPr>
        <w:t xml:space="preserve">As needed, </w:t>
      </w:r>
      <w:r w:rsidR="00A076B1">
        <w:rPr>
          <w:rFonts w:asciiTheme="minorHAnsi" w:hAnsiTheme="minorHAnsi" w:cstheme="minorHAnsi"/>
          <w:bCs/>
        </w:rPr>
        <w:t xml:space="preserve">EPA will work with the Services to incorporate </w:t>
      </w:r>
      <w:r w:rsidR="001445F2">
        <w:rPr>
          <w:rFonts w:asciiTheme="minorHAnsi" w:hAnsiTheme="minorHAnsi" w:cstheme="minorHAnsi"/>
          <w:bCs/>
        </w:rPr>
        <w:t xml:space="preserve">into these updates </w:t>
      </w:r>
      <w:r w:rsidR="00A076B1">
        <w:rPr>
          <w:rFonts w:asciiTheme="minorHAnsi" w:hAnsiTheme="minorHAnsi" w:cstheme="minorHAnsi"/>
          <w:bCs/>
        </w:rPr>
        <w:t xml:space="preserve">any mitigation measures that may have been proposed or implemented since </w:t>
      </w:r>
      <w:r w:rsidR="001445F2">
        <w:rPr>
          <w:rFonts w:asciiTheme="minorHAnsi" w:hAnsiTheme="minorHAnsi" w:cstheme="minorHAnsi"/>
          <w:bCs/>
        </w:rPr>
        <w:t xml:space="preserve">publication of </w:t>
      </w:r>
      <w:r w:rsidR="00A076B1">
        <w:rPr>
          <w:rFonts w:asciiTheme="minorHAnsi" w:hAnsiTheme="minorHAnsi" w:cstheme="minorHAnsi"/>
          <w:bCs/>
        </w:rPr>
        <w:t xml:space="preserve">the </w:t>
      </w:r>
      <w:r w:rsidR="00A076B1" w:rsidRPr="00724945">
        <w:rPr>
          <w:rFonts w:asciiTheme="minorHAnsi" w:hAnsiTheme="minorHAnsi" w:cstheme="minorHAnsi"/>
          <w:bCs/>
        </w:rPr>
        <w:t>BEs.</w:t>
      </w:r>
      <w:r w:rsidR="00202276">
        <w:rPr>
          <w:rFonts w:asciiTheme="minorHAnsi" w:hAnsiTheme="minorHAnsi" w:cstheme="minorHAnsi"/>
          <w:bCs/>
        </w:rPr>
        <w:t xml:space="preserve"> </w:t>
      </w:r>
      <w:r w:rsidR="003C67F6" w:rsidRPr="2A3AE54D">
        <w:rPr>
          <w:rFonts w:asciiTheme="minorHAnsi" w:hAnsiTheme="minorHAnsi"/>
        </w:rPr>
        <w:t xml:space="preserve">EPA </w:t>
      </w:r>
      <w:r w:rsidR="003C67F6">
        <w:rPr>
          <w:rFonts w:asciiTheme="minorHAnsi" w:hAnsiTheme="minorHAnsi"/>
        </w:rPr>
        <w:t xml:space="preserve">may </w:t>
      </w:r>
      <w:r w:rsidR="003C67F6" w:rsidRPr="2A3AE54D">
        <w:rPr>
          <w:rFonts w:asciiTheme="minorHAnsi" w:hAnsiTheme="minorHAnsi"/>
        </w:rPr>
        <w:t xml:space="preserve">also identify species that need additional data refinements when considering mitigation options. </w:t>
      </w:r>
      <w:r w:rsidR="0010426E">
        <w:rPr>
          <w:rFonts w:asciiTheme="minorHAnsi" w:hAnsiTheme="minorHAnsi"/>
        </w:rPr>
        <w:t>As relevant, t</w:t>
      </w:r>
      <w:r w:rsidR="003C67F6" w:rsidRPr="2A3AE54D">
        <w:rPr>
          <w:rFonts w:asciiTheme="minorHAnsi" w:hAnsiTheme="minorHAnsi"/>
        </w:rPr>
        <w:t xml:space="preserve">he Agency will consider any public comments </w:t>
      </w:r>
      <w:r w:rsidR="003C67F6">
        <w:rPr>
          <w:rFonts w:asciiTheme="minorHAnsi" w:hAnsiTheme="minorHAnsi"/>
        </w:rPr>
        <w:t xml:space="preserve">received on the draft BEs </w:t>
      </w:r>
      <w:r w:rsidR="003C67F6" w:rsidRPr="2A3AE54D">
        <w:rPr>
          <w:rFonts w:asciiTheme="minorHAnsi" w:hAnsiTheme="minorHAnsi"/>
        </w:rPr>
        <w:t>and</w:t>
      </w:r>
      <w:r w:rsidR="003C67F6">
        <w:rPr>
          <w:rFonts w:asciiTheme="minorHAnsi" w:hAnsiTheme="minorHAnsi"/>
        </w:rPr>
        <w:t xml:space="preserve"> any other relevant</w:t>
      </w:r>
      <w:r w:rsidR="003C67F6" w:rsidRPr="2A3AE54D">
        <w:rPr>
          <w:rFonts w:asciiTheme="minorHAnsi" w:hAnsiTheme="minorHAnsi"/>
        </w:rPr>
        <w:t xml:space="preserve"> data </w:t>
      </w:r>
      <w:r w:rsidR="003C67F6">
        <w:rPr>
          <w:rFonts w:asciiTheme="minorHAnsi" w:hAnsiTheme="minorHAnsi"/>
        </w:rPr>
        <w:t>during consultation with the Services</w:t>
      </w:r>
      <w:r w:rsidR="003C67F6" w:rsidRPr="2A3AE54D">
        <w:rPr>
          <w:rFonts w:asciiTheme="minorHAnsi" w:hAnsiTheme="minorHAnsi"/>
        </w:rPr>
        <w:t>.</w:t>
      </w:r>
      <w:r w:rsidR="003C67F6">
        <w:rPr>
          <w:rFonts w:asciiTheme="minorHAnsi" w:hAnsiTheme="minorHAnsi"/>
        </w:rPr>
        <w:t xml:space="preserve"> </w:t>
      </w:r>
      <w:r w:rsidR="007C008C" w:rsidRPr="00724945">
        <w:rPr>
          <w:rFonts w:asciiTheme="minorHAnsi" w:hAnsiTheme="minorHAnsi" w:cstheme="minorHAnsi"/>
          <w:bCs/>
        </w:rPr>
        <w:t xml:space="preserve">In summary, </w:t>
      </w:r>
      <w:r w:rsidR="0010426E" w:rsidRPr="0010426E">
        <w:rPr>
          <w:rFonts w:asciiTheme="minorHAnsi" w:hAnsiTheme="minorHAnsi" w:cstheme="minorHAnsi"/>
          <w:bCs/>
        </w:rPr>
        <w:t xml:space="preserve">as is typical during the consultation process, EPA will be working with the Services throughout the consultation to clarify how the effects determinations included in the final BEs </w:t>
      </w:r>
      <w:r w:rsidR="007E665F">
        <w:rPr>
          <w:rFonts w:asciiTheme="minorHAnsi" w:hAnsiTheme="minorHAnsi" w:cstheme="minorHAnsi"/>
          <w:bCs/>
        </w:rPr>
        <w:t xml:space="preserve">and comments received </w:t>
      </w:r>
      <w:r w:rsidR="009B2FDA">
        <w:rPr>
          <w:rFonts w:asciiTheme="minorHAnsi" w:hAnsiTheme="minorHAnsi" w:cstheme="minorHAnsi"/>
          <w:bCs/>
        </w:rPr>
        <w:t xml:space="preserve">on the draft BEs </w:t>
      </w:r>
      <w:r w:rsidR="00C9427C">
        <w:rPr>
          <w:rFonts w:asciiTheme="minorHAnsi" w:hAnsiTheme="minorHAnsi" w:cstheme="minorHAnsi"/>
          <w:bCs/>
        </w:rPr>
        <w:t>can</w:t>
      </w:r>
      <w:r w:rsidR="007E665F">
        <w:rPr>
          <w:rFonts w:asciiTheme="minorHAnsi" w:hAnsiTheme="minorHAnsi" w:cstheme="minorHAnsi"/>
          <w:bCs/>
        </w:rPr>
        <w:t xml:space="preserve"> </w:t>
      </w:r>
      <w:r w:rsidR="0010426E" w:rsidRPr="0010426E">
        <w:rPr>
          <w:rFonts w:asciiTheme="minorHAnsi" w:hAnsiTheme="minorHAnsi" w:cstheme="minorHAnsi"/>
          <w:bCs/>
        </w:rPr>
        <w:t>best inform the Services’ biological opinions</w:t>
      </w:r>
      <w:r w:rsidR="00573598">
        <w:rPr>
          <w:rFonts w:asciiTheme="minorHAnsi" w:hAnsiTheme="minorHAnsi" w:cstheme="minorHAnsi"/>
          <w:bCs/>
        </w:rPr>
        <w:t xml:space="preserve">, following the publication of the </w:t>
      </w:r>
      <w:r w:rsidR="009A0A39" w:rsidRPr="00724945">
        <w:rPr>
          <w:rFonts w:asciiTheme="minorHAnsi" w:hAnsiTheme="minorHAnsi" w:cstheme="minorHAnsi"/>
          <w:bCs/>
        </w:rPr>
        <w:t>final BEs for thiamethoxam, clothianidin, and imidacloprid</w:t>
      </w:r>
      <w:r w:rsidR="00036986">
        <w:rPr>
          <w:rFonts w:asciiTheme="minorHAnsi" w:hAnsiTheme="minorHAnsi" w:cstheme="minorHAnsi"/>
          <w:bCs/>
        </w:rPr>
        <w:t>, which</w:t>
      </w:r>
      <w:r w:rsidR="009A0A39" w:rsidRPr="00724945">
        <w:rPr>
          <w:rFonts w:asciiTheme="minorHAnsi" w:hAnsiTheme="minorHAnsi" w:cstheme="minorHAnsi"/>
          <w:bCs/>
        </w:rPr>
        <w:t xml:space="preserve"> consist of this RTC </w:t>
      </w:r>
      <w:r w:rsidR="009A0A39" w:rsidRPr="00724945">
        <w:rPr>
          <w:rFonts w:asciiTheme="minorHAnsi" w:hAnsiTheme="minorHAnsi" w:cstheme="minorHAnsi"/>
          <w:bCs/>
        </w:rPr>
        <w:lastRenderedPageBreak/>
        <w:t xml:space="preserve">document and the </w:t>
      </w:r>
      <w:r w:rsidR="00036986">
        <w:rPr>
          <w:rFonts w:asciiTheme="minorHAnsi" w:hAnsiTheme="minorHAnsi" w:cstheme="minorHAnsi"/>
          <w:bCs/>
        </w:rPr>
        <w:t xml:space="preserve">final BE </w:t>
      </w:r>
      <w:r w:rsidR="00F97885">
        <w:rPr>
          <w:rFonts w:asciiTheme="minorHAnsi" w:hAnsiTheme="minorHAnsi" w:cstheme="minorHAnsi"/>
          <w:bCs/>
        </w:rPr>
        <w:t>chapters, appendices, and attachments</w:t>
      </w:r>
      <w:r w:rsidR="00F97885" w:rsidRPr="00724945">
        <w:rPr>
          <w:rFonts w:asciiTheme="minorHAnsi" w:hAnsiTheme="minorHAnsi" w:cstheme="minorHAnsi"/>
          <w:bCs/>
        </w:rPr>
        <w:t xml:space="preserve"> </w:t>
      </w:r>
      <w:r w:rsidR="00036986">
        <w:rPr>
          <w:rFonts w:asciiTheme="minorHAnsi" w:hAnsiTheme="minorHAnsi" w:cstheme="minorHAnsi"/>
          <w:bCs/>
        </w:rPr>
        <w:t xml:space="preserve">that are based on those </w:t>
      </w:r>
      <w:r w:rsidR="009A0A39" w:rsidRPr="00724945">
        <w:rPr>
          <w:rFonts w:asciiTheme="minorHAnsi" w:hAnsiTheme="minorHAnsi" w:cstheme="minorHAnsi"/>
          <w:bCs/>
        </w:rPr>
        <w:t>of the draft BEs</w:t>
      </w:r>
      <w:r w:rsidR="00877710" w:rsidRPr="00724945">
        <w:rPr>
          <w:rFonts w:asciiTheme="minorHAnsi" w:hAnsiTheme="minorHAnsi" w:cstheme="minorHAnsi"/>
          <w:bCs/>
        </w:rPr>
        <w:t xml:space="preserve"> for these pesticides</w:t>
      </w:r>
      <w:r w:rsidR="009A0A39" w:rsidRPr="00724945">
        <w:rPr>
          <w:rFonts w:asciiTheme="minorHAnsi" w:hAnsiTheme="minorHAnsi" w:cstheme="minorHAnsi"/>
          <w:bCs/>
        </w:rPr>
        <w:t>.</w:t>
      </w:r>
      <w:bookmarkEnd w:id="30"/>
      <w:r w:rsidR="00861181" w:rsidRPr="007C008C">
        <w:rPr>
          <w:rFonts w:asciiTheme="minorHAnsi" w:hAnsiTheme="minorHAnsi" w:cstheme="minorHAnsi"/>
          <w:b/>
          <w:color w:val="0070C0"/>
          <w:sz w:val="28"/>
          <w:szCs w:val="28"/>
        </w:rPr>
        <w:br w:type="page"/>
      </w:r>
    </w:p>
    <w:p w14:paraId="26258E6F" w14:textId="6CC652D2" w:rsidR="00486605" w:rsidRPr="00822DCF" w:rsidRDefault="00920929" w:rsidP="005859DB">
      <w:pPr>
        <w:pStyle w:val="Heading1"/>
      </w:pPr>
      <w:bookmarkStart w:id="31" w:name="_Toc106187570"/>
      <w:r w:rsidRPr="00822DCF">
        <w:lastRenderedPageBreak/>
        <w:t>2</w:t>
      </w:r>
      <w:r w:rsidRPr="00822DCF">
        <w:tab/>
      </w:r>
      <w:r w:rsidR="00B705A7" w:rsidRPr="00822DCF">
        <w:t xml:space="preserve">Responses to </w:t>
      </w:r>
      <w:r w:rsidR="00486605" w:rsidRPr="00822DCF">
        <w:t xml:space="preserve">Public Comments </w:t>
      </w:r>
      <w:r w:rsidR="00C67844" w:rsidRPr="00822DCF">
        <w:t xml:space="preserve">Common </w:t>
      </w:r>
      <w:r w:rsidR="001E486F" w:rsidRPr="00822DCF">
        <w:t xml:space="preserve">Across the </w:t>
      </w:r>
      <w:r w:rsidR="0078296B" w:rsidRPr="00822DCF">
        <w:t>Three</w:t>
      </w:r>
      <w:r w:rsidR="006E3DFE" w:rsidRPr="00822DCF">
        <w:t xml:space="preserve"> </w:t>
      </w:r>
      <w:r w:rsidR="00486605" w:rsidRPr="00822DCF">
        <w:t xml:space="preserve">Neonicotinoids (Imidacloprid, Thiamethoxam, and </w:t>
      </w:r>
      <w:r w:rsidR="0078296B" w:rsidRPr="00822DCF">
        <w:t>Clothianidin</w:t>
      </w:r>
      <w:r w:rsidR="00486605" w:rsidRPr="00822DCF">
        <w:t>)</w:t>
      </w:r>
      <w:bookmarkEnd w:id="31"/>
    </w:p>
    <w:p w14:paraId="09D60E6C" w14:textId="4E5E03D7" w:rsidR="00486605" w:rsidRPr="0078296B" w:rsidRDefault="00486605" w:rsidP="005859DB">
      <w:pPr>
        <w:pStyle w:val="Default"/>
        <w:rPr>
          <w:rFonts w:asciiTheme="minorHAnsi" w:hAnsiTheme="minorHAnsi" w:cstheme="minorHAnsi"/>
          <w:sz w:val="22"/>
          <w:szCs w:val="22"/>
        </w:rPr>
      </w:pPr>
    </w:p>
    <w:p w14:paraId="27682CA7" w14:textId="3B9792E6" w:rsidR="000A6B0E" w:rsidRPr="000A6B0E" w:rsidRDefault="000A6B0E" w:rsidP="005859DB">
      <w:pPr>
        <w:rPr>
          <w:rFonts w:asciiTheme="minorHAnsi" w:hAnsiTheme="minorHAnsi" w:cstheme="minorHAnsi"/>
        </w:rPr>
      </w:pPr>
      <w:r w:rsidRPr="000A6B0E">
        <w:rPr>
          <w:rFonts w:asciiTheme="minorHAnsi" w:hAnsiTheme="minorHAnsi" w:cstheme="minorHAnsi"/>
        </w:rPr>
        <w:t>EPA received many comments that were not specific to the BEs (</w:t>
      </w:r>
      <w:r w:rsidRPr="000A6B0E">
        <w:rPr>
          <w:rFonts w:asciiTheme="minorHAnsi" w:hAnsiTheme="minorHAnsi" w:cstheme="minorHAnsi"/>
          <w:i/>
          <w:iCs/>
        </w:rPr>
        <w:t>e.g.,</w:t>
      </w:r>
      <w:r w:rsidRPr="000A6B0E">
        <w:rPr>
          <w:rFonts w:asciiTheme="minorHAnsi" w:hAnsiTheme="minorHAnsi" w:cstheme="minorHAnsi"/>
        </w:rPr>
        <w:t xml:space="preserve"> on the Revised Method, on </w:t>
      </w:r>
      <w:r w:rsidR="003B7C07">
        <w:rPr>
          <w:rFonts w:asciiTheme="minorHAnsi" w:hAnsiTheme="minorHAnsi" w:cstheme="minorHAnsi"/>
        </w:rPr>
        <w:t>b</w:t>
      </w:r>
      <w:r w:rsidRPr="000A6B0E">
        <w:rPr>
          <w:rFonts w:asciiTheme="minorHAnsi" w:hAnsiTheme="minorHAnsi" w:cstheme="minorHAnsi"/>
        </w:rPr>
        <w:t xml:space="preserve">iological </w:t>
      </w:r>
      <w:r w:rsidR="003B7C07">
        <w:rPr>
          <w:rFonts w:asciiTheme="minorHAnsi" w:hAnsiTheme="minorHAnsi" w:cstheme="minorHAnsi"/>
        </w:rPr>
        <w:t>o</w:t>
      </w:r>
      <w:r w:rsidRPr="000A6B0E">
        <w:rPr>
          <w:rFonts w:asciiTheme="minorHAnsi" w:hAnsiTheme="minorHAnsi" w:cstheme="minorHAnsi"/>
        </w:rPr>
        <w:t xml:space="preserve">pinions, programmatic consultation). Many of these comments have been addressed in previous RTC documents </w:t>
      </w:r>
      <w:r w:rsidR="0009698D">
        <w:rPr>
          <w:rFonts w:asciiTheme="minorHAnsi" w:hAnsiTheme="minorHAnsi" w:cstheme="minorHAnsi"/>
        </w:rPr>
        <w:t>that</w:t>
      </w:r>
      <w:r w:rsidRPr="000A6B0E">
        <w:rPr>
          <w:rFonts w:asciiTheme="minorHAnsi" w:hAnsiTheme="minorHAnsi" w:cstheme="minorHAnsi"/>
        </w:rPr>
        <w:t xml:space="preserve"> can be referenced for further information</w:t>
      </w:r>
      <w:r w:rsidRPr="000A6B0E">
        <w:rPr>
          <w:rStyle w:val="FootnoteReference"/>
          <w:rFonts w:asciiTheme="minorHAnsi" w:hAnsiTheme="minorHAnsi" w:cstheme="minorHAnsi"/>
        </w:rPr>
        <w:footnoteReference w:id="2"/>
      </w:r>
      <w:r w:rsidRPr="000A6B0E">
        <w:rPr>
          <w:rFonts w:asciiTheme="minorHAnsi" w:hAnsiTheme="minorHAnsi" w:cstheme="minorHAnsi"/>
        </w:rPr>
        <w:t xml:space="preserve">. EPA provides responses to some of those comments again here for emphasis. </w:t>
      </w:r>
    </w:p>
    <w:p w14:paraId="506CD412" w14:textId="06ADA168" w:rsidR="000A6B0E" w:rsidRDefault="000A6B0E" w:rsidP="005859DB">
      <w:pPr>
        <w:rPr>
          <w:rFonts w:asciiTheme="minorHAnsi" w:hAnsiTheme="minorHAnsi" w:cstheme="minorHAnsi"/>
          <w:b/>
          <w:bCs/>
        </w:rPr>
      </w:pPr>
    </w:p>
    <w:p w14:paraId="34104766" w14:textId="720DBA22" w:rsidR="00B53D3C" w:rsidRPr="003B61AF" w:rsidRDefault="003B61AF" w:rsidP="003B61AF">
      <w:pPr>
        <w:pStyle w:val="Heading2"/>
      </w:pPr>
      <w:bookmarkStart w:id="32" w:name="_Toc106187571"/>
      <w:r w:rsidRPr="003B61AF">
        <w:t xml:space="preserve">2.1  </w:t>
      </w:r>
      <w:r w:rsidR="00B53D3C" w:rsidRPr="003B61AF">
        <w:t>EPA Processes</w:t>
      </w:r>
      <w:bookmarkEnd w:id="32"/>
    </w:p>
    <w:p w14:paraId="4E15C415" w14:textId="77777777" w:rsidR="00B53D3C" w:rsidRPr="000A6B0E" w:rsidRDefault="00B53D3C" w:rsidP="005859DB">
      <w:pPr>
        <w:rPr>
          <w:rFonts w:asciiTheme="minorHAnsi" w:hAnsiTheme="minorHAnsi" w:cstheme="minorHAnsi"/>
          <w:b/>
          <w:bCs/>
        </w:rPr>
      </w:pPr>
    </w:p>
    <w:p w14:paraId="16741FE9" w14:textId="5EBF6BAA" w:rsidR="000B614F" w:rsidRPr="00E6678C" w:rsidRDefault="000B614F" w:rsidP="005859DB">
      <w:pPr>
        <w:rPr>
          <w:rFonts w:asciiTheme="minorHAnsi" w:hAnsiTheme="minorHAnsi" w:cstheme="minorHAnsi"/>
        </w:rPr>
      </w:pPr>
      <w:r w:rsidRPr="000B614F">
        <w:rPr>
          <w:rFonts w:asciiTheme="minorHAnsi" w:hAnsiTheme="minorHAnsi" w:cstheme="minorHAnsi"/>
          <w:b/>
          <w:bCs/>
        </w:rPr>
        <w:t>Comment:</w:t>
      </w:r>
      <w:r w:rsidRPr="000B614F">
        <w:rPr>
          <w:rFonts w:asciiTheme="minorHAnsi" w:hAnsiTheme="minorHAnsi" w:cstheme="minorHAnsi"/>
        </w:rPr>
        <w:t xml:space="preserve"> Two </w:t>
      </w:r>
      <w:r w:rsidRPr="00E6678C">
        <w:rPr>
          <w:rFonts w:asciiTheme="minorHAnsi" w:hAnsiTheme="minorHAnsi" w:cstheme="minorHAnsi"/>
        </w:rPr>
        <w:t xml:space="preserve">commenters (CropLife America and Golf Course Superintendents Association of America) stated that the public comment period for the biological evaluations was too short for the length and technicality of the documents. </w:t>
      </w:r>
    </w:p>
    <w:p w14:paraId="0A4C9037" w14:textId="77777777" w:rsidR="000B614F" w:rsidRPr="00E6678C" w:rsidRDefault="000B614F" w:rsidP="005859DB">
      <w:pPr>
        <w:rPr>
          <w:rFonts w:asciiTheme="minorHAnsi" w:hAnsiTheme="minorHAnsi" w:cstheme="minorHAnsi"/>
        </w:rPr>
      </w:pPr>
    </w:p>
    <w:p w14:paraId="7FF8EA42" w14:textId="17BEDB9E" w:rsidR="000B614F" w:rsidRPr="00E6678C" w:rsidRDefault="000B614F" w:rsidP="005859DB">
      <w:pPr>
        <w:rPr>
          <w:rFonts w:asciiTheme="minorHAnsi" w:hAnsiTheme="minorHAnsi" w:cstheme="minorHAnsi"/>
          <w:i/>
          <w:iCs/>
        </w:rPr>
      </w:pPr>
      <w:r w:rsidRPr="00E6678C">
        <w:rPr>
          <w:rFonts w:asciiTheme="minorHAnsi" w:hAnsiTheme="minorHAnsi" w:cstheme="minorHAnsi"/>
          <w:b/>
          <w:bCs/>
        </w:rPr>
        <w:t>EPA Response:</w:t>
      </w:r>
      <w:r w:rsidRPr="00E6678C">
        <w:rPr>
          <w:rFonts w:asciiTheme="minorHAnsi" w:hAnsiTheme="minorHAnsi" w:cstheme="minorHAnsi"/>
          <w:i/>
          <w:iCs/>
        </w:rPr>
        <w:t xml:space="preserve"> Given the Agency’s current workload and limited resources, as well as the June 2022 deadline for completion of the final </w:t>
      </w:r>
      <w:r w:rsidR="00CE6440">
        <w:rPr>
          <w:rFonts w:asciiTheme="minorHAnsi" w:hAnsiTheme="minorHAnsi" w:cstheme="minorHAnsi"/>
          <w:i/>
          <w:iCs/>
        </w:rPr>
        <w:t>BEs</w:t>
      </w:r>
      <w:r w:rsidRPr="00E6678C">
        <w:rPr>
          <w:rFonts w:asciiTheme="minorHAnsi" w:hAnsiTheme="minorHAnsi" w:cstheme="minorHAnsi"/>
          <w:i/>
          <w:iCs/>
        </w:rPr>
        <w:t xml:space="preserve"> for clothianidin, imidacloprid and thiamethoxam, the Agency determined that </w:t>
      </w:r>
      <w:r w:rsidR="00616B69">
        <w:rPr>
          <w:rFonts w:asciiTheme="minorHAnsi" w:hAnsiTheme="minorHAnsi" w:cstheme="minorHAnsi"/>
          <w:i/>
          <w:iCs/>
        </w:rPr>
        <w:t xml:space="preserve">the </w:t>
      </w:r>
      <w:r w:rsidRPr="00E6678C">
        <w:rPr>
          <w:rFonts w:asciiTheme="minorHAnsi" w:hAnsiTheme="minorHAnsi" w:cstheme="minorHAnsi"/>
          <w:i/>
          <w:iCs/>
        </w:rPr>
        <w:t xml:space="preserve">public comment period </w:t>
      </w:r>
      <w:r w:rsidR="00616B69">
        <w:rPr>
          <w:rFonts w:asciiTheme="minorHAnsi" w:hAnsiTheme="minorHAnsi" w:cstheme="minorHAnsi"/>
          <w:i/>
          <w:iCs/>
        </w:rPr>
        <w:t xml:space="preserve">was adequate for these actions. EPA considered the requests </w:t>
      </w:r>
      <w:r w:rsidR="00426A36">
        <w:rPr>
          <w:rFonts w:asciiTheme="minorHAnsi" w:hAnsiTheme="minorHAnsi" w:cstheme="minorHAnsi"/>
          <w:i/>
          <w:iCs/>
        </w:rPr>
        <w:t>to extend the comment period and determined that</w:t>
      </w:r>
      <w:r w:rsidR="00664C64">
        <w:rPr>
          <w:rFonts w:asciiTheme="minorHAnsi" w:hAnsiTheme="minorHAnsi" w:cstheme="minorHAnsi"/>
          <w:i/>
          <w:iCs/>
        </w:rPr>
        <w:t xml:space="preserve"> </w:t>
      </w:r>
      <w:r w:rsidR="00F75897">
        <w:rPr>
          <w:rFonts w:asciiTheme="minorHAnsi" w:hAnsiTheme="minorHAnsi" w:cstheme="minorHAnsi"/>
          <w:i/>
          <w:iCs/>
        </w:rPr>
        <w:t>an extension was not necessary.</w:t>
      </w:r>
      <w:r w:rsidRPr="00E6678C">
        <w:rPr>
          <w:rFonts w:asciiTheme="minorHAnsi" w:hAnsiTheme="minorHAnsi" w:cstheme="minorHAnsi"/>
          <w:i/>
          <w:iCs/>
        </w:rPr>
        <w:t xml:space="preserve"> </w:t>
      </w:r>
    </w:p>
    <w:p w14:paraId="49F1D0EE" w14:textId="77777777" w:rsidR="000B614F" w:rsidRPr="00E6678C" w:rsidRDefault="000B614F" w:rsidP="005859DB">
      <w:pPr>
        <w:rPr>
          <w:rFonts w:asciiTheme="minorHAnsi" w:hAnsiTheme="minorHAnsi" w:cstheme="minorHAnsi"/>
          <w:i/>
          <w:iCs/>
        </w:rPr>
      </w:pPr>
    </w:p>
    <w:p w14:paraId="0B3FE429" w14:textId="386985EE" w:rsidR="000B614F" w:rsidRPr="00E6678C" w:rsidRDefault="000B614F" w:rsidP="005859DB">
      <w:pPr>
        <w:rPr>
          <w:rFonts w:asciiTheme="minorHAnsi" w:hAnsiTheme="minorHAnsi" w:cstheme="minorHAnsi"/>
        </w:rPr>
      </w:pPr>
      <w:r w:rsidRPr="00E6678C">
        <w:rPr>
          <w:rFonts w:asciiTheme="minorHAnsi" w:hAnsiTheme="minorHAnsi" w:cstheme="minorHAnsi"/>
          <w:b/>
          <w:bCs/>
        </w:rPr>
        <w:t>Comment:</w:t>
      </w:r>
      <w:r w:rsidRPr="00E6678C">
        <w:rPr>
          <w:rFonts w:asciiTheme="minorHAnsi" w:hAnsiTheme="minorHAnsi" w:cstheme="minorHAnsi"/>
        </w:rPr>
        <w:t xml:space="preserve"> Many commenters reiterated their concerns with mitigation proposed in the proposed interim decisions</w:t>
      </w:r>
      <w:r w:rsidR="00ED1C9E">
        <w:rPr>
          <w:rFonts w:asciiTheme="minorHAnsi" w:hAnsiTheme="minorHAnsi" w:cstheme="minorHAnsi"/>
        </w:rPr>
        <w:t xml:space="preserve"> (PID)</w:t>
      </w:r>
      <w:r w:rsidRPr="00E6678C">
        <w:rPr>
          <w:rFonts w:asciiTheme="minorHAnsi" w:hAnsiTheme="minorHAnsi" w:cstheme="minorHAnsi"/>
        </w:rPr>
        <w:t xml:space="preserve">, and, in some cases, provided suggestions for the mitigation. The majority of these comments were duplicates of comments submitted to the </w:t>
      </w:r>
      <w:r w:rsidR="00ED1C9E">
        <w:rPr>
          <w:rFonts w:asciiTheme="minorHAnsi" w:hAnsiTheme="minorHAnsi" w:cstheme="minorHAnsi"/>
        </w:rPr>
        <w:t>PID</w:t>
      </w:r>
      <w:r w:rsidRPr="00E6678C">
        <w:rPr>
          <w:rFonts w:asciiTheme="minorHAnsi" w:hAnsiTheme="minorHAnsi" w:cstheme="minorHAnsi"/>
        </w:rPr>
        <w:t xml:space="preserve">s. </w:t>
      </w:r>
    </w:p>
    <w:p w14:paraId="187D07BB" w14:textId="77777777" w:rsidR="000B614F" w:rsidRPr="00E6678C" w:rsidRDefault="000B614F" w:rsidP="005859DB">
      <w:pPr>
        <w:rPr>
          <w:rFonts w:asciiTheme="minorHAnsi" w:hAnsiTheme="minorHAnsi" w:cstheme="minorHAnsi"/>
        </w:rPr>
      </w:pPr>
    </w:p>
    <w:p w14:paraId="2D20A7E0" w14:textId="068D0E0D" w:rsidR="000B614F" w:rsidRPr="00E6678C" w:rsidRDefault="000B614F" w:rsidP="005859DB">
      <w:pPr>
        <w:rPr>
          <w:rFonts w:asciiTheme="minorHAnsi" w:hAnsiTheme="minorHAnsi" w:cstheme="minorHAnsi"/>
          <w:i/>
          <w:iCs/>
        </w:rPr>
      </w:pPr>
      <w:r w:rsidRPr="00E6678C">
        <w:rPr>
          <w:rFonts w:asciiTheme="minorHAnsi" w:hAnsiTheme="minorHAnsi" w:cstheme="minorHAnsi"/>
          <w:b/>
          <w:bCs/>
        </w:rPr>
        <w:t>EPA Response:</w:t>
      </w:r>
      <w:r w:rsidRPr="00E6678C">
        <w:rPr>
          <w:rFonts w:asciiTheme="minorHAnsi" w:hAnsiTheme="minorHAnsi" w:cstheme="minorHAnsi"/>
          <w:i/>
          <w:iCs/>
        </w:rPr>
        <w:t xml:space="preserve"> The initial public comment period for the </w:t>
      </w:r>
      <w:r w:rsidR="00ED1C9E">
        <w:rPr>
          <w:rFonts w:asciiTheme="minorHAnsi" w:hAnsiTheme="minorHAnsi" w:cstheme="minorHAnsi"/>
          <w:i/>
          <w:iCs/>
        </w:rPr>
        <w:t>PIDs</w:t>
      </w:r>
      <w:r w:rsidRPr="00E6678C">
        <w:rPr>
          <w:rFonts w:asciiTheme="minorHAnsi" w:hAnsiTheme="minorHAnsi" w:cstheme="minorHAnsi"/>
          <w:i/>
          <w:iCs/>
        </w:rPr>
        <w:t xml:space="preserve"> was 60 days, which was extended for 30 days and then re-opened for an additional 30 days. During the combined 120-day public comment period, the Agency received approximately 224,000 comments. Over 8,000 unique submissions were received from various stakeholders, including the neonicotinoids’ registrants, grower groups, non-governmental organizations, pesticide industry groups, and local, state and federal government agencies. The Agency is currently reviewing these comments for consideration in </w:t>
      </w:r>
      <w:r w:rsidRPr="00E6678C" w:rsidDel="00C01DAB">
        <w:rPr>
          <w:rFonts w:asciiTheme="minorHAnsi" w:hAnsiTheme="minorHAnsi" w:cstheme="minorHAnsi"/>
          <w:i/>
          <w:iCs/>
        </w:rPr>
        <w:t>the</w:t>
      </w:r>
      <w:r w:rsidRPr="00E6678C">
        <w:rPr>
          <w:rFonts w:asciiTheme="minorHAnsi" w:hAnsiTheme="minorHAnsi" w:cstheme="minorHAnsi"/>
          <w:i/>
          <w:iCs/>
        </w:rPr>
        <w:t xml:space="preserve"> </w:t>
      </w:r>
      <w:r w:rsidR="008447FE">
        <w:rPr>
          <w:rFonts w:asciiTheme="minorHAnsi" w:hAnsiTheme="minorHAnsi" w:cstheme="minorHAnsi"/>
          <w:i/>
          <w:iCs/>
        </w:rPr>
        <w:t>amended</w:t>
      </w:r>
      <w:r w:rsidR="008447FE" w:rsidRPr="00E6678C">
        <w:rPr>
          <w:rFonts w:asciiTheme="minorHAnsi" w:hAnsiTheme="minorHAnsi" w:cstheme="minorHAnsi"/>
          <w:i/>
          <w:iCs/>
        </w:rPr>
        <w:t xml:space="preserve"> </w:t>
      </w:r>
      <w:r w:rsidRPr="00E6678C">
        <w:rPr>
          <w:rFonts w:asciiTheme="minorHAnsi" w:hAnsiTheme="minorHAnsi" w:cstheme="minorHAnsi"/>
          <w:i/>
          <w:iCs/>
        </w:rPr>
        <w:t xml:space="preserve">neonicotinoids’ </w:t>
      </w:r>
      <w:r w:rsidR="00ED1C9E">
        <w:rPr>
          <w:rFonts w:asciiTheme="minorHAnsi" w:hAnsiTheme="minorHAnsi" w:cstheme="minorHAnsi"/>
          <w:i/>
          <w:iCs/>
        </w:rPr>
        <w:t>PIDs</w:t>
      </w:r>
      <w:r w:rsidRPr="00E6678C" w:rsidDel="001201D0">
        <w:rPr>
          <w:rFonts w:asciiTheme="minorHAnsi" w:hAnsiTheme="minorHAnsi" w:cstheme="minorHAnsi"/>
          <w:i/>
          <w:iCs/>
        </w:rPr>
        <w:t>, which are anticipated for early 2023</w:t>
      </w:r>
      <w:r w:rsidRPr="00E6678C">
        <w:rPr>
          <w:rFonts w:asciiTheme="minorHAnsi" w:hAnsiTheme="minorHAnsi" w:cstheme="minorHAnsi"/>
          <w:i/>
          <w:iCs/>
        </w:rPr>
        <w:t xml:space="preserve">. </w:t>
      </w:r>
      <w:r w:rsidRPr="00E6678C" w:rsidDel="002806E2">
        <w:rPr>
          <w:rFonts w:asciiTheme="minorHAnsi" w:hAnsiTheme="minorHAnsi" w:cstheme="minorHAnsi"/>
          <w:i/>
          <w:iCs/>
        </w:rPr>
        <w:t xml:space="preserve">The </w:t>
      </w:r>
      <w:r w:rsidR="00E47ED9">
        <w:rPr>
          <w:rFonts w:asciiTheme="minorHAnsi" w:hAnsiTheme="minorHAnsi" w:cstheme="minorHAnsi"/>
          <w:i/>
          <w:iCs/>
        </w:rPr>
        <w:t>amended</w:t>
      </w:r>
      <w:r w:rsidRPr="00E6678C" w:rsidDel="002806E2">
        <w:rPr>
          <w:rFonts w:asciiTheme="minorHAnsi" w:hAnsiTheme="minorHAnsi" w:cstheme="minorHAnsi"/>
          <w:i/>
          <w:iCs/>
        </w:rPr>
        <w:t xml:space="preserve"> neonicotinoids’ </w:t>
      </w:r>
      <w:r w:rsidR="00ED1C9E">
        <w:rPr>
          <w:rFonts w:asciiTheme="minorHAnsi" w:hAnsiTheme="minorHAnsi" w:cstheme="minorHAnsi"/>
          <w:i/>
          <w:iCs/>
        </w:rPr>
        <w:t>PIDs</w:t>
      </w:r>
      <w:r w:rsidRPr="00E6678C" w:rsidDel="002806E2">
        <w:rPr>
          <w:rFonts w:asciiTheme="minorHAnsi" w:hAnsiTheme="minorHAnsi" w:cstheme="minorHAnsi"/>
          <w:i/>
          <w:iCs/>
        </w:rPr>
        <w:t xml:space="preserve"> will be available for a 60-day public comment period. </w:t>
      </w:r>
    </w:p>
    <w:p w14:paraId="76F0064B" w14:textId="77777777" w:rsidR="000B614F" w:rsidRPr="00E6678C" w:rsidRDefault="000B614F" w:rsidP="005859DB">
      <w:pPr>
        <w:rPr>
          <w:rFonts w:asciiTheme="minorHAnsi" w:hAnsiTheme="minorHAnsi" w:cstheme="minorHAnsi"/>
          <w:i/>
          <w:iCs/>
        </w:rPr>
      </w:pPr>
    </w:p>
    <w:p w14:paraId="58D511F1" w14:textId="41F6CFB7" w:rsidR="000B614F" w:rsidRPr="00E6678C" w:rsidRDefault="000B614F" w:rsidP="005859DB">
      <w:pPr>
        <w:rPr>
          <w:rFonts w:asciiTheme="minorHAnsi" w:hAnsiTheme="minorHAnsi" w:cstheme="minorHAnsi"/>
        </w:rPr>
      </w:pPr>
      <w:r w:rsidRPr="00E6678C">
        <w:rPr>
          <w:rFonts w:asciiTheme="minorHAnsi" w:hAnsiTheme="minorHAnsi" w:cstheme="minorHAnsi"/>
          <w:b/>
          <w:bCs/>
        </w:rPr>
        <w:t>Comment:</w:t>
      </w:r>
      <w:r w:rsidRPr="00E6678C">
        <w:rPr>
          <w:rFonts w:asciiTheme="minorHAnsi" w:hAnsiTheme="minorHAnsi" w:cstheme="minorHAnsi"/>
        </w:rPr>
        <w:t xml:space="preserve"> The Agency received numerous comments from individuals and non-profit organizations requesting a ban or suspension on all neonicotinoids. </w:t>
      </w:r>
    </w:p>
    <w:p w14:paraId="348B6C22" w14:textId="77777777" w:rsidR="000B614F" w:rsidRPr="00E6678C" w:rsidRDefault="000B614F" w:rsidP="005859DB">
      <w:pPr>
        <w:rPr>
          <w:rFonts w:asciiTheme="minorHAnsi" w:hAnsiTheme="minorHAnsi" w:cstheme="minorHAnsi"/>
        </w:rPr>
      </w:pPr>
    </w:p>
    <w:p w14:paraId="011E3507" w14:textId="5C993F14" w:rsidR="000B614F" w:rsidRPr="006D3746" w:rsidRDefault="000B614F" w:rsidP="005859DB">
      <w:pPr>
        <w:rPr>
          <w:rFonts w:asciiTheme="minorHAnsi" w:hAnsiTheme="minorHAnsi" w:cstheme="minorHAnsi"/>
          <w:i/>
          <w:iCs/>
        </w:rPr>
      </w:pPr>
      <w:r w:rsidRPr="00E6678C">
        <w:rPr>
          <w:rFonts w:asciiTheme="minorHAnsi" w:hAnsiTheme="minorHAnsi" w:cstheme="minorHAnsi"/>
          <w:b/>
          <w:bCs/>
        </w:rPr>
        <w:t>EPA Response:</w:t>
      </w:r>
      <w:r w:rsidRPr="00E6678C">
        <w:rPr>
          <w:rFonts w:asciiTheme="minorHAnsi" w:hAnsiTheme="minorHAnsi" w:cstheme="minorHAnsi"/>
          <w:i/>
          <w:iCs/>
        </w:rPr>
        <w:t xml:space="preserve"> The BE </w:t>
      </w:r>
      <w:r w:rsidR="009D2061">
        <w:rPr>
          <w:rFonts w:asciiTheme="minorHAnsi" w:hAnsiTheme="minorHAnsi" w:cstheme="minorHAnsi"/>
          <w:i/>
          <w:iCs/>
        </w:rPr>
        <w:t>includes</w:t>
      </w:r>
      <w:r w:rsidR="009D2061" w:rsidDel="001F4F13">
        <w:rPr>
          <w:rFonts w:asciiTheme="minorHAnsi" w:hAnsiTheme="minorHAnsi" w:cstheme="minorHAnsi"/>
          <w:i/>
          <w:iCs/>
        </w:rPr>
        <w:t xml:space="preserve"> </w:t>
      </w:r>
      <w:r w:rsidRPr="00E6678C">
        <w:rPr>
          <w:rFonts w:asciiTheme="minorHAnsi" w:hAnsiTheme="minorHAnsi" w:cstheme="minorHAnsi"/>
          <w:i/>
          <w:iCs/>
        </w:rPr>
        <w:t>a</w:t>
      </w:r>
      <w:r w:rsidR="009D2061">
        <w:rPr>
          <w:rFonts w:asciiTheme="minorHAnsi" w:hAnsiTheme="minorHAnsi" w:cstheme="minorHAnsi"/>
          <w:i/>
          <w:iCs/>
        </w:rPr>
        <w:t>n effects determination</w:t>
      </w:r>
      <w:r w:rsidRPr="00E6678C" w:rsidDel="009D2061">
        <w:rPr>
          <w:rFonts w:asciiTheme="minorHAnsi" w:hAnsiTheme="minorHAnsi" w:cstheme="minorHAnsi"/>
          <w:i/>
          <w:iCs/>
        </w:rPr>
        <w:t xml:space="preserve"> </w:t>
      </w:r>
      <w:r w:rsidRPr="00E6678C">
        <w:rPr>
          <w:rFonts w:asciiTheme="minorHAnsi" w:hAnsiTheme="minorHAnsi" w:cstheme="minorHAnsi"/>
          <w:i/>
          <w:iCs/>
        </w:rPr>
        <w:t xml:space="preserve">focused on potential </w:t>
      </w:r>
      <w:r w:rsidR="00F00817" w:rsidRPr="00E6678C">
        <w:rPr>
          <w:rFonts w:asciiTheme="minorHAnsi" w:hAnsiTheme="minorHAnsi" w:cstheme="minorHAnsi"/>
          <w:i/>
          <w:iCs/>
        </w:rPr>
        <w:t xml:space="preserve">effects </w:t>
      </w:r>
      <w:r w:rsidRPr="00E6678C">
        <w:rPr>
          <w:rFonts w:asciiTheme="minorHAnsi" w:hAnsiTheme="minorHAnsi" w:cstheme="minorHAnsi"/>
          <w:i/>
          <w:iCs/>
        </w:rPr>
        <w:t xml:space="preserve">to </w:t>
      </w:r>
      <w:r w:rsidR="009D2061">
        <w:rPr>
          <w:rFonts w:asciiTheme="minorHAnsi" w:hAnsiTheme="minorHAnsi" w:cstheme="minorHAnsi"/>
          <w:i/>
          <w:iCs/>
        </w:rPr>
        <w:t xml:space="preserve">threatened and </w:t>
      </w:r>
      <w:r w:rsidRPr="00E6678C">
        <w:rPr>
          <w:rFonts w:asciiTheme="minorHAnsi" w:hAnsiTheme="minorHAnsi" w:cstheme="minorHAnsi"/>
          <w:i/>
          <w:iCs/>
        </w:rPr>
        <w:t>endangered species</w:t>
      </w:r>
      <w:r w:rsidR="009D2061">
        <w:rPr>
          <w:rFonts w:asciiTheme="minorHAnsi" w:hAnsiTheme="minorHAnsi" w:cstheme="minorHAnsi"/>
          <w:i/>
          <w:iCs/>
        </w:rPr>
        <w:t xml:space="preserve"> (“listed species”)</w:t>
      </w:r>
      <w:r w:rsidRPr="00E6678C">
        <w:rPr>
          <w:rFonts w:asciiTheme="minorHAnsi" w:hAnsiTheme="minorHAnsi" w:cstheme="minorHAnsi"/>
          <w:i/>
          <w:iCs/>
        </w:rPr>
        <w:t xml:space="preserve">, following the procedures outlined in the </w:t>
      </w:r>
      <w:r w:rsidR="00E1475A">
        <w:rPr>
          <w:rFonts w:asciiTheme="minorHAnsi" w:hAnsiTheme="minorHAnsi" w:cstheme="minorHAnsi"/>
          <w:i/>
          <w:iCs/>
        </w:rPr>
        <w:t>R</w:t>
      </w:r>
      <w:r w:rsidRPr="00E6678C">
        <w:rPr>
          <w:rFonts w:asciiTheme="minorHAnsi" w:hAnsiTheme="minorHAnsi" w:cstheme="minorHAnsi"/>
          <w:i/>
          <w:iCs/>
        </w:rPr>
        <w:t xml:space="preserve">evised </w:t>
      </w:r>
      <w:r w:rsidR="00E1475A">
        <w:rPr>
          <w:rFonts w:asciiTheme="minorHAnsi" w:hAnsiTheme="minorHAnsi" w:cstheme="minorHAnsi"/>
          <w:i/>
          <w:iCs/>
        </w:rPr>
        <w:t>M</w:t>
      </w:r>
      <w:r w:rsidRPr="00E6678C">
        <w:rPr>
          <w:rFonts w:asciiTheme="minorHAnsi" w:hAnsiTheme="minorHAnsi" w:cstheme="minorHAnsi"/>
          <w:i/>
          <w:iCs/>
        </w:rPr>
        <w:t>ethod</w:t>
      </w:r>
      <w:r w:rsidR="00541802">
        <w:rPr>
          <w:rFonts w:asciiTheme="minorHAnsi" w:hAnsiTheme="minorHAnsi"/>
          <w:i/>
          <w:iCs/>
        </w:rPr>
        <w:t>.</w:t>
      </w:r>
      <w:r w:rsidR="00541802">
        <w:rPr>
          <w:rStyle w:val="FootnoteReference"/>
          <w:rFonts w:asciiTheme="minorHAnsi" w:hAnsiTheme="minorHAnsi"/>
          <w:i/>
          <w:iCs/>
        </w:rPr>
        <w:footnoteReference w:id="3"/>
      </w:r>
      <w:r w:rsidRPr="6CBA0DF7">
        <w:rPr>
          <w:rFonts w:asciiTheme="minorHAnsi" w:hAnsiTheme="minorHAnsi"/>
          <w:i/>
          <w:iCs/>
        </w:rPr>
        <w:t xml:space="preserve"> Substantive comments of a scientific nature, and that are related to the BEs are addressed below. Decisions regarding the overall registration of the </w:t>
      </w:r>
      <w:r w:rsidRPr="006D3746">
        <w:rPr>
          <w:rFonts w:asciiTheme="minorHAnsi" w:hAnsiTheme="minorHAnsi" w:cstheme="minorHAnsi"/>
          <w:i/>
          <w:iCs/>
        </w:rPr>
        <w:t>neonicotinoids are beyond the scope of the BE and will be addressed through registration review.</w:t>
      </w:r>
    </w:p>
    <w:p w14:paraId="141C22EA" w14:textId="77777777" w:rsidR="000B614F" w:rsidRPr="00AA3D6C" w:rsidRDefault="000B614F" w:rsidP="00AA3D6C">
      <w:pPr>
        <w:rPr>
          <w:rFonts w:asciiTheme="minorHAnsi" w:hAnsiTheme="minorHAnsi" w:cstheme="minorHAnsi"/>
          <w:b/>
          <w:bCs/>
        </w:rPr>
      </w:pPr>
    </w:p>
    <w:p w14:paraId="0E227F0D" w14:textId="539485D8" w:rsidR="006D3746" w:rsidRPr="003B61AF" w:rsidRDefault="003B61AF" w:rsidP="00C134DD">
      <w:pPr>
        <w:pStyle w:val="Heading2"/>
        <w:keepNext/>
      </w:pPr>
      <w:bookmarkStart w:id="33" w:name="_Toc106187572"/>
      <w:r w:rsidRPr="003B61AF">
        <w:lastRenderedPageBreak/>
        <w:t xml:space="preserve">2.2  </w:t>
      </w:r>
      <w:r w:rsidR="006D3746" w:rsidRPr="003B61AF">
        <w:t>Benefits of Neonicotinoids in Row Crops</w:t>
      </w:r>
      <w:bookmarkEnd w:id="33"/>
    </w:p>
    <w:p w14:paraId="69C3797B" w14:textId="77777777" w:rsidR="00AA3D6C" w:rsidRPr="00AA3D6C" w:rsidRDefault="00AA3D6C" w:rsidP="00C134DD">
      <w:pPr>
        <w:keepNext/>
        <w:rPr>
          <w:rFonts w:asciiTheme="minorHAnsi" w:hAnsiTheme="minorHAnsi" w:cstheme="minorHAnsi"/>
          <w:b/>
          <w:u w:val="single"/>
        </w:rPr>
      </w:pPr>
    </w:p>
    <w:p w14:paraId="5C70D842" w14:textId="77777777" w:rsidR="006D3746" w:rsidRPr="00AA3D6C"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This section groups comments on the benefits of neonicotinoids for large area row and field crops by the crop discussed. After the comment summaries, EPA provides a consolidated response.</w:t>
      </w:r>
    </w:p>
    <w:p w14:paraId="70254134" w14:textId="77777777" w:rsidR="006D3746" w:rsidRPr="00AA3D6C" w:rsidRDefault="006D3746" w:rsidP="00AA3D6C">
      <w:pPr>
        <w:rPr>
          <w:rFonts w:asciiTheme="minorHAnsi" w:hAnsiTheme="minorHAnsi" w:cstheme="minorHAnsi"/>
          <w:b/>
          <w:bCs/>
          <w:u w:val="single"/>
        </w:rPr>
      </w:pPr>
    </w:p>
    <w:p w14:paraId="604350F0" w14:textId="6525B5C3" w:rsidR="006D3746" w:rsidRDefault="00DC3C60" w:rsidP="00AA3D6C">
      <w:pPr>
        <w:rPr>
          <w:rFonts w:asciiTheme="minorHAnsi" w:hAnsiTheme="minorHAnsi" w:cstheme="minorHAnsi"/>
        </w:rPr>
      </w:pPr>
      <w:r>
        <w:rPr>
          <w:rFonts w:asciiTheme="minorHAnsi" w:eastAsia="Times New Roman" w:hAnsiTheme="minorHAnsi" w:cstheme="minorHAnsi"/>
          <w:b/>
          <w:bCs/>
        </w:rPr>
        <w:t>Commenter</w:t>
      </w:r>
      <w:r w:rsidR="006D3746" w:rsidRPr="00AA3D6C">
        <w:rPr>
          <w:rFonts w:asciiTheme="minorHAnsi" w:eastAsia="Times New Roman" w:hAnsiTheme="minorHAnsi" w:cstheme="minorHAnsi"/>
          <w:b/>
          <w:bCs/>
        </w:rPr>
        <w:t>s:</w:t>
      </w:r>
      <w:r w:rsidR="006D3746" w:rsidRPr="00AA3D6C">
        <w:rPr>
          <w:rFonts w:asciiTheme="minorHAnsi" w:eastAsia="Times New Roman" w:hAnsiTheme="minorHAnsi" w:cstheme="minorHAnsi"/>
        </w:rPr>
        <w:t xml:space="preserve"> National Potato Council (NPC) (-0056); Washington Potatoes (-0038); American Soybean Association (ASA) (-0341); </w:t>
      </w:r>
      <w:proofErr w:type="spellStart"/>
      <w:r w:rsidR="006D3746" w:rsidRPr="00AA3D6C">
        <w:rPr>
          <w:rFonts w:asciiTheme="minorHAnsi" w:eastAsia="Times New Roman" w:hAnsiTheme="minorHAnsi" w:cstheme="minorHAnsi"/>
        </w:rPr>
        <w:t>Sugarbeet</w:t>
      </w:r>
      <w:proofErr w:type="spellEnd"/>
      <w:r w:rsidR="006D3746" w:rsidRPr="00AA3D6C">
        <w:rPr>
          <w:rFonts w:asciiTheme="minorHAnsi" w:eastAsia="Times New Roman" w:hAnsiTheme="minorHAnsi" w:cstheme="minorHAnsi"/>
        </w:rPr>
        <w:t xml:space="preserve"> stakeholders (-0334); American Peanut Council (APC) (-0047);</w:t>
      </w:r>
      <w:r w:rsidR="006D3746" w:rsidRPr="00AA3D6C">
        <w:rPr>
          <w:rFonts w:asciiTheme="minorHAnsi" w:hAnsiTheme="minorHAnsi" w:cstheme="minorHAnsi"/>
        </w:rPr>
        <w:t xml:space="preserve"> Mid-South Entomology Working Group (MSEWG) (-0021)</w:t>
      </w:r>
    </w:p>
    <w:p w14:paraId="7BD0D74F" w14:textId="77777777" w:rsidR="003B61AF" w:rsidRPr="00AA3D6C" w:rsidRDefault="003B61AF" w:rsidP="00AA3D6C">
      <w:pPr>
        <w:rPr>
          <w:rFonts w:asciiTheme="minorHAnsi" w:hAnsiTheme="minorHAnsi" w:cstheme="minorHAnsi"/>
        </w:rPr>
      </w:pPr>
    </w:p>
    <w:p w14:paraId="1184FA81" w14:textId="6CD08C03" w:rsidR="006D3746" w:rsidRPr="00AA3D6C" w:rsidRDefault="006D3746" w:rsidP="00AA3D6C">
      <w:pPr>
        <w:rPr>
          <w:rFonts w:asciiTheme="minorHAnsi" w:eastAsia="Times New Roman" w:hAnsiTheme="minorHAnsi" w:cstheme="minorHAnsi"/>
          <w:b/>
          <w:bCs/>
        </w:rPr>
      </w:pPr>
      <w:r w:rsidRPr="00AA3D6C">
        <w:rPr>
          <w:rFonts w:asciiTheme="minorHAnsi" w:eastAsia="Times New Roman" w:hAnsiTheme="minorHAnsi" w:cstheme="minorHAnsi"/>
          <w:b/>
          <w:bCs/>
        </w:rPr>
        <w:t xml:space="preserve">Summary of </w:t>
      </w:r>
      <w:r w:rsidR="00A3468D">
        <w:rPr>
          <w:rFonts w:asciiTheme="minorHAnsi" w:eastAsia="Times New Roman" w:hAnsiTheme="minorHAnsi" w:cstheme="minorHAnsi"/>
          <w:b/>
          <w:bCs/>
        </w:rPr>
        <w:t>C</w:t>
      </w:r>
      <w:r w:rsidRPr="00AA3D6C">
        <w:rPr>
          <w:rFonts w:asciiTheme="minorHAnsi" w:eastAsia="Times New Roman" w:hAnsiTheme="minorHAnsi" w:cstheme="minorHAnsi"/>
          <w:b/>
          <w:bCs/>
        </w:rPr>
        <w:t xml:space="preserve">omments: </w:t>
      </w:r>
    </w:p>
    <w:p w14:paraId="71D25AE8" w14:textId="77777777" w:rsidR="003B61AF" w:rsidRDefault="003B61AF" w:rsidP="00AA3D6C">
      <w:pPr>
        <w:rPr>
          <w:rFonts w:asciiTheme="minorHAnsi" w:hAnsiTheme="minorHAnsi" w:cstheme="minorHAnsi"/>
          <w:bCs/>
          <w:i/>
          <w:iCs/>
        </w:rPr>
      </w:pPr>
    </w:p>
    <w:p w14:paraId="358AEF3F" w14:textId="15E0F2E1" w:rsidR="006D3746" w:rsidRPr="00AA3D6C" w:rsidRDefault="006D3746" w:rsidP="00AA3D6C">
      <w:pPr>
        <w:rPr>
          <w:rFonts w:asciiTheme="minorHAnsi" w:hAnsiTheme="minorHAnsi" w:cstheme="minorHAnsi"/>
          <w:bCs/>
          <w:i/>
          <w:iCs/>
        </w:rPr>
      </w:pPr>
      <w:r w:rsidRPr="00AA3D6C">
        <w:rPr>
          <w:rFonts w:asciiTheme="minorHAnsi" w:hAnsiTheme="minorHAnsi" w:cstheme="minorHAnsi"/>
          <w:bCs/>
          <w:i/>
          <w:iCs/>
        </w:rPr>
        <w:t>Potato</w:t>
      </w:r>
    </w:p>
    <w:p w14:paraId="60D37FE5" w14:textId="77777777" w:rsidR="003B61AF" w:rsidRDefault="003B61AF" w:rsidP="00AA3D6C">
      <w:pPr>
        <w:rPr>
          <w:rFonts w:asciiTheme="minorHAnsi" w:eastAsia="Times New Roman" w:hAnsiTheme="minorHAnsi" w:cstheme="minorHAnsi"/>
        </w:rPr>
      </w:pPr>
    </w:p>
    <w:p w14:paraId="2E090932" w14:textId="09CC8D09" w:rsidR="006D3746"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 xml:space="preserve">Both </w:t>
      </w:r>
      <w:r w:rsidR="00DC3C60">
        <w:rPr>
          <w:rFonts w:asciiTheme="minorHAnsi" w:eastAsia="Times New Roman" w:hAnsiTheme="minorHAnsi" w:cstheme="minorHAnsi"/>
        </w:rPr>
        <w:t>commenter</w:t>
      </w:r>
      <w:r w:rsidRPr="00AA3D6C">
        <w:rPr>
          <w:rFonts w:asciiTheme="minorHAnsi" w:eastAsia="Times New Roman" w:hAnsiTheme="minorHAnsi" w:cstheme="minorHAnsi"/>
        </w:rPr>
        <w:t>s (NPC and Washington Potatoes) stated that neonicotinoids are the most important class of insecticides for potato growers to control Colorado potato beetle, flea beetles and disease-transmitting insects (</w:t>
      </w:r>
      <w:r w:rsidRPr="003B61AF">
        <w:rPr>
          <w:rFonts w:asciiTheme="minorHAnsi" w:eastAsia="Times New Roman" w:hAnsiTheme="minorHAnsi" w:cstheme="minorHAnsi"/>
          <w:i/>
          <w:iCs/>
        </w:rPr>
        <w:t>e.g.,</w:t>
      </w:r>
      <w:r w:rsidRPr="00AA3D6C">
        <w:rPr>
          <w:rFonts w:asciiTheme="minorHAnsi" w:eastAsia="Times New Roman" w:hAnsiTheme="minorHAnsi" w:cstheme="minorHAnsi"/>
        </w:rPr>
        <w:t xml:space="preserve"> aphids, psyllids). The neonicotinoids are also important for resistance management, especially for Colorado potato beetle and for controlling soil pests such as white grubs and wireworms. Depending on the target pest, alternatives include </w:t>
      </w:r>
      <w:proofErr w:type="spellStart"/>
      <w:r w:rsidRPr="00AA3D6C">
        <w:rPr>
          <w:rFonts w:asciiTheme="minorHAnsi" w:eastAsia="Times New Roman" w:hAnsiTheme="minorHAnsi" w:cstheme="minorHAnsi"/>
        </w:rPr>
        <w:t>flonicamid</w:t>
      </w:r>
      <w:proofErr w:type="spellEnd"/>
      <w:r w:rsidRPr="00AA3D6C">
        <w:rPr>
          <w:rFonts w:asciiTheme="minorHAnsi" w:eastAsia="Times New Roman" w:hAnsiTheme="minorHAnsi" w:cstheme="minorHAnsi"/>
        </w:rPr>
        <w:t xml:space="preserve">, </w:t>
      </w:r>
      <w:proofErr w:type="spellStart"/>
      <w:r w:rsidRPr="00AA3D6C">
        <w:rPr>
          <w:rFonts w:asciiTheme="minorHAnsi" w:eastAsia="Times New Roman" w:hAnsiTheme="minorHAnsi" w:cstheme="minorHAnsi"/>
        </w:rPr>
        <w:t>pymetrozine</w:t>
      </w:r>
      <w:proofErr w:type="spellEnd"/>
      <w:r w:rsidRPr="00AA3D6C">
        <w:rPr>
          <w:rFonts w:asciiTheme="minorHAnsi" w:eastAsia="Times New Roman" w:hAnsiTheme="minorHAnsi" w:cstheme="minorHAnsi"/>
        </w:rPr>
        <w:t xml:space="preserve">, spirotetramat, </w:t>
      </w:r>
      <w:proofErr w:type="spellStart"/>
      <w:r w:rsidRPr="00AA3D6C">
        <w:rPr>
          <w:rFonts w:asciiTheme="minorHAnsi" w:eastAsia="Times New Roman" w:hAnsiTheme="minorHAnsi" w:cstheme="minorHAnsi"/>
        </w:rPr>
        <w:t>ethoprophos</w:t>
      </w:r>
      <w:proofErr w:type="spellEnd"/>
      <w:r w:rsidRPr="00AA3D6C">
        <w:rPr>
          <w:rFonts w:asciiTheme="minorHAnsi" w:eastAsia="Times New Roman" w:hAnsiTheme="minorHAnsi" w:cstheme="minorHAnsi"/>
        </w:rPr>
        <w:t>, fipronil, bifenthrin and 1,3-D.</w:t>
      </w:r>
    </w:p>
    <w:p w14:paraId="6C01C56C" w14:textId="77777777" w:rsidR="003B61AF" w:rsidRPr="00AA3D6C" w:rsidRDefault="003B61AF" w:rsidP="00AA3D6C">
      <w:pPr>
        <w:rPr>
          <w:rFonts w:asciiTheme="minorHAnsi" w:eastAsia="Times New Roman" w:hAnsiTheme="minorHAnsi" w:cstheme="minorHAnsi"/>
        </w:rPr>
      </w:pPr>
    </w:p>
    <w:p w14:paraId="2BB29DAE" w14:textId="1A065ADF" w:rsidR="006D3746" w:rsidRDefault="006D3746" w:rsidP="00AA3D6C">
      <w:pPr>
        <w:autoSpaceDE w:val="0"/>
        <w:autoSpaceDN w:val="0"/>
        <w:adjustRightInd w:val="0"/>
        <w:rPr>
          <w:rFonts w:asciiTheme="minorHAnsi" w:eastAsia="Times New Roman" w:hAnsiTheme="minorHAnsi" w:cstheme="minorHAnsi"/>
        </w:rPr>
      </w:pPr>
      <w:r w:rsidRPr="00AA3D6C">
        <w:rPr>
          <w:rFonts w:asciiTheme="minorHAnsi" w:eastAsia="Times New Roman" w:hAnsiTheme="minorHAnsi" w:cstheme="minorHAnsi"/>
        </w:rPr>
        <w:t xml:space="preserve">Commenters stated that it is common grower practice to treat tubers with neonicotinoids before planting or use in-furrow applications to protect the “seed” and young plants. The NPC stated that 90% or more of all neonicotinoids are applied at planting. Individuals also indicated that in the absence of neonicotinoids, alternatives would include synthetic pyrethroids, carbamates (methomyl, oxamyl, or carbaryl), an organophosphate (phosmet), and insecticides with newer modes of action that are significantly more expensive and may lead to secondary pest outbreaks. </w:t>
      </w:r>
    </w:p>
    <w:p w14:paraId="5F97C517" w14:textId="77777777" w:rsidR="003B61AF" w:rsidRPr="00AA3D6C" w:rsidRDefault="003B61AF" w:rsidP="00AA3D6C">
      <w:pPr>
        <w:autoSpaceDE w:val="0"/>
        <w:autoSpaceDN w:val="0"/>
        <w:adjustRightInd w:val="0"/>
        <w:rPr>
          <w:rFonts w:asciiTheme="minorHAnsi" w:eastAsia="Times New Roman" w:hAnsiTheme="minorHAnsi" w:cstheme="minorHAnsi"/>
        </w:rPr>
      </w:pPr>
    </w:p>
    <w:p w14:paraId="7E57DFDE" w14:textId="5C70FFE3" w:rsidR="006D3746" w:rsidRDefault="006D3746" w:rsidP="00AA3D6C">
      <w:pPr>
        <w:rPr>
          <w:rFonts w:asciiTheme="minorHAnsi" w:hAnsiTheme="minorHAnsi" w:cstheme="minorHAnsi"/>
          <w:bCs/>
          <w:i/>
          <w:iCs/>
        </w:rPr>
      </w:pPr>
      <w:r w:rsidRPr="00AA3D6C">
        <w:rPr>
          <w:rFonts w:asciiTheme="minorHAnsi" w:hAnsiTheme="minorHAnsi" w:cstheme="minorHAnsi"/>
          <w:bCs/>
          <w:i/>
          <w:iCs/>
        </w:rPr>
        <w:t>Soybean</w:t>
      </w:r>
    </w:p>
    <w:p w14:paraId="76157CF4" w14:textId="77777777" w:rsidR="003B61AF" w:rsidRPr="00AA3D6C" w:rsidRDefault="003B61AF" w:rsidP="00AA3D6C">
      <w:pPr>
        <w:rPr>
          <w:rFonts w:asciiTheme="minorHAnsi" w:hAnsiTheme="minorHAnsi" w:cstheme="minorHAnsi"/>
          <w:bCs/>
          <w:i/>
          <w:iCs/>
        </w:rPr>
      </w:pPr>
    </w:p>
    <w:p w14:paraId="0C3448AE" w14:textId="6D9D865C" w:rsidR="006D3746"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 xml:space="preserve">ASA provided comments about the benefits of neonicotinoids as a seed treatment and their importance to soybean production. </w:t>
      </w:r>
    </w:p>
    <w:p w14:paraId="4F387620" w14:textId="77777777" w:rsidR="003B61AF" w:rsidRPr="00AA3D6C" w:rsidRDefault="003B61AF" w:rsidP="00AA3D6C">
      <w:pPr>
        <w:rPr>
          <w:rFonts w:asciiTheme="minorHAnsi" w:hAnsiTheme="minorHAnsi" w:cstheme="minorHAnsi"/>
          <w:strike/>
        </w:rPr>
      </w:pPr>
    </w:p>
    <w:p w14:paraId="4CD4E698" w14:textId="3167A683" w:rsidR="006D3746" w:rsidRDefault="006D3746" w:rsidP="00AA3D6C">
      <w:pPr>
        <w:rPr>
          <w:rFonts w:asciiTheme="minorHAnsi" w:hAnsiTheme="minorHAnsi" w:cstheme="minorHAnsi"/>
          <w:bCs/>
          <w:i/>
          <w:iCs/>
        </w:rPr>
      </w:pPr>
      <w:proofErr w:type="spellStart"/>
      <w:r w:rsidRPr="00AA3D6C">
        <w:rPr>
          <w:rFonts w:asciiTheme="minorHAnsi" w:hAnsiTheme="minorHAnsi" w:cstheme="minorHAnsi"/>
          <w:bCs/>
          <w:i/>
          <w:iCs/>
        </w:rPr>
        <w:t>Sugarbeet</w:t>
      </w:r>
      <w:proofErr w:type="spellEnd"/>
    </w:p>
    <w:p w14:paraId="706BAB74" w14:textId="77777777" w:rsidR="003B61AF" w:rsidRPr="00AA3D6C" w:rsidRDefault="003B61AF" w:rsidP="00AA3D6C">
      <w:pPr>
        <w:rPr>
          <w:rFonts w:asciiTheme="minorHAnsi" w:hAnsiTheme="minorHAnsi" w:cstheme="minorHAnsi"/>
          <w:bCs/>
          <w:i/>
          <w:iCs/>
        </w:rPr>
      </w:pPr>
    </w:p>
    <w:p w14:paraId="1E9F3594" w14:textId="3565D3D4" w:rsidR="006D3746"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 xml:space="preserve">The primary pests targeted by neonicotinoids in </w:t>
      </w:r>
      <w:proofErr w:type="spellStart"/>
      <w:r w:rsidRPr="00AA3D6C">
        <w:rPr>
          <w:rFonts w:asciiTheme="minorHAnsi" w:eastAsia="Times New Roman" w:hAnsiTheme="minorHAnsi" w:cstheme="minorHAnsi"/>
        </w:rPr>
        <w:t>sugarbeet</w:t>
      </w:r>
      <w:r w:rsidR="004D2697">
        <w:rPr>
          <w:rFonts w:asciiTheme="minorHAnsi" w:eastAsia="Times New Roman" w:hAnsiTheme="minorHAnsi" w:cstheme="minorHAnsi"/>
        </w:rPr>
        <w:t>s</w:t>
      </w:r>
      <w:proofErr w:type="spellEnd"/>
      <w:r w:rsidRPr="00AA3D6C">
        <w:rPr>
          <w:rFonts w:asciiTheme="minorHAnsi" w:eastAsia="Times New Roman" w:hAnsiTheme="minorHAnsi" w:cstheme="minorHAnsi"/>
        </w:rPr>
        <w:t xml:space="preserve"> are the beet leafhopper as a seed treatment (vector of curly top virus) and </w:t>
      </w:r>
      <w:proofErr w:type="spellStart"/>
      <w:r w:rsidRPr="00AA3D6C">
        <w:rPr>
          <w:rFonts w:asciiTheme="minorHAnsi" w:eastAsia="Times New Roman" w:hAnsiTheme="minorHAnsi" w:cstheme="minorHAnsi"/>
        </w:rPr>
        <w:t>sugarbeet</w:t>
      </w:r>
      <w:proofErr w:type="spellEnd"/>
      <w:r w:rsidRPr="00AA3D6C">
        <w:rPr>
          <w:rFonts w:asciiTheme="minorHAnsi" w:eastAsia="Times New Roman" w:hAnsiTheme="minorHAnsi" w:cstheme="minorHAnsi"/>
        </w:rPr>
        <w:t xml:space="preserve"> root maggot (seed treatment or as an in-furrow application). Secondary pests controlled by neonicotinoids include cutworm, wireworm, flea beetle, black bean aphid and springtails. There are no alternative seed treatments available for control of these insect pests. Given that </w:t>
      </w:r>
      <w:proofErr w:type="spellStart"/>
      <w:r w:rsidRPr="00AA3D6C">
        <w:rPr>
          <w:rFonts w:asciiTheme="minorHAnsi" w:eastAsia="Times New Roman" w:hAnsiTheme="minorHAnsi" w:cstheme="minorHAnsi"/>
        </w:rPr>
        <w:t>sugarbeets</w:t>
      </w:r>
      <w:proofErr w:type="spellEnd"/>
      <w:r w:rsidRPr="00AA3D6C">
        <w:rPr>
          <w:rFonts w:asciiTheme="minorHAnsi" w:eastAsia="Times New Roman" w:hAnsiTheme="minorHAnsi" w:cstheme="minorHAnsi"/>
        </w:rPr>
        <w:t xml:space="preserve"> are biennial, it is unlikely pollinators would be exposed to neonicotinoid residues since the fields are unattractive to pollinators.</w:t>
      </w:r>
    </w:p>
    <w:p w14:paraId="7C5E338E" w14:textId="77777777" w:rsidR="003B61AF" w:rsidRPr="00AA3D6C" w:rsidRDefault="003B61AF" w:rsidP="00AA3D6C">
      <w:pPr>
        <w:rPr>
          <w:rFonts w:asciiTheme="minorHAnsi" w:eastAsia="Times New Roman" w:hAnsiTheme="minorHAnsi" w:cstheme="minorHAnsi"/>
        </w:rPr>
      </w:pPr>
    </w:p>
    <w:p w14:paraId="5CD738DE" w14:textId="44ECB78F" w:rsidR="006D3746" w:rsidRDefault="006D3746" w:rsidP="00AA3D6C">
      <w:pPr>
        <w:rPr>
          <w:rFonts w:asciiTheme="minorHAnsi" w:hAnsiTheme="minorHAnsi" w:cstheme="minorHAnsi"/>
          <w:bCs/>
          <w:i/>
          <w:iCs/>
        </w:rPr>
      </w:pPr>
      <w:r w:rsidRPr="00AA3D6C">
        <w:rPr>
          <w:rFonts w:asciiTheme="minorHAnsi" w:hAnsiTheme="minorHAnsi" w:cstheme="minorHAnsi"/>
          <w:bCs/>
          <w:i/>
          <w:iCs/>
        </w:rPr>
        <w:t>Peanuts</w:t>
      </w:r>
    </w:p>
    <w:p w14:paraId="484AD538" w14:textId="77777777" w:rsidR="003B61AF" w:rsidRPr="00AA3D6C" w:rsidRDefault="003B61AF" w:rsidP="00AA3D6C">
      <w:pPr>
        <w:rPr>
          <w:rFonts w:asciiTheme="minorHAnsi" w:hAnsiTheme="minorHAnsi" w:cstheme="minorHAnsi"/>
          <w:bCs/>
          <w:i/>
          <w:iCs/>
        </w:rPr>
      </w:pPr>
    </w:p>
    <w:p w14:paraId="47AD8F24" w14:textId="617556E3" w:rsidR="006D3746"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 xml:space="preserve">The APC supports the continued use and availability of imidacloprid in the production of peanut. In the comment, APC stated that a single, in-furrow application of imidacloprid at-plant is critically important for the management of thrips feeding on seedlings. APC further stated that imidacloprid is an economically viable option for growers as it is an inexpensive chemical control relative to alternatives. APC stated that imidacloprid is commonly used on approximately 15% of peanut acres across six states </w:t>
      </w:r>
      <w:r w:rsidRPr="00AA3D6C">
        <w:rPr>
          <w:rFonts w:asciiTheme="minorHAnsi" w:eastAsia="Times New Roman" w:hAnsiTheme="minorHAnsi" w:cstheme="minorHAnsi"/>
        </w:rPr>
        <w:lastRenderedPageBreak/>
        <w:t xml:space="preserve">(Alabama, Florida, Georgia, North Carolina, South Carolina, and Virginia). Lastly, APC stated that with the cancellation of chlorpyrifos, maintaining the availability of imidacloprid at current application rates in peanut was critically important. </w:t>
      </w:r>
    </w:p>
    <w:p w14:paraId="6D93242B" w14:textId="77777777" w:rsidR="00A3468D" w:rsidRPr="00AA3D6C" w:rsidRDefault="00A3468D" w:rsidP="00AA3D6C">
      <w:pPr>
        <w:rPr>
          <w:rFonts w:asciiTheme="minorHAnsi" w:eastAsia="Times New Roman" w:hAnsiTheme="minorHAnsi" w:cstheme="minorHAnsi"/>
        </w:rPr>
      </w:pPr>
    </w:p>
    <w:p w14:paraId="68592088" w14:textId="40DF806E" w:rsidR="006D3746" w:rsidRDefault="006D3746" w:rsidP="00A3468D">
      <w:pPr>
        <w:keepNext/>
        <w:keepLines/>
        <w:rPr>
          <w:rFonts w:asciiTheme="minorHAnsi" w:eastAsia="Times New Roman" w:hAnsiTheme="minorHAnsi" w:cstheme="minorHAnsi"/>
          <w:i/>
          <w:iCs/>
        </w:rPr>
      </w:pPr>
      <w:r w:rsidRPr="00AA3D6C">
        <w:rPr>
          <w:rFonts w:asciiTheme="minorHAnsi" w:eastAsia="Times New Roman" w:hAnsiTheme="minorHAnsi" w:cstheme="minorHAnsi"/>
          <w:i/>
          <w:iCs/>
        </w:rPr>
        <w:t>Comment Covering Multiple Crops</w:t>
      </w:r>
    </w:p>
    <w:p w14:paraId="594ECAB6" w14:textId="77777777" w:rsidR="00A3468D" w:rsidRPr="00AA3D6C" w:rsidRDefault="00A3468D" w:rsidP="00AA3D6C">
      <w:pPr>
        <w:rPr>
          <w:rFonts w:asciiTheme="minorHAnsi" w:eastAsia="Times New Roman" w:hAnsiTheme="minorHAnsi" w:cstheme="minorHAnsi"/>
          <w:i/>
          <w:iCs/>
        </w:rPr>
      </w:pPr>
    </w:p>
    <w:p w14:paraId="3E41F40C" w14:textId="77777777" w:rsidR="006D3746" w:rsidRPr="00AA3D6C" w:rsidRDefault="006D3746" w:rsidP="00AA3D6C">
      <w:pPr>
        <w:rPr>
          <w:rFonts w:asciiTheme="minorHAnsi" w:hAnsiTheme="minorHAnsi" w:cstheme="minorHAnsi"/>
        </w:rPr>
      </w:pPr>
      <w:r w:rsidRPr="00AA3D6C">
        <w:rPr>
          <w:rFonts w:asciiTheme="minorHAnsi" w:hAnsiTheme="minorHAnsi" w:cstheme="minorHAnsi"/>
        </w:rPr>
        <w:t>MSEWG’s comment applied to a variety of agronomically important crops in the region, particularly corn, cotton, grain sorghum, rice, soybean, and wheat and emphasizes the benefits that neonicotinoids provide in terms of the management of key insect pests and improvement of crop profitability, particularly when they are used as seed treatments. They noted that some important pests have begun showing reduced susceptibility to some neonicotinoids, as is the case with the tarnished plant bug and thiamethoxam use in cotton. They also pointed out that loss of neonicotinoids would probably drastically increase the use of older chemistries such as carbamates and organophosphates that pose serious acute human health risks.</w:t>
      </w:r>
    </w:p>
    <w:p w14:paraId="033C46C1" w14:textId="77777777" w:rsidR="006D3746" w:rsidRPr="00AA3D6C" w:rsidRDefault="006D3746" w:rsidP="00AA3D6C">
      <w:pPr>
        <w:rPr>
          <w:rFonts w:asciiTheme="minorHAnsi" w:eastAsia="Times New Roman" w:hAnsiTheme="minorHAnsi" w:cstheme="minorHAnsi"/>
        </w:rPr>
      </w:pPr>
    </w:p>
    <w:p w14:paraId="6D586EF2" w14:textId="69706865" w:rsidR="006D3746" w:rsidRDefault="006D3746" w:rsidP="00AA3D6C">
      <w:pPr>
        <w:rPr>
          <w:rFonts w:asciiTheme="minorHAnsi" w:hAnsiTheme="minorHAnsi" w:cstheme="minorHAnsi"/>
          <w:i/>
          <w:iCs/>
        </w:rPr>
      </w:pPr>
      <w:r w:rsidRPr="00A3468D">
        <w:rPr>
          <w:rFonts w:asciiTheme="minorHAnsi" w:eastAsia="Times New Roman" w:hAnsiTheme="minorHAnsi" w:cstheme="minorHAnsi"/>
          <w:b/>
          <w:bCs/>
        </w:rPr>
        <w:t xml:space="preserve">EPA </w:t>
      </w:r>
      <w:r w:rsidR="00A3468D" w:rsidRPr="00A3468D">
        <w:rPr>
          <w:rFonts w:asciiTheme="minorHAnsi" w:eastAsia="Times New Roman" w:hAnsiTheme="minorHAnsi" w:cstheme="minorHAnsi"/>
          <w:b/>
          <w:bCs/>
        </w:rPr>
        <w:t>R</w:t>
      </w:r>
      <w:r w:rsidRPr="00A3468D">
        <w:rPr>
          <w:rFonts w:asciiTheme="minorHAnsi" w:eastAsia="Times New Roman" w:hAnsiTheme="minorHAnsi" w:cstheme="minorHAnsi"/>
          <w:b/>
          <w:bCs/>
        </w:rPr>
        <w:t>esponse</w:t>
      </w:r>
      <w:r w:rsidRPr="00A3468D">
        <w:rPr>
          <w:rFonts w:asciiTheme="minorHAnsi" w:eastAsia="Times New Roman" w:hAnsiTheme="minorHAnsi" w:cstheme="minorHAnsi"/>
          <w:b/>
          <w:bCs/>
          <w:i/>
          <w:iCs/>
        </w:rPr>
        <w:t xml:space="preserve">: </w:t>
      </w:r>
      <w:r w:rsidR="00886445">
        <w:rPr>
          <w:rFonts w:asciiTheme="minorHAnsi" w:hAnsiTheme="minorHAnsi" w:cstheme="minorHAnsi"/>
          <w:i/>
          <w:iCs/>
        </w:rPr>
        <w:t xml:space="preserve">Although not part of the effects determinations, EPA </w:t>
      </w:r>
      <w:r w:rsidRPr="00A3468D">
        <w:rPr>
          <w:rFonts w:asciiTheme="minorHAnsi" w:hAnsiTheme="minorHAnsi" w:cstheme="minorHAnsi"/>
          <w:i/>
          <w:iCs/>
        </w:rPr>
        <w:t xml:space="preserve">agrees that neonicotinoids provide important benefits to growers of these crops; the stakeholder claims largely agree with the benefits assessments conducted by the Agency that are available in the neonicotinoid PID regulatory dockets at </w:t>
      </w:r>
      <w:hyperlink r:id="rId17" w:history="1">
        <w:r w:rsidRPr="00A3468D">
          <w:rPr>
            <w:rStyle w:val="Hyperlink"/>
            <w:rFonts w:asciiTheme="minorHAnsi" w:hAnsiTheme="minorHAnsi" w:cstheme="minorHAnsi"/>
            <w:i/>
            <w:iCs/>
          </w:rPr>
          <w:t>www.regulations.gov</w:t>
        </w:r>
      </w:hyperlink>
      <w:r w:rsidRPr="00A3468D">
        <w:rPr>
          <w:rFonts w:asciiTheme="minorHAnsi" w:hAnsiTheme="minorHAnsi" w:cstheme="minorHAnsi"/>
          <w:i/>
          <w:iCs/>
        </w:rPr>
        <w:t xml:space="preserve">. These memos include: </w:t>
      </w:r>
    </w:p>
    <w:p w14:paraId="1C659C07" w14:textId="77777777" w:rsidR="00A3468D" w:rsidRPr="00A3468D" w:rsidRDefault="00A3468D" w:rsidP="00AA3D6C">
      <w:pPr>
        <w:rPr>
          <w:rFonts w:asciiTheme="minorHAnsi" w:hAnsiTheme="minorHAnsi" w:cstheme="minorHAnsi"/>
          <w:i/>
          <w:iCs/>
        </w:rPr>
      </w:pPr>
    </w:p>
    <w:p w14:paraId="74A53445" w14:textId="77777777" w:rsidR="006D3746" w:rsidRPr="00AA3D6C" w:rsidRDefault="006D3746" w:rsidP="00AA3D6C">
      <w:pPr>
        <w:pStyle w:val="ListParagraph"/>
        <w:numPr>
          <w:ilvl w:val="0"/>
          <w:numId w:val="60"/>
        </w:numPr>
        <w:rPr>
          <w:rFonts w:asciiTheme="minorHAnsi" w:hAnsiTheme="minorHAnsi" w:cstheme="minorHAnsi"/>
        </w:rPr>
      </w:pPr>
      <w:r w:rsidRPr="00AA3D6C">
        <w:rPr>
          <w:rFonts w:asciiTheme="minorHAnsi" w:hAnsiTheme="minorHAnsi" w:cstheme="minorHAnsi"/>
          <w:i/>
          <w:iCs/>
        </w:rPr>
        <w:t xml:space="preserve">Benefits and Impacts of Potential Mitigation for Neonicotinoid Seed Treatments on Small Grains, Vegetables, and </w:t>
      </w:r>
      <w:proofErr w:type="spellStart"/>
      <w:r w:rsidRPr="00AA3D6C">
        <w:rPr>
          <w:rFonts w:asciiTheme="minorHAnsi" w:hAnsiTheme="minorHAnsi" w:cstheme="minorHAnsi"/>
          <w:i/>
          <w:iCs/>
        </w:rPr>
        <w:t>Sugarbeet</w:t>
      </w:r>
      <w:proofErr w:type="spellEnd"/>
      <w:r w:rsidRPr="00AA3D6C">
        <w:rPr>
          <w:rFonts w:asciiTheme="minorHAnsi" w:hAnsiTheme="minorHAnsi" w:cstheme="minorHAnsi"/>
          <w:i/>
          <w:iCs/>
        </w:rPr>
        <w:t xml:space="preserve"> Crops</w:t>
      </w:r>
      <w:r w:rsidRPr="00AA3D6C">
        <w:rPr>
          <w:rFonts w:asciiTheme="minorHAnsi" w:hAnsiTheme="minorHAnsi" w:cstheme="minorHAnsi"/>
        </w:rPr>
        <w:t xml:space="preserve">; </w:t>
      </w:r>
    </w:p>
    <w:p w14:paraId="00D32CBD" w14:textId="77777777" w:rsidR="006D3746" w:rsidRPr="00AA3D6C" w:rsidRDefault="006D3746" w:rsidP="00AA3D6C">
      <w:pPr>
        <w:pStyle w:val="ListParagraph"/>
        <w:numPr>
          <w:ilvl w:val="0"/>
          <w:numId w:val="60"/>
        </w:numPr>
        <w:rPr>
          <w:rFonts w:asciiTheme="minorHAnsi" w:hAnsiTheme="minorHAnsi" w:cstheme="minorHAnsi"/>
        </w:rPr>
      </w:pPr>
      <w:r w:rsidRPr="00AA3D6C">
        <w:rPr>
          <w:rFonts w:asciiTheme="minorHAnsi" w:hAnsiTheme="minorHAnsi" w:cstheme="minorHAnsi"/>
          <w:i/>
          <w:iCs/>
        </w:rPr>
        <w:t>Benefits of Neonicotinoid Use and Impacts of Potential Risk Mitigation in Vegetables, Legumes, Tree Nuts, Herbs, and Tropical and Subtropical Fruit;</w:t>
      </w:r>
    </w:p>
    <w:p w14:paraId="4067F0E7" w14:textId="77777777" w:rsidR="006D3746" w:rsidRPr="00AA3D6C" w:rsidRDefault="006D3746" w:rsidP="00AA3D6C">
      <w:pPr>
        <w:pStyle w:val="ListParagraph"/>
        <w:numPr>
          <w:ilvl w:val="0"/>
          <w:numId w:val="60"/>
        </w:numPr>
        <w:rPr>
          <w:rFonts w:asciiTheme="minorHAnsi" w:hAnsiTheme="minorHAnsi" w:cstheme="minorHAnsi"/>
        </w:rPr>
      </w:pPr>
      <w:r w:rsidRPr="00AA3D6C">
        <w:rPr>
          <w:rFonts w:asciiTheme="minorHAnsi" w:hAnsiTheme="minorHAnsi" w:cstheme="minorHAnsi"/>
          <w:i/>
          <w:color w:val="101010"/>
        </w:rPr>
        <w:t>Biological and Economic Analysis Division (BEAD) Response to Public Comments Submitted in Response to BEAD's Assessment entitled "Benefits of Neonicotinoid Seed Treatments to Soybean Production</w:t>
      </w:r>
      <w:r w:rsidRPr="00AA3D6C">
        <w:rPr>
          <w:rFonts w:asciiTheme="minorHAnsi" w:hAnsiTheme="minorHAnsi" w:cstheme="minorHAnsi"/>
          <w:i/>
          <w:color w:val="2D2D2D"/>
        </w:rPr>
        <w:t xml:space="preserve">" </w:t>
      </w:r>
      <w:r w:rsidRPr="00AA3D6C">
        <w:rPr>
          <w:rFonts w:asciiTheme="minorHAnsi" w:hAnsiTheme="minorHAnsi" w:cstheme="minorHAnsi"/>
          <w:i/>
          <w:color w:val="101010"/>
        </w:rPr>
        <w:t>Dated October 15</w:t>
      </w:r>
      <w:r w:rsidRPr="00AA3D6C">
        <w:rPr>
          <w:rFonts w:asciiTheme="minorHAnsi" w:hAnsiTheme="minorHAnsi" w:cstheme="minorHAnsi"/>
          <w:i/>
          <w:color w:val="2D2D2D"/>
        </w:rPr>
        <w:t xml:space="preserve">, </w:t>
      </w:r>
      <w:r w:rsidRPr="00AA3D6C">
        <w:rPr>
          <w:rFonts w:asciiTheme="minorHAnsi" w:hAnsiTheme="minorHAnsi" w:cstheme="minorHAnsi"/>
          <w:i/>
          <w:color w:val="101010"/>
        </w:rPr>
        <w:t>2014</w:t>
      </w:r>
      <w:r w:rsidRPr="00AA3D6C">
        <w:rPr>
          <w:rFonts w:asciiTheme="minorHAnsi" w:hAnsiTheme="minorHAnsi" w:cstheme="minorHAnsi"/>
          <w:i/>
          <w:color w:val="2D2D2D"/>
        </w:rPr>
        <w:t xml:space="preserve">, </w:t>
      </w:r>
      <w:r w:rsidRPr="00AA3D6C">
        <w:rPr>
          <w:rFonts w:asciiTheme="minorHAnsi" w:hAnsiTheme="minorHAnsi" w:cstheme="minorHAnsi"/>
          <w:i/>
          <w:color w:val="101010"/>
        </w:rPr>
        <w:t>OPP Docket</w:t>
      </w:r>
      <w:r w:rsidRPr="00AA3D6C">
        <w:rPr>
          <w:rFonts w:asciiTheme="minorHAnsi" w:hAnsiTheme="minorHAnsi" w:cstheme="minorHAnsi"/>
          <w:i/>
          <w:color w:val="2D2D2D"/>
        </w:rPr>
        <w:t>: E</w:t>
      </w:r>
      <w:r w:rsidRPr="00AA3D6C">
        <w:rPr>
          <w:rFonts w:asciiTheme="minorHAnsi" w:hAnsiTheme="minorHAnsi" w:cstheme="minorHAnsi"/>
          <w:i/>
          <w:color w:val="101010"/>
        </w:rPr>
        <w:t>PA-HQ-OPP-</w:t>
      </w:r>
      <w:r w:rsidRPr="00AA3D6C">
        <w:rPr>
          <w:rFonts w:asciiTheme="minorHAnsi" w:hAnsiTheme="minorHAnsi" w:cstheme="minorHAnsi"/>
          <w:i/>
          <w:color w:val="2D2D2D"/>
        </w:rPr>
        <w:t>2</w:t>
      </w:r>
      <w:r w:rsidRPr="00AA3D6C">
        <w:rPr>
          <w:rFonts w:asciiTheme="minorHAnsi" w:hAnsiTheme="minorHAnsi" w:cstheme="minorHAnsi"/>
          <w:i/>
          <w:color w:val="101010"/>
        </w:rPr>
        <w:t>014-0737</w:t>
      </w:r>
      <w:r w:rsidRPr="00AA3D6C">
        <w:rPr>
          <w:rFonts w:asciiTheme="minorHAnsi" w:hAnsiTheme="minorHAnsi" w:cstheme="minorHAnsi"/>
        </w:rPr>
        <w:t xml:space="preserve">, and </w:t>
      </w:r>
      <w:r w:rsidRPr="00AA3D6C">
        <w:rPr>
          <w:rFonts w:asciiTheme="minorHAnsi" w:hAnsiTheme="minorHAnsi" w:cstheme="minorHAnsi"/>
          <w:i/>
          <w:color w:val="101010"/>
        </w:rPr>
        <w:t>Benefits of Neonicotinoid Seed Treatments to Soybean Production. U.S. Environmental Protection Agency</w:t>
      </w:r>
    </w:p>
    <w:p w14:paraId="6E91A821" w14:textId="77777777" w:rsidR="006D3746" w:rsidRPr="00AA3D6C" w:rsidRDefault="006D3746" w:rsidP="00AA3D6C">
      <w:pPr>
        <w:rPr>
          <w:rFonts w:asciiTheme="minorHAnsi" w:hAnsiTheme="minorHAnsi" w:cstheme="minorHAnsi"/>
          <w:b/>
        </w:rPr>
      </w:pPr>
    </w:p>
    <w:p w14:paraId="64EBF9F7" w14:textId="137E542F" w:rsidR="006D3746" w:rsidRPr="00A3468D" w:rsidRDefault="00A3468D" w:rsidP="00A3468D">
      <w:pPr>
        <w:pStyle w:val="Heading2"/>
      </w:pPr>
      <w:bookmarkStart w:id="34" w:name="_Toc106187573"/>
      <w:r>
        <w:t xml:space="preserve">2.3  </w:t>
      </w:r>
      <w:r w:rsidR="006D3746" w:rsidRPr="00A3468D">
        <w:t>Benefits of Neonicotinoids in Specialty Fruits and Vegetables</w:t>
      </w:r>
      <w:bookmarkEnd w:id="34"/>
      <w:r w:rsidR="006D3746" w:rsidRPr="00A3468D">
        <w:t xml:space="preserve"> </w:t>
      </w:r>
    </w:p>
    <w:p w14:paraId="50CF1B62" w14:textId="77777777" w:rsidR="00A3468D" w:rsidRDefault="00A3468D" w:rsidP="00AA3D6C">
      <w:pPr>
        <w:rPr>
          <w:rFonts w:asciiTheme="minorHAnsi" w:eastAsia="Times New Roman" w:hAnsiTheme="minorHAnsi" w:cstheme="minorHAnsi"/>
        </w:rPr>
      </w:pPr>
    </w:p>
    <w:p w14:paraId="4BE15BDC" w14:textId="00D8EFA9" w:rsidR="006D3746" w:rsidRPr="00AA3D6C"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This section groups comments on the benefits of neonicotinoids for agricultural crops other than large area row and field crops on the basis of the regions or states in the U.S. that commenters focused on. After the comment summaries, EPA provides a consolidated response.</w:t>
      </w:r>
    </w:p>
    <w:p w14:paraId="1F8DECAD" w14:textId="77777777" w:rsidR="006D3746" w:rsidRPr="00AA3D6C" w:rsidRDefault="006D3746" w:rsidP="00AA3D6C">
      <w:pPr>
        <w:rPr>
          <w:rFonts w:asciiTheme="minorHAnsi" w:eastAsia="Times New Roman" w:hAnsiTheme="minorHAnsi" w:cstheme="minorHAnsi"/>
        </w:rPr>
      </w:pPr>
    </w:p>
    <w:p w14:paraId="22BD75F3" w14:textId="011F8174" w:rsidR="006D3746" w:rsidRDefault="006D3746" w:rsidP="00AA3D6C">
      <w:pPr>
        <w:rPr>
          <w:rFonts w:asciiTheme="minorHAnsi" w:eastAsia="Times New Roman" w:hAnsiTheme="minorHAnsi" w:cstheme="minorHAnsi"/>
          <w:i/>
        </w:rPr>
      </w:pPr>
      <w:r w:rsidRPr="00AA3D6C">
        <w:rPr>
          <w:rFonts w:asciiTheme="minorHAnsi" w:eastAsia="Times New Roman" w:hAnsiTheme="minorHAnsi" w:cstheme="minorHAnsi"/>
          <w:i/>
        </w:rPr>
        <w:t>Arizona</w:t>
      </w:r>
    </w:p>
    <w:p w14:paraId="30B5E881" w14:textId="77777777" w:rsidR="00A3468D" w:rsidRPr="00AA3D6C" w:rsidRDefault="00A3468D" w:rsidP="00AA3D6C">
      <w:pPr>
        <w:rPr>
          <w:rFonts w:asciiTheme="minorHAnsi" w:eastAsia="Times New Roman" w:hAnsiTheme="minorHAnsi" w:cstheme="minorHAnsi"/>
          <w:i/>
        </w:rPr>
      </w:pPr>
    </w:p>
    <w:p w14:paraId="5962C198" w14:textId="6C7D908A"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A3468D">
        <w:rPr>
          <w:rFonts w:asciiTheme="minorHAnsi" w:eastAsia="Times New Roman" w:hAnsiTheme="minorHAnsi" w:cstheme="minorHAnsi"/>
          <w:b/>
          <w:bCs/>
        </w:rPr>
        <w:t>:</w:t>
      </w:r>
      <w:r w:rsidR="006D3746" w:rsidRPr="00A3468D">
        <w:rPr>
          <w:rFonts w:asciiTheme="minorHAnsi" w:eastAsia="Times New Roman" w:hAnsiTheme="minorHAnsi" w:cstheme="minorHAnsi"/>
        </w:rPr>
        <w:t xml:space="preserve"> The Arizona Farm Bureau Federation. (-0339)</w:t>
      </w:r>
    </w:p>
    <w:p w14:paraId="5B8EE530" w14:textId="77777777" w:rsidR="00A3468D" w:rsidRPr="00A3468D" w:rsidRDefault="00A3468D" w:rsidP="00AA3D6C">
      <w:pPr>
        <w:rPr>
          <w:rFonts w:asciiTheme="minorHAnsi" w:eastAsia="Times New Roman" w:hAnsiTheme="minorHAnsi" w:cstheme="minorHAnsi"/>
        </w:rPr>
      </w:pPr>
    </w:p>
    <w:p w14:paraId="3CA9C7A6" w14:textId="284DE3D0" w:rsidR="006D3746" w:rsidRPr="00AA3D6C" w:rsidRDefault="006D3746" w:rsidP="00AA3D6C">
      <w:pPr>
        <w:rPr>
          <w:rFonts w:asciiTheme="minorHAnsi" w:hAnsiTheme="minorHAnsi" w:cstheme="minorHAnsi"/>
          <w:b/>
          <w:u w:val="single"/>
        </w:rPr>
      </w:pPr>
      <w:r w:rsidRPr="00A3468D">
        <w:rPr>
          <w:rFonts w:asciiTheme="minorHAnsi" w:eastAsia="Times New Roman" w:hAnsiTheme="minorHAnsi" w:cstheme="minorHAnsi"/>
          <w:b/>
          <w:bCs/>
        </w:rPr>
        <w:t xml:space="preserve">Summary of </w:t>
      </w:r>
      <w:r w:rsidR="00A3468D">
        <w:rPr>
          <w:rFonts w:asciiTheme="minorHAnsi" w:eastAsia="Times New Roman" w:hAnsiTheme="minorHAnsi" w:cstheme="minorHAnsi"/>
          <w:b/>
          <w:bCs/>
        </w:rPr>
        <w:t>C</w:t>
      </w:r>
      <w:r w:rsidRPr="00A3468D">
        <w:rPr>
          <w:rFonts w:asciiTheme="minorHAnsi" w:eastAsia="Times New Roman" w:hAnsiTheme="minorHAnsi" w:cstheme="minorHAnsi"/>
          <w:b/>
          <w:bCs/>
        </w:rPr>
        <w:t xml:space="preserve">omment: </w:t>
      </w:r>
      <w:r w:rsidRPr="00A3468D">
        <w:rPr>
          <w:rFonts w:asciiTheme="minorHAnsi" w:eastAsia="Times New Roman" w:hAnsiTheme="minorHAnsi" w:cstheme="minorHAnsi"/>
        </w:rPr>
        <w:t>The Arizona Farm Bureau Federation strongly supports the continued use and availability of clothianidin</w:t>
      </w:r>
      <w:r w:rsidRPr="00AA3D6C">
        <w:rPr>
          <w:rFonts w:asciiTheme="minorHAnsi" w:eastAsia="Times New Roman" w:hAnsiTheme="minorHAnsi" w:cstheme="minorHAnsi"/>
        </w:rPr>
        <w:t>, imidacloprid and thiamethoxam and urges the Agency not to prohibit or restrict their availability and use. Neonicotinoids play an important role, and in some cases a critical role, in the production of Arizona’s staple crops, including leafy greens, vegetables (</w:t>
      </w:r>
      <w:proofErr w:type="spellStart"/>
      <w:r w:rsidRPr="00AA3D6C">
        <w:rPr>
          <w:rFonts w:asciiTheme="minorHAnsi" w:eastAsia="Times New Roman" w:hAnsiTheme="minorHAnsi" w:cstheme="minorHAnsi"/>
        </w:rPr>
        <w:t>cole</w:t>
      </w:r>
      <w:proofErr w:type="spellEnd"/>
      <w:r w:rsidRPr="00AA3D6C">
        <w:rPr>
          <w:rFonts w:asciiTheme="minorHAnsi" w:eastAsia="Times New Roman" w:hAnsiTheme="minorHAnsi" w:cstheme="minorHAnsi"/>
        </w:rPr>
        <w:t xml:space="preserve"> crops), melons, cotton, and citrus. Imidacloprid is used on over 50 different crops in Arizona and accounts for about 40% of all reported neonicotinoid use in Arizona agriculture. Additionally, the use of imidacloprid is also critical in the movement of citrus nursery stock. The Arizona Farm Bureau and the Arizona Pest Management Center has also previously submitted comments regarding the importance of clothianidin, </w:t>
      </w:r>
      <w:r w:rsidRPr="00AA3D6C">
        <w:rPr>
          <w:rFonts w:asciiTheme="minorHAnsi" w:eastAsia="Times New Roman" w:hAnsiTheme="minorHAnsi" w:cstheme="minorHAnsi"/>
        </w:rPr>
        <w:lastRenderedPageBreak/>
        <w:t>imidacloprid, and thiamethoxam in the production of Arizona’s crops (Docket ID #EPA-HQ-OPP-2008-0844-1255; EPA-HQ-OPP-2008-0844; EPA-HQ-OPP-2011-0581; Docket ID: EPA-HQ-OPP-2011-0865).</w:t>
      </w:r>
    </w:p>
    <w:p w14:paraId="06A7BFDE" w14:textId="77777777" w:rsidR="00A3468D" w:rsidRDefault="00A3468D" w:rsidP="00AA3D6C">
      <w:pPr>
        <w:rPr>
          <w:rFonts w:asciiTheme="minorHAnsi" w:eastAsia="Times New Roman" w:hAnsiTheme="minorHAnsi" w:cstheme="minorHAnsi"/>
          <w:i/>
          <w:iCs/>
        </w:rPr>
      </w:pPr>
    </w:p>
    <w:p w14:paraId="585D0691" w14:textId="6E8F3316" w:rsidR="006D3746" w:rsidRPr="00AA3D6C" w:rsidRDefault="006D3746" w:rsidP="00AA3D6C">
      <w:pPr>
        <w:rPr>
          <w:rFonts w:asciiTheme="minorHAnsi" w:eastAsia="Times New Roman" w:hAnsiTheme="minorHAnsi" w:cstheme="minorHAnsi"/>
          <w:i/>
          <w:iCs/>
        </w:rPr>
      </w:pPr>
      <w:r w:rsidRPr="00AA3D6C">
        <w:rPr>
          <w:rFonts w:asciiTheme="minorHAnsi" w:eastAsia="Times New Roman" w:hAnsiTheme="minorHAnsi" w:cstheme="minorHAnsi"/>
          <w:i/>
          <w:iCs/>
        </w:rPr>
        <w:t>California</w:t>
      </w:r>
    </w:p>
    <w:p w14:paraId="5FDF7136" w14:textId="77777777" w:rsidR="00A3468D" w:rsidRPr="00F71903" w:rsidRDefault="00A3468D" w:rsidP="00AA3D6C">
      <w:pPr>
        <w:rPr>
          <w:rFonts w:asciiTheme="minorHAnsi" w:eastAsia="Times New Roman" w:hAnsiTheme="minorHAnsi" w:cstheme="minorHAnsi"/>
          <w:b/>
          <w:bCs/>
        </w:rPr>
      </w:pPr>
    </w:p>
    <w:p w14:paraId="03D1CBA9" w14:textId="482CB9B2" w:rsidR="006D3746" w:rsidRPr="00F71903"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F71903">
        <w:rPr>
          <w:rFonts w:asciiTheme="minorHAnsi" w:eastAsia="Times New Roman" w:hAnsiTheme="minorHAnsi" w:cstheme="minorHAnsi"/>
          <w:b/>
          <w:bCs/>
        </w:rPr>
        <w:t>:</w:t>
      </w:r>
      <w:r w:rsidR="006D3746" w:rsidRPr="00F71903">
        <w:rPr>
          <w:rFonts w:asciiTheme="minorHAnsi" w:eastAsia="Times New Roman" w:hAnsiTheme="minorHAnsi" w:cstheme="minorHAnsi"/>
        </w:rPr>
        <w:t xml:space="preserve"> California Specialty Crops Council (CSCC). (-0048)</w:t>
      </w:r>
    </w:p>
    <w:p w14:paraId="4C7B7812" w14:textId="77777777" w:rsidR="00F71903" w:rsidRPr="00F71903" w:rsidRDefault="00F71903" w:rsidP="00AA3D6C">
      <w:pPr>
        <w:rPr>
          <w:rFonts w:asciiTheme="minorHAnsi" w:eastAsia="Times New Roman" w:hAnsiTheme="minorHAnsi" w:cstheme="minorHAnsi"/>
        </w:rPr>
      </w:pPr>
    </w:p>
    <w:p w14:paraId="227EC3D9" w14:textId="3D340D9C" w:rsidR="006D3746" w:rsidRDefault="006D3746" w:rsidP="00AA3D6C">
      <w:pPr>
        <w:rPr>
          <w:rFonts w:asciiTheme="minorHAnsi" w:eastAsia="Times New Roman" w:hAnsiTheme="minorHAnsi" w:cstheme="minorHAnsi"/>
        </w:rPr>
      </w:pPr>
      <w:r w:rsidRPr="00F71903">
        <w:rPr>
          <w:rFonts w:asciiTheme="minorHAnsi" w:eastAsia="Times New Roman" w:hAnsiTheme="minorHAnsi" w:cstheme="minorHAnsi"/>
          <w:b/>
          <w:bCs/>
        </w:rPr>
        <w:t xml:space="preserve">Summary of </w:t>
      </w:r>
      <w:r w:rsidR="00F71903">
        <w:rPr>
          <w:rFonts w:asciiTheme="minorHAnsi" w:eastAsia="Times New Roman" w:hAnsiTheme="minorHAnsi" w:cstheme="minorHAnsi"/>
          <w:b/>
          <w:bCs/>
        </w:rPr>
        <w:t>C</w:t>
      </w:r>
      <w:r w:rsidRPr="00F71903">
        <w:rPr>
          <w:rFonts w:asciiTheme="minorHAnsi" w:eastAsia="Times New Roman" w:hAnsiTheme="minorHAnsi" w:cstheme="minorHAnsi"/>
          <w:b/>
          <w:bCs/>
        </w:rPr>
        <w:t>omment:</w:t>
      </w:r>
      <w:r w:rsidRPr="00F71903">
        <w:rPr>
          <w:rFonts w:asciiTheme="minorHAnsi" w:eastAsia="Times New Roman" w:hAnsiTheme="minorHAnsi" w:cstheme="minorHAnsi"/>
        </w:rPr>
        <w:t xml:space="preserve"> The California Specialty Crop Council commented on their continued support for the registration and availability of clothianidin, imidacloprid, and thiamethoxam in the production of onion, pepper, and melon. Additionally, CSCC commented on the important role neonicotinoids play in integrated pest management and insecticide resistance management. </w:t>
      </w:r>
    </w:p>
    <w:p w14:paraId="10FAEAAC" w14:textId="77777777" w:rsidR="00F71903" w:rsidRPr="00F71903" w:rsidRDefault="00F71903" w:rsidP="00AA3D6C">
      <w:pPr>
        <w:rPr>
          <w:rFonts w:asciiTheme="minorHAnsi" w:hAnsiTheme="minorHAnsi" w:cstheme="minorHAnsi"/>
        </w:rPr>
      </w:pPr>
    </w:p>
    <w:p w14:paraId="742C312C" w14:textId="476AC252" w:rsidR="006D3746" w:rsidRDefault="006D3746" w:rsidP="00AA3D6C">
      <w:pPr>
        <w:rPr>
          <w:rFonts w:asciiTheme="minorHAnsi" w:eastAsia="Times New Roman" w:hAnsiTheme="minorHAnsi" w:cstheme="minorHAnsi"/>
          <w:i/>
          <w:iCs/>
        </w:rPr>
      </w:pPr>
      <w:r w:rsidRPr="00F71903">
        <w:rPr>
          <w:rFonts w:asciiTheme="minorHAnsi" w:eastAsia="Times New Roman" w:hAnsiTheme="minorHAnsi" w:cstheme="minorHAnsi"/>
          <w:i/>
          <w:iCs/>
        </w:rPr>
        <w:t>Florida</w:t>
      </w:r>
    </w:p>
    <w:p w14:paraId="65ADADD0" w14:textId="77777777" w:rsidR="001E60EA" w:rsidRPr="00F71903" w:rsidRDefault="001E60EA" w:rsidP="00AA3D6C">
      <w:pPr>
        <w:rPr>
          <w:rFonts w:asciiTheme="minorHAnsi" w:eastAsia="Times New Roman" w:hAnsiTheme="minorHAnsi" w:cstheme="minorHAnsi"/>
          <w:i/>
          <w:iCs/>
        </w:rPr>
      </w:pPr>
    </w:p>
    <w:p w14:paraId="5E6760EA" w14:textId="0D9EEF34"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F71903">
        <w:rPr>
          <w:rFonts w:asciiTheme="minorHAnsi" w:eastAsia="Times New Roman" w:hAnsiTheme="minorHAnsi" w:cstheme="minorHAnsi"/>
          <w:b/>
          <w:bCs/>
        </w:rPr>
        <w:t>:</w:t>
      </w:r>
      <w:r w:rsidR="006D3746" w:rsidRPr="00F71903">
        <w:rPr>
          <w:rFonts w:asciiTheme="minorHAnsi" w:eastAsia="Times New Roman" w:hAnsiTheme="minorHAnsi" w:cstheme="minorHAnsi"/>
        </w:rPr>
        <w:t xml:space="preserve"> </w:t>
      </w:r>
      <w:r w:rsidR="006D3746" w:rsidRPr="00F71903">
        <w:rPr>
          <w:rFonts w:asciiTheme="minorHAnsi" w:hAnsiTheme="minorHAnsi" w:cstheme="minorHAnsi"/>
        </w:rPr>
        <w:t xml:space="preserve">Florida Fruit and Vegetable Association (FFVA) </w:t>
      </w:r>
      <w:r w:rsidR="006D3746" w:rsidRPr="00F71903">
        <w:rPr>
          <w:rFonts w:asciiTheme="minorHAnsi" w:eastAsia="Times New Roman" w:hAnsiTheme="minorHAnsi" w:cstheme="minorHAnsi"/>
        </w:rPr>
        <w:t>(</w:t>
      </w:r>
      <w:r w:rsidR="006D3746" w:rsidRPr="00F71903">
        <w:rPr>
          <w:rFonts w:asciiTheme="minorHAnsi" w:hAnsiTheme="minorHAnsi" w:cstheme="minorHAnsi"/>
        </w:rPr>
        <w:t>-0018</w:t>
      </w:r>
      <w:r w:rsidR="006D3746" w:rsidRPr="00F71903">
        <w:rPr>
          <w:rFonts w:asciiTheme="minorHAnsi" w:eastAsia="Times New Roman" w:hAnsiTheme="minorHAnsi" w:cstheme="minorHAnsi"/>
        </w:rPr>
        <w:t>)</w:t>
      </w:r>
    </w:p>
    <w:p w14:paraId="240D85AB" w14:textId="77777777" w:rsidR="001E60EA" w:rsidRPr="00F71903" w:rsidRDefault="001E60EA" w:rsidP="00AA3D6C">
      <w:pPr>
        <w:rPr>
          <w:rFonts w:asciiTheme="minorHAnsi" w:hAnsiTheme="minorHAnsi" w:cstheme="minorHAnsi"/>
        </w:rPr>
      </w:pPr>
    </w:p>
    <w:p w14:paraId="3EFDDBA2" w14:textId="566A0A95" w:rsidR="006D3746" w:rsidRDefault="006D3746" w:rsidP="00AA3D6C">
      <w:pPr>
        <w:rPr>
          <w:rFonts w:asciiTheme="minorHAnsi" w:hAnsiTheme="minorHAnsi" w:cstheme="minorHAnsi"/>
        </w:rPr>
      </w:pPr>
      <w:r w:rsidRPr="00F71903">
        <w:rPr>
          <w:rFonts w:asciiTheme="minorHAnsi" w:eastAsia="Times New Roman" w:hAnsiTheme="minorHAnsi" w:cstheme="minorHAnsi"/>
          <w:b/>
          <w:bCs/>
        </w:rPr>
        <w:t xml:space="preserve">Summary of </w:t>
      </w:r>
      <w:r w:rsidR="001E60EA">
        <w:rPr>
          <w:rFonts w:asciiTheme="minorHAnsi" w:eastAsia="Times New Roman" w:hAnsiTheme="minorHAnsi" w:cstheme="minorHAnsi"/>
          <w:b/>
          <w:bCs/>
        </w:rPr>
        <w:t>C</w:t>
      </w:r>
      <w:r w:rsidRPr="00F71903">
        <w:rPr>
          <w:rFonts w:asciiTheme="minorHAnsi" w:eastAsia="Times New Roman" w:hAnsiTheme="minorHAnsi" w:cstheme="minorHAnsi"/>
          <w:b/>
          <w:bCs/>
        </w:rPr>
        <w:t xml:space="preserve">omment: </w:t>
      </w:r>
      <w:r w:rsidRPr="00F71903">
        <w:rPr>
          <w:rFonts w:asciiTheme="minorHAnsi" w:hAnsiTheme="minorHAnsi" w:cstheme="minorHAnsi"/>
        </w:rPr>
        <w:t>FFVA submitted comments on behalf of growers of a variety of crops, including vegetables, citrus, and small</w:t>
      </w:r>
      <w:r w:rsidRPr="00AA3D6C">
        <w:rPr>
          <w:rFonts w:asciiTheme="minorHAnsi" w:hAnsiTheme="minorHAnsi" w:cstheme="minorHAnsi"/>
        </w:rPr>
        <w:t xml:space="preserve"> fruit such as blueberries. FFVA expressed its support for the continued use of all neonicotinoids in these crops. They described key target pests, the damage they can cause, and details of how various neonicotinoids are used in these crops. They particularly emphasized the need for neonicotinoids as part of the insecticide tools they need to reduce populations of the Asian citrus psyllid in order to suppress the spread of the incurable citrus greening disease (“Huanglongbing” or HLB), which inevitably results in the slow decline of yield from infected citrus trees and results in the replacement of those trees. </w:t>
      </w:r>
    </w:p>
    <w:p w14:paraId="34015E55" w14:textId="77777777" w:rsidR="001E60EA" w:rsidRPr="00AA3D6C" w:rsidRDefault="001E60EA" w:rsidP="00AA3D6C">
      <w:pPr>
        <w:rPr>
          <w:rFonts w:asciiTheme="minorHAnsi" w:hAnsiTheme="minorHAnsi" w:cstheme="minorHAnsi"/>
        </w:rPr>
      </w:pPr>
    </w:p>
    <w:p w14:paraId="2BDF9B89" w14:textId="338CB201" w:rsidR="006D3746" w:rsidRDefault="006D3746" w:rsidP="00AA3D6C">
      <w:pPr>
        <w:rPr>
          <w:rFonts w:asciiTheme="minorHAnsi" w:eastAsia="Times New Roman" w:hAnsiTheme="minorHAnsi" w:cstheme="minorHAnsi"/>
          <w:i/>
          <w:iCs/>
        </w:rPr>
      </w:pPr>
      <w:r w:rsidRPr="00AA3D6C">
        <w:rPr>
          <w:rFonts w:asciiTheme="minorHAnsi" w:eastAsia="Times New Roman" w:hAnsiTheme="minorHAnsi" w:cstheme="minorHAnsi"/>
          <w:i/>
          <w:iCs/>
        </w:rPr>
        <w:t>Georgia</w:t>
      </w:r>
    </w:p>
    <w:p w14:paraId="3795A303" w14:textId="77777777" w:rsidR="001E60EA" w:rsidRPr="001E60EA" w:rsidRDefault="001E60EA" w:rsidP="00AA3D6C">
      <w:pPr>
        <w:rPr>
          <w:rFonts w:asciiTheme="minorHAnsi" w:eastAsia="Times New Roman" w:hAnsiTheme="minorHAnsi" w:cstheme="minorHAnsi"/>
          <w:i/>
          <w:iCs/>
        </w:rPr>
      </w:pPr>
    </w:p>
    <w:p w14:paraId="3C5EADC3" w14:textId="53EAE6ED"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1E60EA">
        <w:rPr>
          <w:rFonts w:asciiTheme="minorHAnsi" w:eastAsia="Times New Roman" w:hAnsiTheme="minorHAnsi" w:cstheme="minorHAnsi"/>
          <w:b/>
          <w:bCs/>
        </w:rPr>
        <w:t>s:</w:t>
      </w:r>
      <w:r w:rsidR="006D3746" w:rsidRPr="001E60EA">
        <w:rPr>
          <w:rFonts w:asciiTheme="minorHAnsi" w:eastAsia="Times New Roman" w:hAnsiTheme="minorHAnsi" w:cstheme="minorHAnsi"/>
        </w:rPr>
        <w:t xml:space="preserve"> Chill C Farms LLC (-0359), Lewis Taylor Farms, Inc. (-0358), Minor Brothers Farm (-0356), Southern Valley (-0357), Clark Crop Consultant (-0354), Dr. Alton Sparks, Jr. University of Georgia Department of Entomology (-0028)</w:t>
      </w:r>
    </w:p>
    <w:p w14:paraId="55501B27" w14:textId="77777777" w:rsidR="001E60EA" w:rsidRPr="001E60EA" w:rsidRDefault="001E60EA" w:rsidP="00AA3D6C">
      <w:pPr>
        <w:rPr>
          <w:rFonts w:asciiTheme="minorHAnsi" w:hAnsiTheme="minorHAnsi" w:cstheme="minorHAnsi"/>
          <w:i/>
          <w:color w:val="FF0000"/>
        </w:rPr>
      </w:pPr>
    </w:p>
    <w:p w14:paraId="173CE743" w14:textId="57AD0A9F" w:rsidR="006D3746" w:rsidRDefault="006D3746" w:rsidP="00AA3D6C">
      <w:pPr>
        <w:rPr>
          <w:rFonts w:asciiTheme="minorHAnsi" w:hAnsiTheme="minorHAnsi" w:cstheme="minorHAnsi"/>
        </w:rPr>
      </w:pPr>
      <w:r w:rsidRPr="001E60EA">
        <w:rPr>
          <w:rFonts w:asciiTheme="minorHAnsi" w:eastAsia="Times New Roman" w:hAnsiTheme="minorHAnsi" w:cstheme="minorHAnsi"/>
          <w:b/>
          <w:bCs/>
        </w:rPr>
        <w:t xml:space="preserve">Summary of </w:t>
      </w:r>
      <w:r w:rsidR="001E60EA">
        <w:rPr>
          <w:rFonts w:asciiTheme="minorHAnsi" w:eastAsia="Times New Roman" w:hAnsiTheme="minorHAnsi" w:cstheme="minorHAnsi"/>
          <w:b/>
          <w:bCs/>
        </w:rPr>
        <w:t>C</w:t>
      </w:r>
      <w:r w:rsidRPr="001E60EA">
        <w:rPr>
          <w:rFonts w:asciiTheme="minorHAnsi" w:eastAsia="Times New Roman" w:hAnsiTheme="minorHAnsi" w:cstheme="minorHAnsi"/>
          <w:b/>
          <w:bCs/>
        </w:rPr>
        <w:t xml:space="preserve">omments: </w:t>
      </w:r>
      <w:r w:rsidRPr="001E60EA">
        <w:rPr>
          <w:rFonts w:asciiTheme="minorHAnsi" w:eastAsia="Times New Roman" w:hAnsiTheme="minorHAnsi" w:cstheme="minorHAnsi"/>
        </w:rPr>
        <w:t xml:space="preserve">The </w:t>
      </w:r>
      <w:r w:rsidR="00DC3C60">
        <w:rPr>
          <w:rFonts w:asciiTheme="minorHAnsi" w:eastAsia="Times New Roman" w:hAnsiTheme="minorHAnsi" w:cstheme="minorHAnsi"/>
        </w:rPr>
        <w:t>commenter</w:t>
      </w:r>
      <w:r w:rsidRPr="001E60EA">
        <w:rPr>
          <w:rFonts w:asciiTheme="minorHAnsi" w:eastAsia="Times New Roman" w:hAnsiTheme="minorHAnsi" w:cstheme="minorHAnsi"/>
        </w:rPr>
        <w:t>s above provided similar comments for specialty crops grown in Georgia (</w:t>
      </w:r>
      <w:r w:rsidRPr="001E60EA">
        <w:rPr>
          <w:rFonts w:asciiTheme="minorHAnsi" w:eastAsia="Times New Roman" w:hAnsiTheme="minorHAnsi" w:cstheme="minorHAnsi"/>
          <w:i/>
          <w:iCs/>
        </w:rPr>
        <w:t>e.g</w:t>
      </w:r>
      <w:r w:rsidRPr="001E60EA">
        <w:rPr>
          <w:rFonts w:asciiTheme="minorHAnsi" w:eastAsia="Times New Roman" w:hAnsiTheme="minorHAnsi" w:cstheme="minorHAnsi"/>
        </w:rPr>
        <w:t>., bell pepper, cucumber, eggplant, squash, green bean, cabbage, melons); therefore, they were grouped together. Generally</w:t>
      </w:r>
      <w:r w:rsidRPr="00AA3D6C">
        <w:rPr>
          <w:rFonts w:asciiTheme="minorHAnsi" w:eastAsia="Times New Roman" w:hAnsiTheme="minorHAnsi" w:cstheme="minorHAnsi"/>
        </w:rPr>
        <w:t xml:space="preserve">, these </w:t>
      </w:r>
      <w:r w:rsidR="00DC3C60">
        <w:rPr>
          <w:rFonts w:asciiTheme="minorHAnsi" w:eastAsia="Times New Roman" w:hAnsiTheme="minorHAnsi" w:cstheme="minorHAnsi"/>
        </w:rPr>
        <w:t>commenter</w:t>
      </w:r>
      <w:r w:rsidRPr="00AA3D6C">
        <w:rPr>
          <w:rFonts w:asciiTheme="minorHAnsi" w:eastAsia="Times New Roman" w:hAnsiTheme="minorHAnsi" w:cstheme="minorHAnsi"/>
        </w:rPr>
        <w:t xml:space="preserve">s discussed pollinator friendly practices they use to reduce exposure to pollinators. They also stated that there is little clothianidin use in vegetable crops in Georgia, but imidacloprid and thiamethoxam are not only important for whitefly and pepper weevil control but are also important for resistance management. They indicated that there are two other insecticides that are used in rotation with neonicotinoids for each pest and that resistance could develop rapidly in the absence of neonicotinoids given that these are season-long pests that require multiple applications in the Southern U.S. They also emphasized the importance of the short pre-harvest interval (PHI) of neonicotinoids as compared to alternatives; shorter PHIs allow for use of the insecticides to protect vegetables nearing harvest from damage by the pepper weevil, which needs season-long control in the southern United States. </w:t>
      </w:r>
      <w:r w:rsidR="00DC3C60">
        <w:rPr>
          <w:rFonts w:asciiTheme="minorHAnsi" w:eastAsia="Times New Roman" w:hAnsiTheme="minorHAnsi" w:cstheme="minorHAnsi"/>
        </w:rPr>
        <w:t>Commenter</w:t>
      </w:r>
      <w:r w:rsidRPr="00AA3D6C">
        <w:rPr>
          <w:rFonts w:asciiTheme="minorHAnsi" w:eastAsia="Times New Roman" w:hAnsiTheme="minorHAnsi" w:cstheme="minorHAnsi"/>
        </w:rPr>
        <w:t>s also noted that most of their applications of imidacloprid are soil treatments. Additionally, Dr. Sparks provided details about the timing of applications of each neonicotinoid, noting that for whiteflies, the important application timing is in the fall and winter due to the late season start of infestations.</w:t>
      </w:r>
      <w:r w:rsidRPr="00AA3D6C">
        <w:rPr>
          <w:rFonts w:asciiTheme="minorHAnsi" w:hAnsiTheme="minorHAnsi" w:cstheme="minorHAnsi"/>
        </w:rPr>
        <w:t xml:space="preserve"> </w:t>
      </w:r>
    </w:p>
    <w:p w14:paraId="6503AC90" w14:textId="77777777" w:rsidR="001E60EA" w:rsidRPr="00AA3D6C" w:rsidRDefault="001E60EA" w:rsidP="00AA3D6C">
      <w:pPr>
        <w:rPr>
          <w:rFonts w:asciiTheme="minorHAnsi" w:eastAsia="Times New Roman" w:hAnsiTheme="minorHAnsi" w:cstheme="minorHAnsi"/>
        </w:rPr>
      </w:pPr>
    </w:p>
    <w:p w14:paraId="1680AB84" w14:textId="59000413" w:rsidR="006D3746" w:rsidRDefault="006D3746" w:rsidP="004D2697">
      <w:pPr>
        <w:keepNext/>
        <w:keepLines/>
        <w:rPr>
          <w:rFonts w:asciiTheme="minorHAnsi" w:hAnsiTheme="minorHAnsi" w:cstheme="minorHAnsi"/>
          <w:i/>
          <w:iCs/>
        </w:rPr>
      </w:pPr>
      <w:r w:rsidRPr="00AA3D6C">
        <w:rPr>
          <w:rFonts w:asciiTheme="minorHAnsi" w:hAnsiTheme="minorHAnsi" w:cstheme="minorHAnsi"/>
          <w:i/>
          <w:iCs/>
        </w:rPr>
        <w:lastRenderedPageBreak/>
        <w:t>Michigan</w:t>
      </w:r>
    </w:p>
    <w:p w14:paraId="70A93F17" w14:textId="77777777" w:rsidR="001E60EA" w:rsidRPr="00AA3D6C" w:rsidRDefault="001E60EA" w:rsidP="00AA3D6C">
      <w:pPr>
        <w:rPr>
          <w:rFonts w:asciiTheme="minorHAnsi" w:hAnsiTheme="minorHAnsi" w:cstheme="minorHAnsi"/>
          <w:i/>
          <w:iCs/>
        </w:rPr>
      </w:pPr>
    </w:p>
    <w:p w14:paraId="6140A6F1" w14:textId="1855EADA"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1E60EA">
        <w:rPr>
          <w:rFonts w:asciiTheme="minorHAnsi" w:eastAsia="Times New Roman" w:hAnsiTheme="minorHAnsi" w:cstheme="minorHAnsi"/>
          <w:b/>
          <w:bCs/>
        </w:rPr>
        <w:t xml:space="preserve">: </w:t>
      </w:r>
      <w:r w:rsidR="006D3746" w:rsidRPr="001E60EA">
        <w:rPr>
          <w:rFonts w:asciiTheme="minorHAnsi" w:eastAsia="Times New Roman" w:hAnsiTheme="minorHAnsi" w:cstheme="minorHAnsi"/>
        </w:rPr>
        <w:t xml:space="preserve">Dr. </w:t>
      </w:r>
      <w:proofErr w:type="spellStart"/>
      <w:r w:rsidR="006D3746" w:rsidRPr="001E60EA">
        <w:rPr>
          <w:rFonts w:asciiTheme="minorHAnsi" w:eastAsia="Times New Roman" w:hAnsiTheme="minorHAnsi" w:cstheme="minorHAnsi"/>
        </w:rPr>
        <w:t>Zsofia</w:t>
      </w:r>
      <w:proofErr w:type="spellEnd"/>
      <w:r w:rsidR="006D3746" w:rsidRPr="001E60EA">
        <w:rPr>
          <w:rFonts w:asciiTheme="minorHAnsi" w:eastAsia="Times New Roman" w:hAnsiTheme="minorHAnsi" w:cstheme="minorHAnsi"/>
        </w:rPr>
        <w:t xml:space="preserve"> Szendrei, Vegetable Extension Entomologist, Department of Entomology, Michigan State University (-0037)</w:t>
      </w:r>
    </w:p>
    <w:p w14:paraId="331F71FB" w14:textId="77777777" w:rsidR="00CE6440" w:rsidRPr="001E60EA" w:rsidRDefault="00CE6440" w:rsidP="00AA3D6C">
      <w:pPr>
        <w:rPr>
          <w:rFonts w:asciiTheme="minorHAnsi" w:eastAsia="Times New Roman" w:hAnsiTheme="minorHAnsi" w:cstheme="minorHAnsi"/>
        </w:rPr>
      </w:pPr>
    </w:p>
    <w:p w14:paraId="08514A0A" w14:textId="083B36A2" w:rsidR="006D3746" w:rsidRDefault="006D3746" w:rsidP="00AA3D6C">
      <w:pPr>
        <w:rPr>
          <w:rFonts w:asciiTheme="minorHAnsi" w:hAnsiTheme="minorHAnsi" w:cstheme="minorHAnsi"/>
        </w:rPr>
      </w:pPr>
      <w:r w:rsidRPr="001E60EA">
        <w:rPr>
          <w:rFonts w:asciiTheme="minorHAnsi" w:eastAsia="Times New Roman" w:hAnsiTheme="minorHAnsi" w:cstheme="minorHAnsi"/>
          <w:b/>
          <w:bCs/>
        </w:rPr>
        <w:t xml:space="preserve">Summary of </w:t>
      </w:r>
      <w:r w:rsidR="001E60EA">
        <w:rPr>
          <w:rFonts w:asciiTheme="minorHAnsi" w:eastAsia="Times New Roman" w:hAnsiTheme="minorHAnsi" w:cstheme="minorHAnsi"/>
          <w:b/>
          <w:bCs/>
        </w:rPr>
        <w:t>C</w:t>
      </w:r>
      <w:r w:rsidRPr="001E60EA">
        <w:rPr>
          <w:rFonts w:asciiTheme="minorHAnsi" w:eastAsia="Times New Roman" w:hAnsiTheme="minorHAnsi" w:cstheme="minorHAnsi"/>
          <w:b/>
          <w:bCs/>
        </w:rPr>
        <w:t xml:space="preserve">omment: </w:t>
      </w:r>
      <w:r w:rsidRPr="001E60EA">
        <w:rPr>
          <w:rFonts w:asciiTheme="minorHAnsi" w:hAnsiTheme="minorHAnsi" w:cstheme="minorHAnsi"/>
        </w:rPr>
        <w:t>Dr. Szendrei provided several details of crop phenology, types of bees that visit vegetable crops, and typical uses</w:t>
      </w:r>
      <w:r w:rsidRPr="00AA3D6C">
        <w:rPr>
          <w:rFonts w:asciiTheme="minorHAnsi" w:hAnsiTheme="minorHAnsi" w:cstheme="minorHAnsi"/>
        </w:rPr>
        <w:t xml:space="preserve"> of neonicotinoids in potatoes, cucurbits, and leguminous vegetables (mainly snap beans and green peas) that are widely grown in Michigan. She stated that while neonicotinoids are recommended and used in a variety of ways in these crops, the most critical uses of neonicotinoids (as indicated by an informal survey) are the at-planting and seed coat applications that provide about a month of protection from initial insect pest infestations in numerous vegetable crops. She also emphasized that lowering rates would undermine resistance management. </w:t>
      </w:r>
    </w:p>
    <w:p w14:paraId="62AB9BB3" w14:textId="77777777" w:rsidR="001E60EA" w:rsidRPr="00AA3D6C" w:rsidRDefault="001E60EA" w:rsidP="00AA3D6C">
      <w:pPr>
        <w:rPr>
          <w:rFonts w:asciiTheme="minorHAnsi" w:hAnsiTheme="minorHAnsi" w:cstheme="minorHAnsi"/>
        </w:rPr>
      </w:pPr>
    </w:p>
    <w:p w14:paraId="319216FC" w14:textId="6C80FA5E" w:rsidR="006D3746" w:rsidRDefault="006D3746" w:rsidP="00AA3D6C">
      <w:pPr>
        <w:rPr>
          <w:rFonts w:asciiTheme="minorHAnsi" w:eastAsia="Times New Roman" w:hAnsiTheme="minorHAnsi" w:cstheme="minorHAnsi"/>
          <w:i/>
          <w:iCs/>
        </w:rPr>
      </w:pPr>
      <w:r w:rsidRPr="00AA3D6C">
        <w:rPr>
          <w:rFonts w:asciiTheme="minorHAnsi" w:eastAsia="Times New Roman" w:hAnsiTheme="minorHAnsi" w:cstheme="minorHAnsi"/>
          <w:i/>
          <w:iCs/>
        </w:rPr>
        <w:t>Texas</w:t>
      </w:r>
    </w:p>
    <w:p w14:paraId="2B11C7E9" w14:textId="77777777" w:rsidR="001E60EA" w:rsidRPr="001E60EA" w:rsidRDefault="001E60EA" w:rsidP="00AA3D6C">
      <w:pPr>
        <w:rPr>
          <w:rFonts w:asciiTheme="minorHAnsi" w:eastAsia="Times New Roman" w:hAnsiTheme="minorHAnsi" w:cstheme="minorHAnsi"/>
          <w:i/>
          <w:iCs/>
        </w:rPr>
      </w:pPr>
    </w:p>
    <w:p w14:paraId="4C88819C" w14:textId="63CB40D3" w:rsidR="006D3746" w:rsidRPr="001E60EA"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1E60EA">
        <w:rPr>
          <w:rFonts w:asciiTheme="minorHAnsi" w:eastAsia="Times New Roman" w:hAnsiTheme="minorHAnsi" w:cstheme="minorHAnsi"/>
          <w:b/>
          <w:bCs/>
        </w:rPr>
        <w:t>:</w:t>
      </w:r>
      <w:r w:rsidR="006D3746" w:rsidRPr="001E60EA">
        <w:rPr>
          <w:rFonts w:asciiTheme="minorHAnsi" w:eastAsia="Times New Roman" w:hAnsiTheme="minorHAnsi" w:cstheme="minorHAnsi"/>
        </w:rPr>
        <w:t xml:space="preserve"> Texas Citrus Mutual (-0022)</w:t>
      </w:r>
    </w:p>
    <w:p w14:paraId="7781129E" w14:textId="77777777" w:rsidR="001E60EA" w:rsidRPr="001E60EA" w:rsidRDefault="001E60EA" w:rsidP="00AA3D6C">
      <w:pPr>
        <w:rPr>
          <w:rFonts w:asciiTheme="minorHAnsi" w:hAnsiTheme="minorHAnsi" w:cstheme="minorHAnsi"/>
        </w:rPr>
      </w:pPr>
    </w:p>
    <w:p w14:paraId="2BE12320" w14:textId="379D31F0" w:rsidR="006D3746" w:rsidRDefault="006D3746" w:rsidP="00AA3D6C">
      <w:pPr>
        <w:rPr>
          <w:rFonts w:asciiTheme="minorHAnsi" w:hAnsiTheme="minorHAnsi" w:cstheme="minorHAnsi"/>
        </w:rPr>
      </w:pPr>
      <w:r w:rsidRPr="001E60EA">
        <w:rPr>
          <w:rFonts w:asciiTheme="minorHAnsi" w:eastAsia="Times New Roman" w:hAnsiTheme="minorHAnsi" w:cstheme="minorHAnsi"/>
          <w:b/>
          <w:bCs/>
        </w:rPr>
        <w:t xml:space="preserve">Summary of </w:t>
      </w:r>
      <w:r w:rsidR="001E60EA">
        <w:rPr>
          <w:rFonts w:asciiTheme="minorHAnsi" w:eastAsia="Times New Roman" w:hAnsiTheme="minorHAnsi" w:cstheme="minorHAnsi"/>
          <w:b/>
          <w:bCs/>
        </w:rPr>
        <w:t>C</w:t>
      </w:r>
      <w:r w:rsidRPr="001E60EA">
        <w:rPr>
          <w:rFonts w:asciiTheme="minorHAnsi" w:eastAsia="Times New Roman" w:hAnsiTheme="minorHAnsi" w:cstheme="minorHAnsi"/>
          <w:b/>
          <w:bCs/>
        </w:rPr>
        <w:t xml:space="preserve">omment: </w:t>
      </w:r>
      <w:r w:rsidRPr="001E60EA">
        <w:rPr>
          <w:rFonts w:asciiTheme="minorHAnsi" w:hAnsiTheme="minorHAnsi" w:cstheme="minorHAnsi"/>
        </w:rPr>
        <w:t>Texas Citrus Mutual attached the 2021-2022 Texas Citrus Pesticide Guide which provides growers with product information including comparative performance against a range of citrus pests. The Guide includes the product name, active ingredient, labeled rate/acre, reentry interval, pre-harvest interval, maximum allowable rate/ year; efficacy control rating for 13 different pest types, and qualitatively described effects on predatory and parasitic natural control agents for pests.</w:t>
      </w:r>
    </w:p>
    <w:p w14:paraId="2D17C5DC" w14:textId="77777777" w:rsidR="001E60EA" w:rsidRPr="001E60EA" w:rsidRDefault="001E60EA" w:rsidP="00AA3D6C">
      <w:pPr>
        <w:rPr>
          <w:rFonts w:asciiTheme="minorHAnsi" w:hAnsiTheme="minorHAnsi" w:cstheme="minorHAnsi"/>
        </w:rPr>
      </w:pPr>
    </w:p>
    <w:p w14:paraId="770D5A37" w14:textId="040E579A" w:rsidR="006D3746" w:rsidRDefault="006D3746" w:rsidP="00AA3D6C">
      <w:pPr>
        <w:rPr>
          <w:rFonts w:asciiTheme="minorHAnsi" w:hAnsiTheme="minorHAnsi" w:cstheme="minorHAnsi"/>
          <w:i/>
          <w:iCs/>
        </w:rPr>
      </w:pPr>
      <w:r w:rsidRPr="001E60EA">
        <w:rPr>
          <w:rFonts w:asciiTheme="minorHAnsi" w:hAnsiTheme="minorHAnsi" w:cstheme="minorHAnsi"/>
          <w:i/>
          <w:iCs/>
        </w:rPr>
        <w:t>The Pacific Northwest</w:t>
      </w:r>
    </w:p>
    <w:p w14:paraId="354357C8" w14:textId="77777777" w:rsidR="001E60EA" w:rsidRPr="001E60EA" w:rsidRDefault="001E60EA" w:rsidP="00AA3D6C">
      <w:pPr>
        <w:rPr>
          <w:rFonts w:asciiTheme="minorHAnsi" w:hAnsiTheme="minorHAnsi" w:cstheme="minorHAnsi"/>
          <w:i/>
          <w:iCs/>
        </w:rPr>
      </w:pPr>
    </w:p>
    <w:p w14:paraId="564AD6C8" w14:textId="44317338"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1E60EA">
        <w:rPr>
          <w:rFonts w:asciiTheme="minorHAnsi" w:eastAsia="Times New Roman" w:hAnsiTheme="minorHAnsi" w:cstheme="minorHAnsi"/>
          <w:b/>
          <w:bCs/>
        </w:rPr>
        <w:t xml:space="preserve">: </w:t>
      </w:r>
      <w:r w:rsidR="006D3746" w:rsidRPr="001E60EA">
        <w:rPr>
          <w:rFonts w:asciiTheme="minorHAnsi" w:eastAsia="Times New Roman" w:hAnsiTheme="minorHAnsi" w:cstheme="minorHAnsi"/>
        </w:rPr>
        <w:t>Dr. David Epstein, Vice President for Scientific Affairs, Northwest Horticultural Council (-0343)</w:t>
      </w:r>
    </w:p>
    <w:p w14:paraId="60120AFD" w14:textId="77777777" w:rsidR="001E60EA" w:rsidRPr="001E60EA" w:rsidRDefault="001E60EA" w:rsidP="00AA3D6C">
      <w:pPr>
        <w:rPr>
          <w:rFonts w:asciiTheme="minorHAnsi" w:eastAsia="Times New Roman" w:hAnsiTheme="minorHAnsi" w:cstheme="minorHAnsi"/>
        </w:rPr>
      </w:pPr>
    </w:p>
    <w:p w14:paraId="101E9897" w14:textId="78D2BEC0" w:rsidR="006D3746" w:rsidRPr="00AA3D6C" w:rsidRDefault="006D3746" w:rsidP="00AA3D6C">
      <w:pPr>
        <w:rPr>
          <w:rFonts w:asciiTheme="minorHAnsi" w:eastAsia="Times New Roman" w:hAnsiTheme="minorHAnsi" w:cstheme="minorHAnsi"/>
        </w:rPr>
      </w:pPr>
      <w:r w:rsidRPr="001E60EA">
        <w:rPr>
          <w:rFonts w:asciiTheme="minorHAnsi" w:eastAsia="Times New Roman" w:hAnsiTheme="minorHAnsi" w:cstheme="minorHAnsi"/>
          <w:b/>
          <w:bCs/>
        </w:rPr>
        <w:t xml:space="preserve">Summary of </w:t>
      </w:r>
      <w:r w:rsidR="001E60EA">
        <w:rPr>
          <w:rFonts w:asciiTheme="minorHAnsi" w:eastAsia="Times New Roman" w:hAnsiTheme="minorHAnsi" w:cstheme="minorHAnsi"/>
          <w:b/>
          <w:bCs/>
        </w:rPr>
        <w:t>C</w:t>
      </w:r>
      <w:r w:rsidRPr="001E60EA">
        <w:rPr>
          <w:rFonts w:asciiTheme="minorHAnsi" w:eastAsia="Times New Roman" w:hAnsiTheme="minorHAnsi" w:cstheme="minorHAnsi"/>
          <w:b/>
          <w:bCs/>
        </w:rPr>
        <w:t>omment</w:t>
      </w:r>
      <w:r w:rsidRPr="001E60EA">
        <w:rPr>
          <w:rFonts w:asciiTheme="minorHAnsi" w:hAnsiTheme="minorHAnsi" w:cstheme="minorHAnsi"/>
        </w:rPr>
        <w:t xml:space="preserve">: </w:t>
      </w:r>
      <w:r w:rsidRPr="001E60EA">
        <w:rPr>
          <w:rFonts w:asciiTheme="minorHAnsi" w:eastAsia="Times New Roman" w:hAnsiTheme="minorHAnsi" w:cstheme="minorHAnsi"/>
        </w:rPr>
        <w:t>Dr. Epstein provided a general description of pest management benefits of two neonicotinoids, imidacloprid and</w:t>
      </w:r>
      <w:r w:rsidRPr="00AA3D6C">
        <w:rPr>
          <w:rFonts w:asciiTheme="minorHAnsi" w:eastAsia="Times New Roman" w:hAnsiTheme="minorHAnsi" w:cstheme="minorHAnsi"/>
        </w:rPr>
        <w:t xml:space="preserve"> thiamethoxam, in the production of tree fruit by growers in Idaho, Oregon, and Washington who are represented by the Northwest Horticultural Council on pesticide regulatory matters. The comment described the major target pests for which these neonicotinoids are typically used, with an emphasis on the aphids, leafhoppers, the pear psylla, and the Western cherry fruit fly. Dr. Epstein noted that in the past few years the need for these insecticides to suppress leafhoppers and mealybugs has taken on much more importance because these insects transmit a plant disease called Little Cherry Disease, which results in unmarketable fruit; infected trees cannot be cured. He also emphasized the lower cost of imidacloprid as compared to many alternatives, stating that these cost four to nine times more (per acre) than imidacloprid. </w:t>
      </w:r>
    </w:p>
    <w:p w14:paraId="00D09BD8" w14:textId="77777777" w:rsidR="006D3746" w:rsidRPr="001E60EA" w:rsidRDefault="006D3746" w:rsidP="00AA3D6C">
      <w:pPr>
        <w:rPr>
          <w:rFonts w:asciiTheme="minorHAnsi" w:hAnsiTheme="minorHAnsi" w:cstheme="minorHAnsi"/>
          <w:b/>
        </w:rPr>
      </w:pPr>
    </w:p>
    <w:p w14:paraId="5DF76FC7" w14:textId="1741E94C" w:rsidR="006D3746" w:rsidRDefault="006D3746" w:rsidP="00AA3D6C">
      <w:pPr>
        <w:rPr>
          <w:rFonts w:asciiTheme="minorHAnsi" w:hAnsiTheme="minorHAnsi" w:cstheme="minorHAnsi"/>
          <w:i/>
          <w:iCs/>
        </w:rPr>
      </w:pPr>
      <w:r w:rsidRPr="001E60EA">
        <w:rPr>
          <w:rFonts w:asciiTheme="minorHAnsi" w:eastAsia="Times New Roman" w:hAnsiTheme="minorHAnsi" w:cstheme="minorHAnsi"/>
          <w:b/>
          <w:bCs/>
        </w:rPr>
        <w:t xml:space="preserve">EPA </w:t>
      </w:r>
      <w:r w:rsidR="001E60EA">
        <w:rPr>
          <w:rFonts w:asciiTheme="minorHAnsi" w:eastAsia="Times New Roman" w:hAnsiTheme="minorHAnsi" w:cstheme="minorHAnsi"/>
          <w:b/>
          <w:bCs/>
        </w:rPr>
        <w:t>R</w:t>
      </w:r>
      <w:r w:rsidRPr="001E60EA">
        <w:rPr>
          <w:rFonts w:asciiTheme="minorHAnsi" w:eastAsia="Times New Roman" w:hAnsiTheme="minorHAnsi" w:cstheme="minorHAnsi"/>
          <w:b/>
          <w:bCs/>
        </w:rPr>
        <w:t>esponse:</w:t>
      </w:r>
      <w:r w:rsidRPr="001E60EA">
        <w:rPr>
          <w:rFonts w:asciiTheme="minorHAnsi" w:hAnsiTheme="minorHAnsi" w:cstheme="minorHAnsi"/>
          <w:i/>
          <w:iCs/>
          <w:color w:val="000000" w:themeColor="text1"/>
        </w:rPr>
        <w:t xml:space="preserve"> </w:t>
      </w:r>
      <w:r w:rsidR="00D2479E">
        <w:rPr>
          <w:rFonts w:asciiTheme="minorHAnsi" w:hAnsiTheme="minorHAnsi" w:cstheme="minorHAnsi"/>
          <w:i/>
          <w:iCs/>
          <w:color w:val="000000" w:themeColor="text1"/>
        </w:rPr>
        <w:t xml:space="preserve">Although not part of the effects determinations, </w:t>
      </w:r>
      <w:r w:rsidRPr="001E60EA">
        <w:rPr>
          <w:rFonts w:asciiTheme="minorHAnsi" w:hAnsiTheme="minorHAnsi" w:cstheme="minorHAnsi"/>
          <w:i/>
          <w:iCs/>
        </w:rPr>
        <w:t xml:space="preserve">EPA agrees that neonicotinoids provide important pest management benefits to growers of many vegetable and fruit crops. For example, the Agency highlighted the importance of thiamethoxam in controlling the pepper weevil in </w:t>
      </w:r>
      <w:r w:rsidR="008327B9" w:rsidRPr="004D2697">
        <w:rPr>
          <w:rFonts w:asciiTheme="minorHAnsi" w:hAnsiTheme="minorHAnsi" w:cstheme="minorHAnsi"/>
          <w:i/>
        </w:rPr>
        <w:t>the</w:t>
      </w:r>
      <w:r w:rsidR="008327B9" w:rsidRPr="001E60EA">
        <w:rPr>
          <w:rFonts w:asciiTheme="minorHAnsi" w:hAnsiTheme="minorHAnsi" w:cstheme="minorHAnsi"/>
          <w:i/>
          <w:iCs/>
        </w:rPr>
        <w:t xml:space="preserve"> </w:t>
      </w:r>
      <w:r w:rsidRPr="001E60EA">
        <w:rPr>
          <w:rFonts w:asciiTheme="minorHAnsi" w:hAnsiTheme="minorHAnsi" w:cstheme="minorHAnsi"/>
          <w:i/>
          <w:iCs/>
        </w:rPr>
        <w:t>usage and benefits assessments for vegetables</w:t>
      </w:r>
      <w:r w:rsidR="008327B9">
        <w:rPr>
          <w:rFonts w:asciiTheme="minorHAnsi" w:hAnsiTheme="minorHAnsi" w:cstheme="minorHAnsi"/>
          <w:i/>
          <w:iCs/>
        </w:rPr>
        <w:t xml:space="preserve"> </w:t>
      </w:r>
      <w:r w:rsidR="008327B9" w:rsidRPr="009B0348">
        <w:rPr>
          <w:rFonts w:asciiTheme="minorHAnsi" w:hAnsiTheme="minorHAnsi" w:cstheme="minorHAnsi"/>
          <w:i/>
          <w:iCs/>
        </w:rPr>
        <w:t>that were</w:t>
      </w:r>
      <w:r w:rsidR="008327B9" w:rsidRPr="004D2697">
        <w:rPr>
          <w:rFonts w:asciiTheme="minorHAnsi" w:hAnsiTheme="minorHAnsi" w:cstheme="minorHAnsi"/>
          <w:i/>
        </w:rPr>
        <w:t xml:space="preserve"> </w:t>
      </w:r>
      <w:r w:rsidR="0019751D" w:rsidRPr="004D2697">
        <w:rPr>
          <w:rFonts w:asciiTheme="minorHAnsi" w:hAnsiTheme="minorHAnsi" w:cstheme="minorHAnsi"/>
          <w:i/>
        </w:rPr>
        <w:t>conducted for the PIDs for the neonicotinoids</w:t>
      </w:r>
      <w:r w:rsidRPr="001E60EA">
        <w:rPr>
          <w:rFonts w:asciiTheme="minorHAnsi" w:hAnsiTheme="minorHAnsi" w:cstheme="minorHAnsi"/>
          <w:i/>
          <w:iCs/>
        </w:rPr>
        <w:t>.</w:t>
      </w:r>
      <w:r w:rsidRPr="001E60EA">
        <w:rPr>
          <w:rFonts w:asciiTheme="minorHAnsi" w:hAnsiTheme="minorHAnsi" w:cstheme="minorHAnsi"/>
          <w:i/>
          <w:iCs/>
          <w:color w:val="000000" w:themeColor="text1"/>
        </w:rPr>
        <w:t xml:space="preserve"> Novel</w:t>
      </w:r>
      <w:r w:rsidRPr="001E60EA">
        <w:rPr>
          <w:rFonts w:asciiTheme="minorHAnsi" w:hAnsiTheme="minorHAnsi" w:cstheme="minorHAnsi"/>
          <w:i/>
          <w:iCs/>
        </w:rPr>
        <w:t xml:space="preserve"> information provided by the Northwest Horticultural Council highlights the importance of neonicotinoids in managing Little Cherry Disease, a problem that was not captured by the Agency in its </w:t>
      </w:r>
      <w:r w:rsidR="00082E8F">
        <w:rPr>
          <w:rFonts w:asciiTheme="minorHAnsi" w:hAnsiTheme="minorHAnsi" w:cstheme="minorHAnsi"/>
          <w:i/>
          <w:iCs/>
        </w:rPr>
        <w:t xml:space="preserve">registration review </w:t>
      </w:r>
      <w:r w:rsidRPr="001E60EA">
        <w:rPr>
          <w:rFonts w:asciiTheme="minorHAnsi" w:hAnsiTheme="minorHAnsi" w:cstheme="minorHAnsi"/>
          <w:i/>
          <w:iCs/>
        </w:rPr>
        <w:t xml:space="preserve">assessments. </w:t>
      </w:r>
    </w:p>
    <w:p w14:paraId="1464B51E" w14:textId="77777777" w:rsidR="007A78C1" w:rsidRPr="001E60EA" w:rsidRDefault="007A78C1" w:rsidP="00AA3D6C">
      <w:pPr>
        <w:rPr>
          <w:rFonts w:asciiTheme="minorHAnsi" w:hAnsiTheme="minorHAnsi" w:cstheme="minorHAnsi"/>
          <w:i/>
          <w:iCs/>
          <w:color w:val="000000" w:themeColor="text1"/>
        </w:rPr>
      </w:pPr>
    </w:p>
    <w:p w14:paraId="78881BFA" w14:textId="54EEDBBF" w:rsidR="006D3746" w:rsidRPr="001E60EA" w:rsidRDefault="006D3746" w:rsidP="00AA3D6C">
      <w:pPr>
        <w:rPr>
          <w:rFonts w:asciiTheme="minorHAnsi" w:eastAsia="Times New Roman" w:hAnsiTheme="minorHAnsi" w:cstheme="minorHAnsi"/>
          <w:i/>
          <w:iCs/>
        </w:rPr>
      </w:pPr>
      <w:r w:rsidRPr="001E60EA">
        <w:rPr>
          <w:rFonts w:asciiTheme="minorHAnsi" w:eastAsia="Times New Roman" w:hAnsiTheme="minorHAnsi" w:cstheme="minorHAnsi"/>
          <w:i/>
          <w:iCs/>
        </w:rPr>
        <w:lastRenderedPageBreak/>
        <w:t xml:space="preserve">These comments provided information on the importance of neonicotinoids and how they are applied, especially regarding pests and bloom time. </w:t>
      </w:r>
      <w:r w:rsidR="0054127A">
        <w:rPr>
          <w:rFonts w:asciiTheme="minorHAnsi" w:eastAsia="Times New Roman" w:hAnsiTheme="minorHAnsi" w:cstheme="minorHAnsi"/>
          <w:i/>
          <w:iCs/>
        </w:rPr>
        <w:t xml:space="preserve">As appropriate, EPA will </w:t>
      </w:r>
      <w:r w:rsidR="004E10EA">
        <w:rPr>
          <w:rFonts w:asciiTheme="minorHAnsi" w:eastAsia="Times New Roman" w:hAnsiTheme="minorHAnsi" w:cstheme="minorHAnsi"/>
          <w:i/>
          <w:iCs/>
        </w:rPr>
        <w:t xml:space="preserve">provide </w:t>
      </w:r>
      <w:r w:rsidR="00905C40">
        <w:rPr>
          <w:rFonts w:asciiTheme="minorHAnsi" w:eastAsia="Times New Roman" w:hAnsiTheme="minorHAnsi" w:cstheme="minorHAnsi"/>
          <w:i/>
          <w:iCs/>
        </w:rPr>
        <w:t xml:space="preserve">relevant </w:t>
      </w:r>
      <w:r w:rsidRPr="001E60EA">
        <w:rPr>
          <w:rFonts w:asciiTheme="minorHAnsi" w:eastAsia="Times New Roman" w:hAnsiTheme="minorHAnsi" w:cstheme="minorHAnsi"/>
          <w:i/>
          <w:iCs/>
        </w:rPr>
        <w:t xml:space="preserve">information </w:t>
      </w:r>
      <w:r w:rsidR="006E48C4">
        <w:rPr>
          <w:rFonts w:asciiTheme="minorHAnsi" w:eastAsia="Times New Roman" w:hAnsiTheme="minorHAnsi" w:cstheme="minorHAnsi"/>
          <w:i/>
          <w:iCs/>
        </w:rPr>
        <w:t xml:space="preserve">on usage that is </w:t>
      </w:r>
      <w:r w:rsidRPr="001E60EA">
        <w:rPr>
          <w:rFonts w:asciiTheme="minorHAnsi" w:eastAsia="Times New Roman" w:hAnsiTheme="minorHAnsi" w:cstheme="minorHAnsi"/>
          <w:i/>
          <w:iCs/>
        </w:rPr>
        <w:t xml:space="preserve">included in these comments </w:t>
      </w:r>
      <w:r w:rsidR="00147A4A">
        <w:rPr>
          <w:rFonts w:asciiTheme="minorHAnsi" w:eastAsia="Times New Roman" w:hAnsiTheme="minorHAnsi" w:cstheme="minorHAnsi"/>
          <w:i/>
          <w:iCs/>
        </w:rPr>
        <w:t>in its consultations with the Services</w:t>
      </w:r>
      <w:r w:rsidRPr="001E60EA">
        <w:rPr>
          <w:rFonts w:asciiTheme="minorHAnsi" w:eastAsia="Times New Roman" w:hAnsiTheme="minorHAnsi" w:cstheme="minorHAnsi"/>
          <w:i/>
          <w:iCs/>
        </w:rPr>
        <w:t>.</w:t>
      </w:r>
      <w:r w:rsidR="00A7176A">
        <w:rPr>
          <w:rFonts w:asciiTheme="minorHAnsi" w:eastAsia="Times New Roman" w:hAnsiTheme="minorHAnsi" w:cstheme="minorHAnsi"/>
          <w:i/>
          <w:iCs/>
        </w:rPr>
        <w:t xml:space="preserve"> </w:t>
      </w:r>
    </w:p>
    <w:p w14:paraId="18A646B3" w14:textId="1861E966" w:rsidR="006D3746" w:rsidRPr="001E60EA" w:rsidRDefault="006D3746" w:rsidP="00AA3D6C">
      <w:pPr>
        <w:rPr>
          <w:rFonts w:asciiTheme="minorHAnsi" w:hAnsiTheme="minorHAnsi" w:cstheme="minorHAnsi"/>
          <w:i/>
          <w:iCs/>
        </w:rPr>
      </w:pPr>
      <w:r w:rsidRPr="001E60EA">
        <w:rPr>
          <w:rFonts w:asciiTheme="minorHAnsi" w:hAnsiTheme="minorHAnsi" w:cstheme="minorHAnsi"/>
          <w:i/>
          <w:iCs/>
        </w:rPr>
        <w:t>For additional information see the Agency’s benefits analys</w:t>
      </w:r>
      <w:r w:rsidR="00C427C6">
        <w:rPr>
          <w:rFonts w:asciiTheme="minorHAnsi" w:hAnsiTheme="minorHAnsi" w:cstheme="minorHAnsi"/>
          <w:i/>
          <w:iCs/>
        </w:rPr>
        <w:t>e</w:t>
      </w:r>
      <w:r w:rsidRPr="001E60EA">
        <w:rPr>
          <w:rFonts w:asciiTheme="minorHAnsi" w:hAnsiTheme="minorHAnsi" w:cstheme="minorHAnsi"/>
          <w:i/>
          <w:iCs/>
        </w:rPr>
        <w:t>s for such crops, that are available in the neonicotinoid PID regulatory docket</w:t>
      </w:r>
      <w:r w:rsidR="00F96027">
        <w:rPr>
          <w:rFonts w:asciiTheme="minorHAnsi" w:hAnsiTheme="minorHAnsi" w:cstheme="minorHAnsi"/>
          <w:i/>
          <w:iCs/>
        </w:rPr>
        <w:t>s</w:t>
      </w:r>
      <w:r w:rsidRPr="001E60EA">
        <w:rPr>
          <w:rFonts w:asciiTheme="minorHAnsi" w:hAnsiTheme="minorHAnsi" w:cstheme="minorHAnsi"/>
          <w:i/>
          <w:iCs/>
        </w:rPr>
        <w:t xml:space="preserve"> at </w:t>
      </w:r>
      <w:hyperlink r:id="rId18" w:history="1">
        <w:r w:rsidRPr="001E60EA">
          <w:rPr>
            <w:rStyle w:val="Hyperlink"/>
            <w:rFonts w:asciiTheme="minorHAnsi" w:hAnsiTheme="minorHAnsi" w:cstheme="minorHAnsi"/>
            <w:i/>
            <w:iCs/>
          </w:rPr>
          <w:t>www.regulations.gov</w:t>
        </w:r>
      </w:hyperlink>
      <w:r w:rsidRPr="001E60EA">
        <w:rPr>
          <w:rFonts w:asciiTheme="minorHAnsi" w:hAnsiTheme="minorHAnsi" w:cstheme="minorHAnsi"/>
          <w:i/>
          <w:iCs/>
        </w:rPr>
        <w:t>. These memos include:</w:t>
      </w:r>
    </w:p>
    <w:p w14:paraId="3DF304B0" w14:textId="77777777" w:rsidR="006D3746" w:rsidRPr="00AA3D6C" w:rsidRDefault="006D3746" w:rsidP="00AA3D6C">
      <w:pPr>
        <w:pStyle w:val="ListParagraph"/>
        <w:numPr>
          <w:ilvl w:val="0"/>
          <w:numId w:val="61"/>
        </w:numPr>
        <w:rPr>
          <w:rFonts w:asciiTheme="minorHAnsi" w:hAnsiTheme="minorHAnsi" w:cstheme="minorHAnsi"/>
          <w:i/>
          <w:iCs/>
        </w:rPr>
      </w:pPr>
      <w:r w:rsidRPr="00AA3D6C">
        <w:rPr>
          <w:rFonts w:asciiTheme="minorHAnsi" w:eastAsiaTheme="minorHAnsi" w:hAnsiTheme="minorHAnsi" w:cstheme="minorHAnsi"/>
          <w:i/>
          <w:iCs/>
        </w:rPr>
        <w:t>Benefits of Neonicotinoids Insecticide Use in Pre-Bloom and Bloom Periods of Citrus. U.S. Environmental Protection Agency.</w:t>
      </w:r>
    </w:p>
    <w:p w14:paraId="2F07AE9A" w14:textId="77777777" w:rsidR="006D3746" w:rsidRPr="00AA3D6C" w:rsidRDefault="006D3746" w:rsidP="00AA3D6C">
      <w:pPr>
        <w:pStyle w:val="ListParagraph"/>
        <w:numPr>
          <w:ilvl w:val="0"/>
          <w:numId w:val="61"/>
        </w:numPr>
        <w:rPr>
          <w:rFonts w:asciiTheme="minorHAnsi" w:hAnsiTheme="minorHAnsi" w:cstheme="minorHAnsi"/>
          <w:i/>
          <w:iCs/>
        </w:rPr>
      </w:pPr>
      <w:r w:rsidRPr="00AA3D6C">
        <w:rPr>
          <w:rFonts w:asciiTheme="minorHAnsi" w:eastAsiaTheme="minorHAnsi" w:hAnsiTheme="minorHAnsi" w:cstheme="minorHAnsi"/>
          <w:i/>
          <w:iCs/>
        </w:rPr>
        <w:t>Benefits of Neonicotinoid Insecticide Use in Cucurbit Production and Impacts of Potential Risk Mitigation.</w:t>
      </w:r>
    </w:p>
    <w:p w14:paraId="54C21B8B" w14:textId="77777777" w:rsidR="006D3746" w:rsidRPr="00AA3D6C" w:rsidRDefault="006D3746" w:rsidP="00AA3D6C">
      <w:pPr>
        <w:pStyle w:val="ListParagraph"/>
        <w:numPr>
          <w:ilvl w:val="0"/>
          <w:numId w:val="61"/>
        </w:numPr>
        <w:rPr>
          <w:rFonts w:asciiTheme="minorHAnsi" w:hAnsiTheme="minorHAnsi" w:cstheme="minorHAnsi"/>
          <w:i/>
          <w:iCs/>
        </w:rPr>
      </w:pPr>
      <w:r w:rsidRPr="00AA3D6C">
        <w:rPr>
          <w:rFonts w:asciiTheme="minorHAnsi" w:hAnsiTheme="minorHAnsi" w:cstheme="minorHAnsi"/>
          <w:i/>
          <w:iCs/>
        </w:rPr>
        <w:t xml:space="preserve">Benefits of Neonicotinoid Insecticides in Berries (Strawberry, </w:t>
      </w:r>
      <w:proofErr w:type="spellStart"/>
      <w:r w:rsidRPr="00AA3D6C">
        <w:rPr>
          <w:rFonts w:asciiTheme="minorHAnsi" w:hAnsiTheme="minorHAnsi" w:cstheme="minorHAnsi"/>
          <w:i/>
          <w:iCs/>
        </w:rPr>
        <w:t>Caneberry</w:t>
      </w:r>
      <w:proofErr w:type="spellEnd"/>
      <w:r w:rsidRPr="00AA3D6C">
        <w:rPr>
          <w:rFonts w:asciiTheme="minorHAnsi" w:hAnsiTheme="minorHAnsi" w:cstheme="minorHAnsi"/>
          <w:i/>
          <w:iCs/>
        </w:rPr>
        <w:t xml:space="preserve">, Cranberry, and Blueberry) and Impacts of Potential Mitigation. </w:t>
      </w:r>
    </w:p>
    <w:p w14:paraId="35A775EB" w14:textId="77777777" w:rsidR="006D3746" w:rsidRPr="00AA3D6C" w:rsidRDefault="006D3746" w:rsidP="00AA3D6C">
      <w:pPr>
        <w:pStyle w:val="ListParagraph"/>
        <w:numPr>
          <w:ilvl w:val="0"/>
          <w:numId w:val="61"/>
        </w:numPr>
        <w:rPr>
          <w:rFonts w:asciiTheme="minorHAnsi" w:hAnsiTheme="minorHAnsi" w:cstheme="minorHAnsi"/>
          <w:i/>
          <w:iCs/>
        </w:rPr>
      </w:pPr>
      <w:r w:rsidRPr="00AA3D6C">
        <w:rPr>
          <w:rFonts w:asciiTheme="minorHAnsi" w:hAnsiTheme="minorHAnsi" w:cstheme="minorHAnsi"/>
          <w:i/>
          <w:iCs/>
        </w:rPr>
        <w:t>Benefits of Neonicotinoid Insecticides Usage in Grapes and Impacts of Potential Mitigation.</w:t>
      </w:r>
    </w:p>
    <w:p w14:paraId="74638AB7" w14:textId="77777777" w:rsidR="006D3746" w:rsidRPr="00AA3D6C" w:rsidRDefault="006D3746" w:rsidP="00AA3D6C">
      <w:pPr>
        <w:pStyle w:val="ListParagraph"/>
        <w:numPr>
          <w:ilvl w:val="0"/>
          <w:numId w:val="61"/>
        </w:numPr>
        <w:rPr>
          <w:rFonts w:asciiTheme="minorHAnsi" w:hAnsiTheme="minorHAnsi" w:cstheme="minorHAnsi"/>
          <w:i/>
          <w:iCs/>
        </w:rPr>
      </w:pPr>
      <w:r w:rsidRPr="00AA3D6C">
        <w:rPr>
          <w:rFonts w:asciiTheme="minorHAnsi" w:hAnsiTheme="minorHAnsi" w:cstheme="minorHAnsi"/>
          <w:i/>
          <w:iCs/>
        </w:rPr>
        <w:t>Usage, Pest Management Benefits, and Possible Impacts of the Potential Mitigation of the Use of the Four Nitroguanidine Neonicotinoids in Pome Fruits (Apple, Pear).</w:t>
      </w:r>
    </w:p>
    <w:p w14:paraId="29CD8039" w14:textId="77777777" w:rsidR="006D3746" w:rsidRPr="00AA3D6C" w:rsidRDefault="006D3746" w:rsidP="00AA3D6C">
      <w:pPr>
        <w:pStyle w:val="ListParagraph"/>
        <w:numPr>
          <w:ilvl w:val="0"/>
          <w:numId w:val="61"/>
        </w:numPr>
        <w:rPr>
          <w:rFonts w:asciiTheme="minorHAnsi" w:hAnsiTheme="minorHAnsi" w:cstheme="minorHAnsi"/>
          <w:i/>
          <w:iCs/>
        </w:rPr>
      </w:pPr>
      <w:r w:rsidRPr="00AA3D6C">
        <w:rPr>
          <w:rFonts w:asciiTheme="minorHAnsi" w:hAnsiTheme="minorHAnsi" w:cstheme="minorHAnsi"/>
          <w:i/>
          <w:iCs/>
        </w:rPr>
        <w:t xml:space="preserve">Assessment of Usage, Benefits and Impacts of Potential Mitigation in Stone Fruit Production for Four Nitroguanidine Neonicotinoid Insecticides (Clothianidin, Dinotefuran, Imidacloprid, and Thiamethoxam). </w:t>
      </w:r>
    </w:p>
    <w:p w14:paraId="4BBCDA5B" w14:textId="3C5C8904" w:rsidR="006D3746" w:rsidRPr="00AA3D6C" w:rsidRDefault="006D3746" w:rsidP="00AA3D6C">
      <w:pPr>
        <w:pStyle w:val="ListParagraph"/>
        <w:numPr>
          <w:ilvl w:val="0"/>
          <w:numId w:val="61"/>
        </w:numPr>
        <w:rPr>
          <w:rFonts w:asciiTheme="minorHAnsi" w:eastAsiaTheme="minorHAnsi" w:hAnsiTheme="minorHAnsi" w:cstheme="minorHAnsi"/>
          <w:i/>
          <w:iCs/>
        </w:rPr>
      </w:pPr>
      <w:r w:rsidRPr="00AA3D6C">
        <w:rPr>
          <w:rFonts w:asciiTheme="minorHAnsi" w:hAnsiTheme="minorHAnsi" w:cstheme="minorHAnsi"/>
          <w:i/>
          <w:iCs/>
        </w:rPr>
        <w:t xml:space="preserve">Benefits of Neonicotinoid Use and Impacts of Potential Risk Mitigation in Vegetables, Legumes, Tree Nuts, Herbs, and Tropical and Subtropical Fruit. </w:t>
      </w:r>
    </w:p>
    <w:p w14:paraId="2711B21F" w14:textId="77777777" w:rsidR="006D3746" w:rsidRPr="00AA3D6C" w:rsidRDefault="006D3746" w:rsidP="00AA3D6C">
      <w:pPr>
        <w:rPr>
          <w:rFonts w:asciiTheme="minorHAnsi" w:hAnsiTheme="minorHAnsi" w:cstheme="minorHAnsi"/>
        </w:rPr>
      </w:pPr>
    </w:p>
    <w:p w14:paraId="6CEB19AA" w14:textId="163B02E1" w:rsidR="006D3746" w:rsidRPr="007A78C1" w:rsidRDefault="007A78C1" w:rsidP="007A78C1">
      <w:pPr>
        <w:pStyle w:val="Heading2"/>
      </w:pPr>
      <w:bookmarkStart w:id="35" w:name="_Toc106187574"/>
      <w:r>
        <w:t xml:space="preserve">2.4  </w:t>
      </w:r>
      <w:r w:rsidR="006D3746" w:rsidRPr="007A78C1">
        <w:t>Benefits of Neonicotinoids in Nursery and Floriculture</w:t>
      </w:r>
      <w:bookmarkEnd w:id="35"/>
    </w:p>
    <w:p w14:paraId="62043C41" w14:textId="77777777" w:rsidR="007A78C1" w:rsidRPr="007A78C1" w:rsidRDefault="007A78C1" w:rsidP="00AA3D6C">
      <w:pPr>
        <w:rPr>
          <w:rFonts w:asciiTheme="minorHAnsi" w:eastAsia="Times New Roman" w:hAnsiTheme="minorHAnsi" w:cstheme="minorHAnsi"/>
          <w:b/>
          <w:bCs/>
        </w:rPr>
      </w:pPr>
    </w:p>
    <w:p w14:paraId="124476C3" w14:textId="2BC44452" w:rsidR="006D3746" w:rsidRPr="007A78C1" w:rsidRDefault="00DC3C60" w:rsidP="00AA3D6C">
      <w:pPr>
        <w:rPr>
          <w:rFonts w:asciiTheme="minorHAnsi" w:hAnsiTheme="minorHAnsi" w:cstheme="minorHAnsi"/>
        </w:rPr>
      </w:pPr>
      <w:r>
        <w:rPr>
          <w:rFonts w:asciiTheme="minorHAnsi" w:eastAsia="Times New Roman" w:hAnsiTheme="minorHAnsi" w:cstheme="minorHAnsi"/>
          <w:b/>
          <w:bCs/>
        </w:rPr>
        <w:t>Commenter</w:t>
      </w:r>
      <w:r w:rsidR="006D3746" w:rsidRPr="007A78C1">
        <w:rPr>
          <w:rFonts w:asciiTheme="minorHAnsi" w:eastAsia="Times New Roman" w:hAnsiTheme="minorHAnsi" w:cstheme="minorHAnsi"/>
          <w:b/>
          <w:bCs/>
        </w:rPr>
        <w:t>:</w:t>
      </w:r>
      <w:r w:rsidR="006D3746" w:rsidRPr="007A78C1">
        <w:rPr>
          <w:rFonts w:asciiTheme="minorHAnsi" w:eastAsia="Times New Roman" w:hAnsiTheme="minorHAnsi" w:cstheme="minorHAnsi"/>
        </w:rPr>
        <w:t xml:space="preserve"> The IR-4 Project (-0327); Society of American Florists (SAF) (-0335)</w:t>
      </w:r>
    </w:p>
    <w:p w14:paraId="284A9492" w14:textId="77777777" w:rsidR="007A78C1" w:rsidRPr="007A78C1" w:rsidRDefault="007A78C1" w:rsidP="00AA3D6C">
      <w:pPr>
        <w:rPr>
          <w:rFonts w:asciiTheme="minorHAnsi" w:eastAsia="Times New Roman" w:hAnsiTheme="minorHAnsi" w:cstheme="minorHAnsi"/>
          <w:b/>
          <w:bCs/>
        </w:rPr>
      </w:pPr>
    </w:p>
    <w:p w14:paraId="678CCECF" w14:textId="11D6D2F1" w:rsidR="006D3746" w:rsidRDefault="006D3746" w:rsidP="00AA3D6C">
      <w:pPr>
        <w:rPr>
          <w:rFonts w:asciiTheme="minorHAnsi" w:eastAsia="Times New Roman" w:hAnsiTheme="minorHAnsi" w:cstheme="minorHAnsi"/>
        </w:rPr>
      </w:pPr>
      <w:r w:rsidRPr="007A78C1">
        <w:rPr>
          <w:rFonts w:asciiTheme="minorHAnsi" w:eastAsia="Times New Roman" w:hAnsiTheme="minorHAnsi" w:cstheme="minorHAnsi"/>
          <w:b/>
          <w:bCs/>
        </w:rPr>
        <w:t xml:space="preserve">Summary of </w:t>
      </w:r>
      <w:r w:rsidR="007A78C1" w:rsidRPr="007A78C1">
        <w:rPr>
          <w:rFonts w:asciiTheme="minorHAnsi" w:eastAsia="Times New Roman" w:hAnsiTheme="minorHAnsi" w:cstheme="minorHAnsi"/>
          <w:b/>
          <w:bCs/>
        </w:rPr>
        <w:t>Co</w:t>
      </w:r>
      <w:r w:rsidRPr="007A78C1">
        <w:rPr>
          <w:rFonts w:asciiTheme="minorHAnsi" w:eastAsia="Times New Roman" w:hAnsiTheme="minorHAnsi" w:cstheme="minorHAnsi"/>
          <w:b/>
          <w:bCs/>
        </w:rPr>
        <w:t>mments</w:t>
      </w:r>
      <w:r w:rsidRPr="007A78C1">
        <w:rPr>
          <w:rFonts w:asciiTheme="minorHAnsi" w:eastAsia="Times New Roman" w:hAnsiTheme="minorHAnsi" w:cstheme="minorHAnsi"/>
        </w:rPr>
        <w:t>: The IR-4 Project supports the continued use of sustainable pest management tools that benefit</w:t>
      </w:r>
      <w:r w:rsidRPr="00AA3D6C">
        <w:rPr>
          <w:rFonts w:asciiTheme="minorHAnsi" w:eastAsia="Times New Roman" w:hAnsiTheme="minorHAnsi" w:cstheme="minorHAnsi"/>
        </w:rPr>
        <w:t xml:space="preserve"> the growers of specialty crops including environmental horticultural (also referred to as ornamental) crops. The IR-4 Project stated that neonicotinoids are effective for managing numerous pests of these ornamental crops such as beetles, plant bugs, scales, thrips, or whiteflies. Neonicotinoid insecticides are one set of tools used to manage insect pests to economically acceptable levels so that growers can produce high quality crops in sufficient quantities for the marketplace. </w:t>
      </w:r>
    </w:p>
    <w:p w14:paraId="79670FDC" w14:textId="77777777" w:rsidR="007A78C1" w:rsidRPr="00AA3D6C" w:rsidRDefault="007A78C1" w:rsidP="00AA3D6C">
      <w:pPr>
        <w:rPr>
          <w:rFonts w:asciiTheme="minorHAnsi" w:hAnsiTheme="minorHAnsi" w:cstheme="minorHAnsi"/>
        </w:rPr>
      </w:pPr>
    </w:p>
    <w:p w14:paraId="1FE6CF57" w14:textId="13ADB781" w:rsidR="006D3746" w:rsidRDefault="006D3746" w:rsidP="00AA3D6C">
      <w:pPr>
        <w:rPr>
          <w:rFonts w:asciiTheme="minorHAnsi" w:eastAsia="Times New Roman" w:hAnsiTheme="minorHAnsi" w:cstheme="minorHAnsi"/>
        </w:rPr>
      </w:pPr>
      <w:r w:rsidRPr="00AA3D6C">
        <w:rPr>
          <w:rFonts w:asciiTheme="minorHAnsi" w:eastAsia="Times New Roman" w:hAnsiTheme="minorHAnsi" w:cstheme="minorHAnsi"/>
        </w:rPr>
        <w:t>The Society of American Florists strongly supports the continued registration of neonicotinoid insecticides. Clothianidin, imidacloprid and thiamethoxam are necessary for controlling a broad range of floriculture pests including mites, aphids, whiteflies and thrips. The use of thiamethoxam and imidacloprid in rotation with other crop protection tools, when necessary, is vital in preventing or delaying the development of insecticide resistance.</w:t>
      </w:r>
    </w:p>
    <w:p w14:paraId="0A657CE6" w14:textId="77777777" w:rsidR="007A78C1" w:rsidRPr="007A78C1" w:rsidRDefault="007A78C1" w:rsidP="00AA3D6C">
      <w:pPr>
        <w:rPr>
          <w:rFonts w:asciiTheme="minorHAnsi" w:hAnsiTheme="minorHAnsi" w:cstheme="minorHAnsi"/>
        </w:rPr>
      </w:pPr>
    </w:p>
    <w:p w14:paraId="74AD04E9" w14:textId="7F43A772" w:rsidR="006D3746" w:rsidRPr="00AA3D6C" w:rsidRDefault="006D3746" w:rsidP="00AA3D6C">
      <w:pPr>
        <w:rPr>
          <w:rFonts w:asciiTheme="minorHAnsi" w:hAnsiTheme="minorHAnsi" w:cstheme="minorHAnsi"/>
        </w:rPr>
      </w:pPr>
      <w:r w:rsidRPr="007A78C1">
        <w:rPr>
          <w:rFonts w:asciiTheme="minorHAnsi" w:eastAsia="Times New Roman" w:hAnsiTheme="minorHAnsi" w:cstheme="minorHAnsi"/>
          <w:b/>
          <w:bCs/>
        </w:rPr>
        <w:t xml:space="preserve">EPA </w:t>
      </w:r>
      <w:r w:rsidR="007A78C1">
        <w:rPr>
          <w:rFonts w:asciiTheme="minorHAnsi" w:eastAsia="Times New Roman" w:hAnsiTheme="minorHAnsi" w:cstheme="minorHAnsi"/>
          <w:b/>
          <w:bCs/>
        </w:rPr>
        <w:t>R</w:t>
      </w:r>
      <w:r w:rsidRPr="007A78C1">
        <w:rPr>
          <w:rFonts w:asciiTheme="minorHAnsi" w:eastAsia="Times New Roman" w:hAnsiTheme="minorHAnsi" w:cstheme="minorHAnsi"/>
          <w:b/>
          <w:bCs/>
        </w:rPr>
        <w:t>esponse:</w:t>
      </w:r>
      <w:r w:rsidRPr="007A78C1">
        <w:rPr>
          <w:rFonts w:asciiTheme="minorHAnsi" w:eastAsia="Times New Roman" w:hAnsiTheme="minorHAnsi" w:cstheme="minorHAnsi"/>
        </w:rPr>
        <w:t xml:space="preserve"> </w:t>
      </w:r>
      <w:r w:rsidRPr="007A78C1">
        <w:rPr>
          <w:rFonts w:asciiTheme="minorHAnsi" w:eastAsia="Times New Roman" w:hAnsiTheme="minorHAnsi" w:cstheme="minorHAnsi"/>
          <w:i/>
          <w:iCs/>
        </w:rPr>
        <w:t xml:space="preserve">Comments made by the IR-4 Project and SAF are largely in agreement with the Agency’s analysis </w:t>
      </w:r>
      <w:r w:rsidR="002C4E05">
        <w:rPr>
          <w:rFonts w:asciiTheme="minorHAnsi" w:eastAsia="Times New Roman" w:hAnsiTheme="minorHAnsi" w:cstheme="minorHAnsi"/>
          <w:i/>
          <w:iCs/>
        </w:rPr>
        <w:t xml:space="preserve">for the PIDs </w:t>
      </w:r>
      <w:r w:rsidRPr="007A78C1">
        <w:rPr>
          <w:rFonts w:asciiTheme="minorHAnsi" w:eastAsia="Times New Roman" w:hAnsiTheme="minorHAnsi" w:cstheme="minorHAnsi"/>
          <w:i/>
          <w:iCs/>
        </w:rPr>
        <w:t>that found neonicotinoids to be an important tool for pesticide applicators in the turfgrass and ornamental pest control industries. For more information, see BEAD’s Review of “</w:t>
      </w:r>
      <w:r w:rsidRPr="007A78C1">
        <w:rPr>
          <w:rFonts w:asciiTheme="minorHAnsi" w:eastAsia="Times New Roman" w:hAnsiTheme="minorHAnsi" w:cstheme="minorHAnsi"/>
        </w:rPr>
        <w:t>The Value of Neonicotinoids in Turf and Ornamentals</w:t>
      </w:r>
      <w:r w:rsidRPr="007A78C1">
        <w:rPr>
          <w:rFonts w:asciiTheme="minorHAnsi" w:eastAsia="Times New Roman" w:hAnsiTheme="minorHAnsi" w:cstheme="minorHAnsi"/>
          <w:i/>
          <w:iCs/>
        </w:rPr>
        <w:t xml:space="preserve">” prepared by </w:t>
      </w:r>
      <w:proofErr w:type="spellStart"/>
      <w:r w:rsidRPr="007A78C1">
        <w:rPr>
          <w:rFonts w:asciiTheme="minorHAnsi" w:eastAsia="Times New Roman" w:hAnsiTheme="minorHAnsi" w:cstheme="minorHAnsi"/>
          <w:i/>
          <w:iCs/>
        </w:rPr>
        <w:t>AgInfomatics</w:t>
      </w:r>
      <w:proofErr w:type="spellEnd"/>
      <w:r w:rsidRPr="007A78C1">
        <w:rPr>
          <w:rFonts w:asciiTheme="minorHAnsi" w:eastAsia="Times New Roman" w:hAnsiTheme="minorHAnsi" w:cstheme="minorHAnsi"/>
          <w:i/>
          <w:iCs/>
        </w:rPr>
        <w:t xml:space="preserve">, LLC for Bayer CropScience, Syngenta, and Valent, available in the neonicotinoid PID regulatory dockets at </w:t>
      </w:r>
      <w:hyperlink r:id="rId19" w:history="1">
        <w:r w:rsidRPr="00C427C6">
          <w:rPr>
            <w:rStyle w:val="Hyperlink"/>
            <w:rFonts w:asciiTheme="minorHAnsi" w:eastAsia="Times New Roman" w:hAnsiTheme="minorHAnsi" w:cstheme="minorHAnsi"/>
            <w:i/>
            <w:iCs/>
          </w:rPr>
          <w:t>www.regulations.gov</w:t>
        </w:r>
      </w:hyperlink>
      <w:r w:rsidRPr="007A78C1">
        <w:rPr>
          <w:rFonts w:asciiTheme="minorHAnsi" w:eastAsia="Times New Roman" w:hAnsiTheme="minorHAnsi" w:cstheme="minorHAnsi"/>
          <w:i/>
          <w:iCs/>
        </w:rPr>
        <w:t>.</w:t>
      </w:r>
      <w:r>
        <w:rPr>
          <w:rFonts w:asciiTheme="minorHAnsi" w:eastAsia="Times New Roman" w:hAnsiTheme="minorHAnsi" w:cstheme="minorHAnsi"/>
          <w:i/>
        </w:rPr>
        <w:t xml:space="preserve"> </w:t>
      </w:r>
    </w:p>
    <w:p w14:paraId="2CA2435A" w14:textId="77777777" w:rsidR="006D3746" w:rsidRPr="00AA3D6C" w:rsidRDefault="006D3746" w:rsidP="00AA3D6C">
      <w:pPr>
        <w:rPr>
          <w:rFonts w:asciiTheme="minorHAnsi" w:hAnsiTheme="minorHAnsi" w:cstheme="minorHAnsi"/>
          <w:b/>
          <w:u w:val="single"/>
        </w:rPr>
      </w:pPr>
    </w:p>
    <w:p w14:paraId="67FE8BF7" w14:textId="4CA1DD94" w:rsidR="006D3746" w:rsidRPr="007A78C1" w:rsidRDefault="007A78C1" w:rsidP="007A78C1">
      <w:pPr>
        <w:pStyle w:val="Heading2"/>
        <w:keepNext/>
        <w:keepLines/>
      </w:pPr>
      <w:bookmarkStart w:id="36" w:name="_Toc106187575"/>
      <w:r>
        <w:t xml:space="preserve">2.5  </w:t>
      </w:r>
      <w:r w:rsidR="006D3746" w:rsidRPr="007A78C1">
        <w:t>Poultry Litter</w:t>
      </w:r>
      <w:bookmarkEnd w:id="36"/>
    </w:p>
    <w:p w14:paraId="376F2442" w14:textId="77777777" w:rsidR="007A78C1" w:rsidRDefault="007A78C1" w:rsidP="007A78C1">
      <w:pPr>
        <w:keepNext/>
        <w:keepLines/>
        <w:rPr>
          <w:rFonts w:asciiTheme="minorHAnsi" w:eastAsia="Times New Roman" w:hAnsiTheme="minorHAnsi" w:cstheme="minorHAnsi"/>
          <w:b/>
          <w:bCs/>
          <w:u w:val="single"/>
        </w:rPr>
      </w:pPr>
    </w:p>
    <w:p w14:paraId="2B4C6C62" w14:textId="138929F7"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7A78C1">
        <w:rPr>
          <w:rFonts w:asciiTheme="minorHAnsi" w:eastAsia="Times New Roman" w:hAnsiTheme="minorHAnsi" w:cstheme="minorHAnsi"/>
          <w:b/>
          <w:bCs/>
        </w:rPr>
        <w:t>s:</w:t>
      </w:r>
      <w:r w:rsidR="006D3746" w:rsidRPr="007A78C1">
        <w:rPr>
          <w:rFonts w:asciiTheme="minorHAnsi" w:eastAsia="Times New Roman" w:hAnsiTheme="minorHAnsi" w:cstheme="minorHAnsi"/>
        </w:rPr>
        <w:t xml:space="preserve"> Mid-South Entomology Working Group (MSEWG) (-0021), Elanco US Inc. (-0040), CropLife America (CLA) (-0330 and -0345), and United States Department of Agriculture (USDA) (-0331)</w:t>
      </w:r>
    </w:p>
    <w:p w14:paraId="69CDE9ED" w14:textId="77777777" w:rsidR="007A78C1" w:rsidRPr="007A78C1" w:rsidRDefault="007A78C1" w:rsidP="00AA3D6C">
      <w:pPr>
        <w:rPr>
          <w:rFonts w:asciiTheme="minorHAnsi" w:eastAsia="Times New Roman" w:hAnsiTheme="minorHAnsi" w:cstheme="minorHAnsi"/>
          <w:b/>
          <w:bCs/>
        </w:rPr>
      </w:pPr>
    </w:p>
    <w:p w14:paraId="2DE6A36D" w14:textId="1E435DAC" w:rsidR="006D3746" w:rsidRPr="007A78C1" w:rsidRDefault="006D3746" w:rsidP="00AA3D6C">
      <w:pPr>
        <w:rPr>
          <w:rFonts w:asciiTheme="minorHAnsi" w:eastAsia="Times New Roman" w:hAnsiTheme="minorHAnsi" w:cstheme="minorHAnsi"/>
        </w:rPr>
      </w:pPr>
      <w:r w:rsidRPr="007A78C1">
        <w:rPr>
          <w:rFonts w:asciiTheme="minorHAnsi" w:eastAsia="Times New Roman" w:hAnsiTheme="minorHAnsi" w:cstheme="minorHAnsi"/>
          <w:b/>
          <w:bCs/>
        </w:rPr>
        <w:t xml:space="preserve">Summary of </w:t>
      </w:r>
      <w:r w:rsidR="007A78C1">
        <w:rPr>
          <w:rFonts w:asciiTheme="minorHAnsi" w:eastAsia="Times New Roman" w:hAnsiTheme="minorHAnsi" w:cstheme="minorHAnsi"/>
          <w:b/>
          <w:bCs/>
        </w:rPr>
        <w:t>C</w:t>
      </w:r>
      <w:r w:rsidRPr="007A78C1">
        <w:rPr>
          <w:rFonts w:asciiTheme="minorHAnsi" w:eastAsia="Times New Roman" w:hAnsiTheme="minorHAnsi" w:cstheme="minorHAnsi"/>
          <w:b/>
          <w:bCs/>
        </w:rPr>
        <w:t>omments:</w:t>
      </w:r>
      <w:r w:rsidRPr="007A78C1">
        <w:rPr>
          <w:rFonts w:asciiTheme="minorHAnsi" w:eastAsia="Times New Roman" w:hAnsiTheme="minorHAnsi" w:cstheme="minorHAnsi"/>
        </w:rPr>
        <w:t xml:space="preserve"> </w:t>
      </w:r>
    </w:p>
    <w:p w14:paraId="04184C71" w14:textId="4511A775" w:rsidR="006D3746" w:rsidRDefault="006D3746" w:rsidP="00AA3D6C">
      <w:pPr>
        <w:rPr>
          <w:rFonts w:asciiTheme="minorHAnsi" w:eastAsia="Times New Roman" w:hAnsiTheme="minorHAnsi" w:cstheme="minorHAnsi"/>
        </w:rPr>
      </w:pPr>
      <w:r w:rsidRPr="007A78C1">
        <w:rPr>
          <w:rFonts w:asciiTheme="minorHAnsi" w:eastAsia="Times New Roman" w:hAnsiTheme="minorHAnsi" w:cstheme="minorHAnsi"/>
        </w:rPr>
        <w:t xml:space="preserve">The commenters highlighted that poultry litter is one of the main causes of LAA </w:t>
      </w:r>
      <w:r w:rsidR="00EA0C16">
        <w:rPr>
          <w:rFonts w:asciiTheme="minorHAnsi" w:eastAsia="Times New Roman" w:hAnsiTheme="minorHAnsi" w:cstheme="minorHAnsi"/>
        </w:rPr>
        <w:t xml:space="preserve">determinations </w:t>
      </w:r>
      <w:r w:rsidRPr="007A78C1">
        <w:rPr>
          <w:rFonts w:asciiTheme="minorHAnsi" w:eastAsia="Times New Roman" w:hAnsiTheme="minorHAnsi" w:cstheme="minorHAnsi"/>
        </w:rPr>
        <w:t xml:space="preserve">in the BEs. </w:t>
      </w:r>
      <w:r w:rsidR="00B0264E" w:rsidRPr="00B0264E">
        <w:rPr>
          <w:rFonts w:asciiTheme="minorHAnsi" w:eastAsia="Times New Roman" w:hAnsiTheme="minorHAnsi" w:cstheme="minorHAnsi"/>
        </w:rPr>
        <w:t>The poultry litter assessment suffers from flaws in the assumed usage footprint as well as</w:t>
      </w:r>
      <w:r w:rsidR="00B0264E">
        <w:rPr>
          <w:rFonts w:asciiTheme="minorHAnsi" w:eastAsia="Times New Roman" w:hAnsiTheme="minorHAnsi" w:cstheme="minorHAnsi"/>
        </w:rPr>
        <w:t xml:space="preserve"> </w:t>
      </w:r>
      <w:r w:rsidR="00B0264E" w:rsidRPr="00B0264E">
        <w:rPr>
          <w:rFonts w:asciiTheme="minorHAnsi" w:eastAsia="Times New Roman" w:hAnsiTheme="minorHAnsi" w:cstheme="minorHAnsi"/>
        </w:rPr>
        <w:t xml:space="preserve">application rate and frequency. Rather than develop a new </w:t>
      </w:r>
      <w:r w:rsidR="00E2098E">
        <w:rPr>
          <w:rFonts w:asciiTheme="minorHAnsi" w:eastAsia="Times New Roman" w:hAnsiTheme="minorHAnsi" w:cstheme="minorHAnsi"/>
        </w:rPr>
        <w:t xml:space="preserve">use data layer </w:t>
      </w:r>
      <w:r w:rsidR="001D3B60">
        <w:rPr>
          <w:rFonts w:asciiTheme="minorHAnsi" w:eastAsia="Times New Roman" w:hAnsiTheme="minorHAnsi" w:cstheme="minorHAnsi"/>
        </w:rPr>
        <w:t>(</w:t>
      </w:r>
      <w:r w:rsidR="00B0264E" w:rsidRPr="00B0264E">
        <w:rPr>
          <w:rFonts w:asciiTheme="minorHAnsi" w:eastAsia="Times New Roman" w:hAnsiTheme="minorHAnsi" w:cstheme="minorHAnsi"/>
        </w:rPr>
        <w:t>UDL</w:t>
      </w:r>
      <w:r w:rsidR="001D3B60">
        <w:rPr>
          <w:rFonts w:asciiTheme="minorHAnsi" w:eastAsia="Times New Roman" w:hAnsiTheme="minorHAnsi" w:cstheme="minorHAnsi"/>
        </w:rPr>
        <w:t>)</w:t>
      </w:r>
      <w:r w:rsidR="00B0264E" w:rsidRPr="00B0264E">
        <w:rPr>
          <w:rFonts w:asciiTheme="minorHAnsi" w:eastAsia="Times New Roman" w:hAnsiTheme="minorHAnsi" w:cstheme="minorHAnsi"/>
        </w:rPr>
        <w:t xml:space="preserve"> for the poultry litter assessment,</w:t>
      </w:r>
      <w:r w:rsidR="00B0264E">
        <w:rPr>
          <w:rFonts w:asciiTheme="minorHAnsi" w:eastAsia="Times New Roman" w:hAnsiTheme="minorHAnsi" w:cstheme="minorHAnsi"/>
        </w:rPr>
        <w:t xml:space="preserve"> </w:t>
      </w:r>
      <w:r w:rsidR="00B0264E" w:rsidRPr="00B0264E">
        <w:rPr>
          <w:rFonts w:asciiTheme="minorHAnsi" w:eastAsia="Times New Roman" w:hAnsiTheme="minorHAnsi" w:cstheme="minorHAnsi"/>
        </w:rPr>
        <w:t>EPA combined existing UDLs. As a result of the breadth of crops in these pre-existing UDLs that are not expected to receive a poultry litter amendment, the spatial footprint of the poultry litter UDL is overestimated. EPA acknowledges the over-estimation associated with inclusion of counties with no-reported data stating, “Counties with no data probably contain developed area and have a lesser chance to have poultry production.” The issues with the spatial footprint of poultry litter assessment are further exacerbated with EPA’s assertion 100% of the defined spatial footprint is treated (</w:t>
      </w:r>
      <w:r w:rsidR="00B0264E" w:rsidRPr="00EA0C16">
        <w:rPr>
          <w:rFonts w:asciiTheme="minorHAnsi" w:eastAsia="Times New Roman" w:hAnsiTheme="minorHAnsi" w:cstheme="minorHAnsi"/>
          <w:i/>
          <w:iCs/>
        </w:rPr>
        <w:t>i.e</w:t>
      </w:r>
      <w:r w:rsidR="00B0264E" w:rsidRPr="00B0264E">
        <w:rPr>
          <w:rFonts w:asciiTheme="minorHAnsi" w:eastAsia="Times New Roman" w:hAnsiTheme="minorHAnsi" w:cstheme="minorHAnsi"/>
        </w:rPr>
        <w:t>., 100% percent crop treated). As a result of this compounding conservatism, the assessment predicts application to a land area in many cases that is unreasonable. It is recommended that EPA develop an independent UDL for the poultry litter assessment which better reflects the possible usage footprint and revises the application estimates considered realistic practices.</w:t>
      </w:r>
      <w:r w:rsidRPr="007A78C1">
        <w:rPr>
          <w:rFonts w:asciiTheme="minorHAnsi" w:eastAsia="Times New Roman" w:hAnsiTheme="minorHAnsi" w:cstheme="minorHAnsi"/>
        </w:rPr>
        <w:t xml:space="preserve"> </w:t>
      </w:r>
    </w:p>
    <w:p w14:paraId="65F1518F" w14:textId="77777777" w:rsidR="007A5460" w:rsidRPr="007A78C1" w:rsidRDefault="007A5460" w:rsidP="00AA3D6C">
      <w:pPr>
        <w:rPr>
          <w:rFonts w:asciiTheme="minorHAnsi" w:eastAsia="Times New Roman" w:hAnsiTheme="minorHAnsi" w:cstheme="minorHAnsi"/>
          <w:i/>
          <w:iCs/>
        </w:rPr>
      </w:pPr>
    </w:p>
    <w:p w14:paraId="34BC22C1" w14:textId="42A4C0E8" w:rsidR="006D3746" w:rsidRPr="00B70333" w:rsidRDefault="006D3746" w:rsidP="00B70333">
      <w:pPr>
        <w:rPr>
          <w:rFonts w:asciiTheme="minorHAnsi" w:hAnsiTheme="minorHAnsi" w:cstheme="minorHAnsi"/>
          <w:i/>
          <w:iCs/>
        </w:rPr>
      </w:pPr>
      <w:r w:rsidRPr="007A78C1">
        <w:rPr>
          <w:rFonts w:asciiTheme="minorHAnsi" w:eastAsia="Times New Roman" w:hAnsiTheme="minorHAnsi" w:cstheme="minorHAnsi"/>
          <w:b/>
          <w:bCs/>
        </w:rPr>
        <w:t xml:space="preserve">EPA </w:t>
      </w:r>
      <w:r w:rsidR="007A5460">
        <w:rPr>
          <w:rFonts w:asciiTheme="minorHAnsi" w:eastAsia="Times New Roman" w:hAnsiTheme="minorHAnsi" w:cstheme="minorHAnsi"/>
          <w:b/>
          <w:bCs/>
        </w:rPr>
        <w:t>R</w:t>
      </w:r>
      <w:r w:rsidRPr="007A78C1">
        <w:rPr>
          <w:rFonts w:asciiTheme="minorHAnsi" w:eastAsia="Times New Roman" w:hAnsiTheme="minorHAnsi" w:cstheme="minorHAnsi"/>
          <w:b/>
          <w:bCs/>
        </w:rPr>
        <w:t>esponse:</w:t>
      </w:r>
      <w:r w:rsidR="007A5460">
        <w:rPr>
          <w:rFonts w:asciiTheme="minorHAnsi" w:eastAsia="Times New Roman" w:hAnsiTheme="minorHAnsi" w:cstheme="minorHAnsi"/>
          <w:b/>
          <w:bCs/>
        </w:rPr>
        <w:t xml:space="preserve"> </w:t>
      </w:r>
      <w:r w:rsidRPr="007A5460">
        <w:rPr>
          <w:rFonts w:asciiTheme="minorHAnsi" w:eastAsia="Times New Roman" w:hAnsiTheme="minorHAnsi" w:cstheme="minorHAnsi"/>
          <w:i/>
          <w:iCs/>
        </w:rPr>
        <w:t>In</w:t>
      </w:r>
      <w:r w:rsidR="008B2705">
        <w:rPr>
          <w:rFonts w:asciiTheme="minorHAnsi" w:eastAsia="Times New Roman" w:hAnsiTheme="minorHAnsi" w:cstheme="minorHAnsi"/>
          <w:i/>
          <w:iCs/>
        </w:rPr>
        <w:t xml:space="preserve"> an</w:t>
      </w:r>
      <w:r w:rsidRPr="007A5460">
        <w:rPr>
          <w:rFonts w:asciiTheme="minorHAnsi" w:eastAsia="Times New Roman" w:hAnsiTheme="minorHAnsi" w:cstheme="minorHAnsi"/>
          <w:i/>
          <w:iCs/>
        </w:rPr>
        <w:t xml:space="preserve"> attempt to refine the spatial footprint, EPA considered the maximum distance traveled for poultry litter to inform the geographic range considered by EPA such that any regional areas of the U</w:t>
      </w:r>
      <w:r w:rsidR="008B2705">
        <w:rPr>
          <w:rFonts w:asciiTheme="minorHAnsi" w:eastAsia="Times New Roman" w:hAnsiTheme="minorHAnsi" w:cstheme="minorHAnsi"/>
          <w:i/>
          <w:iCs/>
        </w:rPr>
        <w:t>.</w:t>
      </w:r>
      <w:r w:rsidRPr="007A5460">
        <w:rPr>
          <w:rFonts w:asciiTheme="minorHAnsi" w:eastAsia="Times New Roman" w:hAnsiTheme="minorHAnsi" w:cstheme="minorHAnsi"/>
          <w:i/>
          <w:iCs/>
        </w:rPr>
        <w:t>S</w:t>
      </w:r>
      <w:r w:rsidR="008B2705">
        <w:rPr>
          <w:rFonts w:asciiTheme="minorHAnsi" w:eastAsia="Times New Roman" w:hAnsiTheme="minorHAnsi" w:cstheme="minorHAnsi"/>
          <w:i/>
          <w:iCs/>
        </w:rPr>
        <w:t>.</w:t>
      </w:r>
      <w:r w:rsidRPr="007A5460">
        <w:rPr>
          <w:rFonts w:asciiTheme="minorHAnsi" w:eastAsia="Times New Roman" w:hAnsiTheme="minorHAnsi" w:cstheme="minorHAnsi"/>
          <w:i/>
          <w:iCs/>
        </w:rPr>
        <w:t xml:space="preserve"> or a percent of the U.S. could be removed from exposure consideration. EPA reviewed the poultry litter practices of the top states for poultry production in the U.S.</w:t>
      </w:r>
      <w:r w:rsidR="008B2705">
        <w:rPr>
          <w:rFonts w:asciiTheme="minorHAnsi" w:eastAsia="Times New Roman" w:hAnsiTheme="minorHAnsi" w:cstheme="minorHAnsi"/>
          <w:i/>
          <w:iCs/>
        </w:rPr>
        <w:t>.</w:t>
      </w:r>
      <w:r w:rsidRPr="007A5460">
        <w:rPr>
          <w:rFonts w:asciiTheme="minorHAnsi" w:eastAsia="Times New Roman" w:hAnsiTheme="minorHAnsi" w:cstheme="minorHAnsi"/>
          <w:i/>
          <w:iCs/>
        </w:rPr>
        <w:t xml:space="preserve"> Poultry operations in the U</w:t>
      </w:r>
      <w:r w:rsidR="008B2705">
        <w:rPr>
          <w:rFonts w:asciiTheme="minorHAnsi" w:eastAsia="Times New Roman" w:hAnsiTheme="minorHAnsi" w:cstheme="minorHAnsi"/>
          <w:i/>
          <w:iCs/>
        </w:rPr>
        <w:t>.</w:t>
      </w:r>
      <w:r w:rsidRPr="007A5460">
        <w:rPr>
          <w:rFonts w:asciiTheme="minorHAnsi" w:eastAsia="Times New Roman" w:hAnsiTheme="minorHAnsi" w:cstheme="minorHAnsi"/>
          <w:i/>
          <w:iCs/>
        </w:rPr>
        <w:t>S</w:t>
      </w:r>
      <w:r w:rsidR="008B2705">
        <w:rPr>
          <w:rFonts w:asciiTheme="minorHAnsi" w:eastAsia="Times New Roman" w:hAnsiTheme="minorHAnsi" w:cstheme="minorHAnsi"/>
          <w:i/>
          <w:iCs/>
        </w:rPr>
        <w:t>.</w:t>
      </w:r>
      <w:r w:rsidRPr="007A5460">
        <w:rPr>
          <w:rFonts w:asciiTheme="minorHAnsi" w:eastAsia="Times New Roman" w:hAnsiTheme="minorHAnsi" w:cstheme="minorHAnsi"/>
          <w:i/>
          <w:iCs/>
        </w:rPr>
        <w:t xml:space="preserve"> are concentrated in AL, AR, DE, FL, GA, KY, MD, MN, MO, MS, NC, OH, OK, PA, SC, TN, TX, VA, WI, and WV, with additional poultry operations in CA, IA, IL, IN, LA, MI, NE, NY, OR, and WA. Overall, there do not appear to </w:t>
      </w:r>
      <w:r w:rsidR="00C7625D">
        <w:rPr>
          <w:rFonts w:asciiTheme="minorHAnsi" w:eastAsia="Times New Roman" w:hAnsiTheme="minorHAnsi" w:cstheme="minorHAnsi"/>
          <w:i/>
          <w:iCs/>
        </w:rPr>
        <w:t xml:space="preserve">be </w:t>
      </w:r>
      <w:r w:rsidRPr="007A5460">
        <w:rPr>
          <w:rFonts w:asciiTheme="minorHAnsi" w:eastAsia="Times New Roman" w:hAnsiTheme="minorHAnsi" w:cstheme="minorHAnsi"/>
          <w:i/>
          <w:iCs/>
        </w:rPr>
        <w:t>any restrictions on moving poultry litter from one state to another. Based on the information EPA found about state incentive programs, poultry litter can move as little as 5 to 10 miles from the originating farm and as far as 100 to 300 miles. Since poultry litter can be moved from state to state and over long distances, EPA cannot exclude the possibility of poultry litter application in any areas of the country. Additionally, even areas without major poultry production may still have smaller poultry operations nearby that may be treating litter with neonicotinoids.</w:t>
      </w:r>
      <w:r w:rsidR="008E244A">
        <w:rPr>
          <w:rFonts w:asciiTheme="minorHAnsi" w:eastAsia="Times New Roman" w:hAnsiTheme="minorHAnsi" w:cstheme="minorHAnsi"/>
          <w:i/>
          <w:iCs/>
        </w:rPr>
        <w:t xml:space="preserve"> </w:t>
      </w:r>
      <w:r w:rsidR="008E244A" w:rsidRPr="0050044C">
        <w:rPr>
          <w:rFonts w:asciiTheme="minorHAnsi" w:hAnsiTheme="minorHAnsi" w:cstheme="minorHAnsi"/>
          <w:i/>
          <w:iCs/>
        </w:rPr>
        <w:t xml:space="preserve">EPA </w:t>
      </w:r>
      <w:r w:rsidR="008E244A">
        <w:rPr>
          <w:rFonts w:asciiTheme="minorHAnsi" w:hAnsiTheme="minorHAnsi" w:cstheme="minorHAnsi"/>
          <w:i/>
          <w:iCs/>
        </w:rPr>
        <w:t xml:space="preserve">acknowledges that the poultry litter UDL is conservative and probably overpredicts the extent to where poultry litter containing neonicotinoid residues may be applied. However, in order to be protective of the listed species, EPA believes this to be a conservative method to identify if an individual of a listed species has been potentially affected. </w:t>
      </w:r>
      <w:r w:rsidR="004D65D6">
        <w:rPr>
          <w:rFonts w:asciiTheme="minorHAnsi" w:hAnsiTheme="minorHAnsi" w:cstheme="minorHAnsi"/>
          <w:i/>
          <w:iCs/>
        </w:rPr>
        <w:t xml:space="preserve">These issues will be further considered during </w:t>
      </w:r>
      <w:r w:rsidR="00D16DF2">
        <w:rPr>
          <w:rFonts w:asciiTheme="minorHAnsi" w:hAnsiTheme="minorHAnsi" w:cstheme="minorHAnsi"/>
          <w:i/>
          <w:iCs/>
        </w:rPr>
        <w:t>consultation with the Services</w:t>
      </w:r>
      <w:r w:rsidR="0010426E">
        <w:rPr>
          <w:rFonts w:asciiTheme="minorHAnsi" w:hAnsiTheme="minorHAnsi" w:cstheme="minorHAnsi"/>
          <w:i/>
          <w:iCs/>
        </w:rPr>
        <w:t xml:space="preserve">, </w:t>
      </w:r>
      <w:r w:rsidR="009C27E8">
        <w:rPr>
          <w:rFonts w:asciiTheme="minorHAnsi" w:hAnsiTheme="minorHAnsi" w:cstheme="minorHAnsi"/>
          <w:i/>
          <w:iCs/>
        </w:rPr>
        <w:t>as</w:t>
      </w:r>
      <w:r w:rsidR="0010426E">
        <w:rPr>
          <w:rFonts w:asciiTheme="minorHAnsi" w:hAnsiTheme="minorHAnsi" w:cstheme="minorHAnsi"/>
          <w:i/>
          <w:iCs/>
        </w:rPr>
        <w:t xml:space="preserve"> relevant</w:t>
      </w:r>
      <w:r w:rsidR="008E244A">
        <w:rPr>
          <w:rFonts w:asciiTheme="minorHAnsi" w:hAnsiTheme="minorHAnsi" w:cstheme="minorHAnsi"/>
          <w:i/>
          <w:iCs/>
        </w:rPr>
        <w:t>.</w:t>
      </w:r>
    </w:p>
    <w:p w14:paraId="308E056E" w14:textId="77777777" w:rsidR="006D3746" w:rsidRPr="00AA3D6C" w:rsidRDefault="006D3746" w:rsidP="00AA3D6C">
      <w:pPr>
        <w:rPr>
          <w:rFonts w:asciiTheme="minorHAnsi" w:hAnsiTheme="minorHAnsi" w:cstheme="minorHAnsi"/>
        </w:rPr>
      </w:pPr>
    </w:p>
    <w:p w14:paraId="53731318" w14:textId="5B9386B4" w:rsidR="006D3746" w:rsidRDefault="008B2705" w:rsidP="00E21CA5">
      <w:pPr>
        <w:pStyle w:val="Heading2"/>
        <w:keepNext/>
        <w:ind w:left="821"/>
      </w:pPr>
      <w:bookmarkStart w:id="37" w:name="_Toc106187576"/>
      <w:r>
        <w:t xml:space="preserve">2.6  </w:t>
      </w:r>
      <w:r w:rsidR="006D3746" w:rsidRPr="00AA3D6C">
        <w:t>Usage Data</w:t>
      </w:r>
      <w:bookmarkEnd w:id="37"/>
    </w:p>
    <w:p w14:paraId="45A3856D" w14:textId="77777777" w:rsidR="008B2705" w:rsidRPr="008B2705" w:rsidRDefault="008B2705" w:rsidP="000247A6"/>
    <w:p w14:paraId="00B05A29" w14:textId="10978287" w:rsidR="006D3746" w:rsidRDefault="00DC3C60" w:rsidP="00C134DD">
      <w:pPr>
        <w:keepNext/>
        <w:rPr>
          <w:rFonts w:asciiTheme="minorHAnsi" w:hAnsiTheme="minorHAnsi" w:cstheme="minorHAnsi"/>
        </w:rPr>
      </w:pPr>
      <w:r>
        <w:rPr>
          <w:rFonts w:asciiTheme="minorHAnsi" w:hAnsiTheme="minorHAnsi" w:cstheme="minorHAnsi"/>
          <w:b/>
          <w:bCs/>
        </w:rPr>
        <w:t>Commenter</w:t>
      </w:r>
      <w:r w:rsidR="006D3746" w:rsidRPr="008B2705">
        <w:rPr>
          <w:rFonts w:asciiTheme="minorHAnsi" w:hAnsiTheme="minorHAnsi" w:cstheme="minorHAnsi"/>
          <w:b/>
          <w:bCs/>
        </w:rPr>
        <w:t xml:space="preserve">: </w:t>
      </w:r>
      <w:r w:rsidR="006D3746" w:rsidRPr="008B2705">
        <w:rPr>
          <w:rFonts w:asciiTheme="minorHAnsi" w:hAnsiTheme="minorHAnsi" w:cstheme="minorHAnsi"/>
        </w:rPr>
        <w:t>Washington State Department of Agriculture (-0328)</w:t>
      </w:r>
    </w:p>
    <w:p w14:paraId="6B09BD13" w14:textId="77777777" w:rsidR="008B2705" w:rsidRPr="008B2705" w:rsidRDefault="008B2705" w:rsidP="00C134DD">
      <w:pPr>
        <w:keepNext/>
        <w:rPr>
          <w:rFonts w:asciiTheme="minorHAnsi" w:hAnsiTheme="minorHAnsi" w:cstheme="minorHAnsi"/>
        </w:rPr>
      </w:pPr>
    </w:p>
    <w:p w14:paraId="087F9397" w14:textId="101A8F77" w:rsidR="006D3746" w:rsidRDefault="006D3746" w:rsidP="00C134DD">
      <w:pPr>
        <w:keepNext/>
        <w:rPr>
          <w:rFonts w:asciiTheme="minorHAnsi" w:eastAsia="Times New Roman" w:hAnsiTheme="minorHAnsi" w:cstheme="minorHAnsi"/>
        </w:rPr>
      </w:pPr>
      <w:r w:rsidRPr="008B2705">
        <w:rPr>
          <w:rFonts w:asciiTheme="minorHAnsi" w:eastAsia="Times New Roman" w:hAnsiTheme="minorHAnsi" w:cstheme="minorHAnsi"/>
          <w:b/>
          <w:bCs/>
        </w:rPr>
        <w:t>Summary of Comment:</w:t>
      </w:r>
      <w:r w:rsidRPr="008B2705">
        <w:rPr>
          <w:rFonts w:asciiTheme="minorHAnsi" w:hAnsiTheme="minorHAnsi" w:cstheme="minorHAnsi"/>
        </w:rPr>
        <w:t xml:space="preserve"> </w:t>
      </w:r>
      <w:r w:rsidRPr="008B2705">
        <w:rPr>
          <w:rFonts w:asciiTheme="minorHAnsi" w:eastAsia="Times New Roman" w:hAnsiTheme="minorHAnsi" w:cstheme="minorHAnsi"/>
        </w:rPr>
        <w:t>Washington State Department of Agriculture (WSDA) provided information on neonicotinoids usage for certain crops during the growing season in Washington State. WSDA recommended</w:t>
      </w:r>
      <w:r w:rsidRPr="00AA3D6C">
        <w:rPr>
          <w:rFonts w:asciiTheme="minorHAnsi" w:eastAsia="Times New Roman" w:hAnsiTheme="minorHAnsi" w:cstheme="minorHAnsi"/>
        </w:rPr>
        <w:t xml:space="preserve"> that pesticide usage estimates be used to help refine risk estimates. WSDA also suggested that their information could be used for identifying opportunities for targeted outreach, education, technical assistance, and monitoring efforts. Further, WSDA recommended that usage data be paired with agricultural land use data and other geospatial data to produce usage intensity maps and other products that can be used for risk assessment purposes including assessing risks to threatened and endangered species.</w:t>
      </w:r>
    </w:p>
    <w:p w14:paraId="03DEA989" w14:textId="77777777" w:rsidR="008B2705" w:rsidRPr="00AA3D6C" w:rsidRDefault="008B2705" w:rsidP="00AA3D6C">
      <w:pPr>
        <w:rPr>
          <w:rFonts w:asciiTheme="minorHAnsi" w:eastAsia="Times New Roman" w:hAnsiTheme="minorHAnsi" w:cstheme="minorHAnsi"/>
        </w:rPr>
      </w:pPr>
    </w:p>
    <w:p w14:paraId="214DC048" w14:textId="470D7015" w:rsidR="006D3746" w:rsidRPr="00AA3D6C" w:rsidRDefault="006D3746" w:rsidP="00AA3D6C">
      <w:pPr>
        <w:rPr>
          <w:rFonts w:asciiTheme="minorHAnsi" w:eastAsia="Times New Roman" w:hAnsiTheme="minorHAnsi" w:cstheme="minorHAnsi"/>
        </w:rPr>
      </w:pPr>
      <w:r w:rsidRPr="008B2705">
        <w:rPr>
          <w:rFonts w:asciiTheme="minorHAnsi" w:eastAsia="Times New Roman" w:hAnsiTheme="minorHAnsi" w:cstheme="minorHAnsi"/>
          <w:b/>
        </w:rPr>
        <w:lastRenderedPageBreak/>
        <w:t>EPA Response:</w:t>
      </w:r>
      <w:r w:rsidRPr="008B2705">
        <w:rPr>
          <w:rFonts w:asciiTheme="minorHAnsi" w:hAnsiTheme="minorHAnsi" w:cstheme="minorHAnsi"/>
        </w:rPr>
        <w:t xml:space="preserve"> </w:t>
      </w:r>
      <w:r w:rsidRPr="000A3F2D">
        <w:rPr>
          <w:rFonts w:asciiTheme="minorHAnsi" w:eastAsia="Times New Roman" w:hAnsiTheme="minorHAnsi" w:cstheme="minorHAnsi"/>
          <w:i/>
          <w:iCs/>
        </w:rPr>
        <w:t>The usage</w:t>
      </w:r>
      <w:bookmarkStart w:id="38" w:name="_Hlk102046679"/>
      <w:r w:rsidRPr="000A3F2D">
        <w:rPr>
          <w:rFonts w:asciiTheme="minorHAnsi" w:eastAsia="Times New Roman" w:hAnsiTheme="minorHAnsi" w:cstheme="minorHAnsi"/>
          <w:i/>
          <w:iCs/>
        </w:rPr>
        <w:t xml:space="preserve"> data</w:t>
      </w:r>
      <w:r w:rsidR="006070A2">
        <w:rPr>
          <w:rFonts w:asciiTheme="minorHAnsi" w:eastAsia="Times New Roman" w:hAnsiTheme="minorHAnsi" w:cstheme="minorHAnsi"/>
          <w:i/>
          <w:iCs/>
        </w:rPr>
        <w:t xml:space="preserve"> for clothianidin, imidacloprid, and thiamethoxam</w:t>
      </w:r>
      <w:r w:rsidRPr="000A3F2D">
        <w:rPr>
          <w:rFonts w:asciiTheme="minorHAnsi" w:eastAsia="Times New Roman" w:hAnsiTheme="minorHAnsi" w:cstheme="minorHAnsi"/>
          <w:i/>
          <w:iCs/>
        </w:rPr>
        <w:t xml:space="preserve"> submitted by WSDA</w:t>
      </w:r>
      <w:r w:rsidR="006969FB">
        <w:rPr>
          <w:rFonts w:asciiTheme="minorHAnsi" w:eastAsia="Times New Roman" w:hAnsiTheme="minorHAnsi" w:cstheme="minorHAnsi"/>
          <w:i/>
          <w:iCs/>
        </w:rPr>
        <w:t xml:space="preserve"> was considered</w:t>
      </w:r>
      <w:r w:rsidR="001F0EC5">
        <w:rPr>
          <w:rFonts w:asciiTheme="minorHAnsi" w:eastAsia="Times New Roman" w:hAnsiTheme="minorHAnsi" w:cstheme="minorHAnsi"/>
          <w:i/>
          <w:iCs/>
        </w:rPr>
        <w:t xml:space="preserve"> and</w:t>
      </w:r>
      <w:r w:rsidR="00C36B81">
        <w:rPr>
          <w:rFonts w:asciiTheme="minorHAnsi" w:eastAsia="Times New Roman" w:hAnsiTheme="minorHAnsi" w:cstheme="minorHAnsi"/>
          <w:i/>
          <w:iCs/>
        </w:rPr>
        <w:t>, as appropriate</w:t>
      </w:r>
      <w:r w:rsidR="00A472C2">
        <w:rPr>
          <w:rFonts w:asciiTheme="minorHAnsi" w:eastAsia="Times New Roman" w:hAnsiTheme="minorHAnsi" w:cstheme="minorHAnsi"/>
          <w:i/>
          <w:iCs/>
        </w:rPr>
        <w:t xml:space="preserve">, </w:t>
      </w:r>
      <w:r w:rsidR="00916A36">
        <w:rPr>
          <w:rFonts w:asciiTheme="minorHAnsi" w:eastAsia="Times New Roman" w:hAnsiTheme="minorHAnsi" w:cstheme="minorHAnsi"/>
          <w:i/>
          <w:iCs/>
        </w:rPr>
        <w:t xml:space="preserve">used to enhance our understanding of </w:t>
      </w:r>
      <w:r w:rsidR="00F31BF3">
        <w:rPr>
          <w:rFonts w:asciiTheme="minorHAnsi" w:eastAsia="Times New Roman" w:hAnsiTheme="minorHAnsi" w:cstheme="minorHAnsi"/>
          <w:i/>
          <w:iCs/>
        </w:rPr>
        <w:t xml:space="preserve">the usage of these </w:t>
      </w:r>
      <w:r w:rsidR="007A49C7">
        <w:rPr>
          <w:rFonts w:asciiTheme="minorHAnsi" w:eastAsia="Times New Roman" w:hAnsiTheme="minorHAnsi" w:cstheme="minorHAnsi"/>
          <w:i/>
          <w:iCs/>
        </w:rPr>
        <w:t xml:space="preserve">active ingredients in Washington state in a </w:t>
      </w:r>
      <w:r w:rsidR="00E44309">
        <w:rPr>
          <w:rFonts w:asciiTheme="minorHAnsi" w:eastAsia="Times New Roman" w:hAnsiTheme="minorHAnsi" w:cstheme="minorHAnsi"/>
          <w:i/>
          <w:iCs/>
        </w:rPr>
        <w:t>qualitative manner</w:t>
      </w:r>
      <w:r w:rsidR="007A49C7">
        <w:rPr>
          <w:rFonts w:asciiTheme="minorHAnsi" w:eastAsia="Times New Roman" w:hAnsiTheme="minorHAnsi" w:cstheme="minorHAnsi"/>
          <w:i/>
          <w:iCs/>
        </w:rPr>
        <w:t xml:space="preserve">. </w:t>
      </w:r>
      <w:r w:rsidR="00E44309">
        <w:rPr>
          <w:rFonts w:asciiTheme="minorHAnsi" w:eastAsia="Times New Roman" w:hAnsiTheme="minorHAnsi" w:cstheme="minorHAnsi"/>
          <w:i/>
          <w:iCs/>
        </w:rPr>
        <w:t>Additionally</w:t>
      </w:r>
      <w:r w:rsidR="00040CDE">
        <w:rPr>
          <w:rFonts w:asciiTheme="minorHAnsi" w:eastAsia="Times New Roman" w:hAnsiTheme="minorHAnsi" w:cstheme="minorHAnsi"/>
          <w:i/>
          <w:iCs/>
        </w:rPr>
        <w:t>, as appropriate</w:t>
      </w:r>
      <w:r w:rsidR="0052461F">
        <w:rPr>
          <w:rFonts w:asciiTheme="minorHAnsi" w:eastAsia="Times New Roman" w:hAnsiTheme="minorHAnsi" w:cstheme="minorHAnsi"/>
          <w:i/>
          <w:iCs/>
        </w:rPr>
        <w:t xml:space="preserve"> and needed</w:t>
      </w:r>
      <w:r w:rsidR="00112C89">
        <w:rPr>
          <w:rFonts w:asciiTheme="minorHAnsi" w:eastAsia="Times New Roman" w:hAnsiTheme="minorHAnsi" w:cstheme="minorHAnsi"/>
          <w:i/>
          <w:iCs/>
        </w:rPr>
        <w:t xml:space="preserve">, EPA will provide relevant </w:t>
      </w:r>
      <w:r w:rsidR="00112C89" w:rsidRPr="001E60EA">
        <w:rPr>
          <w:rFonts w:asciiTheme="minorHAnsi" w:eastAsia="Times New Roman" w:hAnsiTheme="minorHAnsi" w:cstheme="minorHAnsi"/>
          <w:i/>
          <w:iCs/>
        </w:rPr>
        <w:t xml:space="preserve">information </w:t>
      </w:r>
      <w:r w:rsidR="00112C89">
        <w:rPr>
          <w:rFonts w:asciiTheme="minorHAnsi" w:eastAsia="Times New Roman" w:hAnsiTheme="minorHAnsi" w:cstheme="minorHAnsi"/>
          <w:i/>
          <w:iCs/>
        </w:rPr>
        <w:t xml:space="preserve">on usage that is </w:t>
      </w:r>
      <w:r w:rsidR="00112C89" w:rsidRPr="001E60EA">
        <w:rPr>
          <w:rFonts w:asciiTheme="minorHAnsi" w:eastAsia="Times New Roman" w:hAnsiTheme="minorHAnsi" w:cstheme="minorHAnsi"/>
          <w:i/>
          <w:iCs/>
        </w:rPr>
        <w:t xml:space="preserve">included in these comments </w:t>
      </w:r>
      <w:r w:rsidR="00112C89">
        <w:rPr>
          <w:rFonts w:asciiTheme="minorHAnsi" w:eastAsia="Times New Roman" w:hAnsiTheme="minorHAnsi" w:cstheme="minorHAnsi"/>
          <w:i/>
          <w:iCs/>
        </w:rPr>
        <w:t>in its consultations with the Services</w:t>
      </w:r>
      <w:bookmarkEnd w:id="38"/>
      <w:r w:rsidRPr="000A3F2D">
        <w:rPr>
          <w:rFonts w:asciiTheme="minorHAnsi" w:eastAsia="Times New Roman" w:hAnsiTheme="minorHAnsi" w:cstheme="minorHAnsi"/>
          <w:i/>
          <w:iCs/>
        </w:rPr>
        <w:t>.</w:t>
      </w:r>
    </w:p>
    <w:p w14:paraId="3ED64084" w14:textId="77777777" w:rsidR="006D3746" w:rsidRPr="00AA3D6C" w:rsidRDefault="006D3746" w:rsidP="00AA3D6C">
      <w:pPr>
        <w:rPr>
          <w:rFonts w:asciiTheme="minorHAnsi" w:hAnsiTheme="minorHAnsi" w:cstheme="minorHAnsi"/>
          <w:i/>
          <w:iCs/>
        </w:rPr>
      </w:pPr>
    </w:p>
    <w:p w14:paraId="3C75EC8B" w14:textId="38625B25" w:rsidR="006D3746" w:rsidRPr="000A3F2D"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0A3F2D">
        <w:rPr>
          <w:rFonts w:asciiTheme="minorHAnsi" w:eastAsia="Times New Roman" w:hAnsiTheme="minorHAnsi" w:cstheme="minorHAnsi"/>
          <w:b/>
          <w:bCs/>
        </w:rPr>
        <w:t>s:</w:t>
      </w:r>
      <w:r w:rsidR="006D3746" w:rsidRPr="000A3F2D">
        <w:rPr>
          <w:rFonts w:asciiTheme="minorHAnsi" w:eastAsia="Times New Roman" w:hAnsiTheme="minorHAnsi" w:cstheme="minorHAnsi"/>
        </w:rPr>
        <w:t xml:space="preserve"> Bayer US LLC </w:t>
      </w:r>
      <w:r w:rsidR="006D3746" w:rsidRPr="00CB25A6">
        <w:rPr>
          <w:rFonts w:asciiTheme="minorHAnsi" w:eastAsia="Times New Roman" w:hAnsiTheme="minorHAnsi" w:cstheme="minorHAnsi"/>
          <w:i/>
          <w:iCs/>
        </w:rPr>
        <w:t>et al.</w:t>
      </w:r>
      <w:r w:rsidR="006D3746" w:rsidRPr="000A3F2D">
        <w:rPr>
          <w:rFonts w:asciiTheme="minorHAnsi" w:eastAsia="Times New Roman" w:hAnsiTheme="minorHAnsi" w:cstheme="minorHAnsi"/>
        </w:rPr>
        <w:t xml:space="preserve"> (-0049), Florida Fruit and Vegetable Association (FFVA) (-0018), United States Department of Agriculture (USDA) (-0331), Valent U.S.A. LLC (-0051), </w:t>
      </w:r>
      <w:r w:rsidR="006D3746" w:rsidRPr="000A3F2D">
        <w:rPr>
          <w:rFonts w:asciiTheme="minorHAnsi" w:hAnsiTheme="minorHAnsi" w:cstheme="minorHAnsi"/>
        </w:rPr>
        <w:t xml:space="preserve">Western Growers (-0353), </w:t>
      </w:r>
      <w:r w:rsidR="006D3746" w:rsidRPr="000A3F2D">
        <w:rPr>
          <w:rFonts w:asciiTheme="minorHAnsi" w:eastAsia="Times New Roman" w:hAnsiTheme="minorHAnsi" w:cstheme="minorHAnsi"/>
        </w:rPr>
        <w:t>Russell L. Groves (-0019)</w:t>
      </w:r>
    </w:p>
    <w:p w14:paraId="2332BBCD" w14:textId="77777777" w:rsidR="000A3F2D" w:rsidRPr="000A3F2D" w:rsidRDefault="000A3F2D" w:rsidP="00AA3D6C">
      <w:pPr>
        <w:rPr>
          <w:rFonts w:asciiTheme="minorHAnsi" w:hAnsiTheme="minorHAnsi" w:cstheme="minorHAnsi"/>
        </w:rPr>
      </w:pPr>
    </w:p>
    <w:p w14:paraId="130077E6" w14:textId="0864B10A" w:rsidR="006D3746" w:rsidRPr="000A3F2D" w:rsidRDefault="006D3746" w:rsidP="00AA3D6C">
      <w:pPr>
        <w:rPr>
          <w:rFonts w:asciiTheme="minorHAnsi" w:eastAsia="Times New Roman" w:hAnsiTheme="minorHAnsi" w:cstheme="minorHAnsi"/>
        </w:rPr>
      </w:pPr>
      <w:r w:rsidRPr="000A3F2D">
        <w:rPr>
          <w:rFonts w:asciiTheme="minorHAnsi" w:eastAsia="Times New Roman" w:hAnsiTheme="minorHAnsi" w:cstheme="minorHAnsi"/>
          <w:b/>
          <w:bCs/>
        </w:rPr>
        <w:t xml:space="preserve">Summary of </w:t>
      </w:r>
      <w:r w:rsidR="000A3F2D" w:rsidRPr="000A3F2D">
        <w:rPr>
          <w:rFonts w:asciiTheme="minorHAnsi" w:eastAsia="Times New Roman" w:hAnsiTheme="minorHAnsi" w:cstheme="minorHAnsi"/>
          <w:b/>
          <w:bCs/>
        </w:rPr>
        <w:t>C</w:t>
      </w:r>
      <w:r w:rsidRPr="000A3F2D">
        <w:rPr>
          <w:rFonts w:asciiTheme="minorHAnsi" w:eastAsia="Times New Roman" w:hAnsiTheme="minorHAnsi" w:cstheme="minorHAnsi"/>
          <w:b/>
          <w:bCs/>
        </w:rPr>
        <w:t>omment:</w:t>
      </w:r>
      <w:r w:rsidRPr="000A3F2D">
        <w:rPr>
          <w:rFonts w:asciiTheme="minorHAnsi" w:eastAsia="Times New Roman" w:hAnsiTheme="minorHAnsi" w:cstheme="minorHAnsi"/>
        </w:rPr>
        <w:t xml:space="preserve"> Five comments discussed the geographic scale of usage data incorporated in the BEs, which is typically at the state level. </w:t>
      </w:r>
      <w:r w:rsidR="00DC3C60">
        <w:rPr>
          <w:rFonts w:asciiTheme="minorHAnsi" w:eastAsia="Times New Roman" w:hAnsiTheme="minorHAnsi" w:cstheme="minorHAnsi"/>
        </w:rPr>
        <w:t>Commenter</w:t>
      </w:r>
      <w:r w:rsidRPr="000A3F2D">
        <w:rPr>
          <w:rFonts w:asciiTheme="minorHAnsi" w:eastAsia="Times New Roman" w:hAnsiTheme="minorHAnsi" w:cstheme="minorHAnsi"/>
        </w:rPr>
        <w:t xml:space="preserve">s indicated that state-level usage data do not necessarily provide a realistic picture of how pesticides are being applied on the finer geographic scale often associated with species ranges, and that finer scale data is needed to </w:t>
      </w:r>
      <w:r w:rsidRPr="000A3F2D">
        <w:rPr>
          <w:rFonts w:asciiTheme="minorHAnsi" w:hAnsiTheme="minorHAnsi" w:cstheme="minorHAnsi"/>
        </w:rPr>
        <w:t>make a real determination of the actual impacts</w:t>
      </w:r>
      <w:r w:rsidRPr="000A3F2D">
        <w:rPr>
          <w:rFonts w:asciiTheme="minorHAnsi" w:eastAsia="Times New Roman" w:hAnsiTheme="minorHAnsi" w:cstheme="minorHAnsi"/>
        </w:rPr>
        <w:t xml:space="preserve">. Furthermore, several </w:t>
      </w:r>
      <w:r w:rsidR="00DC3C60">
        <w:rPr>
          <w:rFonts w:asciiTheme="minorHAnsi" w:eastAsia="Times New Roman" w:hAnsiTheme="minorHAnsi" w:cstheme="minorHAnsi"/>
        </w:rPr>
        <w:t>commenter</w:t>
      </w:r>
      <w:r w:rsidRPr="000A3F2D">
        <w:rPr>
          <w:rFonts w:asciiTheme="minorHAnsi" w:eastAsia="Times New Roman" w:hAnsiTheme="minorHAnsi" w:cstheme="minorHAnsi"/>
        </w:rPr>
        <w:t xml:space="preserve">s suggested that the assumption that an entire state’s usage occurs within the species range is unrealistic and overly conservative. Several </w:t>
      </w:r>
      <w:r w:rsidR="00DC3C60">
        <w:rPr>
          <w:rFonts w:asciiTheme="minorHAnsi" w:eastAsia="Times New Roman" w:hAnsiTheme="minorHAnsi" w:cstheme="minorHAnsi"/>
        </w:rPr>
        <w:t>commenter</w:t>
      </w:r>
      <w:r w:rsidRPr="000A3F2D">
        <w:rPr>
          <w:rFonts w:asciiTheme="minorHAnsi" w:eastAsia="Times New Roman" w:hAnsiTheme="minorHAnsi" w:cstheme="minorHAnsi"/>
        </w:rPr>
        <w:t xml:space="preserve">s suggested that EPA seek out sub-state level usage data (including county or farm scale data) from existing sources or through cooperation with stakeholders in the grower community to further refine the BE assessments. </w:t>
      </w:r>
    </w:p>
    <w:p w14:paraId="1F27D02C" w14:textId="77777777" w:rsidR="000A3F2D" w:rsidRPr="000A3F2D" w:rsidRDefault="000A3F2D" w:rsidP="00AA3D6C">
      <w:pPr>
        <w:rPr>
          <w:rFonts w:asciiTheme="minorHAnsi" w:eastAsia="Times New Roman" w:hAnsiTheme="minorHAnsi" w:cstheme="minorHAnsi"/>
        </w:rPr>
      </w:pPr>
    </w:p>
    <w:p w14:paraId="14047F82" w14:textId="5EB10909" w:rsidR="006D3746" w:rsidRPr="00FD2CB0" w:rsidRDefault="006D3746" w:rsidP="00AA3D6C">
      <w:pPr>
        <w:rPr>
          <w:rFonts w:asciiTheme="minorHAnsi" w:hAnsiTheme="minorHAnsi" w:cstheme="minorHAnsi"/>
          <w:i/>
          <w:iCs/>
        </w:rPr>
      </w:pPr>
      <w:r w:rsidRPr="000A3F2D">
        <w:rPr>
          <w:rFonts w:asciiTheme="minorHAnsi" w:eastAsia="Times New Roman" w:hAnsiTheme="minorHAnsi" w:cstheme="minorHAnsi"/>
          <w:b/>
          <w:bCs/>
        </w:rPr>
        <w:t xml:space="preserve">EPA </w:t>
      </w:r>
      <w:r w:rsidR="000A3F2D">
        <w:rPr>
          <w:rFonts w:asciiTheme="minorHAnsi" w:eastAsia="Times New Roman" w:hAnsiTheme="minorHAnsi" w:cstheme="minorHAnsi"/>
          <w:b/>
          <w:bCs/>
        </w:rPr>
        <w:t>R</w:t>
      </w:r>
      <w:r w:rsidRPr="000A3F2D">
        <w:rPr>
          <w:rFonts w:asciiTheme="minorHAnsi" w:eastAsia="Times New Roman" w:hAnsiTheme="minorHAnsi" w:cstheme="minorHAnsi"/>
          <w:b/>
          <w:bCs/>
        </w:rPr>
        <w:t>esponse:</w:t>
      </w:r>
      <w:r w:rsidRPr="000A3F2D">
        <w:rPr>
          <w:rFonts w:asciiTheme="minorHAnsi" w:eastAsia="Times New Roman" w:hAnsiTheme="minorHAnsi" w:cstheme="minorHAnsi"/>
        </w:rPr>
        <w:t xml:space="preserve"> </w:t>
      </w:r>
      <w:r w:rsidRPr="00FD2CB0">
        <w:rPr>
          <w:rFonts w:asciiTheme="minorHAnsi" w:hAnsiTheme="minorHAnsi" w:cstheme="minorHAnsi"/>
          <w:i/>
          <w:iCs/>
        </w:rPr>
        <w:t>Many comments on the geographic resolution of usage data used in the BEs have been addressed in other chemical BE RTC documents</w:t>
      </w:r>
      <w:r w:rsidRPr="00FD2CB0">
        <w:rPr>
          <w:rFonts w:asciiTheme="minorHAnsi" w:hAnsiTheme="minorHAnsi" w:cstheme="minorHAnsi"/>
          <w:i/>
          <w:iCs/>
          <w:vertAlign w:val="superscript"/>
        </w:rPr>
        <w:footnoteReference w:id="4"/>
      </w:r>
      <w:r w:rsidRPr="00FD2CB0">
        <w:rPr>
          <w:rFonts w:asciiTheme="minorHAnsi" w:hAnsiTheme="minorHAnsi" w:cstheme="minorHAnsi"/>
          <w:i/>
          <w:iCs/>
        </w:rPr>
        <w:t xml:space="preserve">. EPA agrees that the distribution of pesticide usage on a crop within a state is likely uneven. In addition to pest pressures noted by </w:t>
      </w:r>
      <w:r w:rsidR="00DC3C60">
        <w:rPr>
          <w:rFonts w:asciiTheme="minorHAnsi" w:hAnsiTheme="minorHAnsi" w:cstheme="minorHAnsi"/>
          <w:i/>
          <w:iCs/>
        </w:rPr>
        <w:t>commenter</w:t>
      </w:r>
      <w:r w:rsidRPr="00FD2CB0">
        <w:rPr>
          <w:rFonts w:asciiTheme="minorHAnsi" w:hAnsiTheme="minorHAnsi" w:cstheme="minorHAnsi"/>
          <w:i/>
          <w:iCs/>
        </w:rPr>
        <w:t>s, this occurs simply as a result of the pest management decisions made by different growers/applicators, including selection of alternative pesticide(s) or other pest management decisions, that are based on factors beyond pest pressure. The Agency also acknowledges the difficulty of reconciling usage data at a state, regional, or national level with species ranges, which while uncertain, are often provided at the sub-state level, and agrees with Dr. Grove’s assertion that “to address the difference in scale, several assumptions will need to be made with respect to where pesticide-treated acres could co-occur relative to a species’ habitat (</w:t>
      </w:r>
      <w:r w:rsidRPr="00F82061">
        <w:rPr>
          <w:rFonts w:asciiTheme="minorHAnsi" w:hAnsiTheme="minorHAnsi" w:cstheme="minorHAnsi"/>
        </w:rPr>
        <w:t>e.g.,</w:t>
      </w:r>
      <w:r w:rsidRPr="00FD2CB0">
        <w:rPr>
          <w:rFonts w:asciiTheme="minorHAnsi" w:hAnsiTheme="minorHAnsi" w:cstheme="minorHAnsi"/>
          <w:i/>
          <w:iCs/>
        </w:rPr>
        <w:t xml:space="preserve"> all treated acres occur within the habitat, evenly dispersed throughout the state, or primarily outside of a species habitat).” EPA would also like to note that utilizing state level usage data in step 2, in addition to the</w:t>
      </w:r>
      <w:r w:rsidRPr="00FD2CB0" w:rsidDel="00CF4183">
        <w:rPr>
          <w:rFonts w:asciiTheme="minorHAnsi" w:hAnsiTheme="minorHAnsi" w:cstheme="minorHAnsi"/>
          <w:i/>
          <w:iCs/>
        </w:rPr>
        <w:t xml:space="preserve"> </w:t>
      </w:r>
      <w:r w:rsidRPr="00FD2CB0">
        <w:rPr>
          <w:rFonts w:asciiTheme="minorHAnsi" w:hAnsiTheme="minorHAnsi" w:cstheme="minorHAnsi"/>
          <w:i/>
          <w:iCs/>
        </w:rPr>
        <w:t>maximum labeled parameters in step 1, presents a significant refinement to risk assessments, while still being protective.</w:t>
      </w:r>
    </w:p>
    <w:p w14:paraId="6A9746F9" w14:textId="77777777" w:rsidR="00FD2CB0" w:rsidRPr="00FD2CB0" w:rsidRDefault="00FD2CB0" w:rsidP="00AA3D6C">
      <w:pPr>
        <w:rPr>
          <w:rFonts w:asciiTheme="minorHAnsi" w:hAnsiTheme="minorHAnsi" w:cstheme="minorHAnsi"/>
          <w:i/>
          <w:iCs/>
        </w:rPr>
      </w:pPr>
    </w:p>
    <w:p w14:paraId="0B9C669C" w14:textId="222762A3" w:rsidR="006D3746" w:rsidRDefault="006D3746" w:rsidP="00AA3D6C">
      <w:pPr>
        <w:rPr>
          <w:rFonts w:asciiTheme="minorHAnsi" w:hAnsiTheme="minorHAnsi" w:cstheme="minorHAnsi"/>
          <w:i/>
          <w:iCs/>
        </w:rPr>
      </w:pPr>
      <w:r w:rsidRPr="00FD2CB0">
        <w:rPr>
          <w:rFonts w:asciiTheme="minorHAnsi" w:hAnsiTheme="minorHAnsi" w:cstheme="minorHAnsi"/>
          <w:i/>
          <w:iCs/>
        </w:rPr>
        <w:t>One way EPA has sought to reconcile these different spatial scales is through use of UDLs and Census of Agriculture data. To the extent possible, methods that utilize the available usage data in a scientifically defensible way are being applied. For example, the usage on a crop is mapped to the UDL, which is where the crops within the UDL were grown within the state based on geospatial data. Additionally, as described in the Revised Method</w:t>
      </w:r>
      <w:r w:rsidRPr="00FD2CB0">
        <w:rPr>
          <w:rStyle w:val="FootnoteReference"/>
          <w:rFonts w:asciiTheme="minorHAnsi" w:hAnsiTheme="minorHAnsi" w:cstheme="minorHAnsi"/>
          <w:i/>
          <w:iCs/>
        </w:rPr>
        <w:footnoteReference w:id="5"/>
      </w:r>
      <w:r w:rsidRPr="00FD2CB0">
        <w:rPr>
          <w:rFonts w:asciiTheme="minorHAnsi" w:hAnsiTheme="minorHAnsi" w:cstheme="minorHAnsi"/>
          <w:i/>
          <w:iCs/>
        </w:rPr>
        <w:t xml:space="preserve">, the Census of Agriculture is used to identify counties where no registered crops occur for a given UDL. To do this, all crops found in each UDL are linked to the Census of Agriculture and the number of registered crops found in each county identified. As part of the spatial analysis, the overlap is removed for counties with no registered crops prior to the use as an input for the MAGtool. If a single registered crop occurs in the county the overlap remains unaltered. When </w:t>
      </w:r>
      <w:r w:rsidRPr="00FD2CB0">
        <w:rPr>
          <w:rFonts w:asciiTheme="minorHAnsi" w:hAnsiTheme="minorHAnsi" w:cstheme="minorHAnsi"/>
          <w:i/>
          <w:iCs/>
        </w:rPr>
        <w:lastRenderedPageBreak/>
        <w:t xml:space="preserve">conducting the Step 2 spatial analysis, UDLs are limited to just those counties where registered crops for each UDL occur. </w:t>
      </w:r>
    </w:p>
    <w:p w14:paraId="33E7576B" w14:textId="77777777" w:rsidR="00F82061" w:rsidRPr="00FD2CB0" w:rsidRDefault="00F82061" w:rsidP="00AA3D6C">
      <w:pPr>
        <w:rPr>
          <w:rFonts w:asciiTheme="minorHAnsi" w:hAnsiTheme="minorHAnsi" w:cstheme="minorHAnsi"/>
          <w:i/>
          <w:iCs/>
        </w:rPr>
      </w:pPr>
    </w:p>
    <w:p w14:paraId="0A1933FC" w14:textId="2F15312F" w:rsidR="006D3746" w:rsidRDefault="006D3746" w:rsidP="00AA3D6C">
      <w:pPr>
        <w:rPr>
          <w:rFonts w:asciiTheme="minorHAnsi" w:hAnsiTheme="minorHAnsi" w:cstheme="minorHAnsi"/>
          <w:i/>
          <w:iCs/>
        </w:rPr>
      </w:pPr>
      <w:r w:rsidRPr="00FD2CB0">
        <w:rPr>
          <w:rFonts w:asciiTheme="minorHAnsi" w:hAnsiTheme="minorHAnsi" w:cstheme="minorHAnsi"/>
          <w:i/>
          <w:iCs/>
        </w:rPr>
        <w:t xml:space="preserve">Refining </w:t>
      </w:r>
      <w:r w:rsidR="00EB761C">
        <w:rPr>
          <w:rFonts w:asciiTheme="minorHAnsi" w:hAnsiTheme="minorHAnsi" w:cstheme="minorHAnsi"/>
          <w:i/>
          <w:iCs/>
        </w:rPr>
        <w:t>b</w:t>
      </w:r>
      <w:r w:rsidRPr="00FD2CB0">
        <w:rPr>
          <w:rFonts w:asciiTheme="minorHAnsi" w:hAnsiTheme="minorHAnsi" w:cstheme="minorHAnsi"/>
          <w:i/>
          <w:iCs/>
        </w:rPr>
        <w:t xml:space="preserve">iological </w:t>
      </w:r>
      <w:r w:rsidR="00EB761C">
        <w:rPr>
          <w:rFonts w:asciiTheme="minorHAnsi" w:hAnsiTheme="minorHAnsi" w:cstheme="minorHAnsi"/>
          <w:i/>
          <w:iCs/>
        </w:rPr>
        <w:t>e</w:t>
      </w:r>
      <w:r w:rsidRPr="00FD2CB0">
        <w:rPr>
          <w:rFonts w:asciiTheme="minorHAnsi" w:hAnsiTheme="minorHAnsi" w:cstheme="minorHAnsi"/>
          <w:i/>
          <w:iCs/>
        </w:rPr>
        <w:t xml:space="preserve">valuations to incorporate the location of pesticide usage for a crop at the “sub-state level,” is more complicated than simply understanding the location and number of acres of crops grown within a state and the fraction of those acres that are treated with an active ingredient based on historical pest pressure. The availability of reliable and spatially refined historical pesticide usage estimates is only one of two primary </w:t>
      </w:r>
      <w:r w:rsidR="00971BD8">
        <w:rPr>
          <w:rFonts w:asciiTheme="minorHAnsi" w:hAnsiTheme="minorHAnsi" w:cstheme="minorHAnsi"/>
          <w:i/>
          <w:iCs/>
        </w:rPr>
        <w:t>considerations</w:t>
      </w:r>
      <w:r w:rsidRPr="00FD2CB0">
        <w:rPr>
          <w:rFonts w:asciiTheme="minorHAnsi" w:hAnsiTheme="minorHAnsi" w:cstheme="minorHAnsi"/>
          <w:i/>
          <w:iCs/>
        </w:rPr>
        <w:t xml:space="preserve"> for implementation of a more refined probabilistic methodology for allocation of pesticide usage at the sub-state level. The other </w:t>
      </w:r>
      <w:r w:rsidR="00164E43">
        <w:rPr>
          <w:rFonts w:asciiTheme="minorHAnsi" w:hAnsiTheme="minorHAnsi" w:cstheme="minorHAnsi"/>
          <w:i/>
          <w:iCs/>
        </w:rPr>
        <w:t>consideration</w:t>
      </w:r>
      <w:r w:rsidRPr="00FD2CB0">
        <w:rPr>
          <w:rFonts w:asciiTheme="minorHAnsi" w:hAnsiTheme="minorHAnsi" w:cstheme="minorHAnsi"/>
          <w:i/>
          <w:iCs/>
        </w:rPr>
        <w:t xml:space="preserve"> is the ability of historical usage data to adequately estimate future usage at the sub-state level. One major concern with county-level usage estimates is the impact that individual growers’ decisions in the future will have on the usage for that county. Data from the USDA NASS 2017 Census of Agriculture indicate that for many of the crops surveyed by </w:t>
      </w:r>
      <w:proofErr w:type="spellStart"/>
      <w:r w:rsidRPr="00FD2CB0">
        <w:rPr>
          <w:rFonts w:asciiTheme="minorHAnsi" w:hAnsiTheme="minorHAnsi" w:cstheme="minorHAnsi"/>
          <w:i/>
          <w:iCs/>
        </w:rPr>
        <w:t>Kynetec</w:t>
      </w:r>
      <w:proofErr w:type="spellEnd"/>
      <w:r w:rsidRPr="00FD2CB0">
        <w:rPr>
          <w:rFonts w:asciiTheme="minorHAnsi" w:hAnsiTheme="minorHAnsi" w:cstheme="minorHAnsi"/>
          <w:i/>
          <w:iCs/>
        </w:rPr>
        <w:t xml:space="preserve"> and NASS, the number of operations growing the commodity within individual counties is often quite small.</w:t>
      </w:r>
    </w:p>
    <w:p w14:paraId="327B0784" w14:textId="77777777" w:rsidR="00F82061" w:rsidRPr="00FD2CB0" w:rsidRDefault="00F82061" w:rsidP="00AA3D6C">
      <w:pPr>
        <w:rPr>
          <w:rFonts w:asciiTheme="minorHAnsi" w:hAnsiTheme="minorHAnsi" w:cstheme="minorHAnsi"/>
          <w:i/>
          <w:iCs/>
        </w:rPr>
      </w:pPr>
    </w:p>
    <w:p w14:paraId="03EBFEB3" w14:textId="77777777" w:rsidR="006D3746" w:rsidRPr="00FD2CB0" w:rsidRDefault="006D3746" w:rsidP="00AA3D6C">
      <w:pPr>
        <w:rPr>
          <w:rFonts w:asciiTheme="minorHAnsi" w:hAnsiTheme="minorHAnsi" w:cstheme="minorHAnsi"/>
          <w:i/>
          <w:iCs/>
        </w:rPr>
      </w:pPr>
      <w:r w:rsidRPr="00FD2CB0">
        <w:rPr>
          <w:rFonts w:asciiTheme="minorHAnsi" w:hAnsiTheme="minorHAnsi" w:cstheme="minorHAnsi"/>
          <w:i/>
          <w:iCs/>
        </w:rPr>
        <w:t xml:space="preserve">While a small number of operations does not affect usage statistics for mandatory reporting programs and can be accounted for in the statistical design of surveys of grower usage to ensure reliable estimates of historical usage, the utility of those data for predicting future applications is limited because the choice of a single individual to use or not use a pesticide in the future has a large impact of the accuracy of the predicted usage. Therefore, while data and/or methods may be available to estimate historical usage at the county-level, the reliability of those data for estimating future usage at the county-level require further validation before they can be incorporated into assessments. If sub-state sources are identified that are deemed reliable for estimating historical usage, EPA will need to evaluate the ability of those sub-state estimates of historical usage to estimate future usage and the extent to which they could potentially replace models relying on the existing state-level usage estimates. </w:t>
      </w:r>
    </w:p>
    <w:p w14:paraId="0F96DCB1" w14:textId="77777777" w:rsidR="006D3746" w:rsidRPr="00AA3D6C" w:rsidRDefault="006D3746" w:rsidP="00AA3D6C">
      <w:pPr>
        <w:rPr>
          <w:rFonts w:asciiTheme="minorHAnsi" w:eastAsia="Times New Roman" w:hAnsiTheme="minorHAnsi" w:cstheme="minorHAnsi"/>
          <w:b/>
          <w:bCs/>
          <w:u w:val="single"/>
        </w:rPr>
      </w:pPr>
    </w:p>
    <w:p w14:paraId="299D269A" w14:textId="7C1945E7" w:rsidR="006D3746" w:rsidRDefault="00DC3C60" w:rsidP="00AA3D6C">
      <w:pPr>
        <w:rPr>
          <w:rFonts w:asciiTheme="minorHAnsi" w:eastAsia="Times New Roman" w:hAnsiTheme="minorHAnsi" w:cstheme="minorHAnsi"/>
        </w:rPr>
      </w:pPr>
      <w:r>
        <w:rPr>
          <w:rFonts w:asciiTheme="minorHAnsi" w:eastAsia="Times New Roman" w:hAnsiTheme="minorHAnsi" w:cstheme="minorHAnsi"/>
          <w:b/>
          <w:bCs/>
        </w:rPr>
        <w:t>Commenter</w:t>
      </w:r>
      <w:r w:rsidR="006D3746" w:rsidRPr="00F82061">
        <w:rPr>
          <w:rFonts w:asciiTheme="minorHAnsi" w:eastAsia="Times New Roman" w:hAnsiTheme="minorHAnsi" w:cstheme="minorHAnsi"/>
          <w:b/>
          <w:bCs/>
        </w:rPr>
        <w:t>s:</w:t>
      </w:r>
      <w:r w:rsidR="006D3746" w:rsidRPr="00F82061">
        <w:rPr>
          <w:rFonts w:asciiTheme="minorHAnsi" w:eastAsia="Times New Roman" w:hAnsiTheme="minorHAnsi" w:cstheme="minorHAnsi"/>
        </w:rPr>
        <w:t xml:space="preserve"> American Soybean Association (ASA) (-0341),</w:t>
      </w:r>
      <w:r w:rsidR="006D3746" w:rsidRPr="00F82061">
        <w:rPr>
          <w:rFonts w:asciiTheme="minorHAnsi" w:hAnsiTheme="minorHAnsi" w:cstheme="minorHAnsi"/>
        </w:rPr>
        <w:t xml:space="preserve"> Bayer US LLC et al. (-0049), </w:t>
      </w:r>
      <w:r w:rsidR="006D3746" w:rsidRPr="00F82061">
        <w:rPr>
          <w:rFonts w:asciiTheme="minorHAnsi" w:eastAsia="Times New Roman" w:hAnsiTheme="minorHAnsi" w:cstheme="minorHAnsi"/>
        </w:rPr>
        <w:t>Florida Fruit and Vegetable Association (FFVA) (-0018), National Potato Council (NPC) (-0056), United States Department of Agriculture (USDA) (-0331), Valent U.S.A. LLC (-0051), and Russell L. Groves (-0019)</w:t>
      </w:r>
    </w:p>
    <w:p w14:paraId="7B3C959C" w14:textId="77777777" w:rsidR="00F82061" w:rsidRPr="00F82061" w:rsidRDefault="00F82061" w:rsidP="00AA3D6C">
      <w:pPr>
        <w:rPr>
          <w:rFonts w:asciiTheme="minorHAnsi" w:hAnsiTheme="minorHAnsi" w:cstheme="minorHAnsi"/>
        </w:rPr>
      </w:pPr>
    </w:p>
    <w:p w14:paraId="0CDEB38C" w14:textId="3D2A94F9" w:rsidR="006D3746" w:rsidRDefault="006D3746" w:rsidP="00AA3D6C">
      <w:pPr>
        <w:rPr>
          <w:rFonts w:asciiTheme="minorHAnsi" w:hAnsiTheme="minorHAnsi" w:cstheme="minorHAnsi"/>
        </w:rPr>
      </w:pPr>
      <w:r w:rsidRPr="00F82061">
        <w:rPr>
          <w:rFonts w:asciiTheme="minorHAnsi" w:eastAsia="Times New Roman" w:hAnsiTheme="minorHAnsi" w:cstheme="minorHAnsi"/>
          <w:b/>
          <w:bCs/>
        </w:rPr>
        <w:t xml:space="preserve">Summary of </w:t>
      </w:r>
      <w:r w:rsidR="00F82061">
        <w:rPr>
          <w:rFonts w:asciiTheme="minorHAnsi" w:eastAsia="Times New Roman" w:hAnsiTheme="minorHAnsi" w:cstheme="minorHAnsi"/>
          <w:b/>
          <w:bCs/>
        </w:rPr>
        <w:t>C</w:t>
      </w:r>
      <w:r w:rsidRPr="00F82061">
        <w:rPr>
          <w:rFonts w:asciiTheme="minorHAnsi" w:eastAsia="Times New Roman" w:hAnsiTheme="minorHAnsi" w:cstheme="minorHAnsi"/>
          <w:b/>
          <w:bCs/>
        </w:rPr>
        <w:t xml:space="preserve">omment: </w:t>
      </w:r>
      <w:r w:rsidRPr="00F82061">
        <w:rPr>
          <w:rFonts w:asciiTheme="minorHAnsi" w:eastAsia="Times New Roman" w:hAnsiTheme="minorHAnsi" w:cstheme="minorHAnsi"/>
        </w:rPr>
        <w:t xml:space="preserve">Several individuals commented on the manner in which use and usage data were incorporated into the BEs, including questions about the use of maximum label rates and high exposure application methods in the determination of the action area (step 1) leading to overly conservative assumptions. </w:t>
      </w:r>
      <w:r w:rsidR="00DC3C60">
        <w:rPr>
          <w:rFonts w:asciiTheme="minorHAnsi" w:eastAsia="Times New Roman" w:hAnsiTheme="minorHAnsi" w:cstheme="minorHAnsi"/>
        </w:rPr>
        <w:t>Commenter</w:t>
      </w:r>
      <w:r w:rsidRPr="00F82061">
        <w:rPr>
          <w:rFonts w:asciiTheme="minorHAnsi" w:eastAsia="Times New Roman" w:hAnsiTheme="minorHAnsi" w:cstheme="minorHAnsi"/>
        </w:rPr>
        <w:t xml:space="preserve">s indicated that lower application rates and lower exposure application methods are often far more common in practice than the higher risk parameters incorporated in the BEs. </w:t>
      </w:r>
      <w:r w:rsidR="00DC3C60">
        <w:rPr>
          <w:rFonts w:asciiTheme="minorHAnsi" w:eastAsia="Times New Roman" w:hAnsiTheme="minorHAnsi" w:cstheme="minorHAnsi"/>
        </w:rPr>
        <w:t>Commenter</w:t>
      </w:r>
      <w:r w:rsidRPr="00F82061">
        <w:rPr>
          <w:rFonts w:asciiTheme="minorHAnsi" w:eastAsia="Times New Roman" w:hAnsiTheme="minorHAnsi" w:cstheme="minorHAnsi"/>
        </w:rPr>
        <w:t xml:space="preserve">s asked that “both EPA and the services” utilize real world usage data in their assessments of the biological impacts of application. Several </w:t>
      </w:r>
      <w:r w:rsidR="00DC3C60">
        <w:rPr>
          <w:rFonts w:asciiTheme="minorHAnsi" w:eastAsia="Times New Roman" w:hAnsiTheme="minorHAnsi" w:cstheme="minorHAnsi"/>
        </w:rPr>
        <w:t>commenter</w:t>
      </w:r>
      <w:r w:rsidRPr="00F82061">
        <w:rPr>
          <w:rFonts w:asciiTheme="minorHAnsi" w:eastAsia="Times New Roman" w:hAnsiTheme="minorHAnsi" w:cstheme="minorHAnsi"/>
        </w:rPr>
        <w:t xml:space="preserve">s provided information from a variety of sources (including </w:t>
      </w:r>
      <w:proofErr w:type="spellStart"/>
      <w:r w:rsidRPr="00F82061">
        <w:rPr>
          <w:rFonts w:asciiTheme="minorHAnsi" w:hAnsiTheme="minorHAnsi" w:cstheme="minorHAnsi"/>
        </w:rPr>
        <w:t>Kynetec</w:t>
      </w:r>
      <w:proofErr w:type="spellEnd"/>
      <w:r w:rsidRPr="00F82061">
        <w:rPr>
          <w:rFonts w:asciiTheme="minorHAnsi" w:hAnsiTheme="minorHAnsi" w:cstheme="minorHAnsi"/>
        </w:rPr>
        <w:t xml:space="preserve"> </w:t>
      </w:r>
      <w:proofErr w:type="spellStart"/>
      <w:r w:rsidRPr="00F82061">
        <w:rPr>
          <w:rFonts w:asciiTheme="minorHAnsi" w:hAnsiTheme="minorHAnsi" w:cstheme="minorHAnsi"/>
        </w:rPr>
        <w:t>AgroTrak</w:t>
      </w:r>
      <w:proofErr w:type="spellEnd"/>
      <w:r w:rsidRPr="00F82061">
        <w:rPr>
          <w:rFonts w:asciiTheme="minorHAnsi" w:hAnsiTheme="minorHAnsi" w:cstheme="minorHAnsi"/>
        </w:rPr>
        <w:t xml:space="preserve">, NASS </w:t>
      </w:r>
      <w:proofErr w:type="spellStart"/>
      <w:r w:rsidRPr="00F82061">
        <w:rPr>
          <w:rFonts w:asciiTheme="minorHAnsi" w:hAnsiTheme="minorHAnsi" w:cstheme="minorHAnsi"/>
        </w:rPr>
        <w:t>QuickStats</w:t>
      </w:r>
      <w:proofErr w:type="spellEnd"/>
      <w:r w:rsidRPr="00F82061">
        <w:rPr>
          <w:rFonts w:asciiTheme="minorHAnsi" w:hAnsiTheme="minorHAnsi" w:cstheme="minorHAnsi"/>
        </w:rPr>
        <w:t>, and more anecdotal grower information)</w:t>
      </w:r>
      <w:r w:rsidRPr="00F82061">
        <w:rPr>
          <w:rFonts w:asciiTheme="minorHAnsi" w:eastAsia="Times New Roman" w:hAnsiTheme="minorHAnsi" w:cstheme="minorHAnsi"/>
        </w:rPr>
        <w:t xml:space="preserve"> on how neonicotinoids are “typically” applied</w:t>
      </w:r>
      <w:r w:rsidRPr="00F82061">
        <w:rPr>
          <w:rFonts w:asciiTheme="minorHAnsi" w:hAnsiTheme="minorHAnsi" w:cstheme="minorHAnsi"/>
        </w:rPr>
        <w:t>.</w:t>
      </w:r>
    </w:p>
    <w:p w14:paraId="4241F13A" w14:textId="77777777" w:rsidR="00F82061" w:rsidRPr="00F82061" w:rsidRDefault="00F82061" w:rsidP="00AA3D6C">
      <w:pPr>
        <w:rPr>
          <w:rFonts w:asciiTheme="minorHAnsi" w:hAnsiTheme="minorHAnsi" w:cstheme="minorHAnsi"/>
        </w:rPr>
      </w:pPr>
    </w:p>
    <w:p w14:paraId="569AADEB" w14:textId="598F428D" w:rsidR="006D3746" w:rsidRDefault="006D3746" w:rsidP="00AA3D6C">
      <w:pPr>
        <w:rPr>
          <w:rFonts w:asciiTheme="minorHAnsi" w:hAnsiTheme="minorHAnsi" w:cstheme="minorHAnsi"/>
          <w:i/>
          <w:iCs/>
        </w:rPr>
      </w:pPr>
      <w:r w:rsidRPr="00F82061">
        <w:rPr>
          <w:rFonts w:asciiTheme="minorHAnsi" w:eastAsia="Times New Roman" w:hAnsiTheme="minorHAnsi" w:cstheme="minorHAnsi"/>
          <w:b/>
          <w:bCs/>
        </w:rPr>
        <w:t xml:space="preserve">EPA </w:t>
      </w:r>
      <w:r w:rsidR="00F82061">
        <w:rPr>
          <w:rFonts w:asciiTheme="minorHAnsi" w:eastAsia="Times New Roman" w:hAnsiTheme="minorHAnsi" w:cstheme="minorHAnsi"/>
          <w:b/>
          <w:bCs/>
        </w:rPr>
        <w:t>R</w:t>
      </w:r>
      <w:r w:rsidRPr="00F82061">
        <w:rPr>
          <w:rFonts w:asciiTheme="minorHAnsi" w:eastAsia="Times New Roman" w:hAnsiTheme="minorHAnsi" w:cstheme="minorHAnsi"/>
          <w:b/>
          <w:bCs/>
        </w:rPr>
        <w:t xml:space="preserve">esponse: </w:t>
      </w:r>
      <w:r w:rsidRPr="00F82061">
        <w:rPr>
          <w:rFonts w:asciiTheme="minorHAnsi" w:hAnsiTheme="minorHAnsi" w:cstheme="minorHAnsi"/>
          <w:i/>
          <w:iCs/>
        </w:rPr>
        <w:t>Many comments on the incorporation of use data in step 1 and usage data in step 2 of the BEs have been addressed in other chemical BE RTC documents</w:t>
      </w:r>
      <w:r w:rsidRPr="00F82061">
        <w:rPr>
          <w:rFonts w:asciiTheme="minorHAnsi" w:hAnsiTheme="minorHAnsi" w:cstheme="minorHAnsi"/>
          <w:i/>
          <w:iCs/>
          <w:vertAlign w:val="superscript"/>
        </w:rPr>
        <w:footnoteReference w:id="6"/>
      </w:r>
      <w:r w:rsidRPr="00F82061">
        <w:rPr>
          <w:rFonts w:asciiTheme="minorHAnsi" w:hAnsiTheme="minorHAnsi" w:cstheme="minorHAnsi"/>
          <w:i/>
          <w:iCs/>
        </w:rPr>
        <w:t xml:space="preserve">. The Agency agrees that neonicotinoid applications are made using a variety of methods including foliar, soil, and seed treatment and that the maximum label rate is a conservative assumption. However, some growers may apply at the maximum application rate with higher exposure application methods. Therefore, the Agency assesses risks using these parameters in the determination of the action area (step 1) to be protective. Average </w:t>
      </w:r>
      <w:r w:rsidRPr="00F82061">
        <w:rPr>
          <w:rFonts w:asciiTheme="minorHAnsi" w:hAnsiTheme="minorHAnsi" w:cstheme="minorHAnsi"/>
          <w:i/>
          <w:iCs/>
        </w:rPr>
        <w:lastRenderedPageBreak/>
        <w:t>usage rates and other application methods are also incorporated into the BEs in step 2 to inform the likelihood of potential risk. EPA decided that data on pesticide usage represent critical information for determining whether an individual of a listed species is likely to be exposed and adversely impacted, which is the goal of Step 2. EPA also decided that the data on pesticide usage is the best available data with which to forecast future use. The alternative assumption is that all potential use sites are treated simultaneously, which is not realistic or representative of what occurs in the field. Incorporation of usage data in Step 2 allows the EPA to use “real world” data to determine whether a pesticide is LAA or NLAA</w:t>
      </w:r>
      <w:r w:rsidRPr="00F82061" w:rsidDel="008579B5">
        <w:rPr>
          <w:rFonts w:asciiTheme="minorHAnsi" w:hAnsiTheme="minorHAnsi" w:cstheme="minorHAnsi"/>
          <w:i/>
          <w:iCs/>
        </w:rPr>
        <w:t xml:space="preserve"> </w:t>
      </w:r>
      <w:r w:rsidR="00164E43">
        <w:rPr>
          <w:rFonts w:asciiTheme="minorHAnsi" w:hAnsiTheme="minorHAnsi" w:cstheme="minorHAnsi"/>
          <w:i/>
          <w:iCs/>
        </w:rPr>
        <w:t>for a listed species or its critical habitat,</w:t>
      </w:r>
      <w:r w:rsidRPr="00F82061">
        <w:rPr>
          <w:rFonts w:asciiTheme="minorHAnsi" w:hAnsiTheme="minorHAnsi" w:cstheme="minorHAnsi"/>
          <w:i/>
          <w:iCs/>
        </w:rPr>
        <w:t xml:space="preserve"> and if LAA, which uses are of greatest concern. EPA decided that </w:t>
      </w:r>
      <w:r w:rsidR="00E92EF9">
        <w:rPr>
          <w:rFonts w:asciiTheme="minorHAnsi" w:hAnsiTheme="minorHAnsi" w:cstheme="minorHAnsi"/>
          <w:i/>
          <w:iCs/>
        </w:rPr>
        <w:t xml:space="preserve">use of </w:t>
      </w:r>
      <w:r w:rsidRPr="00F82061">
        <w:rPr>
          <w:rFonts w:asciiTheme="minorHAnsi" w:hAnsiTheme="minorHAnsi" w:cstheme="minorHAnsi"/>
          <w:i/>
          <w:iCs/>
        </w:rPr>
        <w:t xml:space="preserve">available usage data </w:t>
      </w:r>
      <w:r w:rsidR="00E92EF9">
        <w:rPr>
          <w:rFonts w:asciiTheme="minorHAnsi" w:hAnsiTheme="minorHAnsi" w:cstheme="minorHAnsi"/>
          <w:i/>
          <w:iCs/>
        </w:rPr>
        <w:t xml:space="preserve">as </w:t>
      </w:r>
      <w:r w:rsidRPr="00F82061">
        <w:rPr>
          <w:rFonts w:asciiTheme="minorHAnsi" w:hAnsiTheme="minorHAnsi" w:cstheme="minorHAnsi"/>
          <w:i/>
          <w:iCs/>
        </w:rPr>
        <w:t>described in the Revised Method are consistent with the ESA standard for use of the “best scientific and commercial data available.” The EPA currently uses historical usage data to forecast future pesticide usage at the national level for dietary risk assessments. The forecast method being used was publicly vetted through a FIFRA Scientific Advisory Panel (SAP) in 2002. This method forecasts national pesticide usage for an active ingredient on individual crops. EPA also</w:t>
      </w:r>
      <w:r w:rsidRPr="00F82061" w:rsidDel="003A3328">
        <w:rPr>
          <w:rFonts w:asciiTheme="minorHAnsi" w:hAnsiTheme="minorHAnsi" w:cstheme="minorHAnsi"/>
          <w:i/>
          <w:iCs/>
        </w:rPr>
        <w:t xml:space="preserve"> </w:t>
      </w:r>
      <w:r w:rsidRPr="00F82061">
        <w:rPr>
          <w:rFonts w:asciiTheme="minorHAnsi" w:hAnsiTheme="minorHAnsi" w:cstheme="minorHAnsi"/>
          <w:i/>
          <w:iCs/>
        </w:rPr>
        <w:t>note</w:t>
      </w:r>
      <w:r w:rsidR="003A3328">
        <w:rPr>
          <w:rFonts w:asciiTheme="minorHAnsi" w:hAnsiTheme="minorHAnsi" w:cstheme="minorHAnsi"/>
          <w:i/>
          <w:iCs/>
        </w:rPr>
        <w:t>s</w:t>
      </w:r>
      <w:r w:rsidRPr="00F82061">
        <w:rPr>
          <w:rFonts w:asciiTheme="minorHAnsi" w:hAnsiTheme="minorHAnsi" w:cstheme="minorHAnsi"/>
          <w:i/>
          <w:iCs/>
        </w:rPr>
        <w:t xml:space="preserve"> that utilizing state level usage data in step 2, in addition to the than maximum label parameters in step 1, presents a significant refinement to risk assessments, while still being protective. This was acknowledged by several </w:t>
      </w:r>
      <w:r w:rsidR="00DC3C60">
        <w:rPr>
          <w:rFonts w:asciiTheme="minorHAnsi" w:hAnsiTheme="minorHAnsi" w:cstheme="minorHAnsi"/>
          <w:i/>
          <w:iCs/>
        </w:rPr>
        <w:t>commenter</w:t>
      </w:r>
      <w:r w:rsidRPr="00F82061">
        <w:rPr>
          <w:rFonts w:asciiTheme="minorHAnsi" w:hAnsiTheme="minorHAnsi" w:cstheme="minorHAnsi"/>
          <w:i/>
          <w:iCs/>
        </w:rPr>
        <w:t>s</w:t>
      </w:r>
      <w:r w:rsidR="002D26AD">
        <w:rPr>
          <w:rFonts w:asciiTheme="minorHAnsi" w:hAnsiTheme="minorHAnsi" w:cstheme="minorHAnsi"/>
          <w:i/>
          <w:iCs/>
        </w:rPr>
        <w:t xml:space="preserve"> </w:t>
      </w:r>
      <w:r w:rsidR="00004C12">
        <w:rPr>
          <w:rFonts w:asciiTheme="minorHAnsi" w:hAnsiTheme="minorHAnsi" w:cstheme="minorHAnsi"/>
          <w:i/>
          <w:iCs/>
        </w:rPr>
        <w:t xml:space="preserve">on </w:t>
      </w:r>
      <w:r w:rsidR="005976A9">
        <w:rPr>
          <w:rFonts w:asciiTheme="minorHAnsi" w:hAnsiTheme="minorHAnsi" w:cstheme="minorHAnsi"/>
          <w:i/>
          <w:iCs/>
        </w:rPr>
        <w:t>these BEs</w:t>
      </w:r>
      <w:r w:rsidRPr="00F82061">
        <w:rPr>
          <w:rFonts w:asciiTheme="minorHAnsi" w:hAnsiTheme="minorHAnsi" w:cstheme="minorHAnsi"/>
          <w:i/>
          <w:iCs/>
        </w:rPr>
        <w:t>.</w:t>
      </w:r>
    </w:p>
    <w:p w14:paraId="77D29640" w14:textId="77777777" w:rsidR="0001599F" w:rsidRPr="00F82061" w:rsidRDefault="0001599F" w:rsidP="00AA3D6C">
      <w:pPr>
        <w:rPr>
          <w:rFonts w:asciiTheme="minorHAnsi" w:hAnsiTheme="minorHAnsi" w:cstheme="minorHAnsi"/>
          <w:i/>
          <w:iCs/>
        </w:rPr>
      </w:pPr>
    </w:p>
    <w:p w14:paraId="070EE2B9" w14:textId="5B0CB49C" w:rsidR="006D3746" w:rsidRPr="00F82061" w:rsidRDefault="006D3746" w:rsidP="00AA3D6C">
      <w:pPr>
        <w:rPr>
          <w:rFonts w:asciiTheme="minorHAnsi" w:hAnsiTheme="minorHAnsi" w:cstheme="minorHAnsi"/>
          <w:i/>
          <w:iCs/>
        </w:rPr>
      </w:pPr>
      <w:r w:rsidRPr="00F82061">
        <w:rPr>
          <w:rFonts w:asciiTheme="minorHAnsi" w:hAnsiTheme="minorHAnsi" w:cstheme="minorHAnsi"/>
          <w:i/>
          <w:iCs/>
        </w:rPr>
        <w:t xml:space="preserve">The Agency </w:t>
      </w:r>
      <w:r w:rsidR="00E00DED">
        <w:rPr>
          <w:rFonts w:asciiTheme="minorHAnsi" w:hAnsiTheme="minorHAnsi" w:cstheme="minorHAnsi"/>
          <w:i/>
          <w:iCs/>
        </w:rPr>
        <w:t>appreciates</w:t>
      </w:r>
      <w:r w:rsidRPr="00F82061">
        <w:rPr>
          <w:rFonts w:asciiTheme="minorHAnsi" w:hAnsiTheme="minorHAnsi" w:cstheme="minorHAnsi"/>
          <w:i/>
          <w:iCs/>
        </w:rPr>
        <w:t xml:space="preserve"> </w:t>
      </w:r>
      <w:r w:rsidR="00DC3C60">
        <w:rPr>
          <w:rFonts w:asciiTheme="minorHAnsi" w:hAnsiTheme="minorHAnsi" w:cstheme="minorHAnsi"/>
          <w:i/>
          <w:iCs/>
        </w:rPr>
        <w:t>commenter</w:t>
      </w:r>
      <w:r w:rsidRPr="00F82061">
        <w:rPr>
          <w:rFonts w:asciiTheme="minorHAnsi" w:hAnsiTheme="minorHAnsi" w:cstheme="minorHAnsi"/>
          <w:i/>
          <w:iCs/>
        </w:rPr>
        <w:t>s who submitted usage data, offered to submit usage data, or provided potential contacts that may be able to fill usage data gaps. EPA also</w:t>
      </w:r>
      <w:r w:rsidRPr="00F82061" w:rsidDel="008E456E">
        <w:rPr>
          <w:rFonts w:asciiTheme="minorHAnsi" w:hAnsiTheme="minorHAnsi" w:cstheme="minorHAnsi"/>
          <w:i/>
          <w:iCs/>
        </w:rPr>
        <w:t xml:space="preserve"> </w:t>
      </w:r>
      <w:r w:rsidRPr="00F82061">
        <w:rPr>
          <w:rFonts w:asciiTheme="minorHAnsi" w:hAnsiTheme="minorHAnsi" w:cstheme="minorHAnsi"/>
          <w:i/>
          <w:iCs/>
        </w:rPr>
        <w:t>note</w:t>
      </w:r>
      <w:r w:rsidR="008E456E">
        <w:rPr>
          <w:rFonts w:asciiTheme="minorHAnsi" w:hAnsiTheme="minorHAnsi" w:cstheme="minorHAnsi"/>
          <w:i/>
          <w:iCs/>
        </w:rPr>
        <w:t>s</w:t>
      </w:r>
      <w:r w:rsidRPr="00F82061">
        <w:rPr>
          <w:rFonts w:asciiTheme="minorHAnsi" w:hAnsiTheme="minorHAnsi" w:cstheme="minorHAnsi"/>
          <w:i/>
          <w:iCs/>
        </w:rPr>
        <w:t xml:space="preserve"> that several of the usage sources cited </w:t>
      </w:r>
      <w:r w:rsidR="001C1599">
        <w:rPr>
          <w:rFonts w:asciiTheme="minorHAnsi" w:hAnsiTheme="minorHAnsi" w:cstheme="minorHAnsi"/>
          <w:i/>
          <w:iCs/>
        </w:rPr>
        <w:t xml:space="preserve">by </w:t>
      </w:r>
      <w:r w:rsidR="00DC3C60">
        <w:rPr>
          <w:rFonts w:asciiTheme="minorHAnsi" w:hAnsiTheme="minorHAnsi" w:cstheme="minorHAnsi"/>
          <w:i/>
          <w:iCs/>
        </w:rPr>
        <w:t>commenter</w:t>
      </w:r>
      <w:r w:rsidRPr="00F82061">
        <w:rPr>
          <w:rFonts w:asciiTheme="minorHAnsi" w:hAnsiTheme="minorHAnsi" w:cstheme="minorHAnsi"/>
          <w:i/>
          <w:iCs/>
        </w:rPr>
        <w:t xml:space="preserve">s (including </w:t>
      </w:r>
      <w:proofErr w:type="spellStart"/>
      <w:r w:rsidRPr="00F82061">
        <w:rPr>
          <w:rFonts w:asciiTheme="minorHAnsi" w:hAnsiTheme="minorHAnsi" w:cstheme="minorHAnsi"/>
          <w:i/>
          <w:iCs/>
        </w:rPr>
        <w:t>Kynetec</w:t>
      </w:r>
      <w:proofErr w:type="spellEnd"/>
      <w:r w:rsidRPr="00F82061">
        <w:rPr>
          <w:rFonts w:asciiTheme="minorHAnsi" w:hAnsiTheme="minorHAnsi" w:cstheme="minorHAnsi"/>
          <w:i/>
          <w:iCs/>
        </w:rPr>
        <w:t xml:space="preserve"> </w:t>
      </w:r>
      <w:proofErr w:type="spellStart"/>
      <w:r w:rsidRPr="00F82061">
        <w:rPr>
          <w:rFonts w:asciiTheme="minorHAnsi" w:hAnsiTheme="minorHAnsi" w:cstheme="minorHAnsi"/>
          <w:i/>
          <w:iCs/>
        </w:rPr>
        <w:t>AgroTrak</w:t>
      </w:r>
      <w:proofErr w:type="spellEnd"/>
      <w:r w:rsidRPr="00F82061">
        <w:rPr>
          <w:rFonts w:asciiTheme="minorHAnsi" w:hAnsiTheme="minorHAnsi" w:cstheme="minorHAnsi"/>
          <w:i/>
          <w:iCs/>
        </w:rPr>
        <w:t xml:space="preserve">, NASS </w:t>
      </w:r>
      <w:proofErr w:type="spellStart"/>
      <w:r w:rsidRPr="00F82061">
        <w:rPr>
          <w:rFonts w:asciiTheme="minorHAnsi" w:hAnsiTheme="minorHAnsi" w:cstheme="minorHAnsi"/>
          <w:i/>
          <w:iCs/>
        </w:rPr>
        <w:t>QuickStats</w:t>
      </w:r>
      <w:proofErr w:type="spellEnd"/>
      <w:r w:rsidRPr="00F82061">
        <w:rPr>
          <w:rFonts w:asciiTheme="minorHAnsi" w:hAnsiTheme="minorHAnsi" w:cstheme="minorHAnsi"/>
          <w:i/>
          <w:iCs/>
        </w:rPr>
        <w:t xml:space="preserve">, and California Department of Pesticide Registration PUR dataset) are the same sources or usage data employed by EPA in the BE. Other </w:t>
      </w:r>
      <w:r w:rsidR="00DC3C60">
        <w:rPr>
          <w:rFonts w:asciiTheme="minorHAnsi" w:hAnsiTheme="minorHAnsi" w:cstheme="minorHAnsi"/>
          <w:i/>
          <w:iCs/>
        </w:rPr>
        <w:t>commenter</w:t>
      </w:r>
      <w:r w:rsidRPr="00F82061">
        <w:rPr>
          <w:rFonts w:asciiTheme="minorHAnsi" w:hAnsiTheme="minorHAnsi" w:cstheme="minorHAnsi"/>
          <w:i/>
          <w:iCs/>
        </w:rPr>
        <w:t>s provided more qualitative “typical” grower information, or quantitative usage from unclear sources. In both cases, EPA</w:t>
      </w:r>
      <w:r w:rsidRPr="00F82061" w:rsidDel="00303453">
        <w:rPr>
          <w:rFonts w:asciiTheme="minorHAnsi" w:hAnsiTheme="minorHAnsi" w:cstheme="minorHAnsi"/>
          <w:i/>
          <w:iCs/>
        </w:rPr>
        <w:t xml:space="preserve"> </w:t>
      </w:r>
      <w:r w:rsidRPr="00F82061">
        <w:rPr>
          <w:rFonts w:asciiTheme="minorHAnsi" w:hAnsiTheme="minorHAnsi" w:cstheme="minorHAnsi"/>
          <w:i/>
          <w:iCs/>
        </w:rPr>
        <w:t>note</w:t>
      </w:r>
      <w:r w:rsidR="00303453">
        <w:rPr>
          <w:rFonts w:asciiTheme="minorHAnsi" w:hAnsiTheme="minorHAnsi" w:cstheme="minorHAnsi"/>
          <w:i/>
          <w:iCs/>
        </w:rPr>
        <w:t>s</w:t>
      </w:r>
      <w:r w:rsidRPr="00F82061">
        <w:rPr>
          <w:rFonts w:asciiTheme="minorHAnsi" w:hAnsiTheme="minorHAnsi" w:cstheme="minorHAnsi"/>
          <w:i/>
          <w:iCs/>
        </w:rPr>
        <w:t xml:space="preserve"> that the usage </w:t>
      </w:r>
      <w:r w:rsidR="0001599F">
        <w:rPr>
          <w:rFonts w:asciiTheme="minorHAnsi" w:hAnsiTheme="minorHAnsi" w:cstheme="minorHAnsi"/>
          <w:i/>
          <w:iCs/>
        </w:rPr>
        <w:t xml:space="preserve">data </w:t>
      </w:r>
      <w:r w:rsidRPr="00F82061">
        <w:rPr>
          <w:rFonts w:asciiTheme="minorHAnsi" w:hAnsiTheme="minorHAnsi" w:cstheme="minorHAnsi"/>
          <w:i/>
          <w:iCs/>
        </w:rPr>
        <w:t>provided was largely in line with the usage</w:t>
      </w:r>
      <w:r w:rsidR="0001599F">
        <w:rPr>
          <w:rFonts w:asciiTheme="minorHAnsi" w:hAnsiTheme="minorHAnsi" w:cstheme="minorHAnsi"/>
          <w:i/>
          <w:iCs/>
        </w:rPr>
        <w:t xml:space="preserve"> data</w:t>
      </w:r>
      <w:r w:rsidRPr="00F82061">
        <w:rPr>
          <w:rFonts w:asciiTheme="minorHAnsi" w:hAnsiTheme="minorHAnsi" w:cstheme="minorHAnsi"/>
          <w:i/>
          <w:iCs/>
        </w:rPr>
        <w:t xml:space="preserve"> provided in the SUUMs and utilized in the BEs. </w:t>
      </w:r>
      <w:r w:rsidRPr="00F82061">
        <w:rPr>
          <w:rFonts w:asciiTheme="minorHAnsi" w:eastAsia="Times New Roman" w:hAnsiTheme="minorHAnsi" w:cstheme="minorHAnsi"/>
          <w:i/>
          <w:iCs/>
        </w:rPr>
        <w:t xml:space="preserve">The </w:t>
      </w:r>
      <w:r w:rsidR="005A7DBC">
        <w:rPr>
          <w:rFonts w:asciiTheme="minorHAnsi" w:eastAsia="Times New Roman" w:hAnsiTheme="minorHAnsi" w:cstheme="minorHAnsi"/>
          <w:i/>
          <w:iCs/>
        </w:rPr>
        <w:t xml:space="preserve">additional </w:t>
      </w:r>
      <w:r w:rsidRPr="00F82061">
        <w:rPr>
          <w:rFonts w:asciiTheme="minorHAnsi" w:eastAsia="Times New Roman" w:hAnsiTheme="minorHAnsi" w:cstheme="minorHAnsi"/>
          <w:i/>
          <w:iCs/>
        </w:rPr>
        <w:t xml:space="preserve">usage data submitted and sources suggested by </w:t>
      </w:r>
      <w:r w:rsidR="00DC3C60">
        <w:rPr>
          <w:rFonts w:asciiTheme="minorHAnsi" w:eastAsia="Times New Roman" w:hAnsiTheme="minorHAnsi" w:cstheme="minorHAnsi"/>
          <w:i/>
          <w:iCs/>
        </w:rPr>
        <w:t>commenter</w:t>
      </w:r>
      <w:r w:rsidRPr="00F82061">
        <w:rPr>
          <w:rFonts w:asciiTheme="minorHAnsi" w:eastAsia="Times New Roman" w:hAnsiTheme="minorHAnsi" w:cstheme="minorHAnsi"/>
          <w:i/>
          <w:iCs/>
        </w:rPr>
        <w:t>s will be considered</w:t>
      </w:r>
      <w:r w:rsidR="00CA219D">
        <w:rPr>
          <w:rFonts w:asciiTheme="minorHAnsi" w:eastAsia="Times New Roman" w:hAnsiTheme="minorHAnsi" w:cstheme="minorHAnsi"/>
          <w:i/>
          <w:iCs/>
        </w:rPr>
        <w:t xml:space="preserve"> and</w:t>
      </w:r>
      <w:r w:rsidRPr="00F82061">
        <w:rPr>
          <w:rFonts w:asciiTheme="minorHAnsi" w:eastAsia="Times New Roman" w:hAnsiTheme="minorHAnsi" w:cstheme="minorHAnsi"/>
          <w:i/>
          <w:iCs/>
        </w:rPr>
        <w:t>, as appropriate</w:t>
      </w:r>
      <w:r w:rsidR="008D6400">
        <w:rPr>
          <w:rFonts w:asciiTheme="minorHAnsi" w:eastAsia="Times New Roman" w:hAnsiTheme="minorHAnsi" w:cstheme="minorHAnsi"/>
          <w:i/>
          <w:iCs/>
        </w:rPr>
        <w:t xml:space="preserve"> and relevant</w:t>
      </w:r>
      <w:r w:rsidRPr="00F82061">
        <w:rPr>
          <w:rFonts w:asciiTheme="minorHAnsi" w:eastAsia="Times New Roman" w:hAnsiTheme="minorHAnsi" w:cstheme="minorHAnsi"/>
          <w:i/>
          <w:iCs/>
        </w:rPr>
        <w:t>,</w:t>
      </w:r>
      <w:r w:rsidR="00CA219D">
        <w:rPr>
          <w:rFonts w:asciiTheme="minorHAnsi" w:eastAsia="Times New Roman" w:hAnsiTheme="minorHAnsi" w:cstheme="minorHAnsi"/>
          <w:i/>
          <w:iCs/>
        </w:rPr>
        <w:t xml:space="preserve"> EPA will provide </w:t>
      </w:r>
      <w:r w:rsidR="0016444E">
        <w:rPr>
          <w:rFonts w:asciiTheme="minorHAnsi" w:eastAsia="Times New Roman" w:hAnsiTheme="minorHAnsi" w:cstheme="minorHAnsi"/>
          <w:i/>
          <w:iCs/>
        </w:rPr>
        <w:t>relevant information on usage</w:t>
      </w:r>
      <w:r w:rsidRPr="00F82061">
        <w:rPr>
          <w:rFonts w:asciiTheme="minorHAnsi" w:eastAsia="Times New Roman" w:hAnsiTheme="minorHAnsi" w:cstheme="minorHAnsi"/>
          <w:i/>
          <w:iCs/>
        </w:rPr>
        <w:t xml:space="preserve"> </w:t>
      </w:r>
      <w:r w:rsidR="00306FD4">
        <w:rPr>
          <w:rFonts w:asciiTheme="minorHAnsi" w:eastAsia="Times New Roman" w:hAnsiTheme="minorHAnsi" w:cstheme="minorHAnsi"/>
          <w:i/>
          <w:iCs/>
        </w:rPr>
        <w:t xml:space="preserve">that is </w:t>
      </w:r>
      <w:r w:rsidR="00306FD4" w:rsidRPr="001E60EA">
        <w:rPr>
          <w:rFonts w:asciiTheme="minorHAnsi" w:eastAsia="Times New Roman" w:hAnsiTheme="minorHAnsi" w:cstheme="minorHAnsi"/>
          <w:i/>
          <w:iCs/>
        </w:rPr>
        <w:t xml:space="preserve">included in these comments </w:t>
      </w:r>
      <w:r w:rsidR="00306FD4">
        <w:rPr>
          <w:rFonts w:asciiTheme="minorHAnsi" w:eastAsia="Times New Roman" w:hAnsiTheme="minorHAnsi" w:cstheme="minorHAnsi"/>
          <w:i/>
          <w:iCs/>
        </w:rPr>
        <w:t>in its consultations with the Services</w:t>
      </w:r>
      <w:r w:rsidR="001D18C7">
        <w:rPr>
          <w:rFonts w:asciiTheme="minorHAnsi" w:eastAsia="Times New Roman" w:hAnsiTheme="minorHAnsi" w:cstheme="minorHAnsi"/>
          <w:i/>
          <w:iCs/>
        </w:rPr>
        <w:t>.</w:t>
      </w:r>
    </w:p>
    <w:p w14:paraId="611C7838" w14:textId="77777777" w:rsidR="006D3746" w:rsidRPr="00AA3D6C" w:rsidRDefault="006D3746" w:rsidP="00AA3D6C">
      <w:pPr>
        <w:rPr>
          <w:rFonts w:asciiTheme="minorHAnsi" w:hAnsiTheme="minorHAnsi" w:cstheme="minorHAnsi"/>
        </w:rPr>
      </w:pPr>
    </w:p>
    <w:p w14:paraId="1C3CF235" w14:textId="7A947589" w:rsidR="006D3746" w:rsidRDefault="00DC3C60" w:rsidP="00AA3D6C">
      <w:pPr>
        <w:keepNext/>
        <w:keepLines/>
        <w:rPr>
          <w:rFonts w:asciiTheme="minorHAnsi" w:eastAsia="Times New Roman" w:hAnsiTheme="minorHAnsi" w:cstheme="minorHAnsi"/>
        </w:rPr>
      </w:pPr>
      <w:r>
        <w:rPr>
          <w:rFonts w:asciiTheme="minorHAnsi" w:eastAsia="Times New Roman" w:hAnsiTheme="minorHAnsi" w:cstheme="minorHAnsi"/>
          <w:b/>
          <w:bCs/>
        </w:rPr>
        <w:t>Commenter</w:t>
      </w:r>
      <w:r w:rsidR="006D3746" w:rsidRPr="00F347D1">
        <w:rPr>
          <w:rFonts w:asciiTheme="minorHAnsi" w:eastAsia="Times New Roman" w:hAnsiTheme="minorHAnsi" w:cstheme="minorHAnsi"/>
          <w:b/>
          <w:bCs/>
        </w:rPr>
        <w:t>s:</w:t>
      </w:r>
      <w:r w:rsidR="006D3746" w:rsidRPr="00F347D1">
        <w:rPr>
          <w:rFonts w:asciiTheme="minorHAnsi" w:eastAsia="Times New Roman" w:hAnsiTheme="minorHAnsi" w:cstheme="minorHAnsi"/>
        </w:rPr>
        <w:t xml:space="preserve"> Bayer US LLC </w:t>
      </w:r>
      <w:r w:rsidR="006D3746" w:rsidRPr="00F347D1">
        <w:rPr>
          <w:rFonts w:asciiTheme="minorHAnsi" w:eastAsia="Times New Roman" w:hAnsiTheme="minorHAnsi" w:cstheme="minorHAnsi"/>
          <w:i/>
          <w:iCs/>
        </w:rPr>
        <w:t>et al</w:t>
      </w:r>
      <w:r w:rsidR="006D3746" w:rsidRPr="00F347D1">
        <w:rPr>
          <w:rFonts w:asciiTheme="minorHAnsi" w:eastAsia="Times New Roman" w:hAnsiTheme="minorHAnsi" w:cstheme="minorHAnsi"/>
        </w:rPr>
        <w:t>. (-0049), Valent U.S.A. LLC (-0051)</w:t>
      </w:r>
    </w:p>
    <w:p w14:paraId="6931889D" w14:textId="77777777" w:rsidR="00F347D1" w:rsidRPr="00F347D1" w:rsidRDefault="00F347D1" w:rsidP="00AA3D6C">
      <w:pPr>
        <w:keepNext/>
        <w:keepLines/>
        <w:rPr>
          <w:rFonts w:asciiTheme="minorHAnsi" w:eastAsia="Times New Roman" w:hAnsiTheme="minorHAnsi" w:cstheme="minorHAnsi"/>
        </w:rPr>
      </w:pPr>
    </w:p>
    <w:p w14:paraId="6924AA60" w14:textId="0CA6A817" w:rsidR="006D3746" w:rsidRPr="00F347D1" w:rsidRDefault="006D3746" w:rsidP="00AA3D6C">
      <w:pPr>
        <w:keepNext/>
        <w:keepLines/>
        <w:rPr>
          <w:rFonts w:asciiTheme="minorHAnsi" w:hAnsiTheme="minorHAnsi" w:cstheme="minorHAnsi"/>
        </w:rPr>
      </w:pPr>
      <w:r w:rsidRPr="00F347D1">
        <w:rPr>
          <w:rFonts w:asciiTheme="minorHAnsi" w:eastAsia="Times New Roman" w:hAnsiTheme="minorHAnsi" w:cstheme="minorHAnsi"/>
          <w:b/>
          <w:bCs/>
        </w:rPr>
        <w:t xml:space="preserve">Summary of </w:t>
      </w:r>
      <w:r w:rsidR="00F347D1">
        <w:rPr>
          <w:rFonts w:asciiTheme="minorHAnsi" w:eastAsia="Times New Roman" w:hAnsiTheme="minorHAnsi" w:cstheme="minorHAnsi"/>
          <w:b/>
          <w:bCs/>
        </w:rPr>
        <w:t>Co</w:t>
      </w:r>
      <w:r w:rsidRPr="00F347D1">
        <w:rPr>
          <w:rFonts w:asciiTheme="minorHAnsi" w:eastAsia="Times New Roman" w:hAnsiTheme="minorHAnsi" w:cstheme="minorHAnsi"/>
          <w:b/>
          <w:bCs/>
        </w:rPr>
        <w:t>mment:</w:t>
      </w:r>
      <w:r w:rsidRPr="00F347D1">
        <w:rPr>
          <w:rFonts w:asciiTheme="minorHAnsi" w:eastAsia="Times New Roman" w:hAnsiTheme="minorHAnsi" w:cstheme="minorHAnsi"/>
        </w:rPr>
        <w:t xml:space="preserve"> </w:t>
      </w:r>
      <w:r w:rsidRPr="00F347D1">
        <w:rPr>
          <w:rFonts w:asciiTheme="minorHAnsi" w:hAnsiTheme="minorHAnsi" w:cstheme="minorHAnsi"/>
        </w:rPr>
        <w:t xml:space="preserve">Key points from these comments, as interpreted by the Agency, are summarized as follows: </w:t>
      </w:r>
    </w:p>
    <w:p w14:paraId="3EA91DE2" w14:textId="4DE9DA0A" w:rsidR="006D3746" w:rsidRPr="00AA3D6C" w:rsidRDefault="006D3746" w:rsidP="00AA3D6C">
      <w:pPr>
        <w:pStyle w:val="ListParagraph"/>
        <w:numPr>
          <w:ilvl w:val="0"/>
          <w:numId w:val="59"/>
        </w:numPr>
        <w:autoSpaceDE w:val="0"/>
        <w:autoSpaceDN w:val="0"/>
        <w:adjustRightInd w:val="0"/>
        <w:rPr>
          <w:rFonts w:asciiTheme="minorHAnsi" w:hAnsiTheme="minorHAnsi" w:cstheme="minorHAnsi"/>
        </w:rPr>
      </w:pPr>
      <w:r w:rsidRPr="00F347D1">
        <w:rPr>
          <w:rFonts w:asciiTheme="minorHAnsi" w:hAnsiTheme="minorHAnsi" w:cstheme="minorHAnsi"/>
        </w:rPr>
        <w:t>“The acreage</w:t>
      </w:r>
      <w:r w:rsidRPr="00AA3D6C">
        <w:rPr>
          <w:rFonts w:asciiTheme="minorHAnsi" w:hAnsiTheme="minorHAnsi" w:cstheme="minorHAnsi"/>
        </w:rPr>
        <w:t xml:space="preserve"> used in calculating treated acres does not account for acres treated more than once in a season, leading to overly conservative </w:t>
      </w:r>
      <w:r w:rsidR="006E2409">
        <w:rPr>
          <w:rFonts w:asciiTheme="minorHAnsi" w:hAnsiTheme="minorHAnsi" w:cstheme="minorHAnsi"/>
        </w:rPr>
        <w:t>percent crop treated (PCT)</w:t>
      </w:r>
      <w:r w:rsidRPr="00AA3D6C">
        <w:rPr>
          <w:rFonts w:asciiTheme="minorHAnsi" w:hAnsiTheme="minorHAnsi" w:cstheme="minorHAnsi"/>
        </w:rPr>
        <w:t xml:space="preserve"> estimates”, </w:t>
      </w:r>
    </w:p>
    <w:p w14:paraId="78EC4E59" w14:textId="0420EEFD" w:rsidR="006D3746" w:rsidRPr="00AA3D6C" w:rsidRDefault="006D3746" w:rsidP="00AA3D6C">
      <w:pPr>
        <w:pStyle w:val="ListParagraph"/>
        <w:numPr>
          <w:ilvl w:val="0"/>
          <w:numId w:val="59"/>
        </w:numPr>
        <w:autoSpaceDE w:val="0"/>
        <w:autoSpaceDN w:val="0"/>
        <w:adjustRightInd w:val="0"/>
        <w:rPr>
          <w:rFonts w:asciiTheme="minorHAnsi" w:hAnsiTheme="minorHAnsi" w:cstheme="minorHAnsi"/>
        </w:rPr>
      </w:pPr>
      <w:r w:rsidRPr="00AA3D6C">
        <w:rPr>
          <w:rFonts w:asciiTheme="minorHAnsi" w:hAnsiTheme="minorHAnsi" w:cstheme="minorHAnsi"/>
        </w:rPr>
        <w:t xml:space="preserve">“The methodology used in calculating a </w:t>
      </w:r>
      <w:r w:rsidR="006E2409">
        <w:rPr>
          <w:rFonts w:asciiTheme="minorHAnsi" w:hAnsiTheme="minorHAnsi" w:cstheme="minorHAnsi"/>
        </w:rPr>
        <w:t>PCT</w:t>
      </w:r>
      <w:r w:rsidRPr="00AA3D6C">
        <w:rPr>
          <w:rFonts w:asciiTheme="minorHAnsi" w:hAnsiTheme="minorHAnsi" w:cstheme="minorHAnsi"/>
        </w:rPr>
        <w:t xml:space="preserve"> is inconsistent with the exposure modeling which assumes applications to use sites at maximum annual label rates”, </w:t>
      </w:r>
    </w:p>
    <w:p w14:paraId="1C86B813" w14:textId="77777777" w:rsidR="006D3746" w:rsidRPr="00AA3D6C" w:rsidRDefault="006D3746" w:rsidP="00AA3D6C">
      <w:pPr>
        <w:pStyle w:val="ListParagraph"/>
        <w:numPr>
          <w:ilvl w:val="0"/>
          <w:numId w:val="59"/>
        </w:numPr>
        <w:autoSpaceDE w:val="0"/>
        <w:autoSpaceDN w:val="0"/>
        <w:adjustRightInd w:val="0"/>
        <w:rPr>
          <w:rFonts w:asciiTheme="minorHAnsi" w:hAnsiTheme="minorHAnsi" w:cstheme="minorHAnsi"/>
        </w:rPr>
      </w:pPr>
      <w:r w:rsidRPr="00AA3D6C">
        <w:rPr>
          <w:rFonts w:asciiTheme="minorHAnsi" w:hAnsiTheme="minorHAnsi" w:cstheme="minorHAnsi"/>
        </w:rPr>
        <w:t xml:space="preserve">“Agricultural PCTs: a UDL minimum PCT of 2.5% results in excessive overestimation of usage for some crops and states”, and </w:t>
      </w:r>
    </w:p>
    <w:p w14:paraId="77508199" w14:textId="20600886" w:rsidR="006D3746" w:rsidRPr="00AA3D6C" w:rsidRDefault="006D3746" w:rsidP="00AA3D6C">
      <w:pPr>
        <w:pStyle w:val="ListParagraph"/>
        <w:numPr>
          <w:ilvl w:val="0"/>
          <w:numId w:val="59"/>
        </w:numPr>
        <w:autoSpaceDE w:val="0"/>
        <w:autoSpaceDN w:val="0"/>
        <w:adjustRightInd w:val="0"/>
        <w:rPr>
          <w:rFonts w:asciiTheme="minorHAnsi" w:hAnsiTheme="minorHAnsi" w:cstheme="minorHAnsi"/>
        </w:rPr>
      </w:pPr>
      <w:r w:rsidRPr="00AA3D6C">
        <w:rPr>
          <w:rFonts w:asciiTheme="minorHAnsi" w:hAnsiTheme="minorHAnsi" w:cstheme="minorHAnsi"/>
        </w:rPr>
        <w:t xml:space="preserve">Expressed concerns about the surrogate usage data assumptions made by </w:t>
      </w:r>
      <w:r w:rsidR="000520A3">
        <w:rPr>
          <w:rFonts w:asciiTheme="minorHAnsi" w:hAnsiTheme="minorHAnsi" w:cstheme="minorHAnsi"/>
        </w:rPr>
        <w:t>EPA</w:t>
      </w:r>
      <w:r w:rsidRPr="00AA3D6C">
        <w:rPr>
          <w:rFonts w:asciiTheme="minorHAnsi" w:hAnsiTheme="minorHAnsi" w:cstheme="minorHAnsi"/>
        </w:rPr>
        <w:t xml:space="preserve"> when usage data were unavailable. </w:t>
      </w:r>
    </w:p>
    <w:p w14:paraId="6688BC79" w14:textId="77777777" w:rsidR="006D3746" w:rsidRPr="00AA3D6C" w:rsidRDefault="006D3746" w:rsidP="00AA3D6C">
      <w:pPr>
        <w:pStyle w:val="ListParagraph"/>
        <w:numPr>
          <w:ilvl w:val="0"/>
          <w:numId w:val="59"/>
        </w:numPr>
        <w:autoSpaceDE w:val="0"/>
        <w:autoSpaceDN w:val="0"/>
        <w:adjustRightInd w:val="0"/>
        <w:rPr>
          <w:rFonts w:asciiTheme="minorHAnsi" w:hAnsiTheme="minorHAnsi" w:cstheme="minorHAnsi"/>
        </w:rPr>
      </w:pPr>
      <w:r w:rsidRPr="00AA3D6C">
        <w:rPr>
          <w:rFonts w:asciiTheme="minorHAnsi" w:hAnsiTheme="minorHAnsi" w:cstheme="minorHAnsi"/>
          <w:color w:val="000000"/>
        </w:rPr>
        <w:t>Agricultural PCTs: a UDL minimum PCT of 2.5% results in excessive overestimation of usage for some crops and states,</w:t>
      </w:r>
    </w:p>
    <w:p w14:paraId="26B34B65" w14:textId="77777777" w:rsidR="006D3746" w:rsidRPr="00AA3D6C" w:rsidRDefault="006D3746" w:rsidP="00AA3D6C">
      <w:pPr>
        <w:autoSpaceDE w:val="0"/>
        <w:autoSpaceDN w:val="0"/>
        <w:adjustRightInd w:val="0"/>
        <w:rPr>
          <w:rFonts w:asciiTheme="minorHAnsi" w:hAnsiTheme="minorHAnsi" w:cstheme="minorHAnsi"/>
          <w:color w:val="000000"/>
        </w:rPr>
      </w:pPr>
    </w:p>
    <w:p w14:paraId="24DC14FD" w14:textId="77777777" w:rsidR="000D6D55" w:rsidRDefault="006D3746" w:rsidP="00AA3D6C">
      <w:pPr>
        <w:autoSpaceDE w:val="0"/>
        <w:autoSpaceDN w:val="0"/>
        <w:adjustRightInd w:val="0"/>
        <w:rPr>
          <w:rFonts w:asciiTheme="minorHAnsi" w:hAnsiTheme="minorHAnsi" w:cstheme="minorHAnsi"/>
          <w:i/>
          <w:iCs/>
        </w:rPr>
      </w:pPr>
      <w:r w:rsidRPr="00EA53BD">
        <w:rPr>
          <w:rFonts w:asciiTheme="minorHAnsi" w:hAnsiTheme="minorHAnsi" w:cstheme="minorHAnsi"/>
          <w:b/>
          <w:bCs/>
          <w:color w:val="000000"/>
        </w:rPr>
        <w:t>EPA Response:</w:t>
      </w:r>
      <w:r w:rsidRPr="00AA3D6C">
        <w:rPr>
          <w:rFonts w:asciiTheme="minorHAnsi" w:hAnsiTheme="minorHAnsi" w:cstheme="minorHAnsi"/>
          <w:b/>
          <w:bCs/>
          <w:i/>
          <w:iCs/>
          <w:color w:val="000000"/>
        </w:rPr>
        <w:t xml:space="preserve"> </w:t>
      </w:r>
      <w:r w:rsidRPr="00EA53BD">
        <w:rPr>
          <w:rFonts w:asciiTheme="minorHAnsi" w:hAnsiTheme="minorHAnsi" w:cstheme="minorHAnsi"/>
          <w:i/>
          <w:iCs/>
        </w:rPr>
        <w:t xml:space="preserve">Many comments on the calculation and rounding of </w:t>
      </w:r>
      <w:r w:rsidR="0018218B">
        <w:rPr>
          <w:rFonts w:asciiTheme="minorHAnsi" w:hAnsiTheme="minorHAnsi" w:cstheme="minorHAnsi"/>
          <w:i/>
          <w:iCs/>
        </w:rPr>
        <w:t>percent crop treated (</w:t>
      </w:r>
      <w:r w:rsidRPr="00EA53BD">
        <w:rPr>
          <w:rFonts w:asciiTheme="minorHAnsi" w:hAnsiTheme="minorHAnsi" w:cstheme="minorHAnsi"/>
          <w:i/>
          <w:iCs/>
        </w:rPr>
        <w:t>PCT</w:t>
      </w:r>
      <w:r w:rsidR="0018218B">
        <w:rPr>
          <w:rFonts w:asciiTheme="minorHAnsi" w:hAnsiTheme="minorHAnsi" w:cstheme="minorHAnsi"/>
          <w:i/>
          <w:iCs/>
        </w:rPr>
        <w:t>) estimate</w:t>
      </w:r>
      <w:r w:rsidRPr="00EA53BD">
        <w:rPr>
          <w:rFonts w:asciiTheme="minorHAnsi" w:hAnsiTheme="minorHAnsi" w:cstheme="minorHAnsi"/>
          <w:i/>
          <w:iCs/>
        </w:rPr>
        <w:t>s in the BEs have been addressed in other chemical BE RTC documents</w:t>
      </w:r>
      <w:r w:rsidRPr="00EA53BD">
        <w:rPr>
          <w:rFonts w:asciiTheme="minorHAnsi" w:hAnsiTheme="minorHAnsi" w:cstheme="minorHAnsi"/>
          <w:i/>
          <w:iCs/>
          <w:vertAlign w:val="superscript"/>
        </w:rPr>
        <w:footnoteReference w:id="7"/>
      </w:r>
      <w:r w:rsidRPr="00EA53BD">
        <w:rPr>
          <w:rFonts w:asciiTheme="minorHAnsi" w:hAnsiTheme="minorHAnsi" w:cstheme="minorHAnsi"/>
          <w:i/>
          <w:iCs/>
        </w:rPr>
        <w:t xml:space="preserve">. PCT values used in the BEs are obtained from usage data surveys, not calculated by EPA, and represent estimates of actual observed </w:t>
      </w:r>
      <w:r w:rsidRPr="00EA53BD">
        <w:rPr>
          <w:rFonts w:asciiTheme="minorHAnsi" w:hAnsiTheme="minorHAnsi" w:cstheme="minorHAnsi"/>
          <w:i/>
          <w:iCs/>
        </w:rPr>
        <w:lastRenderedPageBreak/>
        <w:t>usage. For our primary agricultural data sources, the PCT is the base acres treated (BAT) (</w:t>
      </w:r>
      <w:r w:rsidRPr="00563DCB">
        <w:rPr>
          <w:rFonts w:asciiTheme="minorHAnsi" w:hAnsiTheme="minorHAnsi" w:cstheme="minorHAnsi"/>
        </w:rPr>
        <w:t>i.e</w:t>
      </w:r>
      <w:r w:rsidRPr="00EA53BD">
        <w:rPr>
          <w:rFonts w:asciiTheme="minorHAnsi" w:hAnsiTheme="minorHAnsi" w:cstheme="minorHAnsi"/>
          <w:i/>
          <w:iCs/>
        </w:rPr>
        <w:t>., the number of unique acres treated one or more times in given survey year for a use site) divided by the crop acres grown (CAG) (i.e., the acres of a given use site that occur within a given survey year) (PCT=BAT/CAG). BAT is directly reported in the agricultural usage data, not calculated based on label rates. Reported BAT account</w:t>
      </w:r>
      <w:r w:rsidR="00053087">
        <w:rPr>
          <w:rFonts w:asciiTheme="minorHAnsi" w:hAnsiTheme="minorHAnsi" w:cstheme="minorHAnsi"/>
          <w:i/>
          <w:iCs/>
        </w:rPr>
        <w:t>s for</w:t>
      </w:r>
      <w:r w:rsidRPr="00EA53BD">
        <w:rPr>
          <w:rFonts w:asciiTheme="minorHAnsi" w:hAnsiTheme="minorHAnsi" w:cstheme="minorHAnsi"/>
          <w:i/>
          <w:iCs/>
        </w:rPr>
        <w:t xml:space="preserve"> multiple treatments per year and counts treated acres only once, regardless of the number of applications received. </w:t>
      </w:r>
      <w:r w:rsidR="00DC3C60">
        <w:rPr>
          <w:rFonts w:asciiTheme="minorHAnsi" w:hAnsiTheme="minorHAnsi" w:cstheme="minorHAnsi"/>
          <w:i/>
          <w:iCs/>
        </w:rPr>
        <w:t>Commenter</w:t>
      </w:r>
      <w:r w:rsidRPr="00EA53BD">
        <w:rPr>
          <w:rFonts w:asciiTheme="minorHAnsi" w:hAnsiTheme="minorHAnsi" w:cstheme="minorHAnsi"/>
          <w:i/>
          <w:iCs/>
        </w:rPr>
        <w:t>s suggested that rather than using this reported BAT value, EPA should calculate the number of total acres treated based on the reported pounds applied and the maximum annual label rate used in exposure analysis. This suggestion was based on the assertion that</w:t>
      </w:r>
      <w:r w:rsidR="000D6D55">
        <w:rPr>
          <w:rFonts w:asciiTheme="minorHAnsi" w:hAnsiTheme="minorHAnsi" w:cstheme="minorHAnsi"/>
          <w:i/>
          <w:iCs/>
        </w:rPr>
        <w:t>:</w:t>
      </w:r>
    </w:p>
    <w:p w14:paraId="47602893" w14:textId="628BB643" w:rsidR="006D3746" w:rsidRPr="00EA53BD" w:rsidRDefault="006D3746" w:rsidP="00AA3D6C">
      <w:pPr>
        <w:autoSpaceDE w:val="0"/>
        <w:autoSpaceDN w:val="0"/>
        <w:adjustRightInd w:val="0"/>
        <w:rPr>
          <w:rFonts w:asciiTheme="minorHAnsi" w:hAnsiTheme="minorHAnsi" w:cstheme="minorHAnsi"/>
          <w:i/>
          <w:iCs/>
        </w:rPr>
      </w:pPr>
      <w:r w:rsidRPr="00EA53BD">
        <w:rPr>
          <w:rFonts w:asciiTheme="minorHAnsi" w:hAnsiTheme="minorHAnsi" w:cstheme="minorHAnsi"/>
          <w:i/>
          <w:iCs/>
        </w:rPr>
        <w:t xml:space="preserve"> </w:t>
      </w:r>
    </w:p>
    <w:p w14:paraId="4F0162CC" w14:textId="54AA0697" w:rsidR="006D3746" w:rsidRDefault="006D3746" w:rsidP="00AA3D6C">
      <w:pPr>
        <w:autoSpaceDE w:val="0"/>
        <w:autoSpaceDN w:val="0"/>
        <w:adjustRightInd w:val="0"/>
        <w:ind w:left="720"/>
        <w:rPr>
          <w:rFonts w:asciiTheme="minorHAnsi" w:hAnsiTheme="minorHAnsi" w:cstheme="minorHAnsi"/>
          <w:i/>
          <w:iCs/>
        </w:rPr>
      </w:pPr>
      <w:r w:rsidRPr="00EA53BD">
        <w:rPr>
          <w:rFonts w:asciiTheme="minorHAnsi" w:hAnsiTheme="minorHAnsi" w:cstheme="minorHAnsi"/>
          <w:i/>
          <w:iCs/>
        </w:rPr>
        <w:t>“[EPA’s] approach to PCT calculations does not consider multiple applications on the same land or actual application rates. As noted in Section 2.1 of Appendix 1-7 of the draft BEs, this represents a conservative assumption, as the same land may be treated multiple times in a year, thus inflating the acres treated and PCT. The absence of an application rate in the consideration of a PCT estimation implicitly assumes that the acres treated are in alignment with the application rate and number of applications assumed in any exposure magnitude calculations.”</w:t>
      </w:r>
    </w:p>
    <w:p w14:paraId="19CBB669" w14:textId="77777777" w:rsidR="00563DCB" w:rsidRPr="00EA53BD" w:rsidRDefault="00563DCB" w:rsidP="00AA3D6C">
      <w:pPr>
        <w:autoSpaceDE w:val="0"/>
        <w:autoSpaceDN w:val="0"/>
        <w:adjustRightInd w:val="0"/>
        <w:ind w:left="720"/>
        <w:rPr>
          <w:rFonts w:asciiTheme="minorHAnsi" w:hAnsiTheme="minorHAnsi" w:cstheme="minorHAnsi"/>
          <w:i/>
          <w:iCs/>
        </w:rPr>
      </w:pPr>
    </w:p>
    <w:p w14:paraId="03380C52" w14:textId="766603D1" w:rsidR="006D3746" w:rsidRDefault="006D3746" w:rsidP="00AA3D6C">
      <w:pPr>
        <w:autoSpaceDE w:val="0"/>
        <w:autoSpaceDN w:val="0"/>
        <w:adjustRightInd w:val="0"/>
        <w:rPr>
          <w:rFonts w:asciiTheme="minorHAnsi" w:hAnsiTheme="minorHAnsi" w:cstheme="minorHAnsi"/>
          <w:i/>
          <w:iCs/>
        </w:rPr>
      </w:pPr>
      <w:r w:rsidRPr="00EA53BD">
        <w:rPr>
          <w:rFonts w:asciiTheme="minorHAnsi" w:hAnsiTheme="minorHAnsi" w:cstheme="minorHAnsi"/>
          <w:i/>
          <w:iCs/>
        </w:rPr>
        <w:t xml:space="preserve">EPA would like to clarify that while magnitude of exposure and likelihood of exposure are both assessed by EPA in the BEs, they are not the same analysis and have different inputs. Further, the reported BAT values used in the PCT calculation account </w:t>
      </w:r>
      <w:r w:rsidR="00053087">
        <w:rPr>
          <w:rFonts w:asciiTheme="minorHAnsi" w:hAnsiTheme="minorHAnsi" w:cstheme="minorHAnsi"/>
          <w:i/>
          <w:iCs/>
        </w:rPr>
        <w:t>for</w:t>
      </w:r>
      <w:r w:rsidRPr="00EA53BD">
        <w:rPr>
          <w:rFonts w:asciiTheme="minorHAnsi" w:hAnsiTheme="minorHAnsi" w:cstheme="minorHAnsi"/>
          <w:i/>
          <w:iCs/>
        </w:rPr>
        <w:t xml:space="preserve"> multiple applications to the same piece of land and actual application rates, in that for each survey respondent BAT is reported as the number of acres treated at least once </w:t>
      </w:r>
      <w:r w:rsidRPr="00563DCB">
        <w:rPr>
          <w:rFonts w:asciiTheme="minorHAnsi" w:hAnsiTheme="minorHAnsi" w:cstheme="minorHAnsi"/>
        </w:rPr>
        <w:t>(i.e</w:t>
      </w:r>
      <w:r w:rsidRPr="00EA53BD">
        <w:rPr>
          <w:rFonts w:asciiTheme="minorHAnsi" w:hAnsiTheme="minorHAnsi" w:cstheme="minorHAnsi"/>
          <w:i/>
          <w:iCs/>
        </w:rPr>
        <w:t xml:space="preserve">., does not double count acres treated more than once). Although BAT is directly reported, one way to calculate BAT would be to take the total acres treated (TAT) annually and divide it by the observed annual application rate. This seems to be akin to what the </w:t>
      </w:r>
      <w:r w:rsidR="00DC3C60">
        <w:rPr>
          <w:rFonts w:asciiTheme="minorHAnsi" w:hAnsiTheme="minorHAnsi" w:cstheme="minorHAnsi"/>
          <w:i/>
          <w:iCs/>
        </w:rPr>
        <w:t>commenter</w:t>
      </w:r>
      <w:r w:rsidRPr="00EA53BD">
        <w:rPr>
          <w:rFonts w:asciiTheme="minorHAnsi" w:hAnsiTheme="minorHAnsi" w:cstheme="minorHAnsi"/>
          <w:i/>
          <w:iCs/>
        </w:rPr>
        <w:t xml:space="preserve">s are suggesting, except that rather than using the observed annual application rate they suggest using the labeled annual application rate used in the magnitude of exposure analysis. Using this labeled annual application rate in conjunction with the observed pounds applied would inherently result in a lower calculated BAT value than growers report in the usage data. This is because users often treat at rates below the maximum application rate. As noted in the responses above, label rates and observed rates are utilized in the BE analysis for different reasons. Therefore, there is not an inherent disconnect, and the reported PCT used in the BE is not overestimated. </w:t>
      </w:r>
    </w:p>
    <w:p w14:paraId="1D6B1CA0" w14:textId="77777777" w:rsidR="00563DCB" w:rsidRPr="00EA53BD" w:rsidRDefault="00563DCB" w:rsidP="00AA3D6C">
      <w:pPr>
        <w:autoSpaceDE w:val="0"/>
        <w:autoSpaceDN w:val="0"/>
        <w:adjustRightInd w:val="0"/>
        <w:rPr>
          <w:rFonts w:asciiTheme="minorHAnsi" w:hAnsiTheme="minorHAnsi" w:cstheme="minorHAnsi"/>
          <w:i/>
          <w:iCs/>
        </w:rPr>
      </w:pPr>
    </w:p>
    <w:p w14:paraId="4C17AF56" w14:textId="3F6BEAF4" w:rsidR="005C57D4" w:rsidRDefault="006D3746" w:rsidP="00AA3D6C">
      <w:pPr>
        <w:autoSpaceDE w:val="0"/>
        <w:autoSpaceDN w:val="0"/>
        <w:adjustRightInd w:val="0"/>
        <w:rPr>
          <w:rFonts w:asciiTheme="minorHAnsi" w:hAnsiTheme="minorHAnsi"/>
          <w:i/>
        </w:rPr>
      </w:pPr>
      <w:r w:rsidRPr="2336DC9B">
        <w:rPr>
          <w:rFonts w:asciiTheme="minorHAnsi" w:hAnsiTheme="minorHAnsi"/>
          <w:i/>
        </w:rPr>
        <w:t xml:space="preserve">Some confusion may have resulted from the statement in section 2.1 of Appendix 1-7 noted above. When this statement referred to “inflating the acres treated and PCT” because “the same land may be treated multiple times in a year” it is actually referencing </w:t>
      </w:r>
      <w:r w:rsidR="00E55414" w:rsidRPr="2336DC9B">
        <w:rPr>
          <w:rFonts w:asciiTheme="minorHAnsi" w:hAnsiTheme="minorHAnsi"/>
          <w:i/>
        </w:rPr>
        <w:t>the estimated treated acres from the UDL after applying the PCT</w:t>
      </w:r>
      <w:r w:rsidR="00804A89" w:rsidRPr="2336DC9B">
        <w:rPr>
          <w:rFonts w:asciiTheme="minorHAnsi" w:hAnsiTheme="minorHAnsi"/>
          <w:i/>
        </w:rPr>
        <w:t>,</w:t>
      </w:r>
      <w:r w:rsidR="00E55414" w:rsidRPr="2336DC9B">
        <w:rPr>
          <w:rFonts w:asciiTheme="minorHAnsi" w:hAnsiTheme="minorHAnsi"/>
          <w:i/>
        </w:rPr>
        <w:t xml:space="preserve"> not the calculation of the </w:t>
      </w:r>
      <w:r w:rsidR="00804A89" w:rsidRPr="2336DC9B">
        <w:rPr>
          <w:rFonts w:asciiTheme="minorHAnsi" w:hAnsiTheme="minorHAnsi"/>
          <w:i/>
        </w:rPr>
        <w:t xml:space="preserve">crop </w:t>
      </w:r>
      <w:r w:rsidR="00E55414" w:rsidRPr="2336DC9B">
        <w:rPr>
          <w:rFonts w:asciiTheme="minorHAnsi" w:hAnsiTheme="minorHAnsi"/>
          <w:i/>
        </w:rPr>
        <w:t>PCT. The agriculture UDLs represent 5 years of field locations and therefore any estimated treated acres based on the PCT would be greater than the expected treated area for a given year. In addition, a field found in multiple UDL</w:t>
      </w:r>
      <w:r w:rsidR="004E4E16" w:rsidRPr="2336DC9B">
        <w:rPr>
          <w:rFonts w:asciiTheme="minorHAnsi" w:hAnsiTheme="minorHAnsi"/>
          <w:i/>
        </w:rPr>
        <w:t>s</w:t>
      </w:r>
      <w:r w:rsidR="00E55414" w:rsidRPr="2336DC9B">
        <w:rPr>
          <w:rFonts w:asciiTheme="minorHAnsi" w:hAnsiTheme="minorHAnsi"/>
          <w:i/>
        </w:rPr>
        <w:t xml:space="preserve"> due to rotation could be found in the estimated treated acres twice. </w:t>
      </w:r>
      <w:r w:rsidR="005C57D4" w:rsidRPr="2336DC9B">
        <w:rPr>
          <w:rFonts w:asciiTheme="minorHAnsi" w:hAnsiTheme="minorHAnsi"/>
          <w:i/>
        </w:rPr>
        <w:t>Potential double</w:t>
      </w:r>
      <w:r w:rsidR="004E4E16" w:rsidRPr="2336DC9B">
        <w:rPr>
          <w:rFonts w:asciiTheme="minorHAnsi" w:hAnsiTheme="minorHAnsi"/>
          <w:i/>
        </w:rPr>
        <w:t>-</w:t>
      </w:r>
      <w:r w:rsidR="005C57D4" w:rsidRPr="2336DC9B">
        <w:rPr>
          <w:rFonts w:asciiTheme="minorHAnsi" w:hAnsiTheme="minorHAnsi"/>
          <w:i/>
        </w:rPr>
        <w:t xml:space="preserve">counting of acres across UDLs is addressed in the “redundancy” calculations in the </w:t>
      </w:r>
      <w:proofErr w:type="spellStart"/>
      <w:r w:rsidR="005C57D4" w:rsidRPr="2336DC9B">
        <w:rPr>
          <w:rFonts w:asciiTheme="minorHAnsi" w:hAnsiTheme="minorHAnsi"/>
          <w:i/>
        </w:rPr>
        <w:t>WoE</w:t>
      </w:r>
      <w:proofErr w:type="spellEnd"/>
      <w:r w:rsidR="005C57D4" w:rsidRPr="2336DC9B">
        <w:rPr>
          <w:rFonts w:asciiTheme="minorHAnsi" w:hAnsiTheme="minorHAnsi"/>
          <w:i/>
        </w:rPr>
        <w:t xml:space="preserve">. </w:t>
      </w:r>
    </w:p>
    <w:p w14:paraId="14650339" w14:textId="77777777" w:rsidR="005C57D4" w:rsidRDefault="005C57D4" w:rsidP="00AA3D6C">
      <w:pPr>
        <w:autoSpaceDE w:val="0"/>
        <w:autoSpaceDN w:val="0"/>
        <w:adjustRightInd w:val="0"/>
        <w:rPr>
          <w:rFonts w:asciiTheme="minorHAnsi" w:hAnsiTheme="minorHAnsi" w:cstheme="minorHAnsi"/>
          <w:i/>
          <w:iCs/>
        </w:rPr>
      </w:pPr>
    </w:p>
    <w:p w14:paraId="05E3C861" w14:textId="5C51BEA0" w:rsidR="006D3746" w:rsidRDefault="006104CF" w:rsidP="00AA3D6C">
      <w:pPr>
        <w:autoSpaceDE w:val="0"/>
        <w:autoSpaceDN w:val="0"/>
        <w:adjustRightInd w:val="0"/>
        <w:rPr>
          <w:rFonts w:asciiTheme="minorHAnsi" w:hAnsiTheme="minorHAnsi" w:cstheme="minorHAnsi"/>
          <w:i/>
          <w:iCs/>
        </w:rPr>
      </w:pPr>
      <w:r>
        <w:rPr>
          <w:rFonts w:asciiTheme="minorHAnsi" w:hAnsiTheme="minorHAnsi" w:cstheme="minorHAnsi"/>
          <w:i/>
          <w:iCs/>
        </w:rPr>
        <w:t xml:space="preserve">When considering the calculation of the PCT, </w:t>
      </w:r>
      <w:r w:rsidR="006D3746" w:rsidRPr="00EA53BD">
        <w:rPr>
          <w:rFonts w:asciiTheme="minorHAnsi" w:hAnsiTheme="minorHAnsi" w:cstheme="minorHAnsi"/>
          <w:i/>
          <w:iCs/>
        </w:rPr>
        <w:t xml:space="preserve">utilizing the maximum labeled annual application rate to calculate BAT from TAT would inherently result in a lower BAT (and thus lower PCT) if actual applications were made below the labeled rates, </w:t>
      </w:r>
      <w:r>
        <w:rPr>
          <w:rFonts w:asciiTheme="minorHAnsi" w:hAnsiTheme="minorHAnsi" w:cstheme="minorHAnsi"/>
          <w:i/>
          <w:iCs/>
        </w:rPr>
        <w:t>a</w:t>
      </w:r>
      <w:r w:rsidRPr="00EA53BD">
        <w:rPr>
          <w:rFonts w:asciiTheme="minorHAnsi" w:hAnsiTheme="minorHAnsi" w:cstheme="minorHAnsi"/>
          <w:i/>
          <w:iCs/>
        </w:rPr>
        <w:t xml:space="preserve">lthough </w:t>
      </w:r>
      <w:r w:rsidR="006D3746" w:rsidRPr="00EA53BD">
        <w:rPr>
          <w:rFonts w:asciiTheme="minorHAnsi" w:hAnsiTheme="minorHAnsi" w:cstheme="minorHAnsi"/>
          <w:i/>
          <w:iCs/>
        </w:rPr>
        <w:t>EPA point</w:t>
      </w:r>
      <w:r w:rsidR="00E63302">
        <w:rPr>
          <w:rFonts w:asciiTheme="minorHAnsi" w:hAnsiTheme="minorHAnsi" w:cstheme="minorHAnsi"/>
          <w:i/>
          <w:iCs/>
        </w:rPr>
        <w:t>s</w:t>
      </w:r>
      <w:r w:rsidR="006D3746" w:rsidRPr="00EA53BD">
        <w:rPr>
          <w:rFonts w:asciiTheme="minorHAnsi" w:hAnsiTheme="minorHAnsi" w:cstheme="minorHAnsi"/>
          <w:i/>
          <w:iCs/>
        </w:rPr>
        <w:t xml:space="preserve"> out that the sample calculations provided by the </w:t>
      </w:r>
      <w:r w:rsidR="00DC3C60">
        <w:rPr>
          <w:rFonts w:asciiTheme="minorHAnsi" w:hAnsiTheme="minorHAnsi" w:cstheme="minorHAnsi"/>
          <w:i/>
          <w:iCs/>
        </w:rPr>
        <w:t>commenter</w:t>
      </w:r>
      <w:r w:rsidR="006D3746" w:rsidRPr="00EA53BD">
        <w:rPr>
          <w:rFonts w:asciiTheme="minorHAnsi" w:hAnsiTheme="minorHAnsi" w:cstheme="minorHAnsi"/>
          <w:i/>
          <w:iCs/>
        </w:rPr>
        <w:t>s using the labeled annual application rates resulted in remarkably similar PCTs when values were rounded utilizing the minimums u</w:t>
      </w:r>
      <w:r w:rsidR="004E4E16">
        <w:rPr>
          <w:rFonts w:asciiTheme="minorHAnsi" w:hAnsiTheme="minorHAnsi" w:cstheme="minorHAnsi"/>
          <w:i/>
          <w:iCs/>
        </w:rPr>
        <w:t>s</w:t>
      </w:r>
      <w:r w:rsidR="006D3746" w:rsidRPr="00EA53BD">
        <w:rPr>
          <w:rFonts w:asciiTheme="minorHAnsi" w:hAnsiTheme="minorHAnsi" w:cstheme="minorHAnsi"/>
          <w:i/>
          <w:iCs/>
        </w:rPr>
        <w:t>ed by EPA. The differences seen in the BE Factors (BE PCT/calculated “PCT”) were largely due to differences in very small PCTs that EPA rounded to &lt;2.5%.</w:t>
      </w:r>
    </w:p>
    <w:p w14:paraId="7CB29A8A" w14:textId="77777777" w:rsidR="00563DCB" w:rsidRPr="00EA53BD" w:rsidRDefault="00563DCB" w:rsidP="00AA3D6C">
      <w:pPr>
        <w:autoSpaceDE w:val="0"/>
        <w:autoSpaceDN w:val="0"/>
        <w:adjustRightInd w:val="0"/>
        <w:rPr>
          <w:rFonts w:asciiTheme="minorHAnsi" w:hAnsiTheme="minorHAnsi" w:cstheme="minorHAnsi"/>
          <w:i/>
          <w:iCs/>
        </w:rPr>
      </w:pPr>
    </w:p>
    <w:p w14:paraId="0E8AE996" w14:textId="6FD51055" w:rsidR="006D3746" w:rsidRPr="00EA53BD" w:rsidRDefault="006D3746" w:rsidP="00AA3D6C">
      <w:pPr>
        <w:autoSpaceDE w:val="0"/>
        <w:autoSpaceDN w:val="0"/>
        <w:adjustRightInd w:val="0"/>
        <w:rPr>
          <w:rFonts w:asciiTheme="minorHAnsi" w:hAnsiTheme="minorHAnsi" w:cstheme="minorHAnsi"/>
          <w:i/>
          <w:iCs/>
          <w:color w:val="000000"/>
        </w:rPr>
      </w:pPr>
      <w:r w:rsidRPr="00EA53BD">
        <w:rPr>
          <w:rFonts w:asciiTheme="minorHAnsi" w:hAnsiTheme="minorHAnsi" w:cstheme="minorHAnsi"/>
          <w:i/>
          <w:iCs/>
          <w:color w:val="000000"/>
        </w:rPr>
        <w:lastRenderedPageBreak/>
        <w:t>As addressed in previous RTC</w:t>
      </w:r>
      <w:r w:rsidR="000D6D55">
        <w:rPr>
          <w:rFonts w:asciiTheme="minorHAnsi" w:hAnsiTheme="minorHAnsi" w:cstheme="minorHAnsi"/>
          <w:i/>
          <w:iCs/>
          <w:color w:val="000000"/>
        </w:rPr>
        <w:t xml:space="preserve"> document</w:t>
      </w:r>
      <w:r w:rsidRPr="00EA53BD">
        <w:rPr>
          <w:rFonts w:asciiTheme="minorHAnsi" w:hAnsiTheme="minorHAnsi" w:cstheme="minorHAnsi"/>
          <w:i/>
          <w:iCs/>
          <w:color w:val="000000"/>
        </w:rPr>
        <w:t>s</w:t>
      </w:r>
      <w:r w:rsidR="00164E43">
        <w:rPr>
          <w:rStyle w:val="FootnoteReference"/>
          <w:rFonts w:asciiTheme="minorHAnsi" w:hAnsiTheme="minorHAnsi" w:cstheme="minorHAnsi"/>
          <w:i/>
          <w:iCs/>
          <w:color w:val="000000"/>
        </w:rPr>
        <w:footnoteReference w:id="8"/>
      </w:r>
      <w:r w:rsidRPr="00EA53BD">
        <w:rPr>
          <w:rFonts w:asciiTheme="minorHAnsi" w:hAnsiTheme="minorHAnsi" w:cstheme="minorHAnsi"/>
          <w:i/>
          <w:iCs/>
          <w:color w:val="000000"/>
        </w:rPr>
        <w:t xml:space="preserve">, pesticide usage data available are based on surveys of growers and/or other user groups and is not exhaustive of all usage. For this reason, an update made for the final BE set the lowest possible PCTs at 2.5%. PCTs below this value are rounded up to 2.5% to buffer against uncertainty associated with these surveys and low usage estimates. The surveys utilized by EPA are designed to be statistically robust, but by definition sample the target populations rather than provide a complete accounting of all pesticide usage. Therefore, PCT estimates resulting in values below 2.5% are generally a good indicator of limited usage of an active ingredient, but by using 2.5% the PCT accounts for possible usage not captured by the survey data. </w:t>
      </w:r>
    </w:p>
    <w:p w14:paraId="022FE9C0" w14:textId="77777777" w:rsidR="006D3746" w:rsidRPr="00563DCB" w:rsidRDefault="006D3746" w:rsidP="00AA3D6C">
      <w:pPr>
        <w:rPr>
          <w:rFonts w:asciiTheme="minorHAnsi" w:hAnsiTheme="minorHAnsi" w:cstheme="minorHAnsi"/>
        </w:rPr>
      </w:pPr>
    </w:p>
    <w:p w14:paraId="03271E74" w14:textId="08EB0A96" w:rsidR="006D3746" w:rsidRDefault="00DC3C60" w:rsidP="00AA3D6C">
      <w:pPr>
        <w:pStyle w:val="ListParagraph"/>
        <w:ind w:left="0" w:firstLine="0"/>
        <w:rPr>
          <w:rFonts w:asciiTheme="minorHAnsi" w:hAnsiTheme="minorHAnsi" w:cstheme="minorHAnsi"/>
        </w:rPr>
      </w:pPr>
      <w:r>
        <w:rPr>
          <w:rFonts w:asciiTheme="minorHAnsi" w:hAnsiTheme="minorHAnsi" w:cstheme="minorHAnsi"/>
          <w:b/>
        </w:rPr>
        <w:t>Commenter</w:t>
      </w:r>
      <w:r w:rsidR="006D3746" w:rsidRPr="00563DCB">
        <w:rPr>
          <w:rFonts w:asciiTheme="minorHAnsi" w:hAnsiTheme="minorHAnsi" w:cstheme="minorHAnsi"/>
          <w:b/>
        </w:rPr>
        <w:t>:</w:t>
      </w:r>
      <w:r w:rsidR="006D3746" w:rsidRPr="00563DCB">
        <w:rPr>
          <w:rFonts w:asciiTheme="minorHAnsi" w:hAnsiTheme="minorHAnsi" w:cstheme="minorHAnsi"/>
        </w:rPr>
        <w:t xml:space="preserve"> United States Department of Agriculture (USDA) Office of Pest Management Policy (-0331)</w:t>
      </w:r>
    </w:p>
    <w:p w14:paraId="22167DF9" w14:textId="77777777" w:rsidR="00563DCB" w:rsidRPr="00563DCB" w:rsidRDefault="00563DCB" w:rsidP="00AA3D6C">
      <w:pPr>
        <w:pStyle w:val="ListParagraph"/>
        <w:ind w:left="0" w:firstLine="0"/>
        <w:rPr>
          <w:rFonts w:asciiTheme="minorHAnsi" w:hAnsiTheme="minorHAnsi" w:cstheme="minorHAnsi"/>
        </w:rPr>
      </w:pPr>
    </w:p>
    <w:p w14:paraId="0EC8085C" w14:textId="2D9148AF" w:rsidR="006D3746" w:rsidRDefault="006D3746" w:rsidP="00AA3D6C">
      <w:pPr>
        <w:rPr>
          <w:rFonts w:asciiTheme="minorHAnsi" w:eastAsia="Times New Roman" w:hAnsiTheme="minorHAnsi" w:cstheme="minorHAnsi"/>
        </w:rPr>
      </w:pPr>
      <w:r w:rsidRPr="00563DCB">
        <w:rPr>
          <w:rFonts w:asciiTheme="minorHAnsi" w:eastAsia="Times New Roman" w:hAnsiTheme="minorHAnsi" w:cstheme="minorHAnsi"/>
          <w:b/>
          <w:bCs/>
        </w:rPr>
        <w:t xml:space="preserve">Summary of </w:t>
      </w:r>
      <w:r w:rsidR="00563DCB">
        <w:rPr>
          <w:rFonts w:asciiTheme="minorHAnsi" w:eastAsia="Times New Roman" w:hAnsiTheme="minorHAnsi" w:cstheme="minorHAnsi"/>
          <w:b/>
          <w:bCs/>
        </w:rPr>
        <w:t>C</w:t>
      </w:r>
      <w:r w:rsidRPr="00563DCB">
        <w:rPr>
          <w:rFonts w:asciiTheme="minorHAnsi" w:eastAsia="Times New Roman" w:hAnsiTheme="minorHAnsi" w:cstheme="minorHAnsi"/>
          <w:b/>
          <w:bCs/>
        </w:rPr>
        <w:t xml:space="preserve">omment: </w:t>
      </w:r>
      <w:r w:rsidRPr="00563DCB">
        <w:rPr>
          <w:rFonts w:asciiTheme="minorHAnsi" w:eastAsia="Times New Roman" w:hAnsiTheme="minorHAnsi" w:cstheme="minorHAnsi"/>
        </w:rPr>
        <w:t>“There are significant differences in agricultural application rates across regions and states due to</w:t>
      </w:r>
      <w:r w:rsidRPr="00AA3D6C">
        <w:rPr>
          <w:rFonts w:asciiTheme="minorHAnsi" w:eastAsia="Times New Roman" w:hAnsiTheme="minorHAnsi" w:cstheme="minorHAnsi"/>
        </w:rPr>
        <w:t xml:space="preserve"> variation in pest pressure, crop varieties, soil types, environmental conditions, and agronomic practices. Accordingly, USDA encourages EPA to consider available state-level usage data,</w:t>
      </w:r>
      <w:r w:rsidRPr="00AA3D6C">
        <w:rPr>
          <w:rFonts w:asciiTheme="minorHAnsi" w:hAnsiTheme="minorHAnsi" w:cstheme="minorHAnsi"/>
        </w:rPr>
        <w:t xml:space="preserve"> </w:t>
      </w:r>
      <w:r w:rsidRPr="00AA3D6C">
        <w:rPr>
          <w:rFonts w:asciiTheme="minorHAnsi" w:eastAsia="Times New Roman" w:hAnsiTheme="minorHAnsi" w:cstheme="minorHAnsi"/>
        </w:rPr>
        <w:t>such as from the National Agricultural Statistics Service (NASS), Agricultural Market Research Data (AMRD), the California Pesticide Information Portal Pesticide Use Reporting (</w:t>
      </w:r>
      <w:proofErr w:type="spellStart"/>
      <w:r w:rsidRPr="00AA3D6C">
        <w:rPr>
          <w:rFonts w:asciiTheme="minorHAnsi" w:eastAsia="Times New Roman" w:hAnsiTheme="minorHAnsi" w:cstheme="minorHAnsi"/>
        </w:rPr>
        <w:t>CalPUR</w:t>
      </w:r>
      <w:proofErr w:type="spellEnd"/>
      <w:r w:rsidRPr="00AA3D6C">
        <w:rPr>
          <w:rFonts w:asciiTheme="minorHAnsi" w:eastAsia="Times New Roman" w:hAnsiTheme="minorHAnsi" w:cstheme="minorHAnsi"/>
        </w:rPr>
        <w:t>) database, and other data from individual states whenever possible to determine likely exposure more accurately to listed species and critical habitat.”</w:t>
      </w:r>
    </w:p>
    <w:p w14:paraId="399E398A" w14:textId="77777777" w:rsidR="00563DCB" w:rsidRPr="00563DCB" w:rsidRDefault="00563DCB" w:rsidP="00AA3D6C">
      <w:pPr>
        <w:rPr>
          <w:rFonts w:asciiTheme="minorHAnsi" w:eastAsia="Times New Roman" w:hAnsiTheme="minorHAnsi" w:cstheme="minorHAnsi"/>
        </w:rPr>
      </w:pPr>
    </w:p>
    <w:p w14:paraId="2AF56F16" w14:textId="789E798F" w:rsidR="006D3746" w:rsidRPr="00AA3D6C" w:rsidRDefault="006D3746" w:rsidP="00AA3D6C">
      <w:pPr>
        <w:rPr>
          <w:rFonts w:asciiTheme="minorHAnsi" w:hAnsiTheme="minorHAnsi" w:cstheme="minorHAnsi"/>
        </w:rPr>
      </w:pPr>
      <w:r w:rsidRPr="00563DCB">
        <w:rPr>
          <w:rFonts w:asciiTheme="minorHAnsi" w:eastAsia="Times New Roman" w:hAnsiTheme="minorHAnsi" w:cstheme="minorHAnsi"/>
          <w:b/>
          <w:bCs/>
        </w:rPr>
        <w:t xml:space="preserve">EPA </w:t>
      </w:r>
      <w:r w:rsidR="00DD6C19">
        <w:rPr>
          <w:rFonts w:asciiTheme="minorHAnsi" w:eastAsia="Times New Roman" w:hAnsiTheme="minorHAnsi" w:cstheme="minorHAnsi"/>
          <w:b/>
          <w:bCs/>
        </w:rPr>
        <w:t>R</w:t>
      </w:r>
      <w:r w:rsidRPr="00563DCB">
        <w:rPr>
          <w:rFonts w:asciiTheme="minorHAnsi" w:eastAsia="Times New Roman" w:hAnsiTheme="minorHAnsi" w:cstheme="minorHAnsi"/>
          <w:b/>
          <w:bCs/>
        </w:rPr>
        <w:t xml:space="preserve">esponse: </w:t>
      </w:r>
      <w:r w:rsidRPr="00563DCB">
        <w:rPr>
          <w:rFonts w:asciiTheme="minorHAnsi" w:hAnsiTheme="minorHAnsi" w:cstheme="minorHAnsi"/>
          <w:i/>
          <w:iCs/>
        </w:rPr>
        <w:t>EPA currently uses state level PCT in step 2</w:t>
      </w:r>
      <w:r w:rsidR="00723417">
        <w:rPr>
          <w:rFonts w:asciiTheme="minorHAnsi" w:hAnsiTheme="minorHAnsi" w:cstheme="minorHAnsi"/>
          <w:i/>
          <w:iCs/>
        </w:rPr>
        <w:t xml:space="preserve"> to determine the likelihood of exposure</w:t>
      </w:r>
      <w:r w:rsidRPr="00563DCB">
        <w:rPr>
          <w:rFonts w:asciiTheme="minorHAnsi" w:hAnsiTheme="minorHAnsi" w:cstheme="minorHAnsi"/>
          <w:i/>
          <w:iCs/>
        </w:rPr>
        <w:t>. This step also incorporates national level average application rates</w:t>
      </w:r>
      <w:r w:rsidR="00723417">
        <w:rPr>
          <w:rFonts w:asciiTheme="minorHAnsi" w:hAnsiTheme="minorHAnsi" w:cstheme="minorHAnsi"/>
          <w:i/>
          <w:iCs/>
        </w:rPr>
        <w:t xml:space="preserve"> to help inform the magnitude of exposure</w:t>
      </w:r>
      <w:r w:rsidRPr="00563DCB">
        <w:rPr>
          <w:rFonts w:asciiTheme="minorHAnsi" w:hAnsiTheme="minorHAnsi" w:cstheme="minorHAnsi"/>
          <w:i/>
          <w:iCs/>
        </w:rPr>
        <w:t xml:space="preserve">. EPA will investigate the impact of incorporating state level average rate information </w:t>
      </w:r>
      <w:r w:rsidR="00C752F6">
        <w:rPr>
          <w:rFonts w:asciiTheme="minorHAnsi" w:hAnsiTheme="minorHAnsi" w:cstheme="minorHAnsi"/>
          <w:i/>
          <w:iCs/>
        </w:rPr>
        <w:t xml:space="preserve">as appropriate and necessary during </w:t>
      </w:r>
      <w:r w:rsidR="00C752F6" w:rsidRPr="00C752F6">
        <w:rPr>
          <w:rFonts w:asciiTheme="minorHAnsi" w:hAnsiTheme="minorHAnsi" w:cstheme="minorHAnsi"/>
          <w:i/>
          <w:iCs/>
        </w:rPr>
        <w:t>consultation with the Services</w:t>
      </w:r>
      <w:r w:rsidRPr="00563DCB">
        <w:rPr>
          <w:rFonts w:asciiTheme="minorHAnsi" w:hAnsiTheme="minorHAnsi" w:cstheme="minorHAnsi"/>
          <w:i/>
          <w:iCs/>
        </w:rPr>
        <w:t>. State level average application rates are available to the Agency.</w:t>
      </w:r>
    </w:p>
    <w:p w14:paraId="24B35DA7" w14:textId="77777777" w:rsidR="006D3746" w:rsidRPr="00AA3D6C" w:rsidRDefault="006D3746" w:rsidP="00AA3D6C">
      <w:pPr>
        <w:rPr>
          <w:rFonts w:asciiTheme="minorHAnsi" w:hAnsiTheme="minorHAnsi" w:cstheme="minorHAnsi"/>
        </w:rPr>
      </w:pPr>
    </w:p>
    <w:p w14:paraId="101C9BF3" w14:textId="2F93AC3D" w:rsidR="006D3746" w:rsidRDefault="00DC3C60" w:rsidP="00AA3D6C">
      <w:pPr>
        <w:pStyle w:val="ListParagraph"/>
        <w:ind w:left="0" w:firstLine="0"/>
        <w:rPr>
          <w:rFonts w:asciiTheme="minorHAnsi" w:hAnsiTheme="minorHAnsi" w:cstheme="minorHAnsi"/>
        </w:rPr>
      </w:pPr>
      <w:r>
        <w:rPr>
          <w:rFonts w:asciiTheme="minorHAnsi" w:hAnsiTheme="minorHAnsi" w:cstheme="minorHAnsi"/>
          <w:b/>
          <w:bCs/>
          <w:color w:val="000000"/>
        </w:rPr>
        <w:t>Commenter</w:t>
      </w:r>
      <w:r w:rsidR="006D3746" w:rsidRPr="00AA3D6C">
        <w:rPr>
          <w:rFonts w:asciiTheme="minorHAnsi" w:hAnsiTheme="minorHAnsi" w:cstheme="minorHAnsi"/>
          <w:b/>
          <w:bCs/>
          <w:color w:val="000000"/>
        </w:rPr>
        <w:t xml:space="preserve">s: </w:t>
      </w:r>
      <w:r w:rsidR="006D3746" w:rsidRPr="00AA3D6C">
        <w:rPr>
          <w:rFonts w:asciiTheme="minorHAnsi" w:hAnsiTheme="minorHAnsi" w:cstheme="minorHAnsi"/>
        </w:rPr>
        <w:t xml:space="preserve">Bayer US LLC </w:t>
      </w:r>
      <w:r w:rsidR="006D3746" w:rsidRPr="00563DCB">
        <w:rPr>
          <w:rFonts w:asciiTheme="minorHAnsi" w:hAnsiTheme="minorHAnsi" w:cstheme="minorHAnsi"/>
          <w:i/>
          <w:iCs/>
        </w:rPr>
        <w:t>et al.</w:t>
      </w:r>
      <w:r w:rsidR="006D3746" w:rsidRPr="00AA3D6C">
        <w:rPr>
          <w:rFonts w:asciiTheme="minorHAnsi" w:hAnsiTheme="minorHAnsi" w:cstheme="minorHAnsi"/>
        </w:rPr>
        <w:t xml:space="preserve"> (-0049), Valent U.S.A. LLC (-0051), United States Department of Agriculture (USDA) Office of Pest Management Policy (-0331)</w:t>
      </w:r>
    </w:p>
    <w:p w14:paraId="06241DD6" w14:textId="77777777" w:rsidR="00563DCB" w:rsidRPr="00AA3D6C" w:rsidRDefault="00563DCB" w:rsidP="00AA3D6C">
      <w:pPr>
        <w:pStyle w:val="ListParagraph"/>
        <w:ind w:left="0" w:firstLine="0"/>
        <w:rPr>
          <w:rFonts w:asciiTheme="minorHAnsi" w:hAnsiTheme="minorHAnsi" w:cstheme="minorHAnsi"/>
        </w:rPr>
      </w:pPr>
    </w:p>
    <w:p w14:paraId="3497694F" w14:textId="14FB659F" w:rsidR="006D3746" w:rsidRDefault="006D3746" w:rsidP="00AA3D6C">
      <w:pPr>
        <w:rPr>
          <w:rFonts w:asciiTheme="minorHAnsi" w:eastAsia="Times New Roman" w:hAnsiTheme="minorHAnsi" w:cstheme="minorHAnsi"/>
          <w:color w:val="000000"/>
        </w:rPr>
      </w:pPr>
      <w:r w:rsidRPr="00AA3D6C">
        <w:rPr>
          <w:rFonts w:asciiTheme="minorHAnsi" w:eastAsia="Times New Roman" w:hAnsiTheme="minorHAnsi" w:cstheme="minorHAnsi"/>
          <w:b/>
          <w:bCs/>
          <w:color w:val="000000"/>
        </w:rPr>
        <w:t>Comment:</w:t>
      </w:r>
      <w:r w:rsidR="00563DCB">
        <w:rPr>
          <w:rFonts w:asciiTheme="minorHAnsi" w:eastAsia="Times New Roman" w:hAnsiTheme="minorHAnsi" w:cstheme="minorHAnsi"/>
          <w:b/>
          <w:bCs/>
          <w:color w:val="000000"/>
        </w:rPr>
        <w:t xml:space="preserve"> </w:t>
      </w:r>
      <w:r w:rsidRPr="00AA3D6C">
        <w:rPr>
          <w:rFonts w:asciiTheme="minorHAnsi" w:eastAsia="Times New Roman" w:hAnsiTheme="minorHAnsi" w:cstheme="minorHAnsi"/>
          <w:color w:val="000000"/>
        </w:rPr>
        <w:t xml:space="preserve">Multiple </w:t>
      </w:r>
      <w:r w:rsidR="00DC3C60">
        <w:rPr>
          <w:rFonts w:asciiTheme="minorHAnsi" w:eastAsia="Times New Roman" w:hAnsiTheme="minorHAnsi" w:cstheme="minorHAnsi"/>
          <w:color w:val="000000"/>
        </w:rPr>
        <w:t>commenter</w:t>
      </w:r>
      <w:r w:rsidRPr="00AA3D6C">
        <w:rPr>
          <w:rFonts w:asciiTheme="minorHAnsi" w:eastAsia="Times New Roman" w:hAnsiTheme="minorHAnsi" w:cstheme="minorHAnsi"/>
          <w:color w:val="000000"/>
        </w:rPr>
        <w:t>s expressed concern about the assumptions made in step two for application rates and PCT when no usage data are available for a site.</w:t>
      </w:r>
      <w:r w:rsidRPr="00AA3D6C">
        <w:rPr>
          <w:rFonts w:asciiTheme="minorHAnsi" w:hAnsiTheme="minorHAnsi" w:cstheme="minorHAnsi"/>
        </w:rPr>
        <w:t xml:space="preserve"> </w:t>
      </w:r>
      <w:r w:rsidR="00DC3C60">
        <w:rPr>
          <w:rFonts w:asciiTheme="minorHAnsi" w:eastAsia="Times New Roman" w:hAnsiTheme="minorHAnsi" w:cstheme="minorHAnsi"/>
          <w:color w:val="000000"/>
        </w:rPr>
        <w:t>Commenter</w:t>
      </w:r>
      <w:r w:rsidRPr="00AA3D6C">
        <w:rPr>
          <w:rFonts w:asciiTheme="minorHAnsi" w:eastAsia="Times New Roman" w:hAnsiTheme="minorHAnsi" w:cstheme="minorHAnsi"/>
          <w:color w:val="000000"/>
        </w:rPr>
        <w:t xml:space="preserve">’s concerns are especially acute for non-crop use sites, as data on the </w:t>
      </w:r>
      <w:r w:rsidR="00C53EC7">
        <w:rPr>
          <w:rFonts w:asciiTheme="minorHAnsi" w:eastAsia="Times New Roman" w:hAnsiTheme="minorHAnsi" w:cstheme="minorHAnsi"/>
          <w:color w:val="000000"/>
        </w:rPr>
        <w:t>“</w:t>
      </w:r>
      <w:r w:rsidRPr="00AA3D6C">
        <w:rPr>
          <w:rFonts w:asciiTheme="minorHAnsi" w:eastAsia="Times New Roman" w:hAnsiTheme="minorHAnsi" w:cstheme="minorHAnsi"/>
          <w:color w:val="000000"/>
        </w:rPr>
        <w:t>typical</w:t>
      </w:r>
      <w:r w:rsidR="00C53EC7">
        <w:rPr>
          <w:rFonts w:asciiTheme="minorHAnsi" w:eastAsia="Times New Roman" w:hAnsiTheme="minorHAnsi" w:cstheme="minorHAnsi"/>
          <w:color w:val="000000"/>
        </w:rPr>
        <w:t>”</w:t>
      </w:r>
      <w:r w:rsidRPr="00AA3D6C">
        <w:rPr>
          <w:rFonts w:asciiTheme="minorHAnsi" w:eastAsia="Times New Roman" w:hAnsiTheme="minorHAnsi" w:cstheme="minorHAnsi"/>
          <w:color w:val="000000"/>
        </w:rPr>
        <w:t xml:space="preserve"> usage of pesticides are mainly available for major row and specialty crops. </w:t>
      </w:r>
      <w:r w:rsidR="00C53EC7">
        <w:rPr>
          <w:rFonts w:asciiTheme="minorHAnsi" w:eastAsia="Times New Roman" w:hAnsiTheme="minorHAnsi" w:cstheme="minorHAnsi"/>
          <w:color w:val="000000"/>
        </w:rPr>
        <w:t>“</w:t>
      </w:r>
      <w:r w:rsidRPr="00AA3D6C">
        <w:rPr>
          <w:rFonts w:asciiTheme="minorHAnsi" w:eastAsia="Times New Roman" w:hAnsiTheme="minorHAnsi" w:cstheme="minorHAnsi"/>
          <w:color w:val="000000"/>
        </w:rPr>
        <w:t>Typical</w:t>
      </w:r>
      <w:r w:rsidR="00C53EC7">
        <w:rPr>
          <w:rFonts w:asciiTheme="minorHAnsi" w:eastAsia="Times New Roman" w:hAnsiTheme="minorHAnsi" w:cstheme="minorHAnsi"/>
          <w:color w:val="000000"/>
        </w:rPr>
        <w:t>”</w:t>
      </w:r>
      <w:r w:rsidRPr="00AA3D6C">
        <w:rPr>
          <w:rFonts w:asciiTheme="minorHAnsi" w:eastAsia="Times New Roman" w:hAnsiTheme="minorHAnsi" w:cstheme="minorHAnsi"/>
          <w:color w:val="000000"/>
        </w:rPr>
        <w:t xml:space="preserve"> usage data are unavailable for other use sites, including residential, forestry, poultry litter, and others. Usage data are also lacking for crop seed treatments. For these sites, EPA – in the absence of available </w:t>
      </w:r>
      <w:r w:rsidR="00C53EC7">
        <w:rPr>
          <w:rFonts w:asciiTheme="minorHAnsi" w:eastAsia="Times New Roman" w:hAnsiTheme="minorHAnsi" w:cstheme="minorHAnsi"/>
          <w:color w:val="000000"/>
        </w:rPr>
        <w:t>“</w:t>
      </w:r>
      <w:r w:rsidRPr="00AA3D6C">
        <w:rPr>
          <w:rFonts w:asciiTheme="minorHAnsi" w:eastAsia="Times New Roman" w:hAnsiTheme="minorHAnsi" w:cstheme="minorHAnsi"/>
          <w:color w:val="000000"/>
        </w:rPr>
        <w:t>typical</w:t>
      </w:r>
      <w:r w:rsidR="00C53EC7">
        <w:rPr>
          <w:rFonts w:asciiTheme="minorHAnsi" w:eastAsia="Times New Roman" w:hAnsiTheme="minorHAnsi" w:cstheme="minorHAnsi"/>
          <w:color w:val="000000"/>
        </w:rPr>
        <w:t>”</w:t>
      </w:r>
      <w:r w:rsidRPr="00AA3D6C">
        <w:rPr>
          <w:rFonts w:asciiTheme="minorHAnsi" w:eastAsia="Times New Roman" w:hAnsiTheme="minorHAnsi" w:cstheme="minorHAnsi"/>
          <w:color w:val="000000"/>
        </w:rPr>
        <w:t xml:space="preserve"> usage data – essentially relied on maximum label use information for all exposure modeling, resulting in exposure estimates (and risks to species and critical habitats) for these use sites that are much higher than what would occur given realistic application assumptions.</w:t>
      </w:r>
    </w:p>
    <w:p w14:paraId="53CDCA79" w14:textId="77777777" w:rsidR="00563DCB" w:rsidRPr="00DD6C19" w:rsidRDefault="00563DCB" w:rsidP="00AA3D6C">
      <w:pPr>
        <w:rPr>
          <w:rFonts w:asciiTheme="minorHAnsi" w:eastAsia="Times New Roman" w:hAnsiTheme="minorHAnsi" w:cstheme="minorHAnsi"/>
          <w:color w:val="000000"/>
        </w:rPr>
      </w:pPr>
    </w:p>
    <w:p w14:paraId="2FAFBFBC" w14:textId="0A7B55E8" w:rsidR="006D3746" w:rsidRPr="00DD6C19" w:rsidRDefault="006D3746" w:rsidP="00AA3D6C">
      <w:pPr>
        <w:rPr>
          <w:rFonts w:asciiTheme="minorHAnsi" w:eastAsia="Times New Roman" w:hAnsiTheme="minorHAnsi" w:cstheme="minorHAnsi"/>
          <w:i/>
          <w:iCs/>
          <w:color w:val="000000"/>
        </w:rPr>
      </w:pPr>
      <w:r w:rsidRPr="00DD6C19">
        <w:rPr>
          <w:rFonts w:asciiTheme="minorHAnsi" w:eastAsia="Times New Roman" w:hAnsiTheme="minorHAnsi" w:cstheme="minorHAnsi"/>
          <w:b/>
          <w:color w:val="000000"/>
        </w:rPr>
        <w:t xml:space="preserve">EPA </w:t>
      </w:r>
      <w:r w:rsidR="00DD6C19">
        <w:rPr>
          <w:rFonts w:asciiTheme="minorHAnsi" w:eastAsia="Times New Roman" w:hAnsiTheme="minorHAnsi" w:cstheme="minorHAnsi"/>
          <w:b/>
          <w:color w:val="000000"/>
        </w:rPr>
        <w:t>R</w:t>
      </w:r>
      <w:r w:rsidRPr="00DD6C19">
        <w:rPr>
          <w:rFonts w:asciiTheme="minorHAnsi" w:eastAsia="Times New Roman" w:hAnsiTheme="minorHAnsi" w:cstheme="minorHAnsi"/>
          <w:b/>
          <w:color w:val="000000"/>
        </w:rPr>
        <w:t>esponse</w:t>
      </w:r>
      <w:r w:rsidRPr="00DD6C19">
        <w:rPr>
          <w:rFonts w:asciiTheme="minorHAnsi" w:eastAsia="Times New Roman" w:hAnsiTheme="minorHAnsi" w:cstheme="minorHAnsi"/>
          <w:b/>
          <w:bCs/>
          <w:color w:val="000000"/>
        </w:rPr>
        <w:t>:</w:t>
      </w:r>
      <w:r w:rsidRPr="00DD6C19">
        <w:rPr>
          <w:rFonts w:asciiTheme="minorHAnsi" w:eastAsia="Times New Roman" w:hAnsiTheme="minorHAnsi" w:cstheme="minorHAnsi"/>
          <w:color w:val="000000"/>
        </w:rPr>
        <w:t xml:space="preserve"> </w:t>
      </w:r>
      <w:r w:rsidRPr="00DD6C19">
        <w:rPr>
          <w:rFonts w:asciiTheme="minorHAnsi" w:eastAsia="Times New Roman" w:hAnsiTheme="minorHAnsi" w:cstheme="minorHAnsi"/>
          <w:i/>
          <w:iCs/>
          <w:color w:val="000000"/>
        </w:rPr>
        <w:t xml:space="preserve">EPA strives to utilize the best available data. Currently, EPA incorporates available state-level </w:t>
      </w:r>
      <w:r w:rsidR="00723417">
        <w:rPr>
          <w:rFonts w:asciiTheme="minorHAnsi" w:eastAsia="Times New Roman" w:hAnsiTheme="minorHAnsi" w:cstheme="minorHAnsi"/>
          <w:i/>
          <w:iCs/>
          <w:color w:val="000000"/>
        </w:rPr>
        <w:t xml:space="preserve">PCT </w:t>
      </w:r>
      <w:r w:rsidRPr="00DD6C19">
        <w:rPr>
          <w:rFonts w:asciiTheme="minorHAnsi" w:eastAsia="Times New Roman" w:hAnsiTheme="minorHAnsi" w:cstheme="minorHAnsi"/>
          <w:i/>
          <w:iCs/>
          <w:color w:val="000000"/>
        </w:rPr>
        <w:t>usage data to help determine likely exposure to listed species and critical habitat. In the absence of sufficient data of an acceptable quality for the use site in the state of interest, EPA may develop a usage estimate based on surrogate data (</w:t>
      </w:r>
      <w:r w:rsidRPr="00DD6C19">
        <w:rPr>
          <w:rFonts w:asciiTheme="minorHAnsi" w:eastAsia="Times New Roman" w:hAnsiTheme="minorHAnsi" w:cstheme="minorHAnsi"/>
          <w:color w:val="000000"/>
        </w:rPr>
        <w:t>i.e</w:t>
      </w:r>
      <w:r w:rsidRPr="00DD6C19">
        <w:rPr>
          <w:rFonts w:asciiTheme="minorHAnsi" w:eastAsia="Times New Roman" w:hAnsiTheme="minorHAnsi" w:cstheme="minorHAnsi"/>
          <w:i/>
          <w:iCs/>
          <w:color w:val="000000"/>
        </w:rPr>
        <w:t xml:space="preserve">., similar crops in the same state, the same crop in a nearby location with similar agronomic conditions, use of the national maximum in lieu of state data, </w:t>
      </w:r>
      <w:r w:rsidRPr="00DD6C19">
        <w:rPr>
          <w:rFonts w:asciiTheme="minorHAnsi" w:eastAsia="Times New Roman" w:hAnsiTheme="minorHAnsi" w:cstheme="minorHAnsi"/>
          <w:color w:val="000000"/>
        </w:rPr>
        <w:t>etc</w:t>
      </w:r>
      <w:r w:rsidR="00DD6C19">
        <w:rPr>
          <w:rFonts w:asciiTheme="minorHAnsi" w:eastAsia="Times New Roman" w:hAnsiTheme="minorHAnsi" w:cstheme="minorHAnsi"/>
          <w:color w:val="000000"/>
        </w:rPr>
        <w:t>.</w:t>
      </w:r>
      <w:r w:rsidRPr="00DD6C19">
        <w:rPr>
          <w:rFonts w:asciiTheme="minorHAnsi" w:eastAsia="Times New Roman" w:hAnsiTheme="minorHAnsi" w:cstheme="minorHAnsi"/>
          <w:i/>
          <w:iCs/>
          <w:color w:val="000000"/>
        </w:rPr>
        <w:t>). When identifying a surrogacy method, the EPA takes a conservative approach intended to refine the usage estimate</w:t>
      </w:r>
      <w:r w:rsidR="000338FB">
        <w:rPr>
          <w:rFonts w:asciiTheme="minorHAnsi" w:eastAsia="Times New Roman" w:hAnsiTheme="minorHAnsi" w:cstheme="minorHAnsi"/>
          <w:i/>
          <w:iCs/>
          <w:color w:val="000000"/>
        </w:rPr>
        <w:t>,</w:t>
      </w:r>
      <w:r w:rsidRPr="00DD6C19">
        <w:rPr>
          <w:rFonts w:asciiTheme="minorHAnsi" w:eastAsia="Times New Roman" w:hAnsiTheme="minorHAnsi" w:cstheme="minorHAnsi"/>
          <w:i/>
          <w:iCs/>
          <w:color w:val="000000"/>
        </w:rPr>
        <w:t xml:space="preserve"> and also avoid underestimation. In very few cases is a default assumption of 100 PCT a reasonable approximation of the likely usage of a pesticide. </w:t>
      </w:r>
      <w:r w:rsidR="006A51F7">
        <w:rPr>
          <w:rFonts w:asciiTheme="minorHAnsi" w:eastAsia="Times New Roman" w:hAnsiTheme="minorHAnsi" w:cstheme="minorHAnsi"/>
          <w:i/>
          <w:iCs/>
          <w:color w:val="000000"/>
        </w:rPr>
        <w:t>An e</w:t>
      </w:r>
      <w:r w:rsidRPr="00DD6C19">
        <w:rPr>
          <w:rFonts w:asciiTheme="minorHAnsi" w:eastAsia="Times New Roman" w:hAnsiTheme="minorHAnsi" w:cstheme="minorHAnsi"/>
          <w:i/>
          <w:iCs/>
          <w:color w:val="000000"/>
        </w:rPr>
        <w:t xml:space="preserve">xample of 100 PCT being a relatively </w:t>
      </w:r>
      <w:r w:rsidRPr="00DD6C19">
        <w:rPr>
          <w:rFonts w:asciiTheme="minorHAnsi" w:eastAsia="Times New Roman" w:hAnsiTheme="minorHAnsi" w:cstheme="minorHAnsi"/>
          <w:i/>
          <w:iCs/>
          <w:color w:val="000000"/>
        </w:rPr>
        <w:lastRenderedPageBreak/>
        <w:t xml:space="preserve">reasonable approximation of usage </w:t>
      </w:r>
      <w:r w:rsidR="006A51F7">
        <w:rPr>
          <w:rFonts w:asciiTheme="minorHAnsi" w:eastAsia="Times New Roman" w:hAnsiTheme="minorHAnsi" w:cstheme="minorHAnsi"/>
          <w:i/>
          <w:iCs/>
          <w:color w:val="000000"/>
        </w:rPr>
        <w:t>includes</w:t>
      </w:r>
      <w:r w:rsidRPr="00DD6C19">
        <w:rPr>
          <w:rFonts w:asciiTheme="minorHAnsi" w:eastAsia="Times New Roman" w:hAnsiTheme="minorHAnsi" w:cstheme="minorHAnsi"/>
          <w:i/>
          <w:iCs/>
          <w:color w:val="000000"/>
        </w:rPr>
        <w:t xml:space="preserve"> some herbicides where herbicide</w:t>
      </w:r>
      <w:r w:rsidR="006A51F7">
        <w:rPr>
          <w:rFonts w:asciiTheme="minorHAnsi" w:eastAsia="Times New Roman" w:hAnsiTheme="minorHAnsi" w:cstheme="minorHAnsi"/>
          <w:i/>
          <w:iCs/>
          <w:color w:val="000000"/>
        </w:rPr>
        <w:t>-</w:t>
      </w:r>
      <w:r w:rsidRPr="00DD6C19">
        <w:rPr>
          <w:rFonts w:asciiTheme="minorHAnsi" w:eastAsia="Times New Roman" w:hAnsiTheme="minorHAnsi" w:cstheme="minorHAnsi"/>
          <w:i/>
          <w:iCs/>
          <w:color w:val="000000"/>
        </w:rPr>
        <w:t>tolerant crops are planted almost exclusively. However, that scenario is not representative of most pesticide usage.</w:t>
      </w:r>
    </w:p>
    <w:p w14:paraId="045B6671" w14:textId="77777777" w:rsidR="006D3746" w:rsidRPr="00DD6C19" w:rsidRDefault="006D3746" w:rsidP="00AA3D6C">
      <w:pPr>
        <w:rPr>
          <w:rFonts w:asciiTheme="minorHAnsi" w:eastAsia="Times New Roman" w:hAnsiTheme="minorHAnsi" w:cstheme="minorHAnsi"/>
          <w:i/>
          <w:iCs/>
          <w:color w:val="000000"/>
        </w:rPr>
      </w:pPr>
    </w:p>
    <w:p w14:paraId="4175BA0B" w14:textId="7A6412E1" w:rsidR="006D3746" w:rsidRPr="00DD6C19" w:rsidRDefault="006D3746" w:rsidP="00AA3D6C">
      <w:pPr>
        <w:rPr>
          <w:rFonts w:asciiTheme="minorHAnsi" w:eastAsia="Times New Roman" w:hAnsiTheme="minorHAnsi" w:cstheme="minorHAnsi"/>
          <w:i/>
          <w:iCs/>
          <w:color w:val="000000"/>
        </w:rPr>
      </w:pPr>
      <w:r w:rsidRPr="00DD6C19">
        <w:rPr>
          <w:rFonts w:asciiTheme="minorHAnsi" w:eastAsia="Times New Roman" w:hAnsiTheme="minorHAnsi" w:cstheme="minorHAnsi"/>
          <w:i/>
          <w:iCs/>
          <w:color w:val="000000"/>
        </w:rPr>
        <w:t xml:space="preserve">For many non-agricultural use sites, however, state-level and often national-level usage data are not available, and a suitable surrogate cannot be identified. In the absence of usage data, EPA has relied upon maximum label use information to avoid underestimating exposure. EPA welcomes reliable information on un-surveyed crops or surveyed crops in un-surveyed states that might be used to inform more realistic application assumptions. </w:t>
      </w:r>
      <w:r w:rsidR="00387AA1">
        <w:rPr>
          <w:rFonts w:asciiTheme="minorHAnsi" w:eastAsia="Times New Roman" w:hAnsiTheme="minorHAnsi" w:cstheme="minorHAnsi"/>
          <w:i/>
          <w:iCs/>
          <w:color w:val="000000"/>
        </w:rPr>
        <w:t>If available</w:t>
      </w:r>
      <w:r w:rsidR="00552DC6">
        <w:rPr>
          <w:rFonts w:asciiTheme="minorHAnsi" w:eastAsia="Times New Roman" w:hAnsiTheme="minorHAnsi" w:cstheme="minorHAnsi"/>
          <w:i/>
          <w:iCs/>
          <w:color w:val="000000"/>
        </w:rPr>
        <w:t xml:space="preserve"> and deemed relevant</w:t>
      </w:r>
      <w:r w:rsidR="00387AA1">
        <w:rPr>
          <w:rFonts w:asciiTheme="minorHAnsi" w:eastAsia="Times New Roman" w:hAnsiTheme="minorHAnsi" w:cstheme="minorHAnsi"/>
          <w:i/>
          <w:iCs/>
          <w:color w:val="000000"/>
        </w:rPr>
        <w:t xml:space="preserve">, </w:t>
      </w:r>
      <w:r w:rsidR="0023115B">
        <w:rPr>
          <w:rFonts w:asciiTheme="minorHAnsi" w:eastAsia="Times New Roman" w:hAnsiTheme="minorHAnsi" w:cstheme="minorHAnsi"/>
          <w:i/>
          <w:iCs/>
          <w:color w:val="000000"/>
        </w:rPr>
        <w:t>a</w:t>
      </w:r>
      <w:r w:rsidR="008A3E21">
        <w:rPr>
          <w:rFonts w:asciiTheme="minorHAnsi" w:eastAsia="Times New Roman" w:hAnsiTheme="minorHAnsi" w:cstheme="minorHAnsi"/>
          <w:i/>
          <w:iCs/>
          <w:color w:val="000000"/>
        </w:rPr>
        <w:t xml:space="preserve">dditional information may be included </w:t>
      </w:r>
      <w:r w:rsidR="00387AA1">
        <w:rPr>
          <w:rFonts w:asciiTheme="minorHAnsi" w:eastAsia="Times New Roman" w:hAnsiTheme="minorHAnsi" w:cstheme="minorHAnsi"/>
          <w:i/>
          <w:iCs/>
          <w:color w:val="000000"/>
        </w:rPr>
        <w:t xml:space="preserve">as part of the consultation with the Services. </w:t>
      </w:r>
    </w:p>
    <w:p w14:paraId="5C6F0C4A" w14:textId="77777777" w:rsidR="006D3746" w:rsidRPr="00AA3D6C" w:rsidRDefault="006D3746" w:rsidP="00AA3D6C">
      <w:pPr>
        <w:rPr>
          <w:rFonts w:asciiTheme="minorHAnsi" w:hAnsiTheme="minorHAnsi" w:cstheme="minorHAnsi"/>
        </w:rPr>
      </w:pPr>
    </w:p>
    <w:p w14:paraId="2B3759FC" w14:textId="76A01092" w:rsidR="006D3746" w:rsidRPr="00AA3D6C" w:rsidRDefault="00DD6C19" w:rsidP="007A6DCF">
      <w:pPr>
        <w:pStyle w:val="Heading2"/>
        <w:keepNext/>
        <w:keepLines/>
      </w:pPr>
      <w:bookmarkStart w:id="39" w:name="_Toc106187577"/>
      <w:r>
        <w:t xml:space="preserve">2.7 </w:t>
      </w:r>
      <w:r w:rsidR="00202276">
        <w:t xml:space="preserve"> </w:t>
      </w:r>
      <w:r w:rsidR="006D3746" w:rsidRPr="00AA3D6C">
        <w:t xml:space="preserve">Seed </w:t>
      </w:r>
      <w:r>
        <w:t>T</w:t>
      </w:r>
      <w:r w:rsidR="006D3746" w:rsidRPr="00AA3D6C">
        <w:t>reatment</w:t>
      </w:r>
      <w:bookmarkEnd w:id="39"/>
    </w:p>
    <w:p w14:paraId="64B7D1CE" w14:textId="77777777" w:rsidR="00DD6C19" w:rsidRPr="00DD6C19" w:rsidRDefault="00DD6C19" w:rsidP="007A6DCF">
      <w:pPr>
        <w:keepNext/>
        <w:keepLines/>
        <w:rPr>
          <w:rFonts w:asciiTheme="minorHAnsi" w:hAnsiTheme="minorHAnsi" w:cstheme="minorHAnsi"/>
          <w:b/>
          <w:bCs/>
        </w:rPr>
      </w:pPr>
    </w:p>
    <w:p w14:paraId="0583EFFE" w14:textId="529FFF17" w:rsidR="006D3746" w:rsidRDefault="00DC3C60" w:rsidP="00AA3D6C">
      <w:pPr>
        <w:rPr>
          <w:rFonts w:asciiTheme="minorHAnsi" w:hAnsiTheme="minorHAnsi" w:cstheme="minorHAnsi"/>
        </w:rPr>
      </w:pPr>
      <w:r>
        <w:rPr>
          <w:rFonts w:asciiTheme="minorHAnsi" w:hAnsiTheme="minorHAnsi" w:cstheme="minorHAnsi"/>
          <w:b/>
          <w:bCs/>
        </w:rPr>
        <w:t>Commenter</w:t>
      </w:r>
      <w:r w:rsidR="006D3746" w:rsidRPr="00DD6C19">
        <w:rPr>
          <w:rFonts w:asciiTheme="minorHAnsi" w:hAnsiTheme="minorHAnsi" w:cstheme="minorHAnsi"/>
          <w:b/>
          <w:bCs/>
        </w:rPr>
        <w:t>s</w:t>
      </w:r>
      <w:r w:rsidR="006D3746" w:rsidRPr="00DD6C19">
        <w:rPr>
          <w:rFonts w:asciiTheme="minorHAnsi" w:hAnsiTheme="minorHAnsi" w:cstheme="minorHAnsi"/>
        </w:rPr>
        <w:t xml:space="preserve">: American Soybean Association (ASA) (-0341), BASF Corporation and Valent U.S.A. LLC (-0053), CropLife America (CLA) (-0330), CropLife America (CLA) (-0345), CropLife America (CLA) (-0345), </w:t>
      </w:r>
      <w:r w:rsidR="006D3746" w:rsidRPr="00DD6C19">
        <w:rPr>
          <w:rFonts w:asciiTheme="minorHAnsi" w:eastAsia="Times New Roman" w:hAnsiTheme="minorHAnsi" w:cstheme="minorHAnsi"/>
        </w:rPr>
        <w:t xml:space="preserve">National Sorghum Producers (NSP) (-0351); </w:t>
      </w:r>
      <w:r w:rsidR="006D3746" w:rsidRPr="00DD6C19">
        <w:rPr>
          <w:rFonts w:asciiTheme="minorHAnsi" w:hAnsiTheme="minorHAnsi" w:cstheme="minorHAnsi"/>
        </w:rPr>
        <w:t>United States Department of Agriculture (USDA) (-0331)</w:t>
      </w:r>
    </w:p>
    <w:p w14:paraId="733107E2" w14:textId="77777777" w:rsidR="00DD6C19" w:rsidRPr="00DD6C19" w:rsidRDefault="00DD6C19" w:rsidP="00AA3D6C">
      <w:pPr>
        <w:rPr>
          <w:rFonts w:asciiTheme="minorHAnsi" w:hAnsiTheme="minorHAnsi" w:cstheme="minorHAnsi"/>
        </w:rPr>
      </w:pPr>
    </w:p>
    <w:p w14:paraId="319A95C7" w14:textId="08F66C46" w:rsidR="006D3746" w:rsidRPr="00AA3D6C" w:rsidRDefault="006D3746" w:rsidP="00AA3D6C">
      <w:pPr>
        <w:rPr>
          <w:rFonts w:asciiTheme="minorHAnsi" w:hAnsiTheme="minorHAnsi" w:cstheme="minorHAnsi"/>
        </w:rPr>
      </w:pPr>
      <w:r w:rsidRPr="00DD6C19">
        <w:rPr>
          <w:rFonts w:asciiTheme="minorHAnsi" w:hAnsiTheme="minorHAnsi" w:cstheme="minorHAnsi"/>
          <w:b/>
          <w:bCs/>
        </w:rPr>
        <w:t xml:space="preserve">Summary of Comments: </w:t>
      </w:r>
      <w:r w:rsidRPr="00DD6C19">
        <w:rPr>
          <w:rFonts w:asciiTheme="minorHAnsi" w:hAnsiTheme="minorHAnsi" w:cstheme="minorHAnsi"/>
        </w:rPr>
        <w:t xml:space="preserve">The </w:t>
      </w:r>
      <w:r w:rsidR="00DC3C60">
        <w:rPr>
          <w:rFonts w:asciiTheme="minorHAnsi" w:hAnsiTheme="minorHAnsi" w:cstheme="minorHAnsi"/>
        </w:rPr>
        <w:t>commenter</w:t>
      </w:r>
      <w:r w:rsidRPr="00DD6C19">
        <w:rPr>
          <w:rFonts w:asciiTheme="minorHAnsi" w:hAnsiTheme="minorHAnsi" w:cstheme="minorHAnsi"/>
        </w:rPr>
        <w:t>s noted that seed treatments are important for pest management and for IPM programs</w:t>
      </w:r>
      <w:r w:rsidRPr="00AA3D6C">
        <w:rPr>
          <w:rFonts w:asciiTheme="minorHAnsi" w:hAnsiTheme="minorHAnsi" w:cstheme="minorHAnsi"/>
        </w:rPr>
        <w:t xml:space="preserve">. The </w:t>
      </w:r>
      <w:r w:rsidR="00DC3C60">
        <w:rPr>
          <w:rFonts w:asciiTheme="minorHAnsi" w:hAnsiTheme="minorHAnsi" w:cstheme="minorHAnsi"/>
        </w:rPr>
        <w:t>commenter</w:t>
      </w:r>
      <w:r w:rsidRPr="00AA3D6C">
        <w:rPr>
          <w:rFonts w:asciiTheme="minorHAnsi" w:hAnsiTheme="minorHAnsi" w:cstheme="minorHAnsi"/>
        </w:rPr>
        <w:t xml:space="preserve">s suggested for the Agency to integrate quantitative seed treatment usage within assessments. The </w:t>
      </w:r>
      <w:r w:rsidR="00DC3C60">
        <w:rPr>
          <w:rFonts w:asciiTheme="minorHAnsi" w:hAnsiTheme="minorHAnsi" w:cstheme="minorHAnsi"/>
        </w:rPr>
        <w:t>commenter</w:t>
      </w:r>
      <w:r w:rsidRPr="00AA3D6C">
        <w:rPr>
          <w:rFonts w:asciiTheme="minorHAnsi" w:hAnsiTheme="minorHAnsi" w:cstheme="minorHAnsi"/>
        </w:rPr>
        <w:t xml:space="preserve">s expressed that the current assumptions for seed treatment usage are too conservative when assuming 100% of seed is treated, or when using foliar PCT data as a surrogate. The </w:t>
      </w:r>
      <w:r w:rsidR="00DC3C60">
        <w:rPr>
          <w:rFonts w:asciiTheme="minorHAnsi" w:hAnsiTheme="minorHAnsi" w:cstheme="minorHAnsi"/>
        </w:rPr>
        <w:t>commenter</w:t>
      </w:r>
      <w:r w:rsidRPr="00AA3D6C">
        <w:rPr>
          <w:rFonts w:asciiTheme="minorHAnsi" w:hAnsiTheme="minorHAnsi" w:cstheme="minorHAnsi"/>
        </w:rPr>
        <w:t xml:space="preserve">s provided seed treatment quantitative usage data and various data source suggestions: Context, Benjamin Kirk, seed sales data, NASS or a combination of usage data sources. It was suggested that in the </w:t>
      </w:r>
      <w:r w:rsidR="00DD6C19" w:rsidRPr="00AA3D6C">
        <w:rPr>
          <w:rFonts w:asciiTheme="minorHAnsi" w:hAnsiTheme="minorHAnsi" w:cstheme="minorHAnsi"/>
        </w:rPr>
        <w:t>absence</w:t>
      </w:r>
      <w:r w:rsidRPr="00AA3D6C">
        <w:rPr>
          <w:rFonts w:asciiTheme="minorHAnsi" w:hAnsiTheme="minorHAnsi" w:cstheme="minorHAnsi"/>
        </w:rPr>
        <w:t xml:space="preserve"> of quantifiable data, qualitative data, such as the species biology, could be used to identify when a species would be eating seed, and apply this information to the time of the planted treated seed to identify exposure to species from eating treated seeds. One </w:t>
      </w:r>
      <w:r w:rsidR="00DC3C60">
        <w:rPr>
          <w:rFonts w:asciiTheme="minorHAnsi" w:hAnsiTheme="minorHAnsi" w:cstheme="minorHAnsi"/>
        </w:rPr>
        <w:t>commenter</w:t>
      </w:r>
      <w:r w:rsidRPr="00AA3D6C">
        <w:rPr>
          <w:rFonts w:asciiTheme="minorHAnsi" w:hAnsiTheme="minorHAnsi" w:cstheme="minorHAnsi"/>
        </w:rPr>
        <w:t xml:space="preserve">, ASA, cited previous BEAD assessments, the screening level usage analyses (SLUAs) which previously, but no longer, incorporated seed treatment usage data. </w:t>
      </w:r>
    </w:p>
    <w:p w14:paraId="1270B71B" w14:textId="77777777" w:rsidR="006D3746" w:rsidRPr="00AA3D6C" w:rsidRDefault="006D3746" w:rsidP="00AA3D6C">
      <w:pPr>
        <w:rPr>
          <w:rFonts w:asciiTheme="minorHAnsi" w:hAnsiTheme="minorHAnsi" w:cstheme="minorHAnsi"/>
          <w:b/>
          <w:bCs/>
        </w:rPr>
      </w:pPr>
    </w:p>
    <w:p w14:paraId="092D490D" w14:textId="1CC8D496" w:rsidR="006D3746" w:rsidRPr="00DD6C19" w:rsidRDefault="006D3746" w:rsidP="00AA3D6C">
      <w:pPr>
        <w:rPr>
          <w:rFonts w:asciiTheme="minorHAnsi" w:hAnsiTheme="minorHAnsi" w:cstheme="minorHAnsi"/>
          <w:i/>
          <w:iCs/>
        </w:rPr>
      </w:pPr>
      <w:r w:rsidRPr="00DD6C19">
        <w:rPr>
          <w:rFonts w:asciiTheme="minorHAnsi" w:hAnsiTheme="minorHAnsi" w:cstheme="minorHAnsi"/>
          <w:b/>
          <w:bCs/>
        </w:rPr>
        <w:t xml:space="preserve">EPA Response: </w:t>
      </w:r>
      <w:r w:rsidRPr="00DD6C19">
        <w:rPr>
          <w:rFonts w:asciiTheme="minorHAnsi" w:hAnsiTheme="minorHAnsi" w:cstheme="minorHAnsi"/>
          <w:i/>
          <w:iCs/>
        </w:rPr>
        <w:t>The Agency</w:t>
      </w:r>
      <w:r w:rsidRPr="00DD6C19">
        <w:rPr>
          <w:rFonts w:asciiTheme="minorHAnsi" w:hAnsiTheme="minorHAnsi" w:cstheme="minorHAnsi"/>
          <w:b/>
          <w:bCs/>
          <w:i/>
          <w:iCs/>
        </w:rPr>
        <w:t xml:space="preserve"> </w:t>
      </w:r>
      <w:r w:rsidRPr="00DD6C19">
        <w:rPr>
          <w:rFonts w:asciiTheme="minorHAnsi" w:hAnsiTheme="minorHAnsi" w:cstheme="minorHAnsi"/>
          <w:i/>
          <w:iCs/>
        </w:rPr>
        <w:t xml:space="preserve">appreciates the additional information provided, including seed treatment use and usage information and additional options for the Agency to look into seed treatment data sources. </w:t>
      </w:r>
    </w:p>
    <w:p w14:paraId="09D0F330" w14:textId="77777777" w:rsidR="00DD6C19" w:rsidRPr="00DD6C19" w:rsidRDefault="00DD6C19" w:rsidP="00AA3D6C">
      <w:pPr>
        <w:rPr>
          <w:rFonts w:asciiTheme="minorHAnsi" w:hAnsiTheme="minorHAnsi" w:cstheme="minorHAnsi"/>
          <w:i/>
          <w:iCs/>
        </w:rPr>
      </w:pPr>
    </w:p>
    <w:p w14:paraId="29581AB7" w14:textId="727A2F1D" w:rsidR="006D3746" w:rsidRPr="00DD6C19" w:rsidRDefault="006D3746" w:rsidP="00AA3D6C">
      <w:pPr>
        <w:rPr>
          <w:rFonts w:asciiTheme="minorHAnsi" w:hAnsiTheme="minorHAnsi" w:cstheme="minorHAnsi"/>
          <w:i/>
          <w:iCs/>
        </w:rPr>
      </w:pPr>
      <w:r w:rsidRPr="00DD6C19">
        <w:rPr>
          <w:rStyle w:val="normaltextrun"/>
          <w:rFonts w:asciiTheme="minorHAnsi" w:hAnsiTheme="minorHAnsi" w:cstheme="minorHAnsi"/>
          <w:i/>
          <w:iCs/>
          <w:color w:val="000000"/>
          <w:bdr w:val="none" w:sz="0" w:space="0" w:color="auto" w:frame="1"/>
        </w:rPr>
        <w:t xml:space="preserve">The Agency recognizes the important role that seed treatments fill and that seed treatment usage can be substantial. However, </w:t>
      </w:r>
      <w:r w:rsidRPr="00DD6C19">
        <w:rPr>
          <w:rStyle w:val="normaltextrun"/>
          <w:rFonts w:asciiTheme="minorHAnsi" w:hAnsiTheme="minorHAnsi" w:cstheme="minorHAnsi"/>
          <w:i/>
          <w:iCs/>
          <w:color w:val="000000"/>
          <w:shd w:val="clear" w:color="auto" w:fill="FFFFFF"/>
        </w:rPr>
        <w:t xml:space="preserve">the Agency currently has no seed treatment usage data upon which to make reliable estimates of usage. Therefore, EPA made conservative assumptions or utilized surrogate usage information to account for this lack of quantitative information. While verifiable quantitative usage data that indicate the total pounds active ingredient used to treat seed or the location and the number of acres planted with treated seed are not currently available, nor has the Agency been able to verify the quality of the usage data provided by the commenter, applications of </w:t>
      </w:r>
      <w:r w:rsidR="006E42E6" w:rsidRPr="00DD6C19">
        <w:rPr>
          <w:rStyle w:val="normaltextrun"/>
          <w:rFonts w:asciiTheme="minorHAnsi" w:hAnsiTheme="minorHAnsi" w:cstheme="minorHAnsi"/>
          <w:i/>
          <w:iCs/>
          <w:color w:val="000000"/>
          <w:shd w:val="clear" w:color="auto" w:fill="FFFFFF"/>
        </w:rPr>
        <w:t>ne</w:t>
      </w:r>
      <w:r w:rsidR="006E42E6">
        <w:rPr>
          <w:rStyle w:val="normaltextrun"/>
          <w:rFonts w:asciiTheme="minorHAnsi" w:hAnsiTheme="minorHAnsi" w:cstheme="minorHAnsi"/>
          <w:i/>
          <w:iCs/>
          <w:color w:val="000000"/>
          <w:shd w:val="clear" w:color="auto" w:fill="FFFFFF"/>
        </w:rPr>
        <w:t>o</w:t>
      </w:r>
      <w:r w:rsidR="006E42E6" w:rsidRPr="00DD6C19">
        <w:rPr>
          <w:rStyle w:val="normaltextrun"/>
          <w:rFonts w:asciiTheme="minorHAnsi" w:hAnsiTheme="minorHAnsi" w:cstheme="minorHAnsi"/>
          <w:i/>
          <w:iCs/>
          <w:color w:val="000000"/>
          <w:shd w:val="clear" w:color="auto" w:fill="FFFFFF"/>
        </w:rPr>
        <w:t>nicotinoids</w:t>
      </w:r>
      <w:r w:rsidRPr="00DD6C19">
        <w:rPr>
          <w:rStyle w:val="normaltextrun"/>
          <w:rFonts w:asciiTheme="minorHAnsi" w:hAnsiTheme="minorHAnsi" w:cstheme="minorHAnsi"/>
          <w:i/>
          <w:iCs/>
          <w:color w:val="000000"/>
          <w:shd w:val="clear" w:color="auto" w:fill="FFFFFF"/>
        </w:rPr>
        <w:t xml:space="preserve"> to seed and seed pieces may be generally characterized as commonly used on a wide variety of crop seeds and seed pieces for planting based on extension recommendations and other information. </w:t>
      </w:r>
      <w:r w:rsidRPr="00DD6C19">
        <w:rPr>
          <w:rFonts w:asciiTheme="minorHAnsi" w:hAnsiTheme="minorHAnsi" w:cstheme="minorHAnsi"/>
          <w:i/>
          <w:iCs/>
        </w:rPr>
        <w:t xml:space="preserve">The Agency has actively been seeking out and meeting with data sources for seed treatment usage information. The Agency is pursuing options to purchase additional seed treatment usage information and </w:t>
      </w:r>
      <w:r w:rsidR="00186534">
        <w:rPr>
          <w:rFonts w:asciiTheme="minorHAnsi" w:hAnsiTheme="minorHAnsi" w:cstheme="minorHAnsi"/>
          <w:i/>
          <w:iCs/>
        </w:rPr>
        <w:t xml:space="preserve">if available </w:t>
      </w:r>
      <w:r w:rsidRPr="00DD6C19">
        <w:rPr>
          <w:rFonts w:asciiTheme="minorHAnsi" w:hAnsiTheme="minorHAnsi" w:cstheme="minorHAnsi"/>
          <w:i/>
          <w:iCs/>
        </w:rPr>
        <w:t>will consider the newly identified usage data source</w:t>
      </w:r>
      <w:r w:rsidR="00186534">
        <w:rPr>
          <w:rFonts w:asciiTheme="minorHAnsi" w:hAnsiTheme="minorHAnsi" w:cstheme="minorHAnsi"/>
          <w:i/>
          <w:iCs/>
        </w:rPr>
        <w:t xml:space="preserve"> as part of the consultation with the Services</w:t>
      </w:r>
      <w:r w:rsidRPr="00DD6C19">
        <w:rPr>
          <w:rFonts w:asciiTheme="minorHAnsi" w:hAnsiTheme="minorHAnsi" w:cstheme="minorHAnsi"/>
          <w:i/>
          <w:iCs/>
        </w:rPr>
        <w:t xml:space="preserve">. </w:t>
      </w:r>
    </w:p>
    <w:p w14:paraId="2B0ADDEE" w14:textId="77777777" w:rsidR="00DD6C19" w:rsidRPr="00DD6C19" w:rsidRDefault="00DD6C19" w:rsidP="00AA3D6C">
      <w:pPr>
        <w:rPr>
          <w:rFonts w:asciiTheme="minorHAnsi" w:hAnsiTheme="minorHAnsi" w:cstheme="minorHAnsi"/>
          <w:i/>
          <w:iCs/>
        </w:rPr>
      </w:pPr>
    </w:p>
    <w:p w14:paraId="3405B1A7" w14:textId="03A2E3AB" w:rsidR="006D3746" w:rsidRPr="00DD6C19" w:rsidRDefault="006D3746" w:rsidP="00AA3D6C">
      <w:pPr>
        <w:rPr>
          <w:rFonts w:asciiTheme="minorHAnsi" w:hAnsiTheme="minorHAnsi" w:cstheme="minorHAnsi"/>
          <w:i/>
          <w:iCs/>
        </w:rPr>
      </w:pPr>
      <w:r w:rsidRPr="00DD6C19">
        <w:rPr>
          <w:rFonts w:asciiTheme="minorHAnsi" w:hAnsiTheme="minorHAnsi" w:cstheme="minorHAnsi"/>
          <w:i/>
          <w:iCs/>
        </w:rPr>
        <w:t xml:space="preserve">ASA has referenced previous SLUAs prepared by BEAD for clothianidin (2015), thiamethoxam (2016) and imidacloprid (2017) which referenced seed treatment usage data. Unfortunately, </w:t>
      </w:r>
      <w:proofErr w:type="spellStart"/>
      <w:r w:rsidRPr="00DD6C19">
        <w:rPr>
          <w:rFonts w:asciiTheme="minorHAnsi" w:hAnsiTheme="minorHAnsi" w:cstheme="minorHAnsi"/>
          <w:i/>
          <w:iCs/>
        </w:rPr>
        <w:t>Kynetec</w:t>
      </w:r>
      <w:proofErr w:type="spellEnd"/>
      <w:r w:rsidRPr="00DD6C19">
        <w:rPr>
          <w:rFonts w:asciiTheme="minorHAnsi" w:hAnsiTheme="minorHAnsi" w:cstheme="minorHAnsi"/>
          <w:i/>
          <w:iCs/>
        </w:rPr>
        <w:t xml:space="preserve"> USA, Inc., the primary source of agricultural usage data including the historical (2005-2014) seed treatment data used </w:t>
      </w:r>
      <w:r w:rsidRPr="00DD6C19">
        <w:rPr>
          <w:rFonts w:asciiTheme="minorHAnsi" w:hAnsiTheme="minorHAnsi" w:cstheme="minorHAnsi"/>
          <w:i/>
          <w:iCs/>
        </w:rPr>
        <w:lastRenderedPageBreak/>
        <w:t>by EPA,</w:t>
      </w:r>
      <w:r w:rsidRPr="00DD6C19" w:rsidDel="00AF5E44">
        <w:rPr>
          <w:rFonts w:asciiTheme="minorHAnsi" w:hAnsiTheme="minorHAnsi" w:cstheme="minorHAnsi"/>
          <w:i/>
          <w:iCs/>
        </w:rPr>
        <w:t xml:space="preserve"> </w:t>
      </w:r>
      <w:r w:rsidRPr="00DD6C19">
        <w:rPr>
          <w:rFonts w:asciiTheme="minorHAnsi" w:hAnsiTheme="minorHAnsi" w:cstheme="minorHAnsi"/>
          <w:i/>
          <w:iCs/>
        </w:rPr>
        <w:t>no longer provides seed treatment usage data.</w:t>
      </w:r>
      <w:r w:rsidRPr="00DD6C19">
        <w:rPr>
          <w:rFonts w:asciiTheme="minorHAnsi" w:hAnsiTheme="minorHAnsi" w:cstheme="minorHAnsi"/>
          <w:b/>
          <w:bCs/>
          <w:i/>
          <w:iCs/>
        </w:rPr>
        <w:t xml:space="preserve"> </w:t>
      </w:r>
      <w:proofErr w:type="spellStart"/>
      <w:r w:rsidRPr="00DD6C19">
        <w:rPr>
          <w:rFonts w:asciiTheme="minorHAnsi" w:hAnsiTheme="minorHAnsi" w:cstheme="minorHAnsi"/>
          <w:bCs/>
          <w:i/>
          <w:iCs/>
        </w:rPr>
        <w:t>Kynetec</w:t>
      </w:r>
      <w:proofErr w:type="spellEnd"/>
      <w:r w:rsidRPr="00DD6C19">
        <w:rPr>
          <w:rFonts w:asciiTheme="minorHAnsi" w:hAnsiTheme="minorHAnsi" w:cstheme="minorHAnsi"/>
          <w:bCs/>
          <w:i/>
          <w:iCs/>
        </w:rPr>
        <w:t xml:space="preserve"> USA, Inc., ceased providing data in 2015 due to concerns that they had about the reliability of the data that stemmed primarily from farmers inability to identify what seed treatment was on their seed. Seed treatment brand names often transcend seed type (</w:t>
      </w:r>
      <w:r w:rsidRPr="00DD6C19">
        <w:rPr>
          <w:rFonts w:asciiTheme="minorHAnsi" w:hAnsiTheme="minorHAnsi" w:cstheme="minorHAnsi"/>
          <w:bCs/>
        </w:rPr>
        <w:t>e.g</w:t>
      </w:r>
      <w:r w:rsidRPr="00DD6C19">
        <w:rPr>
          <w:rFonts w:asciiTheme="minorHAnsi" w:hAnsiTheme="minorHAnsi" w:cstheme="minorHAnsi"/>
          <w:bCs/>
          <w:i/>
          <w:iCs/>
        </w:rPr>
        <w:t xml:space="preserve">., Cruiser Maxx Brand Soybeans, Cruiser Maxx Brand Corn, Cruiser Maxx Brand Wheat, Cruiser Maxx Brand Rice) and there may be multiple products with different coatings under the same brand name within a seed, further complicating understanding of the coatings applied to the seed that the grower is planting. For these reasons, </w:t>
      </w:r>
      <w:proofErr w:type="spellStart"/>
      <w:r w:rsidRPr="00DD6C19">
        <w:rPr>
          <w:rFonts w:asciiTheme="minorHAnsi" w:hAnsiTheme="minorHAnsi" w:cstheme="minorHAnsi"/>
          <w:bCs/>
          <w:i/>
          <w:iCs/>
        </w:rPr>
        <w:t>Kynetec</w:t>
      </w:r>
      <w:proofErr w:type="spellEnd"/>
      <w:r w:rsidRPr="00DD6C19">
        <w:rPr>
          <w:rFonts w:asciiTheme="minorHAnsi" w:hAnsiTheme="minorHAnsi" w:cstheme="minorHAnsi"/>
          <w:bCs/>
          <w:i/>
          <w:iCs/>
        </w:rPr>
        <w:t xml:space="preserve"> USA, Inc. has stated they no longer support the seed treatment data that they offered previously.</w:t>
      </w:r>
      <w:r w:rsidRPr="00DD6C19">
        <w:rPr>
          <w:rFonts w:asciiTheme="minorHAnsi" w:hAnsiTheme="minorHAnsi" w:cstheme="minorHAnsi"/>
          <w:i/>
          <w:iCs/>
        </w:rPr>
        <w:t xml:space="preserve"> These SLUAs were utilizing usage data from prior to and leading up to 2015. The Agency is committed to using the most current sound science and adapting methodology based on new information available. Therefore, because the data source has indicated the seed treatment data are no longer reliable, the Agency no longer relies on th</w:t>
      </w:r>
      <w:r w:rsidR="005E6F48">
        <w:rPr>
          <w:rFonts w:asciiTheme="minorHAnsi" w:hAnsiTheme="minorHAnsi" w:cstheme="minorHAnsi"/>
          <w:i/>
          <w:iCs/>
        </w:rPr>
        <w:t>ese</w:t>
      </w:r>
      <w:r w:rsidRPr="00DD6C19">
        <w:rPr>
          <w:rFonts w:asciiTheme="minorHAnsi" w:hAnsiTheme="minorHAnsi" w:cstheme="minorHAnsi"/>
          <w:i/>
          <w:iCs/>
        </w:rPr>
        <w:t xml:space="preserve"> data.</w:t>
      </w:r>
      <w:r w:rsidRPr="00DD6C19" w:rsidDel="007F3963">
        <w:rPr>
          <w:rFonts w:asciiTheme="minorHAnsi" w:hAnsiTheme="minorHAnsi" w:cstheme="minorHAnsi"/>
          <w:i/>
          <w:iCs/>
        </w:rPr>
        <w:t xml:space="preserve"> </w:t>
      </w:r>
      <w:r w:rsidRPr="00DD6C19">
        <w:rPr>
          <w:rFonts w:asciiTheme="minorHAnsi" w:hAnsiTheme="minorHAnsi" w:cstheme="minorHAnsi"/>
          <w:i/>
          <w:iCs/>
        </w:rPr>
        <w:t>As such, the Agency has released updated SLUAs for clothianidin (2020), thiamethoxam (2020), imidacloprid (2020) which included a note that seed treatment data were no longer available and not reported in the SLUAs.</w:t>
      </w:r>
    </w:p>
    <w:p w14:paraId="597D1EF8" w14:textId="77777777" w:rsidR="006D3746" w:rsidRPr="00E00B90" w:rsidRDefault="006D3746" w:rsidP="00AA3D6C">
      <w:pPr>
        <w:rPr>
          <w:rFonts w:asciiTheme="minorHAnsi" w:hAnsiTheme="minorHAnsi" w:cstheme="minorHAnsi"/>
          <w:b/>
          <w:bCs/>
        </w:rPr>
      </w:pPr>
    </w:p>
    <w:p w14:paraId="3019FEFD" w14:textId="39B638F7" w:rsidR="006D3746" w:rsidRDefault="00DC3C60" w:rsidP="00AA3D6C">
      <w:pPr>
        <w:rPr>
          <w:rFonts w:asciiTheme="minorHAnsi" w:hAnsiTheme="minorHAnsi" w:cstheme="minorHAnsi"/>
        </w:rPr>
      </w:pPr>
      <w:r>
        <w:rPr>
          <w:rFonts w:asciiTheme="minorHAnsi" w:hAnsiTheme="minorHAnsi" w:cstheme="minorHAnsi"/>
          <w:b/>
          <w:bCs/>
        </w:rPr>
        <w:t>Commenter</w:t>
      </w:r>
      <w:r w:rsidR="006D3746" w:rsidRPr="00E00B90">
        <w:rPr>
          <w:rFonts w:asciiTheme="minorHAnsi" w:hAnsiTheme="minorHAnsi" w:cstheme="minorHAnsi"/>
        </w:rPr>
        <w:t>: Center for Food Safety (CFS) (-0465)</w:t>
      </w:r>
    </w:p>
    <w:p w14:paraId="5344D10F" w14:textId="77777777" w:rsidR="00E00B90" w:rsidRPr="00E00B90" w:rsidRDefault="00E00B90" w:rsidP="00AA3D6C">
      <w:pPr>
        <w:rPr>
          <w:rFonts w:asciiTheme="minorHAnsi" w:hAnsiTheme="minorHAnsi" w:cstheme="minorHAnsi"/>
        </w:rPr>
      </w:pPr>
    </w:p>
    <w:p w14:paraId="70580327" w14:textId="21C9485C" w:rsidR="006D3746" w:rsidRDefault="006D3746" w:rsidP="00AA3D6C">
      <w:pPr>
        <w:rPr>
          <w:rFonts w:asciiTheme="minorHAnsi" w:hAnsiTheme="minorHAnsi" w:cstheme="minorHAnsi"/>
          <w:b/>
          <w:bCs/>
        </w:rPr>
      </w:pPr>
      <w:r w:rsidRPr="00E00B90">
        <w:rPr>
          <w:rFonts w:asciiTheme="minorHAnsi" w:hAnsiTheme="minorHAnsi" w:cstheme="minorHAnsi"/>
          <w:b/>
          <w:bCs/>
        </w:rPr>
        <w:t>Summary of Comment:</w:t>
      </w:r>
      <w:r w:rsidRPr="00E00B90">
        <w:rPr>
          <w:rFonts w:asciiTheme="minorHAnsi" w:hAnsiTheme="minorHAnsi" w:cstheme="minorHAnsi"/>
        </w:rPr>
        <w:t xml:space="preserve"> CFS commented on various aspects of the characterization and usage of seed treatment usage data. CFS noted that the wording surrounding what defines total agricultural usage is misleading. CFS also indicated other seed treatment usage data sources (</w:t>
      </w:r>
      <w:proofErr w:type="spellStart"/>
      <w:r w:rsidRPr="00E00B90">
        <w:rPr>
          <w:rFonts w:asciiTheme="minorHAnsi" w:hAnsiTheme="minorHAnsi" w:cstheme="minorHAnsi"/>
        </w:rPr>
        <w:t>Kynetec</w:t>
      </w:r>
      <w:proofErr w:type="spellEnd"/>
      <w:r w:rsidRPr="00E00B90">
        <w:rPr>
          <w:rFonts w:asciiTheme="minorHAnsi" w:hAnsiTheme="minorHAnsi" w:cstheme="minorHAnsi"/>
        </w:rPr>
        <w:t xml:space="preserve"> USA Inc) whom is being used by USGS. CFS noted that previous assessments provided by BEAD (the SLUA) utilize</w:t>
      </w:r>
      <w:r w:rsidR="00C5313F">
        <w:rPr>
          <w:rFonts w:asciiTheme="minorHAnsi" w:hAnsiTheme="minorHAnsi" w:cstheme="minorHAnsi"/>
        </w:rPr>
        <w:t>d</w:t>
      </w:r>
      <w:r w:rsidRPr="00E00B90">
        <w:rPr>
          <w:rFonts w:asciiTheme="minorHAnsi" w:hAnsiTheme="minorHAnsi" w:cstheme="minorHAnsi"/>
        </w:rPr>
        <w:t xml:space="preserve"> seed treatment usage information.</w:t>
      </w:r>
      <w:r w:rsidRPr="00E00B90">
        <w:rPr>
          <w:rFonts w:asciiTheme="minorHAnsi" w:hAnsiTheme="minorHAnsi" w:cstheme="minorHAnsi"/>
          <w:b/>
          <w:bCs/>
        </w:rPr>
        <w:t xml:space="preserve"> </w:t>
      </w:r>
    </w:p>
    <w:p w14:paraId="4D8D804F" w14:textId="77777777" w:rsidR="00E00B90" w:rsidRPr="00E00B90" w:rsidRDefault="00E00B90" w:rsidP="00AA3D6C">
      <w:pPr>
        <w:rPr>
          <w:rFonts w:asciiTheme="minorHAnsi" w:hAnsiTheme="minorHAnsi" w:cstheme="minorHAnsi"/>
          <w:b/>
        </w:rPr>
      </w:pPr>
    </w:p>
    <w:p w14:paraId="7B7DE7CD" w14:textId="0031EB46" w:rsidR="006D3746" w:rsidRPr="00E00B90" w:rsidRDefault="006D3746" w:rsidP="00AA3D6C">
      <w:pPr>
        <w:rPr>
          <w:rFonts w:asciiTheme="minorHAnsi" w:hAnsiTheme="minorHAnsi"/>
          <w:i/>
        </w:rPr>
      </w:pPr>
      <w:r w:rsidRPr="37F6F2A2">
        <w:rPr>
          <w:rFonts w:asciiTheme="minorHAnsi" w:hAnsiTheme="minorHAnsi"/>
          <w:b/>
        </w:rPr>
        <w:t>EPA Response:</w:t>
      </w:r>
      <w:r w:rsidRPr="37F6F2A2">
        <w:rPr>
          <w:rFonts w:asciiTheme="minorHAnsi" w:hAnsiTheme="minorHAnsi"/>
        </w:rPr>
        <w:t xml:space="preserve"> </w:t>
      </w:r>
      <w:r w:rsidRPr="37F6F2A2">
        <w:rPr>
          <w:rFonts w:asciiTheme="minorHAnsi" w:hAnsiTheme="minorHAnsi"/>
          <w:i/>
        </w:rPr>
        <w:t xml:space="preserve">The Agency agrees that the characterization of ‘total agricultural use minus seed treatment’ could have been made more clearly in the </w:t>
      </w:r>
      <w:r w:rsidR="00EB761C">
        <w:rPr>
          <w:rFonts w:asciiTheme="minorHAnsi" w:hAnsiTheme="minorHAnsi"/>
          <w:i/>
        </w:rPr>
        <w:t>b</w:t>
      </w:r>
      <w:r w:rsidRPr="37F6F2A2">
        <w:rPr>
          <w:rFonts w:asciiTheme="minorHAnsi" w:hAnsiTheme="minorHAnsi"/>
          <w:i/>
        </w:rPr>
        <w:t xml:space="preserve">iological </w:t>
      </w:r>
      <w:r w:rsidR="00EB761C">
        <w:rPr>
          <w:rFonts w:asciiTheme="minorHAnsi" w:hAnsiTheme="minorHAnsi"/>
          <w:i/>
        </w:rPr>
        <w:t>e</w:t>
      </w:r>
      <w:r w:rsidRPr="37F6F2A2">
        <w:rPr>
          <w:rFonts w:asciiTheme="minorHAnsi" w:hAnsiTheme="minorHAnsi"/>
          <w:i/>
        </w:rPr>
        <w:t xml:space="preserve">valuation. </w:t>
      </w:r>
      <w:r w:rsidR="005E6F48">
        <w:rPr>
          <w:rFonts w:asciiTheme="minorHAnsi" w:hAnsiTheme="minorHAnsi"/>
          <w:i/>
        </w:rPr>
        <w:t>Any f</w:t>
      </w:r>
      <w:r w:rsidR="00C5313F">
        <w:rPr>
          <w:rFonts w:asciiTheme="minorHAnsi" w:hAnsiTheme="minorHAnsi"/>
          <w:i/>
        </w:rPr>
        <w:t xml:space="preserve">orthcoming analyses </w:t>
      </w:r>
      <w:r w:rsidR="002F1A04">
        <w:rPr>
          <w:rFonts w:asciiTheme="minorHAnsi" w:hAnsiTheme="minorHAnsi"/>
          <w:i/>
        </w:rPr>
        <w:t>in support of consultation with the Services</w:t>
      </w:r>
      <w:r w:rsidR="005E6F48">
        <w:rPr>
          <w:rFonts w:asciiTheme="minorHAnsi" w:hAnsiTheme="minorHAnsi"/>
          <w:i/>
        </w:rPr>
        <w:t>, if needed,</w:t>
      </w:r>
      <w:r w:rsidR="002F1A04">
        <w:rPr>
          <w:rFonts w:asciiTheme="minorHAnsi" w:hAnsiTheme="minorHAnsi"/>
          <w:i/>
        </w:rPr>
        <w:t xml:space="preserve"> </w:t>
      </w:r>
      <w:r w:rsidR="00C5313F">
        <w:rPr>
          <w:rFonts w:asciiTheme="minorHAnsi" w:hAnsiTheme="minorHAnsi"/>
          <w:i/>
        </w:rPr>
        <w:t>may</w:t>
      </w:r>
      <w:r w:rsidR="00B03441">
        <w:rPr>
          <w:rFonts w:asciiTheme="minorHAnsi" w:hAnsiTheme="minorHAnsi"/>
          <w:i/>
        </w:rPr>
        <w:t xml:space="preserve"> more clearly present </w:t>
      </w:r>
      <w:r w:rsidR="002C4D93">
        <w:rPr>
          <w:rFonts w:asciiTheme="minorHAnsi" w:hAnsiTheme="minorHAnsi"/>
          <w:i/>
        </w:rPr>
        <w:t xml:space="preserve">agricultural pesticide usage </w:t>
      </w:r>
      <w:r w:rsidRPr="37F6F2A2">
        <w:rPr>
          <w:rFonts w:asciiTheme="minorHAnsi" w:hAnsiTheme="minorHAnsi"/>
          <w:i/>
        </w:rPr>
        <w:t xml:space="preserve">estimates </w:t>
      </w:r>
      <w:r w:rsidR="00086472">
        <w:rPr>
          <w:rFonts w:asciiTheme="minorHAnsi" w:hAnsiTheme="minorHAnsi"/>
          <w:i/>
        </w:rPr>
        <w:t>as</w:t>
      </w:r>
      <w:r w:rsidR="00200144" w:rsidRPr="37F6F2A2">
        <w:rPr>
          <w:rFonts w:asciiTheme="minorHAnsi" w:hAnsiTheme="minorHAnsi"/>
          <w:i/>
        </w:rPr>
        <w:t xml:space="preserve"> </w:t>
      </w:r>
      <w:r w:rsidRPr="37F6F2A2">
        <w:rPr>
          <w:rFonts w:asciiTheme="minorHAnsi" w:hAnsiTheme="minorHAnsi"/>
          <w:i/>
        </w:rPr>
        <w:t>summarize</w:t>
      </w:r>
      <w:r w:rsidR="00D45268">
        <w:rPr>
          <w:rFonts w:asciiTheme="minorHAnsi" w:hAnsiTheme="minorHAnsi"/>
          <w:i/>
        </w:rPr>
        <w:t>d</w:t>
      </w:r>
      <w:r w:rsidRPr="37F6F2A2">
        <w:rPr>
          <w:rFonts w:asciiTheme="minorHAnsi" w:hAnsiTheme="minorHAnsi"/>
          <w:i/>
        </w:rPr>
        <w:t xml:space="preserve"> report</w:t>
      </w:r>
      <w:r w:rsidR="00D45268">
        <w:rPr>
          <w:rFonts w:asciiTheme="minorHAnsi" w:hAnsiTheme="minorHAnsi"/>
          <w:i/>
        </w:rPr>
        <w:t>s of</w:t>
      </w:r>
      <w:r w:rsidRPr="37F6F2A2">
        <w:rPr>
          <w:rFonts w:asciiTheme="minorHAnsi" w:hAnsiTheme="minorHAnsi"/>
          <w:i/>
        </w:rPr>
        <w:t xml:space="preserve"> usage of pesticides applied via foliar and soil applications to surveyed crops.</w:t>
      </w:r>
    </w:p>
    <w:p w14:paraId="7BC40DEB" w14:textId="77777777" w:rsidR="00E00B90" w:rsidRPr="00E00B90" w:rsidRDefault="00E00B90" w:rsidP="00AA3D6C">
      <w:pPr>
        <w:rPr>
          <w:rFonts w:asciiTheme="minorHAnsi" w:hAnsiTheme="minorHAnsi" w:cstheme="minorHAnsi"/>
          <w:i/>
          <w:iCs/>
        </w:rPr>
      </w:pPr>
    </w:p>
    <w:p w14:paraId="28328E66" w14:textId="665EBB50" w:rsidR="006D3746" w:rsidRPr="00E00B90" w:rsidRDefault="006D3746" w:rsidP="00AA3D6C">
      <w:pPr>
        <w:rPr>
          <w:rFonts w:asciiTheme="minorHAnsi" w:hAnsiTheme="minorHAnsi" w:cstheme="minorHAnsi"/>
          <w:bCs/>
          <w:i/>
          <w:iCs/>
        </w:rPr>
      </w:pPr>
      <w:r w:rsidRPr="00E00B90">
        <w:rPr>
          <w:rFonts w:asciiTheme="minorHAnsi" w:hAnsiTheme="minorHAnsi" w:cstheme="minorHAnsi"/>
          <w:bCs/>
          <w:i/>
          <w:iCs/>
        </w:rPr>
        <w:t>BEAD recognizes the important role that seed treatments fill and that seed treatment usage can be substantial.</w:t>
      </w:r>
      <w:r w:rsidRPr="00E00B90">
        <w:rPr>
          <w:rFonts w:asciiTheme="minorHAnsi" w:hAnsiTheme="minorHAnsi" w:cstheme="minorHAnsi"/>
          <w:b/>
          <w:i/>
          <w:iCs/>
        </w:rPr>
        <w:t xml:space="preserve"> </w:t>
      </w:r>
      <w:r w:rsidRPr="00E00B90">
        <w:rPr>
          <w:rFonts w:asciiTheme="minorHAnsi" w:hAnsiTheme="minorHAnsi" w:cstheme="minorHAnsi"/>
          <w:i/>
          <w:iCs/>
        </w:rPr>
        <w:t xml:space="preserve">Unfortunately, </w:t>
      </w:r>
      <w:proofErr w:type="spellStart"/>
      <w:r w:rsidRPr="00E00B90">
        <w:rPr>
          <w:rFonts w:asciiTheme="minorHAnsi" w:hAnsiTheme="minorHAnsi" w:cstheme="minorHAnsi"/>
          <w:i/>
          <w:iCs/>
        </w:rPr>
        <w:t>Kynetec</w:t>
      </w:r>
      <w:proofErr w:type="spellEnd"/>
      <w:r w:rsidRPr="00E00B90">
        <w:rPr>
          <w:rFonts w:asciiTheme="minorHAnsi" w:hAnsiTheme="minorHAnsi" w:cstheme="minorHAnsi"/>
          <w:i/>
          <w:iCs/>
        </w:rPr>
        <w:t xml:space="preserve"> USA, Inc., the primary source of agricultural usage data including the historical (2005-2014) seed treatment data to the EPA and the data cited in the USGS Pesticide National Synthesis Project,</w:t>
      </w:r>
      <w:r w:rsidRPr="00E00B90" w:rsidDel="00AF5E44">
        <w:rPr>
          <w:rFonts w:asciiTheme="minorHAnsi" w:hAnsiTheme="minorHAnsi" w:cstheme="minorHAnsi"/>
          <w:i/>
          <w:iCs/>
        </w:rPr>
        <w:t xml:space="preserve"> </w:t>
      </w:r>
      <w:r w:rsidRPr="00E00B90">
        <w:rPr>
          <w:rFonts w:asciiTheme="minorHAnsi" w:hAnsiTheme="minorHAnsi" w:cstheme="minorHAnsi"/>
          <w:i/>
          <w:iCs/>
        </w:rPr>
        <w:t>no longer provides seed treatment usage data.</w:t>
      </w:r>
      <w:r w:rsidRPr="00E00B90">
        <w:rPr>
          <w:rFonts w:asciiTheme="minorHAnsi" w:hAnsiTheme="minorHAnsi" w:cstheme="minorHAnsi"/>
          <w:b/>
          <w:bCs/>
          <w:i/>
          <w:iCs/>
        </w:rPr>
        <w:t xml:space="preserve"> </w:t>
      </w:r>
      <w:r w:rsidRPr="00E00B90">
        <w:rPr>
          <w:rFonts w:asciiTheme="minorHAnsi" w:hAnsiTheme="minorHAnsi" w:cstheme="minorHAnsi"/>
          <w:bCs/>
          <w:i/>
          <w:iCs/>
        </w:rPr>
        <w:t>USGS states on their website, “Beginning 2015, the provider of the surveyed pesticide data used to derive the county-level use estimates discontinued making estimates for seed treatment application of pesticides because of complexity and uncertainty. Pesticide use estimates prior to 2015 include estimates with seed treatment application” (USGS 2017).</w:t>
      </w:r>
    </w:p>
    <w:p w14:paraId="4072137F" w14:textId="77777777" w:rsidR="00E00B90" w:rsidRPr="00E00B90" w:rsidRDefault="00E00B90" w:rsidP="00AA3D6C">
      <w:pPr>
        <w:rPr>
          <w:rFonts w:asciiTheme="minorHAnsi" w:hAnsiTheme="minorHAnsi" w:cstheme="minorHAnsi"/>
          <w:i/>
          <w:iCs/>
        </w:rPr>
      </w:pPr>
    </w:p>
    <w:p w14:paraId="368D9A53" w14:textId="5D8D99A3" w:rsidR="006D3746" w:rsidRPr="00E00B90" w:rsidRDefault="006D3746" w:rsidP="00AA3D6C">
      <w:pPr>
        <w:rPr>
          <w:rFonts w:asciiTheme="minorHAnsi" w:hAnsiTheme="minorHAnsi" w:cstheme="minorHAnsi"/>
          <w:bCs/>
          <w:i/>
          <w:iCs/>
        </w:rPr>
      </w:pPr>
      <w:r w:rsidRPr="00E00B90">
        <w:rPr>
          <w:rFonts w:asciiTheme="minorHAnsi" w:hAnsiTheme="minorHAnsi" w:cstheme="minorHAnsi"/>
          <w:bCs/>
          <w:i/>
          <w:iCs/>
        </w:rPr>
        <w:t>More specifically,</w:t>
      </w:r>
      <w:r w:rsidRPr="00E00B90">
        <w:rPr>
          <w:rFonts w:asciiTheme="minorHAnsi" w:hAnsiTheme="minorHAnsi" w:cstheme="minorHAnsi"/>
          <w:i/>
          <w:iCs/>
        </w:rPr>
        <w:t xml:space="preserve"> </w:t>
      </w:r>
      <w:proofErr w:type="spellStart"/>
      <w:r w:rsidRPr="00E00B90">
        <w:rPr>
          <w:rFonts w:asciiTheme="minorHAnsi" w:hAnsiTheme="minorHAnsi" w:cstheme="minorHAnsi"/>
          <w:bCs/>
          <w:i/>
          <w:iCs/>
        </w:rPr>
        <w:t>Kynetec</w:t>
      </w:r>
      <w:proofErr w:type="spellEnd"/>
      <w:r w:rsidRPr="00E00B90">
        <w:rPr>
          <w:rFonts w:asciiTheme="minorHAnsi" w:hAnsiTheme="minorHAnsi" w:cstheme="minorHAnsi"/>
          <w:bCs/>
          <w:i/>
          <w:iCs/>
        </w:rPr>
        <w:t xml:space="preserve"> USA, Inc., ceased providing data in 2015 due to concerns that they had about the reliability of the data that stemmed primarily from farmers inability to identify what seed treatment was on their seed</w:t>
      </w:r>
      <w:r w:rsidRPr="00E00B90">
        <w:rPr>
          <w:rFonts w:asciiTheme="minorHAnsi" w:hAnsiTheme="minorHAnsi" w:cstheme="minorHAnsi"/>
          <w:i/>
          <w:iCs/>
        </w:rPr>
        <w:t>, as was addressed in the EPA response to American Soybean Association (ASA) (-0341), BASF Corporation and Valent U.S.A. LLC (-0053), CropLife America (CLA) (-0330), CropLife America (CLA) (-0345), CropLife America (CLA) (-0345), United States Department of Agriculture (USDA) (-0331) comments in this document.</w:t>
      </w:r>
      <w:r w:rsidRPr="00E00B90">
        <w:rPr>
          <w:rFonts w:asciiTheme="minorHAnsi" w:hAnsiTheme="minorHAnsi" w:cstheme="minorHAnsi"/>
          <w:bCs/>
          <w:i/>
          <w:iCs/>
        </w:rPr>
        <w:t xml:space="preserve"> </w:t>
      </w:r>
    </w:p>
    <w:p w14:paraId="2E692024" w14:textId="77777777" w:rsidR="00E00B90" w:rsidRPr="00E00B90" w:rsidRDefault="00E00B90" w:rsidP="00AA3D6C">
      <w:pPr>
        <w:rPr>
          <w:rFonts w:asciiTheme="minorHAnsi" w:hAnsiTheme="minorHAnsi" w:cstheme="minorHAnsi"/>
          <w:bCs/>
          <w:i/>
          <w:iCs/>
          <w:color w:val="FF0000"/>
        </w:rPr>
      </w:pPr>
    </w:p>
    <w:p w14:paraId="71662FA0" w14:textId="629CB2BE" w:rsidR="006D3746" w:rsidRPr="00E00B90" w:rsidRDefault="006D3746" w:rsidP="00AA3D6C">
      <w:pPr>
        <w:rPr>
          <w:rFonts w:asciiTheme="minorHAnsi" w:hAnsiTheme="minorHAnsi" w:cstheme="minorHAnsi"/>
          <w:b/>
          <w:bCs/>
          <w:i/>
          <w:iCs/>
        </w:rPr>
      </w:pPr>
      <w:r w:rsidRPr="00E00B90">
        <w:rPr>
          <w:rFonts w:asciiTheme="minorHAnsi" w:hAnsiTheme="minorHAnsi" w:cstheme="minorHAnsi"/>
          <w:i/>
          <w:iCs/>
        </w:rPr>
        <w:t>CFS has noted potentially misleading/confusing language regarding “where the seed treatment typically occurs” (Thi</w:t>
      </w:r>
      <w:r w:rsidR="00E00B90" w:rsidRPr="00E00B90">
        <w:rPr>
          <w:rFonts w:asciiTheme="minorHAnsi" w:hAnsiTheme="minorHAnsi" w:cstheme="minorHAnsi"/>
          <w:i/>
          <w:iCs/>
        </w:rPr>
        <w:t>a</w:t>
      </w:r>
      <w:r w:rsidRPr="00E00B90">
        <w:rPr>
          <w:rFonts w:asciiTheme="minorHAnsi" w:hAnsiTheme="minorHAnsi" w:cstheme="minorHAnsi"/>
          <w:i/>
          <w:iCs/>
        </w:rPr>
        <w:t xml:space="preserve">methoxam BE, App. 4-5, p.20). </w:t>
      </w:r>
      <w:r w:rsidRPr="00E00B90">
        <w:rPr>
          <w:rFonts w:asciiTheme="minorHAnsi" w:eastAsia="Times New Roman" w:hAnsiTheme="minorHAnsi" w:cstheme="minorHAnsi"/>
          <w:i/>
          <w:iCs/>
        </w:rPr>
        <w:t xml:space="preserve">While verifiable quantitative usage data that indicate the total pounds active ingredient used to treat seed or the location and the number of acres planted with treated seed are not currently available, applications of </w:t>
      </w:r>
      <w:r w:rsidR="006E42E6" w:rsidRPr="00E00B90">
        <w:rPr>
          <w:rFonts w:asciiTheme="minorHAnsi" w:eastAsia="Times New Roman" w:hAnsiTheme="minorHAnsi" w:cstheme="minorHAnsi"/>
          <w:i/>
          <w:iCs/>
        </w:rPr>
        <w:t>ne</w:t>
      </w:r>
      <w:r w:rsidR="006E42E6">
        <w:rPr>
          <w:rFonts w:asciiTheme="minorHAnsi" w:eastAsia="Times New Roman" w:hAnsiTheme="minorHAnsi" w:cstheme="minorHAnsi"/>
          <w:i/>
          <w:iCs/>
        </w:rPr>
        <w:t>o</w:t>
      </w:r>
      <w:r w:rsidR="006E42E6" w:rsidRPr="00E00B90">
        <w:rPr>
          <w:rFonts w:asciiTheme="minorHAnsi" w:eastAsia="Times New Roman" w:hAnsiTheme="minorHAnsi" w:cstheme="minorHAnsi"/>
          <w:i/>
          <w:iCs/>
        </w:rPr>
        <w:t>nicotinoids</w:t>
      </w:r>
      <w:r w:rsidRPr="00E00B90">
        <w:rPr>
          <w:rFonts w:asciiTheme="minorHAnsi" w:eastAsia="Times New Roman" w:hAnsiTheme="minorHAnsi" w:cstheme="minorHAnsi"/>
          <w:i/>
          <w:iCs/>
        </w:rPr>
        <w:t xml:space="preserve"> to seed and seed pieces may be </w:t>
      </w:r>
      <w:r w:rsidRPr="00E00B90">
        <w:rPr>
          <w:rFonts w:asciiTheme="minorHAnsi" w:eastAsia="Times New Roman" w:hAnsiTheme="minorHAnsi" w:cstheme="minorHAnsi"/>
          <w:i/>
          <w:iCs/>
        </w:rPr>
        <w:lastRenderedPageBreak/>
        <w:t xml:space="preserve">generally characterized as commonly used on a wide variety of crop seeds and seed pieces for planting based on extension recommendations and other information such as stakeholder feedback. </w:t>
      </w:r>
    </w:p>
    <w:p w14:paraId="370421FF" w14:textId="77777777" w:rsidR="00DD7A0A" w:rsidRPr="00E00B90" w:rsidRDefault="00DD7A0A" w:rsidP="00AA3D6C">
      <w:pPr>
        <w:rPr>
          <w:rFonts w:asciiTheme="minorHAnsi" w:hAnsiTheme="minorHAnsi" w:cstheme="minorHAnsi"/>
        </w:rPr>
      </w:pPr>
    </w:p>
    <w:p w14:paraId="7E83ED6A" w14:textId="7EEB9C93" w:rsidR="006D3746" w:rsidRPr="00E00B90" w:rsidRDefault="00DC3C60" w:rsidP="00FB1C2F">
      <w:pPr>
        <w:keepNext/>
        <w:keepLines/>
        <w:rPr>
          <w:rFonts w:asciiTheme="minorHAnsi" w:hAnsiTheme="minorHAnsi" w:cstheme="minorHAnsi"/>
        </w:rPr>
      </w:pPr>
      <w:r>
        <w:rPr>
          <w:rFonts w:asciiTheme="minorHAnsi" w:hAnsiTheme="minorHAnsi" w:cstheme="minorHAnsi"/>
          <w:b/>
          <w:bCs/>
        </w:rPr>
        <w:t>Commenter</w:t>
      </w:r>
      <w:r w:rsidR="006D3746" w:rsidRPr="00E00B90">
        <w:rPr>
          <w:rFonts w:asciiTheme="minorHAnsi" w:hAnsiTheme="minorHAnsi" w:cstheme="minorHAnsi"/>
        </w:rPr>
        <w:t>: Center for Food Safety (CFS) (-0465)</w:t>
      </w:r>
    </w:p>
    <w:p w14:paraId="1A4A4CFA" w14:textId="77777777" w:rsidR="00E00B90" w:rsidRPr="00E00B90" w:rsidRDefault="00E00B90" w:rsidP="00AA3D6C">
      <w:pPr>
        <w:rPr>
          <w:rFonts w:asciiTheme="minorHAnsi" w:hAnsiTheme="minorHAnsi" w:cstheme="minorHAnsi"/>
        </w:rPr>
      </w:pPr>
    </w:p>
    <w:p w14:paraId="2638060D" w14:textId="0476FCF2" w:rsidR="006D3746" w:rsidRPr="00E00B90" w:rsidRDefault="006D3746" w:rsidP="00AA3D6C">
      <w:pPr>
        <w:rPr>
          <w:rFonts w:asciiTheme="minorHAnsi" w:eastAsia="Times New Roman" w:hAnsiTheme="minorHAnsi" w:cstheme="minorHAnsi"/>
        </w:rPr>
      </w:pPr>
      <w:r w:rsidRPr="00E00B90">
        <w:rPr>
          <w:rFonts w:asciiTheme="minorHAnsi" w:eastAsia="Times New Roman" w:hAnsiTheme="minorHAnsi" w:cstheme="minorHAnsi"/>
          <w:b/>
          <w:bCs/>
        </w:rPr>
        <w:t>Summary of Comment:</w:t>
      </w:r>
      <w:r w:rsidRPr="00E00B90">
        <w:rPr>
          <w:rFonts w:asciiTheme="minorHAnsi" w:eastAsia="Times New Roman" w:hAnsiTheme="minorHAnsi" w:cstheme="minorHAnsi"/>
        </w:rPr>
        <w:t xml:space="preserve"> Center for Food Safety noted confusion around the use of calculated poultry litter geographic extent as representative for neonicotinoid treated seed throughout the U</w:t>
      </w:r>
      <w:r w:rsidR="00E00B90" w:rsidRPr="00E00B90">
        <w:rPr>
          <w:rFonts w:asciiTheme="minorHAnsi" w:eastAsia="Times New Roman" w:hAnsiTheme="minorHAnsi" w:cstheme="minorHAnsi"/>
        </w:rPr>
        <w:t>.</w:t>
      </w:r>
      <w:r w:rsidRPr="00E00B90">
        <w:rPr>
          <w:rFonts w:asciiTheme="minorHAnsi" w:eastAsia="Times New Roman" w:hAnsiTheme="minorHAnsi" w:cstheme="minorHAnsi"/>
        </w:rPr>
        <w:t>S.</w:t>
      </w:r>
    </w:p>
    <w:p w14:paraId="221316DE" w14:textId="77777777" w:rsidR="00E00B90" w:rsidRPr="00E00B90" w:rsidRDefault="00E00B90" w:rsidP="00AA3D6C">
      <w:pPr>
        <w:rPr>
          <w:rFonts w:asciiTheme="minorHAnsi" w:hAnsiTheme="minorHAnsi" w:cstheme="minorHAnsi"/>
          <w:b/>
          <w:bCs/>
        </w:rPr>
      </w:pPr>
    </w:p>
    <w:p w14:paraId="4E4CF504" w14:textId="5E6B0525" w:rsidR="006D3746" w:rsidRPr="00AA3D6C" w:rsidRDefault="006D3746" w:rsidP="00AA3D6C">
      <w:pPr>
        <w:rPr>
          <w:rFonts w:asciiTheme="minorHAnsi" w:eastAsia="Times New Roman" w:hAnsiTheme="minorHAnsi" w:cstheme="minorHAnsi"/>
        </w:rPr>
      </w:pPr>
      <w:r w:rsidRPr="00E00B90">
        <w:rPr>
          <w:rFonts w:asciiTheme="minorHAnsi" w:eastAsia="Times New Roman" w:hAnsiTheme="minorHAnsi" w:cstheme="minorHAnsi"/>
          <w:b/>
        </w:rPr>
        <w:t>EPA Response</w:t>
      </w:r>
      <w:r w:rsidRPr="00E00B90">
        <w:rPr>
          <w:rFonts w:asciiTheme="minorHAnsi" w:hAnsiTheme="minorHAnsi" w:cstheme="minorHAnsi"/>
        </w:rPr>
        <w:t>:</w:t>
      </w:r>
      <w:r w:rsidRPr="00E00B90">
        <w:rPr>
          <w:rFonts w:asciiTheme="minorHAnsi" w:eastAsia="Times New Roman" w:hAnsiTheme="minorHAnsi" w:cstheme="minorHAnsi"/>
        </w:rPr>
        <w:t xml:space="preserve"> </w:t>
      </w:r>
      <w:r w:rsidR="00EA0A45">
        <w:rPr>
          <w:rFonts w:asciiTheme="minorHAnsi" w:eastAsia="Times New Roman" w:hAnsiTheme="minorHAnsi" w:cstheme="minorHAnsi"/>
          <w:i/>
          <w:iCs/>
        </w:rPr>
        <w:t>There are rare occurrence</w:t>
      </w:r>
      <w:r w:rsidR="00FD7685">
        <w:rPr>
          <w:rFonts w:asciiTheme="minorHAnsi" w:eastAsia="Times New Roman" w:hAnsiTheme="minorHAnsi" w:cstheme="minorHAnsi"/>
          <w:i/>
          <w:iCs/>
        </w:rPr>
        <w:t>s</w:t>
      </w:r>
      <w:r w:rsidR="00EA0A45">
        <w:rPr>
          <w:rFonts w:asciiTheme="minorHAnsi" w:eastAsia="Times New Roman" w:hAnsiTheme="minorHAnsi" w:cstheme="minorHAnsi"/>
          <w:i/>
          <w:iCs/>
        </w:rPr>
        <w:t xml:space="preserve"> where a seed treatment use is not registered for foliar and/or soil </w:t>
      </w:r>
      <w:r w:rsidR="006D0F22">
        <w:rPr>
          <w:rFonts w:asciiTheme="minorHAnsi" w:eastAsia="Times New Roman" w:hAnsiTheme="minorHAnsi" w:cstheme="minorHAnsi"/>
          <w:i/>
          <w:iCs/>
        </w:rPr>
        <w:t xml:space="preserve">use as well </w:t>
      </w:r>
      <w:r w:rsidR="00EA0A45" w:rsidRPr="00E00B90">
        <w:rPr>
          <w:rFonts w:asciiTheme="minorHAnsi" w:eastAsia="Times New Roman" w:hAnsiTheme="minorHAnsi" w:cstheme="minorHAnsi"/>
          <w:i/>
          <w:iCs/>
        </w:rPr>
        <w:t>(</w:t>
      </w:r>
      <w:r w:rsidR="00EA0A45" w:rsidRPr="00E00B90">
        <w:rPr>
          <w:rFonts w:asciiTheme="minorHAnsi" w:eastAsia="Times New Roman" w:hAnsiTheme="minorHAnsi" w:cstheme="minorHAnsi"/>
        </w:rPr>
        <w:t>e.g.,</w:t>
      </w:r>
      <w:r w:rsidR="00EA0A45" w:rsidRPr="00E00B90">
        <w:rPr>
          <w:rFonts w:asciiTheme="minorHAnsi" w:eastAsia="Times New Roman" w:hAnsiTheme="minorHAnsi" w:cstheme="minorHAnsi"/>
          <w:i/>
          <w:iCs/>
        </w:rPr>
        <w:t xml:space="preserve"> thiamethoxam </w:t>
      </w:r>
      <w:r w:rsidR="006D0F22">
        <w:rPr>
          <w:rFonts w:asciiTheme="minorHAnsi" w:eastAsia="Times New Roman" w:hAnsiTheme="minorHAnsi" w:cstheme="minorHAnsi"/>
          <w:i/>
          <w:iCs/>
        </w:rPr>
        <w:t xml:space="preserve">use </w:t>
      </w:r>
      <w:r w:rsidR="00EA0A45" w:rsidRPr="00E00B90">
        <w:rPr>
          <w:rFonts w:asciiTheme="minorHAnsi" w:eastAsia="Times New Roman" w:hAnsiTheme="minorHAnsi" w:cstheme="minorHAnsi"/>
          <w:i/>
          <w:iCs/>
        </w:rPr>
        <w:t>on rice</w:t>
      </w:r>
      <w:r w:rsidR="006D0F22">
        <w:rPr>
          <w:rFonts w:asciiTheme="minorHAnsi" w:eastAsia="Times New Roman" w:hAnsiTheme="minorHAnsi" w:cstheme="minorHAnsi"/>
          <w:i/>
          <w:iCs/>
        </w:rPr>
        <w:t xml:space="preserve"> seed</w:t>
      </w:r>
      <w:r w:rsidR="00EA0A45">
        <w:rPr>
          <w:rFonts w:asciiTheme="minorHAnsi" w:eastAsia="Times New Roman" w:hAnsiTheme="minorHAnsi" w:cstheme="minorHAnsi"/>
          <w:i/>
          <w:iCs/>
        </w:rPr>
        <w:t xml:space="preserve">). This does not impact the geographic extent of the action area in </w:t>
      </w:r>
      <w:r w:rsidR="00733A9C">
        <w:rPr>
          <w:rFonts w:asciiTheme="minorHAnsi" w:eastAsia="Times New Roman" w:hAnsiTheme="minorHAnsi" w:cstheme="minorHAnsi"/>
          <w:i/>
          <w:iCs/>
        </w:rPr>
        <w:t>S</w:t>
      </w:r>
      <w:r w:rsidR="00EA0A45">
        <w:rPr>
          <w:rFonts w:asciiTheme="minorHAnsi" w:eastAsia="Times New Roman" w:hAnsiTheme="minorHAnsi" w:cstheme="minorHAnsi"/>
          <w:i/>
          <w:iCs/>
        </w:rPr>
        <w:t>tep 1 because these seed treatment</w:t>
      </w:r>
      <w:r w:rsidR="00FD7685">
        <w:rPr>
          <w:rFonts w:asciiTheme="minorHAnsi" w:eastAsia="Times New Roman" w:hAnsiTheme="minorHAnsi" w:cstheme="minorHAnsi"/>
          <w:i/>
          <w:iCs/>
        </w:rPr>
        <w:t>-</w:t>
      </w:r>
      <w:r w:rsidR="00EA0A45">
        <w:rPr>
          <w:rFonts w:asciiTheme="minorHAnsi" w:eastAsia="Times New Roman" w:hAnsiTheme="minorHAnsi" w:cstheme="minorHAnsi"/>
          <w:i/>
          <w:iCs/>
        </w:rPr>
        <w:t xml:space="preserve">only uses are also found in the poultry litter layer. </w:t>
      </w:r>
      <w:r w:rsidR="00733A9C">
        <w:rPr>
          <w:rFonts w:asciiTheme="minorHAnsi" w:eastAsia="Times New Roman" w:hAnsiTheme="minorHAnsi" w:cstheme="minorHAnsi"/>
          <w:i/>
          <w:iCs/>
        </w:rPr>
        <w:t>In</w:t>
      </w:r>
      <w:r w:rsidR="00EA0A45">
        <w:rPr>
          <w:rFonts w:asciiTheme="minorHAnsi" w:eastAsia="Times New Roman" w:hAnsiTheme="minorHAnsi" w:cstheme="minorHAnsi"/>
          <w:i/>
          <w:iCs/>
        </w:rPr>
        <w:t xml:space="preserve"> Step 2</w:t>
      </w:r>
      <w:r w:rsidR="00733A9C">
        <w:rPr>
          <w:rFonts w:asciiTheme="minorHAnsi" w:eastAsia="Times New Roman" w:hAnsiTheme="minorHAnsi" w:cstheme="minorHAnsi"/>
          <w:i/>
          <w:iCs/>
        </w:rPr>
        <w:t>, analyses separately consider</w:t>
      </w:r>
      <w:r w:rsidR="00EA0A45">
        <w:rPr>
          <w:rFonts w:asciiTheme="minorHAnsi" w:eastAsia="Times New Roman" w:hAnsiTheme="minorHAnsi" w:cstheme="minorHAnsi"/>
          <w:i/>
          <w:iCs/>
        </w:rPr>
        <w:t xml:space="preserve"> poultry litter and seed treatment. The </w:t>
      </w:r>
      <w:r w:rsidR="00186534">
        <w:rPr>
          <w:rFonts w:asciiTheme="minorHAnsi" w:eastAsia="Times New Roman" w:hAnsiTheme="minorHAnsi" w:cstheme="minorHAnsi"/>
          <w:i/>
          <w:iCs/>
        </w:rPr>
        <w:t xml:space="preserve">geographic extent of the poultry litter layer represents all agricultural area where poultry litter may be applied and is independent from the geographic extent of the seed treatment crops. </w:t>
      </w:r>
      <w:r w:rsidR="00733A9C">
        <w:rPr>
          <w:rFonts w:asciiTheme="minorHAnsi" w:eastAsia="Times New Roman" w:hAnsiTheme="minorHAnsi" w:cstheme="minorHAnsi"/>
          <w:i/>
          <w:iCs/>
        </w:rPr>
        <w:t xml:space="preserve">The geographic extent for the corresponding UDL is used for </w:t>
      </w:r>
      <w:r w:rsidR="00186534">
        <w:rPr>
          <w:rFonts w:asciiTheme="minorHAnsi" w:eastAsia="Times New Roman" w:hAnsiTheme="minorHAnsi" w:cstheme="minorHAnsi"/>
          <w:i/>
          <w:iCs/>
        </w:rPr>
        <w:t>seed treatment crops</w:t>
      </w:r>
      <w:r w:rsidR="00733A9C">
        <w:rPr>
          <w:rFonts w:asciiTheme="minorHAnsi" w:eastAsia="Times New Roman" w:hAnsiTheme="minorHAnsi" w:cstheme="minorHAnsi"/>
          <w:i/>
          <w:iCs/>
        </w:rPr>
        <w:t>.</w:t>
      </w:r>
      <w:r w:rsidR="00186534">
        <w:rPr>
          <w:rFonts w:asciiTheme="minorHAnsi" w:eastAsia="Times New Roman" w:hAnsiTheme="minorHAnsi" w:cstheme="minorHAnsi"/>
          <w:i/>
          <w:iCs/>
        </w:rPr>
        <w:t xml:space="preserve"> </w:t>
      </w:r>
      <w:r w:rsidR="00733A9C">
        <w:rPr>
          <w:rFonts w:asciiTheme="minorHAnsi" w:eastAsia="Times New Roman" w:hAnsiTheme="minorHAnsi" w:cstheme="minorHAnsi"/>
          <w:i/>
          <w:iCs/>
        </w:rPr>
        <w:t>The seed treatment</w:t>
      </w:r>
      <w:r w:rsidR="00FD7685">
        <w:rPr>
          <w:rFonts w:asciiTheme="minorHAnsi" w:eastAsia="Times New Roman" w:hAnsiTheme="minorHAnsi" w:cstheme="minorHAnsi"/>
          <w:i/>
          <w:iCs/>
        </w:rPr>
        <w:t>-</w:t>
      </w:r>
      <w:r w:rsidR="00733A9C">
        <w:rPr>
          <w:rFonts w:asciiTheme="minorHAnsi" w:eastAsia="Times New Roman" w:hAnsiTheme="minorHAnsi" w:cstheme="minorHAnsi"/>
          <w:i/>
          <w:iCs/>
        </w:rPr>
        <w:t xml:space="preserve">only modelling was </w:t>
      </w:r>
      <w:r w:rsidR="00186534">
        <w:rPr>
          <w:rFonts w:asciiTheme="minorHAnsi" w:eastAsia="Times New Roman" w:hAnsiTheme="minorHAnsi" w:cstheme="minorHAnsi"/>
          <w:i/>
          <w:iCs/>
        </w:rPr>
        <w:t xml:space="preserve">considered separately </w:t>
      </w:r>
      <w:r w:rsidR="00EA0A45">
        <w:rPr>
          <w:rFonts w:asciiTheme="minorHAnsi" w:eastAsia="Times New Roman" w:hAnsiTheme="minorHAnsi" w:cstheme="minorHAnsi"/>
          <w:i/>
          <w:iCs/>
        </w:rPr>
        <w:t xml:space="preserve">if a species hadn’t reached LAA </w:t>
      </w:r>
      <w:r w:rsidR="00186534">
        <w:rPr>
          <w:rFonts w:asciiTheme="minorHAnsi" w:eastAsia="Times New Roman" w:hAnsiTheme="minorHAnsi" w:cstheme="minorHAnsi"/>
          <w:i/>
          <w:iCs/>
        </w:rPr>
        <w:t>from the foliar and soil treatment</w:t>
      </w:r>
      <w:r w:rsidR="00EA0A45">
        <w:rPr>
          <w:rFonts w:asciiTheme="minorHAnsi" w:eastAsia="Times New Roman" w:hAnsiTheme="minorHAnsi" w:cstheme="minorHAnsi"/>
          <w:i/>
          <w:iCs/>
        </w:rPr>
        <w:t>s</w:t>
      </w:r>
      <w:r w:rsidR="00186534">
        <w:rPr>
          <w:rFonts w:asciiTheme="minorHAnsi" w:eastAsia="Times New Roman" w:hAnsiTheme="minorHAnsi" w:cstheme="minorHAnsi"/>
          <w:i/>
          <w:iCs/>
        </w:rPr>
        <w:t xml:space="preserve">. </w:t>
      </w:r>
      <w:r w:rsidRPr="00E00B90">
        <w:rPr>
          <w:rFonts w:asciiTheme="minorHAnsi" w:eastAsia="Times New Roman" w:hAnsiTheme="minorHAnsi" w:cstheme="minorHAnsi"/>
          <w:i/>
          <w:iCs/>
        </w:rPr>
        <w:t>In many cases</w:t>
      </w:r>
      <w:r w:rsidR="00C8774E">
        <w:rPr>
          <w:rFonts w:asciiTheme="minorHAnsi" w:eastAsia="Times New Roman" w:hAnsiTheme="minorHAnsi" w:cstheme="minorHAnsi"/>
          <w:i/>
          <w:iCs/>
        </w:rPr>
        <w:t>,</w:t>
      </w:r>
      <w:r w:rsidRPr="00E00B90">
        <w:rPr>
          <w:rFonts w:asciiTheme="minorHAnsi" w:eastAsia="Times New Roman" w:hAnsiTheme="minorHAnsi" w:cstheme="minorHAnsi"/>
          <w:i/>
          <w:iCs/>
        </w:rPr>
        <w:t xml:space="preserve"> a pesticide is registered</w:t>
      </w:r>
      <w:r w:rsidRPr="00E00B90">
        <w:rPr>
          <w:rFonts w:asciiTheme="minorHAnsi" w:hAnsiTheme="minorHAnsi" w:cstheme="minorHAnsi"/>
          <w:i/>
          <w:iCs/>
        </w:rPr>
        <w:t xml:space="preserve"> </w:t>
      </w:r>
      <w:r w:rsidRPr="00E00B90">
        <w:rPr>
          <w:rFonts w:asciiTheme="minorHAnsi" w:eastAsia="Times New Roman" w:hAnsiTheme="minorHAnsi" w:cstheme="minorHAnsi"/>
          <w:i/>
          <w:iCs/>
        </w:rPr>
        <w:t xml:space="preserve">for application as both a seed treatment and a foliar and/or soil application. In such cases, the EECs </w:t>
      </w:r>
      <w:r w:rsidR="00EA0A45">
        <w:rPr>
          <w:rFonts w:asciiTheme="minorHAnsi" w:eastAsia="Times New Roman" w:hAnsiTheme="minorHAnsi" w:cstheme="minorHAnsi"/>
          <w:i/>
          <w:iCs/>
        </w:rPr>
        <w:t xml:space="preserve">from the foliar and soil treatments </w:t>
      </w:r>
      <w:r w:rsidRPr="00E00B90">
        <w:rPr>
          <w:rFonts w:asciiTheme="minorHAnsi" w:eastAsia="Times New Roman" w:hAnsiTheme="minorHAnsi" w:cstheme="minorHAnsi"/>
          <w:i/>
          <w:iCs/>
        </w:rPr>
        <w:t xml:space="preserve">are considered to be protective when evaluating the impact to one or more individuals of a species. </w:t>
      </w:r>
    </w:p>
    <w:p w14:paraId="278E6282" w14:textId="6B613055" w:rsidR="006D3746" w:rsidRDefault="006D3746" w:rsidP="00AA3D6C">
      <w:pPr>
        <w:rPr>
          <w:rFonts w:asciiTheme="minorHAnsi" w:hAnsiTheme="minorHAnsi" w:cstheme="minorHAnsi"/>
          <w:b/>
          <w:bCs/>
        </w:rPr>
      </w:pPr>
    </w:p>
    <w:p w14:paraId="0A882A3D" w14:textId="1477C756" w:rsidR="00384527" w:rsidRPr="00AA3D6C" w:rsidRDefault="00384527" w:rsidP="00384527">
      <w:pPr>
        <w:pStyle w:val="Heading2"/>
        <w:keepNext/>
        <w:keepLines/>
        <w:ind w:left="821"/>
      </w:pPr>
      <w:bookmarkStart w:id="40" w:name="_Toc106187578"/>
      <w:r>
        <w:t xml:space="preserve">2.8 </w:t>
      </w:r>
      <w:r w:rsidR="00202276">
        <w:t xml:space="preserve"> </w:t>
      </w:r>
      <w:r>
        <w:t>Assessment Methodology</w:t>
      </w:r>
      <w:bookmarkEnd w:id="40"/>
    </w:p>
    <w:p w14:paraId="7109C3FA" w14:textId="77777777" w:rsidR="00384527" w:rsidRDefault="00384527" w:rsidP="00AA3D6C">
      <w:pPr>
        <w:rPr>
          <w:rFonts w:asciiTheme="minorHAnsi" w:hAnsiTheme="minorHAnsi" w:cstheme="minorHAnsi"/>
          <w:b/>
          <w:bCs/>
        </w:rPr>
      </w:pPr>
    </w:p>
    <w:p w14:paraId="6285BCE3" w14:textId="4CB20E59" w:rsidR="000A6B0E" w:rsidRPr="00AA3D6C" w:rsidRDefault="000A6B0E" w:rsidP="00AA3D6C">
      <w:pPr>
        <w:rPr>
          <w:rFonts w:asciiTheme="minorHAnsi" w:hAnsiTheme="minorHAnsi" w:cstheme="minorHAnsi"/>
        </w:rPr>
      </w:pPr>
      <w:r w:rsidRPr="00AA3D6C">
        <w:rPr>
          <w:rFonts w:asciiTheme="minorHAnsi" w:hAnsiTheme="minorHAnsi" w:cstheme="minorHAnsi"/>
          <w:b/>
          <w:bCs/>
        </w:rPr>
        <w:t>Comment:</w:t>
      </w:r>
      <w:r w:rsidRPr="00AA3D6C">
        <w:rPr>
          <w:rFonts w:asciiTheme="minorHAnsi" w:hAnsiTheme="minorHAnsi" w:cstheme="minorHAnsi"/>
        </w:rPr>
        <w:t xml:space="preserve"> EPA should undertake substantial efforts to refine the methodology and reduce the “compounding conservatism” and use of “worst case scenarios.” EPA should consider other weight of evidence frameworks and use actual data instead of less accurate modeling and employ the “reasonably certain to occur” standard. The Agency needs to better communicate uncertainty in the analysis associated with conservative assumptions made in the analysis.</w:t>
      </w:r>
    </w:p>
    <w:p w14:paraId="3FAC2F79" w14:textId="77777777" w:rsidR="000A6B0E" w:rsidRPr="00AA3D6C" w:rsidRDefault="000A6B0E" w:rsidP="00AA3D6C">
      <w:pPr>
        <w:rPr>
          <w:rFonts w:asciiTheme="minorHAnsi" w:hAnsiTheme="minorHAnsi" w:cstheme="minorHAnsi"/>
        </w:rPr>
      </w:pPr>
    </w:p>
    <w:p w14:paraId="4BA61B15" w14:textId="743D9D37" w:rsidR="000A6B0E" w:rsidRPr="00AA3D6C" w:rsidRDefault="000A6B0E" w:rsidP="00AA3D6C">
      <w:pPr>
        <w:rPr>
          <w:rFonts w:asciiTheme="minorHAnsi" w:hAnsiTheme="minorHAnsi" w:cstheme="minorHAnsi"/>
          <w:i/>
          <w:iCs/>
        </w:rPr>
      </w:pPr>
      <w:r w:rsidRPr="00AA3D6C">
        <w:rPr>
          <w:rFonts w:asciiTheme="minorHAnsi" w:hAnsiTheme="minorHAnsi" w:cstheme="minorHAnsi"/>
          <w:b/>
          <w:bCs/>
        </w:rPr>
        <w:t>EPA Response:</w:t>
      </w:r>
      <w:r w:rsidRPr="00AA3D6C">
        <w:rPr>
          <w:rFonts w:asciiTheme="minorHAnsi" w:hAnsiTheme="minorHAnsi" w:cstheme="minorHAnsi"/>
          <w:b/>
          <w:bCs/>
          <w:i/>
          <w:iCs/>
        </w:rPr>
        <w:t xml:space="preserve"> </w:t>
      </w:r>
      <w:r w:rsidR="004D5888" w:rsidRPr="00AA3D6C">
        <w:rPr>
          <w:rFonts w:asciiTheme="minorHAnsi" w:hAnsiTheme="minorHAnsi" w:cstheme="minorHAnsi"/>
          <w:i/>
          <w:iCs/>
        </w:rPr>
        <w:t>M</w:t>
      </w:r>
      <w:r w:rsidRPr="00AA3D6C">
        <w:rPr>
          <w:rFonts w:asciiTheme="minorHAnsi" w:hAnsiTheme="minorHAnsi" w:cstheme="minorHAnsi"/>
          <w:i/>
          <w:iCs/>
        </w:rPr>
        <w:t>any comments on the methodology and perceived conservatism of the methodology have been addressed in previous RTC documents</w:t>
      </w:r>
      <w:r w:rsidRPr="00AA3D6C">
        <w:rPr>
          <w:rStyle w:val="FootnoteReference"/>
          <w:rFonts w:asciiTheme="minorHAnsi" w:hAnsiTheme="minorHAnsi" w:cstheme="minorHAnsi"/>
        </w:rPr>
        <w:footnoteReference w:id="9"/>
      </w:r>
      <w:r w:rsidRPr="00AA3D6C">
        <w:rPr>
          <w:rFonts w:asciiTheme="minorHAnsi" w:hAnsiTheme="minorHAnsi" w:cstheme="minorHAnsi"/>
          <w:i/>
          <w:iCs/>
        </w:rPr>
        <w:t>. EPA’s responsibility in meeting its obligations to make effects determinations under the ESA as the action agency is to evaluate if an individual of a listed species may be affected. As a result, the process must be protective and evaluate circumstances where the maximum potential exposure could occur. EPA</w:t>
      </w:r>
      <w:r w:rsidRPr="00AA3D6C" w:rsidDel="00D73B5A">
        <w:rPr>
          <w:rFonts w:asciiTheme="minorHAnsi" w:hAnsiTheme="minorHAnsi" w:cstheme="minorHAnsi"/>
          <w:i/>
          <w:iCs/>
        </w:rPr>
        <w:t xml:space="preserve"> </w:t>
      </w:r>
      <w:r w:rsidRPr="00AA3D6C">
        <w:rPr>
          <w:rFonts w:asciiTheme="minorHAnsi" w:hAnsiTheme="minorHAnsi" w:cstheme="minorHAnsi"/>
          <w:i/>
          <w:iCs/>
        </w:rPr>
        <w:t>also considered a number of lines of evidence (</w:t>
      </w:r>
      <w:r w:rsidR="004D5888" w:rsidRPr="00DA0FF5">
        <w:rPr>
          <w:rFonts w:asciiTheme="minorHAnsi" w:hAnsiTheme="minorHAnsi" w:cstheme="minorHAnsi"/>
        </w:rPr>
        <w:t>e.g</w:t>
      </w:r>
      <w:r w:rsidR="004D5888" w:rsidRPr="00AA3D6C">
        <w:rPr>
          <w:rFonts w:asciiTheme="minorHAnsi" w:hAnsiTheme="minorHAnsi" w:cstheme="minorHAnsi"/>
          <w:i/>
          <w:iCs/>
        </w:rPr>
        <w:t xml:space="preserve">., </w:t>
      </w:r>
      <w:r w:rsidRPr="00AA3D6C">
        <w:rPr>
          <w:rFonts w:asciiTheme="minorHAnsi" w:hAnsiTheme="minorHAnsi" w:cstheme="minorHAnsi"/>
          <w:i/>
          <w:iCs/>
        </w:rPr>
        <w:t xml:space="preserve">usage data, </w:t>
      </w:r>
      <w:r w:rsidR="00C53EC7">
        <w:rPr>
          <w:rFonts w:asciiTheme="minorHAnsi" w:hAnsiTheme="minorHAnsi" w:cstheme="minorHAnsi"/>
          <w:i/>
          <w:iCs/>
        </w:rPr>
        <w:t>average</w:t>
      </w:r>
      <w:r w:rsidR="00C53EC7" w:rsidRPr="00AA3D6C">
        <w:rPr>
          <w:rFonts w:asciiTheme="minorHAnsi" w:hAnsiTheme="minorHAnsi" w:cstheme="minorHAnsi"/>
          <w:i/>
          <w:iCs/>
        </w:rPr>
        <w:t xml:space="preserve"> </w:t>
      </w:r>
      <w:r w:rsidRPr="00AA3D6C">
        <w:rPr>
          <w:rFonts w:asciiTheme="minorHAnsi" w:hAnsiTheme="minorHAnsi" w:cstheme="minorHAnsi"/>
          <w:i/>
          <w:iCs/>
        </w:rPr>
        <w:t xml:space="preserve">rates and </w:t>
      </w:r>
      <w:r w:rsidR="00C53EC7">
        <w:rPr>
          <w:rFonts w:asciiTheme="minorHAnsi" w:hAnsiTheme="minorHAnsi" w:cstheme="minorHAnsi"/>
          <w:i/>
          <w:iCs/>
        </w:rPr>
        <w:t>common</w:t>
      </w:r>
      <w:r w:rsidRPr="00AA3D6C">
        <w:rPr>
          <w:rFonts w:asciiTheme="minorHAnsi" w:hAnsiTheme="minorHAnsi" w:cstheme="minorHAnsi"/>
          <w:i/>
          <w:iCs/>
        </w:rPr>
        <w:t xml:space="preserve"> application methods, exposure for treated areas versus offsite transport, species-specific information) in its evaluation. </w:t>
      </w:r>
    </w:p>
    <w:p w14:paraId="3E69E492" w14:textId="77777777" w:rsidR="000A6B0E" w:rsidRPr="00AA3D6C" w:rsidRDefault="000A6B0E" w:rsidP="00AA3D6C">
      <w:pPr>
        <w:rPr>
          <w:rFonts w:asciiTheme="minorHAnsi" w:hAnsiTheme="minorHAnsi" w:cstheme="minorHAnsi"/>
          <w:i/>
          <w:iCs/>
        </w:rPr>
      </w:pPr>
    </w:p>
    <w:p w14:paraId="7F729D1C" w14:textId="590ABFEA" w:rsidR="000A6B0E" w:rsidRPr="00AA3D6C" w:rsidRDefault="000A6B0E" w:rsidP="00AA3D6C">
      <w:pPr>
        <w:rPr>
          <w:rFonts w:asciiTheme="minorHAnsi" w:hAnsiTheme="minorHAnsi" w:cstheme="minorHAnsi"/>
          <w:b/>
          <w:bCs/>
          <w:i/>
          <w:iCs/>
        </w:rPr>
      </w:pPr>
      <w:r w:rsidRPr="00AA3D6C">
        <w:rPr>
          <w:rFonts w:asciiTheme="minorHAnsi" w:hAnsiTheme="minorHAnsi" w:cstheme="minorHAnsi"/>
          <w:i/>
          <w:iCs/>
        </w:rPr>
        <w:t>Regarding the “reasonably certain to occur” standard, when conducting effects determinations, EPA made conservative assumptions to address identified uncertainties to ensure protection of the assessed species. The influences of those conservative assumptions are considered as part of the MAGtool (</w:t>
      </w:r>
      <w:r w:rsidR="6CBA0DF7" w:rsidRPr="00AA3D6C">
        <w:rPr>
          <w:rFonts w:asciiTheme="minorHAnsi" w:eastAsia="Calibri" w:hAnsiTheme="minorHAnsi" w:cstheme="minorHAnsi"/>
          <w:i/>
          <w:iCs/>
        </w:rPr>
        <w:t>Magnitude of Effect Tool</w:t>
      </w:r>
      <w:r w:rsidR="004D65BE" w:rsidRPr="00AA3D6C">
        <w:rPr>
          <w:rStyle w:val="FootnoteReference"/>
          <w:rFonts w:asciiTheme="minorHAnsi" w:eastAsia="Calibri" w:hAnsiTheme="minorHAnsi" w:cstheme="minorHAnsi"/>
          <w:i/>
          <w:iCs/>
        </w:rPr>
        <w:footnoteReference w:id="10"/>
      </w:r>
      <w:r w:rsidR="6CBA0DF7" w:rsidRPr="00AA3D6C">
        <w:rPr>
          <w:rFonts w:asciiTheme="minorHAnsi" w:eastAsia="Calibri" w:hAnsiTheme="minorHAnsi" w:cstheme="minorHAnsi"/>
          <w:i/>
          <w:iCs/>
        </w:rPr>
        <w:t>)</w:t>
      </w:r>
      <w:r w:rsidRPr="00AA3D6C">
        <w:rPr>
          <w:rFonts w:asciiTheme="minorHAnsi" w:hAnsiTheme="minorHAnsi" w:cstheme="minorHAnsi"/>
          <w:i/>
          <w:iCs/>
        </w:rPr>
        <w:t xml:space="preserve"> analysis, where alternative parameters are selected and estimates of the likelihood of individual effects are calculated based on these alternative parameters. The alternative analysis considered more </w:t>
      </w:r>
      <w:r w:rsidR="00C53EC7">
        <w:rPr>
          <w:rFonts w:asciiTheme="minorHAnsi" w:hAnsiTheme="minorHAnsi" w:cstheme="minorHAnsi"/>
          <w:i/>
          <w:iCs/>
        </w:rPr>
        <w:t>average</w:t>
      </w:r>
      <w:r w:rsidR="00C53EC7" w:rsidRPr="00AA3D6C">
        <w:rPr>
          <w:rFonts w:asciiTheme="minorHAnsi" w:hAnsiTheme="minorHAnsi" w:cstheme="minorHAnsi"/>
          <w:i/>
          <w:iCs/>
        </w:rPr>
        <w:t xml:space="preserve"> </w:t>
      </w:r>
      <w:r w:rsidRPr="00AA3D6C">
        <w:rPr>
          <w:rFonts w:asciiTheme="minorHAnsi" w:hAnsiTheme="minorHAnsi" w:cstheme="minorHAnsi"/>
          <w:i/>
          <w:iCs/>
        </w:rPr>
        <w:t xml:space="preserve">usage data, including </w:t>
      </w:r>
      <w:r w:rsidR="00C53EC7">
        <w:rPr>
          <w:rFonts w:asciiTheme="minorHAnsi" w:hAnsiTheme="minorHAnsi" w:cstheme="minorHAnsi"/>
          <w:i/>
          <w:iCs/>
        </w:rPr>
        <w:t>common</w:t>
      </w:r>
      <w:r w:rsidR="00C53EC7" w:rsidRPr="00AA3D6C">
        <w:rPr>
          <w:rFonts w:asciiTheme="minorHAnsi" w:hAnsiTheme="minorHAnsi" w:cstheme="minorHAnsi"/>
          <w:i/>
          <w:iCs/>
        </w:rPr>
        <w:t xml:space="preserve"> </w:t>
      </w:r>
      <w:r w:rsidRPr="00AA3D6C">
        <w:rPr>
          <w:rFonts w:asciiTheme="minorHAnsi" w:hAnsiTheme="minorHAnsi" w:cstheme="minorHAnsi"/>
          <w:i/>
          <w:iCs/>
        </w:rPr>
        <w:t xml:space="preserve">application methods and practices, as well as other toxicity endpoints. EPA believes that this approach is consistent with the current “reasonably certain to occur” standard. If both the conservative and alternative assumptions arrive at </w:t>
      </w:r>
      <w:r w:rsidRPr="00AA3D6C">
        <w:rPr>
          <w:rFonts w:asciiTheme="minorHAnsi" w:hAnsiTheme="minorHAnsi" w:cstheme="minorHAnsi"/>
          <w:i/>
          <w:iCs/>
        </w:rPr>
        <w:lastRenderedPageBreak/>
        <w:t xml:space="preserve">the conclusion that one or more individuals of a listed species may be impacted, there is a greater degree of confidence in the LAA determination. If there is a difference in conclusions when using conservative and less conservative assumptions, EPA has less evidence to support the LAA determination; however, there is still the potential for impacts to an individual under some circumstances. </w:t>
      </w:r>
    </w:p>
    <w:p w14:paraId="6B0246D6" w14:textId="77777777" w:rsidR="000A6B0E" w:rsidRPr="000A6B0E" w:rsidRDefault="000A6B0E" w:rsidP="005859DB">
      <w:pPr>
        <w:rPr>
          <w:rFonts w:asciiTheme="minorHAnsi" w:hAnsiTheme="minorHAnsi" w:cstheme="minorHAnsi"/>
          <w:i/>
        </w:rPr>
      </w:pPr>
    </w:p>
    <w:p w14:paraId="51646FC2" w14:textId="77777777" w:rsidR="000A6B0E" w:rsidRPr="000A6B0E" w:rsidRDefault="000A6B0E" w:rsidP="005859DB">
      <w:pPr>
        <w:rPr>
          <w:rFonts w:asciiTheme="minorHAnsi" w:hAnsiTheme="minorHAnsi" w:cstheme="minorHAnsi"/>
          <w:i/>
          <w:iCs/>
        </w:rPr>
      </w:pPr>
      <w:r w:rsidRPr="000A6B0E">
        <w:rPr>
          <w:rFonts w:asciiTheme="minorHAnsi" w:hAnsiTheme="minorHAnsi" w:cstheme="minorHAnsi"/>
          <w:i/>
          <w:iCs/>
        </w:rPr>
        <w:t xml:space="preserve">The “worst-case” scenario, as referred to in comments, utilized the maximum PCT and upper distribution of acres, and includes many factors that refine the screening level approach, such as: </w:t>
      </w:r>
    </w:p>
    <w:p w14:paraId="15205499" w14:textId="77777777" w:rsidR="000A6B0E" w:rsidRPr="000A6B0E" w:rsidRDefault="000A6B0E" w:rsidP="005859DB">
      <w:pPr>
        <w:rPr>
          <w:rFonts w:asciiTheme="minorHAnsi" w:hAnsiTheme="minorHAnsi" w:cstheme="minorHAnsi"/>
          <w:i/>
          <w:iCs/>
        </w:rPr>
      </w:pPr>
    </w:p>
    <w:p w14:paraId="145A335F" w14:textId="77777777" w:rsidR="000A6B0E" w:rsidRPr="006518B4" w:rsidRDefault="000A6B0E" w:rsidP="005859DB">
      <w:pPr>
        <w:pStyle w:val="ListParagraph"/>
        <w:numPr>
          <w:ilvl w:val="0"/>
          <w:numId w:val="36"/>
        </w:numPr>
        <w:contextualSpacing/>
        <w:rPr>
          <w:rFonts w:asciiTheme="minorHAnsi" w:hAnsiTheme="minorHAnsi" w:cstheme="minorHAnsi"/>
          <w:i/>
        </w:rPr>
      </w:pPr>
      <w:r w:rsidRPr="000A6B0E">
        <w:rPr>
          <w:rFonts w:asciiTheme="minorHAnsi" w:hAnsiTheme="minorHAnsi" w:cstheme="minorHAnsi"/>
          <w:i/>
          <w:iCs/>
        </w:rPr>
        <w:t>Basing the EECs on a variety of dietary items or a species-preferred dietary item in the terrestrial environment,</w:t>
      </w:r>
    </w:p>
    <w:p w14:paraId="6371896B" w14:textId="77777777" w:rsidR="000A6B0E" w:rsidRPr="006F2B77" w:rsidRDefault="000A6B0E" w:rsidP="005859DB">
      <w:pPr>
        <w:pStyle w:val="ListParagraph"/>
        <w:numPr>
          <w:ilvl w:val="0"/>
          <w:numId w:val="36"/>
        </w:numPr>
        <w:contextualSpacing/>
        <w:rPr>
          <w:rFonts w:asciiTheme="minorHAnsi" w:hAnsiTheme="minorHAnsi" w:cstheme="minorHAnsi"/>
          <w:i/>
        </w:rPr>
      </w:pPr>
      <w:r w:rsidRPr="006F2B77">
        <w:rPr>
          <w:rFonts w:asciiTheme="minorHAnsi" w:hAnsiTheme="minorHAnsi" w:cstheme="minorHAnsi"/>
          <w:i/>
          <w:iCs/>
        </w:rPr>
        <w:t xml:space="preserve">Applying on/off field assumptions about the species, </w:t>
      </w:r>
    </w:p>
    <w:p w14:paraId="15B1B9C5" w14:textId="77777777" w:rsidR="000A6B0E" w:rsidRPr="001805D7" w:rsidRDefault="000A6B0E" w:rsidP="005859DB">
      <w:pPr>
        <w:pStyle w:val="ListParagraph"/>
        <w:numPr>
          <w:ilvl w:val="0"/>
          <w:numId w:val="36"/>
        </w:numPr>
        <w:contextualSpacing/>
        <w:rPr>
          <w:rFonts w:asciiTheme="minorHAnsi" w:hAnsiTheme="minorHAnsi" w:cstheme="minorHAnsi"/>
          <w:i/>
        </w:rPr>
      </w:pPr>
      <w:r w:rsidRPr="001805D7">
        <w:rPr>
          <w:rFonts w:asciiTheme="minorHAnsi" w:hAnsiTheme="minorHAnsi" w:cstheme="minorHAnsi"/>
          <w:i/>
          <w:iCs/>
        </w:rPr>
        <w:t>Using application methods that are associated with the most likely type of application (ground vs aerial) instead of the most conservative method,</w:t>
      </w:r>
    </w:p>
    <w:p w14:paraId="5E30839F" w14:textId="2430D545" w:rsidR="000A6B0E" w:rsidRPr="007A7006" w:rsidRDefault="000A6B0E" w:rsidP="005859DB">
      <w:pPr>
        <w:pStyle w:val="ListParagraph"/>
        <w:numPr>
          <w:ilvl w:val="0"/>
          <w:numId w:val="36"/>
        </w:numPr>
        <w:contextualSpacing/>
        <w:rPr>
          <w:rFonts w:asciiTheme="minorHAnsi" w:hAnsiTheme="minorHAnsi" w:cstheme="minorHAnsi"/>
          <w:i/>
        </w:rPr>
      </w:pPr>
      <w:r w:rsidRPr="00826AF1">
        <w:rPr>
          <w:rFonts w:asciiTheme="minorHAnsi" w:hAnsiTheme="minorHAnsi" w:cstheme="minorHAnsi"/>
          <w:i/>
          <w:iCs/>
        </w:rPr>
        <w:t>In the probabilistic analysis, basing EECs on a distribution of values</w:t>
      </w:r>
      <w:r w:rsidR="00884E0B">
        <w:rPr>
          <w:rFonts w:asciiTheme="minorHAnsi" w:hAnsiTheme="minorHAnsi" w:cstheme="minorHAnsi"/>
          <w:i/>
          <w:iCs/>
        </w:rPr>
        <w:t>:</w:t>
      </w:r>
    </w:p>
    <w:p w14:paraId="0636486D" w14:textId="4C63E79A" w:rsidR="000A6B0E" w:rsidRPr="000A6B0E" w:rsidRDefault="000A6B0E" w:rsidP="005859DB">
      <w:pPr>
        <w:pStyle w:val="ListParagraph"/>
        <w:numPr>
          <w:ilvl w:val="1"/>
          <w:numId w:val="36"/>
        </w:numPr>
        <w:ind w:left="540" w:firstLine="180"/>
        <w:contextualSpacing/>
        <w:rPr>
          <w:rFonts w:asciiTheme="minorHAnsi" w:hAnsiTheme="minorHAnsi" w:cstheme="minorHAnsi"/>
          <w:i/>
        </w:rPr>
      </w:pPr>
      <w:r w:rsidRPr="000A6B0E">
        <w:rPr>
          <w:rFonts w:asciiTheme="minorHAnsi" w:hAnsiTheme="minorHAnsi" w:cstheme="minorHAnsi"/>
          <w:i/>
          <w:iCs/>
        </w:rPr>
        <w:t>For terrestrial exposure, based on the mean Kenaga and standard deviation</w:t>
      </w:r>
      <w:r w:rsidR="00884E0B">
        <w:rPr>
          <w:rFonts w:asciiTheme="minorHAnsi" w:hAnsiTheme="minorHAnsi" w:cstheme="minorHAnsi"/>
          <w:i/>
          <w:iCs/>
        </w:rPr>
        <w:t>;</w:t>
      </w:r>
    </w:p>
    <w:p w14:paraId="6B853305" w14:textId="2FE57A55" w:rsidR="000A6B0E" w:rsidRPr="000A6B0E" w:rsidRDefault="000A6B0E" w:rsidP="005859DB">
      <w:pPr>
        <w:pStyle w:val="ListParagraph"/>
        <w:numPr>
          <w:ilvl w:val="1"/>
          <w:numId w:val="36"/>
        </w:numPr>
        <w:ind w:hanging="720"/>
        <w:contextualSpacing/>
        <w:rPr>
          <w:rFonts w:asciiTheme="minorHAnsi" w:hAnsiTheme="minorHAnsi" w:cstheme="minorHAnsi"/>
          <w:i/>
        </w:rPr>
      </w:pPr>
      <w:r w:rsidRPr="000A6B0E">
        <w:rPr>
          <w:rFonts w:asciiTheme="minorHAnsi" w:hAnsiTheme="minorHAnsi" w:cstheme="minorHAnsi"/>
          <w:i/>
          <w:iCs/>
        </w:rPr>
        <w:t>For aquatic exposure, based on consideration of a range of daily EECs from multiple scenarios, varying curve numbers and varying applications dates</w:t>
      </w:r>
      <w:r w:rsidR="00884E0B">
        <w:rPr>
          <w:rFonts w:asciiTheme="minorHAnsi" w:hAnsiTheme="minorHAnsi" w:cstheme="minorHAnsi"/>
          <w:i/>
          <w:iCs/>
        </w:rPr>
        <w:t>.</w:t>
      </w:r>
    </w:p>
    <w:p w14:paraId="70033436" w14:textId="77777777" w:rsidR="000A6B0E" w:rsidRPr="0050044C" w:rsidRDefault="000A6B0E" w:rsidP="005859DB">
      <w:pPr>
        <w:rPr>
          <w:rFonts w:asciiTheme="minorHAnsi" w:hAnsiTheme="minorHAnsi" w:cstheme="minorHAnsi"/>
          <w:i/>
          <w:iCs/>
        </w:rPr>
      </w:pPr>
    </w:p>
    <w:p w14:paraId="45F6DCF3" w14:textId="1D93AE55" w:rsidR="000A6B0E" w:rsidRPr="0050044C" w:rsidRDefault="000A6B0E" w:rsidP="005859DB">
      <w:pPr>
        <w:rPr>
          <w:rFonts w:asciiTheme="minorHAnsi" w:hAnsiTheme="minorHAnsi" w:cstheme="minorHAnsi"/>
          <w:i/>
          <w:iCs/>
        </w:rPr>
      </w:pPr>
      <w:r w:rsidRPr="0050044C">
        <w:rPr>
          <w:rFonts w:asciiTheme="minorHAnsi" w:hAnsiTheme="minorHAnsi" w:cstheme="minorHAnsi"/>
          <w:i/>
          <w:iCs/>
        </w:rPr>
        <w:t xml:space="preserve">Based on these refinements, the </w:t>
      </w:r>
      <w:r w:rsidR="00381EF7">
        <w:rPr>
          <w:rFonts w:asciiTheme="minorHAnsi" w:hAnsiTheme="minorHAnsi" w:cstheme="minorHAnsi"/>
          <w:i/>
          <w:iCs/>
        </w:rPr>
        <w:t>weight of evidence (</w:t>
      </w:r>
      <w:proofErr w:type="spellStart"/>
      <w:r w:rsidRPr="0050044C">
        <w:rPr>
          <w:rFonts w:asciiTheme="minorHAnsi" w:hAnsiTheme="minorHAnsi" w:cstheme="minorHAnsi"/>
          <w:i/>
          <w:iCs/>
        </w:rPr>
        <w:t>WoE</w:t>
      </w:r>
      <w:proofErr w:type="spellEnd"/>
      <w:r w:rsidR="00381EF7">
        <w:rPr>
          <w:rFonts w:asciiTheme="minorHAnsi" w:hAnsiTheme="minorHAnsi" w:cstheme="minorHAnsi"/>
          <w:i/>
          <w:iCs/>
        </w:rPr>
        <w:t>)</w:t>
      </w:r>
      <w:r w:rsidRPr="0050044C">
        <w:rPr>
          <w:rFonts w:asciiTheme="minorHAnsi" w:hAnsiTheme="minorHAnsi" w:cstheme="minorHAnsi"/>
          <w:i/>
          <w:iCs/>
        </w:rPr>
        <w:t xml:space="preserve"> is not </w:t>
      </w:r>
      <w:r w:rsidR="00381EF7">
        <w:rPr>
          <w:rFonts w:asciiTheme="minorHAnsi" w:hAnsiTheme="minorHAnsi" w:cstheme="minorHAnsi"/>
          <w:i/>
          <w:iCs/>
        </w:rPr>
        <w:t xml:space="preserve">considered </w:t>
      </w:r>
      <w:r w:rsidRPr="0050044C">
        <w:rPr>
          <w:rFonts w:asciiTheme="minorHAnsi" w:hAnsiTheme="minorHAnsi" w:cstheme="minorHAnsi"/>
          <w:i/>
          <w:iCs/>
        </w:rPr>
        <w:t>a “worst-case” analysis.</w:t>
      </w:r>
    </w:p>
    <w:p w14:paraId="2A872E52" w14:textId="77777777" w:rsidR="000A6B0E" w:rsidRPr="0050044C" w:rsidRDefault="000A6B0E" w:rsidP="005859DB">
      <w:pPr>
        <w:rPr>
          <w:rFonts w:asciiTheme="minorHAnsi" w:hAnsiTheme="minorHAnsi" w:cstheme="minorHAnsi"/>
          <w:i/>
        </w:rPr>
      </w:pPr>
    </w:p>
    <w:p w14:paraId="1F08C3AD" w14:textId="4625260F" w:rsidR="000A6B0E" w:rsidRPr="0050044C" w:rsidRDefault="000A6B0E" w:rsidP="005859DB">
      <w:pPr>
        <w:rPr>
          <w:rFonts w:asciiTheme="minorHAnsi" w:hAnsiTheme="minorHAnsi" w:cstheme="minorHAnsi"/>
          <w:i/>
        </w:rPr>
      </w:pPr>
      <w:r w:rsidRPr="0050044C">
        <w:rPr>
          <w:rFonts w:asciiTheme="minorHAnsi" w:hAnsiTheme="minorHAnsi" w:cstheme="minorHAnsi"/>
          <w:i/>
          <w:iCs/>
        </w:rPr>
        <w:t>Regarding uncertainty in the analyses, detailed descriptions of these uncertainties and how they are addressed w</w:t>
      </w:r>
      <w:r w:rsidR="00381EF7">
        <w:rPr>
          <w:rFonts w:asciiTheme="minorHAnsi" w:hAnsiTheme="minorHAnsi" w:cstheme="minorHAnsi"/>
          <w:i/>
          <w:iCs/>
        </w:rPr>
        <w:t>ere</w:t>
      </w:r>
      <w:r w:rsidRPr="0050044C">
        <w:rPr>
          <w:rFonts w:asciiTheme="minorHAnsi" w:hAnsiTheme="minorHAnsi" w:cstheme="minorHAnsi"/>
          <w:i/>
          <w:iCs/>
        </w:rPr>
        <w:t xml:space="preserve"> provided in the response to public comments on the revised methods</w:t>
      </w:r>
      <w:r w:rsidRPr="0050044C">
        <w:rPr>
          <w:rStyle w:val="FootnoteReference"/>
          <w:rFonts w:asciiTheme="minorHAnsi" w:hAnsiTheme="minorHAnsi" w:cstheme="minorHAnsi"/>
        </w:rPr>
        <w:footnoteReference w:id="11"/>
      </w:r>
      <w:r w:rsidRPr="0050044C">
        <w:rPr>
          <w:rFonts w:asciiTheme="minorHAnsi" w:hAnsiTheme="minorHAnsi" w:cstheme="minorHAnsi"/>
          <w:i/>
          <w:iCs/>
        </w:rPr>
        <w:t xml:space="preserve">. </w:t>
      </w:r>
    </w:p>
    <w:p w14:paraId="2E478D0E" w14:textId="77777777" w:rsidR="000A6B0E" w:rsidRPr="0050044C" w:rsidRDefault="000A6B0E" w:rsidP="005859DB">
      <w:pPr>
        <w:rPr>
          <w:rFonts w:asciiTheme="minorHAnsi" w:hAnsiTheme="minorHAnsi" w:cstheme="minorHAnsi"/>
          <w:b/>
          <w:bCs/>
          <w:i/>
          <w:iCs/>
        </w:rPr>
      </w:pPr>
    </w:p>
    <w:p w14:paraId="739FDAA3" w14:textId="18019485" w:rsidR="004A6B39" w:rsidRDefault="004A6B39" w:rsidP="005859DB">
      <w:pPr>
        <w:rPr>
          <w:rFonts w:asciiTheme="minorHAnsi" w:hAnsiTheme="minorHAnsi" w:cstheme="minorHAnsi"/>
        </w:rPr>
      </w:pPr>
      <w:r w:rsidRPr="0050044C">
        <w:rPr>
          <w:rFonts w:asciiTheme="minorHAnsi" w:hAnsiTheme="minorHAnsi" w:cstheme="minorHAnsi"/>
          <w:b/>
          <w:bCs/>
        </w:rPr>
        <w:t xml:space="preserve">Comment: </w:t>
      </w:r>
      <w:r>
        <w:rPr>
          <w:rFonts w:asciiTheme="minorHAnsi" w:hAnsiTheme="minorHAnsi" w:cstheme="minorHAnsi"/>
        </w:rPr>
        <w:t>Commenters have criticized the methods used in the aquatic modeling</w:t>
      </w:r>
      <w:r w:rsidRPr="0050044C">
        <w:rPr>
          <w:rFonts w:asciiTheme="minorHAnsi" w:hAnsiTheme="minorHAnsi" w:cstheme="minorHAnsi"/>
        </w:rPr>
        <w:t>.</w:t>
      </w:r>
      <w:r>
        <w:rPr>
          <w:rFonts w:asciiTheme="minorHAnsi" w:hAnsiTheme="minorHAnsi" w:cstheme="minorHAnsi"/>
        </w:rPr>
        <w:t xml:space="preserve"> In particular: (1) a </w:t>
      </w:r>
      <w:r w:rsidRPr="004A6B39">
        <w:rPr>
          <w:rFonts w:asciiTheme="minorHAnsi" w:hAnsiTheme="minorHAnsi" w:cstheme="minorHAnsi"/>
        </w:rPr>
        <w:t>flowing water and watershed model should be developed for</w:t>
      </w:r>
      <w:r>
        <w:rPr>
          <w:rFonts w:asciiTheme="minorHAnsi" w:hAnsiTheme="minorHAnsi" w:cstheme="minorHAnsi"/>
        </w:rPr>
        <w:t xml:space="preserve"> </w:t>
      </w:r>
      <w:r w:rsidRPr="004A6B39">
        <w:rPr>
          <w:rFonts w:asciiTheme="minorHAnsi" w:hAnsiTheme="minorHAnsi" w:cstheme="minorHAnsi"/>
        </w:rPr>
        <w:t>assessing different configurations of Bin 2 flowing water bodies</w:t>
      </w:r>
      <w:r>
        <w:rPr>
          <w:rFonts w:asciiTheme="minorHAnsi" w:hAnsiTheme="minorHAnsi" w:cstheme="minorHAnsi"/>
        </w:rPr>
        <w:t xml:space="preserve"> rather than use the edge-of-field concentrations; (2) a</w:t>
      </w:r>
      <w:r w:rsidRPr="004A6B39">
        <w:rPr>
          <w:rFonts w:asciiTheme="minorHAnsi" w:hAnsiTheme="minorHAnsi" w:cstheme="minorHAnsi"/>
        </w:rPr>
        <w:t xml:space="preserve"> variable volume static water body, similar to the wetland habitat</w:t>
      </w:r>
      <w:r>
        <w:rPr>
          <w:rFonts w:asciiTheme="minorHAnsi" w:hAnsiTheme="minorHAnsi" w:cstheme="minorHAnsi"/>
        </w:rPr>
        <w:t xml:space="preserve"> </w:t>
      </w:r>
      <w:r w:rsidRPr="004A6B39">
        <w:rPr>
          <w:rFonts w:asciiTheme="minorHAnsi" w:hAnsiTheme="minorHAnsi" w:cstheme="minorHAnsi"/>
        </w:rPr>
        <w:t>conceptual model used in PAT, could be designed and serve as a reasonable screening</w:t>
      </w:r>
      <w:r>
        <w:rPr>
          <w:rFonts w:asciiTheme="minorHAnsi" w:hAnsiTheme="minorHAnsi" w:cstheme="minorHAnsi"/>
        </w:rPr>
        <w:t xml:space="preserve"> </w:t>
      </w:r>
      <w:r w:rsidRPr="004A6B39">
        <w:rPr>
          <w:rFonts w:asciiTheme="minorHAnsi" w:hAnsiTheme="minorHAnsi" w:cstheme="minorHAnsi"/>
        </w:rPr>
        <w:t>level model for Bin 5 habitat</w:t>
      </w:r>
      <w:r>
        <w:rPr>
          <w:rFonts w:asciiTheme="minorHAnsi" w:hAnsiTheme="minorHAnsi" w:cstheme="minorHAnsi"/>
        </w:rPr>
        <w:t>; (3) a</w:t>
      </w:r>
      <w:r w:rsidRPr="004A6B39">
        <w:rPr>
          <w:rFonts w:asciiTheme="minorHAnsi" w:hAnsiTheme="minorHAnsi" w:cstheme="minorHAnsi"/>
        </w:rPr>
        <w:t xml:space="preserve"> watershed scale model, capable of representing the heterogeneity in</w:t>
      </w:r>
      <w:r>
        <w:rPr>
          <w:rFonts w:asciiTheme="minorHAnsi" w:hAnsiTheme="minorHAnsi" w:cstheme="minorHAnsi"/>
        </w:rPr>
        <w:t xml:space="preserve"> </w:t>
      </w:r>
      <w:r w:rsidRPr="004A6B39">
        <w:rPr>
          <w:rFonts w:asciiTheme="minorHAnsi" w:hAnsiTheme="minorHAnsi" w:cstheme="minorHAnsi"/>
        </w:rPr>
        <w:t>landscape characteristics, environmental processes, and agronomic practices should be</w:t>
      </w:r>
      <w:r>
        <w:rPr>
          <w:rFonts w:asciiTheme="minorHAnsi" w:hAnsiTheme="minorHAnsi" w:cstheme="minorHAnsi"/>
        </w:rPr>
        <w:t xml:space="preserve"> </w:t>
      </w:r>
      <w:r w:rsidRPr="004A6B39">
        <w:rPr>
          <w:rFonts w:asciiTheme="minorHAnsi" w:hAnsiTheme="minorHAnsi" w:cstheme="minorHAnsi"/>
        </w:rPr>
        <w:t>developed and implemented for the evaluation of exposure in the moderate and high flow</w:t>
      </w:r>
      <w:r>
        <w:rPr>
          <w:rFonts w:asciiTheme="minorHAnsi" w:hAnsiTheme="minorHAnsi" w:cstheme="minorHAnsi"/>
        </w:rPr>
        <w:t xml:space="preserve"> </w:t>
      </w:r>
      <w:r w:rsidRPr="004A6B39">
        <w:rPr>
          <w:rFonts w:asciiTheme="minorHAnsi" w:hAnsiTheme="minorHAnsi" w:cstheme="minorHAnsi"/>
        </w:rPr>
        <w:t>habitat bins (Bin 3 and Bin 4)</w:t>
      </w:r>
      <w:r>
        <w:rPr>
          <w:rFonts w:asciiTheme="minorHAnsi" w:hAnsiTheme="minorHAnsi" w:cstheme="minorHAnsi"/>
        </w:rPr>
        <w:t>; (4) a</w:t>
      </w:r>
      <w:r w:rsidRPr="004A6B39">
        <w:rPr>
          <w:rFonts w:asciiTheme="minorHAnsi" w:hAnsiTheme="minorHAnsi" w:cstheme="minorHAnsi"/>
        </w:rPr>
        <w:t xml:space="preserve"> modeling approach for aquatic habitat that accounts for application</w:t>
      </w:r>
      <w:r>
        <w:rPr>
          <w:rFonts w:asciiTheme="minorHAnsi" w:hAnsiTheme="minorHAnsi" w:cstheme="minorHAnsi"/>
        </w:rPr>
        <w:t xml:space="preserve"> </w:t>
      </w:r>
      <w:r w:rsidRPr="004A6B39">
        <w:rPr>
          <w:rFonts w:asciiTheme="minorHAnsi" w:hAnsiTheme="minorHAnsi" w:cstheme="minorHAnsi"/>
        </w:rPr>
        <w:t>timing variability, PCA variability, and PCT variability should be implemented in the</w:t>
      </w:r>
      <w:r>
        <w:rPr>
          <w:rFonts w:asciiTheme="minorHAnsi" w:hAnsiTheme="minorHAnsi" w:cstheme="minorHAnsi"/>
        </w:rPr>
        <w:t xml:space="preserve"> </w:t>
      </w:r>
      <w:r w:rsidRPr="004A6B39">
        <w:rPr>
          <w:rFonts w:asciiTheme="minorHAnsi" w:hAnsiTheme="minorHAnsi" w:cstheme="minorHAnsi"/>
        </w:rPr>
        <w:t>Step 2 probabilistic aquatic exposure modeling</w:t>
      </w:r>
      <w:r>
        <w:rPr>
          <w:rFonts w:asciiTheme="minorHAnsi" w:hAnsiTheme="minorHAnsi" w:cstheme="minorHAnsi"/>
        </w:rPr>
        <w:t>; and, (5) the s</w:t>
      </w:r>
      <w:r w:rsidRPr="004A6B39">
        <w:rPr>
          <w:rFonts w:asciiTheme="minorHAnsi" w:hAnsiTheme="minorHAnsi" w:cstheme="minorHAnsi"/>
        </w:rPr>
        <w:t xml:space="preserve">patial </w:t>
      </w:r>
      <w:r>
        <w:rPr>
          <w:rFonts w:asciiTheme="minorHAnsi" w:hAnsiTheme="minorHAnsi" w:cstheme="minorHAnsi"/>
        </w:rPr>
        <w:t>r</w:t>
      </w:r>
      <w:r w:rsidRPr="004A6B39">
        <w:rPr>
          <w:rFonts w:asciiTheme="minorHAnsi" w:hAnsiTheme="minorHAnsi" w:cstheme="minorHAnsi"/>
        </w:rPr>
        <w:t xml:space="preserve">esolution of </w:t>
      </w:r>
      <w:r>
        <w:rPr>
          <w:rFonts w:asciiTheme="minorHAnsi" w:hAnsiTheme="minorHAnsi" w:cstheme="minorHAnsi"/>
        </w:rPr>
        <w:t>e</w:t>
      </w:r>
      <w:r w:rsidRPr="004A6B39">
        <w:rPr>
          <w:rFonts w:asciiTheme="minorHAnsi" w:hAnsiTheme="minorHAnsi" w:cstheme="minorHAnsi"/>
        </w:rPr>
        <w:t xml:space="preserve">xposure </w:t>
      </w:r>
      <w:r>
        <w:rPr>
          <w:rFonts w:asciiTheme="minorHAnsi" w:hAnsiTheme="minorHAnsi" w:cstheme="minorHAnsi"/>
        </w:rPr>
        <w:t>s</w:t>
      </w:r>
      <w:r w:rsidRPr="004A6B39">
        <w:rPr>
          <w:rFonts w:asciiTheme="minorHAnsi" w:hAnsiTheme="minorHAnsi" w:cstheme="minorHAnsi"/>
        </w:rPr>
        <w:t xml:space="preserve">cenarios at the HUC2 </w:t>
      </w:r>
      <w:r>
        <w:rPr>
          <w:rFonts w:asciiTheme="minorHAnsi" w:hAnsiTheme="minorHAnsi" w:cstheme="minorHAnsi"/>
        </w:rPr>
        <w:t>s</w:t>
      </w:r>
      <w:r w:rsidRPr="004A6B39">
        <w:rPr>
          <w:rFonts w:asciiTheme="minorHAnsi" w:hAnsiTheme="minorHAnsi" w:cstheme="minorHAnsi"/>
        </w:rPr>
        <w:t xml:space="preserve">cale is </w:t>
      </w:r>
      <w:r>
        <w:rPr>
          <w:rFonts w:asciiTheme="minorHAnsi" w:hAnsiTheme="minorHAnsi" w:cstheme="minorHAnsi"/>
        </w:rPr>
        <w:t>i</w:t>
      </w:r>
      <w:r w:rsidRPr="004A6B39">
        <w:rPr>
          <w:rFonts w:asciiTheme="minorHAnsi" w:hAnsiTheme="minorHAnsi" w:cstheme="minorHAnsi"/>
        </w:rPr>
        <w:t>nsufficient to</w:t>
      </w:r>
      <w:r>
        <w:rPr>
          <w:rFonts w:asciiTheme="minorHAnsi" w:hAnsiTheme="minorHAnsi" w:cstheme="minorHAnsi"/>
        </w:rPr>
        <w:t xml:space="preserve"> c</w:t>
      </w:r>
      <w:r w:rsidRPr="004A6B39">
        <w:rPr>
          <w:rFonts w:asciiTheme="minorHAnsi" w:hAnsiTheme="minorHAnsi" w:cstheme="minorHAnsi"/>
        </w:rPr>
        <w:t xml:space="preserve">haracterize </w:t>
      </w:r>
      <w:r>
        <w:rPr>
          <w:rFonts w:asciiTheme="minorHAnsi" w:hAnsiTheme="minorHAnsi" w:cstheme="minorHAnsi"/>
        </w:rPr>
        <w:t>s</w:t>
      </w:r>
      <w:r w:rsidRPr="004A6B39">
        <w:rPr>
          <w:rFonts w:asciiTheme="minorHAnsi" w:hAnsiTheme="minorHAnsi" w:cstheme="minorHAnsi"/>
        </w:rPr>
        <w:t>pecies-</w:t>
      </w:r>
      <w:r>
        <w:rPr>
          <w:rFonts w:asciiTheme="minorHAnsi" w:hAnsiTheme="minorHAnsi" w:cstheme="minorHAnsi"/>
        </w:rPr>
        <w:t>s</w:t>
      </w:r>
      <w:r w:rsidRPr="004A6B39">
        <w:rPr>
          <w:rFonts w:asciiTheme="minorHAnsi" w:hAnsiTheme="minorHAnsi" w:cstheme="minorHAnsi"/>
        </w:rPr>
        <w:t xml:space="preserve">pecific </w:t>
      </w:r>
      <w:r>
        <w:rPr>
          <w:rFonts w:asciiTheme="minorHAnsi" w:hAnsiTheme="minorHAnsi" w:cstheme="minorHAnsi"/>
        </w:rPr>
        <w:t>e</w:t>
      </w:r>
      <w:r w:rsidRPr="004A6B39">
        <w:rPr>
          <w:rFonts w:asciiTheme="minorHAnsi" w:hAnsiTheme="minorHAnsi" w:cstheme="minorHAnsi"/>
        </w:rPr>
        <w:t>xposure</w:t>
      </w:r>
      <w:r>
        <w:rPr>
          <w:rFonts w:asciiTheme="minorHAnsi" w:hAnsiTheme="minorHAnsi" w:cstheme="minorHAnsi"/>
        </w:rPr>
        <w:t>.</w:t>
      </w:r>
    </w:p>
    <w:p w14:paraId="45854C44" w14:textId="77777777" w:rsidR="00DA0FF5" w:rsidRPr="0050044C" w:rsidRDefault="00DA0FF5" w:rsidP="005859DB">
      <w:pPr>
        <w:rPr>
          <w:rFonts w:asciiTheme="minorHAnsi" w:hAnsiTheme="minorHAnsi" w:cstheme="minorHAnsi"/>
        </w:rPr>
      </w:pPr>
    </w:p>
    <w:p w14:paraId="696F7E77" w14:textId="0437037E" w:rsidR="004A6B39" w:rsidRDefault="004A6B39" w:rsidP="005859DB">
      <w:pPr>
        <w:rPr>
          <w:rFonts w:asciiTheme="minorHAnsi" w:hAnsiTheme="minorHAnsi" w:cstheme="minorHAnsi"/>
          <w:i/>
          <w:iCs/>
        </w:rPr>
      </w:pPr>
      <w:r w:rsidRPr="0067789F">
        <w:rPr>
          <w:rFonts w:asciiTheme="minorHAnsi" w:hAnsiTheme="minorHAnsi" w:cstheme="minorHAnsi"/>
          <w:b/>
          <w:bCs/>
        </w:rPr>
        <w:t>EPA Response:</w:t>
      </w:r>
      <w:r w:rsidRPr="0050044C">
        <w:rPr>
          <w:rFonts w:asciiTheme="minorHAnsi" w:hAnsiTheme="minorHAnsi" w:cstheme="minorHAnsi"/>
          <w:b/>
          <w:bCs/>
          <w:i/>
          <w:iCs/>
        </w:rPr>
        <w:t xml:space="preserve"> </w:t>
      </w:r>
      <w:r w:rsidR="00533A24" w:rsidRPr="00533A24">
        <w:rPr>
          <w:rFonts w:asciiTheme="minorHAnsi" w:hAnsiTheme="minorHAnsi" w:cstheme="minorHAnsi"/>
          <w:i/>
          <w:iCs/>
        </w:rPr>
        <w:t>The aquatic modeling methods</w:t>
      </w:r>
      <w:r w:rsidR="00533A24">
        <w:rPr>
          <w:rFonts w:asciiTheme="minorHAnsi" w:hAnsiTheme="minorHAnsi" w:cstheme="minorHAnsi"/>
          <w:i/>
          <w:iCs/>
        </w:rPr>
        <w:t xml:space="preserve"> are designed to estimate exposure and determine if an individual of a species is likely to be adversely </w:t>
      </w:r>
      <w:r w:rsidR="00C206ED">
        <w:rPr>
          <w:rFonts w:asciiTheme="minorHAnsi" w:hAnsiTheme="minorHAnsi" w:cstheme="minorHAnsi"/>
          <w:i/>
          <w:iCs/>
        </w:rPr>
        <w:t>affected</w:t>
      </w:r>
      <w:r w:rsidR="00533A24">
        <w:rPr>
          <w:rFonts w:asciiTheme="minorHAnsi" w:hAnsiTheme="minorHAnsi" w:cstheme="minorHAnsi"/>
          <w:i/>
          <w:iCs/>
        </w:rPr>
        <w:t>. As such, EPA believes the modeling used in the BEs performs this function.</w:t>
      </w:r>
    </w:p>
    <w:p w14:paraId="2BD6B334" w14:textId="66A5A908" w:rsidR="00533A24" w:rsidRDefault="00533A24" w:rsidP="005859DB">
      <w:pPr>
        <w:rPr>
          <w:rFonts w:asciiTheme="minorHAnsi" w:hAnsiTheme="minorHAnsi" w:cstheme="minorHAnsi"/>
          <w:i/>
          <w:iCs/>
        </w:rPr>
      </w:pPr>
    </w:p>
    <w:p w14:paraId="424F868B" w14:textId="4C5C380B" w:rsidR="00EC02F1" w:rsidRDefault="00F202D8" w:rsidP="005859DB">
      <w:pPr>
        <w:rPr>
          <w:rFonts w:asciiTheme="minorHAnsi" w:hAnsiTheme="minorHAnsi" w:cstheme="minorHAnsi"/>
          <w:i/>
          <w:iCs/>
        </w:rPr>
      </w:pPr>
      <w:r>
        <w:rPr>
          <w:rFonts w:asciiTheme="minorHAnsi" w:hAnsiTheme="minorHAnsi" w:cstheme="minorHAnsi"/>
          <w:i/>
          <w:iCs/>
        </w:rPr>
        <w:t xml:space="preserve">The aquatic modeling depends </w:t>
      </w:r>
      <w:r w:rsidR="00B07568">
        <w:rPr>
          <w:rFonts w:asciiTheme="minorHAnsi" w:hAnsiTheme="minorHAnsi" w:cstheme="minorHAnsi"/>
          <w:i/>
          <w:iCs/>
        </w:rPr>
        <w:t xml:space="preserve">on </w:t>
      </w:r>
      <w:r>
        <w:rPr>
          <w:rFonts w:asciiTheme="minorHAnsi" w:hAnsiTheme="minorHAnsi" w:cstheme="minorHAnsi"/>
          <w:i/>
          <w:iCs/>
        </w:rPr>
        <w:t xml:space="preserve">not only the volume and flow of the waterbody receiving it, but also on the watershed discharging to it. Unlike EPA’s pond and index reservoir </w:t>
      </w:r>
      <w:r w:rsidR="00EC02F1">
        <w:rPr>
          <w:rFonts w:asciiTheme="minorHAnsi" w:hAnsiTheme="minorHAnsi" w:cstheme="minorHAnsi"/>
          <w:i/>
          <w:iCs/>
        </w:rPr>
        <w:t xml:space="preserve">conceptual </w:t>
      </w:r>
      <w:r>
        <w:rPr>
          <w:rFonts w:asciiTheme="minorHAnsi" w:hAnsiTheme="minorHAnsi" w:cstheme="minorHAnsi"/>
          <w:i/>
          <w:iCs/>
        </w:rPr>
        <w:t xml:space="preserve">models, which have fully characterized watershed sizes, Bins 2 and 5 are very small and the estimation of the watershed contributing to these waterbodies </w:t>
      </w:r>
      <w:r w:rsidR="00975C09">
        <w:rPr>
          <w:rFonts w:asciiTheme="minorHAnsi" w:hAnsiTheme="minorHAnsi" w:cstheme="minorHAnsi"/>
          <w:i/>
          <w:iCs/>
        </w:rPr>
        <w:t xml:space="preserve">is </w:t>
      </w:r>
      <w:r>
        <w:rPr>
          <w:rFonts w:asciiTheme="minorHAnsi" w:hAnsiTheme="minorHAnsi" w:cstheme="minorHAnsi"/>
          <w:i/>
          <w:iCs/>
        </w:rPr>
        <w:t>not easily determined from available data sources. As the volume of these waterbodies can easily be overwhelmed by a field discharge, EPA believes the use of the edge-of-field concentrations to represent</w:t>
      </w:r>
      <w:r w:rsidR="00EC02F1">
        <w:rPr>
          <w:rFonts w:asciiTheme="minorHAnsi" w:hAnsiTheme="minorHAnsi" w:cstheme="minorHAnsi"/>
          <w:i/>
          <w:iCs/>
        </w:rPr>
        <w:t xml:space="preserve"> exposure concentrations in these waterbodies to be appropriate.</w:t>
      </w:r>
    </w:p>
    <w:p w14:paraId="37CFD22C" w14:textId="77777777" w:rsidR="00EC02F1" w:rsidRDefault="00EC02F1" w:rsidP="005859DB">
      <w:pPr>
        <w:rPr>
          <w:rFonts w:asciiTheme="minorHAnsi" w:hAnsiTheme="minorHAnsi" w:cstheme="minorHAnsi"/>
          <w:i/>
          <w:iCs/>
        </w:rPr>
      </w:pPr>
    </w:p>
    <w:p w14:paraId="7C527B42" w14:textId="5C576C6A" w:rsidR="00533A24" w:rsidRDefault="00EC02F1" w:rsidP="005859DB">
      <w:pPr>
        <w:rPr>
          <w:rFonts w:asciiTheme="minorHAnsi" w:hAnsiTheme="minorHAnsi" w:cstheme="minorHAnsi"/>
          <w:i/>
          <w:iCs/>
        </w:rPr>
      </w:pPr>
      <w:r>
        <w:rPr>
          <w:rFonts w:asciiTheme="minorHAnsi" w:hAnsiTheme="minorHAnsi" w:cstheme="minorHAnsi"/>
          <w:i/>
          <w:iCs/>
        </w:rPr>
        <w:lastRenderedPageBreak/>
        <w:t xml:space="preserve">EPA agrees that the use of a watershed model to evaluate the medium and high flowing waterbodies is the proper means for aquatic modeling these waterbodies. EPA’s Spatial Aquatic Model (SAM) is being developed to do such modeling. However, EPA has not finalized the development of this model. Stakeholders have commented that EPA should use the Soil and Water Assessment Tool (SWAT) for these waterbodies. However, EPA has not evaluated the tool or </w:t>
      </w:r>
      <w:r w:rsidR="00A75736">
        <w:rPr>
          <w:rFonts w:asciiTheme="minorHAnsi" w:hAnsiTheme="minorHAnsi" w:cstheme="minorHAnsi"/>
          <w:i/>
          <w:iCs/>
        </w:rPr>
        <w:t>t</w:t>
      </w:r>
      <w:r>
        <w:rPr>
          <w:rFonts w:asciiTheme="minorHAnsi" w:hAnsiTheme="minorHAnsi" w:cstheme="minorHAnsi"/>
          <w:i/>
          <w:iCs/>
        </w:rPr>
        <w:t>he appropriate parameters for use in the tool</w:t>
      </w:r>
      <w:r w:rsidR="00A75736">
        <w:rPr>
          <w:rFonts w:asciiTheme="minorHAnsi" w:hAnsiTheme="minorHAnsi" w:cstheme="minorHAnsi"/>
          <w:i/>
          <w:iCs/>
        </w:rPr>
        <w:t xml:space="preserve"> such that it can be used on a national basis for listed species. Until EPA can develop or evaluate a watershed model, EPA will continue to explore the best way to use PWC to evaluate </w:t>
      </w:r>
      <w:r w:rsidR="00B25605">
        <w:rPr>
          <w:rFonts w:asciiTheme="minorHAnsi" w:hAnsiTheme="minorHAnsi" w:cstheme="minorHAnsi"/>
          <w:i/>
          <w:iCs/>
        </w:rPr>
        <w:t xml:space="preserve">medium and high </w:t>
      </w:r>
      <w:r w:rsidR="00A75736">
        <w:rPr>
          <w:rFonts w:asciiTheme="minorHAnsi" w:hAnsiTheme="minorHAnsi" w:cstheme="minorHAnsi"/>
          <w:i/>
          <w:iCs/>
        </w:rPr>
        <w:t>flowing waterbodies.</w:t>
      </w:r>
    </w:p>
    <w:p w14:paraId="38315EF7" w14:textId="5914FDB9" w:rsidR="00A75736" w:rsidRDefault="00A75736" w:rsidP="005859DB">
      <w:pPr>
        <w:rPr>
          <w:rFonts w:asciiTheme="minorHAnsi" w:hAnsiTheme="minorHAnsi" w:cstheme="minorHAnsi"/>
          <w:i/>
          <w:iCs/>
        </w:rPr>
      </w:pPr>
    </w:p>
    <w:p w14:paraId="752C9E9A" w14:textId="797753CA" w:rsidR="003A7F71" w:rsidRDefault="00B25605" w:rsidP="005859DB">
      <w:pPr>
        <w:rPr>
          <w:rFonts w:asciiTheme="minorHAnsi" w:hAnsiTheme="minorHAnsi" w:cstheme="minorHAnsi"/>
          <w:i/>
          <w:iCs/>
        </w:rPr>
      </w:pPr>
      <w:r w:rsidRPr="00B25605">
        <w:rPr>
          <w:rFonts w:asciiTheme="minorHAnsi" w:hAnsiTheme="minorHAnsi" w:cstheme="minorHAnsi"/>
          <w:i/>
          <w:iCs/>
        </w:rPr>
        <w:t xml:space="preserve">EPA agrees that the best way to do probabilistic exposure modeling for the aquatic habitats in Step 2 would be to account for application timing variability, PCA variability, and PCT variability in the actual modeling and use the results </w:t>
      </w:r>
      <w:r>
        <w:rPr>
          <w:rFonts w:asciiTheme="minorHAnsi" w:hAnsiTheme="minorHAnsi" w:cstheme="minorHAnsi"/>
          <w:i/>
          <w:iCs/>
        </w:rPr>
        <w:t xml:space="preserve">in the MAGtool. However, EPA currently has conducted thousands of PWC runs to model the various uses, application methods, and aquatic habitats without this type of probabilistic approach. Proper probabilistic modeling would generate upwards of a million results, which is not feasible. EPA developed scaling factors to account for the variability in application date and </w:t>
      </w:r>
      <w:r w:rsidR="003A7F71" w:rsidRPr="003A7F71">
        <w:rPr>
          <w:rFonts w:asciiTheme="minorHAnsi" w:hAnsiTheme="minorHAnsi" w:cstheme="minorHAnsi"/>
          <w:i/>
          <w:iCs/>
        </w:rPr>
        <w:t>hydrologic soil</w:t>
      </w:r>
      <w:r w:rsidR="003A7F71">
        <w:rPr>
          <w:rFonts w:asciiTheme="minorHAnsi" w:hAnsiTheme="minorHAnsi" w:cstheme="minorHAnsi"/>
          <w:i/>
          <w:iCs/>
        </w:rPr>
        <w:t xml:space="preserve"> conditions as a simple probabilistic approach for aquatic modeling. </w:t>
      </w:r>
      <w:r w:rsidR="00BF1AC5">
        <w:rPr>
          <w:rFonts w:asciiTheme="minorHAnsi" w:hAnsiTheme="minorHAnsi" w:cstheme="minorHAnsi"/>
          <w:i/>
          <w:iCs/>
        </w:rPr>
        <w:t>This</w:t>
      </w:r>
      <w:r w:rsidR="003A7F71" w:rsidDel="00BF1AC5">
        <w:rPr>
          <w:rFonts w:asciiTheme="minorHAnsi" w:hAnsiTheme="minorHAnsi" w:cstheme="minorHAnsi"/>
          <w:i/>
          <w:iCs/>
        </w:rPr>
        <w:t xml:space="preserve"> </w:t>
      </w:r>
      <w:r w:rsidR="003A7F71">
        <w:rPr>
          <w:rFonts w:asciiTheme="minorHAnsi" w:hAnsiTheme="minorHAnsi" w:cstheme="minorHAnsi"/>
          <w:i/>
          <w:iCs/>
        </w:rPr>
        <w:t>allow</w:t>
      </w:r>
      <w:r w:rsidR="00BF1AC5">
        <w:rPr>
          <w:rFonts w:asciiTheme="minorHAnsi" w:hAnsiTheme="minorHAnsi" w:cstheme="minorHAnsi"/>
          <w:i/>
          <w:iCs/>
        </w:rPr>
        <w:t>s</w:t>
      </w:r>
      <w:r w:rsidR="003A7F71">
        <w:rPr>
          <w:rFonts w:asciiTheme="minorHAnsi" w:hAnsiTheme="minorHAnsi" w:cstheme="minorHAnsi"/>
          <w:i/>
          <w:iCs/>
        </w:rPr>
        <w:t xml:space="preserve"> EPA the ability to evaluate the impact of these factors to the listed aquatic species.</w:t>
      </w:r>
    </w:p>
    <w:p w14:paraId="4C503153" w14:textId="29B2857A" w:rsidR="003A7F71" w:rsidRDefault="003A7F71" w:rsidP="005859DB">
      <w:pPr>
        <w:rPr>
          <w:rFonts w:asciiTheme="minorHAnsi" w:hAnsiTheme="minorHAnsi" w:cstheme="minorHAnsi"/>
          <w:i/>
          <w:iCs/>
        </w:rPr>
      </w:pPr>
    </w:p>
    <w:p w14:paraId="40B756C3" w14:textId="082D060B" w:rsidR="003A7F71" w:rsidRDefault="003A7F71" w:rsidP="005859DB">
      <w:pPr>
        <w:rPr>
          <w:rFonts w:asciiTheme="minorHAnsi" w:hAnsiTheme="minorHAnsi" w:cstheme="minorHAnsi"/>
          <w:i/>
          <w:iCs/>
        </w:rPr>
      </w:pPr>
      <w:r>
        <w:rPr>
          <w:rFonts w:asciiTheme="minorHAnsi" w:hAnsiTheme="minorHAnsi" w:cstheme="minorHAnsi"/>
          <w:i/>
          <w:iCs/>
        </w:rPr>
        <w:t>Lastly</w:t>
      </w:r>
      <w:r w:rsidDel="00BF1AC5">
        <w:rPr>
          <w:rFonts w:asciiTheme="minorHAnsi" w:hAnsiTheme="minorHAnsi" w:cstheme="minorHAnsi"/>
          <w:i/>
          <w:iCs/>
        </w:rPr>
        <w:t>,</w:t>
      </w:r>
      <w:r>
        <w:rPr>
          <w:rFonts w:asciiTheme="minorHAnsi" w:hAnsiTheme="minorHAnsi" w:cstheme="minorHAnsi"/>
          <w:i/>
          <w:iCs/>
        </w:rPr>
        <w:t xml:space="preserve"> given the general but protective nature of the waterbodies and fields being assessed, the use of HUC 2 meteorology to </w:t>
      </w:r>
      <w:r w:rsidR="00CA6E85">
        <w:rPr>
          <w:rFonts w:asciiTheme="minorHAnsi" w:hAnsiTheme="minorHAnsi" w:cstheme="minorHAnsi"/>
          <w:i/>
          <w:iCs/>
        </w:rPr>
        <w:t xml:space="preserve">distinguish regional differences in precipitation </w:t>
      </w:r>
      <w:r w:rsidR="00F07DF8">
        <w:rPr>
          <w:rFonts w:asciiTheme="minorHAnsi" w:hAnsiTheme="minorHAnsi" w:cstheme="minorHAnsi"/>
          <w:i/>
          <w:iCs/>
        </w:rPr>
        <w:t xml:space="preserve">is </w:t>
      </w:r>
      <w:r w:rsidR="00CA6E85">
        <w:rPr>
          <w:rFonts w:asciiTheme="minorHAnsi" w:hAnsiTheme="minorHAnsi" w:cstheme="minorHAnsi"/>
          <w:i/>
          <w:iCs/>
        </w:rPr>
        <w:t>sufficient for use in the BEs.</w:t>
      </w:r>
    </w:p>
    <w:p w14:paraId="202DF871" w14:textId="77777777" w:rsidR="000A28B1" w:rsidRDefault="000A28B1" w:rsidP="005859DB">
      <w:pPr>
        <w:rPr>
          <w:rFonts w:asciiTheme="minorHAnsi" w:hAnsiTheme="minorHAnsi" w:cstheme="minorHAnsi"/>
          <w:i/>
          <w:iCs/>
        </w:rPr>
      </w:pPr>
    </w:p>
    <w:p w14:paraId="1EA0DB6C" w14:textId="0FAB686B" w:rsidR="000A28B1" w:rsidRPr="000A6B0E" w:rsidRDefault="000A28B1" w:rsidP="005859DB">
      <w:pPr>
        <w:rPr>
          <w:rFonts w:asciiTheme="minorHAnsi" w:hAnsiTheme="minorHAnsi" w:cstheme="minorHAnsi"/>
        </w:rPr>
      </w:pPr>
      <w:r w:rsidRPr="000A6B0E">
        <w:rPr>
          <w:rFonts w:asciiTheme="minorHAnsi" w:hAnsiTheme="minorHAnsi" w:cstheme="minorHAnsi"/>
          <w:b/>
          <w:bCs/>
        </w:rPr>
        <w:t>Comment:</w:t>
      </w:r>
      <w:r w:rsidRPr="000A6B0E">
        <w:rPr>
          <w:rFonts w:asciiTheme="minorHAnsi" w:hAnsiTheme="minorHAnsi" w:cstheme="minorHAnsi"/>
        </w:rPr>
        <w:t xml:space="preserve"> </w:t>
      </w:r>
      <w:r>
        <w:rPr>
          <w:rFonts w:asciiTheme="minorHAnsi" w:hAnsiTheme="minorHAnsi" w:cstheme="minorHAnsi"/>
        </w:rPr>
        <w:t>Several commenters provided case studies employing method refinements that they believe EPA should employ in the development of their BEs</w:t>
      </w:r>
      <w:r w:rsidRPr="000A6B0E">
        <w:rPr>
          <w:rFonts w:asciiTheme="minorHAnsi" w:hAnsiTheme="minorHAnsi" w:cstheme="minorHAnsi"/>
        </w:rPr>
        <w:t>.</w:t>
      </w:r>
    </w:p>
    <w:p w14:paraId="1C0E85F1" w14:textId="77777777" w:rsidR="000A28B1" w:rsidRPr="000A6B0E" w:rsidRDefault="000A28B1" w:rsidP="005859DB">
      <w:pPr>
        <w:rPr>
          <w:rFonts w:asciiTheme="minorHAnsi" w:hAnsiTheme="minorHAnsi" w:cstheme="minorHAnsi"/>
        </w:rPr>
      </w:pPr>
    </w:p>
    <w:p w14:paraId="743541DE" w14:textId="7C997943" w:rsidR="000A28B1" w:rsidRDefault="000A28B1" w:rsidP="005859DB">
      <w:pPr>
        <w:rPr>
          <w:rFonts w:asciiTheme="minorHAnsi" w:hAnsiTheme="minorHAnsi"/>
          <w:i/>
        </w:rPr>
      </w:pPr>
      <w:r w:rsidRPr="0CB749C8">
        <w:rPr>
          <w:rFonts w:asciiTheme="minorHAnsi" w:hAnsiTheme="minorHAnsi"/>
          <w:b/>
        </w:rPr>
        <w:t>EPA Response:</w:t>
      </w:r>
      <w:r w:rsidRPr="0CB749C8">
        <w:rPr>
          <w:rFonts w:asciiTheme="minorHAnsi" w:hAnsiTheme="minorHAnsi"/>
          <w:b/>
          <w:i/>
        </w:rPr>
        <w:t xml:space="preserve"> </w:t>
      </w:r>
      <w:r w:rsidRPr="0CB749C8">
        <w:rPr>
          <w:rFonts w:asciiTheme="minorHAnsi" w:hAnsiTheme="minorHAnsi"/>
          <w:i/>
        </w:rPr>
        <w:t>EPA appreciates the proposed methods suggested by the commenters but is unable to fully consider and evaluate the methods before releasing the final neonicotinoid BEs</w:t>
      </w:r>
      <w:r w:rsidR="00AC551E" w:rsidRPr="0CB749C8">
        <w:rPr>
          <w:rFonts w:asciiTheme="minorHAnsi" w:hAnsiTheme="minorHAnsi"/>
          <w:i/>
        </w:rPr>
        <w:t xml:space="preserve"> and </w:t>
      </w:r>
      <w:r w:rsidR="00DD57B5" w:rsidRPr="0CB749C8">
        <w:rPr>
          <w:rFonts w:asciiTheme="minorHAnsi" w:hAnsiTheme="minorHAnsi"/>
          <w:i/>
        </w:rPr>
        <w:t>considers</w:t>
      </w:r>
      <w:r w:rsidR="00EE3E5B" w:rsidRPr="0CB749C8">
        <w:rPr>
          <w:rFonts w:asciiTheme="minorHAnsi" w:hAnsiTheme="minorHAnsi"/>
          <w:i/>
        </w:rPr>
        <w:t xml:space="preserve"> </w:t>
      </w:r>
      <w:r w:rsidR="00DD57B5" w:rsidRPr="0CB749C8">
        <w:rPr>
          <w:rFonts w:asciiTheme="minorHAnsi" w:hAnsiTheme="minorHAnsi"/>
          <w:i/>
        </w:rPr>
        <w:t xml:space="preserve">that </w:t>
      </w:r>
      <w:r w:rsidR="00EE3E5B" w:rsidRPr="0CB749C8">
        <w:rPr>
          <w:rFonts w:asciiTheme="minorHAnsi" w:hAnsiTheme="minorHAnsi"/>
          <w:i/>
        </w:rPr>
        <w:t xml:space="preserve">the proposed methods </w:t>
      </w:r>
      <w:r w:rsidR="00AC551E" w:rsidRPr="0CB749C8">
        <w:rPr>
          <w:rFonts w:asciiTheme="minorHAnsi" w:hAnsiTheme="minorHAnsi"/>
          <w:i/>
        </w:rPr>
        <w:t>are unlikely to impact NLAA or LAA effects determinations</w:t>
      </w:r>
      <w:r w:rsidR="009B0348" w:rsidRPr="0CB749C8">
        <w:rPr>
          <w:rFonts w:asciiTheme="minorHAnsi" w:hAnsiTheme="minorHAnsi"/>
          <w:i/>
        </w:rPr>
        <w:t xml:space="preserve"> based on the conservative nature of these determinations</w:t>
      </w:r>
      <w:r w:rsidRPr="0CB749C8">
        <w:rPr>
          <w:rFonts w:asciiTheme="minorHAnsi" w:hAnsiTheme="minorHAnsi"/>
          <w:i/>
        </w:rPr>
        <w:t xml:space="preserve">. </w:t>
      </w:r>
      <w:r w:rsidR="00A95B21" w:rsidRPr="0CB749C8">
        <w:rPr>
          <w:rFonts w:asciiTheme="minorHAnsi" w:hAnsiTheme="minorHAnsi"/>
          <w:i/>
        </w:rPr>
        <w:t>As needed</w:t>
      </w:r>
      <w:r w:rsidR="004546CF" w:rsidRPr="0CB749C8">
        <w:rPr>
          <w:rFonts w:asciiTheme="minorHAnsi" w:hAnsiTheme="minorHAnsi"/>
          <w:i/>
        </w:rPr>
        <w:t xml:space="preserve"> and deemed appropriate, </w:t>
      </w:r>
      <w:r w:rsidRPr="0CB749C8">
        <w:rPr>
          <w:rFonts w:asciiTheme="minorHAnsi" w:hAnsiTheme="minorHAnsi"/>
          <w:i/>
        </w:rPr>
        <w:t xml:space="preserve">EPA will consider </w:t>
      </w:r>
      <w:r w:rsidR="0082645B" w:rsidRPr="0CB749C8">
        <w:rPr>
          <w:rFonts w:asciiTheme="minorHAnsi" w:hAnsiTheme="minorHAnsi"/>
          <w:i/>
        </w:rPr>
        <w:t xml:space="preserve">higher tier analyses or method refinements </w:t>
      </w:r>
      <w:r w:rsidRPr="0CB749C8">
        <w:rPr>
          <w:rFonts w:asciiTheme="minorHAnsi" w:hAnsiTheme="minorHAnsi"/>
          <w:i/>
        </w:rPr>
        <w:t xml:space="preserve">further during consultation discussions with the Services. </w:t>
      </w:r>
    </w:p>
    <w:p w14:paraId="15749B3A" w14:textId="77777777" w:rsidR="003A7F71" w:rsidRPr="003A7F71" w:rsidRDefault="003A7F71" w:rsidP="005859DB">
      <w:pPr>
        <w:rPr>
          <w:rFonts w:asciiTheme="minorHAnsi" w:hAnsiTheme="minorHAnsi" w:cstheme="minorHAnsi"/>
          <w:i/>
          <w:iCs/>
        </w:rPr>
      </w:pPr>
    </w:p>
    <w:p w14:paraId="09FB1753" w14:textId="2AA3D26F" w:rsidR="000A6B0E" w:rsidRPr="0050044C" w:rsidRDefault="000A6B0E" w:rsidP="005859DB">
      <w:pPr>
        <w:rPr>
          <w:rFonts w:asciiTheme="minorHAnsi" w:hAnsiTheme="minorHAnsi" w:cstheme="minorHAnsi"/>
        </w:rPr>
      </w:pPr>
      <w:r w:rsidRPr="0050044C">
        <w:rPr>
          <w:rFonts w:asciiTheme="minorHAnsi" w:hAnsiTheme="minorHAnsi" w:cstheme="minorHAnsi"/>
          <w:b/>
          <w:bCs/>
        </w:rPr>
        <w:t xml:space="preserve">Comment: </w:t>
      </w:r>
      <w:r w:rsidRPr="0050044C">
        <w:rPr>
          <w:rFonts w:asciiTheme="minorHAnsi" w:hAnsiTheme="minorHAnsi" w:cstheme="minorHAnsi"/>
        </w:rPr>
        <w:t xml:space="preserve">Several commenters questioned the conservative nature of the endpoints used in the BE and </w:t>
      </w:r>
      <w:r w:rsidR="000A28B1">
        <w:rPr>
          <w:rFonts w:asciiTheme="minorHAnsi" w:hAnsiTheme="minorHAnsi" w:cstheme="minorHAnsi"/>
        </w:rPr>
        <w:t xml:space="preserve">the </w:t>
      </w:r>
      <w:r w:rsidRPr="0050044C">
        <w:rPr>
          <w:rFonts w:asciiTheme="minorHAnsi" w:hAnsiTheme="minorHAnsi" w:cstheme="minorHAnsi"/>
        </w:rPr>
        <w:t>criteria used for study evaluation. Specific detailed comments were provided regarding specific endpoints.</w:t>
      </w:r>
    </w:p>
    <w:p w14:paraId="00BA7857" w14:textId="77777777" w:rsidR="000A6B0E" w:rsidRPr="0050044C" w:rsidRDefault="000A6B0E" w:rsidP="005859DB">
      <w:pPr>
        <w:rPr>
          <w:rFonts w:asciiTheme="minorHAnsi" w:hAnsiTheme="minorHAnsi" w:cstheme="minorHAnsi"/>
        </w:rPr>
      </w:pPr>
    </w:p>
    <w:p w14:paraId="0CA74307" w14:textId="4EF03CD3" w:rsidR="000A6B0E" w:rsidRPr="0050044C" w:rsidRDefault="000A6B0E" w:rsidP="005859DB">
      <w:pPr>
        <w:rPr>
          <w:rFonts w:asciiTheme="minorHAnsi" w:hAnsiTheme="minorHAnsi" w:cstheme="minorHAnsi"/>
          <w:b/>
          <w:bCs/>
          <w:i/>
          <w:iCs/>
        </w:rPr>
      </w:pPr>
      <w:r w:rsidRPr="0067789F">
        <w:rPr>
          <w:rFonts w:asciiTheme="minorHAnsi" w:hAnsiTheme="minorHAnsi" w:cstheme="minorHAnsi"/>
          <w:b/>
        </w:rPr>
        <w:t>EPA Response:</w:t>
      </w:r>
      <w:r w:rsidRPr="0050044C">
        <w:rPr>
          <w:rFonts w:asciiTheme="minorHAnsi" w:hAnsiTheme="minorHAnsi" w:cstheme="minorHAnsi"/>
          <w:b/>
          <w:bCs/>
          <w:i/>
          <w:iCs/>
        </w:rPr>
        <w:t xml:space="preserve"> </w:t>
      </w:r>
      <w:r w:rsidRPr="0050044C">
        <w:rPr>
          <w:rFonts w:asciiTheme="minorHAnsi" w:hAnsiTheme="minorHAnsi" w:cstheme="minorHAnsi"/>
          <w:i/>
          <w:iCs/>
        </w:rPr>
        <w:t>Extensive discussion on the methodology for selecting endpoints and responses to comments on these methods have been previously published.</w:t>
      </w:r>
      <w:r w:rsidRPr="0050044C">
        <w:rPr>
          <w:rStyle w:val="FootnoteReference"/>
          <w:rFonts w:asciiTheme="minorHAnsi" w:hAnsiTheme="minorHAnsi" w:cstheme="minorHAnsi"/>
          <w:i/>
          <w:iCs/>
        </w:rPr>
        <w:footnoteReference w:id="12"/>
      </w:r>
      <w:r w:rsidRPr="0050044C">
        <w:rPr>
          <w:rFonts w:asciiTheme="minorHAnsi" w:hAnsiTheme="minorHAnsi" w:cstheme="minorHAnsi"/>
          <w:i/>
          <w:iCs/>
        </w:rPr>
        <w:t xml:space="preserve"> </w:t>
      </w:r>
      <w:r w:rsidRPr="0050044C">
        <w:rPr>
          <w:rFonts w:asciiTheme="minorHAnsi" w:hAnsiTheme="minorHAnsi" w:cstheme="minorHAnsi"/>
          <w:i/>
        </w:rPr>
        <w:t xml:space="preserve">EPA utilized the most sensitive scientifically valid and reliable endpoints. </w:t>
      </w:r>
      <w:r w:rsidRPr="0050044C">
        <w:rPr>
          <w:rFonts w:asciiTheme="minorHAnsi" w:hAnsiTheme="minorHAnsi" w:cstheme="minorHAnsi"/>
          <w:i/>
          <w:iCs/>
        </w:rPr>
        <w:t>When evaluating unpublished studies submitted by registrants, EPA utilized the standard test guidelines that were most representative of the studies (e.g., OCSPP 850 test guidelines, OECD test guidelines). For studies available in the scientific literature (identified using the ECOTOX database), EPA used its open literature guidance</w:t>
      </w:r>
      <w:r w:rsidRPr="0050044C">
        <w:rPr>
          <w:rStyle w:val="FootnoteReference"/>
          <w:rFonts w:asciiTheme="minorHAnsi" w:hAnsiTheme="minorHAnsi" w:cstheme="minorHAnsi"/>
          <w:i/>
          <w:iCs/>
        </w:rPr>
        <w:footnoteReference w:id="13"/>
      </w:r>
      <w:r w:rsidRPr="0050044C">
        <w:rPr>
          <w:rFonts w:asciiTheme="minorHAnsi" w:hAnsiTheme="minorHAnsi" w:cstheme="minorHAnsi"/>
          <w:i/>
          <w:iCs/>
        </w:rPr>
        <w:t xml:space="preserve">. </w:t>
      </w:r>
      <w:r w:rsidRPr="0050044C">
        <w:rPr>
          <w:rFonts w:asciiTheme="minorHAnsi" w:hAnsiTheme="minorHAnsi" w:cstheme="minorHAnsi"/>
          <w:i/>
        </w:rPr>
        <w:t xml:space="preserve">As part of the weight of evidence, EPA also considered alternative endpoints, which represent less conservative assumptions. This alternative analysis was used to evaluate the impact of using the most sensitive endpoints in the </w:t>
      </w:r>
      <w:r w:rsidR="00176100">
        <w:rPr>
          <w:rFonts w:asciiTheme="minorHAnsi" w:hAnsiTheme="minorHAnsi" w:cstheme="minorHAnsi"/>
          <w:i/>
        </w:rPr>
        <w:t>effects</w:t>
      </w:r>
      <w:r w:rsidR="00176100" w:rsidRPr="0050044C">
        <w:rPr>
          <w:rFonts w:asciiTheme="minorHAnsi" w:hAnsiTheme="minorHAnsi" w:cstheme="minorHAnsi"/>
          <w:i/>
        </w:rPr>
        <w:t xml:space="preserve"> </w:t>
      </w:r>
      <w:r w:rsidRPr="0050044C">
        <w:rPr>
          <w:rFonts w:asciiTheme="minorHAnsi" w:hAnsiTheme="minorHAnsi" w:cstheme="minorHAnsi"/>
          <w:i/>
        </w:rPr>
        <w:t>analysis.</w:t>
      </w:r>
    </w:p>
    <w:p w14:paraId="07C31779" w14:textId="77777777" w:rsidR="000A6B0E" w:rsidRPr="0050044C" w:rsidRDefault="000A6B0E" w:rsidP="005859DB">
      <w:pPr>
        <w:rPr>
          <w:rFonts w:asciiTheme="minorHAnsi" w:hAnsiTheme="minorHAnsi" w:cstheme="minorHAnsi"/>
          <w:b/>
          <w:bCs/>
          <w:i/>
          <w:iCs/>
        </w:rPr>
      </w:pPr>
    </w:p>
    <w:p w14:paraId="62683736" w14:textId="73749CA1" w:rsidR="000A6B0E" w:rsidRPr="0050044C" w:rsidRDefault="000A6B0E" w:rsidP="005859DB">
      <w:pPr>
        <w:rPr>
          <w:rFonts w:asciiTheme="minorHAnsi" w:hAnsiTheme="minorHAnsi" w:cstheme="minorHAnsi"/>
          <w:b/>
          <w:bCs/>
          <w:i/>
          <w:iCs/>
        </w:rPr>
      </w:pPr>
      <w:r w:rsidRPr="0050044C">
        <w:rPr>
          <w:rFonts w:asciiTheme="minorHAnsi" w:hAnsiTheme="minorHAnsi" w:cstheme="minorHAnsi"/>
          <w:i/>
          <w:iCs/>
        </w:rPr>
        <w:lastRenderedPageBreak/>
        <w:t xml:space="preserve">EPA agrees that the thresholds are conservative representations of the available data. </w:t>
      </w:r>
      <w:r w:rsidRPr="0050044C">
        <w:rPr>
          <w:rFonts w:asciiTheme="minorHAnsi" w:eastAsia="Calibri" w:hAnsiTheme="minorHAnsi" w:cstheme="minorHAnsi"/>
          <w:i/>
        </w:rPr>
        <w:t>Values selected as thresholds represent the most sensitive available data. Therefore, the threshold is expected to be more conservative than the broader range of toxicity within a tax</w:t>
      </w:r>
      <w:r w:rsidR="00AF1AB9">
        <w:rPr>
          <w:rFonts w:asciiTheme="minorHAnsi" w:eastAsia="Calibri" w:hAnsiTheme="minorHAnsi" w:cstheme="minorHAnsi"/>
          <w:i/>
        </w:rPr>
        <w:t>on</w:t>
      </w:r>
      <w:r w:rsidRPr="0050044C">
        <w:rPr>
          <w:rFonts w:asciiTheme="minorHAnsi" w:eastAsia="Calibri" w:hAnsiTheme="minorHAnsi" w:cstheme="minorHAnsi"/>
          <w:i/>
        </w:rPr>
        <w:t xml:space="preserve"> – it is meant to be a protective value. Also, HC</w:t>
      </w:r>
      <w:r w:rsidRPr="0050044C">
        <w:rPr>
          <w:rFonts w:asciiTheme="minorHAnsi" w:eastAsia="Calibri" w:hAnsiTheme="minorHAnsi" w:cstheme="minorHAnsi"/>
          <w:i/>
          <w:vertAlign w:val="subscript"/>
        </w:rPr>
        <w:t>05</w:t>
      </w:r>
      <w:r w:rsidRPr="0050044C">
        <w:rPr>
          <w:rFonts w:asciiTheme="minorHAnsi" w:eastAsia="Calibri" w:hAnsiTheme="minorHAnsi" w:cstheme="minorHAnsi"/>
          <w:i/>
        </w:rPr>
        <w:t xml:space="preserve"> values determined from species sensitivity distributions (SSD) were used to determine acute thresholds. SSDs are composed of all available acute toxicity data for a given tax</w:t>
      </w:r>
      <w:r w:rsidR="006D1492">
        <w:rPr>
          <w:rFonts w:asciiTheme="minorHAnsi" w:eastAsia="Calibri" w:hAnsiTheme="minorHAnsi" w:cstheme="minorHAnsi"/>
          <w:i/>
        </w:rPr>
        <w:t>on</w:t>
      </w:r>
      <w:r w:rsidRPr="0050044C">
        <w:rPr>
          <w:rFonts w:asciiTheme="minorHAnsi" w:eastAsia="Calibri" w:hAnsiTheme="minorHAnsi" w:cstheme="minorHAnsi"/>
          <w:i/>
        </w:rPr>
        <w:t xml:space="preserve">, and thus reflect a wide range of toxicity. </w:t>
      </w:r>
      <w:r w:rsidRPr="0050044C">
        <w:rPr>
          <w:rFonts w:asciiTheme="minorHAnsi" w:hAnsiTheme="minorHAnsi" w:cstheme="minorHAnsi"/>
          <w:i/>
          <w:iCs/>
        </w:rPr>
        <w:t>For acute toxicity data, EPA also uses the LC</w:t>
      </w:r>
      <w:r w:rsidRPr="0050044C">
        <w:rPr>
          <w:rFonts w:asciiTheme="minorHAnsi" w:hAnsiTheme="minorHAnsi" w:cstheme="minorHAnsi"/>
          <w:i/>
          <w:iCs/>
          <w:vertAlign w:val="subscript"/>
        </w:rPr>
        <w:t>50</w:t>
      </w:r>
      <w:r w:rsidRPr="0050044C">
        <w:rPr>
          <w:rFonts w:asciiTheme="minorHAnsi" w:hAnsiTheme="minorHAnsi" w:cstheme="minorHAnsi"/>
          <w:i/>
          <w:iCs/>
        </w:rPr>
        <w:t>/LD</w:t>
      </w:r>
      <w:r w:rsidRPr="0050044C">
        <w:rPr>
          <w:rFonts w:asciiTheme="minorHAnsi" w:hAnsiTheme="minorHAnsi" w:cstheme="minorHAnsi"/>
          <w:i/>
          <w:iCs/>
          <w:vertAlign w:val="subscript"/>
        </w:rPr>
        <w:t>50</w:t>
      </w:r>
      <w:r w:rsidRPr="0050044C">
        <w:rPr>
          <w:rFonts w:asciiTheme="minorHAnsi" w:hAnsiTheme="minorHAnsi" w:cstheme="minorHAnsi"/>
          <w:i/>
          <w:iCs/>
        </w:rPr>
        <w:t xml:space="preserve"> data and associated slope to account for variability among individuals. Some factors could overstate exposure or toxicity; however, there are also environmental factors and stressors that increase the vulnerability and sensitivity of species to toxic effects to pesticides in natural environments.</w:t>
      </w:r>
    </w:p>
    <w:p w14:paraId="531B084B" w14:textId="77777777" w:rsidR="000A6B0E" w:rsidRPr="0050044C" w:rsidRDefault="000A6B0E" w:rsidP="005859DB">
      <w:pPr>
        <w:rPr>
          <w:rFonts w:asciiTheme="minorHAnsi" w:hAnsiTheme="minorHAnsi" w:cstheme="minorHAnsi"/>
          <w:b/>
          <w:bCs/>
          <w:i/>
          <w:iCs/>
        </w:rPr>
      </w:pPr>
    </w:p>
    <w:p w14:paraId="4F19F62B" w14:textId="797E2928" w:rsidR="000A6B0E" w:rsidRPr="0050044C" w:rsidRDefault="000A6B0E" w:rsidP="005859DB">
      <w:pPr>
        <w:rPr>
          <w:rFonts w:asciiTheme="minorHAnsi" w:hAnsiTheme="minorHAnsi" w:cstheme="minorHAnsi"/>
          <w:i/>
          <w:iCs/>
        </w:rPr>
      </w:pPr>
      <w:r w:rsidRPr="0050044C">
        <w:rPr>
          <w:rFonts w:asciiTheme="minorHAnsi" w:hAnsiTheme="minorHAnsi" w:cstheme="minorHAnsi"/>
          <w:i/>
          <w:iCs/>
        </w:rPr>
        <w:t>Regarding impacts to prey, pollination, habitat and dispersal (PPHD), EPA agrees that several conservative assumptions are made related to exposure of PPHD and that an effect to PPHD will lead to an impact to an individual of a listed species. EPA utilizes a conservative endpoint (e.g., HC</w:t>
      </w:r>
      <w:r w:rsidRPr="0050044C">
        <w:rPr>
          <w:rFonts w:asciiTheme="minorHAnsi" w:hAnsiTheme="minorHAnsi" w:cstheme="minorHAnsi"/>
          <w:i/>
          <w:vertAlign w:val="subscript"/>
        </w:rPr>
        <w:t>05</w:t>
      </w:r>
      <w:r w:rsidRPr="0050044C">
        <w:rPr>
          <w:rFonts w:asciiTheme="minorHAnsi" w:hAnsiTheme="minorHAnsi" w:cstheme="minorHAnsi"/>
          <w:i/>
          <w:iCs/>
        </w:rPr>
        <w:t xml:space="preserve"> or most sensitive tested species) to represent potential impacts on an individual of a listed species due to declines in PPHD. EPA agrees that it is relevant to consider endpoints that represent a mid-point of sensitivities among tested species within a taxon. Since the relationship is unknown between the most sensitive tested species responses and those of species representing PPHD of listed species, EPA determined that a conservative approach was appropriate. It is unknown if the most sensitive tested species are conservative when considering the large number of untested species. As stated above, to evaluate the impact of EPA’s assumptions regarding use of the most sensitive endpoint, EPA considered other endpoints in an alternative analysis. The purpose of this analysis was to evaluate whether EPA’s conservative assumptions influenced the effects determination for a given species.</w:t>
      </w:r>
    </w:p>
    <w:p w14:paraId="3205B00E" w14:textId="77777777" w:rsidR="000A6B0E" w:rsidRPr="0050044C" w:rsidRDefault="000A6B0E" w:rsidP="005859DB">
      <w:pPr>
        <w:rPr>
          <w:rFonts w:asciiTheme="minorHAnsi" w:hAnsiTheme="minorHAnsi" w:cstheme="minorHAnsi"/>
          <w:i/>
          <w:iCs/>
        </w:rPr>
      </w:pPr>
    </w:p>
    <w:p w14:paraId="1F3FDA29" w14:textId="1B6098CE" w:rsidR="000A6B0E" w:rsidRPr="0050044C" w:rsidRDefault="000A6B0E" w:rsidP="005859DB">
      <w:pPr>
        <w:rPr>
          <w:rFonts w:asciiTheme="minorHAnsi" w:hAnsiTheme="minorHAnsi" w:cstheme="minorHAnsi"/>
          <w:i/>
          <w:iCs/>
        </w:rPr>
      </w:pPr>
      <w:r w:rsidRPr="0050044C">
        <w:rPr>
          <w:rFonts w:asciiTheme="minorHAnsi" w:hAnsiTheme="minorHAnsi" w:cstheme="minorHAnsi"/>
          <w:i/>
          <w:iCs/>
        </w:rPr>
        <w:t>Regarding study quality comments raised about specific chemicals and endpoints, these comments are addressed in</w:t>
      </w:r>
      <w:r w:rsidR="0050044C">
        <w:rPr>
          <w:rFonts w:asciiTheme="minorHAnsi" w:hAnsiTheme="minorHAnsi" w:cstheme="minorHAnsi"/>
          <w:i/>
          <w:iCs/>
        </w:rPr>
        <w:t xml:space="preserve"> the chemical-specific comments below.</w:t>
      </w:r>
    </w:p>
    <w:p w14:paraId="6FA11EE6" w14:textId="77777777" w:rsidR="000A6B0E" w:rsidRPr="0050044C" w:rsidRDefault="000A6B0E" w:rsidP="005859DB">
      <w:pPr>
        <w:rPr>
          <w:rFonts w:asciiTheme="minorHAnsi" w:hAnsiTheme="minorHAnsi" w:cstheme="minorHAnsi"/>
          <w:b/>
          <w:bCs/>
        </w:rPr>
      </w:pPr>
    </w:p>
    <w:p w14:paraId="132B4CC0" w14:textId="6992A49D" w:rsidR="000A6B0E" w:rsidRPr="0050044C" w:rsidRDefault="000A6B0E" w:rsidP="005859DB">
      <w:pPr>
        <w:rPr>
          <w:rFonts w:asciiTheme="minorHAnsi" w:hAnsiTheme="minorHAnsi"/>
        </w:rPr>
      </w:pPr>
      <w:r w:rsidRPr="0099DCBE">
        <w:rPr>
          <w:rFonts w:asciiTheme="minorHAnsi" w:hAnsiTheme="minorHAnsi"/>
          <w:b/>
        </w:rPr>
        <w:t>Comment:</w:t>
      </w:r>
      <w:r>
        <w:rPr>
          <w:rFonts w:asciiTheme="minorHAnsi" w:hAnsiTheme="minorHAnsi"/>
          <w:b/>
        </w:rPr>
        <w:t xml:space="preserve"> </w:t>
      </w:r>
      <w:r w:rsidRPr="0099DCBE">
        <w:rPr>
          <w:rFonts w:asciiTheme="minorHAnsi" w:hAnsiTheme="minorHAnsi"/>
        </w:rPr>
        <w:t>There is a lack of transparency as well as potential errors in the Magnitude of Effect Tool (MAGtool).</w:t>
      </w:r>
      <w:r w:rsidR="00F574EA" w:rsidRPr="00F574EA">
        <w:t xml:space="preserve"> </w:t>
      </w:r>
      <w:r w:rsidR="00F574EA" w:rsidRPr="00F574EA">
        <w:rPr>
          <w:rFonts w:asciiTheme="minorHAnsi" w:hAnsiTheme="minorHAnsi"/>
        </w:rPr>
        <w:t>There are no quality control (QC) and quality assurance (QA) processes designed specifically for the MAGtool in any of the documentation.</w:t>
      </w:r>
    </w:p>
    <w:p w14:paraId="7F2C2A80" w14:textId="77777777" w:rsidR="000A6B0E" w:rsidRPr="0050044C" w:rsidRDefault="000A6B0E" w:rsidP="005859DB">
      <w:pPr>
        <w:rPr>
          <w:rFonts w:asciiTheme="minorHAnsi" w:hAnsiTheme="minorHAnsi" w:cstheme="minorHAnsi"/>
        </w:rPr>
      </w:pPr>
    </w:p>
    <w:p w14:paraId="5C677F03" w14:textId="4B679C0F" w:rsidR="000A6B0E" w:rsidRPr="0050044C" w:rsidRDefault="000A6B0E" w:rsidP="005859DB">
      <w:pPr>
        <w:rPr>
          <w:rFonts w:asciiTheme="minorHAnsi" w:hAnsiTheme="minorHAnsi" w:cstheme="minorHAnsi"/>
          <w:i/>
          <w:iCs/>
        </w:rPr>
      </w:pPr>
      <w:r w:rsidRPr="0050044C">
        <w:rPr>
          <w:rFonts w:asciiTheme="minorHAnsi" w:hAnsiTheme="minorHAnsi" w:cstheme="minorHAnsi"/>
          <w:b/>
          <w:bCs/>
        </w:rPr>
        <w:t xml:space="preserve">EPA Response: </w:t>
      </w:r>
      <w:r w:rsidR="00F574EA">
        <w:rPr>
          <w:rFonts w:asciiTheme="minorHAnsi" w:hAnsiTheme="minorHAnsi" w:cstheme="minorHAnsi"/>
          <w:i/>
          <w:iCs/>
        </w:rPr>
        <w:t>The MAGtool</w:t>
      </w:r>
      <w:r w:rsidR="00F574EA" w:rsidRPr="0050044C">
        <w:rPr>
          <w:rFonts w:asciiTheme="minorHAnsi" w:hAnsiTheme="minorHAnsi" w:cstheme="minorHAnsi"/>
          <w:i/>
          <w:iCs/>
        </w:rPr>
        <w:t xml:space="preserve"> has been through internal peer and QA/QC review in EPA.</w:t>
      </w:r>
      <w:r w:rsidR="00C20E4B">
        <w:rPr>
          <w:rFonts w:asciiTheme="minorHAnsi" w:hAnsiTheme="minorHAnsi" w:cstheme="minorHAnsi"/>
          <w:i/>
          <w:iCs/>
        </w:rPr>
        <w:t xml:space="preserve"> In addition, the MAGtool is built upon many of the standard models </w:t>
      </w:r>
      <w:r w:rsidR="00C20E4B" w:rsidRPr="00C20E4B">
        <w:rPr>
          <w:rFonts w:asciiTheme="minorHAnsi" w:hAnsiTheme="minorHAnsi" w:cstheme="minorHAnsi"/>
          <w:i/>
          <w:iCs/>
        </w:rPr>
        <w:t>that have already been thr</w:t>
      </w:r>
      <w:r w:rsidR="00C20E4B">
        <w:rPr>
          <w:rFonts w:asciiTheme="minorHAnsi" w:hAnsiTheme="minorHAnsi" w:cstheme="minorHAnsi"/>
          <w:i/>
          <w:iCs/>
        </w:rPr>
        <w:t>ough</w:t>
      </w:r>
      <w:r w:rsidR="00C20E4B" w:rsidRPr="00C20E4B">
        <w:rPr>
          <w:rFonts w:asciiTheme="minorHAnsi" w:hAnsiTheme="minorHAnsi" w:cstheme="minorHAnsi"/>
          <w:i/>
          <w:iCs/>
        </w:rPr>
        <w:t xml:space="preserve"> a robust internal/external QC process</w:t>
      </w:r>
      <w:r w:rsidR="00C20E4B">
        <w:rPr>
          <w:rFonts w:asciiTheme="minorHAnsi" w:hAnsiTheme="minorHAnsi" w:cstheme="minorHAnsi"/>
          <w:i/>
          <w:iCs/>
        </w:rPr>
        <w:t>, including</w:t>
      </w:r>
      <w:r w:rsidR="00C20E4B" w:rsidRPr="00C20E4B">
        <w:rPr>
          <w:rFonts w:asciiTheme="minorHAnsi" w:hAnsiTheme="minorHAnsi" w:cstheme="minorHAnsi"/>
          <w:i/>
          <w:iCs/>
        </w:rPr>
        <w:t xml:space="preserve"> PWC, PFAM, T</w:t>
      </w:r>
      <w:r w:rsidR="002D2F1C">
        <w:rPr>
          <w:rFonts w:asciiTheme="minorHAnsi" w:hAnsiTheme="minorHAnsi" w:cstheme="minorHAnsi"/>
          <w:i/>
          <w:iCs/>
        </w:rPr>
        <w:t>-</w:t>
      </w:r>
      <w:r w:rsidR="00C20E4B" w:rsidRPr="00C20E4B">
        <w:rPr>
          <w:rFonts w:asciiTheme="minorHAnsi" w:hAnsiTheme="minorHAnsi" w:cstheme="minorHAnsi"/>
          <w:i/>
          <w:iCs/>
        </w:rPr>
        <w:t>REX</w:t>
      </w:r>
      <w:r w:rsidR="00C20E4B">
        <w:rPr>
          <w:rFonts w:asciiTheme="minorHAnsi" w:hAnsiTheme="minorHAnsi" w:cstheme="minorHAnsi"/>
          <w:i/>
          <w:iCs/>
        </w:rPr>
        <w:t xml:space="preserve"> and</w:t>
      </w:r>
      <w:r w:rsidR="00C20E4B" w:rsidRPr="00C20E4B">
        <w:rPr>
          <w:rFonts w:asciiTheme="minorHAnsi" w:hAnsiTheme="minorHAnsi" w:cstheme="minorHAnsi"/>
          <w:i/>
          <w:iCs/>
        </w:rPr>
        <w:t xml:space="preserve"> AgDRIFT</w:t>
      </w:r>
      <w:r w:rsidR="00C20E4B">
        <w:rPr>
          <w:rFonts w:asciiTheme="minorHAnsi" w:hAnsiTheme="minorHAnsi" w:cstheme="minorHAnsi"/>
          <w:i/>
          <w:iCs/>
        </w:rPr>
        <w:t>,</w:t>
      </w:r>
      <w:r w:rsidR="00C20E4B" w:rsidRPr="00C20E4B">
        <w:rPr>
          <w:rFonts w:asciiTheme="minorHAnsi" w:hAnsiTheme="minorHAnsi" w:cstheme="minorHAnsi"/>
          <w:i/>
          <w:iCs/>
        </w:rPr>
        <w:t xml:space="preserve"> </w:t>
      </w:r>
      <w:r w:rsidR="00C20E4B">
        <w:rPr>
          <w:rFonts w:asciiTheme="minorHAnsi" w:hAnsiTheme="minorHAnsi" w:cstheme="minorHAnsi"/>
          <w:i/>
          <w:iCs/>
        </w:rPr>
        <w:t>and utilizes</w:t>
      </w:r>
      <w:r w:rsidR="00C20E4B" w:rsidRPr="00C20E4B">
        <w:rPr>
          <w:rFonts w:asciiTheme="minorHAnsi" w:hAnsiTheme="minorHAnsi" w:cstheme="minorHAnsi"/>
          <w:i/>
          <w:iCs/>
        </w:rPr>
        <w:t xml:space="preserve"> the results</w:t>
      </w:r>
      <w:r w:rsidR="00C20E4B">
        <w:rPr>
          <w:rFonts w:asciiTheme="minorHAnsi" w:hAnsiTheme="minorHAnsi" w:cstheme="minorHAnsi"/>
          <w:i/>
          <w:iCs/>
        </w:rPr>
        <w:t xml:space="preserve"> and/or </w:t>
      </w:r>
      <w:r w:rsidR="00C20E4B" w:rsidRPr="00C20E4B">
        <w:rPr>
          <w:rFonts w:asciiTheme="minorHAnsi" w:hAnsiTheme="minorHAnsi" w:cstheme="minorHAnsi"/>
          <w:i/>
          <w:iCs/>
        </w:rPr>
        <w:t>equations from those tools.</w:t>
      </w:r>
      <w:r w:rsidR="00F574EA" w:rsidRPr="0050044C">
        <w:rPr>
          <w:rFonts w:asciiTheme="minorHAnsi" w:hAnsiTheme="minorHAnsi" w:cstheme="minorHAnsi"/>
          <w:i/>
          <w:iCs/>
        </w:rPr>
        <w:t xml:space="preserve"> </w:t>
      </w:r>
      <w:r w:rsidR="00C20E4B">
        <w:rPr>
          <w:rFonts w:asciiTheme="minorHAnsi" w:hAnsiTheme="minorHAnsi" w:cstheme="minorHAnsi"/>
          <w:i/>
          <w:iCs/>
        </w:rPr>
        <w:t>EPA appreciates the identification of any errors or inconsistencies in the model th</w:t>
      </w:r>
      <w:r w:rsidR="00F45697">
        <w:rPr>
          <w:rFonts w:asciiTheme="minorHAnsi" w:hAnsiTheme="minorHAnsi" w:cstheme="minorHAnsi"/>
          <w:i/>
          <w:iCs/>
        </w:rPr>
        <w:t>r</w:t>
      </w:r>
      <w:r w:rsidR="00C20E4B">
        <w:rPr>
          <w:rFonts w:asciiTheme="minorHAnsi" w:hAnsiTheme="minorHAnsi" w:cstheme="minorHAnsi"/>
          <w:i/>
          <w:iCs/>
        </w:rPr>
        <w:t xml:space="preserve">ough public review. </w:t>
      </w:r>
      <w:r w:rsidR="00F45697">
        <w:rPr>
          <w:rFonts w:asciiTheme="minorHAnsi" w:hAnsiTheme="minorHAnsi" w:cstheme="minorHAnsi"/>
          <w:i/>
          <w:iCs/>
        </w:rPr>
        <w:t xml:space="preserve">Review of the </w:t>
      </w:r>
      <w:r w:rsidR="00DC3C60">
        <w:rPr>
          <w:rFonts w:asciiTheme="minorHAnsi" w:hAnsiTheme="minorHAnsi" w:cstheme="minorHAnsi"/>
          <w:i/>
          <w:iCs/>
        </w:rPr>
        <w:t>commenter</w:t>
      </w:r>
      <w:r w:rsidR="00D903D5">
        <w:rPr>
          <w:rFonts w:asciiTheme="minorHAnsi" w:hAnsiTheme="minorHAnsi" w:cstheme="minorHAnsi"/>
          <w:i/>
          <w:iCs/>
        </w:rPr>
        <w:t xml:space="preserve">’s </w:t>
      </w:r>
      <w:r w:rsidR="00F45697">
        <w:rPr>
          <w:rFonts w:asciiTheme="minorHAnsi" w:hAnsiTheme="minorHAnsi" w:cstheme="minorHAnsi"/>
          <w:i/>
          <w:iCs/>
        </w:rPr>
        <w:t>cited errors indicates m</w:t>
      </w:r>
      <w:r w:rsidR="00C20E4B">
        <w:rPr>
          <w:rFonts w:asciiTheme="minorHAnsi" w:hAnsiTheme="minorHAnsi" w:cstheme="minorHAnsi"/>
          <w:i/>
          <w:iCs/>
        </w:rPr>
        <w:t>any were not critical to the performance of the model</w:t>
      </w:r>
      <w:r w:rsidR="00F45697">
        <w:rPr>
          <w:rFonts w:asciiTheme="minorHAnsi" w:hAnsiTheme="minorHAnsi" w:cstheme="minorHAnsi"/>
          <w:i/>
          <w:iCs/>
        </w:rPr>
        <w:t xml:space="preserve"> </w:t>
      </w:r>
      <w:r w:rsidR="00D903D5">
        <w:rPr>
          <w:rFonts w:asciiTheme="minorHAnsi" w:hAnsiTheme="minorHAnsi" w:cstheme="minorHAnsi"/>
          <w:i/>
          <w:iCs/>
        </w:rPr>
        <w:t xml:space="preserve">nor do they </w:t>
      </w:r>
      <w:r w:rsidR="00F45697" w:rsidRPr="0050044C">
        <w:rPr>
          <w:rFonts w:asciiTheme="minorHAnsi" w:hAnsiTheme="minorHAnsi" w:cstheme="minorHAnsi"/>
          <w:i/>
          <w:iCs/>
        </w:rPr>
        <w:t>significantly impact the effects determinations</w:t>
      </w:r>
      <w:r w:rsidR="00F45697">
        <w:rPr>
          <w:rFonts w:asciiTheme="minorHAnsi" w:hAnsiTheme="minorHAnsi" w:cstheme="minorHAnsi"/>
          <w:i/>
          <w:iCs/>
        </w:rPr>
        <w:t>.</w:t>
      </w:r>
      <w:r w:rsidRPr="0050044C">
        <w:rPr>
          <w:rFonts w:asciiTheme="minorHAnsi" w:hAnsiTheme="minorHAnsi" w:cstheme="minorHAnsi"/>
          <w:i/>
          <w:iCs/>
        </w:rPr>
        <w:t xml:space="preserve"> </w:t>
      </w:r>
      <w:r w:rsidR="00F45697">
        <w:rPr>
          <w:rFonts w:asciiTheme="minorHAnsi" w:hAnsiTheme="minorHAnsi" w:cstheme="minorHAnsi"/>
          <w:i/>
          <w:iCs/>
        </w:rPr>
        <w:t>The errors</w:t>
      </w:r>
      <w:r w:rsidRPr="0050044C">
        <w:rPr>
          <w:rFonts w:asciiTheme="minorHAnsi" w:hAnsiTheme="minorHAnsi" w:cstheme="minorHAnsi"/>
          <w:i/>
          <w:iCs/>
        </w:rPr>
        <w:t xml:space="preserve"> have been corrected and updated in the current version of the MAGtool</w:t>
      </w:r>
      <w:r w:rsidR="00693B4F">
        <w:rPr>
          <w:rFonts w:asciiTheme="minorHAnsi" w:hAnsiTheme="minorHAnsi" w:cstheme="minorHAnsi"/>
          <w:i/>
          <w:iCs/>
        </w:rPr>
        <w:t>.</w:t>
      </w:r>
      <w:r w:rsidRPr="0050044C">
        <w:rPr>
          <w:rFonts w:asciiTheme="minorHAnsi" w:hAnsiTheme="minorHAnsi" w:cstheme="minorHAnsi"/>
          <w:i/>
          <w:iCs/>
        </w:rPr>
        <w:t xml:space="preserve"> </w:t>
      </w:r>
      <w:r w:rsidR="00F45697">
        <w:rPr>
          <w:rFonts w:asciiTheme="minorHAnsi" w:hAnsiTheme="minorHAnsi" w:cstheme="minorHAnsi"/>
          <w:i/>
          <w:iCs/>
        </w:rPr>
        <w:t>These changes do not</w:t>
      </w:r>
      <w:r w:rsidRPr="0050044C">
        <w:rPr>
          <w:rFonts w:asciiTheme="minorHAnsi" w:hAnsiTheme="minorHAnsi" w:cstheme="minorHAnsi"/>
          <w:i/>
          <w:iCs/>
        </w:rPr>
        <w:t xml:space="preserve"> preclude initiation of the consultation process with the Services, where additional considerations regarding tools may be </w:t>
      </w:r>
      <w:r w:rsidR="00B34F28">
        <w:rPr>
          <w:rFonts w:asciiTheme="minorHAnsi" w:hAnsiTheme="minorHAnsi" w:cstheme="minorHAnsi"/>
          <w:i/>
          <w:iCs/>
        </w:rPr>
        <w:t>considered</w:t>
      </w:r>
      <w:r w:rsidR="003F6D32">
        <w:rPr>
          <w:rFonts w:asciiTheme="minorHAnsi" w:hAnsiTheme="minorHAnsi" w:cstheme="minorHAnsi"/>
          <w:i/>
          <w:iCs/>
        </w:rPr>
        <w:t>, as needed</w:t>
      </w:r>
      <w:r w:rsidRPr="0050044C">
        <w:rPr>
          <w:rFonts w:asciiTheme="minorHAnsi" w:hAnsiTheme="minorHAnsi" w:cstheme="minorHAnsi"/>
          <w:i/>
          <w:iCs/>
        </w:rPr>
        <w:t>.</w:t>
      </w:r>
    </w:p>
    <w:p w14:paraId="09808284" w14:textId="77777777" w:rsidR="000A6B0E" w:rsidRPr="0050044C" w:rsidRDefault="000A6B0E" w:rsidP="005859DB">
      <w:pPr>
        <w:rPr>
          <w:rFonts w:asciiTheme="minorHAnsi" w:hAnsiTheme="minorHAnsi" w:cstheme="minorHAnsi"/>
          <w:i/>
          <w:iCs/>
        </w:rPr>
      </w:pPr>
    </w:p>
    <w:p w14:paraId="221BAF10" w14:textId="4ABA8184" w:rsidR="000A6B0E" w:rsidRPr="0050044C" w:rsidRDefault="0043309A" w:rsidP="005859DB">
      <w:pPr>
        <w:rPr>
          <w:rFonts w:asciiTheme="minorHAnsi" w:hAnsiTheme="minorHAnsi" w:cstheme="minorHAnsi"/>
          <w:i/>
          <w:iCs/>
        </w:rPr>
      </w:pPr>
      <w:r>
        <w:rPr>
          <w:rFonts w:asciiTheme="minorHAnsi" w:hAnsiTheme="minorHAnsi" w:cstheme="minorHAnsi"/>
          <w:i/>
          <w:iCs/>
        </w:rPr>
        <w:t>Regarding the transparency of the tool, b</w:t>
      </w:r>
      <w:r w:rsidR="000A6B0E" w:rsidRPr="0050044C">
        <w:rPr>
          <w:rFonts w:asciiTheme="minorHAnsi" w:hAnsiTheme="minorHAnsi" w:cstheme="minorHAnsi"/>
          <w:i/>
          <w:iCs/>
        </w:rPr>
        <w:t xml:space="preserve">oth the User’s guide for the MAGtool as well as the Revised Method provided with the draft BEs include discussions about the assumptions that were made and how the lines of evidence are applied in the BEs. The MAGtool was developed in Excel and uses visual basic to provide transparency in how assumptions were applied. In order to keep the tool at a manageable size, some data are copied and pasted without the links to where they were derived. However, as the code is developed using visual basic, a user can evaluate where the data are coming from by stepping through the code. Like most tools, the MAGtool was initially built for functionality, for use in BEs. As methods are </w:t>
      </w:r>
      <w:r w:rsidR="000A6B0E" w:rsidRPr="0050044C">
        <w:rPr>
          <w:rFonts w:asciiTheme="minorHAnsi" w:hAnsiTheme="minorHAnsi" w:cstheme="minorHAnsi"/>
          <w:i/>
          <w:iCs/>
        </w:rPr>
        <w:lastRenderedPageBreak/>
        <w:t xml:space="preserve">revised and updated, tools will be refined and upgraded as </w:t>
      </w:r>
      <w:proofErr w:type="gramStart"/>
      <w:r w:rsidR="000A6B0E" w:rsidRPr="0050044C">
        <w:rPr>
          <w:rFonts w:asciiTheme="minorHAnsi" w:hAnsiTheme="minorHAnsi" w:cstheme="minorHAnsi"/>
          <w:i/>
          <w:iCs/>
        </w:rPr>
        <w:t>necessary</w:t>
      </w:r>
      <w:proofErr w:type="gramEnd"/>
      <w:r w:rsidR="000A6B0E" w:rsidRPr="0050044C">
        <w:rPr>
          <w:rFonts w:asciiTheme="minorHAnsi" w:hAnsiTheme="minorHAnsi" w:cstheme="minorHAnsi"/>
          <w:i/>
          <w:iCs/>
        </w:rPr>
        <w:t xml:space="preserve"> and EPA will continue to work with the Services to explore the utility of the MAGtool outputs to best inform the </w:t>
      </w:r>
      <w:r w:rsidR="003B7C07">
        <w:rPr>
          <w:rFonts w:asciiTheme="minorHAnsi" w:hAnsiTheme="minorHAnsi" w:cstheme="minorHAnsi"/>
          <w:i/>
          <w:iCs/>
        </w:rPr>
        <w:t>b</w:t>
      </w:r>
      <w:r w:rsidR="000A6B0E" w:rsidRPr="0050044C">
        <w:rPr>
          <w:rFonts w:asciiTheme="minorHAnsi" w:hAnsiTheme="minorHAnsi" w:cstheme="minorHAnsi"/>
          <w:i/>
          <w:iCs/>
        </w:rPr>
        <w:t xml:space="preserve">iological </w:t>
      </w:r>
      <w:r w:rsidR="003B7C07">
        <w:rPr>
          <w:rFonts w:asciiTheme="minorHAnsi" w:hAnsiTheme="minorHAnsi" w:cstheme="minorHAnsi"/>
          <w:i/>
          <w:iCs/>
        </w:rPr>
        <w:t>o</w:t>
      </w:r>
      <w:r w:rsidR="000A6B0E" w:rsidRPr="0050044C">
        <w:rPr>
          <w:rFonts w:asciiTheme="minorHAnsi" w:hAnsiTheme="minorHAnsi" w:cstheme="minorHAnsi"/>
          <w:i/>
          <w:iCs/>
        </w:rPr>
        <w:t xml:space="preserve">pinions. </w:t>
      </w:r>
    </w:p>
    <w:p w14:paraId="1B17B9A1" w14:textId="77777777" w:rsidR="000A6B0E" w:rsidRPr="0050044C" w:rsidRDefault="000A6B0E" w:rsidP="005859DB">
      <w:pPr>
        <w:rPr>
          <w:rFonts w:asciiTheme="minorHAnsi" w:hAnsiTheme="minorHAnsi" w:cstheme="minorHAnsi"/>
          <w:i/>
          <w:iCs/>
        </w:rPr>
      </w:pPr>
    </w:p>
    <w:p w14:paraId="78390D88" w14:textId="6A95238C" w:rsidR="000A6B0E" w:rsidRPr="0050044C" w:rsidRDefault="000A6B0E" w:rsidP="005859DB">
      <w:pPr>
        <w:rPr>
          <w:rFonts w:asciiTheme="minorHAnsi" w:hAnsiTheme="minorHAnsi" w:cstheme="minorHAnsi"/>
        </w:rPr>
      </w:pPr>
      <w:r w:rsidRPr="0050044C">
        <w:rPr>
          <w:rFonts w:asciiTheme="minorHAnsi" w:hAnsiTheme="minorHAnsi" w:cstheme="minorHAnsi"/>
          <w:b/>
          <w:bCs/>
        </w:rPr>
        <w:t xml:space="preserve">Comment: </w:t>
      </w:r>
      <w:r w:rsidRPr="0050044C">
        <w:rPr>
          <w:rFonts w:asciiTheme="minorHAnsi" w:hAnsiTheme="minorHAnsi" w:cstheme="minorHAnsi"/>
        </w:rPr>
        <w:t xml:space="preserve">Commenters noted the Terrestrial Plant Exposure Zone (T-PEZ) conceptual model failed to account for variability in the fractions of sheet flow and channelized flow impacting the T-PEZ, over-estimating the amount of pesticide captured within the exposure zone. The Wetland Plant Exposure Zone (W-PEZ) conceptual model should only consider terrestrial EECs when the water table is less than 0.5 cm and only consider aquatic EECs when the water table is greater than or equal to 0.5 cm. PAT and especially the terrestrial module should go through a Scientific Advisory Panel (SAP) review. In addition, the scientific community and all stakeholders should get the opportunity to review and test PAT before it is used in </w:t>
      </w:r>
      <w:r w:rsidR="00EB761C">
        <w:rPr>
          <w:rFonts w:asciiTheme="minorHAnsi" w:hAnsiTheme="minorHAnsi" w:cstheme="minorHAnsi"/>
        </w:rPr>
        <w:t>b</w:t>
      </w:r>
      <w:r w:rsidRPr="0050044C">
        <w:rPr>
          <w:rFonts w:asciiTheme="minorHAnsi" w:hAnsiTheme="minorHAnsi" w:cstheme="minorHAnsi"/>
        </w:rPr>
        <w:t xml:space="preserve">iological </w:t>
      </w:r>
      <w:r w:rsidR="00EB761C">
        <w:rPr>
          <w:rFonts w:asciiTheme="minorHAnsi" w:hAnsiTheme="minorHAnsi" w:cstheme="minorHAnsi"/>
        </w:rPr>
        <w:t>e</w:t>
      </w:r>
      <w:r w:rsidR="00574D44" w:rsidRPr="0050044C">
        <w:rPr>
          <w:rFonts w:asciiTheme="minorHAnsi" w:hAnsiTheme="minorHAnsi" w:cstheme="minorHAnsi"/>
        </w:rPr>
        <w:t>valuation</w:t>
      </w:r>
      <w:r w:rsidR="00574D44">
        <w:rPr>
          <w:rFonts w:asciiTheme="minorHAnsi" w:hAnsiTheme="minorHAnsi" w:cstheme="minorHAnsi"/>
        </w:rPr>
        <w:t xml:space="preserve">s </w:t>
      </w:r>
      <w:r w:rsidRPr="0050044C">
        <w:rPr>
          <w:rFonts w:asciiTheme="minorHAnsi" w:hAnsiTheme="minorHAnsi" w:cstheme="minorHAnsi"/>
        </w:rPr>
        <w:t>supported by the EPA. Conference/workshop presentations are wholly inadequate to validate the scientific integrity of a new model.</w:t>
      </w:r>
    </w:p>
    <w:p w14:paraId="3FC91584" w14:textId="77777777" w:rsidR="000A6B0E" w:rsidRPr="0050044C" w:rsidRDefault="000A6B0E" w:rsidP="005859DB">
      <w:pPr>
        <w:rPr>
          <w:rFonts w:asciiTheme="minorHAnsi" w:hAnsiTheme="minorHAnsi" w:cstheme="minorHAnsi"/>
        </w:rPr>
      </w:pPr>
    </w:p>
    <w:p w14:paraId="7E79BCBF" w14:textId="03A6DEC7" w:rsidR="000A6B0E" w:rsidRPr="0050044C" w:rsidRDefault="000A6B0E" w:rsidP="005859DB">
      <w:pPr>
        <w:rPr>
          <w:rFonts w:asciiTheme="minorHAnsi" w:hAnsiTheme="minorHAnsi" w:cstheme="minorHAnsi"/>
          <w:i/>
          <w:iCs/>
        </w:rPr>
      </w:pPr>
      <w:r w:rsidRPr="0050044C">
        <w:rPr>
          <w:rFonts w:asciiTheme="minorHAnsi" w:hAnsiTheme="minorHAnsi" w:cstheme="minorHAnsi"/>
          <w:b/>
          <w:bCs/>
        </w:rPr>
        <w:t xml:space="preserve">EPA Response: </w:t>
      </w:r>
      <w:r w:rsidRPr="0050044C">
        <w:rPr>
          <w:rFonts w:asciiTheme="minorHAnsi" w:hAnsiTheme="minorHAnsi" w:cstheme="minorHAnsi"/>
          <w:i/>
          <w:iCs/>
        </w:rPr>
        <w:t>The Plant Assessment Tool (PAT) is a replacement for EPA’s TerrPlant model and employs mechanistic representations of fate (</w:t>
      </w:r>
      <w:r w:rsidRPr="006867BE">
        <w:rPr>
          <w:rFonts w:asciiTheme="minorHAnsi" w:hAnsiTheme="minorHAnsi" w:cstheme="minorHAnsi"/>
        </w:rPr>
        <w:t>e.g</w:t>
      </w:r>
      <w:r w:rsidRPr="0050044C">
        <w:rPr>
          <w:rFonts w:asciiTheme="minorHAnsi" w:hAnsiTheme="minorHAnsi" w:cstheme="minorHAnsi"/>
          <w:i/>
          <w:iCs/>
        </w:rPr>
        <w:t>., degradation) and transport (</w:t>
      </w:r>
      <w:r w:rsidRPr="006867BE">
        <w:rPr>
          <w:rFonts w:asciiTheme="minorHAnsi" w:hAnsiTheme="minorHAnsi" w:cstheme="minorHAnsi"/>
        </w:rPr>
        <w:t>e.g.,</w:t>
      </w:r>
      <w:r w:rsidRPr="0050044C">
        <w:rPr>
          <w:rFonts w:asciiTheme="minorHAnsi" w:hAnsiTheme="minorHAnsi" w:cstheme="minorHAnsi"/>
          <w:i/>
          <w:iCs/>
        </w:rPr>
        <w:t xml:space="preserve"> runoff)</w:t>
      </w:r>
      <w:r w:rsidR="00574D44">
        <w:rPr>
          <w:rFonts w:asciiTheme="minorHAnsi" w:hAnsiTheme="minorHAnsi" w:cstheme="minorHAnsi"/>
          <w:i/>
          <w:iCs/>
        </w:rPr>
        <w:t xml:space="preserve"> processes</w:t>
      </w:r>
      <w:r w:rsidRPr="0050044C">
        <w:rPr>
          <w:rFonts w:asciiTheme="minorHAnsi" w:hAnsiTheme="minorHAnsi" w:cstheme="minorHAnsi"/>
          <w:i/>
          <w:iCs/>
        </w:rPr>
        <w:t xml:space="preserve">, using data that are typically available for pesticides, to model runoff and spray drift exposure to terrestrial and wetland environments. For terrestrial plants, runoff and erosion are modeled using </w:t>
      </w:r>
      <w:r w:rsidRPr="00D903D5">
        <w:rPr>
          <w:rFonts w:asciiTheme="minorHAnsi" w:hAnsiTheme="minorHAnsi" w:cstheme="minorHAnsi"/>
          <w:i/>
          <w:iCs/>
        </w:rPr>
        <w:t xml:space="preserve">PRZM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w:t>
      </w:r>
      <w:r w:rsidR="00F420B2" w:rsidRPr="0005061C">
        <w:rPr>
          <w:rFonts w:asciiTheme="minorHAnsi" w:hAnsiTheme="minorHAnsi" w:cstheme="minorHAnsi"/>
          <w:i/>
          <w:iCs/>
        </w:rPr>
        <w:t>Pesticide</w:t>
      </w:r>
      <w:r w:rsidRPr="0005061C">
        <w:rPr>
          <w:rFonts w:asciiTheme="minorHAnsi" w:hAnsiTheme="minorHAnsi" w:cstheme="minorHAnsi"/>
          <w:i/>
        </w:rPr>
        <w:t xml:space="preserve"> losses from the T-PEZ occur from </w:t>
      </w:r>
      <w:r w:rsidR="00F420B2" w:rsidRPr="0005061C">
        <w:rPr>
          <w:rFonts w:asciiTheme="minorHAnsi" w:hAnsiTheme="minorHAnsi" w:cstheme="minorHAnsi"/>
          <w:i/>
          <w:iCs/>
        </w:rPr>
        <w:t>transport (</w:t>
      </w:r>
      <w:r w:rsidR="00F420B2" w:rsidRPr="00F61252">
        <w:rPr>
          <w:rFonts w:asciiTheme="minorHAnsi" w:hAnsiTheme="minorHAnsi" w:cstheme="minorHAnsi"/>
        </w:rPr>
        <w:t>i.e</w:t>
      </w:r>
      <w:r w:rsidR="00F420B2" w:rsidRPr="0005061C">
        <w:rPr>
          <w:rFonts w:asciiTheme="minorHAnsi" w:hAnsiTheme="minorHAnsi" w:cstheme="minorHAnsi"/>
          <w:i/>
          <w:iCs/>
        </w:rPr>
        <w:t>., washout and infiltration below the active root zone) and degradation.</w:t>
      </w:r>
      <w:r w:rsidRPr="00D903D5">
        <w:rPr>
          <w:rFonts w:asciiTheme="minorHAnsi" w:hAnsiTheme="minorHAnsi" w:cstheme="minorHAnsi"/>
          <w:i/>
          <w:iCs/>
        </w:rPr>
        <w:t xml:space="preserve"> The conceptual model for the T-PEZ receiving runoff is simplistic, assuming the runoff </w:t>
      </w:r>
      <w:r w:rsidR="00C24DF0" w:rsidRPr="00D903D5">
        <w:rPr>
          <w:rFonts w:asciiTheme="minorHAnsi" w:hAnsiTheme="minorHAnsi" w:cstheme="minorHAnsi"/>
          <w:i/>
          <w:iCs/>
        </w:rPr>
        <w:t>and pesticide mass</w:t>
      </w:r>
      <w:r w:rsidRPr="00D903D5">
        <w:rPr>
          <w:rFonts w:asciiTheme="minorHAnsi" w:hAnsiTheme="minorHAnsi" w:cstheme="minorHAnsi"/>
          <w:i/>
          <w:iCs/>
        </w:rPr>
        <w:t xml:space="preserve"> is evenly distributed across t</w:t>
      </w:r>
      <w:r w:rsidRPr="00567499">
        <w:rPr>
          <w:rFonts w:asciiTheme="minorHAnsi" w:hAnsiTheme="minorHAnsi" w:cstheme="minorHAnsi"/>
          <w:i/>
          <w:iCs/>
        </w:rPr>
        <w:t>he T-PEZ. EPA will consider specific</w:t>
      </w:r>
      <w:r w:rsidRPr="0050044C">
        <w:rPr>
          <w:rFonts w:asciiTheme="minorHAnsi" w:hAnsiTheme="minorHAnsi" w:cstheme="minorHAnsi"/>
          <w:i/>
          <w:iCs/>
        </w:rPr>
        <w:t xml:space="preserve"> improvements provided by the stakeholders (consideration of slope, surface roughness, flow path length, the fraction of flow entering the T-PEZ as sheet flow, etc.)</w:t>
      </w:r>
      <w:r w:rsidR="003F6D32">
        <w:rPr>
          <w:rFonts w:asciiTheme="minorHAnsi" w:hAnsiTheme="minorHAnsi" w:cstheme="minorHAnsi"/>
          <w:i/>
          <w:iCs/>
        </w:rPr>
        <w:t>, as relevant,</w:t>
      </w:r>
      <w:r w:rsidRPr="0050044C">
        <w:rPr>
          <w:rFonts w:asciiTheme="minorHAnsi" w:hAnsiTheme="minorHAnsi" w:cstheme="minorHAnsi"/>
          <w:i/>
          <w:iCs/>
        </w:rPr>
        <w:t xml:space="preserve"> in future revisions of the tool. </w:t>
      </w:r>
    </w:p>
    <w:p w14:paraId="1F4AE73F" w14:textId="77777777" w:rsidR="000A6B0E" w:rsidRPr="0050044C" w:rsidRDefault="000A6B0E" w:rsidP="005859DB">
      <w:pPr>
        <w:rPr>
          <w:rFonts w:asciiTheme="minorHAnsi" w:hAnsiTheme="minorHAnsi" w:cstheme="minorHAnsi"/>
          <w:i/>
          <w:iCs/>
        </w:rPr>
      </w:pPr>
    </w:p>
    <w:p w14:paraId="2E8ABFE6" w14:textId="2EC91BFB" w:rsidR="000A6B0E" w:rsidRPr="0050044C" w:rsidRDefault="000A6B0E" w:rsidP="005859DB">
      <w:pPr>
        <w:rPr>
          <w:rFonts w:asciiTheme="minorHAnsi" w:hAnsiTheme="minorHAnsi" w:cstheme="minorHAnsi"/>
          <w:i/>
          <w:iCs/>
        </w:rPr>
      </w:pPr>
      <w:r w:rsidRPr="0050044C">
        <w:rPr>
          <w:rFonts w:asciiTheme="minorHAnsi" w:hAnsiTheme="minorHAnsi" w:cstheme="minorHAnsi"/>
          <w:i/>
          <w:iCs/>
        </w:rPr>
        <w:t xml:space="preserve">The W-PEZ </w:t>
      </w:r>
      <w:r w:rsidR="0018341D">
        <w:rPr>
          <w:rFonts w:asciiTheme="minorHAnsi" w:hAnsiTheme="minorHAnsi" w:cstheme="minorHAnsi"/>
          <w:i/>
          <w:iCs/>
        </w:rPr>
        <w:t xml:space="preserve">is used to </w:t>
      </w:r>
      <w:r w:rsidRPr="0050044C">
        <w:rPr>
          <w:rFonts w:asciiTheme="minorHAnsi" w:hAnsiTheme="minorHAnsi" w:cstheme="minorHAnsi"/>
          <w:i/>
          <w:iCs/>
        </w:rPr>
        <w:t>assess terrestrial and aquatic plants that can exist in wetland environments. Both types of plants can exist in a wetland, regardless of the depth of the wetland. The comparison of terrestrial plant endpoints in the wetland occurs regardless of the depth of the wetland because there are submerged and emergent rooted wetland species of plants and many of them are not dependent on the depth (wetland depths) or presence of surface water (</w:t>
      </w:r>
      <w:r w:rsidRPr="00685A76">
        <w:rPr>
          <w:rFonts w:asciiTheme="minorHAnsi" w:hAnsiTheme="minorHAnsi" w:cstheme="minorHAnsi"/>
        </w:rPr>
        <w:t>i.e.,</w:t>
      </w:r>
      <w:r w:rsidRPr="0050044C">
        <w:rPr>
          <w:rFonts w:asciiTheme="minorHAnsi" w:hAnsiTheme="minorHAnsi" w:cstheme="minorHAnsi"/>
          <w:i/>
          <w:iCs/>
        </w:rPr>
        <w:t xml:space="preserve"> the wetland can dry out and the plants will still survive). Whereas aquatic plants require there to be some water available, EPA determined that any depth less than 0.5 cm</w:t>
      </w:r>
      <w:r w:rsidR="00612882">
        <w:rPr>
          <w:rFonts w:asciiTheme="minorHAnsi" w:hAnsiTheme="minorHAnsi" w:cstheme="minorHAnsi"/>
          <w:i/>
          <w:iCs/>
        </w:rPr>
        <w:t xml:space="preserve"> would likely trigger senescence and dormancy and is </w:t>
      </w:r>
      <w:r w:rsidRPr="0050044C">
        <w:rPr>
          <w:rFonts w:asciiTheme="minorHAnsi" w:hAnsiTheme="minorHAnsi" w:cstheme="minorHAnsi"/>
          <w:i/>
          <w:iCs/>
        </w:rPr>
        <w:t>not sufficient to maintain a stable or growing population of aquatic plants.</w:t>
      </w:r>
    </w:p>
    <w:p w14:paraId="18AADE66" w14:textId="77777777" w:rsidR="00A55205" w:rsidRDefault="00A55205" w:rsidP="005859DB">
      <w:pPr>
        <w:rPr>
          <w:rFonts w:asciiTheme="minorHAnsi" w:hAnsiTheme="minorHAnsi" w:cstheme="minorHAnsi"/>
          <w:i/>
          <w:iCs/>
        </w:rPr>
      </w:pPr>
    </w:p>
    <w:p w14:paraId="0A379CA8" w14:textId="40ECECDA" w:rsidR="0066725A" w:rsidRDefault="5AF538FC" w:rsidP="005859DB">
      <w:pPr>
        <w:autoSpaceDE w:val="0"/>
        <w:autoSpaceDN w:val="0"/>
        <w:adjustRightInd w:val="0"/>
        <w:rPr>
          <w:rFonts w:asciiTheme="minorHAnsi" w:hAnsiTheme="minorHAnsi"/>
          <w:i/>
        </w:rPr>
      </w:pPr>
      <w:bookmarkStart w:id="41" w:name="_Hlk99701640"/>
      <w:r w:rsidRPr="38E0583F">
        <w:rPr>
          <w:rFonts w:asciiTheme="minorHAnsi" w:hAnsiTheme="minorHAnsi"/>
          <w:i/>
          <w:iCs/>
        </w:rPr>
        <w:t>EECs in PAT rely upon the Pesticide Water Calculator (PWC) model</w:t>
      </w:r>
      <w:r w:rsidR="00EC736D">
        <w:rPr>
          <w:rFonts w:asciiTheme="minorHAnsi" w:hAnsiTheme="minorHAnsi"/>
          <w:i/>
          <w:iCs/>
        </w:rPr>
        <w:t>-</w:t>
      </w:r>
      <w:r w:rsidRPr="38E0583F">
        <w:rPr>
          <w:rFonts w:asciiTheme="minorHAnsi" w:hAnsiTheme="minorHAnsi"/>
          <w:i/>
          <w:iCs/>
        </w:rPr>
        <w:t>generated runoff volume and EECs. PWC</w:t>
      </w:r>
      <w:r w:rsidR="000A6B0E" w:rsidRPr="38E0583F">
        <w:rPr>
          <w:rFonts w:asciiTheme="minorHAnsi" w:hAnsiTheme="minorHAnsi"/>
          <w:i/>
        </w:rPr>
        <w:t xml:space="preserve"> </w:t>
      </w:r>
      <w:r w:rsidR="003C060F">
        <w:rPr>
          <w:rFonts w:asciiTheme="minorHAnsi" w:hAnsiTheme="minorHAnsi"/>
          <w:i/>
        </w:rPr>
        <w:t>and the APEZ conceptual model have</w:t>
      </w:r>
      <w:r w:rsidR="000A6B0E" w:rsidRPr="38E0583F">
        <w:rPr>
          <w:rFonts w:asciiTheme="minorHAnsi" w:hAnsiTheme="minorHAnsi"/>
          <w:i/>
        </w:rPr>
        <w:t xml:space="preserve"> been through internal peer and QA/QC review in EPA</w:t>
      </w:r>
      <w:r w:rsidR="0066725A" w:rsidRPr="38E0583F">
        <w:rPr>
          <w:rFonts w:asciiTheme="minorHAnsi" w:hAnsiTheme="minorHAnsi"/>
          <w:i/>
          <w:iCs/>
        </w:rPr>
        <w:t xml:space="preserve"> </w:t>
      </w:r>
      <w:r w:rsidR="0066725A">
        <w:rPr>
          <w:rFonts w:asciiTheme="minorHAnsi" w:hAnsiTheme="minorHAnsi"/>
          <w:i/>
          <w:iCs/>
        </w:rPr>
        <w:t xml:space="preserve">as well as </w:t>
      </w:r>
      <w:r w:rsidRPr="38E0583F">
        <w:rPr>
          <w:rFonts w:asciiTheme="minorHAnsi" w:hAnsiTheme="minorHAnsi"/>
          <w:i/>
          <w:iCs/>
        </w:rPr>
        <w:t xml:space="preserve">external peer review. </w:t>
      </w:r>
      <w:r w:rsidR="003C060F">
        <w:rPr>
          <w:rFonts w:asciiTheme="minorHAnsi" w:hAnsiTheme="minorHAnsi"/>
          <w:i/>
          <w:iCs/>
        </w:rPr>
        <w:t>Aspects</w:t>
      </w:r>
      <w:r w:rsidRPr="4AD44E01">
        <w:rPr>
          <w:rFonts w:asciiTheme="minorHAnsi" w:hAnsiTheme="minorHAnsi"/>
          <w:i/>
          <w:iCs/>
        </w:rPr>
        <w:t xml:space="preserve"> of the PAT model that have not been through external peer review are limited to the conceptual models </w:t>
      </w:r>
      <w:r w:rsidRPr="288D2A11">
        <w:rPr>
          <w:rFonts w:asciiTheme="minorHAnsi" w:hAnsiTheme="minorHAnsi"/>
          <w:i/>
          <w:iCs/>
        </w:rPr>
        <w:t xml:space="preserve">defining the area and depth </w:t>
      </w:r>
      <w:r w:rsidRPr="4AD44E01">
        <w:rPr>
          <w:rFonts w:asciiTheme="minorHAnsi" w:hAnsiTheme="minorHAnsi"/>
          <w:i/>
          <w:iCs/>
        </w:rPr>
        <w:t>of the TPEZ and WPEZ</w:t>
      </w:r>
      <w:r w:rsidRPr="288D2A11">
        <w:rPr>
          <w:rFonts w:asciiTheme="minorHAnsi" w:hAnsiTheme="minorHAnsi"/>
          <w:i/>
          <w:iCs/>
        </w:rPr>
        <w:t xml:space="preserve"> modules.</w:t>
      </w:r>
      <w:r w:rsidRPr="288D2A11" w:rsidDel="0066725A">
        <w:rPr>
          <w:rFonts w:asciiTheme="minorHAnsi" w:hAnsiTheme="minorHAnsi"/>
          <w:i/>
          <w:iCs/>
        </w:rPr>
        <w:t xml:space="preserve"> </w:t>
      </w:r>
      <w:bookmarkEnd w:id="41"/>
      <w:r w:rsidR="00685A76">
        <w:rPr>
          <w:rFonts w:asciiTheme="minorHAnsi" w:hAnsiTheme="minorHAnsi"/>
          <w:i/>
        </w:rPr>
        <w:t>Regardless of the level of review of each conceptual model in PAT, f</w:t>
      </w:r>
      <w:r w:rsidR="003C060F" w:rsidRPr="003C060F">
        <w:rPr>
          <w:rFonts w:asciiTheme="minorHAnsi" w:hAnsiTheme="minorHAnsi"/>
          <w:i/>
        </w:rPr>
        <w:t>or the purposes of the neonic BEs, PAT is the best available tool for estimating exposures to plants.</w:t>
      </w:r>
    </w:p>
    <w:p w14:paraId="79A1D6C0" w14:textId="77777777" w:rsidR="000A6B0E" w:rsidRPr="0050044C" w:rsidRDefault="000A6B0E" w:rsidP="005859DB">
      <w:pPr>
        <w:autoSpaceDE w:val="0"/>
        <w:autoSpaceDN w:val="0"/>
        <w:adjustRightInd w:val="0"/>
        <w:rPr>
          <w:rFonts w:asciiTheme="minorHAnsi" w:hAnsiTheme="minorHAnsi" w:cstheme="minorHAnsi"/>
          <w:color w:val="000000"/>
        </w:rPr>
      </w:pPr>
    </w:p>
    <w:p w14:paraId="404026C2" w14:textId="17D98E2B" w:rsidR="0074762A" w:rsidRPr="0074762A" w:rsidRDefault="00032E42" w:rsidP="005859DB">
      <w:pPr>
        <w:rPr>
          <w:rFonts w:asciiTheme="minorHAnsi" w:hAnsiTheme="minorHAnsi" w:cstheme="minorHAnsi"/>
        </w:rPr>
      </w:pPr>
      <w:bookmarkStart w:id="42" w:name="_Hlk94017755"/>
      <w:r w:rsidRPr="000A6B0E">
        <w:rPr>
          <w:rFonts w:asciiTheme="minorHAnsi" w:hAnsiTheme="minorHAnsi" w:cstheme="minorHAnsi"/>
          <w:b/>
          <w:bCs/>
        </w:rPr>
        <w:t>Comment:</w:t>
      </w:r>
      <w:r w:rsidR="0074762A">
        <w:rPr>
          <w:rFonts w:asciiTheme="minorHAnsi" w:hAnsiTheme="minorHAnsi" w:cstheme="minorHAnsi"/>
          <w:b/>
          <w:bCs/>
        </w:rPr>
        <w:t xml:space="preserve"> </w:t>
      </w:r>
      <w:bookmarkEnd w:id="42"/>
      <w:r w:rsidR="0074762A" w:rsidRPr="0074762A">
        <w:rPr>
          <w:rFonts w:asciiTheme="minorHAnsi" w:hAnsiTheme="minorHAnsi" w:cstheme="minorHAnsi"/>
        </w:rPr>
        <w:t xml:space="preserve">In </w:t>
      </w:r>
      <w:r w:rsidR="0074762A" w:rsidRPr="00421AE0">
        <w:rPr>
          <w:rFonts w:asciiTheme="minorHAnsi" w:hAnsiTheme="minorHAnsi" w:cstheme="minorHAnsi"/>
          <w:b/>
          <w:bCs/>
        </w:rPr>
        <w:t>Appendix 4-5</w:t>
      </w:r>
      <w:r w:rsidR="0074762A" w:rsidRPr="0074762A">
        <w:rPr>
          <w:rFonts w:asciiTheme="minorHAnsi" w:hAnsiTheme="minorHAnsi" w:cstheme="minorHAnsi"/>
        </w:rPr>
        <w:t>, EPA notes that aquatic Estimated E</w:t>
      </w:r>
      <w:r w:rsidR="00D74885">
        <w:rPr>
          <w:rFonts w:asciiTheme="minorHAnsi" w:hAnsiTheme="minorHAnsi" w:cstheme="minorHAnsi"/>
        </w:rPr>
        <w:t>nvironmental</w:t>
      </w:r>
      <w:r w:rsidR="0074762A" w:rsidRPr="0074762A">
        <w:rPr>
          <w:rFonts w:asciiTheme="minorHAnsi" w:hAnsiTheme="minorHAnsi" w:cstheme="minorHAnsi"/>
        </w:rPr>
        <w:t xml:space="preserve"> Concentrations (EEC) for foliar and soil treatments are orders of magnitude greater than corresponding seed treatments. It is further noted that foliar or soil treatments can thus be considered protective of seed treatment uses. We believe that it is unrealistically conservative to present foliar or soil treatment EECs as surrogates for seed treatment </w:t>
      </w:r>
      <w:r w:rsidR="00415D06">
        <w:rPr>
          <w:rFonts w:asciiTheme="minorHAnsi" w:hAnsiTheme="minorHAnsi" w:cstheme="minorHAnsi"/>
        </w:rPr>
        <w:t xml:space="preserve">EECs </w:t>
      </w:r>
      <w:r w:rsidR="0074762A" w:rsidRPr="0074762A">
        <w:rPr>
          <w:rFonts w:asciiTheme="minorHAnsi" w:hAnsiTheme="minorHAnsi" w:cstheme="minorHAnsi"/>
        </w:rPr>
        <w:t xml:space="preserve">in the BE. Instead, EECs based on seed treatment uses should be quantitatively </w:t>
      </w:r>
      <w:r w:rsidR="0074762A" w:rsidRPr="0074762A">
        <w:rPr>
          <w:rFonts w:asciiTheme="minorHAnsi" w:hAnsiTheme="minorHAnsi" w:cstheme="minorHAnsi"/>
        </w:rPr>
        <w:lastRenderedPageBreak/>
        <w:t xml:space="preserve">assessed alongside the foliar and soil treatment uses, resulting in a more transparent risk picture across the </w:t>
      </w:r>
      <w:r w:rsidR="00356AA0">
        <w:rPr>
          <w:rFonts w:asciiTheme="minorHAnsi" w:hAnsiTheme="minorHAnsi" w:cstheme="minorHAnsi"/>
        </w:rPr>
        <w:t>neonicotinoid</w:t>
      </w:r>
      <w:r w:rsidR="0074762A" w:rsidRPr="0074762A">
        <w:rPr>
          <w:rFonts w:asciiTheme="minorHAnsi" w:hAnsiTheme="minorHAnsi" w:cstheme="minorHAnsi"/>
        </w:rPr>
        <w:t xml:space="preserve"> uses.</w:t>
      </w:r>
    </w:p>
    <w:p w14:paraId="5C9C1204" w14:textId="77777777" w:rsidR="0074762A" w:rsidRDefault="0074762A" w:rsidP="005859DB">
      <w:pPr>
        <w:rPr>
          <w:rFonts w:asciiTheme="minorHAnsi" w:hAnsiTheme="minorHAnsi" w:cstheme="minorHAnsi"/>
        </w:rPr>
      </w:pPr>
    </w:p>
    <w:p w14:paraId="0844063D" w14:textId="5EFFEAC8" w:rsidR="00032E42" w:rsidRPr="000A6B0E" w:rsidRDefault="00032E42" w:rsidP="005859DB">
      <w:pPr>
        <w:rPr>
          <w:rFonts w:asciiTheme="minorHAnsi" w:hAnsiTheme="minorHAnsi" w:cstheme="minorHAnsi"/>
        </w:rPr>
      </w:pPr>
      <w:r w:rsidRPr="00032E42">
        <w:rPr>
          <w:rFonts w:asciiTheme="minorHAnsi" w:hAnsiTheme="minorHAnsi" w:cstheme="minorHAnsi"/>
        </w:rPr>
        <w:t>To conduct a quantitative risk assessment for seed treatment uses, best-available data should be utilized</w:t>
      </w:r>
      <w:r>
        <w:rPr>
          <w:rFonts w:asciiTheme="minorHAnsi" w:hAnsiTheme="minorHAnsi" w:cstheme="minorHAnsi"/>
        </w:rPr>
        <w:t xml:space="preserve"> </w:t>
      </w:r>
      <w:r w:rsidRPr="00032E42">
        <w:rPr>
          <w:rFonts w:asciiTheme="minorHAnsi" w:hAnsiTheme="minorHAnsi" w:cstheme="minorHAnsi"/>
        </w:rPr>
        <w:t>regarding seed treatment usage statistics, which inform the PCT refinements at Step 2 of the BE. Context</w:t>
      </w:r>
      <w:r>
        <w:rPr>
          <w:rFonts w:asciiTheme="minorHAnsi" w:hAnsiTheme="minorHAnsi" w:cstheme="minorHAnsi"/>
        </w:rPr>
        <w:t xml:space="preserve"> </w:t>
      </w:r>
      <w:r w:rsidRPr="00032E42">
        <w:rPr>
          <w:rFonts w:asciiTheme="minorHAnsi" w:hAnsiTheme="minorHAnsi" w:cstheme="minorHAnsi"/>
        </w:rPr>
        <w:t>Market Research (Context) is an authoritative source of seed treatment information that can be used to</w:t>
      </w:r>
      <w:r>
        <w:rPr>
          <w:rFonts w:asciiTheme="minorHAnsi" w:hAnsiTheme="minorHAnsi" w:cstheme="minorHAnsi"/>
        </w:rPr>
        <w:t xml:space="preserve"> </w:t>
      </w:r>
      <w:r w:rsidRPr="00032E42">
        <w:rPr>
          <w:rFonts w:asciiTheme="minorHAnsi" w:hAnsiTheme="minorHAnsi" w:cstheme="minorHAnsi"/>
        </w:rPr>
        <w:t>estimate seed treatment PCTs</w:t>
      </w:r>
      <w:r>
        <w:rPr>
          <w:rFonts w:asciiTheme="minorHAnsi" w:hAnsiTheme="minorHAnsi" w:cstheme="minorHAnsi"/>
        </w:rPr>
        <w:t>.</w:t>
      </w:r>
    </w:p>
    <w:p w14:paraId="34B01872" w14:textId="77777777" w:rsidR="00032E42" w:rsidRPr="000A6B0E" w:rsidRDefault="00032E42" w:rsidP="005859DB">
      <w:pPr>
        <w:rPr>
          <w:rFonts w:asciiTheme="minorHAnsi" w:hAnsiTheme="minorHAnsi" w:cstheme="minorHAnsi"/>
        </w:rPr>
      </w:pPr>
    </w:p>
    <w:p w14:paraId="2DE0AFF8" w14:textId="48FC11F3" w:rsidR="00032E42" w:rsidRPr="00356AA0" w:rsidRDefault="00032E42" w:rsidP="005859DB">
      <w:pPr>
        <w:rPr>
          <w:rFonts w:asciiTheme="minorHAnsi" w:hAnsiTheme="minorHAnsi" w:cstheme="minorHAnsi"/>
        </w:rPr>
      </w:pPr>
      <w:r w:rsidRPr="00123140">
        <w:rPr>
          <w:rFonts w:asciiTheme="minorHAnsi" w:hAnsiTheme="minorHAnsi" w:cstheme="minorHAnsi"/>
          <w:b/>
          <w:bCs/>
        </w:rPr>
        <w:t>EPA Response:</w:t>
      </w:r>
      <w:r w:rsidRPr="00356AA0">
        <w:rPr>
          <w:rFonts w:asciiTheme="minorHAnsi" w:hAnsiTheme="minorHAnsi" w:cstheme="minorHAnsi"/>
          <w:i/>
          <w:iCs/>
        </w:rPr>
        <w:t xml:space="preserve"> </w:t>
      </w:r>
      <w:r w:rsidR="00356AA0" w:rsidRPr="00356AA0">
        <w:rPr>
          <w:rFonts w:asciiTheme="minorHAnsi" w:hAnsiTheme="minorHAnsi" w:cstheme="minorHAnsi"/>
          <w:i/>
          <w:iCs/>
        </w:rPr>
        <w:t xml:space="preserve">As foliar and </w:t>
      </w:r>
      <w:r w:rsidR="00356AA0">
        <w:rPr>
          <w:rFonts w:asciiTheme="minorHAnsi" w:hAnsiTheme="minorHAnsi" w:cstheme="minorHAnsi"/>
          <w:i/>
          <w:iCs/>
        </w:rPr>
        <w:t xml:space="preserve">soil uses are permitted on the neonicotinoid labels, the EECs are considered protective in evaluating the impact of the uses to one or more individuals of a species. </w:t>
      </w:r>
      <w:r w:rsidR="00D3320A">
        <w:rPr>
          <w:rFonts w:asciiTheme="minorHAnsi" w:hAnsiTheme="minorHAnsi" w:cstheme="minorHAnsi"/>
          <w:i/>
          <w:iCs/>
        </w:rPr>
        <w:t xml:space="preserve">As needed, </w:t>
      </w:r>
      <w:r w:rsidR="00356AA0">
        <w:rPr>
          <w:rFonts w:asciiTheme="minorHAnsi" w:hAnsiTheme="minorHAnsi" w:cstheme="minorHAnsi"/>
          <w:i/>
          <w:iCs/>
        </w:rPr>
        <w:t xml:space="preserve">EPA </w:t>
      </w:r>
      <w:r w:rsidR="00693B4F">
        <w:rPr>
          <w:rFonts w:asciiTheme="minorHAnsi" w:hAnsiTheme="minorHAnsi" w:cstheme="minorHAnsi"/>
          <w:i/>
          <w:iCs/>
        </w:rPr>
        <w:t xml:space="preserve">has quantitatively derived EECs for seed treatments </w:t>
      </w:r>
      <w:r w:rsidR="00FC0011">
        <w:rPr>
          <w:rFonts w:asciiTheme="minorHAnsi" w:hAnsiTheme="minorHAnsi" w:cstheme="minorHAnsi"/>
          <w:i/>
          <w:iCs/>
        </w:rPr>
        <w:t>that</w:t>
      </w:r>
      <w:r w:rsidR="00FE7C96">
        <w:rPr>
          <w:rFonts w:asciiTheme="minorHAnsi" w:hAnsiTheme="minorHAnsi" w:cstheme="minorHAnsi"/>
          <w:i/>
          <w:iCs/>
        </w:rPr>
        <w:t xml:space="preserve"> </w:t>
      </w:r>
      <w:r w:rsidR="007A5DE4">
        <w:rPr>
          <w:rFonts w:asciiTheme="minorHAnsi" w:hAnsiTheme="minorHAnsi" w:cstheme="minorHAnsi"/>
          <w:i/>
          <w:iCs/>
        </w:rPr>
        <w:t>can</w:t>
      </w:r>
      <w:r w:rsidR="00FE7C96">
        <w:rPr>
          <w:rFonts w:asciiTheme="minorHAnsi" w:hAnsiTheme="minorHAnsi" w:cstheme="minorHAnsi"/>
          <w:i/>
          <w:iCs/>
        </w:rPr>
        <w:t xml:space="preserve"> be </w:t>
      </w:r>
      <w:r w:rsidR="00FE1730">
        <w:rPr>
          <w:rFonts w:asciiTheme="minorHAnsi" w:hAnsiTheme="minorHAnsi" w:cstheme="minorHAnsi"/>
          <w:i/>
          <w:iCs/>
        </w:rPr>
        <w:t>considered</w:t>
      </w:r>
      <w:r w:rsidR="00FE7C96">
        <w:rPr>
          <w:rFonts w:asciiTheme="minorHAnsi" w:hAnsiTheme="minorHAnsi" w:cstheme="minorHAnsi"/>
          <w:i/>
          <w:iCs/>
        </w:rPr>
        <w:t xml:space="preserve"> </w:t>
      </w:r>
      <w:r w:rsidR="006B3AEF">
        <w:rPr>
          <w:rFonts w:asciiTheme="minorHAnsi" w:hAnsiTheme="minorHAnsi" w:cstheme="minorHAnsi"/>
          <w:i/>
          <w:iCs/>
        </w:rPr>
        <w:t>during consultation</w:t>
      </w:r>
      <w:r w:rsidR="00FE1730">
        <w:rPr>
          <w:rFonts w:asciiTheme="minorHAnsi" w:hAnsiTheme="minorHAnsi" w:cstheme="minorHAnsi"/>
          <w:i/>
          <w:iCs/>
        </w:rPr>
        <w:t xml:space="preserve"> with the Services</w:t>
      </w:r>
      <w:r w:rsidR="006B3AEF">
        <w:rPr>
          <w:rFonts w:asciiTheme="minorHAnsi" w:hAnsiTheme="minorHAnsi" w:cstheme="minorHAnsi"/>
          <w:i/>
          <w:iCs/>
        </w:rPr>
        <w:t xml:space="preserve"> </w:t>
      </w:r>
      <w:r w:rsidR="00FE7C96">
        <w:rPr>
          <w:rFonts w:asciiTheme="minorHAnsi" w:hAnsiTheme="minorHAnsi" w:cstheme="minorHAnsi"/>
          <w:i/>
          <w:iCs/>
        </w:rPr>
        <w:t xml:space="preserve">to inform </w:t>
      </w:r>
      <w:r w:rsidR="00CC759A">
        <w:rPr>
          <w:rFonts w:asciiTheme="minorHAnsi" w:hAnsiTheme="minorHAnsi" w:cstheme="minorHAnsi"/>
          <w:i/>
          <w:iCs/>
        </w:rPr>
        <w:t>the Services’ biological opinions and</w:t>
      </w:r>
      <w:r w:rsidR="00FE7C96">
        <w:rPr>
          <w:rFonts w:asciiTheme="minorHAnsi" w:hAnsiTheme="minorHAnsi" w:cstheme="minorHAnsi"/>
          <w:i/>
          <w:iCs/>
        </w:rPr>
        <w:t xml:space="preserve"> potential mitigation measures</w:t>
      </w:r>
      <w:r w:rsidR="00356AA0" w:rsidRPr="00006424">
        <w:rPr>
          <w:rFonts w:asciiTheme="minorHAnsi" w:hAnsiTheme="minorHAnsi" w:cstheme="minorHAnsi"/>
          <w:i/>
          <w:iCs/>
        </w:rPr>
        <w:t>.</w:t>
      </w:r>
    </w:p>
    <w:p w14:paraId="5DE07DB9" w14:textId="77777777" w:rsidR="00032E42" w:rsidRDefault="00032E42" w:rsidP="005859DB">
      <w:pPr>
        <w:rPr>
          <w:rFonts w:asciiTheme="minorHAnsi" w:hAnsiTheme="minorHAnsi" w:cstheme="minorHAnsi"/>
          <w:b/>
          <w:bCs/>
        </w:rPr>
      </w:pPr>
    </w:p>
    <w:p w14:paraId="640C86F5" w14:textId="20506D23" w:rsidR="006E0868" w:rsidRPr="006E0868" w:rsidRDefault="006E0868" w:rsidP="005859DB">
      <w:pPr>
        <w:rPr>
          <w:rFonts w:asciiTheme="minorHAnsi" w:hAnsiTheme="minorHAnsi"/>
        </w:rPr>
      </w:pPr>
      <w:r w:rsidRPr="6664060D">
        <w:rPr>
          <w:rFonts w:asciiTheme="minorHAnsi" w:hAnsiTheme="minorHAnsi"/>
          <w:b/>
          <w:bCs/>
        </w:rPr>
        <w:t xml:space="preserve">Comment: </w:t>
      </w:r>
      <w:r w:rsidRPr="6664060D">
        <w:rPr>
          <w:rFonts w:asciiTheme="minorHAnsi" w:hAnsiTheme="minorHAnsi"/>
        </w:rPr>
        <w:t xml:space="preserve">The blanket no effect (NE) determinations the </w:t>
      </w:r>
      <w:r w:rsidR="00617D34">
        <w:rPr>
          <w:rFonts w:asciiTheme="minorHAnsi" w:hAnsiTheme="minorHAnsi"/>
        </w:rPr>
        <w:t>A</w:t>
      </w:r>
      <w:r w:rsidRPr="6664060D">
        <w:rPr>
          <w:rFonts w:asciiTheme="minorHAnsi" w:hAnsiTheme="minorHAnsi"/>
        </w:rPr>
        <w:t xml:space="preserve">gency gave to aquatic mollusks (which are the majority of all listed aquatic invertebrates) are plainly contrary to the best available science and must be remedied in the final BE for all three chemicals. EPA chose to assess acute mortality risk to all listed aquatic mollusks using a grand total of three toxicity studies on only two different species between the three pesticides. </w:t>
      </w:r>
      <w:r w:rsidR="00882211">
        <w:rPr>
          <w:rFonts w:asciiTheme="minorHAnsi" w:hAnsiTheme="minorHAnsi"/>
        </w:rPr>
        <w:t>For acute toxicity, o</w:t>
      </w:r>
      <w:r w:rsidR="00882211" w:rsidRPr="00882211">
        <w:rPr>
          <w:rFonts w:asciiTheme="minorHAnsi" w:hAnsiTheme="minorHAnsi"/>
        </w:rPr>
        <w:t xml:space="preserve">ne study (Prosser </w:t>
      </w:r>
      <w:r w:rsidR="00882211" w:rsidRPr="004F2883">
        <w:rPr>
          <w:rFonts w:asciiTheme="minorHAnsi" w:hAnsiTheme="minorHAnsi"/>
          <w:i/>
          <w:iCs/>
        </w:rPr>
        <w:t>et al.</w:t>
      </w:r>
      <w:r w:rsidR="00882211" w:rsidRPr="00882211">
        <w:rPr>
          <w:rFonts w:asciiTheme="minorHAnsi" w:hAnsiTheme="minorHAnsi"/>
        </w:rPr>
        <w:t xml:space="preserve"> 2016) was used quantitatively in the imidacloprid BE, but only used the 7-day LC</w:t>
      </w:r>
      <w:r w:rsidR="00882211" w:rsidRPr="006867BE">
        <w:rPr>
          <w:rFonts w:asciiTheme="minorHAnsi" w:hAnsiTheme="minorHAnsi"/>
          <w:vertAlign w:val="subscript"/>
        </w:rPr>
        <w:t>50</w:t>
      </w:r>
      <w:r w:rsidR="00882211" w:rsidRPr="00882211">
        <w:rPr>
          <w:rFonts w:asciiTheme="minorHAnsi" w:hAnsiTheme="minorHAnsi"/>
        </w:rPr>
        <w:t xml:space="preserve">, not the 28 day, and these endpoints were not used in the clothianidin and thiamethoxam BEs despite the data being there. </w:t>
      </w:r>
      <w:r w:rsidRPr="6664060D">
        <w:rPr>
          <w:rFonts w:asciiTheme="minorHAnsi" w:hAnsiTheme="minorHAnsi"/>
        </w:rPr>
        <w:t xml:space="preserve">For the sublethal, chronic endpoint for aquatic mussels, EPA identified a maximum acceptable toxicant concentration (MATC) of 15,811 ppb, 129,100 ppb and 99,999 ppb for imidacloprid, clothianidin and thiamethoxam, respectively. Yet in the Prosser </w:t>
      </w:r>
      <w:r w:rsidRPr="006867BE">
        <w:rPr>
          <w:rFonts w:asciiTheme="minorHAnsi" w:hAnsiTheme="minorHAnsi"/>
          <w:i/>
          <w:iCs/>
        </w:rPr>
        <w:t>et al</w:t>
      </w:r>
      <w:r w:rsidR="00415D06" w:rsidRPr="006867BE">
        <w:rPr>
          <w:rFonts w:asciiTheme="minorHAnsi" w:hAnsiTheme="minorHAnsi"/>
          <w:i/>
          <w:iCs/>
        </w:rPr>
        <w:t>.</w:t>
      </w:r>
      <w:r w:rsidRPr="6664060D">
        <w:rPr>
          <w:rFonts w:asciiTheme="minorHAnsi" w:hAnsiTheme="minorHAnsi"/>
        </w:rPr>
        <w:t xml:space="preserve"> study (ECOTOX Record Number: 173464), the authors identified a 28-day LC</w:t>
      </w:r>
      <w:r w:rsidRPr="006867BE">
        <w:rPr>
          <w:rFonts w:asciiTheme="minorHAnsi" w:hAnsiTheme="minorHAnsi"/>
          <w:vertAlign w:val="subscript"/>
        </w:rPr>
        <w:t>50</w:t>
      </w:r>
      <w:r w:rsidRPr="6664060D">
        <w:rPr>
          <w:rFonts w:asciiTheme="minorHAnsi" w:hAnsiTheme="minorHAnsi"/>
        </w:rPr>
        <w:t xml:space="preserve"> (mortality) threshold of 645.6 ppb, 182.6 ppb and 983.2 ppb, respectively. At the very least, EPA must use these lower values in the Prosser study in place of the current thresholds.</w:t>
      </w:r>
    </w:p>
    <w:p w14:paraId="1FEFA385" w14:textId="4F3E25E3" w:rsidR="006E0868" w:rsidRDefault="00614BC7" w:rsidP="005859DB">
      <w:pPr>
        <w:tabs>
          <w:tab w:val="left" w:pos="3301"/>
        </w:tabs>
        <w:rPr>
          <w:rFonts w:asciiTheme="minorHAnsi" w:hAnsiTheme="minorHAnsi" w:cstheme="minorHAnsi"/>
          <w:b/>
          <w:bCs/>
        </w:rPr>
      </w:pPr>
      <w:r>
        <w:rPr>
          <w:rFonts w:asciiTheme="minorHAnsi" w:hAnsiTheme="minorHAnsi" w:cstheme="minorHAnsi"/>
          <w:b/>
          <w:bCs/>
        </w:rPr>
        <w:tab/>
      </w:r>
    </w:p>
    <w:p w14:paraId="5D0EE7C4" w14:textId="62967148" w:rsidR="00D56236" w:rsidRDefault="006E0868" w:rsidP="005859DB">
      <w:pPr>
        <w:rPr>
          <w:rFonts w:asciiTheme="minorHAnsi" w:hAnsiTheme="minorHAnsi" w:cstheme="minorHAnsi"/>
          <w:i/>
        </w:rPr>
      </w:pPr>
      <w:r w:rsidRPr="0050044C">
        <w:rPr>
          <w:rFonts w:asciiTheme="minorHAnsi" w:hAnsiTheme="minorHAnsi" w:cstheme="minorHAnsi"/>
          <w:b/>
          <w:bCs/>
        </w:rPr>
        <w:t xml:space="preserve">EPA Response: </w:t>
      </w:r>
      <w:r w:rsidR="00AF7323" w:rsidRPr="00B4664D">
        <w:rPr>
          <w:rFonts w:asciiTheme="minorHAnsi" w:hAnsiTheme="minorHAnsi" w:cstheme="minorHAnsi"/>
          <w:i/>
        </w:rPr>
        <w:t xml:space="preserve">EPA </w:t>
      </w:r>
      <w:r w:rsidR="00E00DED">
        <w:rPr>
          <w:rFonts w:asciiTheme="minorHAnsi" w:hAnsiTheme="minorHAnsi" w:cstheme="minorHAnsi"/>
          <w:i/>
        </w:rPr>
        <w:t>appreciates</w:t>
      </w:r>
      <w:r w:rsidR="00AF7323" w:rsidRPr="00B4664D">
        <w:rPr>
          <w:rFonts w:asciiTheme="minorHAnsi" w:hAnsiTheme="minorHAnsi" w:cstheme="minorHAnsi"/>
          <w:i/>
        </w:rPr>
        <w:t xml:space="preserve"> the registrant for raising the Prosser </w:t>
      </w:r>
      <w:r w:rsidR="00AF7323" w:rsidRPr="00F61252">
        <w:rPr>
          <w:rFonts w:asciiTheme="minorHAnsi" w:hAnsiTheme="minorHAnsi" w:cstheme="minorHAnsi"/>
        </w:rPr>
        <w:t>et al.</w:t>
      </w:r>
      <w:r w:rsidR="00AF7323" w:rsidRPr="00B4664D">
        <w:rPr>
          <w:rFonts w:asciiTheme="minorHAnsi" w:hAnsiTheme="minorHAnsi" w:cstheme="minorHAnsi"/>
          <w:i/>
        </w:rPr>
        <w:t xml:space="preserve"> 2016 study and its inconsistent use across the assessments to our attention. After further review, </w:t>
      </w:r>
      <w:r w:rsidR="00D52E36" w:rsidRPr="00B4664D">
        <w:rPr>
          <w:rFonts w:asciiTheme="minorHAnsi" w:hAnsiTheme="minorHAnsi" w:cstheme="minorHAnsi"/>
          <w:i/>
        </w:rPr>
        <w:t>the acute mollusk toxicity endpoint (7-day LC</w:t>
      </w:r>
      <w:r w:rsidR="00D52E36" w:rsidRPr="006867BE">
        <w:rPr>
          <w:rFonts w:asciiTheme="minorHAnsi" w:hAnsiTheme="minorHAnsi" w:cstheme="minorHAnsi"/>
          <w:i/>
          <w:vertAlign w:val="subscript"/>
        </w:rPr>
        <w:t>50</w:t>
      </w:r>
      <w:r w:rsidR="00D52E36" w:rsidRPr="00B4664D">
        <w:rPr>
          <w:rFonts w:asciiTheme="minorHAnsi" w:hAnsiTheme="minorHAnsi" w:cstheme="minorHAnsi"/>
          <w:i/>
        </w:rPr>
        <w:t xml:space="preserve">) </w:t>
      </w:r>
      <w:r w:rsidR="00D52E36" w:rsidRPr="00B4664D" w:rsidDel="00C345E6">
        <w:rPr>
          <w:rFonts w:asciiTheme="minorHAnsi" w:hAnsiTheme="minorHAnsi" w:cstheme="minorHAnsi"/>
          <w:i/>
        </w:rPr>
        <w:t>will</w:t>
      </w:r>
      <w:r w:rsidR="00D52E36" w:rsidRPr="00B4664D">
        <w:rPr>
          <w:rFonts w:asciiTheme="minorHAnsi" w:hAnsiTheme="minorHAnsi" w:cstheme="minorHAnsi"/>
          <w:i/>
        </w:rPr>
        <w:t xml:space="preserve"> no longer be derived from this study for the imidacloprid assessment. A new acute mollusk toxicity endpoint </w:t>
      </w:r>
      <w:r w:rsidR="00C345E6">
        <w:rPr>
          <w:rFonts w:asciiTheme="minorHAnsi" w:hAnsiTheme="minorHAnsi" w:cstheme="minorHAnsi"/>
          <w:i/>
        </w:rPr>
        <w:t xml:space="preserve">was </w:t>
      </w:r>
      <w:r w:rsidR="00D52E36" w:rsidRPr="00B4664D">
        <w:rPr>
          <w:rFonts w:asciiTheme="minorHAnsi" w:hAnsiTheme="minorHAnsi" w:cstheme="minorHAnsi"/>
          <w:i/>
        </w:rPr>
        <w:t xml:space="preserve">selected for imidacloprid that is consistent </w:t>
      </w:r>
      <w:r w:rsidR="00415B38" w:rsidRPr="00B4664D">
        <w:rPr>
          <w:rFonts w:asciiTheme="minorHAnsi" w:hAnsiTheme="minorHAnsi" w:cstheme="minorHAnsi"/>
          <w:i/>
        </w:rPr>
        <w:t>with the 2-4-day</w:t>
      </w:r>
      <w:r w:rsidR="00AF7323" w:rsidRPr="00B4664D">
        <w:rPr>
          <w:rFonts w:asciiTheme="minorHAnsi" w:hAnsiTheme="minorHAnsi" w:cstheme="minorHAnsi"/>
          <w:i/>
        </w:rPr>
        <w:t xml:space="preserve"> exposure</w:t>
      </w:r>
      <w:r w:rsidR="00D52E36" w:rsidRPr="00B4664D">
        <w:rPr>
          <w:rFonts w:asciiTheme="minorHAnsi" w:hAnsiTheme="minorHAnsi" w:cstheme="minorHAnsi"/>
          <w:i/>
        </w:rPr>
        <w:t xml:space="preserve"> duration</w:t>
      </w:r>
      <w:r w:rsidR="00AF7323" w:rsidRPr="00B4664D">
        <w:rPr>
          <w:rFonts w:asciiTheme="minorHAnsi" w:hAnsiTheme="minorHAnsi" w:cstheme="minorHAnsi"/>
          <w:i/>
        </w:rPr>
        <w:t xml:space="preserve"> employed by thiamethoxam and clothianidin</w:t>
      </w:r>
      <w:r w:rsidR="00D56236">
        <w:rPr>
          <w:rFonts w:asciiTheme="minorHAnsi" w:hAnsiTheme="minorHAnsi" w:cstheme="minorHAnsi"/>
          <w:i/>
        </w:rPr>
        <w:t xml:space="preserve"> endpoints</w:t>
      </w:r>
      <w:r w:rsidR="00AF7323" w:rsidRPr="00B4664D">
        <w:rPr>
          <w:rFonts w:asciiTheme="minorHAnsi" w:hAnsiTheme="minorHAnsi" w:cstheme="minorHAnsi"/>
          <w:i/>
        </w:rPr>
        <w:t xml:space="preserve">, </w:t>
      </w:r>
      <w:r w:rsidR="00D52E36" w:rsidRPr="00B4664D">
        <w:rPr>
          <w:rFonts w:asciiTheme="minorHAnsi" w:hAnsiTheme="minorHAnsi" w:cstheme="minorHAnsi"/>
          <w:i/>
        </w:rPr>
        <w:t xml:space="preserve">and </w:t>
      </w:r>
      <w:r w:rsidR="00AF7323" w:rsidRPr="00B4664D">
        <w:rPr>
          <w:rFonts w:asciiTheme="minorHAnsi" w:hAnsiTheme="minorHAnsi" w:cstheme="minorHAnsi"/>
          <w:i/>
        </w:rPr>
        <w:t xml:space="preserve">which is consistent with OCSPP acute toxicity testing guidelines for aquatic invertebrates. </w:t>
      </w:r>
    </w:p>
    <w:p w14:paraId="277FC28D" w14:textId="77777777" w:rsidR="00D56236" w:rsidRDefault="00D56236" w:rsidP="005859DB">
      <w:pPr>
        <w:rPr>
          <w:rFonts w:asciiTheme="minorHAnsi" w:hAnsiTheme="minorHAnsi" w:cstheme="minorHAnsi"/>
          <w:i/>
        </w:rPr>
      </w:pPr>
    </w:p>
    <w:p w14:paraId="1C03625D" w14:textId="4084CF0B" w:rsidR="00D56236" w:rsidRPr="0005709C" w:rsidRDefault="00D56236" w:rsidP="005859DB">
      <w:pPr>
        <w:rPr>
          <w:rFonts w:asciiTheme="minorHAnsi" w:hAnsiTheme="minorHAnsi" w:cstheme="minorHAnsi"/>
          <w:i/>
        </w:rPr>
      </w:pPr>
      <w:r w:rsidRPr="00D52C6E">
        <w:rPr>
          <w:rFonts w:asciiTheme="minorHAnsi" w:hAnsiTheme="minorHAnsi" w:cstheme="minorHAnsi"/>
          <w:i/>
        </w:rPr>
        <w:t xml:space="preserve">Regarding the sublethal data contained in </w:t>
      </w:r>
      <w:r>
        <w:rPr>
          <w:rFonts w:asciiTheme="minorHAnsi" w:hAnsiTheme="minorHAnsi" w:cstheme="minorHAnsi"/>
          <w:i/>
        </w:rPr>
        <w:t xml:space="preserve">the Prosser </w:t>
      </w:r>
      <w:r w:rsidRPr="00F61252">
        <w:rPr>
          <w:rFonts w:asciiTheme="minorHAnsi" w:hAnsiTheme="minorHAnsi" w:cstheme="minorHAnsi"/>
        </w:rPr>
        <w:t>et al.</w:t>
      </w:r>
      <w:r>
        <w:rPr>
          <w:rFonts w:asciiTheme="minorHAnsi" w:hAnsiTheme="minorHAnsi" w:cstheme="minorHAnsi"/>
          <w:i/>
        </w:rPr>
        <w:t xml:space="preserve"> (2016)</w:t>
      </w:r>
      <w:r w:rsidRPr="00D52C6E">
        <w:rPr>
          <w:rFonts w:asciiTheme="minorHAnsi" w:hAnsiTheme="minorHAnsi" w:cstheme="minorHAnsi"/>
          <w:i/>
        </w:rPr>
        <w:t xml:space="preserve"> study, </w:t>
      </w:r>
      <w:r>
        <w:rPr>
          <w:rFonts w:asciiTheme="minorHAnsi" w:hAnsiTheme="minorHAnsi" w:cstheme="minorHAnsi"/>
          <w:i/>
        </w:rPr>
        <w:t>the</w:t>
      </w:r>
      <w:r w:rsidRPr="00AC3451">
        <w:rPr>
          <w:rFonts w:asciiTheme="minorHAnsi" w:hAnsiTheme="minorHAnsi" w:cstheme="minorHAnsi"/>
          <w:i/>
        </w:rPr>
        <w:t xml:space="preserve"> endpoints were screened out in the draft BEs because of lack of standard regulatory endpoints (</w:t>
      </w:r>
      <w:r w:rsidRPr="00067E18">
        <w:rPr>
          <w:rFonts w:asciiTheme="minorHAnsi" w:hAnsiTheme="minorHAnsi" w:cstheme="minorHAnsi"/>
        </w:rPr>
        <w:t>i.e</w:t>
      </w:r>
      <w:r w:rsidRPr="00AC3451">
        <w:rPr>
          <w:rFonts w:asciiTheme="minorHAnsi" w:hAnsiTheme="minorHAnsi" w:cstheme="minorHAnsi"/>
          <w:i/>
        </w:rPr>
        <w:t>., EC</w:t>
      </w:r>
      <w:r w:rsidRPr="00515104">
        <w:rPr>
          <w:rFonts w:asciiTheme="minorHAnsi" w:hAnsiTheme="minorHAnsi" w:cstheme="minorHAnsi"/>
          <w:i/>
          <w:vertAlign w:val="subscript"/>
        </w:rPr>
        <w:t>10</w:t>
      </w:r>
      <w:r w:rsidRPr="00AC3451">
        <w:rPr>
          <w:rFonts w:asciiTheme="minorHAnsi" w:hAnsiTheme="minorHAnsi" w:cstheme="minorHAnsi"/>
          <w:i/>
        </w:rPr>
        <w:t xml:space="preserve"> </w:t>
      </w:r>
      <w:r w:rsidR="00415D06">
        <w:rPr>
          <w:rFonts w:asciiTheme="minorHAnsi" w:hAnsiTheme="minorHAnsi" w:cstheme="minorHAnsi"/>
          <w:i/>
        </w:rPr>
        <w:t xml:space="preserve">values </w:t>
      </w:r>
      <w:r w:rsidRPr="00AC3451">
        <w:rPr>
          <w:rFonts w:asciiTheme="minorHAnsi" w:hAnsiTheme="minorHAnsi" w:cstheme="minorHAnsi"/>
          <w:i/>
        </w:rPr>
        <w:t>were available instead of NOAEC/LOAEC</w:t>
      </w:r>
      <w:r w:rsidR="00415D06">
        <w:rPr>
          <w:rFonts w:asciiTheme="minorHAnsi" w:hAnsiTheme="minorHAnsi" w:cstheme="minorHAnsi"/>
          <w:i/>
        </w:rPr>
        <w:t xml:space="preserve"> values</w:t>
      </w:r>
      <w:r w:rsidRPr="00AC3451">
        <w:rPr>
          <w:rFonts w:asciiTheme="minorHAnsi" w:hAnsiTheme="minorHAnsi" w:cstheme="minorHAnsi"/>
          <w:i/>
        </w:rPr>
        <w:t xml:space="preserve">). In response to this comment, </w:t>
      </w:r>
      <w:r>
        <w:rPr>
          <w:rFonts w:asciiTheme="minorHAnsi" w:hAnsiTheme="minorHAnsi" w:cstheme="minorHAnsi"/>
          <w:i/>
        </w:rPr>
        <w:t>EPA</w:t>
      </w:r>
      <w:r w:rsidRPr="00AC3451">
        <w:rPr>
          <w:rFonts w:asciiTheme="minorHAnsi" w:hAnsiTheme="minorHAnsi" w:cstheme="minorHAnsi"/>
          <w:i/>
        </w:rPr>
        <w:t xml:space="preserve"> re-analyzed the raw data to derive NOAEC/LOAEC values</w:t>
      </w:r>
      <w:r>
        <w:rPr>
          <w:rFonts w:asciiTheme="minorHAnsi" w:hAnsiTheme="minorHAnsi" w:cstheme="minorHAnsi"/>
          <w:i/>
        </w:rPr>
        <w:t xml:space="preserve"> for consideration as the most sensitive sublethal </w:t>
      </w:r>
      <w:r w:rsidRPr="00D52C6E">
        <w:rPr>
          <w:rFonts w:asciiTheme="minorHAnsi" w:hAnsiTheme="minorHAnsi" w:cstheme="minorHAnsi"/>
          <w:i/>
        </w:rPr>
        <w:t xml:space="preserve">mollusk endpoints. </w:t>
      </w:r>
      <w:r>
        <w:rPr>
          <w:rFonts w:asciiTheme="minorHAnsi" w:hAnsiTheme="minorHAnsi" w:cstheme="minorHAnsi"/>
          <w:i/>
        </w:rPr>
        <w:t xml:space="preserve">EPA has determined that the 28-day ramshorn snail mortality NOAEC of 10 µg/L (LOAEC = 50 µg/L) for clothianidin and NOAEC of 100 µg/L (LOAEC = 500 µg/L) for imidacloprid are suitable for use as the most sensitive sublethal endpoint for mollusks. For thiamethoxam, </w:t>
      </w:r>
      <w:r w:rsidRPr="00DB117D">
        <w:rPr>
          <w:rFonts w:asciiTheme="minorHAnsi" w:hAnsiTheme="minorHAnsi" w:cstheme="minorHAnsi"/>
          <w:i/>
        </w:rPr>
        <w:t>no mortality effects were noted.</w:t>
      </w:r>
      <w:r w:rsidRPr="004F2883">
        <w:rPr>
          <w:rFonts w:asciiTheme="minorHAnsi" w:hAnsiTheme="minorHAnsi" w:cstheme="minorHAnsi"/>
          <w:iCs/>
        </w:rPr>
        <w:t xml:space="preserve"> </w:t>
      </w:r>
      <w:r w:rsidRPr="0005709C">
        <w:rPr>
          <w:rFonts w:asciiTheme="minorHAnsi" w:hAnsiTheme="minorHAnsi" w:cstheme="minorHAnsi"/>
          <w:i/>
        </w:rPr>
        <w:t>Therefore, staying consistent with the draft BEs, thiamethoxam will use the clothianidin endpoint given that it is more sensitive. NE and NLAA</w:t>
      </w:r>
      <w:r w:rsidRPr="004F2883">
        <w:rPr>
          <w:rFonts w:asciiTheme="minorHAnsi" w:hAnsiTheme="minorHAnsi"/>
          <w:i/>
        </w:rPr>
        <w:t xml:space="preserve"> determinations for mollusks for all three chemicals </w:t>
      </w:r>
      <w:r w:rsidR="00C40B79">
        <w:rPr>
          <w:rFonts w:asciiTheme="minorHAnsi" w:hAnsiTheme="minorHAnsi"/>
          <w:i/>
        </w:rPr>
        <w:t>may be</w:t>
      </w:r>
      <w:r w:rsidRPr="004F2883">
        <w:rPr>
          <w:rFonts w:asciiTheme="minorHAnsi" w:hAnsiTheme="minorHAnsi"/>
          <w:i/>
        </w:rPr>
        <w:t xml:space="preserve"> reviewed with consideration given to the variation in sensitivity across aquatic invertebrates</w:t>
      </w:r>
      <w:r w:rsidR="0005709C">
        <w:rPr>
          <w:rFonts w:asciiTheme="minorHAnsi" w:hAnsiTheme="minorHAnsi"/>
          <w:i/>
        </w:rPr>
        <w:t xml:space="preserve">. </w:t>
      </w:r>
      <w:r w:rsidRPr="0005709C">
        <w:rPr>
          <w:rFonts w:asciiTheme="minorHAnsi" w:hAnsiTheme="minorHAnsi" w:cstheme="minorHAnsi"/>
          <w:i/>
        </w:rPr>
        <w:t xml:space="preserve">All </w:t>
      </w:r>
      <w:r w:rsidR="00C40B79">
        <w:rPr>
          <w:rFonts w:asciiTheme="minorHAnsi" w:hAnsiTheme="minorHAnsi" w:cstheme="minorHAnsi"/>
          <w:i/>
        </w:rPr>
        <w:t>potential</w:t>
      </w:r>
      <w:r w:rsidRPr="0005709C">
        <w:rPr>
          <w:rFonts w:asciiTheme="minorHAnsi" w:hAnsiTheme="minorHAnsi" w:cstheme="minorHAnsi"/>
          <w:i/>
        </w:rPr>
        <w:t xml:space="preserve"> updates to the biological assessment for mollusks, including new endpoints and effect calls, </w:t>
      </w:r>
      <w:r w:rsidR="00BF5D26">
        <w:rPr>
          <w:rFonts w:asciiTheme="minorHAnsi" w:hAnsiTheme="minorHAnsi" w:cstheme="minorHAnsi"/>
          <w:i/>
        </w:rPr>
        <w:t xml:space="preserve">will be </w:t>
      </w:r>
      <w:r w:rsidR="00FE1730">
        <w:rPr>
          <w:rFonts w:asciiTheme="minorHAnsi" w:hAnsiTheme="minorHAnsi" w:cstheme="minorHAnsi"/>
          <w:i/>
        </w:rPr>
        <w:t>considered</w:t>
      </w:r>
      <w:r w:rsidR="00C40B79">
        <w:rPr>
          <w:rFonts w:asciiTheme="minorHAnsi" w:hAnsiTheme="minorHAnsi" w:cstheme="minorHAnsi"/>
          <w:i/>
        </w:rPr>
        <w:t>, as relevant,</w:t>
      </w:r>
      <w:r w:rsidR="00FE1730">
        <w:rPr>
          <w:rFonts w:asciiTheme="minorHAnsi" w:hAnsiTheme="minorHAnsi" w:cstheme="minorHAnsi"/>
          <w:i/>
        </w:rPr>
        <w:t xml:space="preserve"> during</w:t>
      </w:r>
      <w:r w:rsidR="00BF5D26">
        <w:rPr>
          <w:rFonts w:asciiTheme="minorHAnsi" w:hAnsiTheme="minorHAnsi" w:cstheme="minorHAnsi"/>
          <w:i/>
        </w:rPr>
        <w:t xml:space="preserve"> consultation</w:t>
      </w:r>
      <w:r w:rsidR="00FE1730">
        <w:rPr>
          <w:rFonts w:asciiTheme="minorHAnsi" w:hAnsiTheme="minorHAnsi" w:cstheme="minorHAnsi"/>
          <w:i/>
        </w:rPr>
        <w:t xml:space="preserve"> with the Services</w:t>
      </w:r>
      <w:r w:rsidRPr="00442D11">
        <w:rPr>
          <w:rFonts w:asciiTheme="minorHAnsi" w:hAnsiTheme="minorHAnsi" w:cstheme="minorHAnsi"/>
          <w:i/>
        </w:rPr>
        <w:t>.</w:t>
      </w:r>
      <w:r w:rsidRPr="0005709C">
        <w:rPr>
          <w:rFonts w:asciiTheme="minorHAnsi" w:hAnsiTheme="minorHAnsi" w:cstheme="minorHAnsi"/>
          <w:i/>
        </w:rPr>
        <w:t xml:space="preserve"> </w:t>
      </w:r>
    </w:p>
    <w:p w14:paraId="62B4E425" w14:textId="77777777" w:rsidR="006E0868" w:rsidRDefault="006E0868" w:rsidP="005859DB">
      <w:pPr>
        <w:rPr>
          <w:rFonts w:asciiTheme="minorHAnsi" w:hAnsiTheme="minorHAnsi" w:cstheme="minorHAnsi"/>
          <w:b/>
          <w:bCs/>
        </w:rPr>
      </w:pPr>
    </w:p>
    <w:p w14:paraId="37EBF238" w14:textId="3A3CA63F" w:rsidR="000A6B0E" w:rsidRDefault="000A6B0E" w:rsidP="005859DB">
      <w:pPr>
        <w:rPr>
          <w:rFonts w:asciiTheme="minorHAnsi" w:hAnsiTheme="minorHAnsi" w:cstheme="minorHAnsi"/>
        </w:rPr>
      </w:pPr>
      <w:r w:rsidRPr="0050044C">
        <w:rPr>
          <w:rFonts w:asciiTheme="minorHAnsi" w:hAnsiTheme="minorHAnsi" w:cstheme="minorHAnsi"/>
          <w:b/>
          <w:bCs/>
        </w:rPr>
        <w:t xml:space="preserve">Comment: </w:t>
      </w:r>
      <w:r w:rsidRPr="0050044C">
        <w:rPr>
          <w:rFonts w:asciiTheme="minorHAnsi" w:hAnsiTheme="minorHAnsi" w:cstheme="minorHAnsi"/>
        </w:rPr>
        <w:t>EPA needs to consult on all species listed under the ESA, including newly listed species, experimental populations, candidate and proposed species.</w:t>
      </w:r>
      <w:r w:rsidR="0050044C">
        <w:rPr>
          <w:rFonts w:asciiTheme="minorHAnsi" w:hAnsiTheme="minorHAnsi" w:cstheme="minorHAnsi"/>
        </w:rPr>
        <w:t xml:space="preserve"> </w:t>
      </w:r>
      <w:r w:rsidR="00461561" w:rsidRPr="00461561">
        <w:rPr>
          <w:rFonts w:asciiTheme="minorHAnsi" w:hAnsiTheme="minorHAnsi" w:cstheme="minorHAnsi"/>
        </w:rPr>
        <w:t xml:space="preserve">EPA should also include the American </w:t>
      </w:r>
      <w:r w:rsidR="00461561" w:rsidRPr="00461561">
        <w:rPr>
          <w:rFonts w:asciiTheme="minorHAnsi" w:hAnsiTheme="minorHAnsi" w:cstheme="minorHAnsi"/>
        </w:rPr>
        <w:lastRenderedPageBreak/>
        <w:t>bumble bee (</w:t>
      </w:r>
      <w:r w:rsidR="00461561" w:rsidRPr="007F3BA0">
        <w:rPr>
          <w:rFonts w:asciiTheme="minorHAnsi" w:hAnsiTheme="minorHAnsi" w:cstheme="minorHAnsi"/>
          <w:i/>
        </w:rPr>
        <w:t xml:space="preserve">Bombus </w:t>
      </w:r>
      <w:proofErr w:type="spellStart"/>
      <w:r w:rsidR="00461561" w:rsidRPr="007F3BA0">
        <w:rPr>
          <w:rFonts w:asciiTheme="minorHAnsi" w:hAnsiTheme="minorHAnsi" w:cstheme="minorHAnsi"/>
          <w:i/>
        </w:rPr>
        <w:t>pensylvanicus</w:t>
      </w:r>
      <w:proofErr w:type="spellEnd"/>
      <w:r w:rsidR="00461561" w:rsidRPr="00461561">
        <w:rPr>
          <w:rFonts w:asciiTheme="minorHAnsi" w:hAnsiTheme="minorHAnsi" w:cstheme="minorHAnsi"/>
        </w:rPr>
        <w:t xml:space="preserve">) in its revised </w:t>
      </w:r>
      <w:r w:rsidR="00EB761C">
        <w:rPr>
          <w:rFonts w:asciiTheme="minorHAnsi" w:hAnsiTheme="minorHAnsi" w:cstheme="minorHAnsi"/>
        </w:rPr>
        <w:t>b</w:t>
      </w:r>
      <w:r w:rsidR="00461561" w:rsidRPr="00461561">
        <w:rPr>
          <w:rFonts w:asciiTheme="minorHAnsi" w:hAnsiTheme="minorHAnsi" w:cstheme="minorHAnsi"/>
        </w:rPr>
        <w:t xml:space="preserve">iological </w:t>
      </w:r>
      <w:r w:rsidR="00EB761C">
        <w:rPr>
          <w:rFonts w:asciiTheme="minorHAnsi" w:hAnsiTheme="minorHAnsi" w:cstheme="minorHAnsi"/>
        </w:rPr>
        <w:t>e</w:t>
      </w:r>
      <w:r w:rsidR="00461561" w:rsidRPr="00461561">
        <w:rPr>
          <w:rFonts w:asciiTheme="minorHAnsi" w:hAnsiTheme="minorHAnsi" w:cstheme="minorHAnsi"/>
        </w:rPr>
        <w:t>valuations for the neonicotinoid insecticides. Although this insect is not a currently listed species, the Fish and Wildlife Service has recently determined a petition including substantial scientific and commercial information indicating that listing the American bumble bee as an endangered or threatened species may be warranted. Bumble bee species are highly susceptible to neonicotinoid exposures and are likely jeopardized by continued use of these insecticides.</w:t>
      </w:r>
      <w:r w:rsidR="0050044C">
        <w:rPr>
          <w:rFonts w:asciiTheme="minorHAnsi" w:hAnsiTheme="minorHAnsi" w:cstheme="minorHAnsi"/>
        </w:rPr>
        <w:t xml:space="preserve"> </w:t>
      </w:r>
    </w:p>
    <w:p w14:paraId="57726A92" w14:textId="77777777" w:rsidR="0050044C" w:rsidRPr="0050044C" w:rsidRDefault="0050044C" w:rsidP="005859DB">
      <w:pPr>
        <w:rPr>
          <w:rFonts w:asciiTheme="minorHAnsi" w:hAnsiTheme="minorHAnsi" w:cstheme="minorHAnsi"/>
        </w:rPr>
      </w:pPr>
    </w:p>
    <w:p w14:paraId="71B8167F" w14:textId="3562BF52" w:rsidR="000A6B0E" w:rsidRDefault="000A6B0E" w:rsidP="005859DB">
      <w:pPr>
        <w:rPr>
          <w:rFonts w:asciiTheme="minorHAnsi" w:hAnsiTheme="minorHAnsi" w:cstheme="minorHAnsi"/>
          <w:i/>
          <w:iCs/>
        </w:rPr>
      </w:pPr>
      <w:r w:rsidRPr="0050044C">
        <w:rPr>
          <w:rFonts w:asciiTheme="minorHAnsi" w:hAnsiTheme="minorHAnsi" w:cstheme="minorHAnsi"/>
          <w:b/>
          <w:bCs/>
        </w:rPr>
        <w:t xml:space="preserve">EPA Response: </w:t>
      </w:r>
      <w:r w:rsidR="00C763EB" w:rsidRPr="00F61252">
        <w:rPr>
          <w:rFonts w:asciiTheme="minorHAnsi" w:hAnsiTheme="minorHAnsi" w:cstheme="minorHAnsi"/>
          <w:i/>
          <w:iCs/>
        </w:rPr>
        <w:t xml:space="preserve">For this action, </w:t>
      </w:r>
      <w:r w:rsidR="00F02CDD" w:rsidRPr="00F61252">
        <w:rPr>
          <w:rFonts w:asciiTheme="minorHAnsi" w:hAnsiTheme="minorHAnsi" w:cstheme="minorHAnsi"/>
          <w:i/>
          <w:iCs/>
        </w:rPr>
        <w:t xml:space="preserve">EPA’s obligation under ESA </w:t>
      </w:r>
      <w:r w:rsidR="00F02CDD" w:rsidRPr="00C763EB">
        <w:rPr>
          <w:rFonts w:asciiTheme="minorHAnsi" w:hAnsiTheme="minorHAnsi" w:cstheme="minorHAnsi"/>
          <w:i/>
        </w:rPr>
        <w:t xml:space="preserve">is to </w:t>
      </w:r>
      <w:r w:rsidR="00C763EB" w:rsidRPr="00C763EB">
        <w:rPr>
          <w:rFonts w:asciiTheme="minorHAnsi" w:hAnsiTheme="minorHAnsi" w:cstheme="minorHAnsi"/>
          <w:i/>
          <w:iCs/>
        </w:rPr>
        <w:t>consult on</w:t>
      </w:r>
      <w:r w:rsidR="00F02CDD" w:rsidRPr="00C763EB">
        <w:rPr>
          <w:rFonts w:asciiTheme="minorHAnsi" w:hAnsiTheme="minorHAnsi" w:cstheme="minorHAnsi"/>
          <w:i/>
        </w:rPr>
        <w:t xml:space="preserve"> </w:t>
      </w:r>
      <w:r w:rsidR="00F02CDD" w:rsidRPr="00F61252">
        <w:rPr>
          <w:rFonts w:asciiTheme="minorHAnsi" w:hAnsiTheme="minorHAnsi" w:cstheme="minorHAnsi"/>
          <w:i/>
          <w:iCs/>
        </w:rPr>
        <w:t>federally listed endangered and threatened species</w:t>
      </w:r>
      <w:r w:rsidR="00C763EB" w:rsidRPr="00C763EB">
        <w:rPr>
          <w:rFonts w:asciiTheme="minorHAnsi" w:hAnsiTheme="minorHAnsi" w:cstheme="minorHAnsi"/>
          <w:i/>
          <w:iCs/>
        </w:rPr>
        <w:t xml:space="preserve"> </w:t>
      </w:r>
      <w:r w:rsidR="00C763EB" w:rsidRPr="001E08DA">
        <w:rPr>
          <w:rFonts w:asciiTheme="minorHAnsi" w:hAnsiTheme="minorHAnsi" w:cstheme="minorHAnsi"/>
          <w:i/>
          <w:iCs/>
        </w:rPr>
        <w:t>that may be affected</w:t>
      </w:r>
      <w:r w:rsidR="00F02CDD" w:rsidRPr="00F61252">
        <w:rPr>
          <w:rFonts w:asciiTheme="minorHAnsi" w:hAnsiTheme="minorHAnsi" w:cstheme="minorHAnsi"/>
          <w:i/>
          <w:iCs/>
        </w:rPr>
        <w:t>.</w:t>
      </w:r>
      <w:r w:rsidRPr="00F61252">
        <w:rPr>
          <w:rFonts w:asciiTheme="minorHAnsi" w:hAnsiTheme="minorHAnsi" w:cstheme="minorHAnsi"/>
          <w:i/>
        </w:rPr>
        <w:t xml:space="preserve"> </w:t>
      </w:r>
      <w:r w:rsidRPr="0050044C">
        <w:rPr>
          <w:rFonts w:asciiTheme="minorHAnsi" w:hAnsiTheme="minorHAnsi" w:cstheme="minorHAnsi"/>
          <w:i/>
          <w:iCs/>
        </w:rPr>
        <w:t xml:space="preserve">EPA will continue to work with the Services regarding the most appropriate species list to use during the consultation process, including those species that are proposed for listing or candidates and experimental populations. </w:t>
      </w:r>
      <w:r w:rsidR="00F02CDD">
        <w:rPr>
          <w:rFonts w:asciiTheme="minorHAnsi" w:hAnsiTheme="minorHAnsi" w:cstheme="minorHAnsi"/>
          <w:i/>
          <w:iCs/>
        </w:rPr>
        <w:t>For these BEs, EPA chose to include p</w:t>
      </w:r>
      <w:r w:rsidRPr="0050044C">
        <w:rPr>
          <w:rFonts w:asciiTheme="minorHAnsi" w:hAnsiTheme="minorHAnsi" w:cstheme="minorHAnsi"/>
          <w:i/>
          <w:iCs/>
        </w:rPr>
        <w:t xml:space="preserve">roposed and candidate species and experimental populations in case they are formally listed between the time when the BE is </w:t>
      </w:r>
      <w:proofErr w:type="gramStart"/>
      <w:r w:rsidRPr="0050044C">
        <w:rPr>
          <w:rFonts w:asciiTheme="minorHAnsi" w:hAnsiTheme="minorHAnsi" w:cstheme="minorHAnsi"/>
          <w:i/>
          <w:iCs/>
        </w:rPr>
        <w:t>completed</w:t>
      </w:r>
      <w:proofErr w:type="gramEnd"/>
      <w:r w:rsidRPr="0050044C">
        <w:rPr>
          <w:rFonts w:asciiTheme="minorHAnsi" w:hAnsiTheme="minorHAnsi" w:cstheme="minorHAnsi"/>
          <w:i/>
          <w:iCs/>
        </w:rPr>
        <w:t xml:space="preserve"> and the biological opinion is </w:t>
      </w:r>
      <w:r w:rsidR="00F02CDD">
        <w:rPr>
          <w:rFonts w:asciiTheme="minorHAnsi" w:hAnsiTheme="minorHAnsi" w:cstheme="minorHAnsi"/>
          <w:i/>
          <w:iCs/>
        </w:rPr>
        <w:t>finalized</w:t>
      </w:r>
      <w:r w:rsidRPr="0050044C">
        <w:rPr>
          <w:rFonts w:asciiTheme="minorHAnsi" w:hAnsiTheme="minorHAnsi" w:cstheme="minorHAnsi"/>
          <w:i/>
          <w:iCs/>
        </w:rPr>
        <w:t xml:space="preserve">. EPA clearly makes separate calls for each of the species, so it is possible to distinguish determinations for endangered </w:t>
      </w:r>
      <w:r w:rsidR="001507AB">
        <w:rPr>
          <w:rFonts w:asciiTheme="minorHAnsi" w:hAnsiTheme="minorHAnsi" w:cstheme="minorHAnsi"/>
          <w:i/>
          <w:iCs/>
        </w:rPr>
        <w:t>and</w:t>
      </w:r>
      <w:r w:rsidRPr="0050044C">
        <w:rPr>
          <w:rFonts w:asciiTheme="minorHAnsi" w:hAnsiTheme="minorHAnsi" w:cstheme="minorHAnsi"/>
          <w:i/>
          <w:iCs/>
        </w:rPr>
        <w:t xml:space="preserve"> threatened species from those that are proposed</w:t>
      </w:r>
      <w:r w:rsidR="004F4AF0">
        <w:rPr>
          <w:rFonts w:asciiTheme="minorHAnsi" w:hAnsiTheme="minorHAnsi" w:cstheme="minorHAnsi"/>
          <w:i/>
          <w:iCs/>
        </w:rPr>
        <w:t>,</w:t>
      </w:r>
      <w:r w:rsidRPr="0050044C">
        <w:rPr>
          <w:rFonts w:asciiTheme="minorHAnsi" w:hAnsiTheme="minorHAnsi" w:cstheme="minorHAnsi"/>
          <w:i/>
          <w:iCs/>
        </w:rPr>
        <w:t xml:space="preserve"> candidates</w:t>
      </w:r>
      <w:r w:rsidR="004F4AF0">
        <w:rPr>
          <w:rFonts w:asciiTheme="minorHAnsi" w:hAnsiTheme="minorHAnsi" w:cstheme="minorHAnsi"/>
          <w:i/>
          <w:iCs/>
        </w:rPr>
        <w:t>,</w:t>
      </w:r>
      <w:r w:rsidRPr="0050044C">
        <w:rPr>
          <w:rFonts w:asciiTheme="minorHAnsi" w:hAnsiTheme="minorHAnsi" w:cstheme="minorHAnsi"/>
          <w:i/>
          <w:iCs/>
        </w:rPr>
        <w:t xml:space="preserve"> and experimental populations. Because the specific species that are considered listed changes over time, EPA identifies a “cutoff date” for the list of species that are considered in the BE.  </w:t>
      </w:r>
    </w:p>
    <w:p w14:paraId="374CCCED" w14:textId="3348B2DA" w:rsidR="009241D1" w:rsidRDefault="009241D1" w:rsidP="005859DB">
      <w:pPr>
        <w:rPr>
          <w:rFonts w:asciiTheme="minorHAnsi" w:hAnsiTheme="minorHAnsi" w:cstheme="minorHAnsi"/>
          <w:i/>
          <w:iCs/>
        </w:rPr>
      </w:pPr>
    </w:p>
    <w:p w14:paraId="26F8FAB3" w14:textId="06CB6B9A" w:rsidR="009241D1" w:rsidRDefault="009241D1" w:rsidP="005859DB">
      <w:pPr>
        <w:rPr>
          <w:rFonts w:asciiTheme="minorHAnsi" w:hAnsiTheme="minorHAnsi" w:cstheme="minorHAnsi"/>
          <w:bCs/>
        </w:rPr>
      </w:pPr>
      <w:r w:rsidRPr="0050044C">
        <w:rPr>
          <w:rFonts w:asciiTheme="minorHAnsi" w:hAnsiTheme="minorHAnsi" w:cstheme="minorHAnsi"/>
          <w:b/>
        </w:rPr>
        <w:t>Comment:</w:t>
      </w:r>
      <w:r w:rsidRPr="0050044C">
        <w:rPr>
          <w:rFonts w:asciiTheme="minorHAnsi" w:hAnsiTheme="minorHAnsi" w:cstheme="minorHAnsi"/>
          <w:bCs/>
        </w:rPr>
        <w:t xml:space="preserve"> </w:t>
      </w:r>
      <w:r>
        <w:rPr>
          <w:rFonts w:asciiTheme="minorHAnsi" w:hAnsiTheme="minorHAnsi" w:cstheme="minorHAnsi"/>
          <w:bCs/>
        </w:rPr>
        <w:t xml:space="preserve">EPA has inconsistently considered </w:t>
      </w:r>
      <w:r w:rsidR="00A6647C">
        <w:rPr>
          <w:rFonts w:asciiTheme="minorHAnsi" w:hAnsiTheme="minorHAnsi" w:cstheme="minorHAnsi"/>
          <w:bCs/>
        </w:rPr>
        <w:t>species that are presumed extinct or having highly restricted ranges in their risk assessments and biological evaluations.</w:t>
      </w:r>
      <w:r w:rsidR="00A6647C">
        <w:t xml:space="preserve"> </w:t>
      </w:r>
      <w:r w:rsidR="00A6647C" w:rsidRPr="00A6647C">
        <w:rPr>
          <w:rFonts w:asciiTheme="minorHAnsi" w:hAnsiTheme="minorHAnsi" w:cstheme="minorHAnsi"/>
          <w:bCs/>
        </w:rPr>
        <w:t>For example, the Eskimo curlew</w:t>
      </w:r>
      <w:r w:rsidR="00A6647C">
        <w:rPr>
          <w:rFonts w:asciiTheme="minorHAnsi" w:hAnsiTheme="minorHAnsi" w:cstheme="minorHAnsi"/>
          <w:bCs/>
        </w:rPr>
        <w:t xml:space="preserve"> (</w:t>
      </w:r>
      <w:r w:rsidR="00A6647C" w:rsidRPr="00B4664D">
        <w:rPr>
          <w:rFonts w:asciiTheme="minorHAnsi" w:hAnsiTheme="minorHAnsi" w:cstheme="minorHAnsi"/>
          <w:bCs/>
          <w:i/>
        </w:rPr>
        <w:t>Numenius borealis</w:t>
      </w:r>
      <w:r w:rsidR="00A6647C">
        <w:rPr>
          <w:rFonts w:asciiTheme="minorHAnsi" w:hAnsiTheme="minorHAnsi" w:cstheme="minorHAnsi"/>
          <w:bCs/>
        </w:rPr>
        <w:t>)</w:t>
      </w:r>
      <w:r w:rsidR="00A6647C" w:rsidRPr="00A6647C">
        <w:rPr>
          <w:rFonts w:asciiTheme="minorHAnsi" w:hAnsiTheme="minorHAnsi" w:cstheme="minorHAnsi"/>
          <w:bCs/>
        </w:rPr>
        <w:t xml:space="preserve"> is assigned a MA/LAA in all three of the neonic</w:t>
      </w:r>
      <w:r w:rsidR="00E14CA2">
        <w:rPr>
          <w:rFonts w:asciiTheme="minorHAnsi" w:hAnsiTheme="minorHAnsi" w:cstheme="minorHAnsi"/>
          <w:bCs/>
        </w:rPr>
        <w:t xml:space="preserve"> BE</w:t>
      </w:r>
      <w:r w:rsidR="00A6647C" w:rsidRPr="00A6647C">
        <w:rPr>
          <w:rFonts w:asciiTheme="minorHAnsi" w:hAnsiTheme="minorHAnsi" w:cstheme="minorHAnsi"/>
          <w:bCs/>
        </w:rPr>
        <w:t xml:space="preserve">s. However, in the 2020 Ecological Assessment of Dicamba Use on Dicamba-Tolerant (DT) Cotton and Soybean Including Effects Determinations for Federally Listed Threatened and Endangered Species, </w:t>
      </w:r>
      <w:r w:rsidR="00A6647C" w:rsidRPr="00421AE0">
        <w:rPr>
          <w:rFonts w:asciiTheme="minorHAnsi" w:hAnsiTheme="minorHAnsi" w:cstheme="minorHAnsi"/>
          <w:b/>
        </w:rPr>
        <w:t>Appendix L</w:t>
      </w:r>
      <w:r w:rsidR="00A6647C" w:rsidRPr="00A6647C">
        <w:rPr>
          <w:rFonts w:asciiTheme="minorHAnsi" w:hAnsiTheme="minorHAnsi" w:cstheme="minorHAnsi"/>
          <w:bCs/>
        </w:rPr>
        <w:t xml:space="preserve"> includes concurrence information from USFWS that the Eskimo curlew is presumed extinct and that the proposed action is not likely to adversely affect this species (see EPA-HQ-OPP-2020-0492-0002). The information from USFWS confirming this species is presumed extinct should be used for subsequent assessments unless information to the contrary is available. This determination is still applicable and should be applied to this and all subsequent evaluations.</w:t>
      </w:r>
    </w:p>
    <w:p w14:paraId="38B6767A" w14:textId="77777777" w:rsidR="009241D1" w:rsidRPr="0050044C" w:rsidRDefault="009241D1" w:rsidP="005859DB">
      <w:pPr>
        <w:rPr>
          <w:rFonts w:asciiTheme="minorHAnsi" w:hAnsiTheme="minorHAnsi" w:cstheme="minorHAnsi"/>
          <w:bCs/>
        </w:rPr>
      </w:pPr>
    </w:p>
    <w:p w14:paraId="3E440344" w14:textId="6812913A" w:rsidR="000A6B0E" w:rsidRDefault="009241D1" w:rsidP="005859DB">
      <w:pPr>
        <w:rPr>
          <w:rFonts w:asciiTheme="minorHAnsi" w:hAnsiTheme="minorHAnsi"/>
        </w:rPr>
      </w:pPr>
      <w:r w:rsidRPr="09D83FAD">
        <w:rPr>
          <w:rFonts w:asciiTheme="minorHAnsi" w:hAnsiTheme="minorHAnsi"/>
          <w:b/>
          <w:bCs/>
        </w:rPr>
        <w:t xml:space="preserve">EPA Response: </w:t>
      </w:r>
      <w:r w:rsidRPr="007F3BA0">
        <w:rPr>
          <w:rFonts w:asciiTheme="minorHAnsi" w:hAnsiTheme="minorHAnsi"/>
          <w:i/>
        </w:rPr>
        <w:t xml:space="preserve">EPA agrees with the commenter that species that are presumed extinct or have highly restricted ranges should be similarly assessed in pesticide biological evaluations (after accounting for any relevant differences in the use and usage of each pesticide). These </w:t>
      </w:r>
      <w:r w:rsidR="00451E5F">
        <w:rPr>
          <w:rFonts w:asciiTheme="minorHAnsi" w:hAnsiTheme="minorHAnsi"/>
          <w:i/>
        </w:rPr>
        <w:t xml:space="preserve">species considerations will be </w:t>
      </w:r>
      <w:r w:rsidR="00FE1730">
        <w:rPr>
          <w:rFonts w:asciiTheme="minorHAnsi" w:hAnsiTheme="minorHAnsi"/>
          <w:i/>
        </w:rPr>
        <w:t>considered</w:t>
      </w:r>
      <w:r w:rsidR="003F6D32">
        <w:rPr>
          <w:rFonts w:asciiTheme="minorHAnsi" w:hAnsiTheme="minorHAnsi"/>
          <w:i/>
        </w:rPr>
        <w:t>, as relevant,</w:t>
      </w:r>
      <w:r w:rsidR="00FE1730" w:rsidRPr="007F3BA0">
        <w:rPr>
          <w:rFonts w:asciiTheme="minorHAnsi" w:hAnsiTheme="minorHAnsi"/>
          <w:i/>
        </w:rPr>
        <w:t xml:space="preserve"> </w:t>
      </w:r>
      <w:r w:rsidRPr="007F3BA0">
        <w:rPr>
          <w:rFonts w:asciiTheme="minorHAnsi" w:hAnsiTheme="minorHAnsi"/>
          <w:i/>
        </w:rPr>
        <w:t xml:space="preserve">in the forthcoming </w:t>
      </w:r>
      <w:r w:rsidR="00451E5F">
        <w:rPr>
          <w:rFonts w:asciiTheme="minorHAnsi" w:hAnsiTheme="minorHAnsi"/>
          <w:i/>
        </w:rPr>
        <w:t>consultation</w:t>
      </w:r>
      <w:r w:rsidR="004D3578">
        <w:rPr>
          <w:rFonts w:asciiTheme="minorHAnsi" w:hAnsiTheme="minorHAnsi"/>
          <w:i/>
        </w:rPr>
        <w:t xml:space="preserve"> with the Services.</w:t>
      </w:r>
    </w:p>
    <w:p w14:paraId="17A117AA" w14:textId="77777777" w:rsidR="005744CF" w:rsidRPr="0050044C" w:rsidRDefault="005744CF" w:rsidP="005859DB">
      <w:pPr>
        <w:rPr>
          <w:rFonts w:asciiTheme="minorHAnsi" w:hAnsiTheme="minorHAnsi" w:cstheme="minorHAnsi"/>
          <w:i/>
          <w:iCs/>
        </w:rPr>
      </w:pPr>
    </w:p>
    <w:p w14:paraId="6EAE0568" w14:textId="2E831C01" w:rsidR="00F726BD" w:rsidRDefault="00F726BD" w:rsidP="005859DB">
      <w:pPr>
        <w:rPr>
          <w:rFonts w:asciiTheme="minorHAnsi" w:hAnsiTheme="minorHAnsi" w:cstheme="minorHAnsi"/>
          <w:bCs/>
        </w:rPr>
      </w:pPr>
      <w:r w:rsidRPr="0050044C">
        <w:rPr>
          <w:rFonts w:asciiTheme="minorHAnsi" w:hAnsiTheme="minorHAnsi" w:cstheme="minorHAnsi"/>
          <w:b/>
        </w:rPr>
        <w:t>Comment:</w:t>
      </w:r>
      <w:r w:rsidRPr="0050044C">
        <w:rPr>
          <w:rFonts w:asciiTheme="minorHAnsi" w:hAnsiTheme="minorHAnsi" w:cstheme="minorHAnsi"/>
          <w:bCs/>
        </w:rPr>
        <w:t xml:space="preserve"> </w:t>
      </w:r>
      <w:r>
        <w:rPr>
          <w:rFonts w:asciiTheme="minorHAnsi" w:hAnsiTheme="minorHAnsi" w:cstheme="minorHAnsi"/>
          <w:bCs/>
        </w:rPr>
        <w:t>Registrants</w:t>
      </w:r>
      <w:r w:rsidRPr="00F726BD">
        <w:rPr>
          <w:rFonts w:asciiTheme="minorHAnsi" w:hAnsiTheme="minorHAnsi" w:cstheme="minorHAnsi"/>
          <w:bCs/>
        </w:rPr>
        <w:t xml:space="preserve"> ha</w:t>
      </w:r>
      <w:r>
        <w:rPr>
          <w:rFonts w:asciiTheme="minorHAnsi" w:hAnsiTheme="minorHAnsi" w:cstheme="minorHAnsi"/>
          <w:bCs/>
        </w:rPr>
        <w:t>ve</w:t>
      </w:r>
      <w:r w:rsidRPr="00F726BD">
        <w:rPr>
          <w:rFonts w:asciiTheme="minorHAnsi" w:hAnsiTheme="minorHAnsi" w:cstheme="minorHAnsi"/>
          <w:bCs/>
        </w:rPr>
        <w:t xml:space="preserve"> outlined several conservation measures for avoidance, minimization and mitigation that include product label information and timing, equipment practices to minimize off-target movement, stewardship practices and conservation off-sets. </w:t>
      </w:r>
      <w:r>
        <w:rPr>
          <w:rFonts w:asciiTheme="minorHAnsi" w:hAnsiTheme="minorHAnsi" w:cstheme="minorHAnsi"/>
          <w:bCs/>
        </w:rPr>
        <w:t>T</w:t>
      </w:r>
      <w:r w:rsidRPr="00F726BD">
        <w:rPr>
          <w:rFonts w:asciiTheme="minorHAnsi" w:hAnsiTheme="minorHAnsi" w:cstheme="minorHAnsi"/>
          <w:bCs/>
        </w:rPr>
        <w:t>hese need to be considered during the formal consultation.</w:t>
      </w:r>
    </w:p>
    <w:p w14:paraId="251264BD" w14:textId="77777777" w:rsidR="00F726BD" w:rsidRPr="0050044C" w:rsidRDefault="00F726BD" w:rsidP="005859DB">
      <w:pPr>
        <w:rPr>
          <w:rFonts w:asciiTheme="minorHAnsi" w:hAnsiTheme="minorHAnsi" w:cstheme="minorHAnsi"/>
          <w:bCs/>
        </w:rPr>
      </w:pPr>
    </w:p>
    <w:p w14:paraId="271F167A" w14:textId="28526B48" w:rsidR="00F726BD" w:rsidRDefault="00F726BD" w:rsidP="005859DB">
      <w:pPr>
        <w:rPr>
          <w:rFonts w:asciiTheme="minorHAnsi" w:hAnsiTheme="minorHAnsi" w:cstheme="minorHAnsi"/>
          <w:i/>
          <w:iCs/>
        </w:rPr>
      </w:pPr>
      <w:r w:rsidRPr="0050044C">
        <w:rPr>
          <w:rFonts w:asciiTheme="minorHAnsi" w:hAnsiTheme="minorHAnsi" w:cstheme="minorHAnsi"/>
          <w:b/>
          <w:bCs/>
        </w:rPr>
        <w:t xml:space="preserve">EPA Response: </w:t>
      </w:r>
      <w:r>
        <w:rPr>
          <w:rFonts w:asciiTheme="minorHAnsi" w:hAnsiTheme="minorHAnsi" w:cstheme="minorHAnsi"/>
          <w:i/>
          <w:iCs/>
        </w:rPr>
        <w:t>EPA appreciates th</w:t>
      </w:r>
      <w:r w:rsidR="00805BD3">
        <w:rPr>
          <w:rFonts w:asciiTheme="minorHAnsi" w:hAnsiTheme="minorHAnsi" w:cstheme="minorHAnsi"/>
          <w:i/>
          <w:iCs/>
        </w:rPr>
        <w:t>at the</w:t>
      </w:r>
      <w:r>
        <w:rPr>
          <w:rFonts w:asciiTheme="minorHAnsi" w:hAnsiTheme="minorHAnsi" w:cstheme="minorHAnsi"/>
          <w:i/>
          <w:iCs/>
        </w:rPr>
        <w:t xml:space="preserve"> </w:t>
      </w:r>
      <w:r w:rsidR="00805BD3">
        <w:rPr>
          <w:rFonts w:asciiTheme="minorHAnsi" w:hAnsiTheme="minorHAnsi" w:cstheme="minorHAnsi"/>
          <w:i/>
          <w:iCs/>
        </w:rPr>
        <w:t>registrants have documented the stewardship measures in their comments for the neonicotinoids</w:t>
      </w:r>
      <w:r w:rsidR="00442D11">
        <w:rPr>
          <w:rFonts w:asciiTheme="minorHAnsi" w:hAnsiTheme="minorHAnsi" w:cstheme="minorHAnsi"/>
          <w:i/>
          <w:iCs/>
        </w:rPr>
        <w:t>.</w:t>
      </w:r>
      <w:r w:rsidR="00CA0499">
        <w:rPr>
          <w:rFonts w:asciiTheme="minorHAnsi" w:hAnsiTheme="minorHAnsi" w:cstheme="minorHAnsi"/>
          <w:i/>
          <w:iCs/>
        </w:rPr>
        <w:t xml:space="preserve"> As needed and relevant,</w:t>
      </w:r>
      <w:r w:rsidR="00442D11">
        <w:rPr>
          <w:rFonts w:asciiTheme="minorHAnsi" w:hAnsiTheme="minorHAnsi" w:cstheme="minorHAnsi"/>
          <w:i/>
          <w:iCs/>
        </w:rPr>
        <w:t xml:space="preserve"> EPA will </w:t>
      </w:r>
      <w:r w:rsidR="007A014B">
        <w:rPr>
          <w:rFonts w:asciiTheme="minorHAnsi" w:hAnsiTheme="minorHAnsi" w:cstheme="minorHAnsi"/>
          <w:i/>
          <w:iCs/>
        </w:rPr>
        <w:t>consider</w:t>
      </w:r>
      <w:r w:rsidR="00442D11">
        <w:rPr>
          <w:rFonts w:asciiTheme="minorHAnsi" w:hAnsiTheme="minorHAnsi" w:cstheme="minorHAnsi"/>
          <w:i/>
          <w:iCs/>
        </w:rPr>
        <w:t xml:space="preserve"> these measures</w:t>
      </w:r>
      <w:r w:rsidR="00091692">
        <w:rPr>
          <w:rFonts w:asciiTheme="minorHAnsi" w:hAnsiTheme="minorHAnsi" w:cstheme="minorHAnsi"/>
          <w:i/>
          <w:iCs/>
        </w:rPr>
        <w:t>, as well as others that are identified</w:t>
      </w:r>
      <w:r w:rsidR="00DC08F4">
        <w:rPr>
          <w:rFonts w:asciiTheme="minorHAnsi" w:hAnsiTheme="minorHAnsi" w:cstheme="minorHAnsi"/>
          <w:i/>
          <w:iCs/>
        </w:rPr>
        <w:t>,</w:t>
      </w:r>
      <w:r w:rsidR="00091692">
        <w:rPr>
          <w:rFonts w:asciiTheme="minorHAnsi" w:hAnsiTheme="minorHAnsi" w:cstheme="minorHAnsi"/>
          <w:i/>
          <w:iCs/>
        </w:rPr>
        <w:t xml:space="preserve"> during </w:t>
      </w:r>
      <w:r w:rsidR="00805BD3">
        <w:rPr>
          <w:rFonts w:asciiTheme="minorHAnsi" w:hAnsiTheme="minorHAnsi" w:cstheme="minorHAnsi"/>
          <w:i/>
          <w:iCs/>
        </w:rPr>
        <w:t xml:space="preserve">consultation </w:t>
      </w:r>
      <w:r w:rsidR="00442D11">
        <w:rPr>
          <w:rFonts w:asciiTheme="minorHAnsi" w:hAnsiTheme="minorHAnsi" w:cstheme="minorHAnsi"/>
          <w:i/>
          <w:iCs/>
        </w:rPr>
        <w:t xml:space="preserve">discussions </w:t>
      </w:r>
      <w:r w:rsidR="00805BD3">
        <w:rPr>
          <w:rFonts w:asciiTheme="minorHAnsi" w:hAnsiTheme="minorHAnsi" w:cstheme="minorHAnsi"/>
          <w:i/>
          <w:iCs/>
        </w:rPr>
        <w:t xml:space="preserve">with the Services. </w:t>
      </w:r>
    </w:p>
    <w:p w14:paraId="2D072255" w14:textId="77777777" w:rsidR="00F726BD" w:rsidRDefault="00F726BD" w:rsidP="005859DB">
      <w:pPr>
        <w:rPr>
          <w:rFonts w:asciiTheme="minorHAnsi" w:hAnsiTheme="minorHAnsi" w:cstheme="minorHAnsi"/>
          <w:b/>
        </w:rPr>
      </w:pPr>
    </w:p>
    <w:p w14:paraId="26D8F781" w14:textId="7733230F" w:rsidR="007F3819" w:rsidRDefault="007F3819" w:rsidP="005859DB">
      <w:pPr>
        <w:rPr>
          <w:rFonts w:asciiTheme="minorHAnsi" w:hAnsiTheme="minorHAnsi" w:cstheme="minorHAnsi"/>
          <w:bCs/>
        </w:rPr>
      </w:pPr>
      <w:r w:rsidRPr="0050044C">
        <w:rPr>
          <w:rFonts w:asciiTheme="minorHAnsi" w:hAnsiTheme="minorHAnsi" w:cstheme="minorHAnsi"/>
          <w:b/>
        </w:rPr>
        <w:t>Comment:</w:t>
      </w:r>
      <w:r w:rsidRPr="0050044C">
        <w:rPr>
          <w:rFonts w:asciiTheme="minorHAnsi" w:hAnsiTheme="minorHAnsi" w:cstheme="minorHAnsi"/>
          <w:bCs/>
        </w:rPr>
        <w:t xml:space="preserve"> </w:t>
      </w:r>
      <w:r w:rsidRPr="007F3819">
        <w:rPr>
          <w:rFonts w:asciiTheme="minorHAnsi" w:hAnsiTheme="minorHAnsi" w:cstheme="minorHAnsi"/>
          <w:bCs/>
        </w:rPr>
        <w:t>For listed bird species that are granivores or omnivores and potentially exposed to seed treatment</w:t>
      </w:r>
      <w:r>
        <w:rPr>
          <w:rFonts w:asciiTheme="minorHAnsi" w:hAnsiTheme="minorHAnsi" w:cstheme="minorHAnsi"/>
          <w:bCs/>
        </w:rPr>
        <w:t xml:space="preserve"> </w:t>
      </w:r>
      <w:r w:rsidRPr="007F3819">
        <w:rPr>
          <w:rFonts w:asciiTheme="minorHAnsi" w:hAnsiTheme="minorHAnsi" w:cstheme="minorHAnsi"/>
          <w:bCs/>
        </w:rPr>
        <w:t>pesticides, the US EPA does not currently have a refined seed treatment assessment model. Their</w:t>
      </w:r>
      <w:r>
        <w:rPr>
          <w:rFonts w:asciiTheme="minorHAnsi" w:hAnsiTheme="minorHAnsi" w:cstheme="minorHAnsi"/>
          <w:bCs/>
        </w:rPr>
        <w:t xml:space="preserve"> </w:t>
      </w:r>
      <w:r w:rsidRPr="007F3819">
        <w:rPr>
          <w:rFonts w:asciiTheme="minorHAnsi" w:hAnsiTheme="minorHAnsi" w:cstheme="minorHAnsi"/>
          <w:bCs/>
        </w:rPr>
        <w:t>current screening-level model for assessing risks of seed treatments to birds (</w:t>
      </w:r>
      <w:r w:rsidRPr="006E143C">
        <w:rPr>
          <w:rFonts w:asciiTheme="minorHAnsi" w:hAnsiTheme="minorHAnsi" w:cstheme="minorHAnsi"/>
          <w:i/>
        </w:rPr>
        <w:t>i.e.,</w:t>
      </w:r>
      <w:r w:rsidRPr="007F3819">
        <w:rPr>
          <w:rFonts w:asciiTheme="minorHAnsi" w:hAnsiTheme="minorHAnsi" w:cstheme="minorHAnsi"/>
          <w:bCs/>
        </w:rPr>
        <w:t xml:space="preserve"> T-REX) is</w:t>
      </w:r>
      <w:r>
        <w:rPr>
          <w:rFonts w:asciiTheme="minorHAnsi" w:hAnsiTheme="minorHAnsi" w:cstheme="minorHAnsi"/>
          <w:bCs/>
        </w:rPr>
        <w:t xml:space="preserve"> </w:t>
      </w:r>
      <w:r w:rsidRPr="007F3819">
        <w:rPr>
          <w:rFonts w:asciiTheme="minorHAnsi" w:hAnsiTheme="minorHAnsi" w:cstheme="minorHAnsi"/>
          <w:bCs/>
        </w:rPr>
        <w:t>inadequate for an endangered species assessment. T-REX is a generic model that does not</w:t>
      </w:r>
      <w:r>
        <w:rPr>
          <w:rFonts w:asciiTheme="minorHAnsi" w:hAnsiTheme="minorHAnsi" w:cstheme="minorHAnsi"/>
          <w:bCs/>
        </w:rPr>
        <w:t xml:space="preserve"> </w:t>
      </w:r>
      <w:r w:rsidRPr="007F3819">
        <w:rPr>
          <w:rFonts w:asciiTheme="minorHAnsi" w:hAnsiTheme="minorHAnsi" w:cstheme="minorHAnsi"/>
          <w:bCs/>
        </w:rPr>
        <w:t>include species-specific inputs for diet or body weight and assumes that generic bird species</w:t>
      </w:r>
      <w:r>
        <w:rPr>
          <w:rFonts w:asciiTheme="minorHAnsi" w:hAnsiTheme="minorHAnsi" w:cstheme="minorHAnsi"/>
          <w:bCs/>
        </w:rPr>
        <w:t xml:space="preserve"> </w:t>
      </w:r>
      <w:r w:rsidRPr="007F3819">
        <w:rPr>
          <w:rFonts w:asciiTheme="minorHAnsi" w:hAnsiTheme="minorHAnsi" w:cstheme="minorHAnsi"/>
          <w:bCs/>
        </w:rPr>
        <w:t xml:space="preserve">consume only </w:t>
      </w:r>
      <w:r w:rsidRPr="007F3819">
        <w:rPr>
          <w:rFonts w:asciiTheme="minorHAnsi" w:hAnsiTheme="minorHAnsi" w:cstheme="minorHAnsi"/>
          <w:bCs/>
        </w:rPr>
        <w:lastRenderedPageBreak/>
        <w:t>treated seeds in their diet, an unrealistic assumption for listed bird species. Moore</w:t>
      </w:r>
      <w:r>
        <w:rPr>
          <w:rFonts w:asciiTheme="minorHAnsi" w:hAnsiTheme="minorHAnsi" w:cstheme="minorHAnsi"/>
          <w:bCs/>
        </w:rPr>
        <w:t xml:space="preserve"> </w:t>
      </w:r>
      <w:r w:rsidRPr="007F3819">
        <w:rPr>
          <w:rFonts w:asciiTheme="minorHAnsi" w:hAnsiTheme="minorHAnsi" w:cstheme="minorHAnsi"/>
          <w:bCs/>
        </w:rPr>
        <w:t>and Priest (2021) developed a refined model to assess the risk of seed treatments to listed bird</w:t>
      </w:r>
      <w:r>
        <w:rPr>
          <w:rFonts w:asciiTheme="minorHAnsi" w:hAnsiTheme="minorHAnsi" w:cstheme="minorHAnsi"/>
          <w:bCs/>
        </w:rPr>
        <w:t xml:space="preserve"> </w:t>
      </w:r>
      <w:r w:rsidRPr="007F3819">
        <w:rPr>
          <w:rFonts w:asciiTheme="minorHAnsi" w:hAnsiTheme="minorHAnsi" w:cstheme="minorHAnsi"/>
          <w:bCs/>
        </w:rPr>
        <w:t xml:space="preserve">species referred to as the </w:t>
      </w:r>
      <w:proofErr w:type="spellStart"/>
      <w:r w:rsidRPr="007F3819">
        <w:rPr>
          <w:rFonts w:asciiTheme="minorHAnsi" w:hAnsiTheme="minorHAnsi" w:cstheme="minorHAnsi"/>
          <w:bCs/>
        </w:rPr>
        <w:t>ESASeedPARAM</w:t>
      </w:r>
      <w:proofErr w:type="spellEnd"/>
      <w:r w:rsidRPr="007F3819">
        <w:rPr>
          <w:rFonts w:asciiTheme="minorHAnsi" w:hAnsiTheme="minorHAnsi" w:cstheme="minorHAnsi"/>
          <w:bCs/>
        </w:rPr>
        <w:t xml:space="preserve"> (Endangered Species Assessment Seed Treatment</w:t>
      </w:r>
      <w:r>
        <w:rPr>
          <w:rFonts w:asciiTheme="minorHAnsi" w:hAnsiTheme="minorHAnsi" w:cstheme="minorHAnsi"/>
          <w:bCs/>
        </w:rPr>
        <w:t xml:space="preserve"> </w:t>
      </w:r>
      <w:r w:rsidRPr="007F3819">
        <w:rPr>
          <w:rFonts w:asciiTheme="minorHAnsi" w:hAnsiTheme="minorHAnsi" w:cstheme="minorHAnsi"/>
          <w:bCs/>
        </w:rPr>
        <w:t>Probabilistic Avian Risk Assessment Model).</w:t>
      </w:r>
      <w:r w:rsidR="00CD3A4D">
        <w:rPr>
          <w:rFonts w:asciiTheme="minorHAnsi" w:hAnsiTheme="minorHAnsi" w:cstheme="minorHAnsi"/>
          <w:bCs/>
        </w:rPr>
        <w:t xml:space="preserve"> This model should be used to provide more realistic risk estimates for listed species.</w:t>
      </w:r>
    </w:p>
    <w:p w14:paraId="6C9BCB21" w14:textId="77777777" w:rsidR="007F3819" w:rsidRPr="0050044C" w:rsidRDefault="007F3819" w:rsidP="005859DB">
      <w:pPr>
        <w:rPr>
          <w:rFonts w:asciiTheme="minorHAnsi" w:hAnsiTheme="minorHAnsi" w:cstheme="minorHAnsi"/>
          <w:bCs/>
        </w:rPr>
      </w:pPr>
    </w:p>
    <w:p w14:paraId="3539C931" w14:textId="48BF2431" w:rsidR="00D7638E" w:rsidRPr="00404E6E" w:rsidRDefault="007F3819" w:rsidP="005859DB">
      <w:pPr>
        <w:rPr>
          <w:rFonts w:asciiTheme="minorHAnsi" w:hAnsiTheme="minorHAnsi" w:cstheme="minorHAnsi"/>
          <w:i/>
          <w:iCs/>
        </w:rPr>
      </w:pPr>
      <w:r w:rsidRPr="00404E6E">
        <w:rPr>
          <w:rFonts w:asciiTheme="minorHAnsi" w:hAnsiTheme="minorHAnsi" w:cstheme="minorHAnsi"/>
          <w:b/>
          <w:bCs/>
        </w:rPr>
        <w:t xml:space="preserve">EPA Response: </w:t>
      </w:r>
      <w:r w:rsidR="007B1FA3" w:rsidRPr="007B1FA3">
        <w:rPr>
          <w:rFonts w:asciiTheme="minorHAnsi" w:hAnsiTheme="minorHAnsi" w:cstheme="minorHAnsi"/>
          <w:i/>
          <w:iCs/>
        </w:rPr>
        <w:t>EPA has not fully evaluate</w:t>
      </w:r>
      <w:r w:rsidR="001D598F">
        <w:rPr>
          <w:rFonts w:asciiTheme="minorHAnsi" w:hAnsiTheme="minorHAnsi" w:cstheme="minorHAnsi"/>
          <w:i/>
          <w:iCs/>
        </w:rPr>
        <w:t>d</w:t>
      </w:r>
      <w:r w:rsidR="007B1FA3" w:rsidRPr="007B1FA3">
        <w:rPr>
          <w:rFonts w:asciiTheme="minorHAnsi" w:hAnsiTheme="minorHAnsi" w:cstheme="minorHAnsi"/>
          <w:i/>
          <w:iCs/>
        </w:rPr>
        <w:t xml:space="preserve"> </w:t>
      </w:r>
      <w:proofErr w:type="spellStart"/>
      <w:r w:rsidR="007B1FA3" w:rsidRPr="007B1FA3">
        <w:rPr>
          <w:rFonts w:asciiTheme="minorHAnsi" w:hAnsiTheme="minorHAnsi" w:cstheme="minorHAnsi"/>
          <w:i/>
          <w:iCs/>
        </w:rPr>
        <w:t>ESASeedPARAM</w:t>
      </w:r>
      <w:proofErr w:type="spellEnd"/>
      <w:r w:rsidR="007B1FA3" w:rsidRPr="007B1FA3">
        <w:rPr>
          <w:rFonts w:asciiTheme="minorHAnsi" w:hAnsiTheme="minorHAnsi" w:cstheme="minorHAnsi"/>
          <w:i/>
          <w:iCs/>
        </w:rPr>
        <w:t>. Because of the complexity of the model (</w:t>
      </w:r>
      <w:r w:rsidR="007B1FA3" w:rsidRPr="006E143C">
        <w:rPr>
          <w:rFonts w:asciiTheme="minorHAnsi" w:hAnsiTheme="minorHAnsi" w:cstheme="minorHAnsi"/>
        </w:rPr>
        <w:t>i.e</w:t>
      </w:r>
      <w:r w:rsidR="007B1FA3" w:rsidRPr="007B1FA3">
        <w:rPr>
          <w:rFonts w:asciiTheme="minorHAnsi" w:hAnsiTheme="minorHAnsi" w:cstheme="minorHAnsi"/>
          <w:i/>
          <w:iCs/>
        </w:rPr>
        <w:t>., the probabilistic nature of the model and the distributions for the various parameters), the need to evaluate the underlying sources of data, and the winnowing of the listed species to a subset of birds and mammals believed to consume seeds, EPA will need time to go through the model and its assumptions. Until EPA has fully evaluate</w:t>
      </w:r>
      <w:r w:rsidR="007F0163">
        <w:rPr>
          <w:rFonts w:asciiTheme="minorHAnsi" w:hAnsiTheme="minorHAnsi" w:cstheme="minorHAnsi"/>
          <w:i/>
          <w:iCs/>
        </w:rPr>
        <w:t>d</w:t>
      </w:r>
      <w:r w:rsidR="007B1FA3" w:rsidRPr="007B1FA3">
        <w:rPr>
          <w:rFonts w:asciiTheme="minorHAnsi" w:hAnsiTheme="minorHAnsi" w:cstheme="minorHAnsi"/>
          <w:i/>
          <w:iCs/>
        </w:rPr>
        <w:t xml:space="preserve"> the model and discuss</w:t>
      </w:r>
      <w:r w:rsidR="007F0163">
        <w:rPr>
          <w:rFonts w:asciiTheme="minorHAnsi" w:hAnsiTheme="minorHAnsi" w:cstheme="minorHAnsi"/>
          <w:i/>
          <w:iCs/>
        </w:rPr>
        <w:t>ed</w:t>
      </w:r>
      <w:r w:rsidR="007B1FA3" w:rsidRPr="007B1FA3">
        <w:rPr>
          <w:rFonts w:asciiTheme="minorHAnsi" w:hAnsiTheme="minorHAnsi" w:cstheme="minorHAnsi"/>
          <w:i/>
          <w:iCs/>
        </w:rPr>
        <w:t xml:space="preserve"> its use with the Services, particularly the limited number of species assumed to consume seeds, the current methods employed in the BEs will be used to evaluate </w:t>
      </w:r>
      <w:r w:rsidR="003D551C">
        <w:rPr>
          <w:rFonts w:asciiTheme="minorHAnsi" w:hAnsiTheme="minorHAnsi" w:cstheme="minorHAnsi"/>
          <w:i/>
          <w:iCs/>
        </w:rPr>
        <w:t>potential effects</w:t>
      </w:r>
      <w:r w:rsidR="003D551C" w:rsidRPr="007B1FA3">
        <w:rPr>
          <w:rFonts w:asciiTheme="minorHAnsi" w:hAnsiTheme="minorHAnsi" w:cstheme="minorHAnsi"/>
          <w:i/>
          <w:iCs/>
        </w:rPr>
        <w:t xml:space="preserve"> </w:t>
      </w:r>
      <w:r w:rsidR="007B1FA3" w:rsidRPr="007B1FA3">
        <w:rPr>
          <w:rFonts w:asciiTheme="minorHAnsi" w:hAnsiTheme="minorHAnsi" w:cstheme="minorHAnsi"/>
          <w:i/>
          <w:iCs/>
        </w:rPr>
        <w:t xml:space="preserve">to </w:t>
      </w:r>
      <w:r w:rsidR="003D551C">
        <w:rPr>
          <w:rFonts w:asciiTheme="minorHAnsi" w:hAnsiTheme="minorHAnsi" w:cstheme="minorHAnsi"/>
          <w:i/>
          <w:iCs/>
        </w:rPr>
        <w:t xml:space="preserve">listed granivorous and omnivorous </w:t>
      </w:r>
      <w:r w:rsidR="007B1FA3" w:rsidRPr="007B1FA3">
        <w:rPr>
          <w:rFonts w:asciiTheme="minorHAnsi" w:hAnsiTheme="minorHAnsi" w:cstheme="minorHAnsi"/>
          <w:i/>
          <w:iCs/>
        </w:rPr>
        <w:t>birds and mammals</w:t>
      </w:r>
      <w:r w:rsidR="001D5F74">
        <w:rPr>
          <w:rFonts w:asciiTheme="minorHAnsi" w:hAnsiTheme="minorHAnsi" w:cstheme="minorHAnsi"/>
          <w:i/>
          <w:iCs/>
        </w:rPr>
        <w:t>, as relevant, during consultation with the Services.</w:t>
      </w:r>
    </w:p>
    <w:p w14:paraId="5EE508F9" w14:textId="77777777" w:rsidR="00D7638E" w:rsidRPr="00404E6E" w:rsidRDefault="00D7638E" w:rsidP="005859DB">
      <w:pPr>
        <w:rPr>
          <w:rFonts w:asciiTheme="minorHAnsi" w:hAnsiTheme="minorHAnsi" w:cstheme="minorHAnsi"/>
          <w:i/>
          <w:iCs/>
        </w:rPr>
      </w:pPr>
    </w:p>
    <w:p w14:paraId="64D32CC2" w14:textId="12F433A8" w:rsidR="005770A2" w:rsidRDefault="005770A2" w:rsidP="005859DB">
      <w:pPr>
        <w:rPr>
          <w:rFonts w:asciiTheme="minorHAnsi" w:hAnsiTheme="minorHAnsi" w:cstheme="minorHAnsi"/>
          <w:bCs/>
        </w:rPr>
      </w:pPr>
      <w:r w:rsidRPr="00404E6E">
        <w:rPr>
          <w:rFonts w:asciiTheme="minorHAnsi" w:hAnsiTheme="minorHAnsi" w:cstheme="minorHAnsi"/>
          <w:b/>
        </w:rPr>
        <w:t>Comment:</w:t>
      </w:r>
      <w:r w:rsidRPr="00404E6E">
        <w:rPr>
          <w:rFonts w:asciiTheme="minorHAnsi" w:hAnsiTheme="minorHAnsi" w:cstheme="minorHAnsi"/>
          <w:bCs/>
        </w:rPr>
        <w:t xml:space="preserve"> While the EPA has made some effort to assess the exposure to non-target wildlife through neonic-treated seeds, the agency’s methods ultimately fail to adequately assess the impacts to listed species and must be remedied in the final BEs. Many studies in</w:t>
      </w:r>
      <w:r w:rsidRPr="005770A2">
        <w:rPr>
          <w:rFonts w:asciiTheme="minorHAnsi" w:hAnsiTheme="minorHAnsi" w:cstheme="minorHAnsi"/>
          <w:bCs/>
        </w:rPr>
        <w:t xml:space="preserve"> the literature identify seed</w:t>
      </w:r>
      <w:r>
        <w:rPr>
          <w:rFonts w:asciiTheme="minorHAnsi" w:hAnsiTheme="minorHAnsi" w:cstheme="minorHAnsi"/>
          <w:bCs/>
        </w:rPr>
        <w:t xml:space="preserve"> </w:t>
      </w:r>
      <w:r w:rsidRPr="005770A2">
        <w:rPr>
          <w:rFonts w:asciiTheme="minorHAnsi" w:hAnsiTheme="minorHAnsi" w:cstheme="minorHAnsi"/>
          <w:bCs/>
        </w:rPr>
        <w:t>treatments as one of the most consequential methods for exposure to wildlife</w:t>
      </w:r>
      <w:r>
        <w:rPr>
          <w:rFonts w:asciiTheme="minorHAnsi" w:hAnsiTheme="minorHAnsi" w:cstheme="minorHAnsi"/>
          <w:bCs/>
        </w:rPr>
        <w:t xml:space="preserve">. </w:t>
      </w:r>
      <w:r w:rsidRPr="005770A2">
        <w:rPr>
          <w:rFonts w:asciiTheme="minorHAnsi" w:hAnsiTheme="minorHAnsi" w:cstheme="minorHAnsi"/>
          <w:bCs/>
        </w:rPr>
        <w:t>Much of this likely has to do with abraded seed dust and the timing of application, which often happens much earlier than foliar spraying.</w:t>
      </w:r>
      <w:r>
        <w:rPr>
          <w:rFonts w:asciiTheme="minorHAnsi" w:hAnsiTheme="minorHAnsi" w:cstheme="minorHAnsi"/>
          <w:bCs/>
        </w:rPr>
        <w:t xml:space="preserve"> </w:t>
      </w:r>
      <w:r w:rsidRPr="005770A2">
        <w:rPr>
          <w:rFonts w:asciiTheme="minorHAnsi" w:hAnsiTheme="minorHAnsi" w:cstheme="minorHAnsi"/>
          <w:bCs/>
        </w:rPr>
        <w:t>The ESA does not allow for significant impacts to be waved away with promises of voluntary measures or technology certain to solve problems</w:t>
      </w:r>
      <w:r w:rsidR="00530292">
        <w:rPr>
          <w:rFonts w:asciiTheme="minorHAnsi" w:hAnsiTheme="minorHAnsi" w:cstheme="minorHAnsi"/>
          <w:bCs/>
        </w:rPr>
        <w:t>. T</w:t>
      </w:r>
      <w:r w:rsidRPr="005770A2">
        <w:rPr>
          <w:rFonts w:asciiTheme="minorHAnsi" w:hAnsiTheme="minorHAnsi" w:cstheme="minorHAnsi"/>
          <w:bCs/>
        </w:rPr>
        <w:t>he ESA demands that the EPA look at the effects of its action in registering and reregistering these neonicotinoids and all their uses, including the impacts of abraded seed dust that occur as a result of EPA’s action.</w:t>
      </w:r>
    </w:p>
    <w:p w14:paraId="136C9C5E" w14:textId="48B76C68" w:rsidR="005770A2" w:rsidRDefault="005770A2" w:rsidP="005859DB">
      <w:pPr>
        <w:rPr>
          <w:rFonts w:asciiTheme="minorHAnsi" w:hAnsiTheme="minorHAnsi" w:cstheme="minorHAnsi"/>
          <w:bCs/>
        </w:rPr>
      </w:pPr>
    </w:p>
    <w:p w14:paraId="3FC6BCB4" w14:textId="329B7BFF" w:rsidR="005770A2" w:rsidRPr="00CE4339" w:rsidRDefault="005770A2" w:rsidP="005859DB">
      <w:pPr>
        <w:rPr>
          <w:rFonts w:asciiTheme="minorHAnsi" w:hAnsiTheme="minorHAnsi" w:cstheme="minorHAnsi"/>
        </w:rPr>
      </w:pPr>
      <w:r w:rsidRPr="0050044C">
        <w:rPr>
          <w:rFonts w:asciiTheme="minorHAnsi" w:hAnsiTheme="minorHAnsi" w:cstheme="minorHAnsi"/>
          <w:b/>
          <w:bCs/>
        </w:rPr>
        <w:t>EPA Response:</w:t>
      </w:r>
      <w:r w:rsidR="00CE4339">
        <w:rPr>
          <w:rFonts w:asciiTheme="minorHAnsi" w:hAnsiTheme="minorHAnsi" w:cstheme="minorHAnsi"/>
          <w:b/>
          <w:bCs/>
        </w:rPr>
        <w:t xml:space="preserve"> </w:t>
      </w:r>
      <w:r w:rsidR="00CE4339">
        <w:rPr>
          <w:rFonts w:asciiTheme="minorHAnsi" w:hAnsiTheme="minorHAnsi" w:cstheme="minorHAnsi"/>
          <w:i/>
          <w:iCs/>
        </w:rPr>
        <w:t>E</w:t>
      </w:r>
      <w:r w:rsidR="00CE4339" w:rsidRPr="00CE4339">
        <w:rPr>
          <w:rFonts w:asciiTheme="minorHAnsi" w:hAnsiTheme="minorHAnsi" w:cstheme="minorHAnsi"/>
          <w:i/>
          <w:iCs/>
        </w:rPr>
        <w:t>xposure</w:t>
      </w:r>
      <w:r w:rsidR="00CE4339">
        <w:rPr>
          <w:rFonts w:asciiTheme="minorHAnsi" w:hAnsiTheme="minorHAnsi" w:cstheme="minorHAnsi"/>
          <w:i/>
          <w:iCs/>
        </w:rPr>
        <w:t xml:space="preserve"> </w:t>
      </w:r>
      <w:r w:rsidR="00CE4339" w:rsidRPr="00CE4339">
        <w:rPr>
          <w:rFonts w:asciiTheme="minorHAnsi" w:hAnsiTheme="minorHAnsi" w:cstheme="minorHAnsi"/>
          <w:i/>
          <w:iCs/>
        </w:rPr>
        <w:t xml:space="preserve">from </w:t>
      </w:r>
      <w:r w:rsidR="00CE4339">
        <w:rPr>
          <w:rFonts w:asciiTheme="minorHAnsi" w:hAnsiTheme="minorHAnsi" w:cstheme="minorHAnsi"/>
          <w:i/>
          <w:iCs/>
        </w:rPr>
        <w:t xml:space="preserve">abraded seed dust from </w:t>
      </w:r>
      <w:r w:rsidR="00CE4339" w:rsidRPr="00CE4339">
        <w:rPr>
          <w:rFonts w:asciiTheme="minorHAnsi" w:hAnsiTheme="minorHAnsi" w:cstheme="minorHAnsi"/>
          <w:i/>
          <w:iCs/>
        </w:rPr>
        <w:t>pesticide-treated seeds</w:t>
      </w:r>
      <w:r w:rsidR="00CE4339">
        <w:rPr>
          <w:rFonts w:asciiTheme="minorHAnsi" w:hAnsiTheme="minorHAnsi" w:cstheme="minorHAnsi"/>
          <w:i/>
          <w:iCs/>
        </w:rPr>
        <w:t xml:space="preserve"> is considered as part of exposure estimates for </w:t>
      </w:r>
      <w:r w:rsidR="00CD3465">
        <w:rPr>
          <w:rFonts w:asciiTheme="minorHAnsi" w:hAnsiTheme="minorHAnsi" w:cstheme="minorHAnsi"/>
          <w:i/>
          <w:iCs/>
        </w:rPr>
        <w:t>seed treatments. T</w:t>
      </w:r>
      <w:r w:rsidR="00CE4339" w:rsidRPr="00CE4339">
        <w:rPr>
          <w:rFonts w:asciiTheme="minorHAnsi" w:hAnsiTheme="minorHAnsi" w:cstheme="minorHAnsi"/>
          <w:i/>
          <w:iCs/>
        </w:rPr>
        <w:t xml:space="preserve">he “linearly increasing with depth” (Δ) option in PWC </w:t>
      </w:r>
      <w:r w:rsidR="00CD3465">
        <w:rPr>
          <w:rFonts w:asciiTheme="minorHAnsi" w:hAnsiTheme="minorHAnsi" w:cstheme="minorHAnsi"/>
          <w:i/>
          <w:iCs/>
        </w:rPr>
        <w:t>v</w:t>
      </w:r>
      <w:r w:rsidR="00CE4339" w:rsidRPr="00CE4339">
        <w:rPr>
          <w:rFonts w:asciiTheme="minorHAnsi" w:hAnsiTheme="minorHAnsi" w:cstheme="minorHAnsi"/>
          <w:i/>
          <w:iCs/>
        </w:rPr>
        <w:t>2</w:t>
      </w:r>
      <w:r w:rsidR="00404E6E">
        <w:rPr>
          <w:rFonts w:asciiTheme="minorHAnsi" w:hAnsiTheme="minorHAnsi" w:cstheme="minorHAnsi"/>
          <w:i/>
          <w:iCs/>
        </w:rPr>
        <w:t>.0</w:t>
      </w:r>
      <w:r w:rsidR="00CE4339" w:rsidRPr="00CE4339">
        <w:rPr>
          <w:rFonts w:asciiTheme="minorHAnsi" w:hAnsiTheme="minorHAnsi" w:cstheme="minorHAnsi"/>
          <w:i/>
          <w:iCs/>
        </w:rPr>
        <w:t xml:space="preserve"> </w:t>
      </w:r>
      <w:r w:rsidR="00CD3465">
        <w:rPr>
          <w:rFonts w:asciiTheme="minorHAnsi" w:hAnsiTheme="minorHAnsi" w:cstheme="minorHAnsi"/>
          <w:i/>
          <w:iCs/>
        </w:rPr>
        <w:t>is used to represent the potential distribution of treated seeds and seed dust in the soil profile</w:t>
      </w:r>
      <w:r w:rsidR="00CE4339" w:rsidRPr="00CE4339">
        <w:rPr>
          <w:rFonts w:asciiTheme="minorHAnsi" w:hAnsiTheme="minorHAnsi" w:cstheme="minorHAnsi"/>
          <w:i/>
          <w:iCs/>
        </w:rPr>
        <w:t>. The method provide</w:t>
      </w:r>
      <w:r w:rsidR="00CD3465">
        <w:rPr>
          <w:rFonts w:asciiTheme="minorHAnsi" w:hAnsiTheme="minorHAnsi" w:cstheme="minorHAnsi"/>
          <w:i/>
          <w:iCs/>
        </w:rPr>
        <w:t>s</w:t>
      </w:r>
      <w:r w:rsidR="00CE4339" w:rsidRPr="00CE4339">
        <w:rPr>
          <w:rFonts w:asciiTheme="minorHAnsi" w:hAnsiTheme="minorHAnsi" w:cstheme="minorHAnsi"/>
          <w:i/>
          <w:iCs/>
        </w:rPr>
        <w:t xml:space="preserve"> a reasonably conservative estimation of potential pesticide exposure that account</w:t>
      </w:r>
      <w:r w:rsidR="00CD3465">
        <w:rPr>
          <w:rFonts w:asciiTheme="minorHAnsi" w:hAnsiTheme="minorHAnsi" w:cstheme="minorHAnsi"/>
          <w:i/>
          <w:iCs/>
        </w:rPr>
        <w:t>s</w:t>
      </w:r>
      <w:r w:rsidR="00CE4339" w:rsidRPr="00CE4339">
        <w:rPr>
          <w:rFonts w:asciiTheme="minorHAnsi" w:hAnsiTheme="minorHAnsi" w:cstheme="minorHAnsi"/>
          <w:i/>
          <w:iCs/>
        </w:rPr>
        <w:t xml:space="preserve"> for residues on seeds that are placed at depths and at depths less than specified</w:t>
      </w:r>
      <w:r w:rsidR="004C6D5D">
        <w:rPr>
          <w:rFonts w:asciiTheme="minorHAnsi" w:hAnsiTheme="minorHAnsi" w:cstheme="minorHAnsi"/>
          <w:i/>
          <w:iCs/>
        </w:rPr>
        <w:t>, and also assumes</w:t>
      </w:r>
      <w:r w:rsidR="00CD3465">
        <w:rPr>
          <w:rFonts w:asciiTheme="minorHAnsi" w:hAnsiTheme="minorHAnsi" w:cstheme="minorHAnsi"/>
          <w:i/>
          <w:iCs/>
        </w:rPr>
        <w:t xml:space="preserve"> abraded seed dust will be deposited on the soil surface. </w:t>
      </w:r>
      <w:r w:rsidR="004C6D5D">
        <w:rPr>
          <w:rFonts w:asciiTheme="minorHAnsi" w:hAnsiTheme="minorHAnsi" w:cstheme="minorHAnsi"/>
          <w:i/>
          <w:iCs/>
        </w:rPr>
        <w:t>W</w:t>
      </w:r>
      <w:r w:rsidR="00CE4339" w:rsidRPr="00CE4339">
        <w:rPr>
          <w:rFonts w:asciiTheme="minorHAnsi" w:hAnsiTheme="minorHAnsi" w:cstheme="minorHAnsi"/>
          <w:i/>
          <w:iCs/>
        </w:rPr>
        <w:t>eather conditions, type of seeding equipment and typical operation of seeding equipment, soil type, roughness of the soil surface, and incomplete incorporation result in unequal seeding depth and potentially higher exposure than if the pesticide were entirely applied at the specified depth.</w:t>
      </w:r>
    </w:p>
    <w:p w14:paraId="4E7731DF" w14:textId="77777777" w:rsidR="005770A2" w:rsidRDefault="005770A2" w:rsidP="005859DB">
      <w:pPr>
        <w:rPr>
          <w:rFonts w:asciiTheme="minorHAnsi" w:hAnsiTheme="minorHAnsi" w:cstheme="minorHAnsi"/>
          <w:b/>
        </w:rPr>
      </w:pPr>
    </w:p>
    <w:p w14:paraId="523E2EBB" w14:textId="5516C011" w:rsidR="000A6B0E" w:rsidRDefault="000A6B0E" w:rsidP="005859DB">
      <w:pPr>
        <w:rPr>
          <w:rFonts w:asciiTheme="minorHAnsi" w:hAnsiTheme="minorHAnsi" w:cstheme="minorHAnsi"/>
          <w:bCs/>
        </w:rPr>
      </w:pPr>
      <w:r w:rsidRPr="0050044C">
        <w:rPr>
          <w:rFonts w:asciiTheme="minorHAnsi" w:hAnsiTheme="minorHAnsi" w:cstheme="minorHAnsi"/>
          <w:b/>
        </w:rPr>
        <w:t>Comment:</w:t>
      </w:r>
      <w:r w:rsidRPr="0050044C">
        <w:rPr>
          <w:rFonts w:asciiTheme="minorHAnsi" w:hAnsiTheme="minorHAnsi" w:cstheme="minorHAnsi"/>
          <w:bCs/>
        </w:rPr>
        <w:t xml:space="preserve"> The National Agricultural Aviation Association (NAAA) commented that the Tier 1 model in AgDRIFT and associated assumptions should not be used to assess the risk of drift from aerial applications of atrazine or other pesticides. NAAA provided details and proposed the use of the Tier 3 AgDRIFT model.</w:t>
      </w:r>
    </w:p>
    <w:p w14:paraId="77D2131F" w14:textId="77777777" w:rsidR="00461561" w:rsidRPr="0050044C" w:rsidRDefault="00461561" w:rsidP="005859DB">
      <w:pPr>
        <w:rPr>
          <w:rFonts w:asciiTheme="minorHAnsi" w:hAnsiTheme="minorHAnsi" w:cstheme="minorHAnsi"/>
          <w:bCs/>
        </w:rPr>
      </w:pPr>
    </w:p>
    <w:p w14:paraId="36938C68" w14:textId="7CDE807D" w:rsidR="000A6B0E" w:rsidRPr="0050044C" w:rsidRDefault="000A6B0E" w:rsidP="005859DB">
      <w:pPr>
        <w:rPr>
          <w:rFonts w:asciiTheme="minorHAnsi" w:hAnsiTheme="minorHAnsi"/>
          <w:b/>
        </w:rPr>
      </w:pPr>
      <w:r w:rsidRPr="1F4498ED">
        <w:rPr>
          <w:rFonts w:asciiTheme="minorHAnsi" w:hAnsiTheme="minorHAnsi"/>
          <w:b/>
        </w:rPr>
        <w:t xml:space="preserve">EPA Response: </w:t>
      </w:r>
      <w:r w:rsidRPr="1F4498ED">
        <w:rPr>
          <w:rFonts w:asciiTheme="minorHAnsi" w:hAnsiTheme="minorHAnsi"/>
          <w:i/>
        </w:rPr>
        <w:t xml:space="preserve">AgDRIFT is the currently approved model for evaluating potential spray drift from a pesticide application. The agency appreciates the additional suggestions provided by NAAA for revising the AgDRIFT modeling inputs and continues to work with industry to update and improve modeling methods to better reflect </w:t>
      </w:r>
      <w:r w:rsidR="00C53EC7" w:rsidRPr="1F4498ED">
        <w:rPr>
          <w:rFonts w:asciiTheme="minorHAnsi" w:hAnsiTheme="minorHAnsi"/>
          <w:i/>
        </w:rPr>
        <w:t xml:space="preserve">common </w:t>
      </w:r>
      <w:r w:rsidRPr="1F4498ED">
        <w:rPr>
          <w:rFonts w:asciiTheme="minorHAnsi" w:hAnsiTheme="minorHAnsi"/>
          <w:i/>
        </w:rPr>
        <w:t>application practices. At the recent December 2020 Center of Excellence in Regulatory Science in Agriculture (CERSA) workshop, EPA, NAAA, and other stakeholders discussed these potential refinements for AgDRIFT modeling. EPA is currently reviewing these suggestions and will consider</w:t>
      </w:r>
      <w:r w:rsidR="00D163C2">
        <w:rPr>
          <w:rFonts w:asciiTheme="minorHAnsi" w:hAnsiTheme="minorHAnsi"/>
          <w:i/>
        </w:rPr>
        <w:t>, as needed,</w:t>
      </w:r>
      <w:r w:rsidRPr="1F4498ED">
        <w:rPr>
          <w:rFonts w:asciiTheme="minorHAnsi" w:hAnsiTheme="minorHAnsi"/>
          <w:i/>
        </w:rPr>
        <w:t xml:space="preserve"> whether they are appropriate for future </w:t>
      </w:r>
      <w:r w:rsidR="00517276" w:rsidRPr="1F4498ED">
        <w:rPr>
          <w:rFonts w:asciiTheme="minorHAnsi" w:hAnsiTheme="minorHAnsi"/>
          <w:i/>
        </w:rPr>
        <w:t>actions</w:t>
      </w:r>
      <w:r w:rsidRPr="1F4498ED">
        <w:rPr>
          <w:rFonts w:asciiTheme="minorHAnsi" w:hAnsiTheme="minorHAnsi"/>
          <w:i/>
        </w:rPr>
        <w:t>. It is important to note that modeling for a national-level assessment is first conducted using maximum application rates, limitations, and instructions listed on pesticide labels</w:t>
      </w:r>
      <w:r w:rsidR="00012027" w:rsidRPr="1F4498ED">
        <w:rPr>
          <w:rFonts w:asciiTheme="minorHAnsi" w:hAnsiTheme="minorHAnsi"/>
          <w:i/>
        </w:rPr>
        <w:t xml:space="preserve"> and is further refined as the analysis </w:t>
      </w:r>
      <w:r w:rsidR="00012027" w:rsidRPr="1F4498ED">
        <w:rPr>
          <w:rFonts w:asciiTheme="minorHAnsi" w:hAnsiTheme="minorHAnsi"/>
          <w:i/>
        </w:rPr>
        <w:lastRenderedPageBreak/>
        <w:t>progresses with any reliable usage data that may inform on the most common application methods and/or typical application rates</w:t>
      </w:r>
      <w:r w:rsidRPr="1F4498ED">
        <w:rPr>
          <w:rFonts w:asciiTheme="minorHAnsi" w:hAnsiTheme="minorHAnsi"/>
          <w:i/>
        </w:rPr>
        <w:t>. In the absence of specific use directions and application restrictions implemented across all product labels, default assumptions (based on empirical data) are used.</w:t>
      </w:r>
    </w:p>
    <w:p w14:paraId="78BCED09" w14:textId="77777777" w:rsidR="00461561" w:rsidRDefault="00461561" w:rsidP="005859DB">
      <w:pPr>
        <w:rPr>
          <w:rFonts w:asciiTheme="minorHAnsi" w:hAnsiTheme="minorHAnsi" w:cstheme="minorHAnsi"/>
          <w:b/>
          <w:bCs/>
        </w:rPr>
      </w:pPr>
      <w:bookmarkStart w:id="43" w:name="_Hlk86052424"/>
    </w:p>
    <w:p w14:paraId="35132918" w14:textId="688054F4" w:rsidR="005A76CA" w:rsidRPr="0050044C" w:rsidRDefault="000A6B0E" w:rsidP="005859DB">
      <w:pPr>
        <w:rPr>
          <w:rFonts w:asciiTheme="minorHAnsi" w:hAnsiTheme="minorHAnsi" w:cstheme="minorHAnsi"/>
        </w:rPr>
      </w:pPr>
      <w:r w:rsidRPr="0050044C">
        <w:rPr>
          <w:rFonts w:asciiTheme="minorHAnsi" w:hAnsiTheme="minorHAnsi" w:cstheme="minorHAnsi"/>
          <w:b/>
          <w:bCs/>
        </w:rPr>
        <w:t xml:space="preserve">Comment: </w:t>
      </w:r>
      <w:r w:rsidRPr="0050044C">
        <w:rPr>
          <w:rFonts w:asciiTheme="minorHAnsi" w:hAnsiTheme="minorHAnsi" w:cstheme="minorHAnsi"/>
        </w:rPr>
        <w:t xml:space="preserve">EPA should use the most up-to-date, best scientific and commercial data available for listed species ranges, including using data from NatureServe for species attribute data. Species attribute data should be used to better inform where the species might be in relation to use sites and </w:t>
      </w:r>
      <w:r w:rsidR="00D3593E">
        <w:rPr>
          <w:rFonts w:asciiTheme="minorHAnsi" w:hAnsiTheme="minorHAnsi" w:cstheme="minorHAnsi"/>
        </w:rPr>
        <w:t xml:space="preserve">describe more </w:t>
      </w:r>
      <w:r w:rsidRPr="0050044C">
        <w:rPr>
          <w:rFonts w:asciiTheme="minorHAnsi" w:hAnsiTheme="minorHAnsi" w:cstheme="minorHAnsi"/>
        </w:rPr>
        <w:t xml:space="preserve">precise species ranges limited to habitat factors. </w:t>
      </w:r>
    </w:p>
    <w:p w14:paraId="2B7B5677" w14:textId="77777777" w:rsidR="00461561" w:rsidRDefault="00461561" w:rsidP="005859DB">
      <w:pPr>
        <w:rPr>
          <w:rFonts w:asciiTheme="minorHAnsi" w:hAnsiTheme="minorHAnsi" w:cstheme="minorHAnsi"/>
          <w:b/>
          <w:bCs/>
        </w:rPr>
      </w:pPr>
    </w:p>
    <w:p w14:paraId="69A09F00" w14:textId="2B0BA744" w:rsidR="000A6B0E" w:rsidRDefault="000A6B0E" w:rsidP="005859DB">
      <w:pPr>
        <w:rPr>
          <w:rFonts w:asciiTheme="minorHAnsi" w:hAnsiTheme="minorHAnsi"/>
          <w:i/>
        </w:rPr>
      </w:pPr>
      <w:r w:rsidRPr="08738D5D">
        <w:rPr>
          <w:rFonts w:asciiTheme="minorHAnsi" w:hAnsiTheme="minorHAnsi"/>
          <w:b/>
        </w:rPr>
        <w:t>EPA Response:</w:t>
      </w:r>
      <w:r w:rsidRPr="08738D5D">
        <w:rPr>
          <w:rFonts w:asciiTheme="minorHAnsi" w:hAnsiTheme="minorHAnsi"/>
          <w:b/>
          <w:i/>
        </w:rPr>
        <w:t xml:space="preserve"> </w:t>
      </w:r>
      <w:r w:rsidRPr="08738D5D">
        <w:rPr>
          <w:rFonts w:asciiTheme="minorHAnsi" w:hAnsiTheme="minorHAnsi"/>
          <w:i/>
        </w:rPr>
        <w:t>EPA relies on the Services (who are the species experts) when identifying the species location data. Species location data for both the range and designated critical habitats are managed by the Services and made publicly available on their websites. As species location information is updated</w:t>
      </w:r>
      <w:r w:rsidR="00750FFB">
        <w:rPr>
          <w:rFonts w:asciiTheme="minorHAnsi" w:hAnsiTheme="minorHAnsi"/>
          <w:i/>
        </w:rPr>
        <w:t>,</w:t>
      </w:r>
      <w:r w:rsidRPr="08738D5D">
        <w:rPr>
          <w:rFonts w:asciiTheme="minorHAnsi" w:hAnsiTheme="minorHAnsi"/>
          <w:i/>
        </w:rPr>
        <w:t xml:space="preserve"> </w:t>
      </w:r>
      <w:r w:rsidR="00750FFB">
        <w:rPr>
          <w:rFonts w:asciiTheme="minorHAnsi" w:hAnsiTheme="minorHAnsi"/>
          <w:i/>
        </w:rPr>
        <w:t xml:space="preserve">refined, or </w:t>
      </w:r>
      <w:r w:rsidR="00750FFB" w:rsidRPr="1F4498ED">
        <w:rPr>
          <w:rFonts w:asciiTheme="minorHAnsi" w:hAnsiTheme="minorHAnsi"/>
          <w:i/>
          <w:iCs/>
        </w:rPr>
        <w:t>secondary</w:t>
      </w:r>
      <w:r w:rsidR="00750FFB">
        <w:rPr>
          <w:rFonts w:asciiTheme="minorHAnsi" w:hAnsiTheme="minorHAnsi"/>
          <w:i/>
        </w:rPr>
        <w:t xml:space="preserve"> source </w:t>
      </w:r>
      <w:r w:rsidR="000C7AC2">
        <w:rPr>
          <w:rFonts w:asciiTheme="minorHAnsi" w:hAnsiTheme="minorHAnsi"/>
          <w:i/>
        </w:rPr>
        <w:t xml:space="preserve">is </w:t>
      </w:r>
      <w:r w:rsidR="00750FFB">
        <w:rPr>
          <w:rFonts w:asciiTheme="minorHAnsi" w:hAnsiTheme="minorHAnsi"/>
          <w:i/>
        </w:rPr>
        <w:t xml:space="preserve">identified </w:t>
      </w:r>
      <w:r w:rsidR="00615815">
        <w:rPr>
          <w:rFonts w:asciiTheme="minorHAnsi" w:hAnsiTheme="minorHAnsi"/>
          <w:i/>
        </w:rPr>
        <w:t>for a species</w:t>
      </w:r>
      <w:r w:rsidR="00750FFB">
        <w:rPr>
          <w:rFonts w:asciiTheme="minorHAnsi" w:hAnsiTheme="minorHAnsi"/>
          <w:i/>
        </w:rPr>
        <w:t xml:space="preserve"> by </w:t>
      </w:r>
      <w:r w:rsidR="000C7AC2">
        <w:rPr>
          <w:rFonts w:asciiTheme="minorHAnsi" w:hAnsiTheme="minorHAnsi"/>
          <w:i/>
        </w:rPr>
        <w:t>a</w:t>
      </w:r>
      <w:r w:rsidR="00750FFB">
        <w:rPr>
          <w:rFonts w:asciiTheme="minorHAnsi" w:hAnsiTheme="minorHAnsi"/>
          <w:i/>
        </w:rPr>
        <w:t xml:space="preserve"> Service</w:t>
      </w:r>
      <w:r w:rsidR="00615815">
        <w:rPr>
          <w:rFonts w:asciiTheme="minorHAnsi" w:hAnsiTheme="minorHAnsi"/>
          <w:i/>
        </w:rPr>
        <w:t>,</w:t>
      </w:r>
      <w:r w:rsidRPr="08738D5D">
        <w:rPr>
          <w:rFonts w:asciiTheme="minorHAnsi" w:hAnsiTheme="minorHAnsi"/>
          <w:i/>
        </w:rPr>
        <w:t xml:space="preserve"> it will be incorporated into the BE process</w:t>
      </w:r>
      <w:r w:rsidRPr="08738D5D">
        <w:rPr>
          <w:rFonts w:asciiTheme="minorHAnsi" w:hAnsiTheme="minorHAnsi"/>
          <w:i/>
          <w:iCs/>
        </w:rPr>
        <w:t>. Th</w:t>
      </w:r>
      <w:r w:rsidR="007F0D66">
        <w:rPr>
          <w:rFonts w:asciiTheme="minorHAnsi" w:hAnsiTheme="minorHAnsi"/>
          <w:i/>
          <w:iCs/>
        </w:rPr>
        <w:t>ese</w:t>
      </w:r>
      <w:r w:rsidRPr="08738D5D">
        <w:rPr>
          <w:rFonts w:asciiTheme="minorHAnsi" w:hAnsiTheme="minorHAnsi"/>
          <w:i/>
          <w:iCs/>
        </w:rPr>
        <w:t xml:space="preserve"> data </w:t>
      </w:r>
      <w:r w:rsidR="007F0D66">
        <w:rPr>
          <w:rFonts w:asciiTheme="minorHAnsi" w:hAnsiTheme="minorHAnsi"/>
          <w:i/>
          <w:iCs/>
        </w:rPr>
        <w:t>are</w:t>
      </w:r>
      <w:r w:rsidRPr="08738D5D">
        <w:rPr>
          <w:rFonts w:asciiTheme="minorHAnsi" w:hAnsiTheme="minorHAnsi"/>
          <w:i/>
          <w:iCs/>
        </w:rPr>
        <w:t xml:space="preserve"> updated routinely for use in the BE. </w:t>
      </w:r>
      <w:r w:rsidR="00731322">
        <w:rPr>
          <w:rFonts w:asciiTheme="minorHAnsi" w:hAnsiTheme="minorHAnsi"/>
          <w:i/>
          <w:iCs/>
        </w:rPr>
        <w:t>EPA will work with the Services during consultation to identify whether other information is available to refine the species</w:t>
      </w:r>
      <w:r w:rsidR="007619E5">
        <w:rPr>
          <w:rFonts w:asciiTheme="minorHAnsi" w:hAnsiTheme="minorHAnsi"/>
          <w:i/>
          <w:iCs/>
        </w:rPr>
        <w:t>’</w:t>
      </w:r>
      <w:r w:rsidR="00731322">
        <w:rPr>
          <w:rFonts w:asciiTheme="minorHAnsi" w:hAnsiTheme="minorHAnsi"/>
          <w:i/>
          <w:iCs/>
        </w:rPr>
        <w:t xml:space="preserve"> range</w:t>
      </w:r>
      <w:r w:rsidR="007619E5">
        <w:rPr>
          <w:rFonts w:asciiTheme="minorHAnsi" w:hAnsiTheme="minorHAnsi"/>
          <w:i/>
          <w:iCs/>
        </w:rPr>
        <w:t xml:space="preserve">s. </w:t>
      </w:r>
    </w:p>
    <w:p w14:paraId="63B53A57" w14:textId="4C6FC242" w:rsidR="005A76CA" w:rsidRDefault="005A76CA" w:rsidP="005859DB">
      <w:pPr>
        <w:rPr>
          <w:rFonts w:asciiTheme="minorHAnsi" w:hAnsiTheme="minorHAnsi" w:cstheme="minorHAnsi"/>
          <w:i/>
          <w:iCs/>
        </w:rPr>
      </w:pPr>
    </w:p>
    <w:p w14:paraId="6A76DF13" w14:textId="70148857" w:rsidR="005A76CA" w:rsidRDefault="005A76CA" w:rsidP="005859DB">
      <w:pPr>
        <w:rPr>
          <w:rFonts w:asciiTheme="minorHAnsi" w:hAnsiTheme="minorHAnsi"/>
        </w:rPr>
      </w:pPr>
      <w:r w:rsidRPr="09D83FAD">
        <w:rPr>
          <w:rFonts w:asciiTheme="minorHAnsi" w:hAnsiTheme="minorHAnsi"/>
          <w:b/>
        </w:rPr>
        <w:t>Comment:</w:t>
      </w:r>
      <w:r w:rsidRPr="09D83FAD">
        <w:rPr>
          <w:rFonts w:asciiTheme="minorHAnsi" w:hAnsiTheme="minorHAnsi"/>
        </w:rPr>
        <w:t xml:space="preserve"> In response to the EPA’s evaluation of the potential </w:t>
      </w:r>
      <w:r w:rsidR="00CA5E55">
        <w:rPr>
          <w:rFonts w:asciiTheme="minorHAnsi" w:hAnsiTheme="minorHAnsi"/>
        </w:rPr>
        <w:t>risk</w:t>
      </w:r>
      <w:r w:rsidR="00E74C11">
        <w:rPr>
          <w:rFonts w:asciiTheme="minorHAnsi" w:hAnsiTheme="minorHAnsi"/>
        </w:rPr>
        <w:t>s</w:t>
      </w:r>
      <w:r w:rsidR="00E74C11" w:rsidRPr="09D83FAD">
        <w:rPr>
          <w:rFonts w:asciiTheme="minorHAnsi" w:hAnsiTheme="minorHAnsi"/>
        </w:rPr>
        <w:t xml:space="preserve"> </w:t>
      </w:r>
      <w:r w:rsidRPr="09D83FAD">
        <w:rPr>
          <w:rFonts w:asciiTheme="minorHAnsi" w:hAnsiTheme="minorHAnsi"/>
        </w:rPr>
        <w:t>to listed species from exposure to neonicotinoid seed treatments, several commenters</w:t>
      </w:r>
      <w:r w:rsidRPr="09D83FAD">
        <w:rPr>
          <w:rStyle w:val="CommentReference"/>
          <w:rFonts w:asciiTheme="minorHAnsi" w:hAnsiTheme="minorHAnsi"/>
          <w:sz w:val="22"/>
          <w:szCs w:val="22"/>
        </w:rPr>
        <w:t xml:space="preserve"> hav</w:t>
      </w:r>
      <w:r w:rsidRPr="09D83FAD">
        <w:rPr>
          <w:rFonts w:asciiTheme="minorHAnsi" w:hAnsiTheme="minorHAnsi"/>
        </w:rPr>
        <w:t xml:space="preserve">e provided their own qualitative assessments of the likelihood that various listed species would be exposed via consumption </w:t>
      </w:r>
      <w:r w:rsidR="00D3593E">
        <w:rPr>
          <w:rFonts w:asciiTheme="minorHAnsi" w:hAnsiTheme="minorHAnsi"/>
        </w:rPr>
        <w:t xml:space="preserve">of </w:t>
      </w:r>
      <w:r w:rsidRPr="09D83FAD">
        <w:rPr>
          <w:rFonts w:asciiTheme="minorHAnsi" w:hAnsiTheme="minorHAnsi"/>
        </w:rPr>
        <w:t xml:space="preserve">neonicotinoid-treated seeds in agricultural fields. These assessments included specific life history information in a weight-of-evidence approach, including habitat use and diet, for over a dozen listed bird, reptile, and mammal species. </w:t>
      </w:r>
    </w:p>
    <w:p w14:paraId="6D58DD00" w14:textId="77777777" w:rsidR="005A76CA" w:rsidRDefault="005A76CA" w:rsidP="005859DB">
      <w:pPr>
        <w:rPr>
          <w:rFonts w:asciiTheme="minorHAnsi" w:hAnsiTheme="minorHAnsi"/>
        </w:rPr>
      </w:pPr>
    </w:p>
    <w:p w14:paraId="767C4AB2" w14:textId="007BDF42" w:rsidR="005A76CA" w:rsidRPr="00F26B35" w:rsidDel="004618E0" w:rsidRDefault="005A76CA" w:rsidP="005859DB">
      <w:pPr>
        <w:rPr>
          <w:rFonts w:asciiTheme="minorHAnsi" w:hAnsiTheme="minorHAnsi" w:cstheme="minorHAnsi"/>
        </w:rPr>
      </w:pPr>
      <w:r w:rsidRPr="09D83FAD">
        <w:rPr>
          <w:rFonts w:asciiTheme="minorHAnsi" w:hAnsiTheme="minorHAnsi"/>
          <w:b/>
        </w:rPr>
        <w:t>EPA Response:</w:t>
      </w:r>
      <w:r w:rsidR="001E1F48" w:rsidRPr="09D83FAD">
        <w:rPr>
          <w:rFonts w:asciiTheme="minorHAnsi" w:hAnsiTheme="minorHAnsi"/>
        </w:rPr>
        <w:t xml:space="preserve"> </w:t>
      </w:r>
      <w:r w:rsidR="001E1F48">
        <w:rPr>
          <w:rFonts w:asciiTheme="minorHAnsi" w:hAnsiTheme="minorHAnsi"/>
          <w:i/>
        </w:rPr>
        <w:t>EPA appreciates the commenter</w:t>
      </w:r>
      <w:r w:rsidR="001E1F48" w:rsidRPr="001E1F48">
        <w:rPr>
          <w:rFonts w:asciiTheme="minorHAnsi" w:hAnsiTheme="minorHAnsi"/>
          <w:i/>
        </w:rPr>
        <w:t xml:space="preserve">s’ submission of life history information for these listed species. EPA relies on the Services (who are the species experts) when identifying the species life history data. </w:t>
      </w:r>
      <w:r w:rsidR="0020241D" w:rsidRPr="00B4664D">
        <w:rPr>
          <w:rFonts w:asciiTheme="minorHAnsi" w:eastAsia="Calibri" w:hAnsiTheme="minorHAnsi"/>
          <w:bCs/>
          <w:i/>
        </w:rPr>
        <w:t>Much of this species-specific life history</w:t>
      </w:r>
      <w:r w:rsidR="0020241D">
        <w:rPr>
          <w:rFonts w:asciiTheme="minorHAnsi" w:eastAsia="Calibri" w:hAnsiTheme="minorHAnsi"/>
          <w:bCs/>
          <w:i/>
        </w:rPr>
        <w:t xml:space="preserve"> information is applicable when considering potential effects at the population level and</w:t>
      </w:r>
      <w:r w:rsidR="0020241D" w:rsidRPr="00B4664D">
        <w:rPr>
          <w:rFonts w:asciiTheme="minorHAnsi" w:eastAsia="Calibri" w:hAnsiTheme="minorHAnsi"/>
          <w:bCs/>
          <w:i/>
        </w:rPr>
        <w:t xml:space="preserve"> </w:t>
      </w:r>
      <w:r w:rsidR="0020241D">
        <w:rPr>
          <w:rFonts w:asciiTheme="minorHAnsi" w:eastAsia="Calibri" w:hAnsiTheme="minorHAnsi"/>
          <w:bCs/>
          <w:i/>
        </w:rPr>
        <w:t xml:space="preserve">will be taken into </w:t>
      </w:r>
      <w:r w:rsidR="0020241D" w:rsidRPr="00B4664D">
        <w:rPr>
          <w:rFonts w:asciiTheme="minorHAnsi" w:eastAsia="Calibri" w:hAnsiTheme="minorHAnsi"/>
          <w:bCs/>
          <w:i/>
        </w:rPr>
        <w:t xml:space="preserve">account </w:t>
      </w:r>
      <w:r w:rsidR="0020241D">
        <w:rPr>
          <w:rFonts w:asciiTheme="minorHAnsi" w:eastAsia="Calibri" w:hAnsiTheme="minorHAnsi"/>
          <w:bCs/>
          <w:i/>
        </w:rPr>
        <w:t>during the consultation with the Services</w:t>
      </w:r>
      <w:r w:rsidR="00B35FCC">
        <w:rPr>
          <w:rFonts w:asciiTheme="minorHAnsi" w:eastAsia="Calibri" w:hAnsiTheme="minorHAnsi"/>
          <w:bCs/>
          <w:i/>
        </w:rPr>
        <w:t>,</w:t>
      </w:r>
      <w:r w:rsidR="0020241D">
        <w:rPr>
          <w:rFonts w:asciiTheme="minorHAnsi" w:eastAsia="Calibri" w:hAnsiTheme="minorHAnsi"/>
          <w:bCs/>
          <w:i/>
        </w:rPr>
        <w:t xml:space="preserve"> as needed and relevant. </w:t>
      </w:r>
      <w:r w:rsidR="001E1F48" w:rsidRPr="001E1F48">
        <w:rPr>
          <w:rFonts w:asciiTheme="minorHAnsi" w:hAnsiTheme="minorHAnsi"/>
          <w:i/>
        </w:rPr>
        <w:t>Any corrections for species that have been presumed extinct (including the Eskimo curlew) and/or have highly restricted ranges will be addressed</w:t>
      </w:r>
      <w:r w:rsidR="00B35FCC">
        <w:rPr>
          <w:rFonts w:asciiTheme="minorHAnsi" w:hAnsiTheme="minorHAnsi"/>
          <w:i/>
        </w:rPr>
        <w:t>, as needed and relevant,</w:t>
      </w:r>
      <w:r w:rsidR="001E1F48" w:rsidRPr="001E1F48">
        <w:rPr>
          <w:rFonts w:asciiTheme="minorHAnsi" w:hAnsiTheme="minorHAnsi"/>
          <w:i/>
        </w:rPr>
        <w:t xml:space="preserve"> in </w:t>
      </w:r>
      <w:r w:rsidR="009E175F">
        <w:rPr>
          <w:rFonts w:asciiTheme="minorHAnsi" w:hAnsiTheme="minorHAnsi"/>
          <w:i/>
        </w:rPr>
        <w:t>EPA’s</w:t>
      </w:r>
      <w:r w:rsidR="001E1F48" w:rsidRPr="001E1F48">
        <w:rPr>
          <w:rFonts w:asciiTheme="minorHAnsi" w:hAnsiTheme="minorHAnsi"/>
          <w:i/>
        </w:rPr>
        <w:t xml:space="preserve"> forthcoming </w:t>
      </w:r>
      <w:r w:rsidR="000438E2">
        <w:rPr>
          <w:rFonts w:asciiTheme="minorHAnsi" w:hAnsiTheme="minorHAnsi"/>
          <w:i/>
        </w:rPr>
        <w:t>consultation</w:t>
      </w:r>
      <w:r w:rsidR="00931FDE">
        <w:rPr>
          <w:rFonts w:asciiTheme="minorHAnsi" w:hAnsiTheme="minorHAnsi"/>
          <w:i/>
        </w:rPr>
        <w:t xml:space="preserve"> with the Services</w:t>
      </w:r>
      <w:r w:rsidR="001E1F48" w:rsidRPr="001E1F48">
        <w:rPr>
          <w:rFonts w:asciiTheme="minorHAnsi" w:hAnsiTheme="minorHAnsi"/>
          <w:i/>
        </w:rPr>
        <w:t>.</w:t>
      </w:r>
    </w:p>
    <w:p w14:paraId="2C7F4B68" w14:textId="06F624E0" w:rsidR="004618E0" w:rsidRPr="00F26B35" w:rsidRDefault="004618E0" w:rsidP="005859DB">
      <w:pPr>
        <w:rPr>
          <w:rFonts w:asciiTheme="minorHAnsi" w:hAnsiTheme="minorHAnsi" w:cstheme="minorHAnsi"/>
          <w:i/>
          <w:iCs/>
        </w:rPr>
      </w:pPr>
    </w:p>
    <w:p w14:paraId="4F0907BC" w14:textId="73FB2279" w:rsidR="00F26B35" w:rsidRPr="0017578E" w:rsidRDefault="005A76CA" w:rsidP="005859DB">
      <w:pPr>
        <w:rPr>
          <w:rFonts w:ascii="Calibri" w:eastAsia="Calibri" w:hAnsi="Calibri" w:cs="Calibri"/>
        </w:rPr>
      </w:pPr>
      <w:r w:rsidRPr="00F26B35">
        <w:rPr>
          <w:rFonts w:asciiTheme="minorHAnsi" w:hAnsiTheme="minorHAnsi" w:cstheme="minorHAnsi"/>
          <w:b/>
          <w:bCs/>
        </w:rPr>
        <w:t>Comment:</w:t>
      </w:r>
      <w:r w:rsidRPr="00F26B35">
        <w:rPr>
          <w:rFonts w:asciiTheme="minorHAnsi" w:hAnsiTheme="minorHAnsi" w:cstheme="minorHAnsi"/>
        </w:rPr>
        <w:t xml:space="preserve"> Effects determinations for any one or a combination of the neonicotinoids are </w:t>
      </w:r>
      <w:r w:rsidRPr="0017578E">
        <w:rPr>
          <w:rFonts w:asciiTheme="minorHAnsi" w:hAnsiTheme="minorHAnsi" w:cstheme="minorHAnsi"/>
        </w:rPr>
        <w:t xml:space="preserve">incorrect for the following species; Gopher Tortoise, Piping Plover, </w:t>
      </w:r>
      <w:r w:rsidR="09D83FAD" w:rsidRPr="0017578E">
        <w:rPr>
          <w:rFonts w:asciiTheme="minorHAnsi" w:eastAsia="Calibri" w:hAnsiTheme="minorHAnsi" w:cstheme="minorHAnsi"/>
        </w:rPr>
        <w:t xml:space="preserve">Alabama Red Belly Turtle, Rio Grande Silver Minnow, Giant Garter Snake, Cape Fear Shiner, California Least Tern, Least Tern, Knowlton’s Cactus, Wood Stork, and Hawaiian pollinators and insects such as the Hawaiian Yellow-Faced Bee and </w:t>
      </w:r>
      <w:proofErr w:type="spellStart"/>
      <w:r w:rsidR="09D83FAD" w:rsidRPr="0017578E">
        <w:rPr>
          <w:rFonts w:asciiTheme="minorHAnsi" w:eastAsia="Calibri" w:hAnsiTheme="minorHAnsi" w:cstheme="minorHAnsi"/>
        </w:rPr>
        <w:t>Hilaris</w:t>
      </w:r>
      <w:proofErr w:type="spellEnd"/>
      <w:r w:rsidR="09D83FAD" w:rsidRPr="0017578E">
        <w:rPr>
          <w:rFonts w:asciiTheme="minorHAnsi" w:eastAsia="Calibri" w:hAnsiTheme="minorHAnsi" w:cstheme="minorHAnsi"/>
        </w:rPr>
        <w:t xml:space="preserve"> Yellow Bee, based on incorrect habitat, population abundance</w:t>
      </w:r>
      <w:r w:rsidR="09D83FAD" w:rsidRPr="0017578E">
        <w:rPr>
          <w:rFonts w:ascii="Calibri" w:eastAsia="Calibri" w:hAnsi="Calibri" w:cs="Calibri"/>
        </w:rPr>
        <w:t xml:space="preserve">, typographical error, or listing </w:t>
      </w:r>
    </w:p>
    <w:p w14:paraId="03E0FE9F" w14:textId="3BABF5FF" w:rsidR="005A76CA" w:rsidRPr="0017578E" w:rsidRDefault="09D83FAD" w:rsidP="005859DB">
      <w:pPr>
        <w:rPr>
          <w:rFonts w:ascii="Calibri" w:eastAsia="Calibri" w:hAnsi="Calibri" w:cs="Calibri"/>
        </w:rPr>
      </w:pPr>
      <w:r w:rsidRPr="0017578E">
        <w:rPr>
          <w:rFonts w:ascii="Calibri" w:eastAsia="Calibri" w:hAnsi="Calibri" w:cs="Calibri"/>
        </w:rPr>
        <w:t>status.</w:t>
      </w:r>
    </w:p>
    <w:p w14:paraId="1DCC2694" w14:textId="6312578E" w:rsidR="09D83FAD" w:rsidRDefault="09D83FAD" w:rsidP="005859DB">
      <w:pPr>
        <w:rPr>
          <w:rFonts w:eastAsia="Calibri" w:cs="Arial"/>
          <w:u w:val="single"/>
        </w:rPr>
      </w:pPr>
    </w:p>
    <w:p w14:paraId="635B4C3C" w14:textId="5EA96EB4" w:rsidR="09D83FAD" w:rsidRDefault="09D83FAD" w:rsidP="005859DB">
      <w:pPr>
        <w:rPr>
          <w:rFonts w:eastAsia="Calibri" w:cs="Arial"/>
        </w:rPr>
      </w:pPr>
      <w:r w:rsidRPr="00B4664D">
        <w:rPr>
          <w:rFonts w:asciiTheme="minorHAnsi" w:eastAsia="Calibri" w:hAnsiTheme="minorHAnsi"/>
          <w:b/>
          <w:bCs/>
        </w:rPr>
        <w:t xml:space="preserve">EPA Response: </w:t>
      </w:r>
      <w:r w:rsidR="001E1F48" w:rsidRPr="00B4664D">
        <w:rPr>
          <w:rFonts w:asciiTheme="minorHAnsi" w:eastAsia="Calibri" w:hAnsiTheme="minorHAnsi"/>
          <w:bCs/>
          <w:i/>
        </w:rPr>
        <w:t xml:space="preserve">EPA </w:t>
      </w:r>
      <w:r w:rsidR="00E00DED">
        <w:rPr>
          <w:rFonts w:asciiTheme="minorHAnsi" w:eastAsia="Calibri" w:hAnsiTheme="minorHAnsi"/>
          <w:bCs/>
          <w:i/>
        </w:rPr>
        <w:t>appreciates</w:t>
      </w:r>
      <w:r w:rsidR="001E1F48" w:rsidRPr="00B4664D">
        <w:rPr>
          <w:rFonts w:asciiTheme="minorHAnsi" w:eastAsia="Calibri" w:hAnsiTheme="minorHAnsi"/>
          <w:bCs/>
          <w:i/>
        </w:rPr>
        <w:t xml:space="preserve"> </w:t>
      </w:r>
      <w:r w:rsidR="001E1F48">
        <w:rPr>
          <w:rFonts w:asciiTheme="minorHAnsi" w:eastAsia="Calibri" w:hAnsiTheme="minorHAnsi"/>
          <w:bCs/>
          <w:i/>
        </w:rPr>
        <w:t xml:space="preserve">the </w:t>
      </w:r>
      <w:r w:rsidR="001E1F48" w:rsidRPr="00B4664D">
        <w:rPr>
          <w:rFonts w:asciiTheme="minorHAnsi" w:eastAsia="Calibri" w:hAnsiTheme="minorHAnsi"/>
          <w:bCs/>
          <w:i/>
        </w:rPr>
        <w:t>commenter for this detailed species-specific analysis regarding the effects determinations for each of these species. Much of this species-specific life history</w:t>
      </w:r>
      <w:r w:rsidR="00046851">
        <w:rPr>
          <w:rFonts w:asciiTheme="minorHAnsi" w:eastAsia="Calibri" w:hAnsiTheme="minorHAnsi"/>
          <w:bCs/>
          <w:i/>
        </w:rPr>
        <w:t xml:space="preserve"> </w:t>
      </w:r>
      <w:r w:rsidR="00CF79B8">
        <w:rPr>
          <w:rFonts w:asciiTheme="minorHAnsi" w:eastAsia="Calibri" w:hAnsiTheme="minorHAnsi"/>
          <w:bCs/>
          <w:i/>
        </w:rPr>
        <w:t xml:space="preserve">information </w:t>
      </w:r>
      <w:r w:rsidR="00046851">
        <w:rPr>
          <w:rFonts w:asciiTheme="minorHAnsi" w:eastAsia="Calibri" w:hAnsiTheme="minorHAnsi"/>
          <w:bCs/>
          <w:i/>
        </w:rPr>
        <w:t xml:space="preserve">is applicable when considering potential effects at the population level </w:t>
      </w:r>
      <w:r w:rsidR="00CF79B8">
        <w:rPr>
          <w:rFonts w:asciiTheme="minorHAnsi" w:eastAsia="Calibri" w:hAnsiTheme="minorHAnsi"/>
          <w:bCs/>
          <w:i/>
        </w:rPr>
        <w:t>and</w:t>
      </w:r>
      <w:r w:rsidR="001E1F48" w:rsidRPr="00B4664D">
        <w:rPr>
          <w:rFonts w:asciiTheme="minorHAnsi" w:eastAsia="Calibri" w:hAnsiTheme="minorHAnsi"/>
          <w:bCs/>
          <w:i/>
        </w:rPr>
        <w:t xml:space="preserve"> </w:t>
      </w:r>
      <w:r w:rsidR="00C74AF8">
        <w:rPr>
          <w:rFonts w:asciiTheme="minorHAnsi" w:eastAsia="Calibri" w:hAnsiTheme="minorHAnsi"/>
          <w:bCs/>
          <w:i/>
        </w:rPr>
        <w:t xml:space="preserve">will be </w:t>
      </w:r>
      <w:proofErr w:type="gramStart"/>
      <w:r w:rsidR="00C74AF8">
        <w:rPr>
          <w:rFonts w:asciiTheme="minorHAnsi" w:eastAsia="Calibri" w:hAnsiTheme="minorHAnsi"/>
          <w:bCs/>
          <w:i/>
        </w:rPr>
        <w:t xml:space="preserve">taken into </w:t>
      </w:r>
      <w:r w:rsidR="001E1F48" w:rsidRPr="00B4664D">
        <w:rPr>
          <w:rFonts w:asciiTheme="minorHAnsi" w:eastAsia="Calibri" w:hAnsiTheme="minorHAnsi"/>
          <w:bCs/>
          <w:i/>
        </w:rPr>
        <w:t>account</w:t>
      </w:r>
      <w:proofErr w:type="gramEnd"/>
      <w:r w:rsidR="001E1F48" w:rsidRPr="00B4664D">
        <w:rPr>
          <w:rFonts w:asciiTheme="minorHAnsi" w:eastAsia="Calibri" w:hAnsiTheme="minorHAnsi"/>
          <w:bCs/>
          <w:i/>
        </w:rPr>
        <w:t xml:space="preserve"> </w:t>
      </w:r>
      <w:r w:rsidR="00C74AF8">
        <w:rPr>
          <w:rFonts w:asciiTheme="minorHAnsi" w:eastAsia="Calibri" w:hAnsiTheme="minorHAnsi"/>
          <w:bCs/>
          <w:i/>
        </w:rPr>
        <w:t xml:space="preserve">during the consultation </w:t>
      </w:r>
      <w:r w:rsidR="00931FDE">
        <w:rPr>
          <w:rFonts w:asciiTheme="minorHAnsi" w:eastAsia="Calibri" w:hAnsiTheme="minorHAnsi"/>
          <w:bCs/>
          <w:i/>
        </w:rPr>
        <w:t xml:space="preserve">with the </w:t>
      </w:r>
      <w:r w:rsidR="00FE1730">
        <w:rPr>
          <w:rFonts w:asciiTheme="minorHAnsi" w:eastAsia="Calibri" w:hAnsiTheme="minorHAnsi"/>
          <w:bCs/>
          <w:i/>
        </w:rPr>
        <w:t>Services</w:t>
      </w:r>
      <w:r w:rsidR="00406A53">
        <w:rPr>
          <w:rFonts w:asciiTheme="minorHAnsi" w:eastAsia="Calibri" w:hAnsiTheme="minorHAnsi"/>
          <w:bCs/>
          <w:i/>
        </w:rPr>
        <w:t>,</w:t>
      </w:r>
      <w:r w:rsidR="00CF79B8">
        <w:rPr>
          <w:rFonts w:asciiTheme="minorHAnsi" w:eastAsia="Calibri" w:hAnsiTheme="minorHAnsi"/>
          <w:bCs/>
          <w:i/>
        </w:rPr>
        <w:t xml:space="preserve"> as needed and relevant</w:t>
      </w:r>
      <w:r w:rsidR="00C74AF8">
        <w:rPr>
          <w:rFonts w:asciiTheme="minorHAnsi" w:eastAsia="Calibri" w:hAnsiTheme="minorHAnsi"/>
          <w:bCs/>
          <w:i/>
        </w:rPr>
        <w:t xml:space="preserve">. </w:t>
      </w:r>
    </w:p>
    <w:p w14:paraId="5728C46D" w14:textId="7E92BC69" w:rsidR="00461561" w:rsidRDefault="00461561" w:rsidP="005859DB">
      <w:pPr>
        <w:rPr>
          <w:rFonts w:eastAsia="Calibri" w:cs="Arial"/>
          <w:u w:val="single"/>
        </w:rPr>
      </w:pPr>
    </w:p>
    <w:p w14:paraId="5200AF1F" w14:textId="10964F0F" w:rsidR="000A6B0E" w:rsidRPr="0050044C" w:rsidRDefault="000A6B0E" w:rsidP="005859DB">
      <w:pPr>
        <w:rPr>
          <w:rFonts w:asciiTheme="minorHAnsi" w:hAnsiTheme="minorHAnsi" w:cstheme="minorHAnsi"/>
        </w:rPr>
      </w:pPr>
      <w:r w:rsidRPr="0050044C">
        <w:rPr>
          <w:rFonts w:asciiTheme="minorHAnsi" w:hAnsiTheme="minorHAnsi" w:cstheme="minorHAnsi"/>
          <w:b/>
          <w:bCs/>
        </w:rPr>
        <w:t xml:space="preserve">Comment: </w:t>
      </w:r>
      <w:r w:rsidRPr="0050044C">
        <w:rPr>
          <w:rFonts w:asciiTheme="minorHAnsi" w:hAnsiTheme="minorHAnsi" w:cstheme="minorHAnsi"/>
        </w:rPr>
        <w:t xml:space="preserve">Spatial analysis tools provided by EPA include a series of scripts and documentation to enable stakeholders to generate pesticide “Use Site” (UDL) information, and then perform co-occurrence analysis with the species range or critical habitat data layers. These layers should be more readily available to the public. </w:t>
      </w:r>
    </w:p>
    <w:p w14:paraId="3EDFFFDE" w14:textId="77777777" w:rsidR="00461561" w:rsidRDefault="00461561" w:rsidP="005859DB">
      <w:pPr>
        <w:rPr>
          <w:rFonts w:asciiTheme="minorHAnsi" w:hAnsiTheme="minorHAnsi" w:cstheme="minorHAnsi"/>
          <w:b/>
          <w:bCs/>
        </w:rPr>
      </w:pPr>
    </w:p>
    <w:p w14:paraId="35123E57" w14:textId="13824321" w:rsidR="00DD7A0A" w:rsidRDefault="000A6B0E" w:rsidP="005859DB">
      <w:pPr>
        <w:rPr>
          <w:rFonts w:asciiTheme="minorHAnsi" w:hAnsiTheme="minorHAnsi" w:cstheme="minorHAnsi"/>
          <w:b/>
          <w:bCs/>
        </w:rPr>
      </w:pPr>
      <w:r w:rsidRPr="0050044C">
        <w:rPr>
          <w:rFonts w:asciiTheme="minorHAnsi" w:hAnsiTheme="minorHAnsi" w:cstheme="minorHAnsi"/>
          <w:b/>
          <w:bCs/>
        </w:rPr>
        <w:lastRenderedPageBreak/>
        <w:t xml:space="preserve">EPA Response: </w:t>
      </w:r>
      <w:r w:rsidRPr="0050044C">
        <w:rPr>
          <w:rFonts w:asciiTheme="minorHAnsi" w:hAnsiTheme="minorHAnsi" w:cstheme="minorHAnsi"/>
          <w:i/>
          <w:iCs/>
        </w:rPr>
        <w:t>Due to the complexity of sharing the large spatial dataset used in the BE, EPA only provides the tools and documentation used to generate the spatial data. EPA will continue to explore ways to efficiently make the spatial data and analysis available, without regeneration.</w:t>
      </w:r>
      <w:bookmarkEnd w:id="43"/>
    </w:p>
    <w:p w14:paraId="2C9CE6B3" w14:textId="77777777" w:rsidR="00DD7A0A" w:rsidRDefault="00DD7A0A" w:rsidP="005859DB">
      <w:pPr>
        <w:rPr>
          <w:rFonts w:asciiTheme="minorHAnsi" w:hAnsiTheme="minorHAnsi" w:cstheme="minorHAnsi"/>
          <w:b/>
          <w:bCs/>
        </w:rPr>
      </w:pPr>
    </w:p>
    <w:p w14:paraId="7EA05A00" w14:textId="035B5FCC" w:rsidR="000A6B0E" w:rsidRPr="0050044C" w:rsidRDefault="000A6B0E" w:rsidP="005859DB">
      <w:pPr>
        <w:rPr>
          <w:rFonts w:asciiTheme="minorHAnsi" w:hAnsiTheme="minorHAnsi" w:cstheme="minorHAnsi"/>
          <w:bCs/>
        </w:rPr>
      </w:pPr>
      <w:r w:rsidRPr="0050044C">
        <w:rPr>
          <w:rFonts w:asciiTheme="minorHAnsi" w:hAnsiTheme="minorHAnsi" w:cstheme="minorHAnsi"/>
          <w:b/>
          <w:bCs/>
        </w:rPr>
        <w:t>Comment:</w:t>
      </w:r>
      <w:r w:rsidRPr="0050044C">
        <w:rPr>
          <w:rFonts w:asciiTheme="minorHAnsi" w:hAnsiTheme="minorHAnsi" w:cstheme="minorHAnsi"/>
          <w:bCs/>
        </w:rPr>
        <w:t xml:space="preserve"> </w:t>
      </w:r>
      <w:r w:rsidR="0030648B">
        <w:rPr>
          <w:rFonts w:asciiTheme="minorHAnsi" w:hAnsiTheme="minorHAnsi" w:cstheme="minorHAnsi"/>
          <w:bCs/>
        </w:rPr>
        <w:t>G</w:t>
      </w:r>
      <w:r w:rsidRPr="0050044C">
        <w:rPr>
          <w:rFonts w:asciiTheme="minorHAnsi" w:hAnsiTheme="minorHAnsi" w:cstheme="minorHAnsi"/>
          <w:bCs/>
        </w:rPr>
        <w:t xml:space="preserve">rouping crops into UDLs may obscure the use of these application rates. </w:t>
      </w:r>
    </w:p>
    <w:p w14:paraId="26A94783" w14:textId="77777777" w:rsidR="00461561" w:rsidRDefault="00461561" w:rsidP="005859DB">
      <w:pPr>
        <w:rPr>
          <w:rFonts w:asciiTheme="minorHAnsi" w:hAnsiTheme="minorHAnsi" w:cstheme="minorHAnsi"/>
          <w:b/>
          <w:bCs/>
        </w:rPr>
      </w:pPr>
    </w:p>
    <w:p w14:paraId="519F0134" w14:textId="07560456" w:rsidR="000A6B0E" w:rsidRPr="00461561" w:rsidRDefault="000A6B0E" w:rsidP="006E42E6">
      <w:pPr>
        <w:keepNext/>
        <w:keepLines/>
        <w:rPr>
          <w:rFonts w:asciiTheme="minorHAnsi" w:hAnsiTheme="minorHAnsi" w:cstheme="minorHAnsi"/>
          <w:i/>
          <w:iCs/>
        </w:rPr>
      </w:pPr>
      <w:r w:rsidRPr="0050044C">
        <w:rPr>
          <w:rFonts w:asciiTheme="minorHAnsi" w:hAnsiTheme="minorHAnsi" w:cstheme="minorHAnsi"/>
          <w:b/>
          <w:bCs/>
        </w:rPr>
        <w:t xml:space="preserve">EPA Response: </w:t>
      </w:r>
      <w:r w:rsidRPr="00461561">
        <w:rPr>
          <w:rFonts w:asciiTheme="minorHAnsi" w:hAnsiTheme="minorHAnsi" w:cstheme="minorHAnsi"/>
          <w:i/>
        </w:rPr>
        <w:t>Regarding the UDL crop grouping, the USDA NASS (2013-2017) accuracy assessments show that, on a state-by-state basis, the Cropland Data layer (CDL) is relatively accurate (90% or greater) for states that are major producers of major commodity crops. These crops such as corn, soybeans, wheat, and cotton are grown over extensive contiguous areas, and USDA has independent data for training and quality assurance analysis. However, as indicated on the USDA error matrices for the CDL, the high frequency of error for other crops suggests that CDL may not be suitable for representing non-commodity minor crops. To address this, EPA aggregates minor crops into broader crop groupings to reduce the likelihood that EPA misses significant areas of a species’ range that could overlap with labeled use sites. EPA considers all application rates that may be associated with the use sites in any of the UDL groupings and will continue to work with the Services on the best method for making assumptions about application rates and possible EECs for these areas, based on the range of uses within a particular UDL.</w:t>
      </w:r>
      <w:r w:rsidR="0030648B">
        <w:rPr>
          <w:rFonts w:asciiTheme="minorHAnsi" w:hAnsiTheme="minorHAnsi" w:cstheme="minorHAnsi"/>
          <w:i/>
        </w:rPr>
        <w:t xml:space="preserve"> </w:t>
      </w:r>
      <w:r w:rsidR="00BA2E35">
        <w:rPr>
          <w:rFonts w:asciiTheme="minorHAnsi" w:hAnsiTheme="minorHAnsi" w:cstheme="minorHAnsi"/>
          <w:i/>
        </w:rPr>
        <w:t>EPA evaluates all uses on the label at the maximum label rates when making an NLAA/LAA determination</w:t>
      </w:r>
      <w:r w:rsidR="00D56FB1">
        <w:rPr>
          <w:rFonts w:asciiTheme="minorHAnsi" w:hAnsiTheme="minorHAnsi" w:cstheme="minorHAnsi"/>
          <w:i/>
        </w:rPr>
        <w:t>;</w:t>
      </w:r>
      <w:r w:rsidR="00BA2E35">
        <w:rPr>
          <w:rFonts w:asciiTheme="minorHAnsi" w:hAnsiTheme="minorHAnsi" w:cstheme="minorHAnsi"/>
          <w:i/>
        </w:rPr>
        <w:t xml:space="preserve"> </w:t>
      </w:r>
      <w:r w:rsidR="00D56FB1">
        <w:rPr>
          <w:rFonts w:asciiTheme="minorHAnsi" w:hAnsiTheme="minorHAnsi" w:cstheme="minorHAnsi"/>
          <w:i/>
        </w:rPr>
        <w:t>f</w:t>
      </w:r>
      <w:r w:rsidR="00BA2E35">
        <w:rPr>
          <w:rFonts w:asciiTheme="minorHAnsi" w:hAnsiTheme="minorHAnsi" w:cstheme="minorHAnsi"/>
          <w:i/>
        </w:rPr>
        <w:t>or the group UDLs</w:t>
      </w:r>
      <w:r w:rsidR="0030648B">
        <w:rPr>
          <w:rFonts w:asciiTheme="minorHAnsi" w:hAnsiTheme="minorHAnsi" w:cstheme="minorHAnsi"/>
          <w:i/>
        </w:rPr>
        <w:t>,</w:t>
      </w:r>
      <w:r w:rsidR="00BA2E35">
        <w:rPr>
          <w:rFonts w:asciiTheme="minorHAnsi" w:hAnsiTheme="minorHAnsi" w:cstheme="minorHAnsi"/>
          <w:i/>
        </w:rPr>
        <w:t xml:space="preserve"> the maximum label rate across crops in the UDL</w:t>
      </w:r>
      <w:r w:rsidR="00E32E0E">
        <w:rPr>
          <w:rFonts w:asciiTheme="minorHAnsi" w:hAnsiTheme="minorHAnsi" w:cstheme="minorHAnsi"/>
          <w:i/>
        </w:rPr>
        <w:t xml:space="preserve"> is evaluated</w:t>
      </w:r>
      <w:r w:rsidR="00BA2E35">
        <w:rPr>
          <w:rFonts w:asciiTheme="minorHAnsi" w:hAnsiTheme="minorHAnsi" w:cstheme="minorHAnsi"/>
          <w:i/>
        </w:rPr>
        <w:t xml:space="preserve">. This is done even if the majority of applications may be made using </w:t>
      </w:r>
      <w:r w:rsidR="0030648B">
        <w:rPr>
          <w:rFonts w:asciiTheme="minorHAnsi" w:hAnsiTheme="minorHAnsi" w:cstheme="minorHAnsi"/>
          <w:i/>
        </w:rPr>
        <w:t xml:space="preserve">a </w:t>
      </w:r>
      <w:r w:rsidR="00BA2E35">
        <w:rPr>
          <w:rFonts w:asciiTheme="minorHAnsi" w:hAnsiTheme="minorHAnsi" w:cstheme="minorHAnsi"/>
          <w:i/>
        </w:rPr>
        <w:t>scenario (</w:t>
      </w:r>
      <w:r w:rsidR="00BA2E35" w:rsidRPr="0030648B">
        <w:rPr>
          <w:rFonts w:asciiTheme="minorHAnsi" w:hAnsiTheme="minorHAnsi" w:cstheme="minorHAnsi"/>
          <w:iCs/>
        </w:rPr>
        <w:t>e.g</w:t>
      </w:r>
      <w:r w:rsidR="00BA2E35">
        <w:rPr>
          <w:rFonts w:asciiTheme="minorHAnsi" w:hAnsiTheme="minorHAnsi" w:cstheme="minorHAnsi"/>
          <w:i/>
        </w:rPr>
        <w:t xml:space="preserve">. application rate, technology) that could result in lower exposure. </w:t>
      </w:r>
      <w:r w:rsidR="006E42E6">
        <w:rPr>
          <w:rFonts w:asciiTheme="minorHAnsi" w:hAnsiTheme="minorHAnsi" w:cstheme="minorHAnsi"/>
          <w:i/>
        </w:rPr>
        <w:t>Other application rate</w:t>
      </w:r>
      <w:r w:rsidR="00E57516">
        <w:rPr>
          <w:rFonts w:asciiTheme="minorHAnsi" w:hAnsiTheme="minorHAnsi" w:cstheme="minorHAnsi"/>
          <w:i/>
        </w:rPr>
        <w:t>s</w:t>
      </w:r>
      <w:r w:rsidR="006E42E6">
        <w:rPr>
          <w:rFonts w:asciiTheme="minorHAnsi" w:hAnsiTheme="minorHAnsi" w:cstheme="minorHAnsi"/>
          <w:i/>
        </w:rPr>
        <w:t xml:space="preserve"> and less conservative assumption</w:t>
      </w:r>
      <w:r w:rsidR="00E57516">
        <w:rPr>
          <w:rFonts w:asciiTheme="minorHAnsi" w:hAnsiTheme="minorHAnsi" w:cstheme="minorHAnsi"/>
          <w:i/>
        </w:rPr>
        <w:t>s</w:t>
      </w:r>
      <w:r w:rsidR="006E42E6">
        <w:rPr>
          <w:rFonts w:asciiTheme="minorHAnsi" w:hAnsiTheme="minorHAnsi" w:cstheme="minorHAnsi"/>
          <w:i/>
        </w:rPr>
        <w:t xml:space="preserve"> </w:t>
      </w:r>
      <w:r w:rsidR="00E32E0E">
        <w:rPr>
          <w:rFonts w:asciiTheme="minorHAnsi" w:hAnsiTheme="minorHAnsi" w:cstheme="minorHAnsi"/>
          <w:i/>
        </w:rPr>
        <w:t xml:space="preserve">may </w:t>
      </w:r>
      <w:r w:rsidR="006E42E6">
        <w:rPr>
          <w:rFonts w:asciiTheme="minorHAnsi" w:hAnsiTheme="minorHAnsi" w:cstheme="minorHAnsi"/>
          <w:i/>
        </w:rPr>
        <w:t xml:space="preserve">be </w:t>
      </w:r>
      <w:proofErr w:type="gramStart"/>
      <w:r w:rsidR="006E42E6">
        <w:rPr>
          <w:rFonts w:asciiTheme="minorHAnsi" w:hAnsiTheme="minorHAnsi" w:cstheme="minorHAnsi"/>
          <w:i/>
        </w:rPr>
        <w:t>taken into account</w:t>
      </w:r>
      <w:proofErr w:type="gramEnd"/>
      <w:r w:rsidR="006E42E6">
        <w:rPr>
          <w:rFonts w:asciiTheme="minorHAnsi" w:hAnsiTheme="minorHAnsi" w:cstheme="minorHAnsi"/>
          <w:i/>
        </w:rPr>
        <w:t xml:space="preserve"> during the consultation </w:t>
      </w:r>
      <w:r w:rsidR="007A014B">
        <w:rPr>
          <w:rFonts w:asciiTheme="minorHAnsi" w:hAnsiTheme="minorHAnsi" w:cstheme="minorHAnsi"/>
          <w:i/>
        </w:rPr>
        <w:t>with the Services</w:t>
      </w:r>
      <w:r w:rsidR="00E32E0E">
        <w:rPr>
          <w:rFonts w:asciiTheme="minorHAnsi" w:hAnsiTheme="minorHAnsi" w:cstheme="minorHAnsi"/>
          <w:i/>
        </w:rPr>
        <w:t>,</w:t>
      </w:r>
      <w:r w:rsidR="007A014B">
        <w:rPr>
          <w:rFonts w:asciiTheme="minorHAnsi" w:hAnsiTheme="minorHAnsi" w:cstheme="minorHAnsi"/>
          <w:i/>
        </w:rPr>
        <w:t xml:space="preserve"> </w:t>
      </w:r>
      <w:r w:rsidR="006E42E6">
        <w:rPr>
          <w:rFonts w:asciiTheme="minorHAnsi" w:hAnsiTheme="minorHAnsi" w:cstheme="minorHAnsi"/>
          <w:i/>
        </w:rPr>
        <w:t>when applicable.</w:t>
      </w:r>
      <w:r w:rsidR="00BA2E35">
        <w:rPr>
          <w:rFonts w:asciiTheme="minorHAnsi" w:hAnsiTheme="minorHAnsi" w:cstheme="minorHAnsi"/>
          <w:i/>
        </w:rPr>
        <w:t xml:space="preserve"> </w:t>
      </w:r>
    </w:p>
    <w:p w14:paraId="00CAE8D4" w14:textId="77777777" w:rsidR="00461561" w:rsidRDefault="00461561" w:rsidP="005859DB">
      <w:pPr>
        <w:rPr>
          <w:rFonts w:asciiTheme="minorHAnsi" w:hAnsiTheme="minorHAnsi" w:cstheme="minorHAnsi"/>
          <w:bCs/>
          <w:i/>
          <w:iCs/>
        </w:rPr>
      </w:pPr>
    </w:p>
    <w:p w14:paraId="0C707E5F" w14:textId="09F10554" w:rsidR="00461561" w:rsidRDefault="000A6B0E" w:rsidP="005859DB">
      <w:pPr>
        <w:rPr>
          <w:rFonts w:asciiTheme="minorHAnsi" w:hAnsiTheme="minorHAnsi" w:cstheme="minorHAnsi"/>
          <w:bCs/>
          <w:i/>
          <w:iCs/>
        </w:rPr>
      </w:pPr>
      <w:r w:rsidRPr="00461561">
        <w:rPr>
          <w:rFonts w:asciiTheme="minorHAnsi" w:hAnsiTheme="minorHAnsi" w:cstheme="minorHAnsi"/>
          <w:bCs/>
          <w:i/>
          <w:iCs/>
        </w:rPr>
        <w:t xml:space="preserve">Additionally, EPA appreciates the individual species analyses conducted by USDA </w:t>
      </w:r>
      <w:proofErr w:type="gramStart"/>
      <w:r w:rsidRPr="00461561">
        <w:rPr>
          <w:rFonts w:asciiTheme="minorHAnsi" w:hAnsiTheme="minorHAnsi" w:cstheme="minorHAnsi"/>
          <w:bCs/>
          <w:i/>
          <w:iCs/>
        </w:rPr>
        <w:t>and</w:t>
      </w:r>
      <w:r w:rsidR="00E32E0E">
        <w:rPr>
          <w:rFonts w:asciiTheme="minorHAnsi" w:hAnsiTheme="minorHAnsi" w:cstheme="minorHAnsi"/>
          <w:bCs/>
          <w:i/>
          <w:iCs/>
        </w:rPr>
        <w:t>,</w:t>
      </w:r>
      <w:proofErr w:type="gramEnd"/>
      <w:r w:rsidRPr="00461561">
        <w:rPr>
          <w:rFonts w:asciiTheme="minorHAnsi" w:hAnsiTheme="minorHAnsi" w:cstheme="minorHAnsi"/>
          <w:bCs/>
          <w:i/>
          <w:iCs/>
        </w:rPr>
        <w:t xml:space="preserve"> </w:t>
      </w:r>
      <w:r w:rsidR="003843C6">
        <w:rPr>
          <w:rFonts w:asciiTheme="minorHAnsi" w:hAnsiTheme="minorHAnsi" w:cstheme="minorHAnsi"/>
          <w:bCs/>
          <w:i/>
          <w:iCs/>
        </w:rPr>
        <w:t xml:space="preserve">as needed, </w:t>
      </w:r>
      <w:r w:rsidR="00E32E0E">
        <w:rPr>
          <w:rFonts w:asciiTheme="minorHAnsi" w:hAnsiTheme="minorHAnsi" w:cstheme="minorHAnsi"/>
          <w:bCs/>
          <w:i/>
          <w:iCs/>
        </w:rPr>
        <w:t>may</w:t>
      </w:r>
      <w:r w:rsidR="00E32E0E" w:rsidRPr="00461561">
        <w:rPr>
          <w:rFonts w:asciiTheme="minorHAnsi" w:hAnsiTheme="minorHAnsi" w:cstheme="minorHAnsi"/>
          <w:bCs/>
          <w:i/>
          <w:iCs/>
        </w:rPr>
        <w:t xml:space="preserve"> </w:t>
      </w:r>
      <w:r w:rsidRPr="00461561">
        <w:rPr>
          <w:rFonts w:asciiTheme="minorHAnsi" w:hAnsiTheme="minorHAnsi" w:cstheme="minorHAnsi"/>
          <w:bCs/>
          <w:i/>
          <w:iCs/>
        </w:rPr>
        <w:t xml:space="preserve">use them </w:t>
      </w:r>
      <w:r w:rsidR="006A0398">
        <w:rPr>
          <w:rFonts w:asciiTheme="minorHAnsi" w:hAnsiTheme="minorHAnsi" w:cstheme="minorHAnsi"/>
          <w:bCs/>
          <w:i/>
          <w:iCs/>
        </w:rPr>
        <w:t xml:space="preserve">when </w:t>
      </w:r>
      <w:r w:rsidRPr="00461561">
        <w:rPr>
          <w:rFonts w:asciiTheme="minorHAnsi" w:hAnsiTheme="minorHAnsi" w:cstheme="minorHAnsi"/>
          <w:bCs/>
          <w:i/>
          <w:iCs/>
        </w:rPr>
        <w:t>mov</w:t>
      </w:r>
      <w:r w:rsidR="006A0398">
        <w:rPr>
          <w:rFonts w:asciiTheme="minorHAnsi" w:hAnsiTheme="minorHAnsi" w:cstheme="minorHAnsi"/>
          <w:bCs/>
          <w:i/>
          <w:iCs/>
        </w:rPr>
        <w:t>ing</w:t>
      </w:r>
      <w:r w:rsidRPr="00461561">
        <w:rPr>
          <w:rFonts w:asciiTheme="minorHAnsi" w:hAnsiTheme="minorHAnsi" w:cstheme="minorHAnsi"/>
          <w:bCs/>
          <w:i/>
          <w:iCs/>
        </w:rPr>
        <w:t xml:space="preserve"> forward with tool and data refinements during consultation with the Services.</w:t>
      </w:r>
    </w:p>
    <w:p w14:paraId="1F990C48" w14:textId="4D78F4D5" w:rsidR="004002CB" w:rsidRDefault="004002CB" w:rsidP="005859DB">
      <w:pPr>
        <w:rPr>
          <w:rFonts w:asciiTheme="minorHAnsi" w:hAnsiTheme="minorHAnsi" w:cstheme="minorHAnsi"/>
          <w:i/>
          <w:iCs/>
        </w:rPr>
      </w:pPr>
    </w:p>
    <w:p w14:paraId="4179B95A" w14:textId="41F93B9E" w:rsidR="004002CB" w:rsidRDefault="004002CB" w:rsidP="005859DB">
      <w:pPr>
        <w:rPr>
          <w:rFonts w:asciiTheme="minorHAnsi" w:hAnsiTheme="minorHAnsi" w:cstheme="minorHAnsi"/>
        </w:rPr>
      </w:pPr>
      <w:r w:rsidRPr="0050044C">
        <w:rPr>
          <w:rFonts w:asciiTheme="minorHAnsi" w:hAnsiTheme="minorHAnsi" w:cstheme="minorHAnsi"/>
          <w:b/>
          <w:bCs/>
        </w:rPr>
        <w:t xml:space="preserve">Comment: </w:t>
      </w:r>
      <w:r w:rsidRPr="004002CB">
        <w:rPr>
          <w:rFonts w:asciiTheme="minorHAnsi" w:hAnsiTheme="minorHAnsi" w:cstheme="minorHAnsi"/>
        </w:rPr>
        <w:t>We request that EPA and the Services lay out a specific plan that addresses the primary source of neonicotinoids in municipal wastewater – topically applied pet treatments (pet “spot-</w:t>
      </w:r>
      <w:proofErr w:type="spellStart"/>
      <w:r w:rsidRPr="004002CB">
        <w:rPr>
          <w:rFonts w:asciiTheme="minorHAnsi" w:hAnsiTheme="minorHAnsi" w:cstheme="minorHAnsi"/>
        </w:rPr>
        <w:t>ons</w:t>
      </w:r>
      <w:proofErr w:type="spellEnd"/>
      <w:r w:rsidRPr="004002CB">
        <w:rPr>
          <w:rFonts w:asciiTheme="minorHAnsi" w:hAnsiTheme="minorHAnsi" w:cstheme="minorHAnsi"/>
        </w:rPr>
        <w:t>” and sprays).</w:t>
      </w:r>
      <w:r>
        <w:rPr>
          <w:rFonts w:asciiTheme="minorHAnsi" w:hAnsiTheme="minorHAnsi" w:cstheme="minorHAnsi"/>
        </w:rPr>
        <w:t xml:space="preserve"> </w:t>
      </w:r>
      <w:r w:rsidRPr="004002CB">
        <w:rPr>
          <w:rFonts w:asciiTheme="minorHAnsi" w:hAnsiTheme="minorHAnsi" w:cstheme="minorHAnsi"/>
        </w:rPr>
        <w:t xml:space="preserve">In multiple enclosed scientific papers, we again share the scientific evidence (see </w:t>
      </w:r>
      <w:proofErr w:type="spellStart"/>
      <w:r w:rsidRPr="004002CB">
        <w:rPr>
          <w:rFonts w:asciiTheme="minorHAnsi" w:hAnsiTheme="minorHAnsi" w:cstheme="minorHAnsi"/>
        </w:rPr>
        <w:t>Sandaria</w:t>
      </w:r>
      <w:proofErr w:type="spellEnd"/>
      <w:r w:rsidRPr="004002CB">
        <w:rPr>
          <w:rFonts w:asciiTheme="minorHAnsi" w:hAnsiTheme="minorHAnsi" w:cstheme="minorHAnsi"/>
        </w:rPr>
        <w:t xml:space="preserve"> </w:t>
      </w:r>
      <w:r w:rsidRPr="00CA5E55">
        <w:rPr>
          <w:rFonts w:asciiTheme="minorHAnsi" w:hAnsiTheme="minorHAnsi" w:cstheme="minorHAnsi"/>
          <w:i/>
          <w:iCs/>
        </w:rPr>
        <w:t>et al.</w:t>
      </w:r>
      <w:r w:rsidRPr="004002CB">
        <w:rPr>
          <w:rFonts w:asciiTheme="minorHAnsi" w:hAnsiTheme="minorHAnsi" w:cstheme="minorHAnsi"/>
        </w:rPr>
        <w:t xml:space="preserve"> 2017</w:t>
      </w:r>
      <w:r w:rsidR="003A4BB9">
        <w:rPr>
          <w:rStyle w:val="FootnoteReference"/>
          <w:rFonts w:asciiTheme="minorHAnsi" w:hAnsiTheme="minorHAnsi" w:cstheme="minorHAnsi"/>
        </w:rPr>
        <w:footnoteReference w:id="14"/>
      </w:r>
      <w:r w:rsidRPr="004002CB">
        <w:rPr>
          <w:rFonts w:asciiTheme="minorHAnsi" w:hAnsiTheme="minorHAnsi" w:cstheme="minorHAnsi"/>
        </w:rPr>
        <w:t xml:space="preserve"> and </w:t>
      </w:r>
      <w:proofErr w:type="spellStart"/>
      <w:r w:rsidRPr="004002CB">
        <w:rPr>
          <w:rFonts w:asciiTheme="minorHAnsi" w:hAnsiTheme="minorHAnsi" w:cstheme="minorHAnsi"/>
        </w:rPr>
        <w:t>Sandaria</w:t>
      </w:r>
      <w:proofErr w:type="spellEnd"/>
      <w:r w:rsidRPr="004002CB">
        <w:rPr>
          <w:rFonts w:asciiTheme="minorHAnsi" w:hAnsiTheme="minorHAnsi" w:cstheme="minorHAnsi"/>
        </w:rPr>
        <w:t xml:space="preserve"> </w:t>
      </w:r>
      <w:r w:rsidRPr="00CA5E55">
        <w:rPr>
          <w:rFonts w:asciiTheme="minorHAnsi" w:hAnsiTheme="minorHAnsi" w:cstheme="minorHAnsi"/>
          <w:i/>
          <w:iCs/>
        </w:rPr>
        <w:t>et al.</w:t>
      </w:r>
      <w:r w:rsidRPr="004002CB">
        <w:rPr>
          <w:rFonts w:asciiTheme="minorHAnsi" w:hAnsiTheme="minorHAnsi" w:cstheme="minorHAnsi"/>
        </w:rPr>
        <w:t xml:space="preserve"> 2016</w:t>
      </w:r>
      <w:r w:rsidR="003A4BB9">
        <w:rPr>
          <w:rStyle w:val="FootnoteReference"/>
          <w:rFonts w:asciiTheme="minorHAnsi" w:hAnsiTheme="minorHAnsi" w:cstheme="minorHAnsi"/>
        </w:rPr>
        <w:footnoteReference w:id="15"/>
      </w:r>
      <w:r w:rsidRPr="004002CB">
        <w:rPr>
          <w:rFonts w:asciiTheme="minorHAnsi" w:hAnsiTheme="minorHAnsi" w:cstheme="minorHAnsi"/>
        </w:rPr>
        <w:t>, enclosed) around neonicotinoids in municipal wastewater, highlighting the concentrations in municipal wastewater effluent.</w:t>
      </w:r>
      <w:r>
        <w:rPr>
          <w:rFonts w:asciiTheme="minorHAnsi" w:hAnsiTheme="minorHAnsi" w:cstheme="minorHAnsi"/>
        </w:rPr>
        <w:t xml:space="preserve"> </w:t>
      </w:r>
      <w:r w:rsidRPr="004002CB">
        <w:rPr>
          <w:rFonts w:asciiTheme="minorHAnsi" w:hAnsiTheme="minorHAnsi" w:cstheme="minorHAnsi"/>
        </w:rPr>
        <w:t>As the effects of climate change impact available water supplies, municipalities around the country must pursue other sources of drinking water, including indirect and direct potable reuse. Pesticides in wastewater effluent pose a serious challenge to the feasibility of potable reuse. Treated wastewater effluent continuously discharged into surface waters represents an ongoing source of contaminants recalcitrant to removal.</w:t>
      </w:r>
    </w:p>
    <w:p w14:paraId="6DED9872" w14:textId="77777777" w:rsidR="004002CB" w:rsidRDefault="004002CB" w:rsidP="005859DB">
      <w:pPr>
        <w:rPr>
          <w:rFonts w:asciiTheme="minorHAnsi" w:hAnsiTheme="minorHAnsi" w:cstheme="minorHAnsi"/>
        </w:rPr>
      </w:pPr>
    </w:p>
    <w:p w14:paraId="0EB66502" w14:textId="2C7B7FBE" w:rsidR="007F3BA0" w:rsidRPr="00E57516" w:rsidRDefault="004002CB" w:rsidP="005859DB">
      <w:pPr>
        <w:rPr>
          <w:rFonts w:asciiTheme="minorHAnsi" w:hAnsiTheme="minorHAnsi" w:cstheme="minorHAnsi"/>
          <w:i/>
        </w:rPr>
        <w:sectPr w:rsidR="007F3BA0" w:rsidRPr="00E57516" w:rsidSect="005C5E5D">
          <w:pgSz w:w="12240" w:h="15840"/>
          <w:pgMar w:top="1440" w:right="1440" w:bottom="1440" w:left="1440" w:header="720" w:footer="720" w:gutter="0"/>
          <w:cols w:space="720"/>
          <w:docGrid w:linePitch="360"/>
        </w:sectPr>
      </w:pPr>
      <w:r w:rsidRPr="0050044C">
        <w:rPr>
          <w:rFonts w:asciiTheme="minorHAnsi" w:hAnsiTheme="minorHAnsi" w:cstheme="minorHAnsi"/>
          <w:b/>
          <w:bCs/>
        </w:rPr>
        <w:t xml:space="preserve">EPA Response: </w:t>
      </w:r>
      <w:r w:rsidRPr="0050044C">
        <w:rPr>
          <w:rFonts w:asciiTheme="minorHAnsi" w:hAnsiTheme="minorHAnsi" w:cstheme="minorHAnsi"/>
          <w:i/>
          <w:iCs/>
        </w:rPr>
        <w:t>EPA has</w:t>
      </w:r>
      <w:r>
        <w:rPr>
          <w:rFonts w:asciiTheme="minorHAnsi" w:hAnsiTheme="minorHAnsi" w:cstheme="minorHAnsi"/>
          <w:i/>
          <w:iCs/>
        </w:rPr>
        <w:t xml:space="preserve"> acknowledged </w:t>
      </w:r>
      <w:r w:rsidRPr="002F6C95">
        <w:rPr>
          <w:rFonts w:asciiTheme="minorHAnsi" w:hAnsiTheme="minorHAnsi" w:cstheme="minorHAnsi"/>
          <w:b/>
          <w:bCs/>
          <w:i/>
          <w:iCs/>
        </w:rPr>
        <w:t>in Chapter 3</w:t>
      </w:r>
      <w:r>
        <w:rPr>
          <w:rFonts w:asciiTheme="minorHAnsi" w:hAnsiTheme="minorHAnsi" w:cstheme="minorHAnsi"/>
          <w:i/>
          <w:iCs/>
        </w:rPr>
        <w:t xml:space="preserve"> of the BEs the indoor uses that can contribute to concentrations in aquatic environments. EPA has also acknowledged that it does not have the information sufficient to model these uses and is using the aquatic concentrations derived for </w:t>
      </w:r>
      <w:r w:rsidR="009004F7">
        <w:rPr>
          <w:rFonts w:asciiTheme="minorHAnsi" w:hAnsiTheme="minorHAnsi" w:cstheme="minorHAnsi"/>
          <w:i/>
          <w:iCs/>
        </w:rPr>
        <w:t>residential</w:t>
      </w:r>
      <w:r>
        <w:rPr>
          <w:rFonts w:asciiTheme="minorHAnsi" w:hAnsiTheme="minorHAnsi" w:cstheme="minorHAnsi"/>
          <w:i/>
          <w:iCs/>
        </w:rPr>
        <w:t xml:space="preserve"> uses as a surrogate for indoor uses. EPA </w:t>
      </w:r>
      <w:r w:rsidR="001D2385">
        <w:rPr>
          <w:rFonts w:asciiTheme="minorHAnsi" w:hAnsiTheme="minorHAnsi" w:cstheme="minorHAnsi"/>
          <w:i/>
          <w:iCs/>
        </w:rPr>
        <w:t>has</w:t>
      </w:r>
      <w:r>
        <w:rPr>
          <w:rFonts w:asciiTheme="minorHAnsi" w:hAnsiTheme="minorHAnsi" w:cstheme="minorHAnsi"/>
          <w:i/>
          <w:iCs/>
        </w:rPr>
        <w:t xml:space="preserve"> include</w:t>
      </w:r>
      <w:r w:rsidR="001D2385">
        <w:rPr>
          <w:rFonts w:asciiTheme="minorHAnsi" w:hAnsiTheme="minorHAnsi" w:cstheme="minorHAnsi"/>
          <w:i/>
          <w:iCs/>
        </w:rPr>
        <w:t>d</w:t>
      </w:r>
      <w:r>
        <w:rPr>
          <w:rFonts w:asciiTheme="minorHAnsi" w:hAnsiTheme="minorHAnsi" w:cstheme="minorHAnsi"/>
          <w:i/>
          <w:iCs/>
        </w:rPr>
        <w:t xml:space="preserve"> a summary of the </w:t>
      </w:r>
      <w:proofErr w:type="spellStart"/>
      <w:r>
        <w:rPr>
          <w:rFonts w:asciiTheme="minorHAnsi" w:hAnsiTheme="minorHAnsi" w:cstheme="minorHAnsi"/>
          <w:i/>
          <w:iCs/>
        </w:rPr>
        <w:t>Sand</w:t>
      </w:r>
      <w:r w:rsidR="00FE0FC5">
        <w:rPr>
          <w:rFonts w:asciiTheme="minorHAnsi" w:hAnsiTheme="minorHAnsi" w:cstheme="minorHAnsi"/>
          <w:i/>
          <w:iCs/>
        </w:rPr>
        <w:t>ar</w:t>
      </w:r>
      <w:r>
        <w:rPr>
          <w:rFonts w:asciiTheme="minorHAnsi" w:hAnsiTheme="minorHAnsi" w:cstheme="minorHAnsi"/>
          <w:i/>
          <w:iCs/>
        </w:rPr>
        <w:t>ia</w:t>
      </w:r>
      <w:proofErr w:type="spellEnd"/>
      <w:r w:rsidR="00FE0FC5">
        <w:rPr>
          <w:rFonts w:asciiTheme="minorHAnsi" w:hAnsiTheme="minorHAnsi" w:cstheme="minorHAnsi"/>
          <w:i/>
          <w:iCs/>
        </w:rPr>
        <w:t xml:space="preserve"> </w:t>
      </w:r>
      <w:r w:rsidR="00937554" w:rsidRPr="003D28DC">
        <w:rPr>
          <w:rFonts w:asciiTheme="minorHAnsi" w:hAnsiTheme="minorHAnsi" w:cstheme="minorHAnsi"/>
        </w:rPr>
        <w:t>et al.</w:t>
      </w:r>
      <w:r w:rsidR="00937554">
        <w:rPr>
          <w:rFonts w:asciiTheme="minorHAnsi" w:hAnsiTheme="minorHAnsi" w:cstheme="minorHAnsi"/>
          <w:i/>
          <w:iCs/>
        </w:rPr>
        <w:t xml:space="preserve"> </w:t>
      </w:r>
      <w:r w:rsidR="00FE0FC5">
        <w:rPr>
          <w:rFonts w:asciiTheme="minorHAnsi" w:hAnsiTheme="minorHAnsi" w:cstheme="minorHAnsi"/>
          <w:i/>
          <w:iCs/>
        </w:rPr>
        <w:t>papers</w:t>
      </w:r>
      <w:r w:rsidR="00937554">
        <w:rPr>
          <w:rFonts w:asciiTheme="minorHAnsi" w:hAnsiTheme="minorHAnsi" w:cstheme="minorHAnsi"/>
          <w:i/>
          <w:iCs/>
        </w:rPr>
        <w:t xml:space="preserve"> (2016; 201</w:t>
      </w:r>
      <w:r w:rsidR="003A4BB9">
        <w:rPr>
          <w:rFonts w:asciiTheme="minorHAnsi" w:hAnsiTheme="minorHAnsi" w:cstheme="minorHAnsi"/>
          <w:i/>
          <w:iCs/>
        </w:rPr>
        <w:t>7</w:t>
      </w:r>
      <w:r w:rsidR="00937554">
        <w:rPr>
          <w:rFonts w:asciiTheme="minorHAnsi" w:hAnsiTheme="minorHAnsi" w:cstheme="minorHAnsi"/>
          <w:i/>
          <w:iCs/>
        </w:rPr>
        <w:t>)</w:t>
      </w:r>
      <w:r w:rsidR="00FE0FC5">
        <w:rPr>
          <w:rFonts w:asciiTheme="minorHAnsi" w:hAnsiTheme="minorHAnsi" w:cstheme="minorHAnsi"/>
          <w:i/>
          <w:iCs/>
        </w:rPr>
        <w:t xml:space="preserve"> in </w:t>
      </w:r>
      <w:r w:rsidR="00FE0FC5" w:rsidRPr="00421AE0">
        <w:rPr>
          <w:rFonts w:asciiTheme="minorHAnsi" w:hAnsiTheme="minorHAnsi" w:cstheme="minorHAnsi"/>
          <w:b/>
          <w:bCs/>
          <w:i/>
          <w:iCs/>
        </w:rPr>
        <w:t xml:space="preserve">Appendix </w:t>
      </w:r>
      <w:r w:rsidR="009004F7" w:rsidRPr="00421AE0">
        <w:rPr>
          <w:rFonts w:asciiTheme="minorHAnsi" w:hAnsiTheme="minorHAnsi" w:cstheme="minorHAnsi"/>
          <w:b/>
          <w:bCs/>
          <w:i/>
          <w:iCs/>
        </w:rPr>
        <w:t>B</w:t>
      </w:r>
      <w:r w:rsidR="00E142FC">
        <w:rPr>
          <w:rFonts w:asciiTheme="minorHAnsi" w:hAnsiTheme="minorHAnsi" w:cstheme="minorHAnsi"/>
          <w:i/>
          <w:iCs/>
        </w:rPr>
        <w:t xml:space="preserve">, as well as a comparison of the modeled concentrations to those in municipal </w:t>
      </w:r>
      <w:r w:rsidR="00E142FC">
        <w:rPr>
          <w:rFonts w:asciiTheme="minorHAnsi" w:hAnsiTheme="minorHAnsi" w:cstheme="minorHAnsi"/>
          <w:i/>
          <w:iCs/>
        </w:rPr>
        <w:lastRenderedPageBreak/>
        <w:t>wastewater. EPA will work with the Services</w:t>
      </w:r>
      <w:r w:rsidR="00622703">
        <w:rPr>
          <w:rFonts w:asciiTheme="minorHAnsi" w:hAnsiTheme="minorHAnsi" w:cstheme="minorHAnsi"/>
          <w:i/>
          <w:iCs/>
        </w:rPr>
        <w:t>, as necessary,</w:t>
      </w:r>
      <w:r w:rsidR="00E142FC">
        <w:rPr>
          <w:rFonts w:asciiTheme="minorHAnsi" w:hAnsiTheme="minorHAnsi" w:cstheme="minorHAnsi"/>
          <w:i/>
          <w:iCs/>
        </w:rPr>
        <w:t xml:space="preserve"> on finding ways to mitigate impact</w:t>
      </w:r>
      <w:r w:rsidR="009C6962">
        <w:rPr>
          <w:rFonts w:asciiTheme="minorHAnsi" w:hAnsiTheme="minorHAnsi" w:cstheme="minorHAnsi"/>
          <w:i/>
          <w:iCs/>
        </w:rPr>
        <w:t>s</w:t>
      </w:r>
      <w:r w:rsidR="00E142FC">
        <w:rPr>
          <w:rFonts w:asciiTheme="minorHAnsi" w:hAnsiTheme="minorHAnsi" w:cstheme="minorHAnsi"/>
          <w:i/>
          <w:iCs/>
        </w:rPr>
        <w:t xml:space="preserve"> of neonicotinoids in municipal wastewater on listed species.</w:t>
      </w:r>
    </w:p>
    <w:p w14:paraId="13DF260E" w14:textId="77777777" w:rsidR="004531CA" w:rsidRPr="0078296B" w:rsidRDefault="004531CA" w:rsidP="005859DB">
      <w:pPr>
        <w:pStyle w:val="Heading1"/>
      </w:pPr>
      <w:bookmarkStart w:id="44" w:name="_Toc106187579"/>
      <w:r>
        <w:lastRenderedPageBreak/>
        <w:t>3</w:t>
      </w:r>
      <w:r>
        <w:tab/>
      </w:r>
      <w:r w:rsidRPr="0078296B">
        <w:t>Responses to Public Comments Specific to Imidacloprid</w:t>
      </w:r>
      <w:bookmarkEnd w:id="44"/>
    </w:p>
    <w:p w14:paraId="44B7CC8C" w14:textId="21B69C73" w:rsidR="000B0A95" w:rsidRPr="00721481" w:rsidRDefault="000B0A95" w:rsidP="005859DB">
      <w:pPr>
        <w:rPr>
          <w:rFonts w:asciiTheme="minorHAnsi" w:hAnsiTheme="minorHAnsi" w:cstheme="minorHAnsi"/>
          <w:b/>
          <w:bCs/>
        </w:rPr>
      </w:pPr>
    </w:p>
    <w:p w14:paraId="6C518A56" w14:textId="2CD098A0" w:rsidR="00AA45AC" w:rsidRDefault="00DC3C60" w:rsidP="00AA45AC">
      <w:pPr>
        <w:rPr>
          <w:rFonts w:asciiTheme="minorHAnsi" w:eastAsia="Times New Roman" w:hAnsiTheme="minorHAnsi" w:cstheme="minorHAnsi"/>
        </w:rPr>
      </w:pPr>
      <w:r>
        <w:rPr>
          <w:rFonts w:asciiTheme="minorHAnsi" w:hAnsiTheme="minorHAnsi" w:cstheme="minorHAnsi"/>
          <w:b/>
          <w:bCs/>
        </w:rPr>
        <w:t>Commenter</w:t>
      </w:r>
      <w:r w:rsidR="00AA45AC" w:rsidRPr="00E00B90">
        <w:rPr>
          <w:rFonts w:asciiTheme="minorHAnsi" w:hAnsiTheme="minorHAnsi" w:cstheme="minorHAnsi"/>
        </w:rPr>
        <w:t xml:space="preserve">: </w:t>
      </w:r>
      <w:r w:rsidR="00AA45AC" w:rsidRPr="00E00B90">
        <w:rPr>
          <w:rFonts w:asciiTheme="minorHAnsi" w:eastAsia="Times New Roman" w:hAnsiTheme="minorHAnsi" w:cstheme="minorHAnsi"/>
        </w:rPr>
        <w:t>Nufarm Americas Inc. (-0054)</w:t>
      </w:r>
    </w:p>
    <w:p w14:paraId="0F34F4BD" w14:textId="77777777" w:rsidR="00AA45AC" w:rsidRPr="00E00B90" w:rsidRDefault="00AA45AC" w:rsidP="00AA45AC">
      <w:pPr>
        <w:rPr>
          <w:rFonts w:asciiTheme="minorHAnsi" w:eastAsia="Times New Roman" w:hAnsiTheme="minorHAnsi" w:cstheme="minorHAnsi"/>
          <w:b/>
          <w:bCs/>
        </w:rPr>
      </w:pPr>
    </w:p>
    <w:p w14:paraId="7D9DB4EC" w14:textId="0588040E" w:rsidR="00AA45AC" w:rsidRDefault="00AA45AC" w:rsidP="00AA45AC">
      <w:pPr>
        <w:rPr>
          <w:rFonts w:asciiTheme="minorHAnsi" w:eastAsia="Times New Roman" w:hAnsiTheme="minorHAnsi" w:cstheme="minorHAnsi"/>
        </w:rPr>
      </w:pPr>
      <w:r w:rsidRPr="00E00B90">
        <w:rPr>
          <w:rFonts w:asciiTheme="minorHAnsi" w:eastAsia="Times New Roman" w:hAnsiTheme="minorHAnsi" w:cstheme="minorHAnsi"/>
          <w:b/>
          <w:bCs/>
        </w:rPr>
        <w:t>Summary of Comment:</w:t>
      </w:r>
      <w:r w:rsidRPr="00E00B90">
        <w:rPr>
          <w:rFonts w:asciiTheme="minorHAnsi" w:eastAsia="Times New Roman" w:hAnsiTheme="minorHAnsi" w:cstheme="minorHAnsi"/>
        </w:rPr>
        <w:t xml:space="preserve"> Nufarm compared the foliar maximum annual rates used in the imidacloprid BE Appendix 1-3 to the labeled rates. Nufarm stated that the annual maximum rates for foliar applications to Christmas trees modeled in the BE (0.49 lbs AI/A/year) are not the maximum annual rate labeled (0.4 lbs AI/A/year). Nufarm also stated that the annual maximum rates for foliar applications of turf- sod and turf- golf courses modeled (0.5 lbs AI/A/</w:t>
      </w:r>
      <w:proofErr w:type="spellStart"/>
      <w:r w:rsidRPr="00E00B90">
        <w:rPr>
          <w:rFonts w:asciiTheme="minorHAnsi" w:eastAsia="Times New Roman" w:hAnsiTheme="minorHAnsi" w:cstheme="minorHAnsi"/>
        </w:rPr>
        <w:t>Yr</w:t>
      </w:r>
      <w:proofErr w:type="spellEnd"/>
      <w:r w:rsidRPr="00E00B90">
        <w:rPr>
          <w:rFonts w:asciiTheme="minorHAnsi" w:eastAsia="Times New Roman" w:hAnsiTheme="minorHAnsi" w:cstheme="minorHAnsi"/>
        </w:rPr>
        <w:t>) are not the maximum annual rates labeled (0.4 lbs AI/A/</w:t>
      </w:r>
      <w:proofErr w:type="spellStart"/>
      <w:r w:rsidRPr="00E00B90">
        <w:rPr>
          <w:rFonts w:asciiTheme="minorHAnsi" w:eastAsia="Times New Roman" w:hAnsiTheme="minorHAnsi" w:cstheme="minorHAnsi"/>
        </w:rPr>
        <w:t>Yr</w:t>
      </w:r>
      <w:proofErr w:type="spellEnd"/>
      <w:r w:rsidRPr="00E00B90">
        <w:rPr>
          <w:rFonts w:asciiTheme="minorHAnsi" w:eastAsia="Times New Roman" w:hAnsiTheme="minorHAnsi" w:cstheme="minorHAnsi"/>
        </w:rPr>
        <w:t xml:space="preserve">). Nufarm noted that there are no aerial application methods currently on imidacloprid labels for turf and ornamental uses, though these uses were assessed in the BE. The </w:t>
      </w:r>
      <w:r w:rsidR="00DC3C60">
        <w:rPr>
          <w:rFonts w:asciiTheme="minorHAnsi" w:eastAsia="Times New Roman" w:hAnsiTheme="minorHAnsi" w:cstheme="minorHAnsi"/>
        </w:rPr>
        <w:t>commenter</w:t>
      </w:r>
      <w:r w:rsidRPr="00E00B90">
        <w:rPr>
          <w:rFonts w:asciiTheme="minorHAnsi" w:eastAsia="Times New Roman" w:hAnsiTheme="minorHAnsi" w:cstheme="minorHAnsi"/>
        </w:rPr>
        <w:t xml:space="preserve"> has offered to share sales data to refine the risk assessments. Nufarm stated that the application rates used in the BE modeling are not suited to fit the worst case scenario, but rather we should consider temporal data regarding certain species to better characterize risks. </w:t>
      </w:r>
    </w:p>
    <w:p w14:paraId="2632BFC4" w14:textId="77777777" w:rsidR="00AA45AC" w:rsidRPr="00E00B90" w:rsidRDefault="00AA45AC" w:rsidP="00AA45AC">
      <w:pPr>
        <w:rPr>
          <w:rFonts w:asciiTheme="minorHAnsi" w:eastAsia="Times New Roman" w:hAnsiTheme="minorHAnsi" w:cstheme="minorHAnsi"/>
        </w:rPr>
      </w:pPr>
    </w:p>
    <w:p w14:paraId="03F389C3" w14:textId="25A00EB0" w:rsidR="00AA45AC" w:rsidRPr="00BA03C4" w:rsidRDefault="00AA45AC" w:rsidP="00AA45AC">
      <w:pPr>
        <w:rPr>
          <w:rFonts w:asciiTheme="minorHAnsi" w:eastAsia="Times New Roman" w:hAnsiTheme="minorHAnsi" w:cstheme="minorHAnsi"/>
          <w:i/>
          <w:iCs/>
        </w:rPr>
      </w:pPr>
      <w:r w:rsidRPr="00E00B90">
        <w:rPr>
          <w:rFonts w:asciiTheme="minorHAnsi" w:eastAsia="Times New Roman" w:hAnsiTheme="minorHAnsi" w:cstheme="minorHAnsi"/>
          <w:b/>
          <w:bCs/>
        </w:rPr>
        <w:t xml:space="preserve">EPA Response: </w:t>
      </w:r>
      <w:r w:rsidRPr="00AA45AC">
        <w:rPr>
          <w:rFonts w:asciiTheme="minorHAnsi" w:eastAsia="Times New Roman" w:hAnsiTheme="minorHAnsi" w:cstheme="minorHAnsi"/>
          <w:i/>
          <w:iCs/>
        </w:rPr>
        <w:t xml:space="preserve">The Agency </w:t>
      </w:r>
      <w:r w:rsidRPr="00BA03C4">
        <w:rPr>
          <w:rFonts w:asciiTheme="minorHAnsi" w:eastAsia="Times New Roman" w:hAnsiTheme="minorHAnsi" w:cstheme="minorHAnsi"/>
          <w:i/>
          <w:iCs/>
        </w:rPr>
        <w:t xml:space="preserve">appreciates </w:t>
      </w:r>
      <w:proofErr w:type="spellStart"/>
      <w:r w:rsidR="00A30DEA">
        <w:rPr>
          <w:rFonts w:asciiTheme="minorHAnsi" w:eastAsia="Times New Roman" w:hAnsiTheme="minorHAnsi" w:cstheme="minorHAnsi"/>
          <w:i/>
          <w:iCs/>
        </w:rPr>
        <w:t>Nufarm’s</w:t>
      </w:r>
      <w:proofErr w:type="spellEnd"/>
      <w:r w:rsidRPr="00BA03C4">
        <w:rPr>
          <w:rFonts w:asciiTheme="minorHAnsi" w:eastAsia="Times New Roman" w:hAnsiTheme="minorHAnsi" w:cstheme="minorHAnsi"/>
          <w:i/>
          <w:iCs/>
        </w:rPr>
        <w:t xml:space="preserve"> willingness to share sales data with the Agency to refine the risk assessments. However, sales data are not indicative of where and how a pesticide is applied. </w:t>
      </w:r>
    </w:p>
    <w:p w14:paraId="30F8C33A" w14:textId="77777777" w:rsidR="00AA45AC" w:rsidRPr="00BA03C4" w:rsidRDefault="00AA45AC" w:rsidP="00AA45AC">
      <w:pPr>
        <w:rPr>
          <w:rFonts w:asciiTheme="minorHAnsi" w:eastAsia="Times New Roman" w:hAnsiTheme="minorHAnsi" w:cstheme="minorHAnsi"/>
          <w:i/>
          <w:iCs/>
        </w:rPr>
      </w:pPr>
    </w:p>
    <w:p w14:paraId="52664330" w14:textId="742885FD" w:rsidR="00AA45AC" w:rsidRPr="00BA03C4" w:rsidRDefault="00AA45AC" w:rsidP="00AA45AC">
      <w:pPr>
        <w:rPr>
          <w:rFonts w:asciiTheme="minorHAnsi" w:eastAsia="Times New Roman" w:hAnsiTheme="minorHAnsi" w:cstheme="minorHAnsi"/>
          <w:i/>
          <w:iCs/>
        </w:rPr>
      </w:pPr>
      <w:r w:rsidRPr="00BA03C4">
        <w:rPr>
          <w:rFonts w:asciiTheme="minorHAnsi" w:eastAsia="Times New Roman" w:hAnsiTheme="minorHAnsi" w:cstheme="minorHAnsi"/>
          <w:i/>
          <w:iCs/>
        </w:rPr>
        <w:t>EPA has identified several imidacloprid registrations for Christmas trees which have an annual application rate of 0.5 lbs AI/A/year (91234-139, 264-758, 264-827, 264-823,</w:t>
      </w:r>
      <w:r w:rsidRPr="00406A53">
        <w:rPr>
          <w:rFonts w:asciiTheme="minorHAnsi" w:eastAsia="Times New Roman" w:hAnsiTheme="minorHAnsi" w:cstheme="minorHAnsi"/>
        </w:rPr>
        <w:t xml:space="preserve"> etc</w:t>
      </w:r>
      <w:r w:rsidR="009C30D1">
        <w:rPr>
          <w:rFonts w:asciiTheme="minorHAnsi" w:eastAsia="Times New Roman" w:hAnsiTheme="minorHAnsi" w:cstheme="minorHAnsi"/>
          <w:i/>
          <w:iCs/>
        </w:rPr>
        <w:t>.</w:t>
      </w:r>
      <w:r w:rsidRPr="00BA03C4">
        <w:rPr>
          <w:rFonts w:asciiTheme="minorHAnsi" w:eastAsia="Times New Roman" w:hAnsiTheme="minorHAnsi" w:cstheme="minorHAnsi"/>
          <w:i/>
          <w:iCs/>
        </w:rPr>
        <w:t xml:space="preserve">). Therefore, EPA has concluded that the imidacloprid annual foliar maximum application rate used in the BE for Christmas trees is correct. </w:t>
      </w:r>
    </w:p>
    <w:p w14:paraId="382C6E57" w14:textId="77777777" w:rsidR="00AA45AC" w:rsidRPr="00BA03C4" w:rsidRDefault="00AA45AC" w:rsidP="00AA45AC">
      <w:pPr>
        <w:rPr>
          <w:rFonts w:asciiTheme="minorHAnsi" w:eastAsia="Times New Roman" w:hAnsiTheme="minorHAnsi" w:cstheme="minorHAnsi"/>
          <w:i/>
          <w:iCs/>
        </w:rPr>
      </w:pPr>
    </w:p>
    <w:p w14:paraId="1B91DAA5" w14:textId="632C15A0" w:rsidR="00AA45AC" w:rsidRPr="00BA03C4" w:rsidRDefault="00AA45AC" w:rsidP="00AA45AC">
      <w:pPr>
        <w:rPr>
          <w:rFonts w:asciiTheme="minorHAnsi" w:eastAsia="Times New Roman" w:hAnsiTheme="minorHAnsi" w:cstheme="minorHAnsi"/>
          <w:i/>
          <w:iCs/>
        </w:rPr>
      </w:pPr>
      <w:r w:rsidRPr="00BA03C4">
        <w:rPr>
          <w:rFonts w:asciiTheme="minorHAnsi" w:eastAsia="Times New Roman" w:hAnsiTheme="minorHAnsi" w:cstheme="minorHAnsi"/>
          <w:i/>
          <w:iCs/>
        </w:rPr>
        <w:t xml:space="preserve">The Agency agrees with Nufarm that their label for imidacloprid has a maximum foliar labeled rate for turf-sod and turf-golf courses of 0.4 lbs AI/A/Yr. </w:t>
      </w:r>
      <w:r w:rsidR="00943E1C">
        <w:rPr>
          <w:rFonts w:asciiTheme="minorHAnsi" w:eastAsia="Times New Roman" w:hAnsiTheme="minorHAnsi" w:cstheme="minorHAnsi"/>
          <w:i/>
          <w:iCs/>
        </w:rPr>
        <w:t xml:space="preserve">The modeled rate at 0.5 lbs </w:t>
      </w:r>
      <w:proofErr w:type="spellStart"/>
      <w:r w:rsidR="00943E1C">
        <w:rPr>
          <w:rFonts w:asciiTheme="minorHAnsi" w:eastAsia="Times New Roman" w:hAnsiTheme="minorHAnsi" w:cstheme="minorHAnsi"/>
          <w:i/>
          <w:iCs/>
        </w:rPr>
        <w:t>a.i</w:t>
      </w:r>
      <w:proofErr w:type="spellEnd"/>
      <w:r w:rsidR="00943E1C">
        <w:rPr>
          <w:rFonts w:asciiTheme="minorHAnsi" w:eastAsia="Times New Roman" w:hAnsiTheme="minorHAnsi" w:cstheme="minorHAnsi"/>
          <w:i/>
          <w:iCs/>
        </w:rPr>
        <w:t xml:space="preserve">/A reflects the stated use information for turf on </w:t>
      </w:r>
      <w:r w:rsidR="00A37251">
        <w:rPr>
          <w:rFonts w:asciiTheme="minorHAnsi" w:eastAsia="Times New Roman" w:hAnsiTheme="minorHAnsi" w:cstheme="minorHAnsi"/>
          <w:i/>
          <w:iCs/>
        </w:rPr>
        <w:t xml:space="preserve">label </w:t>
      </w:r>
      <w:r w:rsidR="00943E1C">
        <w:rPr>
          <w:rFonts w:asciiTheme="minorHAnsi" w:eastAsia="Times New Roman" w:hAnsiTheme="minorHAnsi" w:cstheme="minorHAnsi"/>
          <w:i/>
          <w:iCs/>
        </w:rPr>
        <w:t>use directions from another registrant.</w:t>
      </w:r>
      <w:r w:rsidR="00202276">
        <w:rPr>
          <w:rFonts w:asciiTheme="minorHAnsi" w:eastAsia="Times New Roman" w:hAnsiTheme="minorHAnsi" w:cstheme="minorHAnsi"/>
          <w:i/>
          <w:iCs/>
        </w:rPr>
        <w:t xml:space="preserve"> </w:t>
      </w:r>
    </w:p>
    <w:p w14:paraId="457DBA04" w14:textId="77777777" w:rsidR="00AA45AC" w:rsidRPr="00BA03C4" w:rsidRDefault="00AA45AC" w:rsidP="00AA45AC">
      <w:pPr>
        <w:rPr>
          <w:rFonts w:asciiTheme="minorHAnsi" w:eastAsia="Times New Roman" w:hAnsiTheme="minorHAnsi" w:cstheme="minorHAnsi"/>
          <w:i/>
          <w:iCs/>
        </w:rPr>
      </w:pPr>
    </w:p>
    <w:p w14:paraId="03560FA3" w14:textId="48C88734" w:rsidR="00AA45AC" w:rsidRPr="00BA03C4" w:rsidRDefault="00AA45AC" w:rsidP="00AA45AC">
      <w:pPr>
        <w:rPr>
          <w:rFonts w:asciiTheme="minorHAnsi" w:eastAsia="Times New Roman" w:hAnsiTheme="minorHAnsi" w:cstheme="minorHAnsi"/>
          <w:i/>
          <w:iCs/>
        </w:rPr>
      </w:pPr>
      <w:r w:rsidRPr="00BA03C4">
        <w:rPr>
          <w:rFonts w:asciiTheme="minorHAnsi" w:eastAsia="Times New Roman" w:hAnsiTheme="minorHAnsi" w:cstheme="minorHAnsi"/>
          <w:i/>
          <w:iCs/>
        </w:rPr>
        <w:t xml:space="preserve">The Agency has reviewed labels associated with turf and ornamental uses with respect to aerial application method information. While some labels indicate that aerial applications are prohibited, other labels leave it open for interpretation whether aerial may be used, such as indicating that the product may be applied in a broadcast method. Due to aerial applications not being explicitly prohibited on the labels, the Agency determined it was necessary to assess these use sites for aerial application methods as well. </w:t>
      </w:r>
    </w:p>
    <w:p w14:paraId="5F43E6D9" w14:textId="77777777" w:rsidR="00AA45AC" w:rsidRDefault="00AA45AC" w:rsidP="005859DB">
      <w:pPr>
        <w:pStyle w:val="Default"/>
        <w:rPr>
          <w:rFonts w:asciiTheme="minorHAnsi" w:hAnsiTheme="minorHAnsi" w:cstheme="minorHAnsi"/>
          <w:b/>
          <w:bCs/>
          <w:sz w:val="22"/>
          <w:szCs w:val="22"/>
        </w:rPr>
      </w:pPr>
    </w:p>
    <w:p w14:paraId="708BCE28" w14:textId="351132A5" w:rsidR="00243AA4" w:rsidRPr="006A78F6" w:rsidRDefault="00243AA4" w:rsidP="005859DB">
      <w:pPr>
        <w:pStyle w:val="Default"/>
        <w:rPr>
          <w:rFonts w:asciiTheme="minorHAnsi" w:hAnsiTheme="minorHAnsi" w:cstheme="minorHAnsi"/>
          <w:sz w:val="22"/>
          <w:szCs w:val="22"/>
        </w:rPr>
      </w:pPr>
      <w:r w:rsidRPr="00721481">
        <w:rPr>
          <w:rFonts w:asciiTheme="minorHAnsi" w:hAnsiTheme="minorHAnsi" w:cstheme="minorHAnsi"/>
          <w:b/>
          <w:bCs/>
          <w:sz w:val="22"/>
          <w:szCs w:val="22"/>
        </w:rPr>
        <w:t>Comment:</w:t>
      </w:r>
      <w:r w:rsidRPr="00721481">
        <w:rPr>
          <w:rFonts w:asciiTheme="minorHAnsi" w:hAnsiTheme="minorHAnsi" w:cstheme="minorHAnsi"/>
          <w:sz w:val="22"/>
          <w:szCs w:val="22"/>
        </w:rPr>
        <w:t xml:space="preserve"> </w:t>
      </w:r>
      <w:r w:rsidRPr="006A78F6">
        <w:rPr>
          <w:rFonts w:asciiTheme="minorHAnsi" w:hAnsiTheme="minorHAnsi" w:cstheme="minorHAnsi"/>
          <w:sz w:val="22"/>
          <w:szCs w:val="22"/>
        </w:rPr>
        <w:t xml:space="preserve">The </w:t>
      </w:r>
      <w:r>
        <w:rPr>
          <w:rFonts w:asciiTheme="minorHAnsi" w:hAnsiTheme="minorHAnsi" w:cstheme="minorHAnsi"/>
          <w:sz w:val="22"/>
          <w:szCs w:val="22"/>
        </w:rPr>
        <w:t>d</w:t>
      </w:r>
      <w:r w:rsidRPr="006A78F6">
        <w:rPr>
          <w:rFonts w:asciiTheme="minorHAnsi" w:hAnsiTheme="minorHAnsi" w:cstheme="minorHAnsi"/>
          <w:sz w:val="22"/>
          <w:szCs w:val="22"/>
        </w:rPr>
        <w:t xml:space="preserve">raft BE </w:t>
      </w:r>
      <w:r>
        <w:rPr>
          <w:rFonts w:asciiTheme="minorHAnsi" w:hAnsiTheme="minorHAnsi" w:cstheme="minorHAnsi"/>
          <w:sz w:val="22"/>
          <w:szCs w:val="22"/>
        </w:rPr>
        <w:t>d</w:t>
      </w:r>
      <w:r w:rsidRPr="006A78F6">
        <w:rPr>
          <w:rFonts w:asciiTheme="minorHAnsi" w:hAnsiTheme="minorHAnsi" w:cstheme="minorHAnsi"/>
          <w:sz w:val="22"/>
          <w:szCs w:val="22"/>
        </w:rPr>
        <w:t xml:space="preserve">oes </w:t>
      </w:r>
      <w:r>
        <w:rPr>
          <w:rFonts w:asciiTheme="minorHAnsi" w:hAnsiTheme="minorHAnsi" w:cstheme="minorHAnsi"/>
          <w:sz w:val="22"/>
          <w:szCs w:val="22"/>
        </w:rPr>
        <w:t>n</w:t>
      </w:r>
      <w:r w:rsidRPr="006A78F6">
        <w:rPr>
          <w:rFonts w:asciiTheme="minorHAnsi" w:hAnsiTheme="minorHAnsi" w:cstheme="minorHAnsi"/>
          <w:sz w:val="22"/>
          <w:szCs w:val="22"/>
        </w:rPr>
        <w:t xml:space="preserve">ot </w:t>
      </w:r>
      <w:r>
        <w:rPr>
          <w:rFonts w:asciiTheme="minorHAnsi" w:hAnsiTheme="minorHAnsi" w:cstheme="minorHAnsi"/>
          <w:sz w:val="22"/>
          <w:szCs w:val="22"/>
        </w:rPr>
        <w:t>a</w:t>
      </w:r>
      <w:r w:rsidRPr="006A78F6">
        <w:rPr>
          <w:rFonts w:asciiTheme="minorHAnsi" w:hAnsiTheme="minorHAnsi" w:cstheme="minorHAnsi"/>
          <w:sz w:val="22"/>
          <w:szCs w:val="22"/>
        </w:rPr>
        <w:t xml:space="preserve">ccount </w:t>
      </w:r>
      <w:r>
        <w:rPr>
          <w:rFonts w:asciiTheme="minorHAnsi" w:hAnsiTheme="minorHAnsi" w:cstheme="minorHAnsi"/>
          <w:sz w:val="22"/>
          <w:szCs w:val="22"/>
        </w:rPr>
        <w:t>f</w:t>
      </w:r>
      <w:r w:rsidRPr="006A78F6">
        <w:rPr>
          <w:rFonts w:asciiTheme="minorHAnsi" w:hAnsiTheme="minorHAnsi" w:cstheme="minorHAnsi"/>
          <w:sz w:val="22"/>
          <w:szCs w:val="22"/>
        </w:rPr>
        <w:t xml:space="preserve">or </w:t>
      </w:r>
      <w:r>
        <w:rPr>
          <w:rFonts w:asciiTheme="minorHAnsi" w:hAnsiTheme="minorHAnsi" w:cstheme="minorHAnsi"/>
          <w:sz w:val="22"/>
          <w:szCs w:val="22"/>
        </w:rPr>
        <w:t>r</w:t>
      </w:r>
      <w:r w:rsidRPr="006A78F6">
        <w:rPr>
          <w:rFonts w:asciiTheme="minorHAnsi" w:hAnsiTheme="minorHAnsi" w:cstheme="minorHAnsi"/>
          <w:sz w:val="22"/>
          <w:szCs w:val="22"/>
        </w:rPr>
        <w:t>egional</w:t>
      </w:r>
      <w:r w:rsidR="00F418B5">
        <w:rPr>
          <w:rFonts w:asciiTheme="minorHAnsi" w:hAnsiTheme="minorHAnsi" w:cstheme="minorHAnsi"/>
          <w:sz w:val="22"/>
          <w:szCs w:val="22"/>
        </w:rPr>
        <w:t>-</w:t>
      </w:r>
      <w:r>
        <w:rPr>
          <w:rFonts w:asciiTheme="minorHAnsi" w:hAnsiTheme="minorHAnsi" w:cstheme="minorHAnsi"/>
          <w:sz w:val="22"/>
          <w:szCs w:val="22"/>
        </w:rPr>
        <w:t>s</w:t>
      </w:r>
      <w:r w:rsidRPr="006A78F6">
        <w:rPr>
          <w:rFonts w:asciiTheme="minorHAnsi" w:hAnsiTheme="minorHAnsi" w:cstheme="minorHAnsi"/>
          <w:sz w:val="22"/>
          <w:szCs w:val="22"/>
        </w:rPr>
        <w:t xml:space="preserve">pecific </w:t>
      </w:r>
      <w:r>
        <w:rPr>
          <w:rFonts w:asciiTheme="minorHAnsi" w:hAnsiTheme="minorHAnsi" w:cstheme="minorHAnsi"/>
          <w:sz w:val="22"/>
          <w:szCs w:val="22"/>
        </w:rPr>
        <w:t>u</w:t>
      </w:r>
      <w:r w:rsidRPr="006A78F6">
        <w:rPr>
          <w:rFonts w:asciiTheme="minorHAnsi" w:hAnsiTheme="minorHAnsi" w:cstheme="minorHAnsi"/>
          <w:sz w:val="22"/>
          <w:szCs w:val="22"/>
        </w:rPr>
        <w:t xml:space="preserve">se </w:t>
      </w:r>
      <w:r>
        <w:rPr>
          <w:rFonts w:asciiTheme="minorHAnsi" w:hAnsiTheme="minorHAnsi" w:cstheme="minorHAnsi"/>
          <w:sz w:val="22"/>
          <w:szCs w:val="22"/>
        </w:rPr>
        <w:t>r</w:t>
      </w:r>
      <w:r w:rsidRPr="006A78F6">
        <w:rPr>
          <w:rFonts w:asciiTheme="minorHAnsi" w:hAnsiTheme="minorHAnsi" w:cstheme="minorHAnsi"/>
          <w:sz w:val="22"/>
          <w:szCs w:val="22"/>
        </w:rPr>
        <w:t xml:space="preserve">estrictions, </w:t>
      </w:r>
      <w:r>
        <w:rPr>
          <w:rFonts w:asciiTheme="minorHAnsi" w:hAnsiTheme="minorHAnsi" w:cstheme="minorHAnsi"/>
          <w:sz w:val="22"/>
          <w:szCs w:val="22"/>
        </w:rPr>
        <w:t>i</w:t>
      </w:r>
      <w:r w:rsidRPr="006A78F6">
        <w:rPr>
          <w:rFonts w:asciiTheme="minorHAnsi" w:hAnsiTheme="minorHAnsi" w:cstheme="minorHAnsi"/>
          <w:sz w:val="22"/>
          <w:szCs w:val="22"/>
        </w:rPr>
        <w:t xml:space="preserve">nflating </w:t>
      </w:r>
      <w:r>
        <w:rPr>
          <w:rFonts w:asciiTheme="minorHAnsi" w:hAnsiTheme="minorHAnsi" w:cstheme="minorHAnsi"/>
          <w:sz w:val="22"/>
          <w:szCs w:val="22"/>
        </w:rPr>
        <w:t xml:space="preserve">the </w:t>
      </w:r>
      <w:r w:rsidRPr="006A78F6">
        <w:rPr>
          <w:rFonts w:asciiTheme="minorHAnsi" w:hAnsiTheme="minorHAnsi" w:cstheme="minorHAnsi"/>
          <w:sz w:val="22"/>
          <w:szCs w:val="22"/>
        </w:rPr>
        <w:t>Action Area</w:t>
      </w:r>
      <w:r>
        <w:rPr>
          <w:rFonts w:asciiTheme="minorHAnsi" w:hAnsiTheme="minorHAnsi" w:cstheme="minorHAnsi"/>
          <w:sz w:val="22"/>
          <w:szCs w:val="22"/>
        </w:rPr>
        <w:t xml:space="preserve">. </w:t>
      </w:r>
      <w:r w:rsidRPr="00553605">
        <w:rPr>
          <w:rFonts w:asciiTheme="minorHAnsi" w:hAnsiTheme="minorHAnsi" w:cstheme="minorHAnsi"/>
          <w:sz w:val="22"/>
          <w:szCs w:val="22"/>
        </w:rPr>
        <w:t>In excess of 7 million acres of state-owned lands have implemented use restrictions that are not</w:t>
      </w:r>
      <w:r w:rsidR="00321B4B">
        <w:rPr>
          <w:rFonts w:asciiTheme="minorHAnsi" w:hAnsiTheme="minorHAnsi" w:cstheme="minorHAnsi"/>
          <w:sz w:val="22"/>
          <w:szCs w:val="22"/>
        </w:rPr>
        <w:t xml:space="preserve"> </w:t>
      </w:r>
      <w:r w:rsidRPr="00553605">
        <w:rPr>
          <w:rFonts w:asciiTheme="minorHAnsi" w:hAnsiTheme="minorHAnsi" w:cstheme="minorHAnsi"/>
          <w:sz w:val="22"/>
          <w:szCs w:val="22"/>
        </w:rPr>
        <w:t>considered in the draft BE. EPA should obtain this information from appropriate state</w:t>
      </w:r>
      <w:r w:rsidR="00321B4B">
        <w:rPr>
          <w:rFonts w:asciiTheme="minorHAnsi" w:hAnsiTheme="minorHAnsi" w:cstheme="minorHAnsi"/>
          <w:sz w:val="22"/>
          <w:szCs w:val="22"/>
        </w:rPr>
        <w:t xml:space="preserve"> </w:t>
      </w:r>
      <w:r w:rsidRPr="00553605">
        <w:rPr>
          <w:rFonts w:asciiTheme="minorHAnsi" w:hAnsiTheme="minorHAnsi" w:cstheme="minorHAnsi"/>
          <w:sz w:val="22"/>
          <w:szCs w:val="22"/>
        </w:rPr>
        <w:t>organizations and</w:t>
      </w:r>
      <w:r w:rsidR="00321B4B">
        <w:rPr>
          <w:rFonts w:asciiTheme="minorHAnsi" w:hAnsiTheme="minorHAnsi" w:cstheme="minorHAnsi"/>
          <w:sz w:val="22"/>
          <w:szCs w:val="22"/>
        </w:rPr>
        <w:t xml:space="preserve"> </w:t>
      </w:r>
      <w:r w:rsidRPr="00553605">
        <w:rPr>
          <w:rFonts w:asciiTheme="minorHAnsi" w:hAnsiTheme="minorHAnsi" w:cstheme="minorHAnsi"/>
          <w:sz w:val="22"/>
          <w:szCs w:val="22"/>
        </w:rPr>
        <w:t>make the proper adjustments for the final BE.</w:t>
      </w:r>
    </w:p>
    <w:p w14:paraId="3E70B736" w14:textId="77777777" w:rsidR="00243AA4" w:rsidRPr="00061ACD" w:rsidRDefault="00243AA4" w:rsidP="005859DB">
      <w:pPr>
        <w:pStyle w:val="Default"/>
        <w:rPr>
          <w:rFonts w:asciiTheme="minorHAnsi" w:hAnsiTheme="minorHAnsi" w:cstheme="minorHAnsi"/>
          <w:b/>
          <w:bCs/>
          <w:i/>
          <w:iCs/>
          <w:sz w:val="22"/>
          <w:szCs w:val="22"/>
        </w:rPr>
      </w:pPr>
    </w:p>
    <w:p w14:paraId="05317500" w14:textId="7E660FD3" w:rsidR="00243AA4" w:rsidRPr="005F4E5B" w:rsidRDefault="00243AA4" w:rsidP="005859DB">
      <w:pPr>
        <w:pStyle w:val="Default"/>
        <w:rPr>
          <w:rFonts w:asciiTheme="minorHAnsi" w:hAnsiTheme="minorHAnsi" w:cstheme="minorHAnsi"/>
          <w:b/>
        </w:rPr>
      </w:pPr>
      <w:r w:rsidRPr="00061ACD">
        <w:rPr>
          <w:rFonts w:asciiTheme="minorHAnsi" w:hAnsiTheme="minorHAnsi" w:cstheme="minorHAnsi"/>
          <w:b/>
          <w:sz w:val="22"/>
          <w:szCs w:val="22"/>
        </w:rPr>
        <w:t>E</w:t>
      </w:r>
      <w:r>
        <w:rPr>
          <w:rFonts w:asciiTheme="minorHAnsi" w:hAnsiTheme="minorHAnsi" w:cstheme="minorHAnsi"/>
          <w:b/>
          <w:sz w:val="22"/>
          <w:szCs w:val="22"/>
        </w:rPr>
        <w:t>PA</w:t>
      </w:r>
      <w:r w:rsidRPr="00061ACD">
        <w:rPr>
          <w:rFonts w:asciiTheme="minorHAnsi" w:hAnsiTheme="minorHAnsi" w:cstheme="minorHAnsi"/>
          <w:b/>
          <w:sz w:val="22"/>
          <w:szCs w:val="22"/>
        </w:rPr>
        <w:t xml:space="preserve"> Response: </w:t>
      </w:r>
      <w:r>
        <w:rPr>
          <w:rFonts w:asciiTheme="minorHAnsi" w:hAnsiTheme="minorHAnsi" w:cstheme="minorHAnsi"/>
          <w:i/>
          <w:sz w:val="22"/>
          <w:szCs w:val="22"/>
        </w:rPr>
        <w:t>EPA</w:t>
      </w:r>
      <w:r w:rsidR="00321B4B">
        <w:rPr>
          <w:rFonts w:asciiTheme="minorHAnsi" w:hAnsiTheme="minorHAnsi" w:cstheme="minorHAnsi"/>
          <w:i/>
          <w:sz w:val="22"/>
          <w:szCs w:val="22"/>
        </w:rPr>
        <w:t xml:space="preserve"> is always interested in refinements based on the best available data. However, it is</w:t>
      </w:r>
      <w:r w:rsidR="006A308F">
        <w:rPr>
          <w:rFonts w:asciiTheme="minorHAnsi" w:hAnsiTheme="minorHAnsi" w:cstheme="minorHAnsi"/>
          <w:i/>
          <w:sz w:val="22"/>
          <w:szCs w:val="22"/>
        </w:rPr>
        <w:t xml:space="preserve"> resource intensive and</w:t>
      </w:r>
      <w:r w:rsidR="00321B4B">
        <w:rPr>
          <w:rFonts w:asciiTheme="minorHAnsi" w:hAnsiTheme="minorHAnsi" w:cstheme="minorHAnsi"/>
          <w:i/>
          <w:sz w:val="22"/>
          <w:szCs w:val="22"/>
        </w:rPr>
        <w:t xml:space="preserve"> not necessarily practical to obtain all current state</w:t>
      </w:r>
      <w:r w:rsidR="00F418B5">
        <w:rPr>
          <w:rFonts w:asciiTheme="minorHAnsi" w:hAnsiTheme="minorHAnsi" w:cstheme="minorHAnsi"/>
          <w:i/>
          <w:sz w:val="22"/>
          <w:szCs w:val="22"/>
        </w:rPr>
        <w:t>-</w:t>
      </w:r>
      <w:r w:rsidR="00321B4B">
        <w:rPr>
          <w:rFonts w:asciiTheme="minorHAnsi" w:hAnsiTheme="minorHAnsi" w:cstheme="minorHAnsi"/>
          <w:i/>
          <w:sz w:val="22"/>
          <w:szCs w:val="22"/>
        </w:rPr>
        <w:t xml:space="preserve">specific labels during the </w:t>
      </w:r>
      <w:r w:rsidR="006A308F">
        <w:rPr>
          <w:rFonts w:asciiTheme="minorHAnsi" w:hAnsiTheme="minorHAnsi" w:cstheme="minorHAnsi"/>
          <w:i/>
          <w:sz w:val="22"/>
          <w:szCs w:val="22"/>
        </w:rPr>
        <w:t xml:space="preserve">development </w:t>
      </w:r>
      <w:r w:rsidR="00321B4B">
        <w:rPr>
          <w:rFonts w:asciiTheme="minorHAnsi" w:hAnsiTheme="minorHAnsi" w:cstheme="minorHAnsi"/>
          <w:i/>
          <w:sz w:val="22"/>
          <w:szCs w:val="22"/>
        </w:rPr>
        <w:t>of the biological evaluation. It would be welcomed if</w:t>
      </w:r>
      <w:r>
        <w:rPr>
          <w:rFonts w:asciiTheme="minorHAnsi" w:hAnsiTheme="minorHAnsi" w:cstheme="minorHAnsi"/>
          <w:i/>
          <w:sz w:val="22"/>
          <w:szCs w:val="22"/>
        </w:rPr>
        <w:t xml:space="preserve"> the </w:t>
      </w:r>
      <w:r w:rsidR="00DC3C60">
        <w:rPr>
          <w:rFonts w:asciiTheme="minorHAnsi" w:hAnsiTheme="minorHAnsi" w:cstheme="minorHAnsi"/>
          <w:i/>
          <w:sz w:val="22"/>
          <w:szCs w:val="22"/>
        </w:rPr>
        <w:t>commenter</w:t>
      </w:r>
      <w:r>
        <w:rPr>
          <w:rFonts w:asciiTheme="minorHAnsi" w:hAnsiTheme="minorHAnsi" w:cstheme="minorHAnsi"/>
          <w:i/>
          <w:sz w:val="22"/>
          <w:szCs w:val="22"/>
        </w:rPr>
        <w:t xml:space="preserve"> provide</w:t>
      </w:r>
      <w:r w:rsidR="00321B4B">
        <w:rPr>
          <w:rFonts w:asciiTheme="minorHAnsi" w:hAnsiTheme="minorHAnsi" w:cstheme="minorHAnsi"/>
          <w:i/>
          <w:sz w:val="22"/>
          <w:szCs w:val="22"/>
        </w:rPr>
        <w:t>s</w:t>
      </w:r>
      <w:r>
        <w:rPr>
          <w:rFonts w:asciiTheme="minorHAnsi" w:hAnsiTheme="minorHAnsi" w:cstheme="minorHAnsi"/>
          <w:i/>
          <w:sz w:val="22"/>
          <w:szCs w:val="22"/>
        </w:rPr>
        <w:t xml:space="preserve"> more specific information regarding the use restrictions on state-owned lands, </w:t>
      </w:r>
      <w:r w:rsidR="00CA4026">
        <w:rPr>
          <w:rFonts w:asciiTheme="minorHAnsi" w:hAnsiTheme="minorHAnsi" w:cstheme="minorHAnsi"/>
          <w:i/>
          <w:sz w:val="22"/>
          <w:szCs w:val="22"/>
        </w:rPr>
        <w:t xml:space="preserve">to be </w:t>
      </w:r>
      <w:r w:rsidR="003E7B53">
        <w:rPr>
          <w:rFonts w:asciiTheme="minorHAnsi" w:hAnsiTheme="minorHAnsi" w:cstheme="minorHAnsi"/>
          <w:i/>
          <w:sz w:val="22"/>
          <w:szCs w:val="22"/>
        </w:rPr>
        <w:t xml:space="preserve">potentially </w:t>
      </w:r>
      <w:r w:rsidR="006564F0">
        <w:rPr>
          <w:rFonts w:asciiTheme="minorHAnsi" w:hAnsiTheme="minorHAnsi" w:cstheme="minorHAnsi"/>
          <w:i/>
          <w:sz w:val="22"/>
          <w:szCs w:val="22"/>
        </w:rPr>
        <w:t>considered in consultation</w:t>
      </w:r>
      <w:r w:rsidR="00A30DEA">
        <w:rPr>
          <w:rFonts w:asciiTheme="minorHAnsi" w:hAnsiTheme="minorHAnsi" w:cstheme="minorHAnsi"/>
          <w:i/>
          <w:sz w:val="22"/>
          <w:szCs w:val="22"/>
        </w:rPr>
        <w:t xml:space="preserve"> with the Services</w:t>
      </w:r>
      <w:r w:rsidR="00534326">
        <w:rPr>
          <w:rFonts w:asciiTheme="minorHAnsi" w:hAnsiTheme="minorHAnsi" w:cstheme="minorHAnsi"/>
          <w:i/>
          <w:sz w:val="22"/>
          <w:szCs w:val="22"/>
        </w:rPr>
        <w:t xml:space="preserve"> as deemed relevant</w:t>
      </w:r>
      <w:r w:rsidR="006564F0">
        <w:rPr>
          <w:rFonts w:asciiTheme="minorHAnsi" w:hAnsiTheme="minorHAnsi" w:cstheme="minorHAnsi"/>
          <w:i/>
          <w:sz w:val="22"/>
          <w:szCs w:val="22"/>
        </w:rPr>
        <w:t>.</w:t>
      </w:r>
    </w:p>
    <w:p w14:paraId="5562476E" w14:textId="77777777" w:rsidR="00243AA4" w:rsidRDefault="00243AA4" w:rsidP="005859DB">
      <w:pPr>
        <w:rPr>
          <w:rFonts w:asciiTheme="minorHAnsi" w:hAnsiTheme="minorHAnsi" w:cstheme="minorHAnsi"/>
          <w:b/>
          <w:color w:val="000000"/>
        </w:rPr>
      </w:pPr>
    </w:p>
    <w:p w14:paraId="654A7900" w14:textId="0A256097" w:rsidR="00243AA4" w:rsidRPr="00553605" w:rsidRDefault="00243AA4" w:rsidP="005859DB">
      <w:pPr>
        <w:pStyle w:val="Default"/>
        <w:rPr>
          <w:rFonts w:asciiTheme="minorHAnsi" w:hAnsiTheme="minorHAnsi" w:cstheme="minorHAnsi"/>
          <w:sz w:val="22"/>
          <w:szCs w:val="22"/>
        </w:rPr>
      </w:pPr>
      <w:r w:rsidRPr="00721481">
        <w:rPr>
          <w:rFonts w:asciiTheme="minorHAnsi" w:hAnsiTheme="minorHAnsi" w:cstheme="minorHAnsi"/>
          <w:b/>
          <w:bCs/>
          <w:sz w:val="22"/>
          <w:szCs w:val="22"/>
        </w:rPr>
        <w:lastRenderedPageBreak/>
        <w:t>Comment:</w:t>
      </w:r>
      <w:r w:rsidRPr="00721481">
        <w:rPr>
          <w:rFonts w:asciiTheme="minorHAnsi" w:hAnsiTheme="minorHAnsi" w:cstheme="minorHAnsi"/>
          <w:sz w:val="22"/>
          <w:szCs w:val="22"/>
        </w:rPr>
        <w:t xml:space="preserve"> </w:t>
      </w:r>
      <w:r>
        <w:rPr>
          <w:rFonts w:asciiTheme="minorHAnsi" w:hAnsiTheme="minorHAnsi" w:cstheme="minorHAnsi"/>
          <w:sz w:val="22"/>
          <w:szCs w:val="22"/>
        </w:rPr>
        <w:t>The n</w:t>
      </w:r>
      <w:r w:rsidRPr="006A78F6">
        <w:rPr>
          <w:rFonts w:asciiTheme="minorHAnsi" w:hAnsiTheme="minorHAnsi" w:cstheme="minorHAnsi"/>
          <w:sz w:val="22"/>
          <w:szCs w:val="22"/>
        </w:rPr>
        <w:t>on-</w:t>
      </w:r>
      <w:r>
        <w:rPr>
          <w:rFonts w:asciiTheme="minorHAnsi" w:hAnsiTheme="minorHAnsi" w:cstheme="minorHAnsi"/>
          <w:sz w:val="22"/>
          <w:szCs w:val="22"/>
        </w:rPr>
        <w:t>a</w:t>
      </w:r>
      <w:r w:rsidRPr="006A78F6">
        <w:rPr>
          <w:rFonts w:asciiTheme="minorHAnsi" w:hAnsiTheme="minorHAnsi" w:cstheme="minorHAnsi"/>
          <w:sz w:val="22"/>
          <w:szCs w:val="22"/>
        </w:rPr>
        <w:t xml:space="preserve">gricultural UDL </w:t>
      </w:r>
      <w:r>
        <w:rPr>
          <w:rFonts w:asciiTheme="minorHAnsi" w:hAnsiTheme="minorHAnsi" w:cstheme="minorHAnsi"/>
          <w:sz w:val="22"/>
          <w:szCs w:val="22"/>
        </w:rPr>
        <w:t>s</w:t>
      </w:r>
      <w:r w:rsidRPr="006A78F6">
        <w:rPr>
          <w:rFonts w:asciiTheme="minorHAnsi" w:hAnsiTheme="minorHAnsi" w:cstheme="minorHAnsi"/>
          <w:sz w:val="22"/>
          <w:szCs w:val="22"/>
        </w:rPr>
        <w:t xml:space="preserve">patial </w:t>
      </w:r>
      <w:r>
        <w:rPr>
          <w:rFonts w:asciiTheme="minorHAnsi" w:hAnsiTheme="minorHAnsi" w:cstheme="minorHAnsi"/>
          <w:sz w:val="22"/>
          <w:szCs w:val="22"/>
        </w:rPr>
        <w:t>f</w:t>
      </w:r>
      <w:r w:rsidRPr="006A78F6">
        <w:rPr>
          <w:rFonts w:asciiTheme="minorHAnsi" w:hAnsiTheme="minorHAnsi" w:cstheme="minorHAnsi"/>
          <w:sz w:val="22"/>
          <w:szCs w:val="22"/>
        </w:rPr>
        <w:t xml:space="preserve">ootprint and </w:t>
      </w:r>
      <w:r>
        <w:rPr>
          <w:rFonts w:asciiTheme="minorHAnsi" w:hAnsiTheme="minorHAnsi" w:cstheme="minorHAnsi"/>
          <w:sz w:val="22"/>
          <w:szCs w:val="22"/>
        </w:rPr>
        <w:t>u</w:t>
      </w:r>
      <w:r w:rsidRPr="006A78F6">
        <w:rPr>
          <w:rFonts w:asciiTheme="minorHAnsi" w:hAnsiTheme="minorHAnsi" w:cstheme="minorHAnsi"/>
          <w:sz w:val="22"/>
          <w:szCs w:val="22"/>
        </w:rPr>
        <w:t xml:space="preserve">sage </w:t>
      </w:r>
      <w:r>
        <w:rPr>
          <w:rFonts w:asciiTheme="minorHAnsi" w:hAnsiTheme="minorHAnsi" w:cstheme="minorHAnsi"/>
          <w:sz w:val="22"/>
          <w:szCs w:val="22"/>
        </w:rPr>
        <w:t>a</w:t>
      </w:r>
      <w:r w:rsidRPr="006A78F6">
        <w:rPr>
          <w:rFonts w:asciiTheme="minorHAnsi" w:hAnsiTheme="minorHAnsi" w:cstheme="minorHAnsi"/>
          <w:sz w:val="22"/>
          <w:szCs w:val="22"/>
        </w:rPr>
        <w:t xml:space="preserve">ssumptions </w:t>
      </w:r>
      <w:r>
        <w:rPr>
          <w:rFonts w:asciiTheme="minorHAnsi" w:hAnsiTheme="minorHAnsi" w:cstheme="minorHAnsi"/>
          <w:sz w:val="22"/>
          <w:szCs w:val="22"/>
        </w:rPr>
        <w:t>l</w:t>
      </w:r>
      <w:r w:rsidRPr="006A78F6">
        <w:rPr>
          <w:rFonts w:asciiTheme="minorHAnsi" w:hAnsiTheme="minorHAnsi" w:cstheme="minorHAnsi"/>
          <w:sz w:val="22"/>
          <w:szCs w:val="22"/>
        </w:rPr>
        <w:t xml:space="preserve">ead </w:t>
      </w:r>
      <w:r>
        <w:rPr>
          <w:rFonts w:asciiTheme="minorHAnsi" w:hAnsiTheme="minorHAnsi" w:cstheme="minorHAnsi"/>
          <w:sz w:val="22"/>
          <w:szCs w:val="22"/>
        </w:rPr>
        <w:t>t</w:t>
      </w:r>
      <w:r w:rsidRPr="006A78F6">
        <w:rPr>
          <w:rFonts w:asciiTheme="minorHAnsi" w:hAnsiTheme="minorHAnsi" w:cstheme="minorHAnsi"/>
          <w:sz w:val="22"/>
          <w:szCs w:val="22"/>
        </w:rPr>
        <w:t xml:space="preserve">o </w:t>
      </w:r>
      <w:r>
        <w:rPr>
          <w:rFonts w:asciiTheme="minorHAnsi" w:hAnsiTheme="minorHAnsi" w:cstheme="minorHAnsi"/>
          <w:sz w:val="22"/>
          <w:szCs w:val="22"/>
        </w:rPr>
        <w:t>u</w:t>
      </w:r>
      <w:r w:rsidRPr="006A78F6">
        <w:rPr>
          <w:rFonts w:asciiTheme="minorHAnsi" w:hAnsiTheme="minorHAnsi" w:cstheme="minorHAnsi"/>
          <w:sz w:val="22"/>
          <w:szCs w:val="22"/>
        </w:rPr>
        <w:t>nreliable</w:t>
      </w:r>
      <w:r>
        <w:rPr>
          <w:rFonts w:asciiTheme="minorHAnsi" w:hAnsiTheme="minorHAnsi" w:cstheme="minorHAnsi"/>
          <w:sz w:val="22"/>
          <w:szCs w:val="22"/>
        </w:rPr>
        <w:t xml:space="preserve"> r</w:t>
      </w:r>
      <w:r w:rsidRPr="006A78F6">
        <w:rPr>
          <w:rFonts w:asciiTheme="minorHAnsi" w:hAnsiTheme="minorHAnsi" w:cstheme="minorHAnsi"/>
          <w:sz w:val="22"/>
          <w:szCs w:val="22"/>
        </w:rPr>
        <w:t>esults</w:t>
      </w:r>
      <w:r>
        <w:rPr>
          <w:rFonts w:asciiTheme="minorHAnsi" w:hAnsiTheme="minorHAnsi" w:cstheme="minorHAnsi"/>
          <w:sz w:val="22"/>
          <w:szCs w:val="22"/>
        </w:rPr>
        <w:t xml:space="preserve">. </w:t>
      </w:r>
      <w:r w:rsidRPr="00553605">
        <w:rPr>
          <w:rFonts w:asciiTheme="minorHAnsi" w:hAnsiTheme="minorHAnsi" w:cstheme="minorHAnsi"/>
          <w:sz w:val="22"/>
          <w:szCs w:val="22"/>
        </w:rPr>
        <w:t>The spatial footprint associated with the six non-agricultural UDLs (Christmas Trees,</w:t>
      </w:r>
      <w:r>
        <w:rPr>
          <w:rFonts w:asciiTheme="minorHAnsi" w:hAnsiTheme="minorHAnsi" w:cstheme="minorHAnsi"/>
          <w:sz w:val="22"/>
          <w:szCs w:val="22"/>
        </w:rPr>
        <w:t xml:space="preserve"> </w:t>
      </w:r>
      <w:r w:rsidRPr="00553605">
        <w:rPr>
          <w:rFonts w:asciiTheme="minorHAnsi" w:hAnsiTheme="minorHAnsi" w:cstheme="minorHAnsi"/>
          <w:sz w:val="22"/>
          <w:szCs w:val="22"/>
        </w:rPr>
        <w:t>Developed, Open Developed, Field Nurseries, Manager Forest, and Poultry Litter) in the draft</w:t>
      </w:r>
      <w:r w:rsidR="003D11D1">
        <w:rPr>
          <w:rFonts w:asciiTheme="minorHAnsi" w:hAnsiTheme="minorHAnsi" w:cstheme="minorHAnsi"/>
          <w:sz w:val="22"/>
          <w:szCs w:val="22"/>
        </w:rPr>
        <w:t xml:space="preserve"> </w:t>
      </w:r>
      <w:r w:rsidRPr="00553605">
        <w:rPr>
          <w:rFonts w:asciiTheme="minorHAnsi" w:hAnsiTheme="minorHAnsi" w:cstheme="minorHAnsi"/>
          <w:sz w:val="22"/>
          <w:szCs w:val="22"/>
        </w:rPr>
        <w:t>BE is extensive, due in part to the conservative approach taken when selecting land use data</w:t>
      </w:r>
      <w:r>
        <w:rPr>
          <w:rFonts w:asciiTheme="minorHAnsi" w:hAnsiTheme="minorHAnsi" w:cstheme="minorHAnsi"/>
          <w:sz w:val="22"/>
          <w:szCs w:val="22"/>
        </w:rPr>
        <w:t xml:space="preserve"> </w:t>
      </w:r>
      <w:r w:rsidRPr="00553605">
        <w:rPr>
          <w:rFonts w:asciiTheme="minorHAnsi" w:hAnsiTheme="minorHAnsi" w:cstheme="minorHAnsi"/>
          <w:sz w:val="22"/>
          <w:szCs w:val="22"/>
        </w:rPr>
        <w:t>layers considered relevant for uses in each UDL. Since EPA was unable to quantify the amount</w:t>
      </w:r>
      <w:r>
        <w:rPr>
          <w:rFonts w:asciiTheme="minorHAnsi" w:hAnsiTheme="minorHAnsi" w:cstheme="minorHAnsi"/>
          <w:sz w:val="22"/>
          <w:szCs w:val="22"/>
        </w:rPr>
        <w:t xml:space="preserve"> </w:t>
      </w:r>
      <w:r w:rsidRPr="00553605">
        <w:rPr>
          <w:rFonts w:asciiTheme="minorHAnsi" w:hAnsiTheme="minorHAnsi" w:cstheme="minorHAnsi"/>
          <w:sz w:val="22"/>
          <w:szCs w:val="22"/>
        </w:rPr>
        <w:t>of imidacloprid usage for the use sites associated with these UDLs, it was assumed in the draft</w:t>
      </w:r>
      <w:r>
        <w:rPr>
          <w:rFonts w:asciiTheme="minorHAnsi" w:hAnsiTheme="minorHAnsi" w:cstheme="minorHAnsi"/>
          <w:sz w:val="22"/>
          <w:szCs w:val="22"/>
        </w:rPr>
        <w:t xml:space="preserve"> </w:t>
      </w:r>
      <w:r w:rsidRPr="00553605">
        <w:rPr>
          <w:rFonts w:asciiTheme="minorHAnsi" w:hAnsiTheme="minorHAnsi" w:cstheme="minorHAnsi"/>
          <w:sz w:val="22"/>
          <w:szCs w:val="22"/>
        </w:rPr>
        <w:t>BE that 100% of the use site for all UDLs (</w:t>
      </w:r>
      <w:r w:rsidRPr="00BA03C4">
        <w:rPr>
          <w:rFonts w:asciiTheme="minorHAnsi" w:hAnsiTheme="minorHAnsi" w:cstheme="minorHAnsi"/>
          <w:i/>
          <w:iCs/>
          <w:sz w:val="22"/>
          <w:szCs w:val="22"/>
        </w:rPr>
        <w:t>i.e.,</w:t>
      </w:r>
      <w:r w:rsidRPr="00553605">
        <w:rPr>
          <w:rFonts w:asciiTheme="minorHAnsi" w:hAnsiTheme="minorHAnsi" w:cstheme="minorHAnsi"/>
          <w:sz w:val="22"/>
          <w:szCs w:val="22"/>
        </w:rPr>
        <w:t xml:space="preserve"> 100% PCT for all UDLs) is treated. Based on the</w:t>
      </w:r>
      <w:r>
        <w:rPr>
          <w:rFonts w:asciiTheme="minorHAnsi" w:hAnsiTheme="minorHAnsi" w:cstheme="minorHAnsi"/>
          <w:sz w:val="22"/>
          <w:szCs w:val="22"/>
        </w:rPr>
        <w:t xml:space="preserve"> </w:t>
      </w:r>
      <w:r w:rsidRPr="00553605">
        <w:rPr>
          <w:rFonts w:asciiTheme="minorHAnsi" w:hAnsiTheme="minorHAnsi" w:cstheme="minorHAnsi"/>
          <w:sz w:val="22"/>
          <w:szCs w:val="22"/>
        </w:rPr>
        <w:t>total acreage associated with these UDLs in the CONUS and the annual application rate assumed</w:t>
      </w:r>
      <w:r>
        <w:rPr>
          <w:rFonts w:asciiTheme="minorHAnsi" w:hAnsiTheme="minorHAnsi" w:cstheme="minorHAnsi"/>
          <w:sz w:val="22"/>
          <w:szCs w:val="22"/>
        </w:rPr>
        <w:t xml:space="preserve"> </w:t>
      </w:r>
      <w:r w:rsidRPr="00553605">
        <w:rPr>
          <w:rFonts w:asciiTheme="minorHAnsi" w:hAnsiTheme="minorHAnsi" w:cstheme="minorHAnsi"/>
          <w:sz w:val="22"/>
          <w:szCs w:val="22"/>
        </w:rPr>
        <w:t>in the draft BE exposure modeling scenario associated with each UDL, the total annual</w:t>
      </w:r>
      <w:r>
        <w:rPr>
          <w:rFonts w:asciiTheme="minorHAnsi" w:hAnsiTheme="minorHAnsi" w:cstheme="minorHAnsi"/>
          <w:sz w:val="22"/>
          <w:szCs w:val="22"/>
        </w:rPr>
        <w:t xml:space="preserve"> </w:t>
      </w:r>
      <w:r w:rsidRPr="00553605">
        <w:rPr>
          <w:rFonts w:asciiTheme="minorHAnsi" w:hAnsiTheme="minorHAnsi" w:cstheme="minorHAnsi"/>
          <w:sz w:val="22"/>
          <w:szCs w:val="22"/>
        </w:rPr>
        <w:t>imidacloprid usage considered in the draft BE for the non-agricultural uses alone is &gt;545 million</w:t>
      </w:r>
      <w:r>
        <w:rPr>
          <w:rFonts w:asciiTheme="minorHAnsi" w:hAnsiTheme="minorHAnsi" w:cstheme="minorHAnsi"/>
          <w:sz w:val="22"/>
          <w:szCs w:val="22"/>
        </w:rPr>
        <w:t xml:space="preserve"> </w:t>
      </w:r>
      <w:r w:rsidRPr="00553605">
        <w:rPr>
          <w:rFonts w:asciiTheme="minorHAnsi" w:hAnsiTheme="minorHAnsi" w:cstheme="minorHAnsi"/>
          <w:sz w:val="22"/>
          <w:szCs w:val="22"/>
        </w:rPr>
        <w:t>pounds. This is multiple orders of</w:t>
      </w:r>
      <w:r>
        <w:rPr>
          <w:rFonts w:asciiTheme="minorHAnsi" w:hAnsiTheme="minorHAnsi" w:cstheme="minorHAnsi"/>
          <w:sz w:val="22"/>
          <w:szCs w:val="22"/>
        </w:rPr>
        <w:t xml:space="preserve"> </w:t>
      </w:r>
      <w:r w:rsidRPr="00553605">
        <w:rPr>
          <w:rFonts w:asciiTheme="minorHAnsi" w:hAnsiTheme="minorHAnsi" w:cstheme="minorHAnsi"/>
          <w:sz w:val="22"/>
          <w:szCs w:val="22"/>
        </w:rPr>
        <w:t>magnitude greater than the total imidacloprid allocated for production of agricultural and nonagricultural</w:t>
      </w:r>
      <w:r>
        <w:rPr>
          <w:rFonts w:asciiTheme="minorHAnsi" w:hAnsiTheme="minorHAnsi" w:cstheme="minorHAnsi"/>
          <w:sz w:val="22"/>
          <w:szCs w:val="22"/>
        </w:rPr>
        <w:t xml:space="preserve"> </w:t>
      </w:r>
      <w:r w:rsidRPr="00553605">
        <w:rPr>
          <w:rFonts w:asciiTheme="minorHAnsi" w:hAnsiTheme="minorHAnsi" w:cstheme="minorHAnsi"/>
          <w:sz w:val="22"/>
          <w:szCs w:val="22"/>
        </w:rPr>
        <w:t>products in the CONUS annually, and drastically overpredicts actual usage.</w:t>
      </w:r>
      <w:r w:rsidR="003E7B53">
        <w:rPr>
          <w:rFonts w:asciiTheme="minorHAnsi" w:hAnsiTheme="minorHAnsi" w:cstheme="minorHAnsi"/>
          <w:sz w:val="22"/>
          <w:szCs w:val="22"/>
        </w:rPr>
        <w:t xml:space="preserve"> </w:t>
      </w:r>
    </w:p>
    <w:p w14:paraId="7510D548" w14:textId="77777777" w:rsidR="00243AA4" w:rsidRPr="00061ACD" w:rsidRDefault="00243AA4" w:rsidP="005859DB">
      <w:pPr>
        <w:pStyle w:val="Default"/>
        <w:rPr>
          <w:rFonts w:asciiTheme="minorHAnsi" w:hAnsiTheme="minorHAnsi" w:cstheme="minorHAnsi"/>
          <w:b/>
          <w:bCs/>
          <w:i/>
          <w:iCs/>
          <w:sz w:val="22"/>
          <w:szCs w:val="22"/>
        </w:rPr>
      </w:pPr>
    </w:p>
    <w:p w14:paraId="21D314A8" w14:textId="5411F3E3" w:rsidR="00243AA4" w:rsidRPr="00612623" w:rsidRDefault="00243AA4" w:rsidP="005859DB">
      <w:pPr>
        <w:pStyle w:val="Default"/>
        <w:rPr>
          <w:rFonts w:asciiTheme="minorHAnsi" w:hAnsiTheme="minorHAnsi" w:cstheme="minorHAnsi"/>
          <w:b/>
          <w:bCs/>
        </w:rPr>
      </w:pPr>
      <w:r w:rsidRPr="00721481">
        <w:rPr>
          <w:rFonts w:asciiTheme="minorHAnsi" w:hAnsiTheme="minorHAnsi" w:cstheme="minorHAnsi"/>
          <w:b/>
          <w:bCs/>
          <w:sz w:val="22"/>
          <w:szCs w:val="22"/>
        </w:rPr>
        <w:t>E</w:t>
      </w:r>
      <w:r>
        <w:rPr>
          <w:rFonts w:asciiTheme="minorHAnsi" w:hAnsiTheme="minorHAnsi" w:cstheme="minorHAnsi"/>
          <w:b/>
          <w:bCs/>
          <w:sz w:val="22"/>
          <w:szCs w:val="22"/>
        </w:rPr>
        <w:t>PA</w:t>
      </w:r>
      <w:r w:rsidRPr="00721481">
        <w:rPr>
          <w:rFonts w:asciiTheme="minorHAnsi" w:hAnsiTheme="minorHAnsi" w:cstheme="minorHAnsi"/>
          <w:b/>
          <w:bCs/>
          <w:sz w:val="22"/>
          <w:szCs w:val="22"/>
        </w:rPr>
        <w:t xml:space="preserve"> Response: </w:t>
      </w:r>
      <w:r>
        <w:rPr>
          <w:rFonts w:asciiTheme="minorHAnsi" w:hAnsiTheme="minorHAnsi" w:cstheme="minorBidi"/>
          <w:i/>
          <w:sz w:val="22"/>
          <w:szCs w:val="22"/>
        </w:rPr>
        <w:t>EPA agrees that when the totality of the non-agricultural area</w:t>
      </w:r>
      <w:r w:rsidRPr="006A78F6">
        <w:rPr>
          <w:rFonts w:asciiTheme="minorHAnsi" w:hAnsiTheme="minorHAnsi" w:cstheme="minorBidi"/>
          <w:i/>
          <w:sz w:val="22"/>
          <w:szCs w:val="22"/>
        </w:rPr>
        <w:t xml:space="preserve"> </w:t>
      </w:r>
      <w:r>
        <w:rPr>
          <w:rFonts w:asciiTheme="minorHAnsi" w:hAnsiTheme="minorHAnsi" w:cstheme="minorBidi"/>
          <w:i/>
          <w:sz w:val="22"/>
          <w:szCs w:val="22"/>
        </w:rPr>
        <w:t>and the annual application rate are combined, the potential amount of imidacloprid applied</w:t>
      </w:r>
      <w:r w:rsidRPr="006A78F6">
        <w:rPr>
          <w:rFonts w:asciiTheme="minorHAnsi" w:hAnsiTheme="minorHAnsi" w:cstheme="minorBidi"/>
          <w:i/>
          <w:sz w:val="22"/>
          <w:szCs w:val="22"/>
        </w:rPr>
        <w:t xml:space="preserve"> </w:t>
      </w:r>
      <w:r>
        <w:rPr>
          <w:rFonts w:asciiTheme="minorHAnsi" w:hAnsiTheme="minorHAnsi" w:cstheme="minorBidi"/>
          <w:i/>
          <w:sz w:val="22"/>
          <w:szCs w:val="22"/>
        </w:rPr>
        <w:t xml:space="preserve">exceeds the production amount by several orders of magnitude. But EPA believes this is not a fair comparison, as the BEs must focus on local use of the product in non-agricultural areas and the impact of that use on an individual of a listed species. For agricultural applications, EPA has been able to use State-level usage data to help refine their estimates. But as the </w:t>
      </w:r>
      <w:r w:rsidR="00DC3C60">
        <w:rPr>
          <w:rFonts w:asciiTheme="minorHAnsi" w:hAnsiTheme="minorHAnsi" w:cstheme="minorBidi"/>
          <w:i/>
          <w:sz w:val="22"/>
          <w:szCs w:val="22"/>
        </w:rPr>
        <w:t>commenter</w:t>
      </w:r>
      <w:r>
        <w:rPr>
          <w:rFonts w:asciiTheme="minorHAnsi" w:hAnsiTheme="minorHAnsi" w:cstheme="minorBidi"/>
          <w:i/>
          <w:sz w:val="22"/>
          <w:szCs w:val="22"/>
        </w:rPr>
        <w:t xml:space="preserve"> has indicated, this information is </w:t>
      </w:r>
      <w:r w:rsidR="00301FC6">
        <w:rPr>
          <w:rFonts w:asciiTheme="minorHAnsi" w:hAnsiTheme="minorHAnsi" w:cstheme="minorBidi"/>
          <w:i/>
          <w:sz w:val="22"/>
          <w:szCs w:val="22"/>
        </w:rPr>
        <w:t xml:space="preserve">often </w:t>
      </w:r>
      <w:r>
        <w:rPr>
          <w:rFonts w:asciiTheme="minorHAnsi" w:hAnsiTheme="minorHAnsi" w:cstheme="minorBidi"/>
          <w:i/>
          <w:sz w:val="22"/>
          <w:szCs w:val="22"/>
        </w:rPr>
        <w:t xml:space="preserve">not available for non-agricultural uses. </w:t>
      </w:r>
      <w:r w:rsidR="00BA03C4">
        <w:rPr>
          <w:rFonts w:asciiTheme="minorHAnsi" w:hAnsiTheme="minorHAnsi" w:cstheme="minorBidi"/>
          <w:i/>
          <w:sz w:val="22"/>
          <w:szCs w:val="22"/>
        </w:rPr>
        <w:t>S</w:t>
      </w:r>
      <w:r>
        <w:rPr>
          <w:rFonts w:asciiTheme="minorHAnsi" w:hAnsiTheme="minorHAnsi" w:cstheme="minorBidi"/>
          <w:i/>
          <w:sz w:val="22"/>
          <w:szCs w:val="22"/>
        </w:rPr>
        <w:t xml:space="preserve">patial information </w:t>
      </w:r>
      <w:r w:rsidR="00BA03C4">
        <w:rPr>
          <w:rFonts w:asciiTheme="minorHAnsi" w:hAnsiTheme="minorHAnsi" w:cstheme="minorBidi"/>
          <w:i/>
          <w:sz w:val="22"/>
          <w:szCs w:val="22"/>
        </w:rPr>
        <w:t xml:space="preserve">is not </w:t>
      </w:r>
      <w:r>
        <w:rPr>
          <w:rFonts w:asciiTheme="minorHAnsi" w:hAnsiTheme="minorHAnsi" w:cstheme="minorBidi"/>
          <w:i/>
          <w:sz w:val="22"/>
          <w:szCs w:val="22"/>
        </w:rPr>
        <w:t>available to help refine the footprint of where the non-agricultural uses occur. Therefore, EPA has used the best available data it has on non-agricultural uses to make its effects determination</w:t>
      </w:r>
      <w:r w:rsidR="00600440">
        <w:rPr>
          <w:rFonts w:asciiTheme="minorHAnsi" w:hAnsiTheme="minorHAnsi" w:cstheme="minorBidi"/>
          <w:i/>
          <w:sz w:val="22"/>
          <w:szCs w:val="22"/>
        </w:rPr>
        <w:t>.</w:t>
      </w:r>
      <w:r w:rsidR="00DE64B6">
        <w:rPr>
          <w:rFonts w:asciiTheme="minorHAnsi" w:hAnsiTheme="minorHAnsi" w:cstheme="minorBidi"/>
          <w:i/>
          <w:sz w:val="22"/>
          <w:szCs w:val="22"/>
        </w:rPr>
        <w:t xml:space="preserve"> </w:t>
      </w:r>
      <w:r w:rsidR="00534326">
        <w:rPr>
          <w:rFonts w:asciiTheme="minorHAnsi" w:hAnsiTheme="minorHAnsi" w:cstheme="minorBidi"/>
          <w:i/>
          <w:sz w:val="22"/>
          <w:szCs w:val="22"/>
        </w:rPr>
        <w:t xml:space="preserve">As needed, </w:t>
      </w:r>
      <w:r w:rsidR="00600440">
        <w:rPr>
          <w:rFonts w:asciiTheme="minorHAnsi" w:hAnsiTheme="minorHAnsi" w:cstheme="minorBidi"/>
          <w:i/>
          <w:sz w:val="22"/>
          <w:szCs w:val="22"/>
        </w:rPr>
        <w:t>EPA will discuss this information with the Services during consultation</w:t>
      </w:r>
      <w:r w:rsidR="008D5963">
        <w:rPr>
          <w:rFonts w:asciiTheme="minorHAnsi" w:hAnsiTheme="minorHAnsi" w:cstheme="minorBidi"/>
          <w:i/>
          <w:sz w:val="22"/>
          <w:szCs w:val="22"/>
        </w:rPr>
        <w:t>.</w:t>
      </w:r>
    </w:p>
    <w:p w14:paraId="4FF84761" w14:textId="02D725EA" w:rsidR="00882EBB" w:rsidRDefault="00882EBB" w:rsidP="005859DB">
      <w:pPr>
        <w:rPr>
          <w:rFonts w:asciiTheme="minorHAnsi" w:hAnsiTheme="minorHAnsi" w:cstheme="minorHAnsi"/>
          <w:b/>
          <w:bCs/>
          <w:highlight w:val="lightGray"/>
        </w:rPr>
      </w:pPr>
    </w:p>
    <w:p w14:paraId="1E502EB9" w14:textId="2C7A0737" w:rsidR="00882EBB" w:rsidRPr="005F2509" w:rsidRDefault="00882EBB" w:rsidP="005859DB">
      <w:pPr>
        <w:rPr>
          <w:rFonts w:asciiTheme="minorHAnsi" w:hAnsiTheme="minorHAnsi" w:cstheme="minorHAnsi"/>
          <w:color w:val="000000"/>
        </w:rPr>
      </w:pPr>
      <w:r w:rsidRPr="00B4664D">
        <w:rPr>
          <w:rFonts w:asciiTheme="minorHAnsi" w:hAnsiTheme="minorHAnsi" w:cstheme="minorHAnsi"/>
          <w:b/>
          <w:color w:val="000000"/>
        </w:rPr>
        <w:t>Comment:</w:t>
      </w:r>
      <w:r w:rsidRPr="00B4664D">
        <w:rPr>
          <w:rFonts w:asciiTheme="minorHAnsi" w:hAnsiTheme="minorHAnsi" w:cstheme="minorHAnsi"/>
          <w:b/>
        </w:rPr>
        <w:t xml:space="preserve"> </w:t>
      </w:r>
      <w:r w:rsidR="009C30D1">
        <w:rPr>
          <w:rFonts w:asciiTheme="minorHAnsi" w:hAnsiTheme="minorHAnsi" w:cstheme="minorHAnsi"/>
          <w:color w:val="000000"/>
        </w:rPr>
        <w:t>The d</w:t>
      </w:r>
      <w:r w:rsidRPr="00B4664D">
        <w:rPr>
          <w:rFonts w:asciiTheme="minorHAnsi" w:hAnsiTheme="minorHAnsi" w:cstheme="minorHAnsi"/>
          <w:color w:val="000000"/>
        </w:rPr>
        <w:t>raft BE does not consider EPA’s own conclusions regarding dissipation</w:t>
      </w:r>
      <w:r w:rsidR="00D2363B">
        <w:rPr>
          <w:rFonts w:asciiTheme="minorHAnsi" w:hAnsiTheme="minorHAnsi" w:cstheme="minorHAnsi"/>
          <w:color w:val="000000"/>
        </w:rPr>
        <w:t>.</w:t>
      </w:r>
      <w:r w:rsidRPr="00B4664D">
        <w:rPr>
          <w:rFonts w:asciiTheme="minorHAnsi" w:hAnsiTheme="minorHAnsi" w:cstheme="minorHAnsi"/>
          <w:color w:val="000000"/>
        </w:rPr>
        <w:t xml:space="preserve"> For the terrestrial exposure evaluation, the draft BE relies on the default assumption that the foliar half-life of imidacloprid is 35 days. The reliance on this default is a lack of consideration of the best available data and EPA’s own evaluations. In Attachment 3-2 EPA states, “there is an opportunity for risk assessors to refine the default T-REX EECs using chemical-specific foliar dissipation rates in order to more realistically estimate residues…” Within Attachment 3-2, the Agency references three residue studies that EPA concluded satisfy the requirements for refining foliar dissipation half-lives (MRIDs 50357101, 50025901, and 50025902). The EPA Data Evaluation Record (DER) contains imidacloprid specific DT</w:t>
      </w:r>
      <w:r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values calculated by EPA. To meet the requirement for using the best available science, the final BE should use a 1.4-day DT</w:t>
      </w:r>
      <w:r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in place of the default 35-day foliar half-life.</w:t>
      </w:r>
    </w:p>
    <w:p w14:paraId="7D3583DA" w14:textId="77777777" w:rsidR="0043041D" w:rsidRDefault="0043041D" w:rsidP="005859DB">
      <w:pPr>
        <w:rPr>
          <w:rFonts w:asciiTheme="minorHAnsi" w:hAnsiTheme="minorHAnsi" w:cstheme="minorHAnsi"/>
          <w:b/>
          <w:bCs/>
          <w:color w:val="000000"/>
        </w:rPr>
      </w:pPr>
    </w:p>
    <w:p w14:paraId="051D412F" w14:textId="77777777" w:rsidR="00882EBB" w:rsidRPr="00B4664D" w:rsidRDefault="00882EBB" w:rsidP="005859DB">
      <w:pPr>
        <w:keepNext/>
        <w:keepLines/>
        <w:rPr>
          <w:rFonts w:asciiTheme="minorHAnsi" w:hAnsiTheme="minorHAnsi" w:cstheme="minorHAnsi"/>
          <w:b/>
          <w:color w:val="000000"/>
        </w:rPr>
      </w:pPr>
      <w:r w:rsidRPr="00B4664D">
        <w:rPr>
          <w:rFonts w:asciiTheme="minorHAnsi" w:hAnsiTheme="minorHAnsi" w:cstheme="minorHAnsi"/>
          <w:b/>
          <w:color w:val="000000"/>
        </w:rPr>
        <w:t>Table 3-1. Summary of Foliar DT</w:t>
      </w:r>
      <w:r w:rsidRPr="00C16AFF">
        <w:rPr>
          <w:rFonts w:asciiTheme="minorHAnsi" w:hAnsiTheme="minorHAnsi" w:cstheme="minorHAnsi"/>
          <w:b/>
          <w:color w:val="000000"/>
          <w:vertAlign w:val="subscript"/>
        </w:rPr>
        <w:t>50</w:t>
      </w:r>
      <w:r w:rsidRPr="00B4664D">
        <w:rPr>
          <w:rFonts w:asciiTheme="minorHAnsi" w:hAnsiTheme="minorHAnsi" w:cstheme="minorHAnsi"/>
          <w:b/>
          <w:color w:val="000000"/>
        </w:rPr>
        <w:t>s Calculated by EPA not Considered in Draft BE for Imidacloprid</w:t>
      </w:r>
    </w:p>
    <w:tbl>
      <w:tblPr>
        <w:tblW w:w="0" w:type="auto"/>
        <w:tblInd w:w="100" w:type="dxa"/>
        <w:tblLayout w:type="fixed"/>
        <w:tblCellMar>
          <w:left w:w="0" w:type="dxa"/>
          <w:right w:w="0" w:type="dxa"/>
        </w:tblCellMar>
        <w:tblLook w:val="0000" w:firstRow="0" w:lastRow="0" w:firstColumn="0" w:lastColumn="0" w:noHBand="0" w:noVBand="0"/>
      </w:tblPr>
      <w:tblGrid>
        <w:gridCol w:w="1526"/>
        <w:gridCol w:w="4861"/>
        <w:gridCol w:w="2966"/>
      </w:tblGrid>
      <w:tr w:rsidR="00882EBB" w:rsidRPr="00721481" w14:paraId="25286FD4" w14:textId="77777777" w:rsidTr="00E50FCF">
        <w:trPr>
          <w:trHeight w:val="287"/>
        </w:trPr>
        <w:tc>
          <w:tcPr>
            <w:tcW w:w="1526" w:type="dxa"/>
            <w:tcBorders>
              <w:top w:val="single" w:sz="4" w:space="0" w:color="000000"/>
              <w:left w:val="single" w:sz="4" w:space="0" w:color="000000"/>
              <w:bottom w:val="single" w:sz="4" w:space="0" w:color="000000"/>
              <w:right w:val="single" w:sz="4" w:space="0" w:color="000000"/>
            </w:tcBorders>
          </w:tcPr>
          <w:p w14:paraId="4E5A509C" w14:textId="77777777" w:rsidR="00882EBB" w:rsidRPr="00E50FCF" w:rsidRDefault="00882EBB" w:rsidP="005859DB">
            <w:pPr>
              <w:keepNext/>
              <w:keepLines/>
              <w:rPr>
                <w:rFonts w:asciiTheme="minorHAnsi" w:hAnsiTheme="minorHAnsi" w:cstheme="minorHAnsi"/>
                <w:b/>
                <w:bCs/>
                <w:color w:val="000000"/>
              </w:rPr>
            </w:pPr>
            <w:r w:rsidRPr="00E50FCF">
              <w:rPr>
                <w:rFonts w:asciiTheme="minorHAnsi" w:hAnsiTheme="minorHAnsi" w:cstheme="minorHAnsi"/>
                <w:b/>
                <w:bCs/>
                <w:color w:val="000000"/>
              </w:rPr>
              <w:t>MRID</w:t>
            </w:r>
          </w:p>
        </w:tc>
        <w:tc>
          <w:tcPr>
            <w:tcW w:w="4861" w:type="dxa"/>
            <w:tcBorders>
              <w:top w:val="single" w:sz="4" w:space="0" w:color="000000"/>
              <w:left w:val="single" w:sz="4" w:space="0" w:color="000000"/>
              <w:bottom w:val="single" w:sz="4" w:space="0" w:color="000000"/>
              <w:right w:val="single" w:sz="4" w:space="0" w:color="000000"/>
            </w:tcBorders>
          </w:tcPr>
          <w:p w14:paraId="79D354C6" w14:textId="77777777" w:rsidR="00882EBB" w:rsidRPr="00E50FCF" w:rsidRDefault="00882EBB" w:rsidP="005859DB">
            <w:pPr>
              <w:keepNext/>
              <w:keepLines/>
              <w:rPr>
                <w:rFonts w:asciiTheme="minorHAnsi" w:hAnsiTheme="minorHAnsi" w:cstheme="minorHAnsi"/>
                <w:b/>
                <w:bCs/>
                <w:color w:val="000000"/>
              </w:rPr>
            </w:pPr>
            <w:r w:rsidRPr="00E50FCF">
              <w:rPr>
                <w:rFonts w:asciiTheme="minorHAnsi" w:hAnsiTheme="minorHAnsi" w:cstheme="minorHAnsi"/>
                <w:b/>
                <w:bCs/>
                <w:color w:val="000000"/>
              </w:rPr>
              <w:t>Crop/foliar treatment</w:t>
            </w:r>
          </w:p>
        </w:tc>
        <w:tc>
          <w:tcPr>
            <w:tcW w:w="2966" w:type="dxa"/>
            <w:tcBorders>
              <w:top w:val="single" w:sz="4" w:space="0" w:color="000000"/>
              <w:left w:val="single" w:sz="4" w:space="0" w:color="000000"/>
              <w:bottom w:val="single" w:sz="4" w:space="0" w:color="000000"/>
              <w:right w:val="single" w:sz="4" w:space="0" w:color="000000"/>
            </w:tcBorders>
          </w:tcPr>
          <w:p w14:paraId="3B68238B" w14:textId="77777777" w:rsidR="00882EBB" w:rsidRPr="00E50FCF" w:rsidRDefault="00882EBB" w:rsidP="005859DB">
            <w:pPr>
              <w:keepNext/>
              <w:keepLines/>
              <w:rPr>
                <w:rFonts w:asciiTheme="minorHAnsi" w:hAnsiTheme="minorHAnsi" w:cstheme="minorHAnsi"/>
                <w:b/>
                <w:bCs/>
                <w:color w:val="000000"/>
                <w:vertAlign w:val="superscript"/>
              </w:rPr>
            </w:pPr>
            <w:r w:rsidRPr="00E50FCF">
              <w:rPr>
                <w:rFonts w:asciiTheme="minorHAnsi" w:hAnsiTheme="minorHAnsi" w:cstheme="minorHAnsi"/>
                <w:b/>
                <w:bCs/>
                <w:color w:val="000000"/>
              </w:rPr>
              <w:t>DT</w:t>
            </w:r>
            <w:r w:rsidRPr="00C16AFF">
              <w:rPr>
                <w:rFonts w:asciiTheme="minorHAnsi" w:hAnsiTheme="minorHAnsi" w:cstheme="minorHAnsi"/>
                <w:b/>
                <w:bCs/>
                <w:color w:val="000000"/>
                <w:vertAlign w:val="subscript"/>
              </w:rPr>
              <w:t>50</w:t>
            </w:r>
            <w:r w:rsidRPr="00E50FCF">
              <w:rPr>
                <w:rFonts w:asciiTheme="minorHAnsi" w:hAnsiTheme="minorHAnsi" w:cstheme="minorHAnsi"/>
                <w:b/>
                <w:bCs/>
                <w:color w:val="000000"/>
              </w:rPr>
              <w:t xml:space="preserve"> calculated by EPA (days)</w:t>
            </w:r>
            <w:r w:rsidRPr="00E50FCF">
              <w:rPr>
                <w:rFonts w:asciiTheme="minorHAnsi" w:hAnsiTheme="minorHAnsi" w:cstheme="minorHAnsi"/>
                <w:b/>
                <w:bCs/>
                <w:color w:val="000000"/>
                <w:vertAlign w:val="superscript"/>
              </w:rPr>
              <w:t>a</w:t>
            </w:r>
          </w:p>
        </w:tc>
      </w:tr>
      <w:tr w:rsidR="00882EBB" w:rsidRPr="00721481" w14:paraId="3CCA6B92" w14:textId="77777777" w:rsidTr="002D6A6B">
        <w:trPr>
          <w:trHeight w:val="551"/>
        </w:trPr>
        <w:tc>
          <w:tcPr>
            <w:tcW w:w="1526" w:type="dxa"/>
            <w:tcBorders>
              <w:top w:val="single" w:sz="4" w:space="0" w:color="000000"/>
              <w:left w:val="single" w:sz="4" w:space="0" w:color="000000"/>
              <w:bottom w:val="single" w:sz="4" w:space="0" w:color="000000"/>
              <w:right w:val="single" w:sz="4" w:space="0" w:color="000000"/>
            </w:tcBorders>
            <w:vAlign w:val="center"/>
          </w:tcPr>
          <w:p w14:paraId="1B56D3D0" w14:textId="7777777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50357101</w:t>
            </w:r>
          </w:p>
        </w:tc>
        <w:tc>
          <w:tcPr>
            <w:tcW w:w="4861" w:type="dxa"/>
            <w:tcBorders>
              <w:top w:val="single" w:sz="4" w:space="0" w:color="000000"/>
              <w:left w:val="single" w:sz="4" w:space="0" w:color="000000"/>
              <w:bottom w:val="single" w:sz="4" w:space="0" w:color="000000"/>
              <w:right w:val="single" w:sz="4" w:space="0" w:color="000000"/>
            </w:tcBorders>
            <w:vAlign w:val="center"/>
          </w:tcPr>
          <w:p w14:paraId="6D088416" w14:textId="7777777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Watermelon; 3 foliar apps @ 140 g ai/ha with 4-7d interval</w:t>
            </w:r>
          </w:p>
        </w:tc>
        <w:tc>
          <w:tcPr>
            <w:tcW w:w="2966" w:type="dxa"/>
            <w:tcBorders>
              <w:top w:val="single" w:sz="4" w:space="0" w:color="000000"/>
              <w:left w:val="single" w:sz="4" w:space="0" w:color="000000"/>
              <w:bottom w:val="single" w:sz="4" w:space="0" w:color="000000"/>
              <w:right w:val="single" w:sz="4" w:space="0" w:color="000000"/>
            </w:tcBorders>
            <w:vAlign w:val="center"/>
          </w:tcPr>
          <w:p w14:paraId="7AC042AA" w14:textId="77777777" w:rsidR="00882EBB" w:rsidRPr="00B4664D" w:rsidRDefault="00882EBB" w:rsidP="005859DB">
            <w:pPr>
              <w:jc w:val="center"/>
              <w:rPr>
                <w:rFonts w:asciiTheme="minorHAnsi" w:hAnsiTheme="minorHAnsi" w:cstheme="minorHAnsi"/>
                <w:color w:val="000000"/>
              </w:rPr>
            </w:pPr>
            <w:r w:rsidRPr="00B4664D">
              <w:rPr>
                <w:rFonts w:asciiTheme="minorHAnsi" w:hAnsiTheme="minorHAnsi" w:cstheme="minorHAnsi"/>
                <w:color w:val="000000"/>
              </w:rPr>
              <w:t>1.34</w:t>
            </w:r>
          </w:p>
        </w:tc>
      </w:tr>
      <w:tr w:rsidR="00882EBB" w:rsidRPr="00721481" w14:paraId="5CF30B68" w14:textId="77777777" w:rsidTr="002D6A6B">
        <w:trPr>
          <w:trHeight w:val="551"/>
        </w:trPr>
        <w:tc>
          <w:tcPr>
            <w:tcW w:w="1526" w:type="dxa"/>
            <w:tcBorders>
              <w:top w:val="single" w:sz="4" w:space="0" w:color="000000"/>
              <w:left w:val="single" w:sz="4" w:space="0" w:color="000000"/>
              <w:bottom w:val="single" w:sz="4" w:space="0" w:color="000000"/>
              <w:right w:val="single" w:sz="4" w:space="0" w:color="000000"/>
            </w:tcBorders>
            <w:vAlign w:val="center"/>
          </w:tcPr>
          <w:p w14:paraId="3C8D8499" w14:textId="7777777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50025901</w:t>
            </w:r>
          </w:p>
        </w:tc>
        <w:tc>
          <w:tcPr>
            <w:tcW w:w="4861" w:type="dxa"/>
            <w:tcBorders>
              <w:top w:val="single" w:sz="4" w:space="0" w:color="000000"/>
              <w:left w:val="single" w:sz="4" w:space="0" w:color="000000"/>
              <w:bottom w:val="single" w:sz="4" w:space="0" w:color="000000"/>
              <w:right w:val="single" w:sz="4" w:space="0" w:color="000000"/>
            </w:tcBorders>
            <w:vAlign w:val="center"/>
          </w:tcPr>
          <w:p w14:paraId="1C24C324" w14:textId="7777777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Soybean; 2 foliar apps @ 100 g ai/ha with 10d interval</w:t>
            </w:r>
          </w:p>
        </w:tc>
        <w:tc>
          <w:tcPr>
            <w:tcW w:w="2966" w:type="dxa"/>
            <w:tcBorders>
              <w:top w:val="single" w:sz="4" w:space="0" w:color="000000"/>
              <w:left w:val="single" w:sz="4" w:space="0" w:color="000000"/>
              <w:bottom w:val="single" w:sz="4" w:space="0" w:color="000000"/>
              <w:right w:val="single" w:sz="4" w:space="0" w:color="000000"/>
            </w:tcBorders>
            <w:vAlign w:val="center"/>
          </w:tcPr>
          <w:p w14:paraId="495F0296" w14:textId="77777777" w:rsidR="00882EBB" w:rsidRPr="00B4664D" w:rsidRDefault="00882EBB" w:rsidP="005859DB">
            <w:pPr>
              <w:jc w:val="center"/>
              <w:rPr>
                <w:rFonts w:asciiTheme="minorHAnsi" w:hAnsiTheme="minorHAnsi" w:cstheme="minorHAnsi"/>
                <w:color w:val="000000"/>
              </w:rPr>
            </w:pPr>
            <w:r w:rsidRPr="00B4664D">
              <w:rPr>
                <w:rFonts w:asciiTheme="minorHAnsi" w:hAnsiTheme="minorHAnsi" w:cstheme="minorHAnsi"/>
                <w:color w:val="000000"/>
              </w:rPr>
              <w:t>1.34</w:t>
            </w:r>
          </w:p>
        </w:tc>
      </w:tr>
      <w:tr w:rsidR="00882EBB" w:rsidRPr="00721481" w14:paraId="382C2572" w14:textId="77777777" w:rsidTr="002D6A6B">
        <w:trPr>
          <w:trHeight w:val="551"/>
        </w:trPr>
        <w:tc>
          <w:tcPr>
            <w:tcW w:w="1526" w:type="dxa"/>
            <w:tcBorders>
              <w:top w:val="single" w:sz="4" w:space="0" w:color="000000"/>
              <w:left w:val="single" w:sz="4" w:space="0" w:color="000000"/>
              <w:bottom w:val="single" w:sz="4" w:space="0" w:color="000000"/>
              <w:right w:val="single" w:sz="4" w:space="0" w:color="000000"/>
            </w:tcBorders>
            <w:vAlign w:val="center"/>
          </w:tcPr>
          <w:p w14:paraId="73098997" w14:textId="7777777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50025902</w:t>
            </w:r>
          </w:p>
        </w:tc>
        <w:tc>
          <w:tcPr>
            <w:tcW w:w="4861" w:type="dxa"/>
            <w:tcBorders>
              <w:top w:val="single" w:sz="4" w:space="0" w:color="000000"/>
              <w:left w:val="single" w:sz="4" w:space="0" w:color="000000"/>
              <w:bottom w:val="single" w:sz="4" w:space="0" w:color="000000"/>
              <w:right w:val="single" w:sz="4" w:space="0" w:color="000000"/>
            </w:tcBorders>
            <w:vAlign w:val="center"/>
          </w:tcPr>
          <w:p w14:paraId="4FF06CE0" w14:textId="7777777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Soybean; 2 foliar apps @ 100 g ai/ha with 10d interval</w:t>
            </w:r>
          </w:p>
        </w:tc>
        <w:tc>
          <w:tcPr>
            <w:tcW w:w="2966" w:type="dxa"/>
            <w:tcBorders>
              <w:top w:val="single" w:sz="4" w:space="0" w:color="000000"/>
              <w:left w:val="single" w:sz="4" w:space="0" w:color="000000"/>
              <w:bottom w:val="single" w:sz="4" w:space="0" w:color="000000"/>
              <w:right w:val="single" w:sz="4" w:space="0" w:color="000000"/>
            </w:tcBorders>
            <w:vAlign w:val="center"/>
          </w:tcPr>
          <w:p w14:paraId="558DB380" w14:textId="77777777" w:rsidR="00882EBB" w:rsidRPr="00B4664D" w:rsidRDefault="00882EBB" w:rsidP="005859DB">
            <w:pPr>
              <w:jc w:val="center"/>
              <w:rPr>
                <w:rFonts w:asciiTheme="minorHAnsi" w:hAnsiTheme="minorHAnsi" w:cstheme="minorHAnsi"/>
                <w:color w:val="000000"/>
              </w:rPr>
            </w:pPr>
            <w:r w:rsidRPr="00B4664D">
              <w:rPr>
                <w:rFonts w:asciiTheme="minorHAnsi" w:hAnsiTheme="minorHAnsi" w:cstheme="minorHAnsi"/>
                <w:color w:val="000000"/>
              </w:rPr>
              <w:t>1.43</w:t>
            </w:r>
          </w:p>
        </w:tc>
      </w:tr>
    </w:tbl>
    <w:p w14:paraId="10A54821" w14:textId="77777777" w:rsidR="00882EBB" w:rsidRPr="00DD7A0A" w:rsidRDefault="00882EBB" w:rsidP="005859DB">
      <w:pPr>
        <w:rPr>
          <w:rFonts w:asciiTheme="minorHAnsi" w:hAnsiTheme="minorHAnsi" w:cstheme="minorHAnsi"/>
          <w:color w:val="000000"/>
          <w:sz w:val="20"/>
          <w:szCs w:val="20"/>
        </w:rPr>
      </w:pPr>
      <w:proofErr w:type="spellStart"/>
      <w:r w:rsidRPr="00DD7A0A">
        <w:rPr>
          <w:rFonts w:asciiTheme="minorHAnsi" w:hAnsiTheme="minorHAnsi" w:cstheme="minorHAnsi"/>
          <w:color w:val="000000"/>
          <w:sz w:val="20"/>
          <w:szCs w:val="20"/>
          <w:vertAlign w:val="superscript"/>
        </w:rPr>
        <w:t>a</w:t>
      </w:r>
      <w:r w:rsidRPr="00DD7A0A">
        <w:rPr>
          <w:rFonts w:asciiTheme="minorHAnsi" w:hAnsiTheme="minorHAnsi" w:cstheme="minorHAnsi"/>
          <w:color w:val="000000"/>
          <w:sz w:val="20"/>
          <w:szCs w:val="20"/>
        </w:rPr>
        <w:t>Based</w:t>
      </w:r>
      <w:proofErr w:type="spellEnd"/>
      <w:r w:rsidRPr="00DD7A0A">
        <w:rPr>
          <w:rFonts w:asciiTheme="minorHAnsi" w:hAnsiTheme="minorHAnsi" w:cstheme="minorHAnsi"/>
          <w:color w:val="000000"/>
          <w:sz w:val="20"/>
          <w:szCs w:val="20"/>
        </w:rPr>
        <w:t xml:space="preserve"> on total imidacloprid residues (parent, imidacloprid-5-hydroxy, and imidacloprid-olefine) and single first order rate model</w:t>
      </w:r>
    </w:p>
    <w:p w14:paraId="2FCCD8EE" w14:textId="77777777" w:rsidR="00882EBB" w:rsidRPr="00B4664D" w:rsidRDefault="00882EBB" w:rsidP="005859DB">
      <w:pPr>
        <w:rPr>
          <w:rFonts w:asciiTheme="minorHAnsi" w:hAnsiTheme="minorHAnsi" w:cstheme="minorHAnsi"/>
          <w:color w:val="000000"/>
        </w:rPr>
      </w:pPr>
    </w:p>
    <w:p w14:paraId="18310395" w14:textId="3B45E22F"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In addition to a refined DT</w:t>
      </w:r>
      <w:r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for foliage, EPA has studies available that refine the DT</w:t>
      </w:r>
      <w:r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for arthropods and seeds. MRID 47699440 evaluated the magnitude and decline of residues on arthropods. Arthropods </w:t>
      </w:r>
      <w:r w:rsidRPr="00B4664D">
        <w:rPr>
          <w:rFonts w:asciiTheme="minorHAnsi" w:hAnsiTheme="minorHAnsi" w:cstheme="minorHAnsi"/>
          <w:color w:val="000000"/>
        </w:rPr>
        <w:lastRenderedPageBreak/>
        <w:t xml:space="preserve">were directly over sprayed and maintained in cages. Two replicate cages were maintained in the lab and two additional replicates were maintained outdoors in an orchard subject to environmental conditions. Residues were analyzed on day 0, 1, 2, 3, 4, 5, 7, 10, 13, 17, and 21 after application. Residue decline was similar between lab and field samples. Kinetic analysis performed with </w:t>
      </w:r>
      <w:proofErr w:type="spellStart"/>
      <w:r w:rsidRPr="00B4664D">
        <w:rPr>
          <w:rFonts w:asciiTheme="minorHAnsi" w:hAnsiTheme="minorHAnsi" w:cstheme="minorHAnsi"/>
          <w:color w:val="000000"/>
        </w:rPr>
        <w:t>PestDF</w:t>
      </w:r>
      <w:proofErr w:type="spellEnd"/>
      <w:r w:rsidRPr="00B4664D">
        <w:rPr>
          <w:rFonts w:asciiTheme="minorHAnsi" w:hAnsiTheme="minorHAnsi" w:cstheme="minorHAnsi"/>
          <w:color w:val="000000"/>
        </w:rPr>
        <w:t xml:space="preserve"> on the laboratory-maintained samples, taken as a more conservative approach, results in a DT</w:t>
      </w:r>
      <w:r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of 0.431 days when considering total imidacloprid residues (imidacloprid, imidacloprid 5-hydroxy, and imidacloprid olefin). Using this refinement of the default 35-day half-life based on the available and robust data has a large impact on the predicted arthropod resides for uses with multiple applications and should be incorporated into the final BE.</w:t>
      </w:r>
    </w:p>
    <w:p w14:paraId="0302EB36" w14:textId="77777777" w:rsidR="00280050" w:rsidRPr="00B4664D" w:rsidRDefault="00280050" w:rsidP="005859DB">
      <w:pPr>
        <w:rPr>
          <w:rFonts w:asciiTheme="minorHAnsi" w:hAnsiTheme="minorHAnsi" w:cstheme="minorHAnsi"/>
          <w:color w:val="000000"/>
        </w:rPr>
      </w:pPr>
    </w:p>
    <w:p w14:paraId="1E69E64D" w14:textId="307B69A7"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DT</w:t>
      </w:r>
      <w:r w:rsidR="00C16AFF"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refinements are also possible for seeds based on Roy 2019 and MRID 50354944 who evaluated residue decline on treated seeds. Roy 2019 reports a DT</w:t>
      </w:r>
      <w:r w:rsidR="00C16AFF" w:rsidRPr="00C16AFF">
        <w:rPr>
          <w:rFonts w:asciiTheme="minorHAnsi" w:hAnsiTheme="minorHAnsi" w:cstheme="minorHAnsi"/>
          <w:color w:val="000000"/>
          <w:vertAlign w:val="subscript"/>
        </w:rPr>
        <w:t>50</w:t>
      </w:r>
      <w:r w:rsidRPr="00B4664D">
        <w:rPr>
          <w:rFonts w:asciiTheme="minorHAnsi" w:hAnsiTheme="minorHAnsi" w:cstheme="minorHAnsi"/>
          <w:color w:val="000000"/>
        </w:rPr>
        <w:t xml:space="preserve"> of ~4.7 days while MRID</w:t>
      </w:r>
    </w:p>
    <w:p w14:paraId="5FB4EAC4" w14:textId="47B52CC8"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50354944 reports a &lt; 1-day DT</w:t>
      </w:r>
      <w:r w:rsidR="00C16AFF" w:rsidRPr="00C16AFF">
        <w:rPr>
          <w:rFonts w:asciiTheme="minorHAnsi" w:hAnsiTheme="minorHAnsi" w:cstheme="minorHAnsi"/>
          <w:color w:val="000000"/>
          <w:vertAlign w:val="subscript"/>
        </w:rPr>
        <w:t>50</w:t>
      </w:r>
      <w:r w:rsidRPr="00B4664D">
        <w:rPr>
          <w:rFonts w:asciiTheme="minorHAnsi" w:hAnsiTheme="minorHAnsi" w:cstheme="minorHAnsi"/>
          <w:color w:val="000000"/>
        </w:rPr>
        <w:t>.</w:t>
      </w:r>
    </w:p>
    <w:p w14:paraId="61A0AB5B" w14:textId="6BDAB7D8" w:rsidR="00280050" w:rsidRPr="00B4664D" w:rsidRDefault="00280050" w:rsidP="005859DB">
      <w:pPr>
        <w:rPr>
          <w:rFonts w:asciiTheme="minorHAnsi" w:hAnsiTheme="minorHAnsi" w:cstheme="minorHAnsi"/>
          <w:color w:val="000000"/>
        </w:rPr>
      </w:pPr>
    </w:p>
    <w:p w14:paraId="40CBC7FD" w14:textId="6073A2AB" w:rsidR="00280050" w:rsidRPr="00B4664D" w:rsidRDefault="00280050" w:rsidP="005859DB">
      <w:pPr>
        <w:rPr>
          <w:rFonts w:asciiTheme="minorHAnsi" w:hAnsiTheme="minorHAnsi" w:cstheme="minorHAnsi"/>
          <w:color w:val="000000"/>
        </w:rPr>
      </w:pPr>
      <w:r w:rsidRPr="007D34FC">
        <w:rPr>
          <w:rFonts w:asciiTheme="minorHAnsi" w:hAnsiTheme="minorHAnsi" w:cstheme="minorHAnsi"/>
          <w:b/>
          <w:color w:val="000000"/>
        </w:rPr>
        <w:t>E</w:t>
      </w:r>
      <w:r w:rsidR="00905361" w:rsidRPr="007D34FC">
        <w:rPr>
          <w:rFonts w:asciiTheme="minorHAnsi" w:hAnsiTheme="minorHAnsi" w:cstheme="minorHAnsi"/>
          <w:b/>
          <w:color w:val="000000"/>
        </w:rPr>
        <w:t>PA</w:t>
      </w:r>
      <w:r w:rsidRPr="007D34FC">
        <w:rPr>
          <w:rFonts w:asciiTheme="minorHAnsi" w:hAnsiTheme="minorHAnsi" w:cstheme="minorHAnsi"/>
          <w:b/>
          <w:color w:val="000000"/>
        </w:rPr>
        <w:t xml:space="preserve"> Response:</w:t>
      </w:r>
      <w:r w:rsidRPr="007D34FC">
        <w:rPr>
          <w:rFonts w:asciiTheme="minorHAnsi" w:hAnsiTheme="minorHAnsi" w:cstheme="minorHAnsi"/>
          <w:color w:val="000000"/>
        </w:rPr>
        <w:t xml:space="preserve"> </w:t>
      </w:r>
      <w:bookmarkStart w:id="45" w:name="_Hlk101299355"/>
      <w:r w:rsidR="007D34FC" w:rsidRPr="007D34FC">
        <w:rPr>
          <w:rFonts w:asciiTheme="minorHAnsi" w:hAnsiTheme="minorHAnsi"/>
          <w:i/>
          <w:iCs/>
        </w:rPr>
        <w:t xml:space="preserve">EPA acknowledges the submission of the leaf residue data. An adjustment of the </w:t>
      </w:r>
      <w:r w:rsidR="007D34FC" w:rsidRPr="00C16AFF">
        <w:rPr>
          <w:rFonts w:asciiTheme="minorHAnsi" w:hAnsiTheme="minorHAnsi"/>
          <w:i/>
          <w:iCs/>
        </w:rPr>
        <w:t>DT</w:t>
      </w:r>
      <w:r w:rsidR="00C16AFF" w:rsidRPr="00C16AFF">
        <w:rPr>
          <w:rFonts w:asciiTheme="minorHAnsi" w:hAnsiTheme="minorHAnsi" w:cstheme="minorHAnsi"/>
          <w:color w:val="000000"/>
          <w:vertAlign w:val="subscript"/>
        </w:rPr>
        <w:t>50</w:t>
      </w:r>
      <w:r w:rsidR="00C16AFF">
        <w:rPr>
          <w:rFonts w:asciiTheme="minorHAnsi" w:hAnsiTheme="minorHAnsi" w:cstheme="minorHAnsi"/>
          <w:color w:val="000000"/>
        </w:rPr>
        <w:t xml:space="preserve"> </w:t>
      </w:r>
      <w:r w:rsidR="007D34FC" w:rsidRPr="00C16AFF">
        <w:rPr>
          <w:rFonts w:asciiTheme="minorHAnsi" w:hAnsiTheme="minorHAnsi"/>
          <w:i/>
          <w:iCs/>
        </w:rPr>
        <w:t>will</w:t>
      </w:r>
      <w:r w:rsidR="007D34FC" w:rsidRPr="007D34FC">
        <w:rPr>
          <w:rFonts w:asciiTheme="minorHAnsi" w:hAnsiTheme="minorHAnsi"/>
          <w:i/>
          <w:iCs/>
        </w:rPr>
        <w:t xml:space="preserve"> not impact</w:t>
      </w:r>
      <w:r w:rsidR="007D34FC" w:rsidRPr="00CC37A9">
        <w:rPr>
          <w:rFonts w:asciiTheme="minorHAnsi" w:hAnsiTheme="minorHAnsi"/>
          <w:i/>
          <w:iCs/>
        </w:rPr>
        <w:t xml:space="preserve"> any of the LAA determinations</w:t>
      </w:r>
      <w:r w:rsidR="003D16C1">
        <w:rPr>
          <w:rFonts w:asciiTheme="minorHAnsi" w:hAnsiTheme="minorHAnsi"/>
          <w:i/>
          <w:iCs/>
        </w:rPr>
        <w:t xml:space="preserve"> due to impacts being predicted with only one application</w:t>
      </w:r>
      <w:r w:rsidR="007D34FC" w:rsidRPr="00CC37A9">
        <w:rPr>
          <w:rFonts w:asciiTheme="minorHAnsi" w:hAnsiTheme="minorHAnsi"/>
          <w:i/>
          <w:iCs/>
        </w:rPr>
        <w:t xml:space="preserve">. </w:t>
      </w:r>
      <w:r w:rsidR="00F418B5">
        <w:rPr>
          <w:rFonts w:asciiTheme="minorHAnsi" w:hAnsiTheme="minorHAnsi"/>
          <w:i/>
          <w:iCs/>
        </w:rPr>
        <w:t>However</w:t>
      </w:r>
      <w:r w:rsidR="00ED7DAC">
        <w:rPr>
          <w:rFonts w:asciiTheme="minorHAnsi" w:hAnsiTheme="minorHAnsi"/>
          <w:i/>
          <w:iCs/>
        </w:rPr>
        <w:t xml:space="preserve">, </w:t>
      </w:r>
      <w:r w:rsidR="001A0D50">
        <w:rPr>
          <w:rFonts w:asciiTheme="minorHAnsi" w:hAnsiTheme="minorHAnsi"/>
          <w:i/>
          <w:iCs/>
        </w:rPr>
        <w:t xml:space="preserve">if needed </w:t>
      </w:r>
      <w:r w:rsidR="00ED7DAC">
        <w:rPr>
          <w:rFonts w:asciiTheme="minorHAnsi" w:hAnsiTheme="minorHAnsi"/>
          <w:i/>
          <w:iCs/>
        </w:rPr>
        <w:t xml:space="preserve">EPA </w:t>
      </w:r>
      <w:r w:rsidR="001A0D50">
        <w:rPr>
          <w:rFonts w:asciiTheme="minorHAnsi" w:hAnsiTheme="minorHAnsi"/>
          <w:i/>
          <w:iCs/>
        </w:rPr>
        <w:t>may</w:t>
      </w:r>
      <w:r w:rsidR="00ED7DAC">
        <w:rPr>
          <w:rFonts w:asciiTheme="minorHAnsi" w:hAnsiTheme="minorHAnsi"/>
          <w:i/>
          <w:iCs/>
        </w:rPr>
        <w:t xml:space="preserve"> discuss this information with the Services during </w:t>
      </w:r>
      <w:bookmarkEnd w:id="45"/>
      <w:r w:rsidR="00ED7DAC">
        <w:rPr>
          <w:rFonts w:asciiTheme="minorHAnsi" w:hAnsiTheme="minorHAnsi"/>
          <w:i/>
          <w:iCs/>
        </w:rPr>
        <w:t>consultation</w:t>
      </w:r>
      <w:r w:rsidR="007D34FC" w:rsidRPr="00510478">
        <w:rPr>
          <w:rFonts w:asciiTheme="minorHAnsi" w:hAnsiTheme="minorHAnsi" w:cstheme="minorHAnsi"/>
          <w:i/>
          <w:iCs/>
        </w:rPr>
        <w:t>.</w:t>
      </w:r>
    </w:p>
    <w:p w14:paraId="3A9F5664" w14:textId="77777777" w:rsidR="00882EBB" w:rsidRPr="00721481" w:rsidRDefault="00882EBB" w:rsidP="005859DB">
      <w:pPr>
        <w:rPr>
          <w:rFonts w:asciiTheme="minorHAnsi" w:hAnsiTheme="minorHAnsi" w:cstheme="minorHAnsi"/>
          <w:i/>
          <w:iCs/>
          <w:color w:val="000000"/>
        </w:rPr>
      </w:pPr>
    </w:p>
    <w:p w14:paraId="0DC21778" w14:textId="1ED2A614" w:rsidR="00882EBB" w:rsidRPr="00B4664D" w:rsidRDefault="00882EBB" w:rsidP="005859DB">
      <w:pPr>
        <w:keepNext/>
        <w:keepLines/>
        <w:rPr>
          <w:rFonts w:asciiTheme="minorHAnsi" w:hAnsiTheme="minorHAnsi" w:cstheme="minorHAnsi"/>
          <w:color w:val="000000"/>
        </w:rPr>
      </w:pPr>
      <w:bookmarkStart w:id="46" w:name="_Hlk103084835"/>
      <w:bookmarkStart w:id="47" w:name="_Hlk99528894"/>
      <w:r w:rsidRPr="00B4664D">
        <w:rPr>
          <w:rFonts w:asciiTheme="minorHAnsi" w:hAnsiTheme="minorHAnsi" w:cstheme="minorHAnsi"/>
          <w:b/>
          <w:color w:val="000000"/>
        </w:rPr>
        <w:t xml:space="preserve">Comment: </w:t>
      </w:r>
      <w:r w:rsidRPr="00B4664D">
        <w:rPr>
          <w:rFonts w:asciiTheme="minorHAnsi" w:hAnsiTheme="minorHAnsi" w:cstheme="minorHAnsi"/>
          <w:color w:val="000000"/>
        </w:rPr>
        <w:t>The fraction of retained residues in birds does not consider all relevant information</w:t>
      </w:r>
      <w:r w:rsidR="007E2064">
        <w:rPr>
          <w:rFonts w:asciiTheme="minorHAnsi" w:hAnsiTheme="minorHAnsi" w:cstheme="minorHAnsi"/>
          <w:color w:val="000000"/>
        </w:rPr>
        <w:t>.</w:t>
      </w:r>
    </w:p>
    <w:p w14:paraId="6F48015C" w14:textId="7ECC897C" w:rsidR="00882EBB" w:rsidRPr="00B4664D" w:rsidRDefault="00882EBB" w:rsidP="005859DB">
      <w:pPr>
        <w:rPr>
          <w:rFonts w:asciiTheme="minorHAnsi" w:hAnsiTheme="minorHAnsi" w:cstheme="minorHAnsi"/>
          <w:color w:val="000000"/>
        </w:rPr>
      </w:pPr>
      <w:r w:rsidRPr="00B4664D">
        <w:rPr>
          <w:rFonts w:asciiTheme="minorHAnsi" w:hAnsiTheme="minorHAnsi" w:cstheme="minorHAnsi"/>
          <w:color w:val="000000"/>
        </w:rPr>
        <w:t>EPA appropriately derived an estimate for the fraction of chemical retained from day to day in</w:t>
      </w:r>
      <w:r w:rsidR="00EC79C0">
        <w:rPr>
          <w:rFonts w:asciiTheme="minorHAnsi" w:hAnsiTheme="minorHAnsi" w:cstheme="minorHAnsi"/>
          <w:color w:val="000000"/>
        </w:rPr>
        <w:t xml:space="preserve"> </w:t>
      </w:r>
      <w:r w:rsidRPr="00B4664D">
        <w:rPr>
          <w:rFonts w:asciiTheme="minorHAnsi" w:hAnsiTheme="minorHAnsi" w:cstheme="minorHAnsi"/>
          <w:color w:val="000000"/>
        </w:rPr>
        <w:t>exposed birds based on a hen metabolism study (MRID 42556116) but failed to consider data from Bean 2019. Bean evaluated the ADME of imidacloprid in Japanese Quail and reported clearance to less than the limit of detection (&lt;LOD) for all tissues by 24 hours post exposure. The average elimination half-life across all doses and samples was ~3.8 hours, equivalent to a retained fraction of 0.0126. The retained fraction calculated by EPA based on the hen metabolism study was 0.527. Both values reflect efficient clearance of imidacloprid, but the value derived from Bean 2019 represents a 51% greater clearance in 24 hours. In the final BE it is recommended alternative assessments be performed with the retained fraction of 0.0126 and</w:t>
      </w:r>
      <w:r w:rsidR="00905361">
        <w:rPr>
          <w:rFonts w:asciiTheme="minorHAnsi" w:hAnsiTheme="minorHAnsi" w:cstheme="minorHAnsi"/>
          <w:color w:val="000000"/>
        </w:rPr>
        <w:t xml:space="preserve"> </w:t>
      </w:r>
      <w:r w:rsidRPr="00B4664D">
        <w:rPr>
          <w:rFonts w:asciiTheme="minorHAnsi" w:hAnsiTheme="minorHAnsi" w:cstheme="minorHAnsi"/>
          <w:color w:val="000000"/>
        </w:rPr>
        <w:t>results be considered within the weight of evidence.</w:t>
      </w:r>
    </w:p>
    <w:p w14:paraId="3B8DC155" w14:textId="483EBEBB" w:rsidR="00C65D37" w:rsidRDefault="00C65D37" w:rsidP="005859DB">
      <w:pPr>
        <w:rPr>
          <w:rFonts w:asciiTheme="minorHAnsi" w:hAnsiTheme="minorHAnsi" w:cstheme="minorHAnsi"/>
          <w:i/>
          <w:iCs/>
          <w:color w:val="000000"/>
        </w:rPr>
      </w:pPr>
    </w:p>
    <w:p w14:paraId="4FDA9C92" w14:textId="4B3D0B68" w:rsidR="005220E3" w:rsidRPr="00EC79C0" w:rsidRDefault="00C65D37" w:rsidP="005859DB">
      <w:pPr>
        <w:keepNext/>
        <w:rPr>
          <w:rFonts w:asciiTheme="minorHAnsi" w:hAnsiTheme="minorHAnsi"/>
          <w:i/>
          <w:iCs/>
        </w:rPr>
      </w:pPr>
      <w:r w:rsidRPr="00B17015">
        <w:rPr>
          <w:rFonts w:asciiTheme="minorHAnsi" w:hAnsiTheme="minorHAnsi" w:cstheme="minorHAnsi"/>
          <w:b/>
          <w:bCs/>
          <w:color w:val="000000"/>
        </w:rPr>
        <w:t>E</w:t>
      </w:r>
      <w:r w:rsidR="00905361" w:rsidRPr="00B17015">
        <w:rPr>
          <w:rFonts w:asciiTheme="minorHAnsi" w:hAnsiTheme="minorHAnsi" w:cstheme="minorHAnsi"/>
          <w:b/>
          <w:bCs/>
          <w:color w:val="000000"/>
        </w:rPr>
        <w:t xml:space="preserve">PA </w:t>
      </w:r>
      <w:r w:rsidRPr="00B17015">
        <w:rPr>
          <w:rFonts w:asciiTheme="minorHAnsi" w:hAnsiTheme="minorHAnsi" w:cstheme="minorHAnsi"/>
          <w:b/>
          <w:bCs/>
          <w:color w:val="000000"/>
        </w:rPr>
        <w:t>R</w:t>
      </w:r>
      <w:r w:rsidRPr="00B17015">
        <w:rPr>
          <w:rFonts w:asciiTheme="minorHAnsi" w:hAnsiTheme="minorHAnsi" w:cstheme="minorHAnsi"/>
          <w:b/>
          <w:color w:val="000000"/>
        </w:rPr>
        <w:t>esponse</w:t>
      </w:r>
      <w:r w:rsidRPr="00B17015">
        <w:rPr>
          <w:rFonts w:asciiTheme="minorHAnsi" w:hAnsiTheme="minorHAnsi" w:cstheme="minorHAnsi"/>
          <w:bCs/>
          <w:color w:val="000000"/>
        </w:rPr>
        <w:t xml:space="preserve">: </w:t>
      </w:r>
      <w:bookmarkStart w:id="48" w:name="_Hlk101299386"/>
      <w:r w:rsidR="003F2689">
        <w:rPr>
          <w:rFonts w:asciiTheme="minorHAnsi" w:hAnsiTheme="minorHAnsi" w:cstheme="minorHAnsi"/>
          <w:bCs/>
          <w:i/>
          <w:iCs/>
          <w:color w:val="000000"/>
        </w:rPr>
        <w:t xml:space="preserve">Based on the large spatial extent of imidacloprid usage as indicated by its numerous registered uses, and the currently available toxicity data for birds, </w:t>
      </w:r>
      <w:r w:rsidR="005220E3" w:rsidRPr="00EC79C0">
        <w:rPr>
          <w:rFonts w:asciiTheme="minorHAnsi" w:hAnsiTheme="minorHAnsi"/>
          <w:i/>
          <w:iCs/>
        </w:rPr>
        <w:t>EPA does not expect the estimated fraction of imidacloprid retained in birds will change the LAA determinations in the BEs</w:t>
      </w:r>
      <w:r w:rsidR="0044358F">
        <w:rPr>
          <w:rFonts w:asciiTheme="minorHAnsi" w:hAnsiTheme="minorHAnsi"/>
          <w:i/>
          <w:iCs/>
        </w:rPr>
        <w:t xml:space="preserve">, but </w:t>
      </w:r>
      <w:r w:rsidR="007470F4">
        <w:rPr>
          <w:rFonts w:asciiTheme="minorHAnsi" w:hAnsiTheme="minorHAnsi"/>
          <w:i/>
          <w:iCs/>
        </w:rPr>
        <w:t xml:space="preserve">if needed </w:t>
      </w:r>
      <w:r w:rsidR="0044358F">
        <w:rPr>
          <w:rFonts w:asciiTheme="minorHAnsi" w:hAnsiTheme="minorHAnsi"/>
          <w:i/>
          <w:iCs/>
        </w:rPr>
        <w:t>will discuss</w:t>
      </w:r>
      <w:r w:rsidR="003F2689">
        <w:rPr>
          <w:rFonts w:asciiTheme="minorHAnsi" w:hAnsiTheme="minorHAnsi"/>
          <w:i/>
          <w:iCs/>
        </w:rPr>
        <w:t xml:space="preserve"> </w:t>
      </w:r>
      <w:r w:rsidR="001D5359">
        <w:rPr>
          <w:rFonts w:asciiTheme="minorHAnsi" w:hAnsiTheme="minorHAnsi"/>
          <w:i/>
          <w:iCs/>
        </w:rPr>
        <w:t xml:space="preserve">with the Services </w:t>
      </w:r>
      <w:r w:rsidR="009D6EA4">
        <w:rPr>
          <w:rFonts w:asciiTheme="minorHAnsi" w:hAnsiTheme="minorHAnsi"/>
          <w:i/>
          <w:iCs/>
        </w:rPr>
        <w:t xml:space="preserve">during consultation </w:t>
      </w:r>
      <w:r w:rsidR="003F2689">
        <w:rPr>
          <w:rFonts w:asciiTheme="minorHAnsi" w:hAnsiTheme="minorHAnsi"/>
          <w:i/>
          <w:iCs/>
        </w:rPr>
        <w:t>the potential relevancy of</w:t>
      </w:r>
      <w:r w:rsidR="0044358F">
        <w:rPr>
          <w:rFonts w:asciiTheme="minorHAnsi" w:hAnsiTheme="minorHAnsi"/>
          <w:i/>
          <w:iCs/>
        </w:rPr>
        <w:t xml:space="preserve"> this information</w:t>
      </w:r>
      <w:r w:rsidR="003F2689">
        <w:rPr>
          <w:rFonts w:asciiTheme="minorHAnsi" w:hAnsiTheme="minorHAnsi"/>
          <w:i/>
          <w:iCs/>
        </w:rPr>
        <w:t xml:space="preserve"> to </w:t>
      </w:r>
      <w:r w:rsidR="009D6EA4">
        <w:rPr>
          <w:rFonts w:asciiTheme="minorHAnsi" w:hAnsiTheme="minorHAnsi"/>
          <w:i/>
          <w:iCs/>
        </w:rPr>
        <w:t>the Services’ biological opinions</w:t>
      </w:r>
      <w:r w:rsidR="005220E3" w:rsidRPr="00EC79C0">
        <w:rPr>
          <w:rFonts w:asciiTheme="minorHAnsi" w:hAnsiTheme="minorHAnsi"/>
          <w:i/>
          <w:iCs/>
        </w:rPr>
        <w:t xml:space="preserve">. </w:t>
      </w:r>
    </w:p>
    <w:bookmarkEnd w:id="46"/>
    <w:bookmarkEnd w:id="48"/>
    <w:p w14:paraId="3E306FDF" w14:textId="77777777" w:rsidR="005C5198" w:rsidRDefault="005C5198" w:rsidP="005859DB">
      <w:pPr>
        <w:rPr>
          <w:rFonts w:asciiTheme="minorHAnsi" w:hAnsiTheme="minorHAnsi" w:cstheme="minorHAnsi"/>
          <w:b/>
          <w:bCs/>
          <w:color w:val="000000"/>
        </w:rPr>
      </w:pPr>
    </w:p>
    <w:p w14:paraId="1A14D71D" w14:textId="25536A51" w:rsidR="00882EBB" w:rsidRPr="003E600D" w:rsidRDefault="00882EBB" w:rsidP="005859DB">
      <w:pPr>
        <w:rPr>
          <w:rFonts w:asciiTheme="minorHAnsi" w:hAnsiTheme="minorHAnsi" w:cstheme="minorHAnsi"/>
        </w:rPr>
      </w:pPr>
      <w:r w:rsidRPr="00B4664D">
        <w:rPr>
          <w:rFonts w:asciiTheme="minorHAnsi" w:hAnsiTheme="minorHAnsi" w:cstheme="minorHAnsi"/>
          <w:b/>
          <w:color w:val="000000"/>
        </w:rPr>
        <w:t xml:space="preserve">Comment: </w:t>
      </w:r>
      <w:r w:rsidRPr="00B4664D">
        <w:rPr>
          <w:rFonts w:asciiTheme="minorHAnsi" w:hAnsiTheme="minorHAnsi" w:cstheme="minorHAnsi"/>
          <w:color w:val="000000"/>
        </w:rPr>
        <w:t>Avian food intake rates in the draft BE do not rely on the best available data</w:t>
      </w:r>
      <w:r w:rsidR="00B17015">
        <w:rPr>
          <w:rFonts w:asciiTheme="minorHAnsi" w:hAnsiTheme="minorHAnsi" w:cstheme="minorHAnsi"/>
          <w:color w:val="000000"/>
        </w:rPr>
        <w:t xml:space="preserve">. </w:t>
      </w:r>
      <w:r w:rsidRPr="00721481">
        <w:rPr>
          <w:rFonts w:asciiTheme="minorHAnsi" w:hAnsiTheme="minorHAnsi" w:cstheme="minorHAnsi"/>
        </w:rPr>
        <w:t xml:space="preserve">The allometric relationships used in the draft BE to estimate avian food intake are not specific to the gross energies and assimilation efficiencies of different dietary items. Relying on publicly available data six taxonomic order specific allometric equations and one equation based on all data, to serve as a surrogate for the remaining taxa, have been derived. As the best available data, these equations should replace the default currently incorporated in the MAGtool for the final BE. Details on data sources and derivation of allometric equations are available in </w:t>
      </w:r>
      <w:r w:rsidRPr="002F6C95">
        <w:rPr>
          <w:rFonts w:asciiTheme="minorHAnsi" w:hAnsiTheme="minorHAnsi" w:cstheme="minorHAnsi"/>
          <w:b/>
          <w:bCs/>
        </w:rPr>
        <w:t>Section 4.3</w:t>
      </w:r>
      <w:r w:rsidRPr="00721481">
        <w:rPr>
          <w:rFonts w:asciiTheme="minorHAnsi" w:hAnsiTheme="minorHAnsi" w:cstheme="minorHAnsi"/>
        </w:rPr>
        <w:t xml:space="preserve"> and </w:t>
      </w:r>
      <w:r w:rsidRPr="002F6C95">
        <w:rPr>
          <w:rFonts w:asciiTheme="minorHAnsi" w:hAnsiTheme="minorHAnsi" w:cstheme="minorHAnsi"/>
          <w:b/>
          <w:bCs/>
        </w:rPr>
        <w:t>Appendix C</w:t>
      </w:r>
      <w:r w:rsidRPr="00721481">
        <w:rPr>
          <w:rFonts w:asciiTheme="minorHAnsi" w:hAnsiTheme="minorHAnsi" w:cstheme="minorHAnsi"/>
        </w:rPr>
        <w:t xml:space="preserve"> of “ESASEEDPARAM: A Seed Treatment </w:t>
      </w:r>
      <w:r w:rsidRPr="003E600D">
        <w:rPr>
          <w:rFonts w:asciiTheme="minorHAnsi" w:hAnsiTheme="minorHAnsi" w:cstheme="minorHAnsi"/>
        </w:rPr>
        <w:t>Model For Listed Bird Species” (</w:t>
      </w:r>
      <w:r w:rsidRPr="002F6C95">
        <w:rPr>
          <w:rFonts w:asciiTheme="minorHAnsi" w:hAnsiTheme="minorHAnsi" w:cstheme="minorHAnsi"/>
          <w:b/>
          <w:bCs/>
        </w:rPr>
        <w:t>Chapter 6</w:t>
      </w:r>
      <w:r w:rsidRPr="003E600D">
        <w:rPr>
          <w:rFonts w:asciiTheme="minorHAnsi" w:hAnsiTheme="minorHAnsi" w:cstheme="minorHAnsi"/>
        </w:rPr>
        <w:t>).</w:t>
      </w:r>
    </w:p>
    <w:bookmarkEnd w:id="47"/>
    <w:p w14:paraId="7C85B385" w14:textId="5C483D7D" w:rsidR="00C65D37" w:rsidRPr="003E600D" w:rsidRDefault="00C65D37" w:rsidP="005859DB">
      <w:pPr>
        <w:tabs>
          <w:tab w:val="left" w:pos="756"/>
        </w:tabs>
        <w:rPr>
          <w:rFonts w:asciiTheme="minorHAnsi" w:hAnsiTheme="minorHAnsi" w:cstheme="minorHAnsi"/>
        </w:rPr>
      </w:pPr>
    </w:p>
    <w:p w14:paraId="430345D4" w14:textId="7FEB639A" w:rsidR="002D2219" w:rsidRPr="002D2219" w:rsidRDefault="0043041D" w:rsidP="005859DB">
      <w:pPr>
        <w:tabs>
          <w:tab w:val="left" w:pos="756"/>
        </w:tabs>
        <w:rPr>
          <w:rFonts w:asciiTheme="minorHAnsi" w:hAnsiTheme="minorHAnsi" w:cstheme="minorHAnsi"/>
          <w:i/>
          <w:iCs/>
        </w:rPr>
      </w:pPr>
      <w:r w:rsidRPr="003E600D">
        <w:rPr>
          <w:rFonts w:asciiTheme="minorHAnsi" w:hAnsiTheme="minorHAnsi" w:cstheme="minorHAnsi"/>
          <w:b/>
          <w:bCs/>
          <w:color w:val="000000"/>
        </w:rPr>
        <w:t>EPA</w:t>
      </w:r>
      <w:r w:rsidR="00C65D37" w:rsidRPr="003E600D">
        <w:rPr>
          <w:rFonts w:asciiTheme="minorHAnsi" w:hAnsiTheme="minorHAnsi" w:cstheme="minorHAnsi"/>
          <w:b/>
          <w:color w:val="000000"/>
        </w:rPr>
        <w:t xml:space="preserve"> Response</w:t>
      </w:r>
      <w:r w:rsidR="00B17015" w:rsidRPr="003E600D">
        <w:rPr>
          <w:rFonts w:asciiTheme="minorHAnsi" w:hAnsiTheme="minorHAnsi" w:cstheme="minorHAnsi"/>
          <w:b/>
          <w:color w:val="000000"/>
        </w:rPr>
        <w:t>:</w:t>
      </w:r>
      <w:r w:rsidR="00B17015" w:rsidRPr="00EC79C0">
        <w:rPr>
          <w:rFonts w:asciiTheme="minorHAnsi" w:hAnsiTheme="minorHAnsi" w:cstheme="minorHAnsi"/>
          <w:bCs/>
          <w:color w:val="000000"/>
        </w:rPr>
        <w:t xml:space="preserve"> </w:t>
      </w:r>
      <w:r w:rsidR="002D2219" w:rsidRPr="00EC79C0">
        <w:rPr>
          <w:rFonts w:asciiTheme="minorHAnsi" w:hAnsiTheme="minorHAnsi" w:cstheme="minorHAnsi"/>
          <w:bCs/>
          <w:i/>
          <w:iCs/>
          <w:color w:val="000000"/>
        </w:rPr>
        <w:t>As not</w:t>
      </w:r>
      <w:r w:rsidR="002D2219" w:rsidRPr="002D2219">
        <w:rPr>
          <w:rFonts w:asciiTheme="minorHAnsi" w:hAnsiTheme="minorHAnsi" w:cstheme="minorHAnsi"/>
          <w:bCs/>
          <w:i/>
          <w:iCs/>
          <w:color w:val="000000"/>
        </w:rPr>
        <w:t>ed</w:t>
      </w:r>
      <w:r w:rsidR="002D2219" w:rsidRPr="00DD7307">
        <w:rPr>
          <w:rFonts w:asciiTheme="minorHAnsi" w:hAnsiTheme="minorHAnsi" w:cstheme="minorHAnsi"/>
          <w:bCs/>
          <w:i/>
          <w:iCs/>
          <w:color w:val="000000"/>
        </w:rPr>
        <w:t xml:space="preserve"> </w:t>
      </w:r>
      <w:r w:rsidR="002D2219" w:rsidRPr="00DD7307">
        <w:rPr>
          <w:rFonts w:asciiTheme="minorHAnsi" w:hAnsiTheme="minorHAnsi" w:cstheme="minorHAnsi"/>
          <w:i/>
          <w:iCs/>
        </w:rPr>
        <w:t xml:space="preserve">in </w:t>
      </w:r>
      <w:r w:rsidR="005D2BE6" w:rsidRPr="003A3BAD">
        <w:rPr>
          <w:rFonts w:asciiTheme="minorHAnsi" w:hAnsiTheme="minorHAnsi" w:cstheme="minorHAnsi"/>
          <w:b/>
          <w:bCs/>
          <w:i/>
          <w:iCs/>
        </w:rPr>
        <w:t>Section 2</w:t>
      </w:r>
      <w:r w:rsidR="005D2BE6" w:rsidRPr="002D2219">
        <w:rPr>
          <w:rFonts w:asciiTheme="minorHAnsi" w:hAnsiTheme="minorHAnsi" w:cstheme="minorHAnsi"/>
          <w:i/>
          <w:iCs/>
        </w:rPr>
        <w:t>, EPA has not fully evaluate</w:t>
      </w:r>
      <w:r w:rsidR="007C286E">
        <w:rPr>
          <w:rFonts w:asciiTheme="minorHAnsi" w:hAnsiTheme="minorHAnsi" w:cstheme="minorHAnsi"/>
          <w:i/>
          <w:iCs/>
        </w:rPr>
        <w:t>d</w:t>
      </w:r>
      <w:r w:rsidR="005D2BE6" w:rsidRPr="002D2219">
        <w:rPr>
          <w:rFonts w:asciiTheme="minorHAnsi" w:hAnsiTheme="minorHAnsi" w:cstheme="minorHAnsi"/>
          <w:i/>
          <w:iCs/>
        </w:rPr>
        <w:t xml:space="preserve"> </w:t>
      </w:r>
      <w:proofErr w:type="spellStart"/>
      <w:r w:rsidR="005D2BE6" w:rsidRPr="002D2219">
        <w:rPr>
          <w:rFonts w:asciiTheme="minorHAnsi" w:hAnsiTheme="minorHAnsi" w:cstheme="minorHAnsi"/>
          <w:i/>
          <w:iCs/>
        </w:rPr>
        <w:t>ESASeedPARAM</w:t>
      </w:r>
      <w:proofErr w:type="spellEnd"/>
      <w:r w:rsidR="005D2BE6" w:rsidRPr="002D2219">
        <w:rPr>
          <w:rFonts w:asciiTheme="minorHAnsi" w:hAnsiTheme="minorHAnsi" w:cstheme="minorHAnsi"/>
          <w:i/>
          <w:iCs/>
        </w:rPr>
        <w:t>. Because of the complexity of the model (</w:t>
      </w:r>
      <w:r w:rsidR="005D2BE6" w:rsidRPr="00722C48">
        <w:rPr>
          <w:rFonts w:asciiTheme="minorHAnsi" w:hAnsiTheme="minorHAnsi" w:cstheme="minorHAnsi"/>
        </w:rPr>
        <w:t>i.e.,</w:t>
      </w:r>
      <w:r w:rsidR="005D2BE6" w:rsidRPr="002D2219">
        <w:rPr>
          <w:rFonts w:asciiTheme="minorHAnsi" w:hAnsiTheme="minorHAnsi" w:cstheme="minorHAnsi"/>
          <w:i/>
          <w:iCs/>
        </w:rPr>
        <w:t xml:space="preserve"> the probabilistic nature of the model and the distributions for the various parameters), the need to evaluate the underlying sources of data, and the winnowing of the listed species to a subset of birds and mammals believed to consume seeds, EPA will need time to go through </w:t>
      </w:r>
      <w:r w:rsidR="005D2BE6" w:rsidRPr="002D2219">
        <w:rPr>
          <w:rFonts w:asciiTheme="minorHAnsi" w:hAnsiTheme="minorHAnsi" w:cstheme="minorHAnsi"/>
          <w:i/>
          <w:iCs/>
        </w:rPr>
        <w:lastRenderedPageBreak/>
        <w:t>the model and its assumptions. Until EPA has</w:t>
      </w:r>
      <w:r w:rsidR="005D2BE6" w:rsidRPr="002D2219" w:rsidDel="00CE2CA9">
        <w:rPr>
          <w:rFonts w:asciiTheme="minorHAnsi" w:hAnsiTheme="minorHAnsi" w:cstheme="minorHAnsi"/>
          <w:i/>
          <w:iCs/>
        </w:rPr>
        <w:t xml:space="preserve"> </w:t>
      </w:r>
      <w:r w:rsidR="005D2BE6" w:rsidRPr="002D2219">
        <w:rPr>
          <w:rFonts w:asciiTheme="minorHAnsi" w:hAnsiTheme="minorHAnsi" w:cstheme="minorHAnsi"/>
          <w:i/>
          <w:iCs/>
        </w:rPr>
        <w:t>fully evaluate</w:t>
      </w:r>
      <w:r w:rsidR="00CE2CA9">
        <w:rPr>
          <w:rFonts w:asciiTheme="minorHAnsi" w:hAnsiTheme="minorHAnsi" w:cstheme="minorHAnsi"/>
          <w:i/>
          <w:iCs/>
        </w:rPr>
        <w:t>d</w:t>
      </w:r>
      <w:r w:rsidR="005D2BE6" w:rsidRPr="002D2219">
        <w:rPr>
          <w:rFonts w:asciiTheme="minorHAnsi" w:hAnsiTheme="minorHAnsi" w:cstheme="minorHAnsi"/>
          <w:i/>
          <w:iCs/>
        </w:rPr>
        <w:t xml:space="preserve"> the model and discus</w:t>
      </w:r>
      <w:r w:rsidR="00CE2CA9">
        <w:rPr>
          <w:rFonts w:asciiTheme="minorHAnsi" w:hAnsiTheme="minorHAnsi" w:cstheme="minorHAnsi"/>
          <w:i/>
          <w:iCs/>
        </w:rPr>
        <w:t>se</w:t>
      </w:r>
      <w:r w:rsidR="007F0163">
        <w:rPr>
          <w:rFonts w:asciiTheme="minorHAnsi" w:hAnsiTheme="minorHAnsi" w:cstheme="minorHAnsi"/>
          <w:i/>
          <w:iCs/>
        </w:rPr>
        <w:t>d</w:t>
      </w:r>
      <w:r w:rsidR="005D2BE6" w:rsidRPr="002D2219">
        <w:rPr>
          <w:rFonts w:asciiTheme="minorHAnsi" w:hAnsiTheme="minorHAnsi" w:cstheme="minorHAnsi"/>
          <w:i/>
          <w:iCs/>
        </w:rPr>
        <w:t xml:space="preserve"> its use with the Services, particularly the limited number of species assumed to consume seeds, the current methods employed in the BEs will be used to evaluate potential effects to listed granivorous and omnivorous birds and mammals</w:t>
      </w:r>
      <w:r w:rsidR="007F0163">
        <w:rPr>
          <w:rFonts w:asciiTheme="minorHAnsi" w:hAnsiTheme="minorHAnsi" w:cstheme="minorHAnsi"/>
          <w:i/>
          <w:iCs/>
        </w:rPr>
        <w:t>, as relevant, during consultation with the Services</w:t>
      </w:r>
      <w:r w:rsidR="005D2BE6" w:rsidRPr="002D2219">
        <w:rPr>
          <w:rFonts w:asciiTheme="minorHAnsi" w:hAnsiTheme="minorHAnsi" w:cstheme="minorHAnsi"/>
          <w:i/>
          <w:iCs/>
        </w:rPr>
        <w:t>.</w:t>
      </w:r>
      <w:r w:rsidR="002D2219">
        <w:rPr>
          <w:rFonts w:asciiTheme="minorHAnsi" w:hAnsiTheme="minorHAnsi" w:cstheme="minorHAnsi"/>
          <w:i/>
          <w:iCs/>
        </w:rPr>
        <w:t xml:space="preserve"> </w:t>
      </w:r>
    </w:p>
    <w:p w14:paraId="3CBEC87D" w14:textId="77777777" w:rsidR="00882EBB" w:rsidRPr="00721481" w:rsidRDefault="00882EBB" w:rsidP="005859DB">
      <w:pPr>
        <w:tabs>
          <w:tab w:val="left" w:pos="756"/>
        </w:tabs>
        <w:rPr>
          <w:rFonts w:asciiTheme="minorHAnsi" w:hAnsiTheme="minorHAnsi" w:cstheme="minorHAnsi"/>
        </w:rPr>
      </w:pPr>
    </w:p>
    <w:p w14:paraId="7E1E4869" w14:textId="2D94C80D" w:rsidR="00882EBB" w:rsidRPr="00B4664D" w:rsidRDefault="00F03497" w:rsidP="005859DB">
      <w:pPr>
        <w:tabs>
          <w:tab w:val="left" w:pos="756"/>
        </w:tabs>
        <w:rPr>
          <w:rFonts w:asciiTheme="minorHAnsi" w:hAnsiTheme="minorHAnsi" w:cstheme="minorHAnsi"/>
        </w:rPr>
      </w:pPr>
      <w:bookmarkStart w:id="49" w:name="_Hlk94601420"/>
      <w:r w:rsidRPr="00B4664D">
        <w:rPr>
          <w:rFonts w:asciiTheme="minorHAnsi" w:hAnsiTheme="minorHAnsi" w:cstheme="minorHAnsi"/>
          <w:b/>
          <w:bCs/>
        </w:rPr>
        <w:t>Comment</w:t>
      </w:r>
      <w:r w:rsidR="00882EBB" w:rsidRPr="00B4664D">
        <w:rPr>
          <w:rFonts w:asciiTheme="minorHAnsi" w:hAnsiTheme="minorHAnsi" w:cstheme="minorHAnsi"/>
          <w:b/>
          <w:bCs/>
        </w:rPr>
        <w:t>:</w:t>
      </w:r>
      <w:r w:rsidR="00882EBB" w:rsidRPr="00B4664D">
        <w:rPr>
          <w:rFonts w:asciiTheme="minorHAnsi" w:hAnsiTheme="minorHAnsi" w:cstheme="minorHAnsi"/>
        </w:rPr>
        <w:t xml:space="preserve"> </w:t>
      </w:r>
      <w:bookmarkStart w:id="50" w:name="_Hlk101299637"/>
      <w:bookmarkEnd w:id="49"/>
      <w:r w:rsidR="00882EBB" w:rsidRPr="00CA6FCF">
        <w:rPr>
          <w:rFonts w:asciiTheme="minorHAnsi" w:hAnsiTheme="minorHAnsi" w:cstheme="minorHAnsi"/>
        </w:rPr>
        <w:t xml:space="preserve">The </w:t>
      </w:r>
      <w:r w:rsidR="00CA6FCF">
        <w:rPr>
          <w:rFonts w:asciiTheme="minorHAnsi" w:hAnsiTheme="minorHAnsi" w:cstheme="minorHAnsi"/>
        </w:rPr>
        <w:t>r</w:t>
      </w:r>
      <w:r w:rsidR="00882EBB" w:rsidRPr="00CA6FCF">
        <w:rPr>
          <w:rFonts w:asciiTheme="minorHAnsi" w:hAnsiTheme="minorHAnsi" w:cstheme="minorHAnsi"/>
        </w:rPr>
        <w:t xml:space="preserve">esidential </w:t>
      </w:r>
      <w:r w:rsidR="00CA6FCF">
        <w:rPr>
          <w:rFonts w:asciiTheme="minorHAnsi" w:hAnsiTheme="minorHAnsi" w:cstheme="minorHAnsi"/>
        </w:rPr>
        <w:t>s</w:t>
      </w:r>
      <w:r w:rsidR="00882EBB" w:rsidRPr="00CA6FCF">
        <w:rPr>
          <w:rFonts w:asciiTheme="minorHAnsi" w:hAnsiTheme="minorHAnsi" w:cstheme="minorHAnsi"/>
        </w:rPr>
        <w:t xml:space="preserve">cenarios in the BE </w:t>
      </w:r>
      <w:r w:rsidR="00CA6FCF">
        <w:rPr>
          <w:rFonts w:asciiTheme="minorHAnsi" w:hAnsiTheme="minorHAnsi" w:cstheme="minorHAnsi"/>
        </w:rPr>
        <w:t>i</w:t>
      </w:r>
      <w:r w:rsidR="00882EBB" w:rsidRPr="00CA6FCF">
        <w:rPr>
          <w:rFonts w:asciiTheme="minorHAnsi" w:hAnsiTheme="minorHAnsi" w:cstheme="minorHAnsi"/>
        </w:rPr>
        <w:t xml:space="preserve">ncorrectly </w:t>
      </w:r>
      <w:r w:rsidR="00CA6FCF">
        <w:rPr>
          <w:rFonts w:asciiTheme="minorHAnsi" w:hAnsiTheme="minorHAnsi" w:cstheme="minorHAnsi"/>
        </w:rPr>
        <w:t>a</w:t>
      </w:r>
      <w:r w:rsidR="00882EBB" w:rsidRPr="00CA6FCF">
        <w:rPr>
          <w:rFonts w:asciiTheme="minorHAnsi" w:hAnsiTheme="minorHAnsi" w:cstheme="minorHAnsi"/>
        </w:rPr>
        <w:t xml:space="preserve">ssume the </w:t>
      </w:r>
      <w:r w:rsidR="00CA6FCF">
        <w:rPr>
          <w:rFonts w:asciiTheme="minorHAnsi" w:hAnsiTheme="minorHAnsi" w:cstheme="minorHAnsi"/>
        </w:rPr>
        <w:t>e</w:t>
      </w:r>
      <w:r w:rsidR="00882EBB" w:rsidRPr="00CA6FCF">
        <w:rPr>
          <w:rFonts w:asciiTheme="minorHAnsi" w:hAnsiTheme="minorHAnsi" w:cstheme="minorHAnsi"/>
        </w:rPr>
        <w:t xml:space="preserve">ntire </w:t>
      </w:r>
      <w:r w:rsidR="00CA6FCF">
        <w:rPr>
          <w:rFonts w:asciiTheme="minorHAnsi" w:hAnsiTheme="minorHAnsi" w:cstheme="minorHAnsi"/>
        </w:rPr>
        <w:t>h</w:t>
      </w:r>
      <w:r w:rsidR="00882EBB" w:rsidRPr="00CA6FCF">
        <w:rPr>
          <w:rFonts w:asciiTheme="minorHAnsi" w:hAnsiTheme="minorHAnsi" w:cstheme="minorHAnsi"/>
        </w:rPr>
        <w:t xml:space="preserve">ouse </w:t>
      </w:r>
      <w:r w:rsidR="00CA6FCF">
        <w:rPr>
          <w:rFonts w:asciiTheme="minorHAnsi" w:hAnsiTheme="minorHAnsi" w:cstheme="minorHAnsi"/>
        </w:rPr>
        <w:t>l</w:t>
      </w:r>
      <w:r w:rsidR="00882EBB" w:rsidRPr="00CA6FCF">
        <w:rPr>
          <w:rFonts w:asciiTheme="minorHAnsi" w:hAnsiTheme="minorHAnsi" w:cstheme="minorHAnsi"/>
        </w:rPr>
        <w:t xml:space="preserve">ot is </w:t>
      </w:r>
      <w:r w:rsidR="00CA6FCF">
        <w:rPr>
          <w:rFonts w:asciiTheme="minorHAnsi" w:hAnsiTheme="minorHAnsi" w:cstheme="minorHAnsi"/>
        </w:rPr>
        <w:t>t</w:t>
      </w:r>
      <w:r w:rsidR="00882EBB" w:rsidRPr="00CA6FCF">
        <w:rPr>
          <w:rFonts w:asciiTheme="minorHAnsi" w:hAnsiTheme="minorHAnsi" w:cstheme="minorHAnsi"/>
        </w:rPr>
        <w:t xml:space="preserve">reated with </w:t>
      </w:r>
      <w:r w:rsidR="00CA6FCF">
        <w:rPr>
          <w:rFonts w:asciiTheme="minorHAnsi" w:hAnsiTheme="minorHAnsi" w:cstheme="minorHAnsi"/>
        </w:rPr>
        <w:t>i</w:t>
      </w:r>
      <w:r w:rsidR="00882EBB" w:rsidRPr="00CA6FCF">
        <w:rPr>
          <w:rFonts w:asciiTheme="minorHAnsi" w:hAnsiTheme="minorHAnsi" w:cstheme="minorHAnsi"/>
        </w:rPr>
        <w:t>midacloprid</w:t>
      </w:r>
      <w:r w:rsidR="00CA6FCF">
        <w:rPr>
          <w:rFonts w:asciiTheme="minorHAnsi" w:hAnsiTheme="minorHAnsi" w:cstheme="minorHAnsi"/>
        </w:rPr>
        <w:t>.</w:t>
      </w:r>
      <w:r w:rsidR="00882EBB" w:rsidRPr="00CA6FCF">
        <w:rPr>
          <w:rFonts w:asciiTheme="minorHAnsi" w:hAnsiTheme="minorHAnsi" w:cstheme="minorHAnsi"/>
        </w:rPr>
        <w:t xml:space="preserve"> </w:t>
      </w:r>
      <w:bookmarkEnd w:id="50"/>
      <w:r w:rsidR="00882EBB" w:rsidRPr="002F6C95">
        <w:rPr>
          <w:rFonts w:asciiTheme="minorHAnsi" w:hAnsiTheme="minorHAnsi" w:cstheme="minorHAnsi"/>
          <w:b/>
          <w:bCs/>
        </w:rPr>
        <w:t>Chapter 3 Section 3.5.7</w:t>
      </w:r>
      <w:r w:rsidR="00882EBB" w:rsidRPr="00B4664D">
        <w:rPr>
          <w:rFonts w:asciiTheme="minorHAnsi" w:hAnsiTheme="minorHAnsi" w:cstheme="minorHAnsi"/>
        </w:rPr>
        <w:t xml:space="preserve"> of the BE discusses the scenarios chosen for simulating non-agricultural uses, including residential uses. In the BE, the “</w:t>
      </w:r>
      <w:proofErr w:type="spellStart"/>
      <w:r w:rsidR="00882EBB" w:rsidRPr="00B4664D">
        <w:rPr>
          <w:rFonts w:asciiTheme="minorHAnsi" w:hAnsiTheme="minorHAnsi" w:cstheme="minorHAnsi"/>
        </w:rPr>
        <w:t>ResidentialESA</w:t>
      </w:r>
      <w:proofErr w:type="spellEnd"/>
      <w:r w:rsidR="00882EBB" w:rsidRPr="00B4664D">
        <w:rPr>
          <w:rFonts w:asciiTheme="minorHAnsi" w:hAnsiTheme="minorHAnsi" w:cstheme="minorHAnsi"/>
        </w:rPr>
        <w:t>” scenario was used, with the assumption that 100% of the house lot is treated with imidacloprid. While it is true that imidacloprid has multiple different residential use sites described on its labels, it is not possible for the entirety of each house lot to be treated. Areas such as the house footprint itself cannot be treated. In addition, impervious areas such as driveways and sidewalks are not listed as use sites for imidacloprid. For the remaining landscape units on a residential lot, it remains highly implausible that 100% of those areas would be treated. Thus, the resulting application mass per house lot is inflated, leading to over-prediction of aquatic EECs.</w:t>
      </w:r>
    </w:p>
    <w:p w14:paraId="46959630" w14:textId="77777777" w:rsidR="00F03497" w:rsidRPr="00B4664D" w:rsidRDefault="00F03497" w:rsidP="005859DB">
      <w:pPr>
        <w:tabs>
          <w:tab w:val="left" w:pos="756"/>
        </w:tabs>
        <w:rPr>
          <w:rFonts w:asciiTheme="minorHAnsi" w:hAnsiTheme="minorHAnsi" w:cstheme="minorHAnsi"/>
          <w:b/>
          <w:bCs/>
        </w:rPr>
      </w:pPr>
    </w:p>
    <w:p w14:paraId="508685E8" w14:textId="1F9FA2B3" w:rsidR="00882EBB" w:rsidRPr="005550E9" w:rsidRDefault="00882EBB" w:rsidP="005859DB">
      <w:pPr>
        <w:tabs>
          <w:tab w:val="left" w:pos="756"/>
        </w:tabs>
        <w:rPr>
          <w:rFonts w:asciiTheme="minorHAnsi" w:hAnsiTheme="minorHAnsi" w:cstheme="minorHAnsi"/>
        </w:rPr>
      </w:pPr>
      <w:r w:rsidRPr="00B4664D">
        <w:rPr>
          <w:rFonts w:asciiTheme="minorHAnsi" w:hAnsiTheme="minorHAnsi" w:cstheme="minorHAnsi"/>
        </w:rPr>
        <w:t>A careful assessment of the use sites specifically identified the</w:t>
      </w:r>
      <w:r w:rsidR="006C0933">
        <w:rPr>
          <w:rFonts w:asciiTheme="minorHAnsi" w:hAnsiTheme="minorHAnsi" w:cstheme="minorHAnsi"/>
        </w:rPr>
        <w:t xml:space="preserve"> </w:t>
      </w:r>
      <w:r w:rsidRPr="00B4664D">
        <w:rPr>
          <w:rFonts w:asciiTheme="minorHAnsi" w:hAnsiTheme="minorHAnsi" w:cstheme="minorHAnsi"/>
        </w:rPr>
        <w:t>imidacloprid label should be conducted and treated area fractions of a typical house lot estimated. In addition, the Residential Exposure Joint Venture (REJV) database provides a wealth of information concerning outdoor residential pesticide usage (REJV</w:t>
      </w:r>
      <w:r w:rsidRPr="005550E9">
        <w:rPr>
          <w:rFonts w:asciiTheme="minorHAnsi" w:hAnsiTheme="minorHAnsi" w:cstheme="minorHAnsi"/>
        </w:rPr>
        <w:t>, 2014), which could be used to better quantify actual residential application practices of homeowners, including imidacloprid treated use sites.</w:t>
      </w:r>
    </w:p>
    <w:p w14:paraId="53CBFC02" w14:textId="77777777" w:rsidR="00882EBB" w:rsidRPr="005550E9" w:rsidRDefault="00882EBB" w:rsidP="005859DB">
      <w:pPr>
        <w:tabs>
          <w:tab w:val="left" w:pos="756"/>
        </w:tabs>
        <w:rPr>
          <w:rFonts w:asciiTheme="minorHAnsi" w:hAnsiTheme="minorHAnsi" w:cstheme="minorHAnsi"/>
          <w:b/>
          <w:bCs/>
        </w:rPr>
      </w:pPr>
    </w:p>
    <w:p w14:paraId="4AED5468" w14:textId="3BBC727D" w:rsidR="00882EBB" w:rsidRPr="005550E9" w:rsidRDefault="00882EBB" w:rsidP="005859DB">
      <w:pPr>
        <w:tabs>
          <w:tab w:val="left" w:pos="756"/>
        </w:tabs>
        <w:rPr>
          <w:rFonts w:asciiTheme="minorHAnsi" w:hAnsiTheme="minorHAnsi" w:cstheme="minorHAnsi"/>
        </w:rPr>
      </w:pPr>
      <w:bookmarkStart w:id="51" w:name="_Hlk94593121"/>
      <w:r w:rsidRPr="005550E9">
        <w:rPr>
          <w:rFonts w:asciiTheme="minorHAnsi" w:hAnsiTheme="minorHAnsi" w:cstheme="minorHAnsi"/>
          <w:b/>
          <w:bCs/>
        </w:rPr>
        <w:t>E</w:t>
      </w:r>
      <w:r w:rsidR="00F03497" w:rsidRPr="005550E9">
        <w:rPr>
          <w:rFonts w:asciiTheme="minorHAnsi" w:hAnsiTheme="minorHAnsi" w:cstheme="minorHAnsi"/>
          <w:b/>
          <w:bCs/>
        </w:rPr>
        <w:t xml:space="preserve">PA </w:t>
      </w:r>
      <w:r w:rsidRPr="005550E9">
        <w:rPr>
          <w:rFonts w:asciiTheme="minorHAnsi" w:hAnsiTheme="minorHAnsi" w:cstheme="minorHAnsi"/>
          <w:b/>
          <w:bCs/>
        </w:rPr>
        <w:t>Response:</w:t>
      </w:r>
      <w:r w:rsidR="00F03497" w:rsidRPr="005550E9">
        <w:rPr>
          <w:rFonts w:asciiTheme="minorHAnsi" w:hAnsiTheme="minorHAnsi" w:cstheme="minorHAnsi"/>
        </w:rPr>
        <w:t xml:space="preserve"> </w:t>
      </w:r>
      <w:r w:rsidR="000B1551" w:rsidRPr="000D1588">
        <w:rPr>
          <w:rFonts w:asciiTheme="minorHAnsi" w:hAnsiTheme="minorHAnsi" w:cstheme="minorHAnsi"/>
          <w:i/>
          <w:iCs/>
        </w:rPr>
        <w:t>EPA</w:t>
      </w:r>
      <w:r w:rsidR="00CA6FCF" w:rsidRPr="00515104">
        <w:rPr>
          <w:rFonts w:asciiTheme="minorHAnsi" w:hAnsiTheme="minorHAnsi" w:cstheme="minorHAnsi"/>
          <w:i/>
          <w:iCs/>
        </w:rPr>
        <w:t xml:space="preserve"> accounted for untreated residential areas by adjusting the application rate used in the modeling for the area of the residence treated (0.88) and the fraction of the lots treated (0.587). While the REJV data was designed </w:t>
      </w:r>
      <w:r w:rsidR="00647EBF">
        <w:rPr>
          <w:rFonts w:asciiTheme="minorHAnsi" w:hAnsiTheme="minorHAnsi" w:cstheme="minorHAnsi"/>
          <w:i/>
          <w:iCs/>
        </w:rPr>
        <w:t xml:space="preserve">for </w:t>
      </w:r>
      <w:r w:rsidR="00CA6FCF" w:rsidRPr="00515104">
        <w:rPr>
          <w:rFonts w:asciiTheme="minorHAnsi" w:hAnsiTheme="minorHAnsi" w:cstheme="minorHAnsi"/>
          <w:i/>
          <w:iCs/>
        </w:rPr>
        <w:t>and may have utility in terms of understanding general consumer pesticide use patterns, the robustness of those data for determining usage of individual active ingredients has not been fully evaluated. In particular, the imidacloprid usage data within the REJV dataset have not been determined to be statistically robust for the purposes of estimating usage at the national, regional, or state levels.</w:t>
      </w:r>
    </w:p>
    <w:p w14:paraId="0DCC0216" w14:textId="77777777" w:rsidR="00882EBB" w:rsidRPr="005550E9" w:rsidRDefault="00882EBB" w:rsidP="005859DB">
      <w:pPr>
        <w:tabs>
          <w:tab w:val="left" w:pos="756"/>
        </w:tabs>
        <w:rPr>
          <w:rFonts w:asciiTheme="minorHAnsi" w:hAnsiTheme="minorHAnsi" w:cstheme="minorHAnsi"/>
        </w:rPr>
      </w:pPr>
    </w:p>
    <w:p w14:paraId="2E12ACD7" w14:textId="0D6B90E1" w:rsidR="00882EBB" w:rsidRPr="00B4664D" w:rsidRDefault="00F03497" w:rsidP="005859DB">
      <w:pPr>
        <w:tabs>
          <w:tab w:val="left" w:pos="756"/>
        </w:tabs>
        <w:rPr>
          <w:rFonts w:asciiTheme="minorHAnsi" w:hAnsiTheme="minorHAnsi" w:cstheme="minorHAnsi"/>
        </w:rPr>
      </w:pPr>
      <w:r w:rsidRPr="005550E9">
        <w:rPr>
          <w:rFonts w:asciiTheme="minorHAnsi" w:hAnsiTheme="minorHAnsi" w:cstheme="minorHAnsi"/>
          <w:b/>
          <w:bCs/>
        </w:rPr>
        <w:t>Comment</w:t>
      </w:r>
      <w:r w:rsidRPr="005550E9">
        <w:rPr>
          <w:rFonts w:asciiTheme="minorHAnsi" w:hAnsiTheme="minorHAnsi" w:cstheme="minorHAnsi"/>
        </w:rPr>
        <w:t xml:space="preserve">: </w:t>
      </w:r>
      <w:bookmarkStart w:id="52" w:name="_Hlk101299769"/>
      <w:r w:rsidR="00882EBB" w:rsidRPr="005550E9">
        <w:rPr>
          <w:rFonts w:asciiTheme="minorHAnsi" w:hAnsiTheme="minorHAnsi" w:cstheme="minorHAnsi"/>
        </w:rPr>
        <w:t xml:space="preserve">Spray </w:t>
      </w:r>
      <w:r w:rsidR="00CA6FCF">
        <w:rPr>
          <w:rFonts w:asciiTheme="minorHAnsi" w:hAnsiTheme="minorHAnsi" w:cstheme="minorHAnsi"/>
        </w:rPr>
        <w:t>d</w:t>
      </w:r>
      <w:r w:rsidR="00882EBB" w:rsidRPr="005550E9">
        <w:rPr>
          <w:rFonts w:asciiTheme="minorHAnsi" w:hAnsiTheme="minorHAnsi" w:cstheme="minorHAnsi"/>
        </w:rPr>
        <w:t xml:space="preserve">rift </w:t>
      </w:r>
      <w:r w:rsidR="00CA6FCF">
        <w:rPr>
          <w:rFonts w:asciiTheme="minorHAnsi" w:hAnsiTheme="minorHAnsi" w:cstheme="minorHAnsi"/>
        </w:rPr>
        <w:t>m</w:t>
      </w:r>
      <w:r w:rsidR="00882EBB" w:rsidRPr="005550E9">
        <w:rPr>
          <w:rFonts w:asciiTheme="minorHAnsi" w:hAnsiTheme="minorHAnsi" w:cstheme="minorHAnsi"/>
        </w:rPr>
        <w:t xml:space="preserve">odeling </w:t>
      </w:r>
      <w:r w:rsidR="00882EBB" w:rsidRPr="00B4664D">
        <w:rPr>
          <w:rFonts w:asciiTheme="minorHAnsi" w:hAnsiTheme="minorHAnsi" w:cstheme="minorHAnsi"/>
        </w:rPr>
        <w:t xml:space="preserve">with AgDRIFT was </w:t>
      </w:r>
      <w:r w:rsidR="00CA6FCF">
        <w:rPr>
          <w:rFonts w:asciiTheme="minorHAnsi" w:hAnsiTheme="minorHAnsi" w:cstheme="minorHAnsi"/>
        </w:rPr>
        <w:t>b</w:t>
      </w:r>
      <w:r w:rsidR="00882EBB" w:rsidRPr="00B4664D">
        <w:rPr>
          <w:rFonts w:asciiTheme="minorHAnsi" w:hAnsiTheme="minorHAnsi" w:cstheme="minorHAnsi"/>
        </w:rPr>
        <w:t xml:space="preserve">ased on </w:t>
      </w:r>
      <w:r w:rsidR="00CA6FCF">
        <w:rPr>
          <w:rFonts w:asciiTheme="minorHAnsi" w:hAnsiTheme="minorHAnsi" w:cstheme="minorHAnsi"/>
        </w:rPr>
        <w:t>o</w:t>
      </w:r>
      <w:r w:rsidR="00882EBB" w:rsidRPr="00B4664D">
        <w:rPr>
          <w:rFonts w:asciiTheme="minorHAnsi" w:hAnsiTheme="minorHAnsi" w:cstheme="minorHAnsi"/>
        </w:rPr>
        <w:t xml:space="preserve">utdated </w:t>
      </w:r>
      <w:r w:rsidR="00CA6FCF">
        <w:rPr>
          <w:rFonts w:asciiTheme="minorHAnsi" w:hAnsiTheme="minorHAnsi" w:cstheme="minorHAnsi"/>
        </w:rPr>
        <w:t>d</w:t>
      </w:r>
      <w:r w:rsidR="00882EBB" w:rsidRPr="00B4664D">
        <w:rPr>
          <w:rFonts w:asciiTheme="minorHAnsi" w:hAnsiTheme="minorHAnsi" w:cstheme="minorHAnsi"/>
        </w:rPr>
        <w:t xml:space="preserve">roplet </w:t>
      </w:r>
      <w:r w:rsidR="00CA6FCF">
        <w:rPr>
          <w:rFonts w:asciiTheme="minorHAnsi" w:hAnsiTheme="minorHAnsi" w:cstheme="minorHAnsi"/>
        </w:rPr>
        <w:t>s</w:t>
      </w:r>
      <w:r w:rsidR="00882EBB" w:rsidRPr="00B4664D">
        <w:rPr>
          <w:rFonts w:asciiTheme="minorHAnsi" w:hAnsiTheme="minorHAnsi" w:cstheme="minorHAnsi"/>
        </w:rPr>
        <w:t>ize</w:t>
      </w:r>
      <w:r>
        <w:rPr>
          <w:rFonts w:asciiTheme="minorHAnsi" w:hAnsiTheme="minorHAnsi" w:cstheme="minorHAnsi"/>
        </w:rPr>
        <w:t xml:space="preserve"> </w:t>
      </w:r>
      <w:bookmarkStart w:id="53" w:name="_Hlk94601669"/>
      <w:r w:rsidR="00CA6FCF">
        <w:rPr>
          <w:rFonts w:asciiTheme="minorHAnsi" w:hAnsiTheme="minorHAnsi" w:cstheme="minorHAnsi"/>
        </w:rPr>
        <w:t>a</w:t>
      </w:r>
      <w:r w:rsidR="00882EBB" w:rsidRPr="00B4664D">
        <w:rPr>
          <w:rFonts w:asciiTheme="minorHAnsi" w:hAnsiTheme="minorHAnsi" w:cstheme="minorHAnsi"/>
        </w:rPr>
        <w:t>ssumptions</w:t>
      </w:r>
      <w:bookmarkEnd w:id="52"/>
      <w:r>
        <w:rPr>
          <w:rFonts w:asciiTheme="minorHAnsi" w:hAnsiTheme="minorHAnsi" w:cstheme="minorHAnsi"/>
        </w:rPr>
        <w:t>.</w:t>
      </w:r>
      <w:r w:rsidR="00882EBB" w:rsidRPr="00B4664D">
        <w:rPr>
          <w:rFonts w:asciiTheme="minorHAnsi" w:hAnsiTheme="minorHAnsi" w:cstheme="minorHAnsi"/>
        </w:rPr>
        <w:t xml:space="preserve"> The spray drift contributions to aquatic exposure were based on incorrect AgDRIFT Tier 1 model droplet size assumptions. The ground spray model assumed very fine to fine droplets. For aerial, the fine to medium droplet size was assumed. In practice, imidacloprid is applied with medium droplet size or coarser, and this practice will be required on all labels in the future. This droplet size distribution corresponds with the AgDRIFT fine to medium/coarse droplet size option for ground boom and the medium to coarse droplet size option for aerial. At distances of 50 meters from the application site, these changes correspond to reductions in deposition of 68% and 45%, respectively for ground and aerial applications (see </w:t>
      </w:r>
      <w:r w:rsidR="00882EBB" w:rsidRPr="00C16AFF">
        <w:rPr>
          <w:rFonts w:asciiTheme="minorHAnsi" w:hAnsiTheme="minorHAnsi" w:cstheme="minorHAnsi"/>
          <w:b/>
          <w:bCs/>
        </w:rPr>
        <w:t>Figure 3-2</w:t>
      </w:r>
      <w:r w:rsidR="00882EBB" w:rsidRPr="00B4664D">
        <w:rPr>
          <w:rFonts w:asciiTheme="minorHAnsi" w:hAnsiTheme="minorHAnsi" w:cstheme="minorHAnsi"/>
        </w:rPr>
        <w:t>). These Tier 1 curves still maintain multiple conservative elements, such as high boom, 90th percentile predictions for</w:t>
      </w:r>
      <w:r>
        <w:rPr>
          <w:rFonts w:asciiTheme="minorHAnsi" w:hAnsiTheme="minorHAnsi" w:cstheme="minorHAnsi"/>
        </w:rPr>
        <w:t xml:space="preserve"> </w:t>
      </w:r>
      <w:r w:rsidR="00882EBB" w:rsidRPr="00B4664D">
        <w:rPr>
          <w:rFonts w:asciiTheme="minorHAnsi" w:hAnsiTheme="minorHAnsi" w:cstheme="minorHAnsi"/>
        </w:rPr>
        <w:t>ground, and aerial predictions based on conservative meteorological conditions and spray practices. Also note that imidacloprid requires a 25 ft (7.62 m) surface water buffer for ground applications and a 150 ft (45.7 m) surface water buffer for aerial applications</w:t>
      </w:r>
      <w:bookmarkEnd w:id="53"/>
      <w:r w:rsidR="00882EBB" w:rsidRPr="00B4664D">
        <w:rPr>
          <w:rFonts w:asciiTheme="minorHAnsi" w:hAnsiTheme="minorHAnsi" w:cstheme="minorHAnsi"/>
        </w:rPr>
        <w:t>.</w:t>
      </w:r>
    </w:p>
    <w:p w14:paraId="3BA6D1E3" w14:textId="77777777" w:rsidR="00F03497" w:rsidRDefault="00F03497" w:rsidP="005859DB">
      <w:pPr>
        <w:tabs>
          <w:tab w:val="left" w:pos="756"/>
        </w:tabs>
        <w:rPr>
          <w:rFonts w:asciiTheme="minorHAnsi" w:hAnsiTheme="minorHAnsi" w:cstheme="minorHAnsi"/>
          <w:b/>
          <w:bCs/>
        </w:rPr>
      </w:pPr>
    </w:p>
    <w:p w14:paraId="1D7D8ABA" w14:textId="4015311B" w:rsidR="00882EBB" w:rsidRPr="00B4664D" w:rsidRDefault="00882EBB" w:rsidP="005859DB">
      <w:pPr>
        <w:tabs>
          <w:tab w:val="left" w:pos="756"/>
        </w:tabs>
        <w:rPr>
          <w:rFonts w:asciiTheme="minorHAnsi" w:hAnsiTheme="minorHAnsi" w:cstheme="minorHAnsi"/>
        </w:rPr>
      </w:pPr>
      <w:r w:rsidRPr="00B4664D">
        <w:rPr>
          <w:rFonts w:asciiTheme="minorHAnsi" w:hAnsiTheme="minorHAnsi" w:cstheme="minorHAnsi"/>
        </w:rPr>
        <w:t>Drift modeling should be updated with the appropriate droplet size assumptions that will be required on all imidacloprid label’s following EPA’s PID and which are supported by imidacloprid’s primary registrant, Bayer.</w:t>
      </w:r>
    </w:p>
    <w:p w14:paraId="743FB425" w14:textId="77777777" w:rsidR="00882EBB" w:rsidRPr="005550E9" w:rsidRDefault="00882EBB" w:rsidP="005859DB">
      <w:pPr>
        <w:tabs>
          <w:tab w:val="left" w:pos="756"/>
        </w:tabs>
        <w:rPr>
          <w:rFonts w:asciiTheme="minorHAnsi" w:hAnsiTheme="minorHAnsi" w:cstheme="minorHAnsi"/>
          <w:b/>
          <w:bCs/>
        </w:rPr>
      </w:pPr>
    </w:p>
    <w:p w14:paraId="7EB1ACD8" w14:textId="7603F4BD" w:rsidR="00882EBB" w:rsidRPr="005550E9" w:rsidRDefault="00882EBB" w:rsidP="005859DB">
      <w:pPr>
        <w:tabs>
          <w:tab w:val="left" w:pos="756"/>
        </w:tabs>
        <w:rPr>
          <w:rFonts w:asciiTheme="minorHAnsi" w:hAnsiTheme="minorHAnsi" w:cstheme="minorHAnsi"/>
        </w:rPr>
      </w:pPr>
      <w:r w:rsidRPr="005550E9">
        <w:rPr>
          <w:rFonts w:asciiTheme="minorHAnsi" w:hAnsiTheme="minorHAnsi" w:cstheme="minorHAnsi"/>
          <w:b/>
          <w:bCs/>
        </w:rPr>
        <w:lastRenderedPageBreak/>
        <w:t>E</w:t>
      </w:r>
      <w:r w:rsidR="00F03497" w:rsidRPr="005550E9">
        <w:rPr>
          <w:rFonts w:asciiTheme="minorHAnsi" w:hAnsiTheme="minorHAnsi" w:cstheme="minorHAnsi"/>
          <w:b/>
          <w:bCs/>
        </w:rPr>
        <w:t>PA</w:t>
      </w:r>
      <w:r w:rsidRPr="005550E9">
        <w:rPr>
          <w:rFonts w:asciiTheme="minorHAnsi" w:hAnsiTheme="minorHAnsi" w:cstheme="minorHAnsi"/>
          <w:b/>
          <w:bCs/>
        </w:rPr>
        <w:t xml:space="preserve"> Response: </w:t>
      </w:r>
      <w:r w:rsidRPr="00CA6FCF">
        <w:rPr>
          <w:rFonts w:asciiTheme="minorHAnsi" w:hAnsiTheme="minorHAnsi" w:cstheme="minorHAnsi"/>
          <w:i/>
          <w:iCs/>
        </w:rPr>
        <w:t xml:space="preserve">In assigning the drift fractions, </w:t>
      </w:r>
      <w:r w:rsidR="00011929">
        <w:rPr>
          <w:rFonts w:asciiTheme="minorHAnsi" w:hAnsiTheme="minorHAnsi" w:cstheme="minorHAnsi"/>
          <w:i/>
          <w:iCs/>
        </w:rPr>
        <w:t xml:space="preserve">EPA </w:t>
      </w:r>
      <w:r w:rsidRPr="00CA6FCF">
        <w:rPr>
          <w:rFonts w:asciiTheme="minorHAnsi" w:hAnsiTheme="minorHAnsi" w:cstheme="minorHAnsi"/>
          <w:i/>
          <w:iCs/>
        </w:rPr>
        <w:t>considered buffers specified on the labels but used default values, for droplet size, referenced in USEPA 2013 to determine the reduced drift values used in modeling. This is because the criteria for choosing the application droplet size is not clearly defined in the labels. Most label states to choose the “largest droplet spectrum that provides sufficient control and coverage”. The largest droplet spectrum that “provides sufficient control and coverage” may not be, as suggested in the comment: “</w:t>
      </w:r>
      <w:r w:rsidR="00647EBF">
        <w:rPr>
          <w:rFonts w:asciiTheme="minorHAnsi" w:hAnsiTheme="minorHAnsi" w:cstheme="minorHAnsi"/>
          <w:i/>
          <w:iCs/>
        </w:rPr>
        <w:t>f</w:t>
      </w:r>
      <w:r w:rsidRPr="00CA6FCF">
        <w:rPr>
          <w:rFonts w:asciiTheme="minorHAnsi" w:hAnsiTheme="minorHAnsi" w:cstheme="minorHAnsi"/>
          <w:i/>
          <w:iCs/>
        </w:rPr>
        <w:t>ine to medium/coarse” for ground application and “</w:t>
      </w:r>
      <w:r w:rsidR="00647EBF">
        <w:rPr>
          <w:rFonts w:asciiTheme="minorHAnsi" w:hAnsiTheme="minorHAnsi" w:cstheme="minorHAnsi"/>
          <w:i/>
          <w:iCs/>
        </w:rPr>
        <w:t>m</w:t>
      </w:r>
      <w:r w:rsidRPr="00CA6FCF">
        <w:rPr>
          <w:rFonts w:asciiTheme="minorHAnsi" w:hAnsiTheme="minorHAnsi" w:cstheme="minorHAnsi"/>
          <w:i/>
          <w:iCs/>
        </w:rPr>
        <w:t>edium/coarse” for aerial application. Additionally, some of the labels did not clearly address the droplet size spectrum to be used and even did not specify the requirement for the 25</w:t>
      </w:r>
      <w:r w:rsidR="00647EBF">
        <w:rPr>
          <w:rFonts w:asciiTheme="minorHAnsi" w:hAnsiTheme="minorHAnsi" w:cstheme="minorHAnsi"/>
          <w:i/>
          <w:iCs/>
        </w:rPr>
        <w:t>-</w:t>
      </w:r>
      <w:r w:rsidRPr="00CA6FCF">
        <w:rPr>
          <w:rFonts w:asciiTheme="minorHAnsi" w:hAnsiTheme="minorHAnsi" w:cstheme="minorHAnsi"/>
          <w:i/>
          <w:iCs/>
        </w:rPr>
        <w:t xml:space="preserve">ft </w:t>
      </w:r>
      <w:r w:rsidR="00647EBF">
        <w:rPr>
          <w:rFonts w:asciiTheme="minorHAnsi" w:hAnsiTheme="minorHAnsi" w:cstheme="minorHAnsi"/>
          <w:i/>
          <w:iCs/>
        </w:rPr>
        <w:t xml:space="preserve">buffer </w:t>
      </w:r>
      <w:r w:rsidRPr="00CA6FCF">
        <w:rPr>
          <w:rFonts w:asciiTheme="minorHAnsi" w:hAnsiTheme="minorHAnsi" w:cstheme="minorHAnsi"/>
          <w:i/>
          <w:iCs/>
        </w:rPr>
        <w:t xml:space="preserve">for ground </w:t>
      </w:r>
      <w:r w:rsidR="00647EBF">
        <w:rPr>
          <w:rFonts w:asciiTheme="minorHAnsi" w:hAnsiTheme="minorHAnsi" w:cstheme="minorHAnsi"/>
          <w:i/>
          <w:iCs/>
        </w:rPr>
        <w:t>application nor</w:t>
      </w:r>
      <w:r w:rsidRPr="00CA6FCF">
        <w:rPr>
          <w:rFonts w:asciiTheme="minorHAnsi" w:hAnsiTheme="minorHAnsi" w:cstheme="minorHAnsi"/>
          <w:i/>
          <w:iCs/>
        </w:rPr>
        <w:t xml:space="preserve"> the 150</w:t>
      </w:r>
      <w:r w:rsidR="00647EBF">
        <w:rPr>
          <w:rFonts w:asciiTheme="minorHAnsi" w:hAnsiTheme="minorHAnsi" w:cstheme="minorHAnsi"/>
          <w:i/>
          <w:iCs/>
        </w:rPr>
        <w:t>-</w:t>
      </w:r>
      <w:r w:rsidRPr="00CA6FCF">
        <w:rPr>
          <w:rFonts w:asciiTheme="minorHAnsi" w:hAnsiTheme="minorHAnsi" w:cstheme="minorHAnsi"/>
          <w:i/>
          <w:iCs/>
        </w:rPr>
        <w:t xml:space="preserve">ft </w:t>
      </w:r>
      <w:r w:rsidR="00647EBF">
        <w:rPr>
          <w:rFonts w:asciiTheme="minorHAnsi" w:hAnsiTheme="minorHAnsi" w:cstheme="minorHAnsi"/>
          <w:i/>
          <w:iCs/>
        </w:rPr>
        <w:t xml:space="preserve">buffer </w:t>
      </w:r>
      <w:r w:rsidRPr="00CA6FCF">
        <w:rPr>
          <w:rFonts w:asciiTheme="minorHAnsi" w:hAnsiTheme="minorHAnsi" w:cstheme="minorHAnsi"/>
          <w:i/>
          <w:iCs/>
        </w:rPr>
        <w:t>for aerial application. In applying corrections to drift, E</w:t>
      </w:r>
      <w:r w:rsidR="008C5158">
        <w:rPr>
          <w:rFonts w:asciiTheme="minorHAnsi" w:hAnsiTheme="minorHAnsi" w:cstheme="minorHAnsi"/>
          <w:i/>
          <w:iCs/>
        </w:rPr>
        <w:t>PA</w:t>
      </w:r>
      <w:r w:rsidRPr="00CA6FCF">
        <w:rPr>
          <w:rFonts w:asciiTheme="minorHAnsi" w:hAnsiTheme="minorHAnsi" w:cstheme="minorHAnsi"/>
          <w:i/>
          <w:iCs/>
        </w:rPr>
        <w:t xml:space="preserve"> policy is to rely on current (not future</w:t>
      </w:r>
      <w:r w:rsidR="00647EBF">
        <w:rPr>
          <w:rFonts w:asciiTheme="minorHAnsi" w:hAnsiTheme="minorHAnsi" w:cstheme="minorHAnsi"/>
          <w:i/>
          <w:iCs/>
        </w:rPr>
        <w:t>)</w:t>
      </w:r>
      <w:r w:rsidRPr="00CA6FCF">
        <w:rPr>
          <w:rFonts w:asciiTheme="minorHAnsi" w:hAnsiTheme="minorHAnsi" w:cstheme="minorHAnsi"/>
          <w:i/>
          <w:iCs/>
        </w:rPr>
        <w:t xml:space="preserve"> labels and </w:t>
      </w:r>
      <w:r w:rsidR="001155EC">
        <w:rPr>
          <w:rFonts w:asciiTheme="minorHAnsi" w:hAnsiTheme="minorHAnsi" w:cstheme="minorHAnsi"/>
          <w:i/>
          <w:iCs/>
        </w:rPr>
        <w:t xml:space="preserve">AgDRIFT </w:t>
      </w:r>
      <w:r w:rsidRPr="00CA6FCF">
        <w:rPr>
          <w:rFonts w:asciiTheme="minorHAnsi" w:hAnsiTheme="minorHAnsi" w:cstheme="minorHAnsi"/>
          <w:i/>
          <w:iCs/>
        </w:rPr>
        <w:t xml:space="preserve">Tier I </w:t>
      </w:r>
      <w:r w:rsidR="001155EC">
        <w:rPr>
          <w:rFonts w:asciiTheme="minorHAnsi" w:hAnsiTheme="minorHAnsi" w:cstheme="minorHAnsi"/>
          <w:i/>
          <w:iCs/>
        </w:rPr>
        <w:t>modules for aerial and ground application.</w:t>
      </w:r>
    </w:p>
    <w:p w14:paraId="0140DEA6" w14:textId="77777777" w:rsidR="00882EBB" w:rsidRPr="005550E9" w:rsidRDefault="00882EBB" w:rsidP="005859DB">
      <w:pPr>
        <w:tabs>
          <w:tab w:val="left" w:pos="756"/>
        </w:tabs>
        <w:rPr>
          <w:rFonts w:asciiTheme="minorHAnsi" w:hAnsiTheme="minorHAnsi" w:cstheme="minorHAnsi"/>
        </w:rPr>
      </w:pPr>
    </w:p>
    <w:p w14:paraId="2E8FED89" w14:textId="0164DF44" w:rsidR="00882EBB" w:rsidRPr="00B4664D" w:rsidRDefault="00F03497" w:rsidP="005859DB">
      <w:pPr>
        <w:tabs>
          <w:tab w:val="left" w:pos="756"/>
        </w:tabs>
        <w:rPr>
          <w:rFonts w:asciiTheme="minorHAnsi" w:hAnsiTheme="minorHAnsi" w:cstheme="minorHAnsi"/>
        </w:rPr>
      </w:pPr>
      <w:r w:rsidRPr="005550E9">
        <w:rPr>
          <w:rFonts w:asciiTheme="minorHAnsi" w:hAnsiTheme="minorHAnsi" w:cstheme="minorHAnsi"/>
          <w:b/>
          <w:bCs/>
        </w:rPr>
        <w:t>Comment</w:t>
      </w:r>
      <w:r w:rsidR="00882EBB" w:rsidRPr="005550E9">
        <w:rPr>
          <w:rFonts w:asciiTheme="minorHAnsi" w:hAnsiTheme="minorHAnsi" w:cstheme="minorHAnsi"/>
        </w:rPr>
        <w:t xml:space="preserve">: </w:t>
      </w:r>
      <w:r w:rsidR="00CA6FCF" w:rsidRPr="00D52C6E">
        <w:rPr>
          <w:rFonts w:asciiTheme="minorHAnsi" w:hAnsiTheme="minorHAnsi" w:cstheme="minorHAnsi"/>
        </w:rPr>
        <w:t>The 10</w:t>
      </w:r>
      <w:r w:rsidR="00CA6FCF">
        <w:rPr>
          <w:rFonts w:asciiTheme="minorHAnsi" w:hAnsiTheme="minorHAnsi" w:cstheme="minorHAnsi"/>
        </w:rPr>
        <w:t>-</w:t>
      </w:r>
      <w:r w:rsidR="00CA6FCF" w:rsidRPr="00D52C6E">
        <w:rPr>
          <w:rFonts w:asciiTheme="minorHAnsi" w:hAnsiTheme="minorHAnsi" w:cstheme="minorHAnsi"/>
        </w:rPr>
        <w:t xml:space="preserve">ft Vegetative Filter Strip (VFS) </w:t>
      </w:r>
      <w:r w:rsidR="00CA6FCF">
        <w:rPr>
          <w:rFonts w:asciiTheme="minorHAnsi" w:hAnsiTheme="minorHAnsi" w:cstheme="minorHAnsi"/>
        </w:rPr>
        <w:t>r</w:t>
      </w:r>
      <w:r w:rsidR="00CA6FCF" w:rsidRPr="00D52C6E">
        <w:rPr>
          <w:rFonts w:asciiTheme="minorHAnsi" w:hAnsiTheme="minorHAnsi" w:cstheme="minorHAnsi"/>
        </w:rPr>
        <w:t xml:space="preserve">equired on </w:t>
      </w:r>
      <w:r w:rsidR="00CA6FCF">
        <w:rPr>
          <w:rFonts w:asciiTheme="minorHAnsi" w:hAnsiTheme="minorHAnsi" w:cstheme="minorHAnsi"/>
        </w:rPr>
        <w:t>i</w:t>
      </w:r>
      <w:r w:rsidR="00CA6FCF" w:rsidRPr="00D52C6E">
        <w:rPr>
          <w:rFonts w:asciiTheme="minorHAnsi" w:hAnsiTheme="minorHAnsi" w:cstheme="minorHAnsi"/>
        </w:rPr>
        <w:t xml:space="preserve">midacloprid </w:t>
      </w:r>
      <w:r w:rsidR="00CA6FCF">
        <w:rPr>
          <w:rFonts w:asciiTheme="minorHAnsi" w:hAnsiTheme="minorHAnsi" w:cstheme="minorHAnsi"/>
        </w:rPr>
        <w:t>l</w:t>
      </w:r>
      <w:r w:rsidR="00CA6FCF" w:rsidRPr="00D52C6E">
        <w:rPr>
          <w:rFonts w:asciiTheme="minorHAnsi" w:hAnsiTheme="minorHAnsi" w:cstheme="minorHAnsi"/>
        </w:rPr>
        <w:t xml:space="preserve">abels was not </w:t>
      </w:r>
      <w:r w:rsidR="00CA6FCF">
        <w:rPr>
          <w:rFonts w:asciiTheme="minorHAnsi" w:hAnsiTheme="minorHAnsi" w:cstheme="minorHAnsi"/>
        </w:rPr>
        <w:t>a</w:t>
      </w:r>
      <w:r w:rsidR="00CA6FCF" w:rsidRPr="00D52C6E">
        <w:rPr>
          <w:rFonts w:asciiTheme="minorHAnsi" w:hAnsiTheme="minorHAnsi" w:cstheme="minorHAnsi"/>
        </w:rPr>
        <w:t xml:space="preserve">ccounted for in the </w:t>
      </w:r>
      <w:r w:rsidR="00CA6FCF">
        <w:rPr>
          <w:rFonts w:asciiTheme="minorHAnsi" w:hAnsiTheme="minorHAnsi" w:cstheme="minorHAnsi"/>
        </w:rPr>
        <w:t>a</w:t>
      </w:r>
      <w:r w:rsidR="00CA6FCF" w:rsidRPr="00D52C6E">
        <w:rPr>
          <w:rFonts w:asciiTheme="minorHAnsi" w:hAnsiTheme="minorHAnsi" w:cstheme="minorHAnsi"/>
        </w:rPr>
        <w:t xml:space="preserve">quatic </w:t>
      </w:r>
      <w:r w:rsidR="00CA6FCF">
        <w:rPr>
          <w:rFonts w:asciiTheme="minorHAnsi" w:hAnsiTheme="minorHAnsi" w:cstheme="minorHAnsi"/>
        </w:rPr>
        <w:t>m</w:t>
      </w:r>
      <w:r w:rsidR="00CA6FCF" w:rsidRPr="00D52C6E">
        <w:rPr>
          <w:rFonts w:asciiTheme="minorHAnsi" w:hAnsiTheme="minorHAnsi" w:cstheme="minorHAnsi"/>
        </w:rPr>
        <w:t>odeling.</w:t>
      </w:r>
      <w:r w:rsidR="00CA6FCF" w:rsidRPr="00721481">
        <w:rPr>
          <w:rFonts w:asciiTheme="minorHAnsi" w:hAnsiTheme="minorHAnsi" w:cstheme="minorHAnsi"/>
        </w:rPr>
        <w:t xml:space="preserve"> </w:t>
      </w:r>
      <w:r w:rsidR="00882EBB" w:rsidRPr="00B4664D">
        <w:rPr>
          <w:rFonts w:asciiTheme="minorHAnsi" w:hAnsiTheme="minorHAnsi" w:cstheme="minorHAnsi"/>
        </w:rPr>
        <w:t>Imidacloprid labels for outdoor agricultural use require a 10</w:t>
      </w:r>
      <w:r w:rsidR="00CA6FCF">
        <w:rPr>
          <w:rFonts w:asciiTheme="minorHAnsi" w:hAnsiTheme="minorHAnsi" w:cstheme="minorHAnsi"/>
        </w:rPr>
        <w:t>-</w:t>
      </w:r>
      <w:r w:rsidR="00882EBB" w:rsidRPr="00B4664D">
        <w:rPr>
          <w:rFonts w:asciiTheme="minorHAnsi" w:hAnsiTheme="minorHAnsi" w:cstheme="minorHAnsi"/>
        </w:rPr>
        <w:t>ft vegetative filter strip (VFS) between the downstream edge of a treated field and any surface water body. A VFS is a recommended practice by the USDA NRCS (NRCS, 2000), and has been shown to reduce off site pesticide losses by over 50%. Recently published data have also shown that mechanistic models, such as the Vegetative Filter Strip Model (VFSMOD) are capable of accurately predicting pesticide off-site transport reductions measured in the field (</w:t>
      </w:r>
      <w:proofErr w:type="spellStart"/>
      <w:r w:rsidR="00882EBB" w:rsidRPr="00B4664D">
        <w:rPr>
          <w:rFonts w:asciiTheme="minorHAnsi" w:hAnsiTheme="minorHAnsi" w:cstheme="minorHAnsi"/>
        </w:rPr>
        <w:t>Reichenberger</w:t>
      </w:r>
      <w:proofErr w:type="spellEnd"/>
      <w:r w:rsidR="00882EBB" w:rsidRPr="00B4664D">
        <w:rPr>
          <w:rFonts w:asciiTheme="minorHAnsi" w:hAnsiTheme="minorHAnsi" w:cstheme="minorHAnsi"/>
        </w:rPr>
        <w:t xml:space="preserve"> </w:t>
      </w:r>
      <w:r w:rsidR="00882EBB" w:rsidRPr="00722C48">
        <w:rPr>
          <w:rFonts w:asciiTheme="minorHAnsi" w:hAnsiTheme="minorHAnsi" w:cstheme="minorHAnsi"/>
          <w:i/>
          <w:iCs/>
        </w:rPr>
        <w:t>et al.</w:t>
      </w:r>
      <w:r w:rsidR="00882EBB" w:rsidRPr="00B4664D">
        <w:rPr>
          <w:rFonts w:asciiTheme="minorHAnsi" w:hAnsiTheme="minorHAnsi" w:cstheme="minorHAnsi"/>
        </w:rPr>
        <w:t xml:space="preserve">, 2019). The </w:t>
      </w:r>
      <w:proofErr w:type="spellStart"/>
      <w:r w:rsidR="00882EBB" w:rsidRPr="00B4664D">
        <w:rPr>
          <w:rFonts w:asciiTheme="minorHAnsi" w:hAnsiTheme="minorHAnsi" w:cstheme="minorHAnsi"/>
        </w:rPr>
        <w:t>Reichenberger</w:t>
      </w:r>
      <w:proofErr w:type="spellEnd"/>
      <w:r w:rsidR="00882EBB" w:rsidRPr="00B4664D">
        <w:rPr>
          <w:rFonts w:asciiTheme="minorHAnsi" w:hAnsiTheme="minorHAnsi" w:cstheme="minorHAnsi"/>
        </w:rPr>
        <w:t xml:space="preserve"> </w:t>
      </w:r>
      <w:r w:rsidR="00882EBB" w:rsidRPr="00722C48">
        <w:rPr>
          <w:rFonts w:asciiTheme="minorHAnsi" w:hAnsiTheme="minorHAnsi" w:cstheme="minorHAnsi"/>
          <w:i/>
          <w:iCs/>
        </w:rPr>
        <w:t>et al.</w:t>
      </w:r>
      <w:r w:rsidR="00882EBB" w:rsidRPr="00B4664D">
        <w:rPr>
          <w:rFonts w:asciiTheme="minorHAnsi" w:hAnsiTheme="minorHAnsi" w:cstheme="minorHAnsi"/>
        </w:rPr>
        <w:t xml:space="preserve"> (2019) study collated 244 measurements of pesticide reductions from VFSs, spanning a range of chemical sorption classes and VFS widths, and found that</w:t>
      </w:r>
      <w:r w:rsidRPr="00B4664D">
        <w:rPr>
          <w:rFonts w:asciiTheme="minorHAnsi" w:hAnsiTheme="minorHAnsi" w:cstheme="minorHAnsi"/>
        </w:rPr>
        <w:t xml:space="preserve"> </w:t>
      </w:r>
      <w:r w:rsidR="00882EBB" w:rsidRPr="00B4664D">
        <w:rPr>
          <w:rFonts w:asciiTheme="minorHAnsi" w:hAnsiTheme="minorHAnsi" w:cstheme="minorHAnsi"/>
        </w:rPr>
        <w:t>reductions in pesticide mass were higher than 40% in more than 90% of the field</w:t>
      </w:r>
      <w:r w:rsidR="005550E9">
        <w:rPr>
          <w:rFonts w:asciiTheme="minorHAnsi" w:hAnsiTheme="minorHAnsi" w:cstheme="minorHAnsi"/>
        </w:rPr>
        <w:t xml:space="preserve"> </w:t>
      </w:r>
      <w:r w:rsidR="00882EBB" w:rsidRPr="00B4664D">
        <w:rPr>
          <w:rFonts w:asciiTheme="minorHAnsi" w:hAnsiTheme="minorHAnsi" w:cstheme="minorHAnsi"/>
        </w:rPr>
        <w:t>experiments.</w:t>
      </w:r>
    </w:p>
    <w:p w14:paraId="62985A46" w14:textId="77777777" w:rsidR="00882EBB" w:rsidRPr="00B4664D" w:rsidRDefault="00882EBB" w:rsidP="005859DB">
      <w:pPr>
        <w:tabs>
          <w:tab w:val="left" w:pos="756"/>
        </w:tabs>
        <w:rPr>
          <w:rFonts w:asciiTheme="minorHAnsi" w:hAnsiTheme="minorHAnsi" w:cstheme="minorHAnsi"/>
        </w:rPr>
      </w:pPr>
    </w:p>
    <w:p w14:paraId="09CC2C27" w14:textId="77777777" w:rsidR="00882EBB" w:rsidRPr="00B4664D" w:rsidRDefault="00882EBB" w:rsidP="005859DB">
      <w:pPr>
        <w:tabs>
          <w:tab w:val="left" w:pos="756"/>
        </w:tabs>
        <w:rPr>
          <w:rFonts w:asciiTheme="minorHAnsi" w:hAnsiTheme="minorHAnsi" w:cstheme="minorHAnsi"/>
        </w:rPr>
      </w:pPr>
      <w:r w:rsidRPr="00B4664D">
        <w:rPr>
          <w:rFonts w:asciiTheme="minorHAnsi" w:hAnsiTheme="minorHAnsi" w:cstheme="minorHAnsi"/>
        </w:rPr>
        <w:t xml:space="preserve">A regulatory exposure modeling methodology adopted in the European Union (EU) to account for pesticide off-site transport reductions from VFS implementation led to a simple “reduction factor” approach. This “reduction factor” approach is applied to other practices and mitigations in the EU and is detailed in the </w:t>
      </w:r>
      <w:proofErr w:type="spellStart"/>
      <w:r w:rsidRPr="00B4664D">
        <w:rPr>
          <w:rFonts w:asciiTheme="minorHAnsi" w:hAnsiTheme="minorHAnsi" w:cstheme="minorHAnsi"/>
        </w:rPr>
        <w:t>MAgPIE</w:t>
      </w:r>
      <w:proofErr w:type="spellEnd"/>
      <w:r w:rsidRPr="00B4664D">
        <w:rPr>
          <w:rFonts w:asciiTheme="minorHAnsi" w:hAnsiTheme="minorHAnsi" w:cstheme="minorHAnsi"/>
        </w:rPr>
        <w:t xml:space="preserve"> report (</w:t>
      </w:r>
      <w:proofErr w:type="spellStart"/>
      <w:r w:rsidRPr="00B4664D">
        <w:rPr>
          <w:rFonts w:asciiTheme="minorHAnsi" w:hAnsiTheme="minorHAnsi" w:cstheme="minorHAnsi"/>
        </w:rPr>
        <w:t>MAgPIE</w:t>
      </w:r>
      <w:proofErr w:type="spellEnd"/>
      <w:r w:rsidRPr="00B4664D">
        <w:rPr>
          <w:rFonts w:asciiTheme="minorHAnsi" w:hAnsiTheme="minorHAnsi" w:cstheme="minorHAnsi"/>
        </w:rPr>
        <w:t xml:space="preserve">, 2017). The </w:t>
      </w:r>
      <w:proofErr w:type="spellStart"/>
      <w:r w:rsidRPr="00B4664D">
        <w:rPr>
          <w:rFonts w:asciiTheme="minorHAnsi" w:hAnsiTheme="minorHAnsi" w:cstheme="minorHAnsi"/>
        </w:rPr>
        <w:t>MAgPIE</w:t>
      </w:r>
      <w:proofErr w:type="spellEnd"/>
      <w:r w:rsidRPr="00B4664D">
        <w:rPr>
          <w:rFonts w:asciiTheme="minorHAnsi" w:hAnsiTheme="minorHAnsi" w:cstheme="minorHAnsi"/>
        </w:rPr>
        <w:t xml:space="preserve"> approach to VFS reduction factors considered experimental data and identified the 10th percentile reduction for different classes of pesticides and different VFS widths. For pesticides with a </w:t>
      </w:r>
      <w:proofErr w:type="spellStart"/>
      <w:r w:rsidRPr="00B4664D">
        <w:rPr>
          <w:rFonts w:asciiTheme="minorHAnsi" w:hAnsiTheme="minorHAnsi" w:cstheme="minorHAnsi"/>
        </w:rPr>
        <w:t>Koc</w:t>
      </w:r>
      <w:proofErr w:type="spellEnd"/>
      <w:r w:rsidRPr="00B4664D">
        <w:rPr>
          <w:rFonts w:asciiTheme="minorHAnsi" w:hAnsiTheme="minorHAnsi" w:cstheme="minorHAnsi"/>
        </w:rPr>
        <w:t xml:space="preserve"> of &lt;1000 L/kg, a reduction of 40% was identified for filter strips of 5 m width (see </w:t>
      </w:r>
      <w:r w:rsidRPr="003A3BAD">
        <w:rPr>
          <w:rFonts w:asciiTheme="minorHAnsi" w:hAnsiTheme="minorHAnsi" w:cstheme="minorHAnsi"/>
          <w:b/>
          <w:bCs/>
        </w:rPr>
        <w:t>Table A2.2</w:t>
      </w:r>
      <w:r w:rsidRPr="00B4664D">
        <w:rPr>
          <w:rFonts w:asciiTheme="minorHAnsi" w:hAnsiTheme="minorHAnsi" w:cstheme="minorHAnsi"/>
        </w:rPr>
        <w:t xml:space="preserve"> in </w:t>
      </w:r>
      <w:proofErr w:type="spellStart"/>
      <w:r w:rsidRPr="00B4664D">
        <w:rPr>
          <w:rFonts w:asciiTheme="minorHAnsi" w:hAnsiTheme="minorHAnsi" w:cstheme="minorHAnsi"/>
        </w:rPr>
        <w:t>MAgPIE</w:t>
      </w:r>
      <w:proofErr w:type="spellEnd"/>
      <w:r w:rsidRPr="00B4664D">
        <w:rPr>
          <w:rFonts w:asciiTheme="minorHAnsi" w:hAnsiTheme="minorHAnsi" w:cstheme="minorHAnsi"/>
        </w:rPr>
        <w:t>, 2017). Although the 5 m width</w:t>
      </w:r>
    </w:p>
    <w:p w14:paraId="78C68192" w14:textId="77777777" w:rsidR="00882EBB" w:rsidRPr="00B4664D" w:rsidRDefault="00882EBB" w:rsidP="005859DB">
      <w:pPr>
        <w:tabs>
          <w:tab w:val="left" w:pos="756"/>
        </w:tabs>
        <w:rPr>
          <w:rFonts w:asciiTheme="minorHAnsi" w:hAnsiTheme="minorHAnsi" w:cstheme="minorHAnsi"/>
        </w:rPr>
      </w:pPr>
      <w:r w:rsidRPr="00B4664D">
        <w:rPr>
          <w:rFonts w:asciiTheme="minorHAnsi" w:hAnsiTheme="minorHAnsi" w:cstheme="minorHAnsi"/>
        </w:rPr>
        <w:t xml:space="preserve">associated with this reduction factor is wider than the imidacloprid VFS requirement of 10 ft (3.05 m), the </w:t>
      </w:r>
      <w:proofErr w:type="spellStart"/>
      <w:r w:rsidRPr="00B4664D">
        <w:rPr>
          <w:rFonts w:asciiTheme="minorHAnsi" w:hAnsiTheme="minorHAnsi" w:cstheme="minorHAnsi"/>
        </w:rPr>
        <w:t>MAgPIE</w:t>
      </w:r>
      <w:proofErr w:type="spellEnd"/>
      <w:r w:rsidRPr="00B4664D">
        <w:rPr>
          <w:rFonts w:asciiTheme="minorHAnsi" w:hAnsiTheme="minorHAnsi" w:cstheme="minorHAnsi"/>
        </w:rPr>
        <w:t xml:space="preserve"> report indicates that 3 m buffers perform similarly to 5 m buffers, with the 25th percentile reduction from the 3 m buffer and the 5 m buffer both at 45%.</w:t>
      </w:r>
    </w:p>
    <w:p w14:paraId="7AEB0F4B" w14:textId="77777777" w:rsidR="00F03497" w:rsidRPr="00B4664D" w:rsidRDefault="00F03497" w:rsidP="005859DB">
      <w:pPr>
        <w:tabs>
          <w:tab w:val="left" w:pos="756"/>
        </w:tabs>
        <w:rPr>
          <w:rFonts w:asciiTheme="minorHAnsi" w:hAnsiTheme="minorHAnsi" w:cstheme="minorHAnsi"/>
          <w:b/>
          <w:bCs/>
        </w:rPr>
      </w:pPr>
    </w:p>
    <w:p w14:paraId="44AD5D5B" w14:textId="2F629B18" w:rsidR="00882EBB" w:rsidRPr="00B4664D" w:rsidRDefault="00882EBB" w:rsidP="005859DB">
      <w:pPr>
        <w:tabs>
          <w:tab w:val="left" w:pos="756"/>
        </w:tabs>
        <w:rPr>
          <w:rFonts w:asciiTheme="minorHAnsi" w:hAnsiTheme="minorHAnsi" w:cstheme="minorHAnsi"/>
        </w:rPr>
      </w:pPr>
      <w:r w:rsidRPr="00B4664D">
        <w:rPr>
          <w:rFonts w:asciiTheme="minorHAnsi" w:hAnsiTheme="minorHAnsi" w:cstheme="minorHAnsi"/>
        </w:rPr>
        <w:t>The label required VFS should be accounted for in the aquatic</w:t>
      </w:r>
      <w:r w:rsidR="00F03497">
        <w:rPr>
          <w:rFonts w:asciiTheme="minorHAnsi" w:hAnsiTheme="minorHAnsi" w:cstheme="minorHAnsi"/>
        </w:rPr>
        <w:t xml:space="preserve"> </w:t>
      </w:r>
      <w:r w:rsidRPr="00B4664D">
        <w:rPr>
          <w:rFonts w:asciiTheme="minorHAnsi" w:hAnsiTheme="minorHAnsi" w:cstheme="minorHAnsi"/>
        </w:rPr>
        <w:t>exposure modeling. Either a mechanistic approach to quantifying the buffer effectiveness (such as with VFSMOD) or a</w:t>
      </w:r>
      <w:r>
        <w:rPr>
          <w:rFonts w:asciiTheme="minorHAnsi" w:hAnsiTheme="minorHAnsi" w:cstheme="minorHAnsi"/>
        </w:rPr>
        <w:t xml:space="preserve"> </w:t>
      </w:r>
      <w:r w:rsidRPr="00B4664D">
        <w:rPr>
          <w:rFonts w:asciiTheme="minorHAnsi" w:hAnsiTheme="minorHAnsi" w:cstheme="minorHAnsi"/>
        </w:rPr>
        <w:t xml:space="preserve">reduction factor approach (such as the </w:t>
      </w:r>
      <w:proofErr w:type="spellStart"/>
      <w:r w:rsidRPr="00B4664D">
        <w:rPr>
          <w:rFonts w:asciiTheme="minorHAnsi" w:hAnsiTheme="minorHAnsi" w:cstheme="minorHAnsi"/>
        </w:rPr>
        <w:t>MAgPIE</w:t>
      </w:r>
      <w:proofErr w:type="spellEnd"/>
      <w:r w:rsidRPr="00B4664D">
        <w:rPr>
          <w:rFonts w:asciiTheme="minorHAnsi" w:hAnsiTheme="minorHAnsi" w:cstheme="minorHAnsi"/>
        </w:rPr>
        <w:t xml:space="preserve"> approach)</w:t>
      </w:r>
      <w:r w:rsidR="005550E9">
        <w:rPr>
          <w:rFonts w:asciiTheme="minorHAnsi" w:hAnsiTheme="minorHAnsi" w:cstheme="minorHAnsi"/>
        </w:rPr>
        <w:t xml:space="preserve"> </w:t>
      </w:r>
      <w:r w:rsidRPr="00B4664D">
        <w:rPr>
          <w:rFonts w:asciiTheme="minorHAnsi" w:hAnsiTheme="minorHAnsi" w:cstheme="minorHAnsi"/>
        </w:rPr>
        <w:t>could be applied.</w:t>
      </w:r>
    </w:p>
    <w:p w14:paraId="49E34958" w14:textId="77777777" w:rsidR="00882EBB" w:rsidRPr="005550E9" w:rsidRDefault="00882EBB" w:rsidP="005859DB">
      <w:pPr>
        <w:tabs>
          <w:tab w:val="left" w:pos="756"/>
        </w:tabs>
        <w:rPr>
          <w:rFonts w:asciiTheme="minorHAnsi" w:hAnsiTheme="minorHAnsi" w:cstheme="minorHAnsi"/>
          <w:b/>
          <w:bCs/>
        </w:rPr>
      </w:pPr>
    </w:p>
    <w:p w14:paraId="1922436F" w14:textId="3841CFA5" w:rsidR="00882EBB" w:rsidRPr="005550E9" w:rsidRDefault="00882EBB" w:rsidP="005859DB">
      <w:pPr>
        <w:tabs>
          <w:tab w:val="left" w:pos="756"/>
        </w:tabs>
        <w:rPr>
          <w:rFonts w:asciiTheme="minorHAnsi" w:hAnsiTheme="minorHAnsi"/>
        </w:rPr>
      </w:pPr>
      <w:r w:rsidRPr="65820D2C">
        <w:rPr>
          <w:rFonts w:asciiTheme="minorHAnsi" w:hAnsiTheme="minorHAnsi"/>
          <w:b/>
        </w:rPr>
        <w:t>E</w:t>
      </w:r>
      <w:r w:rsidR="00F03497" w:rsidRPr="65820D2C">
        <w:rPr>
          <w:rFonts w:asciiTheme="minorHAnsi" w:hAnsiTheme="minorHAnsi"/>
          <w:b/>
        </w:rPr>
        <w:t>PA</w:t>
      </w:r>
      <w:r w:rsidRPr="65820D2C">
        <w:rPr>
          <w:rFonts w:asciiTheme="minorHAnsi" w:hAnsiTheme="minorHAnsi"/>
          <w:b/>
        </w:rPr>
        <w:t xml:space="preserve"> Response: </w:t>
      </w:r>
      <w:r w:rsidRPr="65820D2C">
        <w:rPr>
          <w:rFonts w:asciiTheme="minorHAnsi" w:hAnsiTheme="minorHAnsi"/>
          <w:i/>
        </w:rPr>
        <w:t>E</w:t>
      </w:r>
      <w:r w:rsidR="0038192E" w:rsidRPr="65820D2C">
        <w:rPr>
          <w:rFonts w:asciiTheme="minorHAnsi" w:hAnsiTheme="minorHAnsi"/>
          <w:i/>
        </w:rPr>
        <w:t>PA</w:t>
      </w:r>
      <w:r w:rsidRPr="65820D2C">
        <w:rPr>
          <w:rFonts w:asciiTheme="minorHAnsi" w:hAnsiTheme="minorHAnsi"/>
          <w:i/>
        </w:rPr>
        <w:t xml:space="preserve"> is aware </w:t>
      </w:r>
      <w:r w:rsidR="008D25E3" w:rsidRPr="65820D2C">
        <w:rPr>
          <w:rFonts w:asciiTheme="minorHAnsi" w:hAnsiTheme="minorHAnsi"/>
          <w:i/>
        </w:rPr>
        <w:t xml:space="preserve">that </w:t>
      </w:r>
      <w:r w:rsidRPr="65820D2C">
        <w:rPr>
          <w:rFonts w:asciiTheme="minorHAnsi" w:hAnsiTheme="minorHAnsi"/>
          <w:i/>
        </w:rPr>
        <w:t xml:space="preserve">maintained vegetative filter strips </w:t>
      </w:r>
      <w:r w:rsidR="008D25E3" w:rsidRPr="65820D2C">
        <w:rPr>
          <w:rFonts w:asciiTheme="minorHAnsi" w:hAnsiTheme="minorHAnsi"/>
          <w:i/>
        </w:rPr>
        <w:t xml:space="preserve">can </w:t>
      </w:r>
      <w:r w:rsidRPr="65820D2C">
        <w:rPr>
          <w:rFonts w:asciiTheme="minorHAnsi" w:hAnsiTheme="minorHAnsi"/>
          <w:i/>
        </w:rPr>
        <w:t>reduc</w:t>
      </w:r>
      <w:r w:rsidR="008D25E3" w:rsidRPr="65820D2C">
        <w:rPr>
          <w:rFonts w:asciiTheme="minorHAnsi" w:hAnsiTheme="minorHAnsi"/>
          <w:i/>
        </w:rPr>
        <w:t>e</w:t>
      </w:r>
      <w:r w:rsidRPr="65820D2C">
        <w:rPr>
          <w:rFonts w:asciiTheme="minorHAnsi" w:hAnsiTheme="minorHAnsi"/>
          <w:i/>
        </w:rPr>
        <w:t xml:space="preserve"> off-site movement of pesticides to aquatic systems especially </w:t>
      </w:r>
      <w:r w:rsidR="008D25E3" w:rsidRPr="65820D2C">
        <w:rPr>
          <w:rFonts w:asciiTheme="minorHAnsi" w:hAnsiTheme="minorHAnsi"/>
          <w:i/>
        </w:rPr>
        <w:t xml:space="preserve">where there </w:t>
      </w:r>
      <w:r w:rsidR="00FB2AEE" w:rsidRPr="65820D2C">
        <w:rPr>
          <w:rFonts w:asciiTheme="minorHAnsi" w:hAnsiTheme="minorHAnsi"/>
          <w:i/>
        </w:rPr>
        <w:t xml:space="preserve">is </w:t>
      </w:r>
      <w:r w:rsidRPr="65820D2C">
        <w:rPr>
          <w:rFonts w:asciiTheme="minorHAnsi" w:hAnsiTheme="minorHAnsi"/>
          <w:i/>
        </w:rPr>
        <w:t xml:space="preserve">high affinity to soil constituents (high </w:t>
      </w:r>
      <w:proofErr w:type="spellStart"/>
      <w:r w:rsidRPr="65820D2C">
        <w:rPr>
          <w:rFonts w:asciiTheme="minorHAnsi" w:hAnsiTheme="minorHAnsi"/>
          <w:i/>
        </w:rPr>
        <w:t>K</w:t>
      </w:r>
      <w:r w:rsidRPr="65820D2C">
        <w:rPr>
          <w:rFonts w:asciiTheme="minorHAnsi" w:hAnsiTheme="minorHAnsi"/>
          <w:i/>
          <w:vertAlign w:val="subscript"/>
        </w:rPr>
        <w:t>oc</w:t>
      </w:r>
      <w:proofErr w:type="spellEnd"/>
      <w:r w:rsidRPr="65820D2C">
        <w:rPr>
          <w:rFonts w:asciiTheme="minorHAnsi" w:hAnsiTheme="minorHAnsi"/>
          <w:i/>
        </w:rPr>
        <w:t>) and/or plant /interception/uptake. At this time, E</w:t>
      </w:r>
      <w:r w:rsidR="008C5158">
        <w:rPr>
          <w:rFonts w:asciiTheme="minorHAnsi" w:hAnsiTheme="minorHAnsi"/>
          <w:i/>
        </w:rPr>
        <w:t>PA</w:t>
      </w:r>
      <w:r w:rsidRPr="65820D2C">
        <w:rPr>
          <w:rFonts w:asciiTheme="minorHAnsi" w:hAnsiTheme="minorHAnsi"/>
          <w:i/>
        </w:rPr>
        <w:t xml:space="preserve"> is considering </w:t>
      </w:r>
      <w:r w:rsidR="007E23CF">
        <w:rPr>
          <w:rFonts w:asciiTheme="minorHAnsi" w:hAnsiTheme="minorHAnsi"/>
          <w:i/>
        </w:rPr>
        <w:t xml:space="preserve">information </w:t>
      </w:r>
      <w:r w:rsidR="00DE731C">
        <w:rPr>
          <w:rFonts w:asciiTheme="minorHAnsi" w:hAnsiTheme="minorHAnsi"/>
          <w:i/>
        </w:rPr>
        <w:t>and</w:t>
      </w:r>
      <w:r w:rsidR="007E23CF">
        <w:rPr>
          <w:rFonts w:asciiTheme="minorHAnsi" w:hAnsiTheme="minorHAnsi"/>
          <w:i/>
        </w:rPr>
        <w:t xml:space="preserve"> approaches</w:t>
      </w:r>
      <w:r w:rsidR="00D163C2">
        <w:rPr>
          <w:rFonts w:asciiTheme="minorHAnsi" w:hAnsiTheme="minorHAnsi"/>
          <w:i/>
        </w:rPr>
        <w:t>, as relevant,</w:t>
      </w:r>
      <w:r w:rsidRPr="65820D2C">
        <w:rPr>
          <w:rFonts w:asciiTheme="minorHAnsi" w:hAnsiTheme="minorHAnsi"/>
          <w:i/>
        </w:rPr>
        <w:t xml:space="preserve"> that could be used to estimate reduction of pesticides load</w:t>
      </w:r>
      <w:r w:rsidR="00D163C2">
        <w:rPr>
          <w:rFonts w:asciiTheme="minorHAnsi" w:hAnsiTheme="minorHAnsi"/>
          <w:i/>
        </w:rPr>
        <w:t>ing</w:t>
      </w:r>
      <w:r w:rsidRPr="65820D2C">
        <w:rPr>
          <w:rFonts w:asciiTheme="minorHAnsi" w:hAnsiTheme="minorHAnsi"/>
          <w:i/>
        </w:rPr>
        <w:t xml:space="preserve"> to aquatic systems resulting from maintained </w:t>
      </w:r>
      <w:r w:rsidR="000D1588">
        <w:rPr>
          <w:rFonts w:asciiTheme="minorHAnsi" w:hAnsiTheme="minorHAnsi"/>
          <w:i/>
        </w:rPr>
        <w:t>v</w:t>
      </w:r>
      <w:r w:rsidRPr="65820D2C">
        <w:rPr>
          <w:rFonts w:asciiTheme="minorHAnsi" w:hAnsiTheme="minorHAnsi"/>
          <w:i/>
        </w:rPr>
        <w:t xml:space="preserve">egetative </w:t>
      </w:r>
      <w:r w:rsidR="000D1588">
        <w:rPr>
          <w:rFonts w:asciiTheme="minorHAnsi" w:hAnsiTheme="minorHAnsi"/>
          <w:i/>
        </w:rPr>
        <w:t>f</w:t>
      </w:r>
      <w:r w:rsidRPr="65820D2C">
        <w:rPr>
          <w:rFonts w:asciiTheme="minorHAnsi" w:hAnsiTheme="minorHAnsi"/>
          <w:i/>
        </w:rPr>
        <w:t xml:space="preserve">ilter </w:t>
      </w:r>
      <w:r w:rsidR="000D1588">
        <w:rPr>
          <w:rFonts w:asciiTheme="minorHAnsi" w:hAnsiTheme="minorHAnsi"/>
          <w:i/>
        </w:rPr>
        <w:t>s</w:t>
      </w:r>
      <w:r w:rsidRPr="65820D2C">
        <w:rPr>
          <w:rFonts w:asciiTheme="minorHAnsi" w:hAnsiTheme="minorHAnsi"/>
          <w:i/>
        </w:rPr>
        <w:t>trips (</w:t>
      </w:r>
      <w:r w:rsidRPr="65820D2C">
        <w:rPr>
          <w:rFonts w:asciiTheme="minorHAnsi" w:hAnsiTheme="minorHAnsi"/>
        </w:rPr>
        <w:t>e.g</w:t>
      </w:r>
      <w:r w:rsidRPr="65820D2C">
        <w:rPr>
          <w:rFonts w:asciiTheme="minorHAnsi" w:hAnsiTheme="minorHAnsi"/>
          <w:i/>
        </w:rPr>
        <w:t xml:space="preserve">., modeling/studies). </w:t>
      </w:r>
    </w:p>
    <w:p w14:paraId="56833D20" w14:textId="03CCE133" w:rsidR="00EF36CC" w:rsidRDefault="00EF36CC" w:rsidP="005859DB">
      <w:pPr>
        <w:tabs>
          <w:tab w:val="left" w:pos="756"/>
        </w:tabs>
        <w:rPr>
          <w:rFonts w:asciiTheme="minorHAnsi" w:hAnsiTheme="minorHAnsi" w:cstheme="minorHAnsi"/>
        </w:rPr>
      </w:pPr>
      <w:bookmarkStart w:id="54" w:name="_Hlk101300530"/>
      <w:bookmarkEnd w:id="51"/>
    </w:p>
    <w:p w14:paraId="38169D4B" w14:textId="62DE4149"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t>Comment</w:t>
      </w:r>
      <w:r w:rsidRPr="00EF36CC">
        <w:rPr>
          <w:rFonts w:asciiTheme="minorHAnsi" w:hAnsiTheme="minorHAnsi" w:cstheme="minorHAnsi"/>
        </w:rPr>
        <w:t>: The study cited Perez-Iglesias 2014 (E168449) was classified as qualitative for use in 2017 and classified as quantitative in 2021 for use in the biological evaluation.</w:t>
      </w:r>
    </w:p>
    <w:p w14:paraId="61AF605C" w14:textId="77777777" w:rsidR="00EF36CC" w:rsidRDefault="00EF36CC" w:rsidP="005859DB">
      <w:pPr>
        <w:tabs>
          <w:tab w:val="left" w:pos="756"/>
        </w:tabs>
        <w:rPr>
          <w:rFonts w:asciiTheme="minorHAnsi" w:hAnsiTheme="minorHAnsi" w:cstheme="minorHAnsi"/>
          <w:b/>
          <w:bCs/>
        </w:rPr>
      </w:pPr>
    </w:p>
    <w:p w14:paraId="569D0F00" w14:textId="3518A2BD" w:rsidR="00EF36CC" w:rsidRPr="00EF36CC" w:rsidRDefault="00EF36CC" w:rsidP="005859DB">
      <w:pPr>
        <w:tabs>
          <w:tab w:val="left" w:pos="756"/>
        </w:tabs>
        <w:rPr>
          <w:rFonts w:asciiTheme="minorHAnsi" w:hAnsiTheme="minorHAnsi" w:cstheme="minorHAnsi"/>
        </w:rPr>
      </w:pPr>
      <w:r w:rsidRPr="00313122">
        <w:rPr>
          <w:rFonts w:asciiTheme="minorHAnsi" w:hAnsiTheme="minorHAnsi" w:cstheme="minorHAnsi"/>
          <w:b/>
          <w:bCs/>
        </w:rPr>
        <w:t>EPA Response:</w:t>
      </w:r>
      <w:r w:rsidRPr="00313122">
        <w:rPr>
          <w:rFonts w:asciiTheme="minorHAnsi" w:hAnsiTheme="minorHAnsi" w:cstheme="minorHAnsi"/>
        </w:rPr>
        <w:t xml:space="preserve"> </w:t>
      </w:r>
      <w:r w:rsidRPr="00313122">
        <w:rPr>
          <w:rFonts w:asciiTheme="minorHAnsi" w:hAnsiTheme="minorHAnsi" w:cstheme="minorHAnsi"/>
          <w:i/>
          <w:iCs/>
        </w:rPr>
        <w:t xml:space="preserve">The Agency acknowledges this discrepancy and notes the endpoint was not used to quantitatively evaluate </w:t>
      </w:r>
      <w:r w:rsidR="00176100">
        <w:rPr>
          <w:rFonts w:asciiTheme="minorHAnsi" w:hAnsiTheme="minorHAnsi" w:cstheme="minorHAnsi"/>
          <w:i/>
          <w:iCs/>
        </w:rPr>
        <w:t>effects</w:t>
      </w:r>
      <w:r w:rsidR="00176100" w:rsidRPr="00313122">
        <w:rPr>
          <w:rFonts w:asciiTheme="minorHAnsi" w:hAnsiTheme="minorHAnsi" w:cstheme="minorHAnsi"/>
          <w:i/>
          <w:iCs/>
        </w:rPr>
        <w:t xml:space="preserve"> </w:t>
      </w:r>
      <w:r w:rsidRPr="00313122">
        <w:rPr>
          <w:rFonts w:asciiTheme="minorHAnsi" w:hAnsiTheme="minorHAnsi" w:cstheme="minorHAnsi"/>
          <w:i/>
          <w:iCs/>
        </w:rPr>
        <w:t xml:space="preserve">as the most sensitive endpoint. A review and addendum for the study </w:t>
      </w:r>
      <w:r w:rsidR="00A654D8">
        <w:rPr>
          <w:rFonts w:asciiTheme="minorHAnsi" w:hAnsiTheme="minorHAnsi" w:cstheme="minorHAnsi"/>
          <w:i/>
          <w:iCs/>
        </w:rPr>
        <w:t>may</w:t>
      </w:r>
      <w:r w:rsidR="00A654D8" w:rsidRPr="00313122">
        <w:rPr>
          <w:rFonts w:asciiTheme="minorHAnsi" w:hAnsiTheme="minorHAnsi" w:cstheme="minorHAnsi"/>
          <w:i/>
          <w:iCs/>
        </w:rPr>
        <w:t xml:space="preserve"> </w:t>
      </w:r>
      <w:r w:rsidRPr="00313122">
        <w:rPr>
          <w:rFonts w:asciiTheme="minorHAnsi" w:hAnsiTheme="minorHAnsi" w:cstheme="minorHAnsi"/>
          <w:i/>
          <w:iCs/>
        </w:rPr>
        <w:lastRenderedPageBreak/>
        <w:t>be performed and a</w:t>
      </w:r>
      <w:r w:rsidR="000D1588">
        <w:rPr>
          <w:rFonts w:asciiTheme="minorHAnsi" w:hAnsiTheme="minorHAnsi" w:cstheme="minorHAnsi"/>
          <w:i/>
          <w:iCs/>
        </w:rPr>
        <w:t>n</w:t>
      </w:r>
      <w:r w:rsidRPr="00313122">
        <w:rPr>
          <w:rFonts w:asciiTheme="minorHAnsi" w:hAnsiTheme="minorHAnsi" w:cstheme="minorHAnsi"/>
          <w:i/>
          <w:iCs/>
        </w:rPr>
        <w:t xml:space="preserve"> </w:t>
      </w:r>
      <w:r w:rsidR="00CA4026">
        <w:rPr>
          <w:rFonts w:asciiTheme="minorHAnsi" w:hAnsiTheme="minorHAnsi" w:cstheme="minorHAnsi"/>
          <w:i/>
          <w:iCs/>
        </w:rPr>
        <w:t xml:space="preserve">updated </w:t>
      </w:r>
      <w:r w:rsidR="000D1588">
        <w:rPr>
          <w:rFonts w:asciiTheme="minorHAnsi" w:hAnsiTheme="minorHAnsi" w:cstheme="minorHAnsi"/>
          <w:i/>
          <w:iCs/>
        </w:rPr>
        <w:t>study</w:t>
      </w:r>
      <w:r w:rsidR="00CA4026">
        <w:rPr>
          <w:rFonts w:asciiTheme="minorHAnsi" w:hAnsiTheme="minorHAnsi" w:cstheme="minorHAnsi"/>
          <w:i/>
          <w:iCs/>
        </w:rPr>
        <w:t xml:space="preserve"> classification</w:t>
      </w:r>
      <w:r w:rsidRPr="00313122">
        <w:rPr>
          <w:rFonts w:asciiTheme="minorHAnsi" w:hAnsiTheme="minorHAnsi" w:cstheme="minorHAnsi"/>
          <w:i/>
          <w:iCs/>
        </w:rPr>
        <w:t xml:space="preserve"> </w:t>
      </w:r>
      <w:r w:rsidR="00A654D8">
        <w:rPr>
          <w:rFonts w:asciiTheme="minorHAnsi" w:hAnsiTheme="minorHAnsi" w:cstheme="minorHAnsi"/>
          <w:i/>
          <w:iCs/>
        </w:rPr>
        <w:t>may</w:t>
      </w:r>
      <w:r w:rsidRPr="00313122">
        <w:rPr>
          <w:rFonts w:asciiTheme="minorHAnsi" w:hAnsiTheme="minorHAnsi" w:cstheme="minorHAnsi"/>
          <w:i/>
          <w:iCs/>
        </w:rPr>
        <w:t xml:space="preserve"> be issued</w:t>
      </w:r>
      <w:r w:rsidR="00CA4026">
        <w:rPr>
          <w:rFonts w:asciiTheme="minorHAnsi" w:hAnsiTheme="minorHAnsi" w:cstheme="minorHAnsi"/>
          <w:i/>
          <w:iCs/>
        </w:rPr>
        <w:t xml:space="preserve"> to resolve the discrepancy</w:t>
      </w:r>
      <w:r w:rsidR="00BA03C4">
        <w:rPr>
          <w:rFonts w:asciiTheme="minorHAnsi" w:hAnsiTheme="minorHAnsi" w:cstheme="minorHAnsi"/>
          <w:i/>
          <w:iCs/>
        </w:rPr>
        <w:t xml:space="preserve">. </w:t>
      </w:r>
      <w:r w:rsidR="00193F71">
        <w:rPr>
          <w:rFonts w:asciiTheme="minorHAnsi" w:hAnsiTheme="minorHAnsi"/>
          <w:i/>
          <w:iCs/>
        </w:rPr>
        <w:t xml:space="preserve">EPA </w:t>
      </w:r>
      <w:r w:rsidR="00A654D8">
        <w:rPr>
          <w:rFonts w:asciiTheme="minorHAnsi" w:hAnsiTheme="minorHAnsi"/>
          <w:i/>
          <w:iCs/>
        </w:rPr>
        <w:t xml:space="preserve">may </w:t>
      </w:r>
      <w:r w:rsidR="00193F71">
        <w:rPr>
          <w:rFonts w:asciiTheme="minorHAnsi" w:hAnsiTheme="minorHAnsi"/>
          <w:i/>
          <w:iCs/>
        </w:rPr>
        <w:t>discuss this information with the Services during consultation when relevant</w:t>
      </w:r>
      <w:r w:rsidR="00193F71" w:rsidRPr="00510478">
        <w:rPr>
          <w:rFonts w:asciiTheme="minorHAnsi" w:hAnsiTheme="minorHAnsi" w:cstheme="minorHAnsi"/>
          <w:i/>
          <w:iCs/>
        </w:rPr>
        <w:t>.</w:t>
      </w:r>
    </w:p>
    <w:p w14:paraId="620939D2" w14:textId="77777777" w:rsidR="00EF36CC" w:rsidRDefault="00EF36CC" w:rsidP="005859DB">
      <w:pPr>
        <w:tabs>
          <w:tab w:val="left" w:pos="756"/>
        </w:tabs>
        <w:rPr>
          <w:rFonts w:asciiTheme="minorHAnsi" w:hAnsiTheme="minorHAnsi" w:cstheme="minorHAnsi"/>
          <w:b/>
          <w:bCs/>
        </w:rPr>
      </w:pPr>
    </w:p>
    <w:p w14:paraId="62555B26" w14:textId="533AD1EC" w:rsid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t xml:space="preserve">Comment: </w:t>
      </w:r>
      <w:r w:rsidRPr="00EF36CC">
        <w:rPr>
          <w:rFonts w:asciiTheme="minorHAnsi" w:hAnsiTheme="minorHAnsi" w:cstheme="minorHAnsi"/>
        </w:rPr>
        <w:t>The following study was revie</w:t>
      </w:r>
      <w:r w:rsidR="00B05A40">
        <w:rPr>
          <w:rFonts w:asciiTheme="minorHAnsi" w:hAnsiTheme="minorHAnsi" w:cstheme="minorHAnsi"/>
        </w:rPr>
        <w:t>we</w:t>
      </w:r>
      <w:r w:rsidRPr="00EF36CC">
        <w:rPr>
          <w:rFonts w:asciiTheme="minorHAnsi" w:hAnsiTheme="minorHAnsi" w:cstheme="minorHAnsi"/>
        </w:rPr>
        <w:t xml:space="preserve">d and classified as </w:t>
      </w:r>
      <w:r w:rsidR="0091684A">
        <w:rPr>
          <w:rFonts w:asciiTheme="minorHAnsi" w:hAnsiTheme="minorHAnsi" w:cstheme="minorHAnsi"/>
        </w:rPr>
        <w:t>quantitative</w:t>
      </w:r>
      <w:r w:rsidRPr="00EF36CC">
        <w:rPr>
          <w:rFonts w:asciiTheme="minorHAnsi" w:hAnsiTheme="minorHAnsi" w:cstheme="minorHAnsi"/>
        </w:rPr>
        <w:t xml:space="preserve">; however, the </w:t>
      </w:r>
      <w:r w:rsidR="00DC3C60">
        <w:rPr>
          <w:rFonts w:asciiTheme="minorHAnsi" w:hAnsiTheme="minorHAnsi" w:cstheme="minorHAnsi"/>
        </w:rPr>
        <w:t>commenter</w:t>
      </w:r>
      <w:r w:rsidRPr="00EF36CC">
        <w:rPr>
          <w:rFonts w:asciiTheme="minorHAnsi" w:hAnsiTheme="minorHAnsi" w:cstheme="minorHAnsi"/>
        </w:rPr>
        <w:t xml:space="preserve"> notes this study should be invalid. This study was used as the most sensitive endpoint to derive mortality thresholds for TEP in the </w:t>
      </w:r>
      <w:r w:rsidR="00EB761C">
        <w:rPr>
          <w:rFonts w:asciiTheme="minorHAnsi" w:hAnsiTheme="minorHAnsi" w:cstheme="minorHAnsi"/>
        </w:rPr>
        <w:t>b</w:t>
      </w:r>
      <w:r w:rsidRPr="00EF36CC">
        <w:rPr>
          <w:rFonts w:asciiTheme="minorHAnsi" w:hAnsiTheme="minorHAnsi" w:cstheme="minorHAnsi"/>
        </w:rPr>
        <w:t xml:space="preserve">iological </w:t>
      </w:r>
      <w:r w:rsidR="00EB761C">
        <w:rPr>
          <w:rFonts w:asciiTheme="minorHAnsi" w:hAnsiTheme="minorHAnsi" w:cstheme="minorHAnsi"/>
        </w:rPr>
        <w:t>e</w:t>
      </w:r>
      <w:r w:rsidRPr="00EF36CC">
        <w:rPr>
          <w:rFonts w:asciiTheme="minorHAnsi" w:hAnsiTheme="minorHAnsi" w:cstheme="minorHAnsi"/>
        </w:rPr>
        <w:t>valuation.</w:t>
      </w:r>
    </w:p>
    <w:p w14:paraId="7013EB29" w14:textId="532A8EB8" w:rsidR="006521AF" w:rsidRDefault="006521AF" w:rsidP="005859DB">
      <w:pPr>
        <w:tabs>
          <w:tab w:val="left" w:pos="756"/>
        </w:tabs>
        <w:rPr>
          <w:rFonts w:asciiTheme="minorHAnsi" w:hAnsiTheme="minorHAnsi" w:cstheme="minorHAnsi"/>
          <w:b/>
          <w:bCs/>
        </w:rPr>
      </w:pPr>
    </w:p>
    <w:p w14:paraId="22B215B7" w14:textId="70D1FE79" w:rsidR="00B05A40" w:rsidRPr="00EF36CC" w:rsidRDefault="00B05A40" w:rsidP="005859DB">
      <w:pPr>
        <w:tabs>
          <w:tab w:val="left" w:pos="756"/>
        </w:tabs>
        <w:rPr>
          <w:rFonts w:asciiTheme="minorHAnsi" w:hAnsiTheme="minorHAnsi" w:cstheme="minorHAnsi"/>
          <w:b/>
          <w:bCs/>
        </w:rPr>
      </w:pPr>
      <w:r>
        <w:rPr>
          <w:rFonts w:asciiTheme="minorHAnsi" w:hAnsiTheme="minorHAnsi" w:cstheme="minorHAnsi"/>
          <w:b/>
          <w:bCs/>
        </w:rPr>
        <w:t xml:space="preserve">Table 3-2. </w:t>
      </w:r>
      <w:proofErr w:type="spellStart"/>
      <w:r w:rsidR="001938B3">
        <w:rPr>
          <w:rFonts w:asciiTheme="minorHAnsi" w:hAnsiTheme="minorHAnsi" w:cstheme="minorHAnsi"/>
          <w:b/>
          <w:bCs/>
        </w:rPr>
        <w:t>Ecotox</w:t>
      </w:r>
      <w:proofErr w:type="spellEnd"/>
      <w:r w:rsidR="001938B3">
        <w:rPr>
          <w:rFonts w:asciiTheme="minorHAnsi" w:hAnsiTheme="minorHAnsi" w:cstheme="minorHAnsi"/>
          <w:b/>
          <w:bCs/>
        </w:rPr>
        <w:t xml:space="preserve"> S</w:t>
      </w:r>
      <w:r>
        <w:rPr>
          <w:rFonts w:asciiTheme="minorHAnsi" w:hAnsiTheme="minorHAnsi" w:cstheme="minorHAnsi"/>
          <w:b/>
          <w:bCs/>
        </w:rPr>
        <w:t xml:space="preserve">tudy </w:t>
      </w:r>
      <w:r w:rsidR="001938B3">
        <w:rPr>
          <w:rFonts w:asciiTheme="minorHAnsi" w:hAnsiTheme="minorHAnsi" w:cstheme="minorHAnsi"/>
          <w:b/>
          <w:bCs/>
        </w:rPr>
        <w:t>C</w:t>
      </w:r>
      <w:r>
        <w:rPr>
          <w:rFonts w:asciiTheme="minorHAnsi" w:hAnsiTheme="minorHAnsi" w:cstheme="minorHAnsi"/>
          <w:b/>
          <w:bCs/>
        </w:rPr>
        <w:t>lassification</w:t>
      </w:r>
    </w:p>
    <w:tbl>
      <w:tblPr>
        <w:tblStyle w:val="TableGrid"/>
        <w:tblW w:w="0" w:type="auto"/>
        <w:tblLook w:val="04A0" w:firstRow="1" w:lastRow="0" w:firstColumn="1" w:lastColumn="0" w:noHBand="0" w:noVBand="1"/>
      </w:tblPr>
      <w:tblGrid>
        <w:gridCol w:w="1525"/>
        <w:gridCol w:w="1080"/>
        <w:gridCol w:w="1710"/>
        <w:gridCol w:w="5035"/>
      </w:tblGrid>
      <w:tr w:rsidR="00EF36CC" w:rsidRPr="00EF36CC" w14:paraId="602FE72D" w14:textId="77777777" w:rsidTr="007A4697">
        <w:tc>
          <w:tcPr>
            <w:tcW w:w="1525" w:type="dxa"/>
          </w:tcPr>
          <w:p w14:paraId="7F96AD13" w14:textId="77777777" w:rsidR="00EF36CC" w:rsidRPr="00EF36CC" w:rsidRDefault="00EF36CC" w:rsidP="005859DB">
            <w:pPr>
              <w:tabs>
                <w:tab w:val="left" w:pos="756"/>
              </w:tabs>
              <w:rPr>
                <w:rFonts w:asciiTheme="minorHAnsi" w:hAnsiTheme="minorHAnsi" w:cstheme="minorHAnsi"/>
                <w:b/>
                <w:bCs/>
              </w:rPr>
            </w:pPr>
            <w:r w:rsidRPr="00EF36CC">
              <w:rPr>
                <w:rFonts w:asciiTheme="minorHAnsi" w:hAnsiTheme="minorHAnsi" w:cstheme="minorHAnsi"/>
                <w:b/>
                <w:bCs/>
              </w:rPr>
              <w:t>Study</w:t>
            </w:r>
          </w:p>
        </w:tc>
        <w:tc>
          <w:tcPr>
            <w:tcW w:w="1080" w:type="dxa"/>
          </w:tcPr>
          <w:p w14:paraId="527A9DCC" w14:textId="77777777" w:rsidR="00EF36CC" w:rsidRPr="00EF36CC" w:rsidRDefault="00EF36CC" w:rsidP="005859DB">
            <w:pPr>
              <w:tabs>
                <w:tab w:val="left" w:pos="756"/>
              </w:tabs>
              <w:rPr>
                <w:rFonts w:asciiTheme="minorHAnsi" w:hAnsiTheme="minorHAnsi" w:cstheme="minorHAnsi"/>
                <w:b/>
                <w:bCs/>
              </w:rPr>
            </w:pPr>
            <w:proofErr w:type="spellStart"/>
            <w:r w:rsidRPr="00EF36CC">
              <w:rPr>
                <w:rFonts w:asciiTheme="minorHAnsi" w:hAnsiTheme="minorHAnsi" w:cstheme="minorHAnsi"/>
                <w:b/>
                <w:bCs/>
              </w:rPr>
              <w:t>Ecotox</w:t>
            </w:r>
            <w:proofErr w:type="spellEnd"/>
          </w:p>
        </w:tc>
        <w:tc>
          <w:tcPr>
            <w:tcW w:w="1710" w:type="dxa"/>
          </w:tcPr>
          <w:p w14:paraId="45048A87" w14:textId="77777777" w:rsidR="00EF36CC" w:rsidRPr="00EF36CC" w:rsidRDefault="00EF36CC" w:rsidP="005859DB">
            <w:pPr>
              <w:tabs>
                <w:tab w:val="left" w:pos="756"/>
              </w:tabs>
              <w:rPr>
                <w:rFonts w:asciiTheme="minorHAnsi" w:hAnsiTheme="minorHAnsi" w:cstheme="minorHAnsi"/>
                <w:b/>
                <w:bCs/>
              </w:rPr>
            </w:pPr>
            <w:r w:rsidRPr="00EF36CC">
              <w:rPr>
                <w:rFonts w:asciiTheme="minorHAnsi" w:hAnsiTheme="minorHAnsi" w:cstheme="minorHAnsi"/>
                <w:b/>
                <w:bCs/>
              </w:rPr>
              <w:t>Classification</w:t>
            </w:r>
          </w:p>
        </w:tc>
        <w:tc>
          <w:tcPr>
            <w:tcW w:w="5035" w:type="dxa"/>
          </w:tcPr>
          <w:p w14:paraId="5A433AB4" w14:textId="77777777" w:rsidR="00EF36CC" w:rsidRPr="00EF36CC" w:rsidRDefault="00EF36CC" w:rsidP="005859DB">
            <w:pPr>
              <w:tabs>
                <w:tab w:val="left" w:pos="756"/>
              </w:tabs>
              <w:rPr>
                <w:rFonts w:asciiTheme="minorHAnsi" w:hAnsiTheme="minorHAnsi" w:cstheme="minorHAnsi"/>
                <w:b/>
                <w:bCs/>
              </w:rPr>
            </w:pPr>
            <w:r w:rsidRPr="00EF36CC">
              <w:rPr>
                <w:rFonts w:asciiTheme="minorHAnsi" w:hAnsiTheme="minorHAnsi" w:cstheme="minorHAnsi"/>
                <w:b/>
                <w:bCs/>
              </w:rPr>
              <w:t>Reasons should be invalid</w:t>
            </w:r>
          </w:p>
        </w:tc>
      </w:tr>
      <w:tr w:rsidR="00EF36CC" w:rsidRPr="00EF36CC" w14:paraId="35B2C03F" w14:textId="77777777" w:rsidTr="002D6A6B">
        <w:tc>
          <w:tcPr>
            <w:tcW w:w="1525" w:type="dxa"/>
            <w:vAlign w:val="center"/>
          </w:tcPr>
          <w:p w14:paraId="28C496BF"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Ocampo 2006</w:t>
            </w:r>
          </w:p>
        </w:tc>
        <w:tc>
          <w:tcPr>
            <w:tcW w:w="1080" w:type="dxa"/>
            <w:vAlign w:val="center"/>
          </w:tcPr>
          <w:p w14:paraId="18D7D85C"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E166820</w:t>
            </w:r>
          </w:p>
        </w:tc>
        <w:tc>
          <w:tcPr>
            <w:tcW w:w="1710" w:type="dxa"/>
            <w:vAlign w:val="center"/>
          </w:tcPr>
          <w:p w14:paraId="2B93F307"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Quantitative</w:t>
            </w:r>
          </w:p>
        </w:tc>
        <w:tc>
          <w:tcPr>
            <w:tcW w:w="5035" w:type="dxa"/>
            <w:vAlign w:val="center"/>
          </w:tcPr>
          <w:p w14:paraId="65DF1075"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No control survival reported</w:t>
            </w:r>
          </w:p>
          <w:p w14:paraId="39874C32"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No analytical confirmation</w:t>
            </w:r>
          </w:p>
          <w:p w14:paraId="1682DF07"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Exposure period and data reported only 24-hours</w:t>
            </w:r>
          </w:p>
        </w:tc>
      </w:tr>
    </w:tbl>
    <w:p w14:paraId="25860D46" w14:textId="77777777" w:rsidR="00EF36CC" w:rsidRPr="00EF36CC" w:rsidRDefault="00EF36CC" w:rsidP="005859DB">
      <w:pPr>
        <w:tabs>
          <w:tab w:val="left" w:pos="756"/>
        </w:tabs>
        <w:rPr>
          <w:rFonts w:asciiTheme="minorHAnsi" w:hAnsiTheme="minorHAnsi" w:cstheme="minorHAnsi"/>
          <w:b/>
          <w:bCs/>
        </w:rPr>
      </w:pPr>
    </w:p>
    <w:p w14:paraId="22B80ED9" w14:textId="58E44638" w:rsidR="00EF36CC" w:rsidRPr="00193F71" w:rsidRDefault="00EF36CC" w:rsidP="00193F71">
      <w:pPr>
        <w:rPr>
          <w:rFonts w:asciiTheme="minorHAnsi" w:hAnsiTheme="minorHAnsi" w:cstheme="minorHAnsi"/>
          <w:color w:val="000000"/>
        </w:rPr>
      </w:pPr>
      <w:r w:rsidRPr="00C22CCB">
        <w:rPr>
          <w:rFonts w:asciiTheme="minorHAnsi" w:hAnsiTheme="minorHAnsi" w:cstheme="minorHAnsi"/>
          <w:b/>
          <w:bCs/>
        </w:rPr>
        <w:t xml:space="preserve">EPA Response: </w:t>
      </w:r>
      <w:r w:rsidRPr="00C22CCB">
        <w:rPr>
          <w:rFonts w:asciiTheme="minorHAnsi" w:hAnsiTheme="minorHAnsi" w:cstheme="minorHAnsi"/>
          <w:i/>
          <w:iCs/>
        </w:rPr>
        <w:t xml:space="preserve">No direct mortality effects to fish are expected from imidacloprid exposure, using this endpoint, and it is </w:t>
      </w:r>
      <w:r w:rsidRPr="007B2E6C">
        <w:rPr>
          <w:rFonts w:asciiTheme="minorHAnsi" w:hAnsiTheme="minorHAnsi" w:cstheme="minorHAnsi"/>
          <w:i/>
          <w:iCs/>
        </w:rPr>
        <w:t>expected this would not change based on reviews of additional studies with similar endpoints. The review notes, even though analytical verification was not performed, the test substance typically is stable under test conditions.</w:t>
      </w:r>
      <w:bookmarkStart w:id="55" w:name="_Hlk101354036"/>
      <w:r w:rsidRPr="007B2E6C">
        <w:rPr>
          <w:rFonts w:asciiTheme="minorHAnsi" w:hAnsiTheme="minorHAnsi" w:cstheme="minorHAnsi"/>
          <w:i/>
          <w:iCs/>
        </w:rPr>
        <w:t xml:space="preserve"> </w:t>
      </w:r>
      <w:r w:rsidR="00B01FF0">
        <w:rPr>
          <w:rFonts w:asciiTheme="minorHAnsi" w:hAnsiTheme="minorHAnsi"/>
          <w:i/>
          <w:iCs/>
        </w:rPr>
        <w:t xml:space="preserve">EPA </w:t>
      </w:r>
      <w:r w:rsidR="00B960C5">
        <w:rPr>
          <w:rFonts w:asciiTheme="minorHAnsi" w:hAnsiTheme="minorHAnsi"/>
          <w:i/>
          <w:iCs/>
        </w:rPr>
        <w:t>may</w:t>
      </w:r>
      <w:r w:rsidR="00B01FF0">
        <w:rPr>
          <w:rFonts w:asciiTheme="minorHAnsi" w:hAnsiTheme="minorHAnsi"/>
          <w:i/>
          <w:iCs/>
        </w:rPr>
        <w:t xml:space="preserve"> discuss this information with the Services during consultation</w:t>
      </w:r>
      <w:r w:rsidR="00B960C5">
        <w:rPr>
          <w:rFonts w:asciiTheme="minorHAnsi" w:hAnsiTheme="minorHAnsi"/>
          <w:i/>
          <w:iCs/>
        </w:rPr>
        <w:t xml:space="preserve"> when relevant</w:t>
      </w:r>
      <w:r w:rsidR="00B01FF0" w:rsidRPr="00510478">
        <w:rPr>
          <w:rFonts w:asciiTheme="minorHAnsi" w:hAnsiTheme="minorHAnsi" w:cstheme="minorHAnsi"/>
          <w:i/>
          <w:iCs/>
        </w:rPr>
        <w:t>.</w:t>
      </w:r>
    </w:p>
    <w:bookmarkEnd w:id="55"/>
    <w:p w14:paraId="62675051" w14:textId="77777777" w:rsidR="00EF36CC" w:rsidRDefault="00EF36CC" w:rsidP="005859DB">
      <w:pPr>
        <w:tabs>
          <w:tab w:val="left" w:pos="756"/>
        </w:tabs>
        <w:rPr>
          <w:rFonts w:asciiTheme="minorHAnsi" w:hAnsiTheme="minorHAnsi" w:cstheme="minorHAnsi"/>
          <w:b/>
          <w:bCs/>
        </w:rPr>
      </w:pPr>
    </w:p>
    <w:p w14:paraId="0A1E5B33" w14:textId="47317783" w:rsid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t>Comment</w:t>
      </w:r>
      <w:r w:rsidRPr="00EF36CC">
        <w:rPr>
          <w:rFonts w:asciiTheme="minorHAnsi" w:hAnsiTheme="minorHAnsi" w:cstheme="minorHAnsi"/>
        </w:rPr>
        <w:t>: The following studies were classified for use in the BE as either qualitative or quantitative; however, Bayer notes they should be invalid and removed from effects arrays for reasons listed. Additionally, there are studies in effects arrays that lack evaluations and classifications.</w:t>
      </w:r>
    </w:p>
    <w:p w14:paraId="4FC2B17C" w14:textId="53B8E36A" w:rsidR="006521AF" w:rsidRDefault="006521AF" w:rsidP="005859DB">
      <w:pPr>
        <w:tabs>
          <w:tab w:val="left" w:pos="756"/>
        </w:tabs>
        <w:rPr>
          <w:rFonts w:asciiTheme="minorHAnsi" w:hAnsiTheme="minorHAnsi" w:cstheme="minorHAnsi"/>
        </w:rPr>
      </w:pPr>
    </w:p>
    <w:p w14:paraId="76F93870" w14:textId="5A9636E1" w:rsidR="00B05A40" w:rsidRPr="00B05A40" w:rsidRDefault="00B05A40" w:rsidP="005859DB">
      <w:pPr>
        <w:keepNext/>
        <w:keepLines/>
        <w:tabs>
          <w:tab w:val="left" w:pos="756"/>
        </w:tabs>
        <w:rPr>
          <w:rFonts w:asciiTheme="minorHAnsi" w:hAnsiTheme="minorHAnsi" w:cstheme="minorHAnsi"/>
          <w:b/>
          <w:bCs/>
        </w:rPr>
      </w:pPr>
      <w:bookmarkStart w:id="56" w:name="_Hlk101302068"/>
      <w:r>
        <w:rPr>
          <w:rFonts w:asciiTheme="minorHAnsi" w:hAnsiTheme="minorHAnsi" w:cstheme="minorHAnsi"/>
          <w:b/>
          <w:bCs/>
        </w:rPr>
        <w:t xml:space="preserve">Table 3-3. </w:t>
      </w:r>
      <w:r w:rsidR="00C22CCB">
        <w:rPr>
          <w:rFonts w:asciiTheme="minorHAnsi" w:hAnsiTheme="minorHAnsi" w:cstheme="minorHAnsi"/>
          <w:b/>
          <w:bCs/>
        </w:rPr>
        <w:t>Additional</w:t>
      </w:r>
      <w:r w:rsidR="001938B3">
        <w:rPr>
          <w:rFonts w:asciiTheme="minorHAnsi" w:hAnsiTheme="minorHAnsi" w:cstheme="minorHAnsi"/>
          <w:b/>
          <w:bCs/>
        </w:rPr>
        <w:t xml:space="preserve"> </w:t>
      </w:r>
      <w:proofErr w:type="spellStart"/>
      <w:r w:rsidR="001938B3">
        <w:rPr>
          <w:rFonts w:asciiTheme="minorHAnsi" w:hAnsiTheme="minorHAnsi" w:cstheme="minorHAnsi"/>
          <w:b/>
          <w:bCs/>
        </w:rPr>
        <w:t>Ecotox</w:t>
      </w:r>
      <w:proofErr w:type="spellEnd"/>
      <w:r>
        <w:rPr>
          <w:rFonts w:asciiTheme="minorHAnsi" w:hAnsiTheme="minorHAnsi" w:cstheme="minorHAnsi"/>
          <w:b/>
          <w:bCs/>
        </w:rPr>
        <w:t xml:space="preserve"> </w:t>
      </w:r>
      <w:r w:rsidR="001938B3">
        <w:rPr>
          <w:rFonts w:asciiTheme="minorHAnsi" w:hAnsiTheme="minorHAnsi" w:cstheme="minorHAnsi"/>
          <w:b/>
          <w:bCs/>
        </w:rPr>
        <w:t>Study Classifications</w:t>
      </w:r>
    </w:p>
    <w:tbl>
      <w:tblPr>
        <w:tblStyle w:val="TableGrid"/>
        <w:tblW w:w="0" w:type="auto"/>
        <w:tblLook w:val="04A0" w:firstRow="1" w:lastRow="0" w:firstColumn="1" w:lastColumn="0" w:noHBand="0" w:noVBand="1"/>
      </w:tblPr>
      <w:tblGrid>
        <w:gridCol w:w="1525"/>
        <w:gridCol w:w="1080"/>
        <w:gridCol w:w="1710"/>
        <w:gridCol w:w="5035"/>
      </w:tblGrid>
      <w:tr w:rsidR="00EF36CC" w:rsidRPr="00EF36CC" w14:paraId="6A536C0C" w14:textId="77777777" w:rsidTr="007A4697">
        <w:tc>
          <w:tcPr>
            <w:tcW w:w="1525" w:type="dxa"/>
          </w:tcPr>
          <w:bookmarkEnd w:id="56"/>
          <w:p w14:paraId="499D6820" w14:textId="77777777" w:rsidR="00EF36CC" w:rsidRPr="00EF36CC" w:rsidRDefault="00EF36CC" w:rsidP="005859DB">
            <w:pPr>
              <w:keepNext/>
              <w:keepLines/>
              <w:tabs>
                <w:tab w:val="left" w:pos="756"/>
              </w:tabs>
              <w:rPr>
                <w:rFonts w:asciiTheme="minorHAnsi" w:hAnsiTheme="minorHAnsi" w:cstheme="minorHAnsi"/>
                <w:b/>
                <w:bCs/>
              </w:rPr>
            </w:pPr>
            <w:r w:rsidRPr="00EF36CC">
              <w:rPr>
                <w:rFonts w:asciiTheme="minorHAnsi" w:hAnsiTheme="minorHAnsi" w:cstheme="minorHAnsi"/>
                <w:b/>
                <w:bCs/>
              </w:rPr>
              <w:t>Study</w:t>
            </w:r>
          </w:p>
        </w:tc>
        <w:tc>
          <w:tcPr>
            <w:tcW w:w="1080" w:type="dxa"/>
          </w:tcPr>
          <w:p w14:paraId="36B08119" w14:textId="77777777" w:rsidR="00EF36CC" w:rsidRPr="00EF36CC" w:rsidRDefault="00EF36CC" w:rsidP="005859DB">
            <w:pPr>
              <w:keepNext/>
              <w:keepLines/>
              <w:tabs>
                <w:tab w:val="left" w:pos="756"/>
              </w:tabs>
              <w:rPr>
                <w:rFonts w:asciiTheme="minorHAnsi" w:hAnsiTheme="minorHAnsi" w:cstheme="minorHAnsi"/>
                <w:b/>
                <w:bCs/>
              </w:rPr>
            </w:pPr>
            <w:proofErr w:type="spellStart"/>
            <w:r w:rsidRPr="00EF36CC">
              <w:rPr>
                <w:rFonts w:asciiTheme="minorHAnsi" w:hAnsiTheme="minorHAnsi" w:cstheme="minorHAnsi"/>
                <w:b/>
                <w:bCs/>
              </w:rPr>
              <w:t>Ecotox</w:t>
            </w:r>
            <w:proofErr w:type="spellEnd"/>
          </w:p>
        </w:tc>
        <w:tc>
          <w:tcPr>
            <w:tcW w:w="1710" w:type="dxa"/>
          </w:tcPr>
          <w:p w14:paraId="2C555E05" w14:textId="77777777" w:rsidR="00EF36CC" w:rsidRPr="00EF36CC" w:rsidRDefault="00EF36CC" w:rsidP="005859DB">
            <w:pPr>
              <w:keepNext/>
              <w:keepLines/>
              <w:tabs>
                <w:tab w:val="left" w:pos="756"/>
              </w:tabs>
              <w:rPr>
                <w:rFonts w:asciiTheme="minorHAnsi" w:hAnsiTheme="minorHAnsi" w:cstheme="minorHAnsi"/>
                <w:b/>
                <w:bCs/>
              </w:rPr>
            </w:pPr>
            <w:r w:rsidRPr="00EF36CC">
              <w:rPr>
                <w:rFonts w:asciiTheme="minorHAnsi" w:hAnsiTheme="minorHAnsi" w:cstheme="minorHAnsi"/>
                <w:b/>
                <w:bCs/>
              </w:rPr>
              <w:t>Classification</w:t>
            </w:r>
          </w:p>
        </w:tc>
        <w:tc>
          <w:tcPr>
            <w:tcW w:w="5035" w:type="dxa"/>
          </w:tcPr>
          <w:p w14:paraId="6204B9A9" w14:textId="77777777" w:rsidR="00EF36CC" w:rsidRPr="00EF36CC" w:rsidRDefault="00EF36CC" w:rsidP="005859DB">
            <w:pPr>
              <w:keepNext/>
              <w:keepLines/>
              <w:tabs>
                <w:tab w:val="left" w:pos="756"/>
              </w:tabs>
              <w:rPr>
                <w:rFonts w:asciiTheme="minorHAnsi" w:hAnsiTheme="minorHAnsi" w:cstheme="minorHAnsi"/>
                <w:b/>
                <w:bCs/>
              </w:rPr>
            </w:pPr>
            <w:r w:rsidRPr="00EF36CC">
              <w:rPr>
                <w:rFonts w:asciiTheme="minorHAnsi" w:hAnsiTheme="minorHAnsi" w:cstheme="minorHAnsi"/>
                <w:b/>
                <w:bCs/>
              </w:rPr>
              <w:t>Reasons should be invalid</w:t>
            </w:r>
          </w:p>
        </w:tc>
      </w:tr>
      <w:tr w:rsidR="00EF36CC" w:rsidRPr="00EF36CC" w14:paraId="2292B457" w14:textId="77777777" w:rsidTr="002D6A6B">
        <w:tc>
          <w:tcPr>
            <w:tcW w:w="1525" w:type="dxa"/>
            <w:vAlign w:val="center"/>
          </w:tcPr>
          <w:p w14:paraId="1D64F888" w14:textId="77777777" w:rsidR="00EF36CC" w:rsidRPr="00EF36CC" w:rsidRDefault="00EF36CC" w:rsidP="005859DB">
            <w:pPr>
              <w:keepNext/>
              <w:keepLines/>
              <w:tabs>
                <w:tab w:val="left" w:pos="756"/>
              </w:tabs>
              <w:rPr>
                <w:rFonts w:asciiTheme="minorHAnsi" w:hAnsiTheme="minorHAnsi" w:cstheme="minorHAnsi"/>
              </w:rPr>
            </w:pPr>
            <w:proofErr w:type="spellStart"/>
            <w:r w:rsidRPr="00EF36CC">
              <w:rPr>
                <w:rFonts w:asciiTheme="minorHAnsi" w:hAnsiTheme="minorHAnsi" w:cstheme="minorHAnsi"/>
              </w:rPr>
              <w:t>Naiel</w:t>
            </w:r>
            <w:proofErr w:type="spellEnd"/>
            <w:r w:rsidRPr="00EF36CC">
              <w:rPr>
                <w:rFonts w:asciiTheme="minorHAnsi" w:hAnsiTheme="minorHAnsi" w:cstheme="minorHAnsi"/>
              </w:rPr>
              <w:t xml:space="preserve"> 2020</w:t>
            </w:r>
          </w:p>
        </w:tc>
        <w:tc>
          <w:tcPr>
            <w:tcW w:w="1080" w:type="dxa"/>
            <w:vAlign w:val="center"/>
          </w:tcPr>
          <w:p w14:paraId="459F29A9" w14:textId="77777777" w:rsidR="00EF36CC" w:rsidRPr="00EF36CC" w:rsidRDefault="00EF36CC" w:rsidP="005859DB">
            <w:pPr>
              <w:keepNext/>
              <w:keepLines/>
              <w:tabs>
                <w:tab w:val="left" w:pos="756"/>
              </w:tabs>
              <w:rPr>
                <w:rFonts w:asciiTheme="minorHAnsi" w:hAnsiTheme="minorHAnsi" w:cstheme="minorHAnsi"/>
              </w:rPr>
            </w:pPr>
            <w:r w:rsidRPr="00EF36CC">
              <w:rPr>
                <w:rFonts w:asciiTheme="minorHAnsi" w:hAnsiTheme="minorHAnsi" w:cstheme="minorHAnsi"/>
              </w:rPr>
              <w:t>E184004</w:t>
            </w:r>
          </w:p>
        </w:tc>
        <w:tc>
          <w:tcPr>
            <w:tcW w:w="1710" w:type="dxa"/>
            <w:vAlign w:val="center"/>
          </w:tcPr>
          <w:p w14:paraId="060E1157" w14:textId="77777777" w:rsidR="00EF36CC" w:rsidRPr="00EF36CC" w:rsidRDefault="00EF36CC" w:rsidP="005859DB">
            <w:pPr>
              <w:keepNext/>
              <w:keepLines/>
              <w:tabs>
                <w:tab w:val="left" w:pos="756"/>
              </w:tabs>
              <w:rPr>
                <w:rFonts w:asciiTheme="minorHAnsi" w:hAnsiTheme="minorHAnsi" w:cstheme="minorHAnsi"/>
              </w:rPr>
            </w:pPr>
            <w:r w:rsidRPr="00EF36CC">
              <w:rPr>
                <w:rFonts w:asciiTheme="minorHAnsi" w:hAnsiTheme="minorHAnsi" w:cstheme="minorHAnsi"/>
              </w:rPr>
              <w:t>Qualitative</w:t>
            </w:r>
          </w:p>
        </w:tc>
        <w:tc>
          <w:tcPr>
            <w:tcW w:w="5035" w:type="dxa"/>
            <w:vAlign w:val="center"/>
          </w:tcPr>
          <w:p w14:paraId="64BBDB05" w14:textId="77777777" w:rsidR="00EF36CC" w:rsidRPr="00EF36CC" w:rsidRDefault="00EF36CC" w:rsidP="005859DB">
            <w:pPr>
              <w:keepNext/>
              <w:keepLines/>
              <w:tabs>
                <w:tab w:val="left" w:pos="756"/>
              </w:tabs>
              <w:rPr>
                <w:rFonts w:asciiTheme="minorHAnsi" w:hAnsiTheme="minorHAnsi" w:cstheme="minorHAnsi"/>
              </w:rPr>
            </w:pPr>
            <w:r w:rsidRPr="00EF36CC">
              <w:rPr>
                <w:rFonts w:asciiTheme="minorHAnsi" w:hAnsiTheme="minorHAnsi" w:cstheme="minorHAnsi"/>
              </w:rPr>
              <w:t>LC</w:t>
            </w:r>
            <w:r w:rsidRPr="00EF36CC">
              <w:rPr>
                <w:rFonts w:asciiTheme="minorHAnsi" w:hAnsiTheme="minorHAnsi" w:cstheme="minorHAnsi"/>
                <w:vertAlign w:val="subscript"/>
              </w:rPr>
              <w:t>50</w:t>
            </w:r>
            <w:r w:rsidRPr="00EF36CC">
              <w:rPr>
                <w:rFonts w:asciiTheme="minorHAnsi" w:hAnsiTheme="minorHAnsi" w:cstheme="minorHAnsi"/>
              </w:rPr>
              <w:t xml:space="preserve"> extrapolated&gt;100X below lowest test concentration</w:t>
            </w:r>
          </w:p>
          <w:p w14:paraId="15CE334C" w14:textId="77777777" w:rsidR="00EF36CC" w:rsidRPr="00EF36CC" w:rsidRDefault="00EF36CC" w:rsidP="005859DB">
            <w:pPr>
              <w:keepNext/>
              <w:keepLines/>
              <w:tabs>
                <w:tab w:val="left" w:pos="756"/>
              </w:tabs>
              <w:rPr>
                <w:rFonts w:asciiTheme="minorHAnsi" w:hAnsiTheme="minorHAnsi" w:cstheme="minorHAnsi"/>
              </w:rPr>
            </w:pPr>
            <w:r w:rsidRPr="00EF36CC">
              <w:rPr>
                <w:rFonts w:asciiTheme="minorHAnsi" w:hAnsiTheme="minorHAnsi" w:cstheme="minorHAnsi"/>
              </w:rPr>
              <w:t>No analytical confirmation</w:t>
            </w:r>
          </w:p>
        </w:tc>
      </w:tr>
      <w:tr w:rsidR="00EF36CC" w:rsidRPr="00EF36CC" w14:paraId="22313C1D" w14:textId="77777777" w:rsidTr="002D6A6B">
        <w:tc>
          <w:tcPr>
            <w:tcW w:w="1525" w:type="dxa"/>
            <w:vAlign w:val="center"/>
          </w:tcPr>
          <w:p w14:paraId="711D3D40"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Frew 2013</w:t>
            </w:r>
          </w:p>
        </w:tc>
        <w:tc>
          <w:tcPr>
            <w:tcW w:w="1080" w:type="dxa"/>
            <w:vAlign w:val="center"/>
          </w:tcPr>
          <w:p w14:paraId="09C3C3AE"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E169170</w:t>
            </w:r>
          </w:p>
        </w:tc>
        <w:tc>
          <w:tcPr>
            <w:tcW w:w="1710" w:type="dxa"/>
            <w:vAlign w:val="center"/>
          </w:tcPr>
          <w:p w14:paraId="36368E67"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Quantitative</w:t>
            </w:r>
          </w:p>
        </w:tc>
        <w:tc>
          <w:tcPr>
            <w:tcW w:w="5035" w:type="dxa"/>
            <w:vAlign w:val="center"/>
          </w:tcPr>
          <w:p w14:paraId="6601D4FD"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Single replicate/treatment with only 5 individuals/replicate</w:t>
            </w:r>
          </w:p>
          <w:p w14:paraId="6F54EA5D"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No analytical confirmation</w:t>
            </w:r>
          </w:p>
          <w:p w14:paraId="27AFE6AD" w14:textId="7777777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rPr>
              <w:t>No ability to verify statistics</w:t>
            </w:r>
          </w:p>
        </w:tc>
      </w:tr>
    </w:tbl>
    <w:p w14:paraId="55DBE007" w14:textId="77777777" w:rsidR="00EF36CC" w:rsidRPr="00EF36CC" w:rsidRDefault="00EF36CC" w:rsidP="005859DB">
      <w:pPr>
        <w:tabs>
          <w:tab w:val="left" w:pos="756"/>
        </w:tabs>
        <w:rPr>
          <w:rFonts w:asciiTheme="minorHAnsi" w:hAnsiTheme="minorHAnsi" w:cstheme="minorHAnsi"/>
          <w:b/>
          <w:bCs/>
        </w:rPr>
      </w:pPr>
    </w:p>
    <w:p w14:paraId="6F2E4EEC" w14:textId="4866B77F"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t xml:space="preserve">EPA Response: </w:t>
      </w:r>
      <w:r w:rsidRPr="004A1C8A">
        <w:rPr>
          <w:rFonts w:asciiTheme="minorHAnsi" w:hAnsiTheme="minorHAnsi" w:cstheme="minorHAnsi"/>
          <w:i/>
          <w:iCs/>
        </w:rPr>
        <w:t>The two studies note</w:t>
      </w:r>
      <w:r w:rsidR="00667E61">
        <w:rPr>
          <w:rFonts w:asciiTheme="minorHAnsi" w:hAnsiTheme="minorHAnsi" w:cstheme="minorHAnsi"/>
          <w:i/>
          <w:iCs/>
        </w:rPr>
        <w:t>d</w:t>
      </w:r>
      <w:r w:rsidRPr="004A1C8A">
        <w:rPr>
          <w:rFonts w:asciiTheme="minorHAnsi" w:hAnsiTheme="minorHAnsi" w:cstheme="minorHAnsi"/>
          <w:i/>
          <w:iCs/>
        </w:rPr>
        <w:t xml:space="preserve"> above were not used to quantitatively estimate </w:t>
      </w:r>
      <w:r w:rsidR="00176100">
        <w:rPr>
          <w:rFonts w:asciiTheme="minorHAnsi" w:hAnsiTheme="minorHAnsi" w:cstheme="minorHAnsi"/>
          <w:i/>
          <w:iCs/>
        </w:rPr>
        <w:t>effects</w:t>
      </w:r>
      <w:r w:rsidR="00667E61">
        <w:rPr>
          <w:rFonts w:asciiTheme="minorHAnsi" w:hAnsiTheme="minorHAnsi" w:cstheme="minorHAnsi"/>
          <w:i/>
          <w:iCs/>
        </w:rPr>
        <w:t xml:space="preserve"> in EPA’s assessment, rather they were only included within the effects arrays</w:t>
      </w:r>
      <w:r w:rsidRPr="004A1C8A">
        <w:rPr>
          <w:rFonts w:asciiTheme="minorHAnsi" w:hAnsiTheme="minorHAnsi" w:cstheme="minorHAnsi"/>
          <w:i/>
          <w:iCs/>
        </w:rPr>
        <w:t xml:space="preserve">. </w:t>
      </w:r>
      <w:r w:rsidR="00667E61" w:rsidRPr="004A1C8A">
        <w:rPr>
          <w:rFonts w:asciiTheme="minorHAnsi" w:hAnsiTheme="minorHAnsi" w:cstheme="minorHAnsi"/>
          <w:i/>
          <w:iCs/>
        </w:rPr>
        <w:t>Studies specifically reported in effects arrays are not necessarily reviewed and classified. Arrays are built from any effects data available in the public ECOTOX database which are included based on meeting minimum criteria. Studies reviewed and classified are a subset of those in the ECOTOX database which may present more sensitive endpoints than established toxicity studies.</w:t>
      </w:r>
      <w:r w:rsidR="00667E61">
        <w:rPr>
          <w:rFonts w:asciiTheme="minorHAnsi" w:hAnsiTheme="minorHAnsi" w:cstheme="minorHAnsi"/>
          <w:i/>
          <w:iCs/>
        </w:rPr>
        <w:t xml:space="preserve"> </w:t>
      </w:r>
      <w:r w:rsidRPr="004A1C8A">
        <w:rPr>
          <w:rFonts w:asciiTheme="minorHAnsi" w:hAnsiTheme="minorHAnsi" w:cstheme="minorHAnsi"/>
          <w:i/>
          <w:iCs/>
        </w:rPr>
        <w:t xml:space="preserve">The Agency </w:t>
      </w:r>
      <w:r w:rsidR="005A3876">
        <w:rPr>
          <w:rFonts w:asciiTheme="minorHAnsi" w:hAnsiTheme="minorHAnsi" w:cstheme="minorHAnsi"/>
          <w:i/>
          <w:iCs/>
        </w:rPr>
        <w:t>may</w:t>
      </w:r>
      <w:r w:rsidRPr="004A1C8A">
        <w:rPr>
          <w:rFonts w:asciiTheme="minorHAnsi" w:hAnsiTheme="minorHAnsi" w:cstheme="minorHAnsi"/>
          <w:i/>
          <w:iCs/>
        </w:rPr>
        <w:t xml:space="preserve"> review and</w:t>
      </w:r>
      <w:r w:rsidR="00667E61">
        <w:rPr>
          <w:rFonts w:asciiTheme="minorHAnsi" w:hAnsiTheme="minorHAnsi" w:cstheme="minorHAnsi"/>
          <w:i/>
          <w:iCs/>
        </w:rPr>
        <w:t>,</w:t>
      </w:r>
      <w:r w:rsidRPr="004A1C8A">
        <w:rPr>
          <w:rFonts w:asciiTheme="minorHAnsi" w:hAnsiTheme="minorHAnsi" w:cstheme="minorHAnsi"/>
          <w:i/>
          <w:iCs/>
        </w:rPr>
        <w:t xml:space="preserve"> </w:t>
      </w:r>
      <w:r w:rsidR="00667E61">
        <w:rPr>
          <w:rFonts w:asciiTheme="minorHAnsi" w:hAnsiTheme="minorHAnsi" w:cstheme="minorHAnsi"/>
          <w:i/>
          <w:iCs/>
        </w:rPr>
        <w:t xml:space="preserve">if needed, </w:t>
      </w:r>
      <w:r w:rsidRPr="004A1C8A">
        <w:rPr>
          <w:rFonts w:asciiTheme="minorHAnsi" w:hAnsiTheme="minorHAnsi" w:cstheme="minorHAnsi"/>
          <w:i/>
          <w:iCs/>
        </w:rPr>
        <w:t xml:space="preserve">update the study classifications </w:t>
      </w:r>
      <w:r w:rsidR="00667E61">
        <w:rPr>
          <w:rFonts w:asciiTheme="minorHAnsi" w:hAnsiTheme="minorHAnsi" w:cstheme="minorHAnsi"/>
          <w:i/>
          <w:iCs/>
        </w:rPr>
        <w:t xml:space="preserve">for these studies </w:t>
      </w:r>
      <w:r w:rsidRPr="004A1C8A">
        <w:rPr>
          <w:rFonts w:asciiTheme="minorHAnsi" w:hAnsiTheme="minorHAnsi" w:cstheme="minorHAnsi"/>
          <w:i/>
          <w:iCs/>
        </w:rPr>
        <w:t>for future assessments</w:t>
      </w:r>
      <w:r w:rsidR="00154BCC">
        <w:rPr>
          <w:rFonts w:asciiTheme="minorHAnsi" w:hAnsiTheme="minorHAnsi" w:cstheme="minorHAnsi"/>
          <w:i/>
          <w:iCs/>
        </w:rPr>
        <w:t xml:space="preserve"> and consultation with the Services</w:t>
      </w:r>
      <w:r w:rsidR="00667E61">
        <w:rPr>
          <w:rFonts w:asciiTheme="minorHAnsi" w:hAnsiTheme="minorHAnsi" w:cstheme="minorHAnsi"/>
          <w:i/>
          <w:iCs/>
        </w:rPr>
        <w:t>.</w:t>
      </w:r>
      <w:r w:rsidRPr="004A1C8A">
        <w:rPr>
          <w:rFonts w:asciiTheme="minorHAnsi" w:hAnsiTheme="minorHAnsi" w:cstheme="minorHAnsi"/>
          <w:i/>
          <w:iCs/>
        </w:rPr>
        <w:t xml:space="preserve"> </w:t>
      </w:r>
    </w:p>
    <w:p w14:paraId="033DCAE9" w14:textId="77777777" w:rsidR="00EF36CC" w:rsidRDefault="00EF36CC" w:rsidP="005859DB">
      <w:pPr>
        <w:tabs>
          <w:tab w:val="left" w:pos="756"/>
        </w:tabs>
        <w:rPr>
          <w:rFonts w:asciiTheme="minorHAnsi" w:hAnsiTheme="minorHAnsi" w:cstheme="minorHAnsi"/>
          <w:b/>
          <w:bCs/>
        </w:rPr>
      </w:pPr>
    </w:p>
    <w:p w14:paraId="5E96A087" w14:textId="0FC42EC3"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t>Comment</w:t>
      </w:r>
      <w:r w:rsidRPr="00EF36CC">
        <w:rPr>
          <w:rFonts w:asciiTheme="minorHAnsi" w:hAnsiTheme="minorHAnsi" w:cstheme="minorHAnsi"/>
        </w:rPr>
        <w:t>: The following studies were used in either in SSDs or noted in the biological evaluation but not reviewed and given formal classifications</w:t>
      </w:r>
      <w:r w:rsidR="004A1C8A">
        <w:rPr>
          <w:rFonts w:asciiTheme="minorHAnsi" w:hAnsiTheme="minorHAnsi" w:cstheme="minorHAnsi"/>
        </w:rPr>
        <w:t>:</w:t>
      </w:r>
      <w:r w:rsidRPr="00EF36CC">
        <w:rPr>
          <w:rFonts w:asciiTheme="minorHAnsi" w:hAnsiTheme="minorHAnsi" w:cstheme="minorHAnsi"/>
        </w:rPr>
        <w:t xml:space="preserve"> E166568, E171489, E175427, E178290, E183047, E183503, E183458, E102186 E184007, E184011, E184033, E184567, E184283, E184087 (</w:t>
      </w:r>
      <w:r w:rsidR="00DC3C60">
        <w:rPr>
          <w:rFonts w:asciiTheme="minorHAnsi" w:hAnsiTheme="minorHAnsi" w:cstheme="minorHAnsi"/>
        </w:rPr>
        <w:t>commenter</w:t>
      </w:r>
      <w:r w:rsidRPr="00EF36CC">
        <w:rPr>
          <w:rFonts w:asciiTheme="minorHAnsi" w:hAnsiTheme="minorHAnsi" w:cstheme="minorHAnsi"/>
        </w:rPr>
        <w:t xml:space="preserve"> notes E184007 should be invalid due to close dose spacing and no analytical verification).</w:t>
      </w:r>
    </w:p>
    <w:p w14:paraId="69BFD63B" w14:textId="77777777" w:rsidR="00EF36CC" w:rsidRDefault="00EF36CC" w:rsidP="005859DB">
      <w:pPr>
        <w:tabs>
          <w:tab w:val="left" w:pos="756"/>
        </w:tabs>
        <w:rPr>
          <w:rFonts w:asciiTheme="minorHAnsi" w:hAnsiTheme="minorHAnsi" w:cstheme="minorHAnsi"/>
          <w:b/>
          <w:bCs/>
        </w:rPr>
      </w:pPr>
    </w:p>
    <w:p w14:paraId="5399515B" w14:textId="79ACD2C9"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lastRenderedPageBreak/>
        <w:t>EPA Response</w:t>
      </w:r>
      <w:r w:rsidRPr="00EF36CC">
        <w:rPr>
          <w:rFonts w:asciiTheme="minorHAnsi" w:hAnsiTheme="minorHAnsi" w:cstheme="minorHAnsi"/>
        </w:rPr>
        <w:t xml:space="preserve">: </w:t>
      </w:r>
      <w:r w:rsidRPr="004A1C8A">
        <w:rPr>
          <w:rFonts w:asciiTheme="minorHAnsi" w:hAnsiTheme="minorHAnsi" w:cstheme="minorHAnsi"/>
          <w:i/>
          <w:iCs/>
        </w:rPr>
        <w:t xml:space="preserve">Where enough data are available to compile an SSD, for efficiency and time constraints not every study in the distribution is reviewed and classified. Studies close to certain percentiles used to orient the data </w:t>
      </w:r>
      <w:r w:rsidR="00667E61" w:rsidRPr="004A1C8A">
        <w:rPr>
          <w:rFonts w:asciiTheme="minorHAnsi" w:hAnsiTheme="minorHAnsi" w:cstheme="minorHAnsi"/>
          <w:i/>
          <w:iCs/>
        </w:rPr>
        <w:t>(</w:t>
      </w:r>
      <w:r w:rsidR="00667E61" w:rsidRPr="00722C48">
        <w:rPr>
          <w:rFonts w:asciiTheme="minorHAnsi" w:hAnsiTheme="minorHAnsi" w:cstheme="minorHAnsi"/>
        </w:rPr>
        <w:t>e.g</w:t>
      </w:r>
      <w:r w:rsidR="00667E61" w:rsidRPr="004A1C8A">
        <w:rPr>
          <w:rFonts w:asciiTheme="minorHAnsi" w:hAnsiTheme="minorHAnsi" w:cstheme="minorHAnsi"/>
          <w:i/>
          <w:iCs/>
        </w:rPr>
        <w:t>.</w:t>
      </w:r>
      <w:r w:rsidR="009C0263">
        <w:rPr>
          <w:rFonts w:asciiTheme="minorHAnsi" w:hAnsiTheme="minorHAnsi" w:cstheme="minorHAnsi"/>
          <w:i/>
          <w:iCs/>
        </w:rPr>
        <w:t>,</w:t>
      </w:r>
      <w:r w:rsidR="00667E61" w:rsidRPr="004A1C8A">
        <w:rPr>
          <w:rFonts w:asciiTheme="minorHAnsi" w:hAnsiTheme="minorHAnsi" w:cstheme="minorHAnsi"/>
          <w:i/>
          <w:iCs/>
        </w:rPr>
        <w:t xml:space="preserve"> data near the 5</w:t>
      </w:r>
      <w:r w:rsidR="00667E61" w:rsidRPr="00FE7FE2">
        <w:rPr>
          <w:rFonts w:asciiTheme="minorHAnsi" w:hAnsiTheme="minorHAnsi" w:cstheme="minorHAnsi"/>
          <w:i/>
          <w:iCs/>
          <w:vertAlign w:val="superscript"/>
        </w:rPr>
        <w:t>th</w:t>
      </w:r>
      <w:r w:rsidR="00667E61" w:rsidRPr="004A1C8A">
        <w:rPr>
          <w:rFonts w:asciiTheme="minorHAnsi" w:hAnsiTheme="minorHAnsi" w:cstheme="minorHAnsi"/>
          <w:i/>
          <w:iCs/>
        </w:rPr>
        <w:t>, 25</w:t>
      </w:r>
      <w:r w:rsidR="00667E61" w:rsidRPr="004A1C8A">
        <w:rPr>
          <w:rFonts w:asciiTheme="minorHAnsi" w:hAnsiTheme="minorHAnsi" w:cstheme="minorHAnsi"/>
          <w:i/>
          <w:iCs/>
          <w:vertAlign w:val="superscript"/>
        </w:rPr>
        <w:t>th</w:t>
      </w:r>
      <w:r w:rsidR="00667E61" w:rsidRPr="004A1C8A">
        <w:rPr>
          <w:rFonts w:asciiTheme="minorHAnsi" w:hAnsiTheme="minorHAnsi" w:cstheme="minorHAnsi"/>
          <w:i/>
          <w:iCs/>
        </w:rPr>
        <w:t>, 50</w:t>
      </w:r>
      <w:r w:rsidR="00667E61" w:rsidRPr="004A1C8A">
        <w:rPr>
          <w:rFonts w:asciiTheme="minorHAnsi" w:hAnsiTheme="minorHAnsi" w:cstheme="minorHAnsi"/>
          <w:i/>
          <w:iCs/>
          <w:vertAlign w:val="superscript"/>
        </w:rPr>
        <w:t>th</w:t>
      </w:r>
      <w:r w:rsidR="00667E61" w:rsidRPr="004A1C8A">
        <w:rPr>
          <w:rFonts w:asciiTheme="minorHAnsi" w:hAnsiTheme="minorHAnsi" w:cstheme="minorHAnsi"/>
          <w:i/>
          <w:iCs/>
        </w:rPr>
        <w:t>, 75</w:t>
      </w:r>
      <w:r w:rsidR="00667E61" w:rsidRPr="004A1C8A">
        <w:rPr>
          <w:rFonts w:asciiTheme="minorHAnsi" w:hAnsiTheme="minorHAnsi" w:cstheme="minorHAnsi"/>
          <w:i/>
          <w:iCs/>
          <w:vertAlign w:val="superscript"/>
        </w:rPr>
        <w:t>th</w:t>
      </w:r>
      <w:r w:rsidR="00667E61" w:rsidRPr="004A1C8A">
        <w:rPr>
          <w:rFonts w:asciiTheme="minorHAnsi" w:hAnsiTheme="minorHAnsi" w:cstheme="minorHAnsi"/>
          <w:i/>
          <w:iCs/>
        </w:rPr>
        <w:t xml:space="preserve"> percentiles)</w:t>
      </w:r>
      <w:r w:rsidR="00667E61">
        <w:rPr>
          <w:rFonts w:asciiTheme="minorHAnsi" w:hAnsiTheme="minorHAnsi" w:cstheme="minorHAnsi"/>
          <w:i/>
          <w:iCs/>
        </w:rPr>
        <w:t xml:space="preserve"> </w:t>
      </w:r>
      <w:r w:rsidRPr="004A1C8A">
        <w:rPr>
          <w:rFonts w:asciiTheme="minorHAnsi" w:hAnsiTheme="minorHAnsi" w:cstheme="minorHAnsi"/>
          <w:i/>
          <w:iCs/>
        </w:rPr>
        <w:t xml:space="preserve">are reviewed and classified for use in the biological evaluation. Regarding E184407, if this study were to be used quantitatively to estimate </w:t>
      </w:r>
      <w:r w:rsidR="00176100">
        <w:rPr>
          <w:rFonts w:asciiTheme="minorHAnsi" w:hAnsiTheme="minorHAnsi" w:cstheme="minorHAnsi"/>
          <w:i/>
          <w:iCs/>
        </w:rPr>
        <w:t>potential effects to listed species</w:t>
      </w:r>
      <w:r w:rsidRPr="004A1C8A" w:rsidDel="00C005F9">
        <w:rPr>
          <w:rFonts w:asciiTheme="minorHAnsi" w:hAnsiTheme="minorHAnsi" w:cstheme="minorHAnsi"/>
          <w:i/>
          <w:iCs/>
        </w:rPr>
        <w:t xml:space="preserve">, </w:t>
      </w:r>
      <w:r w:rsidRPr="004A1C8A">
        <w:rPr>
          <w:rFonts w:asciiTheme="minorHAnsi" w:hAnsiTheme="minorHAnsi" w:cstheme="minorHAnsi"/>
          <w:i/>
          <w:iCs/>
        </w:rPr>
        <w:t xml:space="preserve">the Agency </w:t>
      </w:r>
      <w:r w:rsidR="009C0263">
        <w:rPr>
          <w:rFonts w:asciiTheme="minorHAnsi" w:hAnsiTheme="minorHAnsi" w:cstheme="minorHAnsi"/>
          <w:i/>
          <w:iCs/>
        </w:rPr>
        <w:t xml:space="preserve">would </w:t>
      </w:r>
      <w:r w:rsidR="00667E61">
        <w:rPr>
          <w:rFonts w:asciiTheme="minorHAnsi" w:hAnsiTheme="minorHAnsi" w:cstheme="minorHAnsi"/>
          <w:i/>
          <w:iCs/>
        </w:rPr>
        <w:t xml:space="preserve">further review </w:t>
      </w:r>
      <w:r w:rsidRPr="004A1C8A">
        <w:rPr>
          <w:rFonts w:asciiTheme="minorHAnsi" w:hAnsiTheme="minorHAnsi" w:cstheme="minorHAnsi"/>
          <w:i/>
          <w:iCs/>
        </w:rPr>
        <w:t xml:space="preserve">and </w:t>
      </w:r>
      <w:r w:rsidR="00667E61">
        <w:rPr>
          <w:rFonts w:asciiTheme="minorHAnsi" w:hAnsiTheme="minorHAnsi" w:cstheme="minorHAnsi"/>
          <w:i/>
          <w:iCs/>
        </w:rPr>
        <w:t xml:space="preserve">provide a classification for </w:t>
      </w:r>
      <w:r w:rsidR="009C0263">
        <w:rPr>
          <w:rFonts w:asciiTheme="minorHAnsi" w:hAnsiTheme="minorHAnsi" w:cstheme="minorHAnsi"/>
          <w:i/>
          <w:iCs/>
        </w:rPr>
        <w:t>it.</w:t>
      </w:r>
    </w:p>
    <w:p w14:paraId="0039FB4F" w14:textId="77777777" w:rsidR="00EF36CC" w:rsidRDefault="00EF36CC" w:rsidP="005859DB">
      <w:pPr>
        <w:tabs>
          <w:tab w:val="left" w:pos="756"/>
        </w:tabs>
        <w:rPr>
          <w:rFonts w:asciiTheme="minorHAnsi" w:hAnsiTheme="minorHAnsi" w:cstheme="minorHAnsi"/>
          <w:b/>
          <w:bCs/>
        </w:rPr>
      </w:pPr>
    </w:p>
    <w:p w14:paraId="3BD2E2A1" w14:textId="3993A388" w:rsidR="00EF36CC" w:rsidRPr="00EF36CC" w:rsidRDefault="00EF36CC" w:rsidP="005859DB">
      <w:pPr>
        <w:tabs>
          <w:tab w:val="left" w:pos="756"/>
        </w:tabs>
        <w:rPr>
          <w:rFonts w:asciiTheme="minorHAnsi" w:hAnsiTheme="minorHAnsi" w:cstheme="minorHAnsi"/>
          <w:b/>
          <w:bCs/>
          <w:i/>
          <w:iCs/>
        </w:rPr>
      </w:pPr>
      <w:r w:rsidRPr="00EF36CC">
        <w:rPr>
          <w:rFonts w:asciiTheme="minorHAnsi" w:hAnsiTheme="minorHAnsi" w:cstheme="minorHAnsi"/>
          <w:b/>
          <w:bCs/>
        </w:rPr>
        <w:t xml:space="preserve">Comment: </w:t>
      </w:r>
      <w:r w:rsidRPr="00EF36CC">
        <w:rPr>
          <w:rFonts w:asciiTheme="minorHAnsi" w:hAnsiTheme="minorHAnsi" w:cstheme="minorHAnsi"/>
        </w:rPr>
        <w:t xml:space="preserve">The </w:t>
      </w:r>
      <w:r w:rsidR="00DC3C60">
        <w:rPr>
          <w:rFonts w:asciiTheme="minorHAnsi" w:hAnsiTheme="minorHAnsi" w:cstheme="minorHAnsi"/>
        </w:rPr>
        <w:t>commenter</w:t>
      </w:r>
      <w:r w:rsidRPr="00EF36CC">
        <w:rPr>
          <w:rFonts w:asciiTheme="minorHAnsi" w:hAnsiTheme="minorHAnsi" w:cstheme="minorHAnsi"/>
        </w:rPr>
        <w:t xml:space="preserve"> notes in the study </w:t>
      </w:r>
      <w:proofErr w:type="spellStart"/>
      <w:r w:rsidRPr="00EF36CC">
        <w:rPr>
          <w:rFonts w:asciiTheme="minorHAnsi" w:hAnsiTheme="minorHAnsi" w:cstheme="minorHAnsi"/>
        </w:rPr>
        <w:t>Roessink</w:t>
      </w:r>
      <w:proofErr w:type="spellEnd"/>
      <w:r w:rsidRPr="00EF36CC">
        <w:rPr>
          <w:rFonts w:asciiTheme="minorHAnsi" w:hAnsiTheme="minorHAnsi" w:cstheme="minorHAnsi"/>
        </w:rPr>
        <w:t xml:space="preserve"> </w:t>
      </w:r>
      <w:r w:rsidRPr="00FE7FE2">
        <w:rPr>
          <w:rFonts w:asciiTheme="minorHAnsi" w:hAnsiTheme="minorHAnsi" w:cstheme="minorHAnsi"/>
        </w:rPr>
        <w:t>2013 (E166772)</w:t>
      </w:r>
      <w:r w:rsidRPr="00FE7FE2">
        <w:rPr>
          <w:rFonts w:asciiTheme="minorHAnsi" w:hAnsiTheme="minorHAnsi" w:cstheme="minorHAnsi"/>
          <w:b/>
          <w:bCs/>
        </w:rPr>
        <w:t xml:space="preserve">: </w:t>
      </w:r>
      <w:r w:rsidR="00FE7FE2">
        <w:rPr>
          <w:rFonts w:asciiTheme="minorHAnsi" w:hAnsiTheme="minorHAnsi" w:cstheme="minorHAnsi"/>
          <w:b/>
          <w:bCs/>
        </w:rPr>
        <w:t>“</w:t>
      </w:r>
      <w:r w:rsidRPr="00FE7FE2">
        <w:rPr>
          <w:rFonts w:asciiTheme="minorHAnsi" w:hAnsiTheme="minorHAnsi" w:cstheme="minorHAnsi"/>
        </w:rPr>
        <w:t>if immobility and mortality data are available from same test, the endpoint should be based on mortality.</w:t>
      </w:r>
      <w:r w:rsidR="00FE7FE2">
        <w:rPr>
          <w:rFonts w:asciiTheme="minorHAnsi" w:hAnsiTheme="minorHAnsi" w:cstheme="minorHAnsi"/>
          <w:i/>
          <w:iCs/>
        </w:rPr>
        <w:t>“</w:t>
      </w:r>
    </w:p>
    <w:p w14:paraId="56F5D48A" w14:textId="77777777" w:rsidR="00EF36CC" w:rsidRDefault="00EF36CC" w:rsidP="005859DB">
      <w:pPr>
        <w:tabs>
          <w:tab w:val="left" w:pos="756"/>
        </w:tabs>
        <w:rPr>
          <w:rFonts w:asciiTheme="minorHAnsi" w:hAnsiTheme="minorHAnsi" w:cstheme="minorHAnsi"/>
          <w:b/>
          <w:bCs/>
        </w:rPr>
      </w:pPr>
    </w:p>
    <w:p w14:paraId="244D1AC6" w14:textId="72508B37" w:rsidR="00EF36CC" w:rsidRPr="00EF36CC" w:rsidRDefault="00EF36CC" w:rsidP="005859DB">
      <w:pPr>
        <w:tabs>
          <w:tab w:val="left" w:pos="756"/>
        </w:tabs>
        <w:rPr>
          <w:rFonts w:asciiTheme="minorHAnsi" w:hAnsiTheme="minorHAnsi" w:cstheme="minorHAnsi"/>
        </w:rPr>
      </w:pPr>
      <w:r w:rsidRPr="00EF36CC">
        <w:rPr>
          <w:rFonts w:asciiTheme="minorHAnsi" w:hAnsiTheme="minorHAnsi" w:cstheme="minorHAnsi"/>
          <w:b/>
          <w:bCs/>
        </w:rPr>
        <w:t>EPA Response</w:t>
      </w:r>
      <w:r w:rsidRPr="00EF36CC">
        <w:rPr>
          <w:rFonts w:asciiTheme="minorHAnsi" w:hAnsiTheme="minorHAnsi" w:cstheme="minorHAnsi"/>
        </w:rPr>
        <w:t xml:space="preserve">: </w:t>
      </w:r>
      <w:r w:rsidRPr="00FE7FE2">
        <w:rPr>
          <w:rFonts w:asciiTheme="minorHAnsi" w:hAnsiTheme="minorHAnsi" w:cstheme="minorHAnsi"/>
          <w:i/>
          <w:iCs/>
        </w:rPr>
        <w:t xml:space="preserve">In the </w:t>
      </w:r>
      <w:r w:rsidR="001D5359">
        <w:rPr>
          <w:rFonts w:asciiTheme="minorHAnsi" w:hAnsiTheme="minorHAnsi" w:cstheme="minorHAnsi"/>
          <w:i/>
          <w:iCs/>
        </w:rPr>
        <w:t>BE,</w:t>
      </w:r>
      <w:r w:rsidRPr="00FE7FE2">
        <w:rPr>
          <w:rFonts w:asciiTheme="minorHAnsi" w:hAnsiTheme="minorHAnsi" w:cstheme="minorHAnsi"/>
          <w:i/>
          <w:iCs/>
        </w:rPr>
        <w:t xml:space="preserve"> these data were not used quantitatively to estimate </w:t>
      </w:r>
      <w:r w:rsidR="00176100">
        <w:rPr>
          <w:rFonts w:asciiTheme="minorHAnsi" w:hAnsiTheme="minorHAnsi" w:cstheme="minorHAnsi"/>
          <w:i/>
          <w:iCs/>
        </w:rPr>
        <w:t>potential effects to listed species</w:t>
      </w:r>
      <w:r w:rsidRPr="00FE7FE2">
        <w:rPr>
          <w:rFonts w:asciiTheme="minorHAnsi" w:hAnsiTheme="minorHAnsi" w:cstheme="minorHAnsi"/>
          <w:i/>
          <w:iCs/>
        </w:rPr>
        <w:t xml:space="preserve">. Additionally, these data are from a formulation and TGAI data from Raby were available and used as the most sensitive endpoints. </w:t>
      </w:r>
      <w:r w:rsidR="00B22576">
        <w:rPr>
          <w:rFonts w:asciiTheme="minorHAnsi" w:hAnsiTheme="minorHAnsi" w:cstheme="minorHAnsi"/>
          <w:i/>
          <w:iCs/>
        </w:rPr>
        <w:t>Finally</w:t>
      </w:r>
      <w:r w:rsidRPr="00FE7FE2">
        <w:rPr>
          <w:rFonts w:asciiTheme="minorHAnsi" w:hAnsiTheme="minorHAnsi" w:cstheme="minorHAnsi"/>
          <w:i/>
          <w:iCs/>
        </w:rPr>
        <w:t>, correspondence with the study author, although not specifically used for an endpoint, indicated immobility was followed by mortality and the Agency believes the endpoint reported in the BE is appropriate</w:t>
      </w:r>
      <w:r w:rsidR="001F6777">
        <w:rPr>
          <w:rFonts w:asciiTheme="minorHAnsi" w:hAnsiTheme="minorHAnsi" w:cstheme="minorHAnsi"/>
          <w:i/>
          <w:iCs/>
        </w:rPr>
        <w:t xml:space="preserve"> </w:t>
      </w:r>
      <w:r w:rsidR="00B22576">
        <w:rPr>
          <w:rFonts w:asciiTheme="minorHAnsi" w:hAnsiTheme="minorHAnsi" w:cstheme="minorHAnsi"/>
          <w:i/>
          <w:iCs/>
        </w:rPr>
        <w:t xml:space="preserve">as it captures what </w:t>
      </w:r>
      <w:proofErr w:type="gramStart"/>
      <w:r w:rsidR="00B22576">
        <w:rPr>
          <w:rFonts w:asciiTheme="minorHAnsi" w:hAnsiTheme="minorHAnsi" w:cstheme="minorHAnsi"/>
          <w:i/>
          <w:iCs/>
        </w:rPr>
        <w:t>is considered to be</w:t>
      </w:r>
      <w:proofErr w:type="gramEnd"/>
      <w:r w:rsidR="00B22576">
        <w:rPr>
          <w:rFonts w:asciiTheme="minorHAnsi" w:hAnsiTheme="minorHAnsi" w:cstheme="minorHAnsi"/>
          <w:i/>
          <w:iCs/>
        </w:rPr>
        <w:t xml:space="preserve"> an apical level endpoint.</w:t>
      </w:r>
    </w:p>
    <w:bookmarkEnd w:id="54"/>
    <w:p w14:paraId="65E81C92" w14:textId="77777777" w:rsidR="00EF36CC" w:rsidRDefault="00EF36CC" w:rsidP="005859DB">
      <w:pPr>
        <w:tabs>
          <w:tab w:val="left" w:pos="756"/>
        </w:tabs>
        <w:rPr>
          <w:rFonts w:asciiTheme="minorHAnsi" w:hAnsiTheme="minorHAnsi" w:cstheme="minorHAnsi"/>
        </w:rPr>
      </w:pPr>
    </w:p>
    <w:p w14:paraId="36E93BBC" w14:textId="5C34F84F" w:rsidR="00FE7FE2" w:rsidRPr="006A78F6" w:rsidRDefault="00FE7FE2" w:rsidP="005859DB">
      <w:pPr>
        <w:pStyle w:val="Default"/>
        <w:rPr>
          <w:rFonts w:asciiTheme="minorHAnsi" w:hAnsiTheme="minorHAnsi" w:cstheme="minorHAnsi"/>
          <w:sz w:val="22"/>
          <w:szCs w:val="22"/>
        </w:rPr>
      </w:pPr>
      <w:r w:rsidRPr="00721481">
        <w:rPr>
          <w:rFonts w:asciiTheme="minorHAnsi" w:hAnsiTheme="minorHAnsi" w:cstheme="minorHAnsi"/>
          <w:b/>
          <w:bCs/>
          <w:sz w:val="22"/>
          <w:szCs w:val="22"/>
        </w:rPr>
        <w:t>Comment:</w:t>
      </w:r>
      <w:r w:rsidRPr="00721481">
        <w:rPr>
          <w:rFonts w:asciiTheme="minorHAnsi" w:hAnsiTheme="minorHAnsi" w:cstheme="minorHAnsi"/>
          <w:sz w:val="22"/>
          <w:szCs w:val="22"/>
        </w:rPr>
        <w:t xml:space="preserve"> </w:t>
      </w:r>
      <w:r w:rsidRPr="006A78F6">
        <w:rPr>
          <w:rFonts w:asciiTheme="minorHAnsi" w:hAnsiTheme="minorHAnsi" w:cstheme="minorHAnsi"/>
          <w:sz w:val="22"/>
          <w:szCs w:val="22"/>
        </w:rPr>
        <w:t xml:space="preserve">EPA study evaluations and classifications are missing for 14 studies presented in </w:t>
      </w:r>
      <w:r w:rsidRPr="002F6C95">
        <w:rPr>
          <w:rFonts w:asciiTheme="minorHAnsi" w:hAnsiTheme="minorHAnsi" w:cstheme="minorHAnsi"/>
          <w:b/>
          <w:bCs/>
          <w:sz w:val="22"/>
          <w:szCs w:val="22"/>
        </w:rPr>
        <w:t>Chapter 2</w:t>
      </w:r>
      <w:r w:rsidRPr="006A78F6">
        <w:rPr>
          <w:rFonts w:asciiTheme="minorHAnsi" w:hAnsiTheme="minorHAnsi" w:cstheme="minorHAnsi"/>
          <w:sz w:val="22"/>
          <w:szCs w:val="22"/>
        </w:rPr>
        <w:t xml:space="preserve"> effects arrays, seven of which were used in the establishment of aquatic invertebrate effects thresholds. To ensure scientific credibility and comply with Agency commitments to transparency, EPA must address these missing study evaluations.</w:t>
      </w:r>
    </w:p>
    <w:p w14:paraId="2CA56A46" w14:textId="6237C880" w:rsidR="00FE7FE2" w:rsidRDefault="00FE7FE2" w:rsidP="005859DB">
      <w:pPr>
        <w:pStyle w:val="Default"/>
        <w:rPr>
          <w:rFonts w:asciiTheme="minorHAnsi" w:hAnsiTheme="minorHAnsi" w:cstheme="minorHAnsi"/>
          <w:sz w:val="22"/>
          <w:szCs w:val="22"/>
        </w:rPr>
      </w:pPr>
    </w:p>
    <w:p w14:paraId="1113C360" w14:textId="11982513" w:rsidR="001938B3" w:rsidRPr="001938B3" w:rsidRDefault="001938B3" w:rsidP="005859DB">
      <w:pPr>
        <w:keepNext/>
        <w:keepLines/>
        <w:tabs>
          <w:tab w:val="left" w:pos="756"/>
        </w:tabs>
        <w:rPr>
          <w:rFonts w:asciiTheme="minorHAnsi" w:hAnsiTheme="minorHAnsi" w:cstheme="minorHAnsi"/>
          <w:b/>
          <w:bCs/>
        </w:rPr>
      </w:pPr>
      <w:bookmarkStart w:id="57" w:name="_Hlk101302278"/>
      <w:r>
        <w:rPr>
          <w:rFonts w:asciiTheme="minorHAnsi" w:hAnsiTheme="minorHAnsi" w:cstheme="minorHAnsi"/>
          <w:b/>
          <w:bCs/>
        </w:rPr>
        <w:t>Table 3-</w:t>
      </w:r>
      <w:r w:rsidR="00424558">
        <w:rPr>
          <w:rFonts w:asciiTheme="minorHAnsi" w:hAnsiTheme="minorHAnsi" w:cstheme="minorHAnsi"/>
          <w:b/>
          <w:bCs/>
        </w:rPr>
        <w:t>4</w:t>
      </w:r>
      <w:r>
        <w:rPr>
          <w:rFonts w:asciiTheme="minorHAnsi" w:hAnsiTheme="minorHAnsi" w:cstheme="minorHAnsi"/>
          <w:b/>
          <w:bCs/>
        </w:rPr>
        <w:t>. M</w:t>
      </w:r>
      <w:r w:rsidR="00424558">
        <w:rPr>
          <w:rFonts w:asciiTheme="minorHAnsi" w:hAnsiTheme="minorHAnsi" w:cstheme="minorHAnsi"/>
          <w:b/>
          <w:bCs/>
        </w:rPr>
        <w:t>issing</w:t>
      </w:r>
      <w:r>
        <w:rPr>
          <w:rFonts w:asciiTheme="minorHAnsi" w:hAnsiTheme="minorHAnsi" w:cstheme="minorHAnsi"/>
          <w:b/>
          <w:bCs/>
        </w:rPr>
        <w:t xml:space="preserve"> </w:t>
      </w:r>
      <w:proofErr w:type="spellStart"/>
      <w:r>
        <w:rPr>
          <w:rFonts w:asciiTheme="minorHAnsi" w:hAnsiTheme="minorHAnsi" w:cstheme="minorHAnsi"/>
          <w:b/>
          <w:bCs/>
        </w:rPr>
        <w:t>Ecotox</w:t>
      </w:r>
      <w:proofErr w:type="spellEnd"/>
      <w:r>
        <w:rPr>
          <w:rFonts w:asciiTheme="minorHAnsi" w:hAnsiTheme="minorHAnsi" w:cstheme="minorHAnsi"/>
          <w:b/>
          <w:bCs/>
        </w:rPr>
        <w:t xml:space="preserve"> Study </w:t>
      </w:r>
      <w:r w:rsidR="00424558">
        <w:rPr>
          <w:rFonts w:asciiTheme="minorHAnsi" w:hAnsiTheme="minorHAnsi" w:cstheme="minorHAnsi"/>
          <w:b/>
          <w:bCs/>
        </w:rPr>
        <w:t>Evaluations</w:t>
      </w:r>
    </w:p>
    <w:tbl>
      <w:tblPr>
        <w:tblW w:w="0" w:type="auto"/>
        <w:tblInd w:w="100" w:type="dxa"/>
        <w:tblLayout w:type="fixed"/>
        <w:tblCellMar>
          <w:left w:w="0" w:type="dxa"/>
          <w:right w:w="0" w:type="dxa"/>
        </w:tblCellMar>
        <w:tblLook w:val="0000" w:firstRow="0" w:lastRow="0" w:firstColumn="0" w:lastColumn="0" w:noHBand="0" w:noVBand="0"/>
      </w:tblPr>
      <w:tblGrid>
        <w:gridCol w:w="1871"/>
        <w:gridCol w:w="1869"/>
        <w:gridCol w:w="1869"/>
        <w:gridCol w:w="1870"/>
        <w:gridCol w:w="1869"/>
      </w:tblGrid>
      <w:tr w:rsidR="00FE7FE2" w:rsidRPr="00721481" w14:paraId="7F961244" w14:textId="77777777" w:rsidTr="001E5830">
        <w:trPr>
          <w:trHeight w:val="395"/>
          <w:tblHeader/>
        </w:trPr>
        <w:tc>
          <w:tcPr>
            <w:tcW w:w="1871" w:type="dxa"/>
            <w:tcBorders>
              <w:top w:val="single" w:sz="4" w:space="0" w:color="000000"/>
              <w:left w:val="single" w:sz="4" w:space="0" w:color="000000"/>
              <w:bottom w:val="single" w:sz="4" w:space="0" w:color="000000"/>
              <w:right w:val="single" w:sz="4" w:space="0" w:color="000000"/>
            </w:tcBorders>
            <w:vAlign w:val="center"/>
          </w:tcPr>
          <w:bookmarkEnd w:id="57"/>
          <w:p w14:paraId="60EAC423" w14:textId="77777777" w:rsidR="00FE7FE2" w:rsidRPr="006A78F6" w:rsidRDefault="00FE7FE2" w:rsidP="005859DB">
            <w:pPr>
              <w:pStyle w:val="Default"/>
              <w:rPr>
                <w:rFonts w:asciiTheme="minorHAnsi" w:hAnsiTheme="minorHAnsi" w:cstheme="minorHAnsi"/>
                <w:b/>
                <w:sz w:val="22"/>
                <w:szCs w:val="22"/>
              </w:rPr>
            </w:pPr>
            <w:r w:rsidRPr="006A78F6">
              <w:rPr>
                <w:rFonts w:asciiTheme="minorHAnsi" w:hAnsiTheme="minorHAnsi" w:cstheme="minorHAnsi"/>
                <w:b/>
                <w:sz w:val="22"/>
                <w:szCs w:val="22"/>
              </w:rPr>
              <w:t>Study</w:t>
            </w:r>
          </w:p>
        </w:tc>
        <w:tc>
          <w:tcPr>
            <w:tcW w:w="1869" w:type="dxa"/>
            <w:tcBorders>
              <w:top w:val="single" w:sz="4" w:space="0" w:color="000000"/>
              <w:left w:val="single" w:sz="4" w:space="0" w:color="000000"/>
              <w:bottom w:val="single" w:sz="4" w:space="0" w:color="000000"/>
              <w:right w:val="single" w:sz="4" w:space="0" w:color="000000"/>
            </w:tcBorders>
            <w:vAlign w:val="center"/>
          </w:tcPr>
          <w:p w14:paraId="29736236" w14:textId="77777777" w:rsidR="00FE7FE2" w:rsidRPr="006A78F6" w:rsidRDefault="00FE7FE2" w:rsidP="005859DB">
            <w:pPr>
              <w:pStyle w:val="Default"/>
              <w:rPr>
                <w:rFonts w:asciiTheme="minorHAnsi" w:hAnsiTheme="minorHAnsi" w:cstheme="minorHAnsi"/>
                <w:b/>
                <w:sz w:val="22"/>
                <w:szCs w:val="22"/>
              </w:rPr>
            </w:pPr>
            <w:r w:rsidRPr="006A78F6">
              <w:rPr>
                <w:rFonts w:asciiTheme="minorHAnsi" w:hAnsiTheme="minorHAnsi" w:cstheme="minorHAnsi"/>
                <w:b/>
                <w:sz w:val="22"/>
                <w:szCs w:val="22"/>
              </w:rPr>
              <w:t>Included in Appendix 2-2</w:t>
            </w:r>
          </w:p>
        </w:tc>
        <w:tc>
          <w:tcPr>
            <w:tcW w:w="1869" w:type="dxa"/>
            <w:tcBorders>
              <w:top w:val="single" w:sz="4" w:space="0" w:color="000000"/>
              <w:left w:val="single" w:sz="4" w:space="0" w:color="000000"/>
              <w:bottom w:val="single" w:sz="4" w:space="0" w:color="000000"/>
              <w:right w:val="single" w:sz="4" w:space="0" w:color="000000"/>
            </w:tcBorders>
            <w:vAlign w:val="center"/>
          </w:tcPr>
          <w:p w14:paraId="4A8B6FE2" w14:textId="77777777" w:rsidR="00FE7FE2" w:rsidRPr="006A78F6" w:rsidRDefault="00FE7FE2" w:rsidP="005859DB">
            <w:pPr>
              <w:pStyle w:val="Default"/>
              <w:rPr>
                <w:rFonts w:asciiTheme="minorHAnsi" w:hAnsiTheme="minorHAnsi" w:cstheme="minorHAnsi"/>
                <w:b/>
                <w:sz w:val="22"/>
                <w:szCs w:val="22"/>
              </w:rPr>
            </w:pPr>
            <w:r w:rsidRPr="006A78F6">
              <w:rPr>
                <w:rFonts w:asciiTheme="minorHAnsi" w:hAnsiTheme="minorHAnsi" w:cstheme="minorHAnsi"/>
                <w:b/>
                <w:sz w:val="22"/>
                <w:szCs w:val="22"/>
              </w:rPr>
              <w:t>Included in Chapter 2 effects array</w:t>
            </w:r>
          </w:p>
        </w:tc>
        <w:tc>
          <w:tcPr>
            <w:tcW w:w="1870" w:type="dxa"/>
            <w:tcBorders>
              <w:top w:val="single" w:sz="4" w:space="0" w:color="000000"/>
              <w:left w:val="single" w:sz="4" w:space="0" w:color="000000"/>
              <w:bottom w:val="single" w:sz="4" w:space="0" w:color="000000"/>
              <w:right w:val="single" w:sz="4" w:space="0" w:color="000000"/>
            </w:tcBorders>
            <w:vAlign w:val="center"/>
          </w:tcPr>
          <w:p w14:paraId="625008C4" w14:textId="77777777" w:rsidR="00FE7FE2" w:rsidRPr="006A78F6" w:rsidRDefault="00FE7FE2" w:rsidP="005859DB">
            <w:pPr>
              <w:pStyle w:val="Default"/>
              <w:rPr>
                <w:rFonts w:asciiTheme="minorHAnsi" w:hAnsiTheme="minorHAnsi" w:cstheme="minorHAnsi"/>
                <w:b/>
                <w:sz w:val="22"/>
                <w:szCs w:val="22"/>
              </w:rPr>
            </w:pPr>
            <w:r w:rsidRPr="006A78F6">
              <w:rPr>
                <w:rFonts w:asciiTheme="minorHAnsi" w:hAnsiTheme="minorHAnsi" w:cstheme="minorHAnsi"/>
                <w:b/>
                <w:sz w:val="22"/>
                <w:szCs w:val="22"/>
              </w:rPr>
              <w:t>Evaluated in Appendix 2-3</w:t>
            </w:r>
          </w:p>
        </w:tc>
        <w:tc>
          <w:tcPr>
            <w:tcW w:w="1869" w:type="dxa"/>
            <w:tcBorders>
              <w:top w:val="single" w:sz="4" w:space="0" w:color="000000"/>
              <w:left w:val="single" w:sz="4" w:space="0" w:color="000000"/>
              <w:bottom w:val="single" w:sz="4" w:space="0" w:color="000000"/>
              <w:right w:val="single" w:sz="4" w:space="0" w:color="000000"/>
            </w:tcBorders>
            <w:vAlign w:val="center"/>
          </w:tcPr>
          <w:p w14:paraId="336D34F9" w14:textId="77777777" w:rsidR="00FE7FE2" w:rsidRPr="006A78F6" w:rsidRDefault="00FE7FE2" w:rsidP="005859DB">
            <w:pPr>
              <w:pStyle w:val="Default"/>
              <w:rPr>
                <w:rFonts w:asciiTheme="minorHAnsi" w:hAnsiTheme="minorHAnsi" w:cstheme="minorHAnsi"/>
                <w:b/>
                <w:sz w:val="22"/>
                <w:szCs w:val="22"/>
              </w:rPr>
            </w:pPr>
            <w:r w:rsidRPr="006A78F6">
              <w:rPr>
                <w:rFonts w:asciiTheme="minorHAnsi" w:hAnsiTheme="minorHAnsi" w:cstheme="minorHAnsi"/>
                <w:b/>
                <w:sz w:val="22"/>
                <w:szCs w:val="22"/>
              </w:rPr>
              <w:t>Evaluated in EPA 2011</w:t>
            </w:r>
          </w:p>
        </w:tc>
      </w:tr>
      <w:tr w:rsidR="00FE7FE2" w:rsidRPr="00721481" w14:paraId="467BCED3" w14:textId="77777777" w:rsidTr="007A4697">
        <w:trPr>
          <w:trHeight w:val="275"/>
        </w:trPr>
        <w:tc>
          <w:tcPr>
            <w:tcW w:w="9348" w:type="dxa"/>
            <w:gridSpan w:val="5"/>
            <w:tcBorders>
              <w:top w:val="single" w:sz="4" w:space="0" w:color="000000"/>
              <w:left w:val="single" w:sz="4" w:space="0" w:color="000000"/>
              <w:bottom w:val="single" w:sz="4" w:space="0" w:color="000000"/>
              <w:right w:val="single" w:sz="4" w:space="0" w:color="000000"/>
            </w:tcBorders>
          </w:tcPr>
          <w:p w14:paraId="3B47A46D"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Aquatic Amphibian</w:t>
            </w:r>
          </w:p>
        </w:tc>
      </w:tr>
      <w:tr w:rsidR="00FE7FE2" w:rsidRPr="00721481" w14:paraId="7A3635A8"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16BA5DB4"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E102186</w:t>
            </w:r>
          </w:p>
        </w:tc>
        <w:tc>
          <w:tcPr>
            <w:tcW w:w="1869" w:type="dxa"/>
            <w:tcBorders>
              <w:top w:val="single" w:sz="4" w:space="0" w:color="000000"/>
              <w:left w:val="single" w:sz="4" w:space="0" w:color="000000"/>
              <w:bottom w:val="single" w:sz="4" w:space="0" w:color="000000"/>
              <w:right w:val="single" w:sz="4" w:space="0" w:color="000000"/>
            </w:tcBorders>
          </w:tcPr>
          <w:p w14:paraId="06A98F32"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31E72B9C"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0C80CD3A"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444DDD79"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27DF9F22" w14:textId="77777777" w:rsidTr="007A4697">
        <w:trPr>
          <w:trHeight w:val="276"/>
        </w:trPr>
        <w:tc>
          <w:tcPr>
            <w:tcW w:w="9348" w:type="dxa"/>
            <w:gridSpan w:val="5"/>
            <w:tcBorders>
              <w:top w:val="single" w:sz="4" w:space="0" w:color="000000"/>
              <w:left w:val="single" w:sz="4" w:space="0" w:color="000000"/>
              <w:bottom w:val="single" w:sz="4" w:space="0" w:color="000000"/>
              <w:right w:val="single" w:sz="4" w:space="0" w:color="000000"/>
            </w:tcBorders>
          </w:tcPr>
          <w:p w14:paraId="0CB571E9"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Fish</w:t>
            </w:r>
          </w:p>
        </w:tc>
      </w:tr>
      <w:tr w:rsidR="00FE7FE2" w:rsidRPr="00721481" w14:paraId="79D6D58E"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48E8AAA0"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E184007</w:t>
            </w:r>
          </w:p>
        </w:tc>
        <w:tc>
          <w:tcPr>
            <w:tcW w:w="1869" w:type="dxa"/>
            <w:tcBorders>
              <w:top w:val="single" w:sz="4" w:space="0" w:color="000000"/>
              <w:left w:val="single" w:sz="4" w:space="0" w:color="000000"/>
              <w:bottom w:val="single" w:sz="4" w:space="0" w:color="000000"/>
              <w:right w:val="single" w:sz="4" w:space="0" w:color="000000"/>
            </w:tcBorders>
          </w:tcPr>
          <w:p w14:paraId="20E69CB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4A16AAC3"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62A1E0F7"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774053AC"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6E4CA6F9" w14:textId="77777777" w:rsidTr="007A4697">
        <w:trPr>
          <w:trHeight w:val="276"/>
        </w:trPr>
        <w:tc>
          <w:tcPr>
            <w:tcW w:w="1871" w:type="dxa"/>
            <w:tcBorders>
              <w:top w:val="single" w:sz="4" w:space="0" w:color="000000"/>
              <w:left w:val="single" w:sz="4" w:space="0" w:color="000000"/>
              <w:bottom w:val="single" w:sz="4" w:space="0" w:color="000000"/>
              <w:right w:val="single" w:sz="4" w:space="0" w:color="000000"/>
            </w:tcBorders>
          </w:tcPr>
          <w:p w14:paraId="41CBB454"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E184011</w:t>
            </w:r>
          </w:p>
        </w:tc>
        <w:tc>
          <w:tcPr>
            <w:tcW w:w="1869" w:type="dxa"/>
            <w:tcBorders>
              <w:top w:val="single" w:sz="4" w:space="0" w:color="000000"/>
              <w:left w:val="single" w:sz="4" w:space="0" w:color="000000"/>
              <w:bottom w:val="single" w:sz="4" w:space="0" w:color="000000"/>
              <w:right w:val="single" w:sz="4" w:space="0" w:color="000000"/>
            </w:tcBorders>
          </w:tcPr>
          <w:p w14:paraId="3ED1CB37"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116DC883"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3BB200AA"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36D040A4"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1E622E32" w14:textId="77777777" w:rsidTr="007A4697">
        <w:trPr>
          <w:trHeight w:val="276"/>
        </w:trPr>
        <w:tc>
          <w:tcPr>
            <w:tcW w:w="1871" w:type="dxa"/>
            <w:tcBorders>
              <w:top w:val="single" w:sz="4" w:space="0" w:color="000000"/>
              <w:left w:val="single" w:sz="4" w:space="0" w:color="000000"/>
              <w:bottom w:val="single" w:sz="4" w:space="0" w:color="000000"/>
              <w:right w:val="single" w:sz="4" w:space="0" w:color="000000"/>
            </w:tcBorders>
          </w:tcPr>
          <w:p w14:paraId="0DAE7EA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E184033</w:t>
            </w:r>
          </w:p>
        </w:tc>
        <w:tc>
          <w:tcPr>
            <w:tcW w:w="1869" w:type="dxa"/>
            <w:tcBorders>
              <w:top w:val="single" w:sz="4" w:space="0" w:color="000000"/>
              <w:left w:val="single" w:sz="4" w:space="0" w:color="000000"/>
              <w:bottom w:val="single" w:sz="4" w:space="0" w:color="000000"/>
              <w:right w:val="single" w:sz="4" w:space="0" w:color="000000"/>
            </w:tcBorders>
          </w:tcPr>
          <w:p w14:paraId="7A3E2249"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3CB64541"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378B9678"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01185AD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33585103"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3792F534"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E184567</w:t>
            </w:r>
          </w:p>
        </w:tc>
        <w:tc>
          <w:tcPr>
            <w:tcW w:w="1869" w:type="dxa"/>
            <w:tcBorders>
              <w:top w:val="single" w:sz="4" w:space="0" w:color="000000"/>
              <w:left w:val="single" w:sz="4" w:space="0" w:color="000000"/>
              <w:bottom w:val="single" w:sz="4" w:space="0" w:color="000000"/>
              <w:right w:val="single" w:sz="4" w:space="0" w:color="000000"/>
            </w:tcBorders>
          </w:tcPr>
          <w:p w14:paraId="1BD5A459"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6E0E9B08"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415E84A8"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6213F985"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6F646A15"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5E28B6E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E184283</w:t>
            </w:r>
          </w:p>
        </w:tc>
        <w:tc>
          <w:tcPr>
            <w:tcW w:w="1869" w:type="dxa"/>
            <w:tcBorders>
              <w:top w:val="single" w:sz="4" w:space="0" w:color="000000"/>
              <w:left w:val="single" w:sz="4" w:space="0" w:color="000000"/>
              <w:bottom w:val="single" w:sz="4" w:space="0" w:color="000000"/>
              <w:right w:val="single" w:sz="4" w:space="0" w:color="000000"/>
            </w:tcBorders>
          </w:tcPr>
          <w:p w14:paraId="5AFEB64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78A4B31D"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61784523"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5E01353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269C5986"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7A468A4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E184087</w:t>
            </w:r>
          </w:p>
        </w:tc>
        <w:tc>
          <w:tcPr>
            <w:tcW w:w="1869" w:type="dxa"/>
            <w:tcBorders>
              <w:top w:val="single" w:sz="4" w:space="0" w:color="000000"/>
              <w:left w:val="single" w:sz="4" w:space="0" w:color="000000"/>
              <w:bottom w:val="single" w:sz="4" w:space="0" w:color="000000"/>
              <w:right w:val="single" w:sz="4" w:space="0" w:color="000000"/>
            </w:tcBorders>
          </w:tcPr>
          <w:p w14:paraId="7F34DB14"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29C57B23"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1811C4B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7CB4292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7B054379" w14:textId="77777777" w:rsidTr="007A4697">
        <w:trPr>
          <w:trHeight w:val="276"/>
        </w:trPr>
        <w:tc>
          <w:tcPr>
            <w:tcW w:w="9348" w:type="dxa"/>
            <w:gridSpan w:val="5"/>
            <w:tcBorders>
              <w:top w:val="single" w:sz="4" w:space="0" w:color="000000"/>
              <w:left w:val="single" w:sz="4" w:space="0" w:color="000000"/>
              <w:bottom w:val="single" w:sz="4" w:space="0" w:color="000000"/>
              <w:right w:val="single" w:sz="4" w:space="0" w:color="000000"/>
            </w:tcBorders>
          </w:tcPr>
          <w:p w14:paraId="572329B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Aquatic Invertebrates</w:t>
            </w:r>
          </w:p>
        </w:tc>
      </w:tr>
      <w:tr w:rsidR="00FE7FE2" w:rsidRPr="00721481" w14:paraId="1ABB3C24"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13FA76EA"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E166568</w:t>
            </w:r>
          </w:p>
        </w:tc>
        <w:tc>
          <w:tcPr>
            <w:tcW w:w="1869" w:type="dxa"/>
            <w:tcBorders>
              <w:top w:val="single" w:sz="4" w:space="0" w:color="000000"/>
              <w:left w:val="single" w:sz="4" w:space="0" w:color="000000"/>
              <w:bottom w:val="single" w:sz="4" w:space="0" w:color="000000"/>
              <w:right w:val="single" w:sz="4" w:space="0" w:color="000000"/>
            </w:tcBorders>
          </w:tcPr>
          <w:p w14:paraId="0AB0AF8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374A6A38"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3CD9A53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04A3CB4F"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2BD822C4"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1BFEEB8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E171489</w:t>
            </w:r>
          </w:p>
        </w:tc>
        <w:tc>
          <w:tcPr>
            <w:tcW w:w="1869" w:type="dxa"/>
            <w:tcBorders>
              <w:top w:val="single" w:sz="4" w:space="0" w:color="000000"/>
              <w:left w:val="single" w:sz="4" w:space="0" w:color="000000"/>
              <w:bottom w:val="single" w:sz="4" w:space="0" w:color="000000"/>
              <w:right w:val="single" w:sz="4" w:space="0" w:color="000000"/>
            </w:tcBorders>
          </w:tcPr>
          <w:p w14:paraId="1D9E413C"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5B394E32"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4079C53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1A9045F2"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43395061" w14:textId="77777777" w:rsidTr="007A4697">
        <w:trPr>
          <w:trHeight w:val="276"/>
        </w:trPr>
        <w:tc>
          <w:tcPr>
            <w:tcW w:w="1871" w:type="dxa"/>
            <w:tcBorders>
              <w:top w:val="single" w:sz="4" w:space="0" w:color="000000"/>
              <w:left w:val="single" w:sz="4" w:space="0" w:color="000000"/>
              <w:bottom w:val="single" w:sz="4" w:space="0" w:color="000000"/>
              <w:right w:val="single" w:sz="4" w:space="0" w:color="000000"/>
            </w:tcBorders>
          </w:tcPr>
          <w:p w14:paraId="1DBA887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E175427</w:t>
            </w:r>
          </w:p>
        </w:tc>
        <w:tc>
          <w:tcPr>
            <w:tcW w:w="1869" w:type="dxa"/>
            <w:tcBorders>
              <w:top w:val="single" w:sz="4" w:space="0" w:color="000000"/>
              <w:left w:val="single" w:sz="4" w:space="0" w:color="000000"/>
              <w:bottom w:val="single" w:sz="4" w:space="0" w:color="000000"/>
              <w:right w:val="single" w:sz="4" w:space="0" w:color="000000"/>
            </w:tcBorders>
          </w:tcPr>
          <w:p w14:paraId="181290E8"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1B4DCCE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12BB863A"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3F1928A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74C82B34"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08CD7E8C"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E178290</w:t>
            </w:r>
          </w:p>
        </w:tc>
        <w:tc>
          <w:tcPr>
            <w:tcW w:w="1869" w:type="dxa"/>
            <w:tcBorders>
              <w:top w:val="single" w:sz="4" w:space="0" w:color="000000"/>
              <w:left w:val="single" w:sz="4" w:space="0" w:color="000000"/>
              <w:bottom w:val="single" w:sz="4" w:space="0" w:color="000000"/>
              <w:right w:val="single" w:sz="4" w:space="0" w:color="000000"/>
            </w:tcBorders>
          </w:tcPr>
          <w:p w14:paraId="4E7C642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151AF4DA"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46300A04"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3BFD057C"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371B3986"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3E2E5CD5"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E183047</w:t>
            </w:r>
          </w:p>
        </w:tc>
        <w:tc>
          <w:tcPr>
            <w:tcW w:w="1869" w:type="dxa"/>
            <w:tcBorders>
              <w:top w:val="single" w:sz="4" w:space="0" w:color="000000"/>
              <w:left w:val="single" w:sz="4" w:space="0" w:color="000000"/>
              <w:bottom w:val="single" w:sz="4" w:space="0" w:color="000000"/>
              <w:right w:val="single" w:sz="4" w:space="0" w:color="000000"/>
            </w:tcBorders>
          </w:tcPr>
          <w:p w14:paraId="13AC236F"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4DD81AD0"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76896DF5"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114C4C63"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7553A9D2" w14:textId="77777777" w:rsidTr="007A4697">
        <w:trPr>
          <w:trHeight w:val="276"/>
        </w:trPr>
        <w:tc>
          <w:tcPr>
            <w:tcW w:w="1871" w:type="dxa"/>
            <w:tcBorders>
              <w:top w:val="single" w:sz="4" w:space="0" w:color="000000"/>
              <w:left w:val="single" w:sz="4" w:space="0" w:color="000000"/>
              <w:bottom w:val="single" w:sz="4" w:space="0" w:color="000000"/>
              <w:right w:val="single" w:sz="4" w:space="0" w:color="000000"/>
            </w:tcBorders>
          </w:tcPr>
          <w:p w14:paraId="2A7A8F11"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E183503</w:t>
            </w:r>
          </w:p>
        </w:tc>
        <w:tc>
          <w:tcPr>
            <w:tcW w:w="1869" w:type="dxa"/>
            <w:tcBorders>
              <w:top w:val="single" w:sz="4" w:space="0" w:color="000000"/>
              <w:left w:val="single" w:sz="4" w:space="0" w:color="000000"/>
              <w:bottom w:val="single" w:sz="4" w:space="0" w:color="000000"/>
              <w:right w:val="single" w:sz="4" w:space="0" w:color="000000"/>
            </w:tcBorders>
          </w:tcPr>
          <w:p w14:paraId="3ACF3A4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3AFC3526"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788FCDD7"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3FD8A58B"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r w:rsidR="00FE7FE2" w:rsidRPr="00721481" w14:paraId="3EBC3C02" w14:textId="77777777" w:rsidTr="007A4697">
        <w:trPr>
          <w:trHeight w:val="275"/>
        </w:trPr>
        <w:tc>
          <w:tcPr>
            <w:tcW w:w="1871" w:type="dxa"/>
            <w:tcBorders>
              <w:top w:val="single" w:sz="4" w:space="0" w:color="000000"/>
              <w:left w:val="single" w:sz="4" w:space="0" w:color="000000"/>
              <w:bottom w:val="single" w:sz="4" w:space="0" w:color="000000"/>
              <w:right w:val="single" w:sz="4" w:space="0" w:color="000000"/>
            </w:tcBorders>
          </w:tcPr>
          <w:p w14:paraId="25A6E5CF"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E183458</w:t>
            </w:r>
          </w:p>
        </w:tc>
        <w:tc>
          <w:tcPr>
            <w:tcW w:w="1869" w:type="dxa"/>
            <w:tcBorders>
              <w:top w:val="single" w:sz="4" w:space="0" w:color="000000"/>
              <w:left w:val="single" w:sz="4" w:space="0" w:color="000000"/>
              <w:bottom w:val="single" w:sz="4" w:space="0" w:color="000000"/>
              <w:right w:val="single" w:sz="4" w:space="0" w:color="000000"/>
            </w:tcBorders>
          </w:tcPr>
          <w:p w14:paraId="0ECB0E3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69" w:type="dxa"/>
            <w:tcBorders>
              <w:top w:val="single" w:sz="4" w:space="0" w:color="000000"/>
              <w:left w:val="single" w:sz="4" w:space="0" w:color="000000"/>
              <w:bottom w:val="single" w:sz="4" w:space="0" w:color="000000"/>
              <w:right w:val="single" w:sz="4" w:space="0" w:color="000000"/>
            </w:tcBorders>
          </w:tcPr>
          <w:p w14:paraId="1EEE2469"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Yes</w:t>
            </w:r>
          </w:p>
        </w:tc>
        <w:tc>
          <w:tcPr>
            <w:tcW w:w="1870" w:type="dxa"/>
            <w:tcBorders>
              <w:top w:val="single" w:sz="4" w:space="0" w:color="000000"/>
              <w:left w:val="single" w:sz="4" w:space="0" w:color="000000"/>
              <w:bottom w:val="single" w:sz="4" w:space="0" w:color="000000"/>
              <w:right w:val="single" w:sz="4" w:space="0" w:color="000000"/>
            </w:tcBorders>
          </w:tcPr>
          <w:p w14:paraId="30F7995A"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c>
          <w:tcPr>
            <w:tcW w:w="1869" w:type="dxa"/>
            <w:tcBorders>
              <w:top w:val="single" w:sz="4" w:space="0" w:color="000000"/>
              <w:left w:val="single" w:sz="4" w:space="0" w:color="000000"/>
              <w:bottom w:val="single" w:sz="4" w:space="0" w:color="000000"/>
              <w:right w:val="single" w:sz="4" w:space="0" w:color="000000"/>
            </w:tcBorders>
          </w:tcPr>
          <w:p w14:paraId="25C2D6EE" w14:textId="77777777" w:rsidR="00FE7FE2" w:rsidRPr="00E11594" w:rsidRDefault="00FE7FE2" w:rsidP="005859DB">
            <w:pPr>
              <w:pStyle w:val="Default"/>
              <w:rPr>
                <w:rFonts w:asciiTheme="minorHAnsi" w:hAnsiTheme="minorHAnsi" w:cstheme="minorHAnsi"/>
                <w:sz w:val="22"/>
                <w:szCs w:val="22"/>
              </w:rPr>
            </w:pPr>
            <w:r w:rsidRPr="00E11594">
              <w:rPr>
                <w:rFonts w:asciiTheme="minorHAnsi" w:hAnsiTheme="minorHAnsi" w:cstheme="minorHAnsi"/>
                <w:sz w:val="22"/>
                <w:szCs w:val="22"/>
              </w:rPr>
              <w:t>No</w:t>
            </w:r>
          </w:p>
        </w:tc>
      </w:tr>
    </w:tbl>
    <w:p w14:paraId="5656E082" w14:textId="77777777" w:rsidR="00FE7FE2" w:rsidRPr="006A78F6" w:rsidRDefault="00FE7FE2" w:rsidP="005859DB">
      <w:pPr>
        <w:pStyle w:val="Default"/>
        <w:rPr>
          <w:rFonts w:asciiTheme="minorHAnsi" w:hAnsiTheme="minorHAnsi" w:cstheme="minorHAnsi"/>
          <w:sz w:val="22"/>
          <w:szCs w:val="22"/>
        </w:rPr>
      </w:pPr>
    </w:p>
    <w:p w14:paraId="5DEFB583" w14:textId="77777777" w:rsidR="00FE7FE2" w:rsidRPr="006A78F6" w:rsidRDefault="00FE7FE2" w:rsidP="005859DB">
      <w:pPr>
        <w:pStyle w:val="Default"/>
        <w:rPr>
          <w:rFonts w:asciiTheme="minorHAnsi" w:hAnsiTheme="minorHAnsi" w:cstheme="minorBidi"/>
          <w:sz w:val="22"/>
          <w:szCs w:val="22"/>
        </w:rPr>
      </w:pPr>
      <w:r w:rsidRPr="006A78F6">
        <w:rPr>
          <w:rFonts w:asciiTheme="minorHAnsi" w:hAnsiTheme="minorHAnsi" w:cstheme="minorBidi"/>
          <w:sz w:val="22"/>
          <w:szCs w:val="22"/>
        </w:rPr>
        <w:t xml:space="preserve">E184007 is expected to be classified as invalid and example of how critical it is for EPA to make the data evaluations transparent. In the study, </w:t>
      </w:r>
      <w:r w:rsidRPr="005859DB">
        <w:rPr>
          <w:rFonts w:asciiTheme="minorHAnsi" w:hAnsiTheme="minorHAnsi" w:cstheme="minorBidi"/>
          <w:i/>
          <w:iCs/>
          <w:sz w:val="22"/>
          <w:szCs w:val="22"/>
        </w:rPr>
        <w:t xml:space="preserve">C. </w:t>
      </w:r>
      <w:proofErr w:type="spellStart"/>
      <w:r w:rsidRPr="005859DB">
        <w:rPr>
          <w:rFonts w:asciiTheme="minorHAnsi" w:hAnsiTheme="minorHAnsi" w:cstheme="minorBidi"/>
          <w:i/>
          <w:iCs/>
          <w:sz w:val="22"/>
          <w:szCs w:val="22"/>
        </w:rPr>
        <w:t>gariepinus</w:t>
      </w:r>
      <w:proofErr w:type="spellEnd"/>
      <w:r w:rsidRPr="005859DB">
        <w:rPr>
          <w:rFonts w:asciiTheme="minorHAnsi" w:hAnsiTheme="minorHAnsi" w:cstheme="minorBidi"/>
          <w:i/>
          <w:iCs/>
          <w:sz w:val="22"/>
          <w:szCs w:val="22"/>
        </w:rPr>
        <w:t xml:space="preserve"> </w:t>
      </w:r>
      <w:r w:rsidRPr="006A78F6">
        <w:rPr>
          <w:rFonts w:asciiTheme="minorHAnsi" w:hAnsiTheme="minorHAnsi" w:cstheme="minorBidi"/>
          <w:sz w:val="22"/>
          <w:szCs w:val="22"/>
        </w:rPr>
        <w:t>are exposed to a formulation containing 30.5% imidacloprid at levels equivalent to 1.52, 3.05, 3.35, 3.66, and 3.96 µg ai/L. Analytical verification of test levels is not provided in the publication. Considering the proximity of each test level a small deviation from nominal would prevent the test levels from being independent (</w:t>
      </w:r>
      <w:r w:rsidRPr="00406A53">
        <w:rPr>
          <w:rFonts w:asciiTheme="minorHAnsi" w:hAnsiTheme="minorHAnsi" w:cstheme="minorBidi"/>
          <w:i/>
          <w:sz w:val="22"/>
          <w:szCs w:val="22"/>
        </w:rPr>
        <w:t>i.e</w:t>
      </w:r>
      <w:r w:rsidRPr="006A78F6">
        <w:rPr>
          <w:rFonts w:asciiTheme="minorHAnsi" w:hAnsiTheme="minorHAnsi" w:cstheme="minorBidi"/>
          <w:sz w:val="22"/>
          <w:szCs w:val="22"/>
        </w:rPr>
        <w:t xml:space="preserve">., the test level concentrations </w:t>
      </w:r>
      <w:r w:rsidRPr="006A78F6">
        <w:rPr>
          <w:rFonts w:asciiTheme="minorHAnsi" w:hAnsiTheme="minorHAnsi" w:cstheme="minorBidi"/>
          <w:sz w:val="22"/>
          <w:szCs w:val="22"/>
        </w:rPr>
        <w:lastRenderedPageBreak/>
        <w:t>could overlap) preventing a reliable relationship of</w:t>
      </w:r>
      <w:r w:rsidRPr="0D149195">
        <w:rPr>
          <w:rFonts w:asciiTheme="minorHAnsi" w:hAnsiTheme="minorHAnsi" w:cstheme="minorBidi"/>
          <w:sz w:val="22"/>
          <w:szCs w:val="22"/>
        </w:rPr>
        <w:t xml:space="preserve"> </w:t>
      </w:r>
      <w:r w:rsidRPr="006A78F6">
        <w:rPr>
          <w:rFonts w:asciiTheme="minorHAnsi" w:hAnsiTheme="minorHAnsi" w:cstheme="minorBidi"/>
          <w:sz w:val="22"/>
          <w:szCs w:val="22"/>
        </w:rPr>
        <w:t>exposure and effect from being established. This uncertainty should invalidate the study in the absence of additional data.</w:t>
      </w:r>
    </w:p>
    <w:p w14:paraId="50135E12" w14:textId="77777777" w:rsidR="00FE7FE2" w:rsidRPr="00542F13" w:rsidRDefault="00FE7FE2" w:rsidP="005859DB">
      <w:pPr>
        <w:pStyle w:val="Default"/>
        <w:rPr>
          <w:rFonts w:eastAsia="Calibri"/>
          <w:i/>
          <w:iCs/>
          <w:color w:val="000000" w:themeColor="text1"/>
          <w:sz w:val="22"/>
          <w:szCs w:val="22"/>
        </w:rPr>
      </w:pPr>
    </w:p>
    <w:p w14:paraId="120CBF92" w14:textId="7BB7733C" w:rsidR="00FE7FE2" w:rsidRPr="00542F13" w:rsidRDefault="00FE7FE2" w:rsidP="00DF050F">
      <w:pPr>
        <w:pStyle w:val="Default"/>
        <w:contextualSpacing/>
        <w:rPr>
          <w:rFonts w:asciiTheme="minorHAnsi" w:hAnsiTheme="minorHAnsi" w:cstheme="minorBidi"/>
          <w:b/>
          <w:bCs/>
          <w:sz w:val="22"/>
          <w:szCs w:val="22"/>
          <w:highlight w:val="yellow"/>
        </w:rPr>
      </w:pPr>
      <w:r w:rsidRPr="00542F13">
        <w:rPr>
          <w:rFonts w:asciiTheme="minorHAnsi" w:hAnsiTheme="minorHAnsi" w:cstheme="minorBidi"/>
          <w:b/>
          <w:bCs/>
          <w:sz w:val="22"/>
          <w:szCs w:val="22"/>
        </w:rPr>
        <w:t>EPA Response:</w:t>
      </w:r>
      <w:r w:rsidR="00542F13" w:rsidRPr="00542F13">
        <w:rPr>
          <w:rFonts w:asciiTheme="minorHAnsi" w:hAnsiTheme="minorHAnsi" w:cstheme="minorHAnsi"/>
          <w:i/>
          <w:iCs/>
          <w:sz w:val="22"/>
          <w:szCs w:val="22"/>
        </w:rPr>
        <w:t xml:space="preserve"> </w:t>
      </w:r>
      <w:bookmarkStart w:id="58" w:name="_Hlk101354154"/>
      <w:r w:rsidR="00542F13" w:rsidRPr="00542F13">
        <w:rPr>
          <w:rFonts w:asciiTheme="minorHAnsi" w:hAnsiTheme="minorHAnsi" w:cstheme="minorHAnsi"/>
          <w:i/>
          <w:iCs/>
          <w:sz w:val="22"/>
          <w:szCs w:val="22"/>
        </w:rPr>
        <w:t xml:space="preserve">Where enough data are available to compile an SSD, for efficiency and time constraints not every study in the distribution is </w:t>
      </w:r>
      <w:r w:rsidR="00DD7307" w:rsidRPr="00DD7307">
        <w:rPr>
          <w:rFonts w:asciiTheme="minorHAnsi" w:hAnsiTheme="minorHAnsi" w:cstheme="minorHAnsi"/>
          <w:i/>
          <w:iCs/>
          <w:sz w:val="22"/>
          <w:szCs w:val="22"/>
        </w:rPr>
        <w:t>necessarily</w:t>
      </w:r>
      <w:r w:rsidR="00542F13" w:rsidRPr="00DD7307">
        <w:rPr>
          <w:rFonts w:asciiTheme="minorHAnsi" w:hAnsiTheme="minorHAnsi" w:cstheme="minorHAnsi"/>
          <w:i/>
          <w:iCs/>
          <w:sz w:val="22"/>
          <w:szCs w:val="22"/>
        </w:rPr>
        <w:t xml:space="preserve"> </w:t>
      </w:r>
      <w:r w:rsidR="00542F13" w:rsidRPr="00542F13">
        <w:rPr>
          <w:rFonts w:asciiTheme="minorHAnsi" w:hAnsiTheme="minorHAnsi" w:cstheme="minorHAnsi"/>
          <w:i/>
          <w:iCs/>
          <w:sz w:val="22"/>
          <w:szCs w:val="22"/>
        </w:rPr>
        <w:t>reviewed and classified. Studies close to certain percentiles used to orient the data are reviewed and classified for use in the biological evaluation (</w:t>
      </w:r>
      <w:r w:rsidR="00542F13" w:rsidRPr="005859DB">
        <w:rPr>
          <w:rFonts w:asciiTheme="minorHAnsi" w:hAnsiTheme="minorHAnsi" w:cstheme="minorHAnsi"/>
          <w:sz w:val="22"/>
          <w:szCs w:val="22"/>
        </w:rPr>
        <w:t>e.g.</w:t>
      </w:r>
      <w:r w:rsidR="005859DB">
        <w:rPr>
          <w:rFonts w:asciiTheme="minorHAnsi" w:hAnsiTheme="minorHAnsi" w:cstheme="minorHAnsi"/>
          <w:sz w:val="22"/>
          <w:szCs w:val="22"/>
        </w:rPr>
        <w:t>,</w:t>
      </w:r>
      <w:r w:rsidR="00542F13" w:rsidRPr="00542F13">
        <w:rPr>
          <w:rFonts w:asciiTheme="minorHAnsi" w:hAnsiTheme="minorHAnsi" w:cstheme="minorHAnsi"/>
          <w:i/>
          <w:iCs/>
          <w:sz w:val="22"/>
          <w:szCs w:val="22"/>
        </w:rPr>
        <w:t xml:space="preserve"> data near the 5</w:t>
      </w:r>
      <w:r w:rsidR="00542F13" w:rsidRPr="00542F13">
        <w:rPr>
          <w:rFonts w:asciiTheme="minorHAnsi" w:hAnsiTheme="minorHAnsi" w:cstheme="minorHAnsi"/>
          <w:i/>
          <w:iCs/>
          <w:sz w:val="22"/>
          <w:szCs w:val="22"/>
          <w:vertAlign w:val="superscript"/>
        </w:rPr>
        <w:t>th</w:t>
      </w:r>
      <w:r w:rsidR="00542F13" w:rsidRPr="00542F13">
        <w:rPr>
          <w:rFonts w:asciiTheme="minorHAnsi" w:hAnsiTheme="minorHAnsi" w:cstheme="minorHAnsi"/>
          <w:i/>
          <w:iCs/>
          <w:sz w:val="22"/>
          <w:szCs w:val="22"/>
        </w:rPr>
        <w:t>, 25</w:t>
      </w:r>
      <w:r w:rsidR="00542F13" w:rsidRPr="00542F13">
        <w:rPr>
          <w:rFonts w:asciiTheme="minorHAnsi" w:hAnsiTheme="minorHAnsi" w:cstheme="minorHAnsi"/>
          <w:i/>
          <w:iCs/>
          <w:sz w:val="22"/>
          <w:szCs w:val="22"/>
          <w:vertAlign w:val="superscript"/>
        </w:rPr>
        <w:t>th</w:t>
      </w:r>
      <w:r w:rsidR="00542F13" w:rsidRPr="00542F13">
        <w:rPr>
          <w:rFonts w:asciiTheme="minorHAnsi" w:hAnsiTheme="minorHAnsi" w:cstheme="minorHAnsi"/>
          <w:i/>
          <w:iCs/>
          <w:sz w:val="22"/>
          <w:szCs w:val="22"/>
        </w:rPr>
        <w:t>, 50</w:t>
      </w:r>
      <w:r w:rsidR="00542F13" w:rsidRPr="00542F13">
        <w:rPr>
          <w:rFonts w:asciiTheme="minorHAnsi" w:hAnsiTheme="minorHAnsi" w:cstheme="minorHAnsi"/>
          <w:i/>
          <w:iCs/>
          <w:sz w:val="22"/>
          <w:szCs w:val="22"/>
          <w:vertAlign w:val="superscript"/>
        </w:rPr>
        <w:t>th</w:t>
      </w:r>
      <w:r w:rsidR="00542F13" w:rsidRPr="00542F13">
        <w:rPr>
          <w:rFonts w:asciiTheme="minorHAnsi" w:hAnsiTheme="minorHAnsi" w:cstheme="minorHAnsi"/>
          <w:i/>
          <w:iCs/>
          <w:sz w:val="22"/>
          <w:szCs w:val="22"/>
        </w:rPr>
        <w:t>, 75</w:t>
      </w:r>
      <w:r w:rsidR="00542F13" w:rsidRPr="00542F13">
        <w:rPr>
          <w:rFonts w:asciiTheme="minorHAnsi" w:hAnsiTheme="minorHAnsi" w:cstheme="minorHAnsi"/>
          <w:i/>
          <w:iCs/>
          <w:sz w:val="22"/>
          <w:szCs w:val="22"/>
          <w:vertAlign w:val="superscript"/>
        </w:rPr>
        <w:t>th</w:t>
      </w:r>
      <w:r w:rsidR="00542F13" w:rsidRPr="00542F13">
        <w:rPr>
          <w:rFonts w:asciiTheme="minorHAnsi" w:hAnsiTheme="minorHAnsi" w:cstheme="minorHAnsi"/>
          <w:i/>
          <w:iCs/>
          <w:sz w:val="22"/>
          <w:szCs w:val="22"/>
        </w:rPr>
        <w:t xml:space="preserve"> percentiles). </w:t>
      </w:r>
      <w:r w:rsidR="006832E3">
        <w:rPr>
          <w:rFonts w:asciiTheme="minorHAnsi" w:hAnsiTheme="minorHAnsi" w:cstheme="minorHAnsi"/>
          <w:i/>
          <w:iCs/>
          <w:sz w:val="22"/>
          <w:szCs w:val="22"/>
        </w:rPr>
        <w:t>For the above referenced studies, while they were used in the SSD, previously reviewed and available open literature summaries represented the determinate percentiles used for the biological evaluation</w:t>
      </w:r>
      <w:bookmarkEnd w:id="58"/>
      <w:r w:rsidR="00DD7307" w:rsidRPr="005859DB">
        <w:rPr>
          <w:rFonts w:asciiTheme="minorHAnsi" w:hAnsiTheme="minorHAnsi" w:cstheme="minorHAnsi"/>
          <w:i/>
          <w:iCs/>
          <w:sz w:val="22"/>
          <w:szCs w:val="22"/>
        </w:rPr>
        <w:t>.</w:t>
      </w:r>
    </w:p>
    <w:p w14:paraId="06E1B7A5" w14:textId="77777777" w:rsidR="00FE7FE2" w:rsidRPr="00721481" w:rsidRDefault="00FE7FE2" w:rsidP="00DF050F">
      <w:pPr>
        <w:pStyle w:val="Default"/>
        <w:rPr>
          <w:rFonts w:asciiTheme="minorHAnsi" w:hAnsiTheme="minorHAnsi" w:cstheme="minorHAnsi"/>
          <w:i/>
          <w:iCs/>
          <w:sz w:val="22"/>
          <w:szCs w:val="22"/>
        </w:rPr>
      </w:pPr>
    </w:p>
    <w:p w14:paraId="7232A32E" w14:textId="77777777" w:rsidR="00FE7FE2" w:rsidRPr="006A78F6" w:rsidRDefault="00FE7FE2" w:rsidP="00DF050F">
      <w:pPr>
        <w:pStyle w:val="Default"/>
        <w:rPr>
          <w:rFonts w:asciiTheme="minorHAnsi" w:hAnsiTheme="minorHAnsi" w:cstheme="minorHAnsi"/>
          <w:sz w:val="22"/>
          <w:szCs w:val="22"/>
        </w:rPr>
      </w:pPr>
      <w:r w:rsidRPr="00721481">
        <w:rPr>
          <w:rFonts w:asciiTheme="minorHAnsi" w:hAnsiTheme="minorHAnsi" w:cstheme="minorHAnsi"/>
          <w:b/>
          <w:bCs/>
          <w:sz w:val="22"/>
          <w:szCs w:val="22"/>
        </w:rPr>
        <w:t>Comment:</w:t>
      </w:r>
      <w:r w:rsidRPr="00721481">
        <w:rPr>
          <w:rFonts w:asciiTheme="minorHAnsi" w:hAnsiTheme="minorHAnsi" w:cstheme="minorHAnsi"/>
          <w:sz w:val="22"/>
          <w:szCs w:val="22"/>
        </w:rPr>
        <w:t xml:space="preserve"> </w:t>
      </w:r>
      <w:r w:rsidRPr="006A78F6">
        <w:rPr>
          <w:rFonts w:asciiTheme="minorHAnsi" w:hAnsiTheme="minorHAnsi" w:cstheme="minorHAnsi"/>
          <w:sz w:val="22"/>
          <w:szCs w:val="22"/>
        </w:rPr>
        <w:t>Extensive higher-tier (mesocosm)</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data are available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for</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imidacloprid. These studies provide</w:t>
      </w:r>
    </w:p>
    <w:p w14:paraId="1BAB07D6" w14:textId="57E53171" w:rsidR="00FE7FE2" w:rsidRDefault="00FE7FE2" w:rsidP="00DF050F">
      <w:pPr>
        <w:pStyle w:val="BodyText"/>
        <w:kinsoku w:val="0"/>
        <w:overflowPunct w:val="0"/>
        <w:ind w:right="101"/>
        <w:rPr>
          <w:rFonts w:asciiTheme="minorHAnsi" w:hAnsiTheme="minorHAnsi" w:cstheme="minorHAnsi"/>
          <w:sz w:val="22"/>
          <w:szCs w:val="22"/>
        </w:rPr>
      </w:pPr>
      <w:r w:rsidRPr="006A78F6">
        <w:rPr>
          <w:rFonts w:asciiTheme="minorHAnsi" w:hAnsiTheme="minorHAnsi" w:cstheme="minorHAnsi"/>
          <w:sz w:val="22"/>
          <w:szCs w:val="22"/>
        </w:rPr>
        <w:t>benefits over laboratory studies</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as they</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evaluate potential</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lethal and sublethal impacts under realistic field conditions and consider the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influence of community interactions. Consideration of these studies</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should result in refinement of</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the draft BE leading to a less</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burdensome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and relevant consultation process.</w:t>
      </w:r>
    </w:p>
    <w:p w14:paraId="0EA6B404" w14:textId="77777777" w:rsidR="00B72ADC" w:rsidRPr="006A78F6" w:rsidRDefault="00B72ADC" w:rsidP="00DF050F">
      <w:pPr>
        <w:pStyle w:val="BodyText"/>
        <w:kinsoku w:val="0"/>
        <w:overflowPunct w:val="0"/>
        <w:ind w:right="101"/>
        <w:rPr>
          <w:rFonts w:asciiTheme="minorHAnsi" w:hAnsiTheme="minorHAnsi" w:cstheme="minorHAnsi"/>
          <w:sz w:val="22"/>
          <w:szCs w:val="22"/>
        </w:rPr>
      </w:pPr>
    </w:p>
    <w:p w14:paraId="0B58546B" w14:textId="77777777" w:rsidR="00FE7FE2" w:rsidRPr="006A78F6" w:rsidRDefault="00FE7FE2" w:rsidP="00DF050F">
      <w:pPr>
        <w:pStyle w:val="BodyText"/>
        <w:kinsoku w:val="0"/>
        <w:overflowPunct w:val="0"/>
        <w:ind w:right="101"/>
        <w:rPr>
          <w:rFonts w:asciiTheme="minorHAnsi" w:hAnsiTheme="minorHAnsi" w:cstheme="minorHAnsi"/>
          <w:sz w:val="22"/>
          <w:szCs w:val="22"/>
        </w:rPr>
      </w:pPr>
      <w:r w:rsidRPr="006A78F6">
        <w:rPr>
          <w:rFonts w:asciiTheme="minorHAnsi" w:hAnsiTheme="minorHAnsi" w:cstheme="minorHAnsi"/>
          <w:sz w:val="22"/>
          <w:szCs w:val="22"/>
        </w:rPr>
        <w:t>Whitfield-</w:t>
      </w:r>
      <w:proofErr w:type="spellStart"/>
      <w:r w:rsidRPr="006A78F6">
        <w:rPr>
          <w:rFonts w:asciiTheme="minorHAnsi" w:hAnsiTheme="minorHAnsi" w:cstheme="minorHAnsi"/>
          <w:sz w:val="22"/>
          <w:szCs w:val="22"/>
        </w:rPr>
        <w:t>Aslund</w:t>
      </w:r>
      <w:proofErr w:type="spellEnd"/>
      <w:r w:rsidRPr="006A78F6">
        <w:rPr>
          <w:rFonts w:asciiTheme="minorHAnsi" w:hAnsiTheme="minorHAnsi" w:cstheme="minorHAnsi"/>
          <w:sz w:val="22"/>
          <w:szCs w:val="22"/>
        </w:rPr>
        <w:t xml:space="preserve"> 2017</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and MRID 49835801, available to EPA, evaluate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mesocosm studies</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for relevance and reliability</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with a data</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quality evaluation scheme similar</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to</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the scheme defined in the EPA 2011 memo. Data</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rated as quantitative</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was used to</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define a chronic threshold where no observable effects on abundance, emergence, and</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mortality of aquatic invertebrates occurs at</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the taxonomic level of family, subfamily, or class. The threshold</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reported in the studies</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is</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1.01 µg ai/L and</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is highly relevant for the BE. The threshold is based on</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the generally more environmentally</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realistic study design of mesocosms, the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threshold accounts for direct and indirect effects, and</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the establishment of a</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threshold at</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the family or</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higher level of</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organization is particularly relevant for PPHD</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evaluations where an obligate relationship does not exist.</w:t>
      </w:r>
    </w:p>
    <w:p w14:paraId="56AB3EC6" w14:textId="77777777" w:rsidR="00FE7FE2" w:rsidRPr="00721481" w:rsidRDefault="00FE7FE2" w:rsidP="00DF050F">
      <w:pPr>
        <w:pStyle w:val="Default"/>
        <w:rPr>
          <w:rFonts w:asciiTheme="minorHAnsi" w:hAnsiTheme="minorHAnsi" w:cstheme="minorBidi"/>
          <w:i/>
          <w:iCs/>
          <w:sz w:val="22"/>
          <w:szCs w:val="22"/>
        </w:rPr>
      </w:pPr>
    </w:p>
    <w:p w14:paraId="046C180E" w14:textId="58CF04FD" w:rsidR="00FE7FE2" w:rsidRPr="007657A7" w:rsidRDefault="00FE7FE2" w:rsidP="00DF050F">
      <w:pPr>
        <w:pStyle w:val="Default"/>
        <w:rPr>
          <w:rFonts w:asciiTheme="minorHAnsi" w:hAnsiTheme="minorHAnsi" w:cstheme="minorBidi"/>
          <w:b/>
          <w:bCs/>
          <w:sz w:val="22"/>
          <w:szCs w:val="22"/>
        </w:rPr>
      </w:pPr>
      <w:r w:rsidRPr="00070930">
        <w:rPr>
          <w:rFonts w:asciiTheme="minorHAnsi" w:hAnsiTheme="minorHAnsi" w:cstheme="minorBidi"/>
          <w:b/>
          <w:bCs/>
          <w:sz w:val="22"/>
          <w:szCs w:val="22"/>
        </w:rPr>
        <w:t>EPA Response:</w:t>
      </w:r>
      <w:r w:rsidR="007657A7" w:rsidRPr="00070930">
        <w:rPr>
          <w:rFonts w:asciiTheme="minorHAnsi" w:hAnsiTheme="minorHAnsi" w:cstheme="minorBidi"/>
          <w:b/>
          <w:bCs/>
          <w:sz w:val="22"/>
          <w:szCs w:val="22"/>
        </w:rPr>
        <w:t xml:space="preserve"> </w:t>
      </w:r>
      <w:r w:rsidRPr="00070930">
        <w:rPr>
          <w:rFonts w:asciiTheme="minorHAnsi" w:eastAsia="Calibri" w:hAnsiTheme="minorHAnsi"/>
          <w:i/>
          <w:color w:val="000000" w:themeColor="text1"/>
          <w:sz w:val="22"/>
          <w:szCs w:val="22"/>
        </w:rPr>
        <w:t>These studies are not appropriate for consideration of effects to a single individual</w:t>
      </w:r>
      <w:r w:rsidR="00537CB5">
        <w:rPr>
          <w:rFonts w:asciiTheme="minorHAnsi" w:eastAsia="Calibri" w:hAnsiTheme="minorHAnsi"/>
          <w:i/>
          <w:color w:val="000000" w:themeColor="text1"/>
          <w:sz w:val="22"/>
          <w:szCs w:val="22"/>
        </w:rPr>
        <w:t xml:space="preserve"> because</w:t>
      </w:r>
      <w:r w:rsidR="00B22576">
        <w:rPr>
          <w:rFonts w:asciiTheme="minorHAnsi" w:eastAsia="Calibri" w:hAnsiTheme="minorHAnsi"/>
          <w:i/>
          <w:color w:val="000000" w:themeColor="text1"/>
          <w:sz w:val="22"/>
          <w:szCs w:val="22"/>
        </w:rPr>
        <w:t xml:space="preserve"> of historical challenges in interpreting these types of studies and the ability to discern a potential effect as </w:t>
      </w:r>
      <w:r w:rsidR="00B22576" w:rsidRPr="00B35FCC">
        <w:rPr>
          <w:rFonts w:asciiTheme="minorHAnsi" w:eastAsia="Calibri" w:hAnsiTheme="minorHAnsi" w:cstheme="minorHAnsi"/>
          <w:i/>
          <w:color w:val="000000" w:themeColor="text1"/>
          <w:sz w:val="22"/>
          <w:szCs w:val="22"/>
        </w:rPr>
        <w:t>chemically-mediated or by some other variable</w:t>
      </w:r>
      <w:r w:rsidRPr="00406A53">
        <w:rPr>
          <w:rFonts w:asciiTheme="minorHAnsi" w:eastAsia="Calibri" w:hAnsiTheme="minorHAnsi" w:cstheme="minorHAnsi"/>
          <w:i/>
          <w:color w:val="000000" w:themeColor="text1"/>
          <w:sz w:val="22"/>
          <w:szCs w:val="22"/>
        </w:rPr>
        <w:t xml:space="preserve">. These studies and results </w:t>
      </w:r>
      <w:r w:rsidR="00B22576" w:rsidRPr="00406A53">
        <w:rPr>
          <w:rFonts w:asciiTheme="minorHAnsi" w:eastAsia="Calibri" w:hAnsiTheme="minorHAnsi" w:cstheme="minorHAnsi"/>
          <w:i/>
          <w:color w:val="000000" w:themeColor="text1"/>
          <w:sz w:val="22"/>
          <w:szCs w:val="22"/>
        </w:rPr>
        <w:t>may be</w:t>
      </w:r>
      <w:r w:rsidR="00D163C2" w:rsidRPr="00406A53">
        <w:rPr>
          <w:rFonts w:asciiTheme="minorHAnsi" w:eastAsia="Calibri" w:hAnsiTheme="minorHAnsi" w:cstheme="minorHAnsi"/>
          <w:i/>
          <w:color w:val="000000" w:themeColor="text1"/>
          <w:sz w:val="22"/>
          <w:szCs w:val="22"/>
        </w:rPr>
        <w:t xml:space="preserve"> </w:t>
      </w:r>
      <w:r w:rsidRPr="00A10D88">
        <w:rPr>
          <w:rFonts w:asciiTheme="minorHAnsi" w:eastAsia="Calibri" w:hAnsiTheme="minorHAnsi" w:cstheme="minorHAnsi"/>
          <w:i/>
          <w:color w:val="000000" w:themeColor="text1"/>
          <w:sz w:val="22"/>
          <w:szCs w:val="22"/>
        </w:rPr>
        <w:t>considered in community</w:t>
      </w:r>
      <w:r w:rsidR="00B72ADC" w:rsidRPr="00D745F2">
        <w:rPr>
          <w:rFonts w:asciiTheme="minorHAnsi" w:eastAsia="Calibri" w:hAnsiTheme="minorHAnsi" w:cstheme="minorHAnsi"/>
          <w:i/>
          <w:color w:val="000000" w:themeColor="text1"/>
          <w:sz w:val="22"/>
          <w:szCs w:val="22"/>
        </w:rPr>
        <w:t>-</w:t>
      </w:r>
      <w:r w:rsidRPr="00D745F2">
        <w:rPr>
          <w:rFonts w:asciiTheme="minorHAnsi" w:eastAsia="Calibri" w:hAnsiTheme="minorHAnsi" w:cstheme="minorHAnsi"/>
          <w:i/>
          <w:color w:val="000000" w:themeColor="text1"/>
          <w:sz w:val="22"/>
          <w:szCs w:val="22"/>
        </w:rPr>
        <w:t>level effects determinations</w:t>
      </w:r>
      <w:r w:rsidR="00070930" w:rsidRPr="00D745F2">
        <w:rPr>
          <w:rFonts w:asciiTheme="minorHAnsi" w:eastAsia="Calibri" w:hAnsiTheme="minorHAnsi" w:cstheme="minorHAnsi"/>
          <w:i/>
          <w:color w:val="000000" w:themeColor="text1"/>
          <w:sz w:val="22"/>
          <w:szCs w:val="22"/>
        </w:rPr>
        <w:t xml:space="preserve">, </w:t>
      </w:r>
      <w:bookmarkStart w:id="59" w:name="_Hlk101354213"/>
      <w:r w:rsidR="00070930" w:rsidRPr="00D745F2">
        <w:rPr>
          <w:rFonts w:asciiTheme="minorHAnsi" w:eastAsia="Calibri" w:hAnsiTheme="minorHAnsi" w:cstheme="minorHAnsi"/>
          <w:i/>
          <w:color w:val="000000" w:themeColor="text1"/>
          <w:sz w:val="22"/>
          <w:szCs w:val="22"/>
        </w:rPr>
        <w:t xml:space="preserve">and therefore </w:t>
      </w:r>
      <w:r w:rsidR="009C0263">
        <w:rPr>
          <w:rFonts w:asciiTheme="minorHAnsi" w:eastAsia="Calibri" w:hAnsiTheme="minorHAnsi" w:cstheme="minorHAnsi"/>
          <w:i/>
          <w:color w:val="000000" w:themeColor="text1"/>
          <w:sz w:val="22"/>
          <w:szCs w:val="22"/>
        </w:rPr>
        <w:t>may</w:t>
      </w:r>
      <w:r w:rsidR="009C0263" w:rsidRPr="00D745F2">
        <w:rPr>
          <w:rFonts w:asciiTheme="minorHAnsi" w:eastAsia="Calibri" w:hAnsiTheme="minorHAnsi" w:cstheme="minorHAnsi"/>
          <w:i/>
          <w:color w:val="000000" w:themeColor="text1"/>
          <w:sz w:val="22"/>
          <w:szCs w:val="22"/>
        </w:rPr>
        <w:t xml:space="preserve"> </w:t>
      </w:r>
      <w:r w:rsidR="00070930" w:rsidRPr="00D745F2">
        <w:rPr>
          <w:rFonts w:asciiTheme="minorHAnsi" w:eastAsia="Calibri" w:hAnsiTheme="minorHAnsi" w:cstheme="minorHAnsi"/>
          <w:i/>
          <w:color w:val="000000" w:themeColor="text1"/>
          <w:sz w:val="22"/>
          <w:szCs w:val="22"/>
        </w:rPr>
        <w:t>be</w:t>
      </w:r>
      <w:r w:rsidR="007F66A4" w:rsidRPr="00D745F2">
        <w:rPr>
          <w:rFonts w:asciiTheme="minorHAnsi" w:eastAsia="Calibri" w:hAnsiTheme="minorHAnsi" w:cstheme="minorHAnsi"/>
          <w:i/>
          <w:color w:val="000000" w:themeColor="text1"/>
          <w:sz w:val="22"/>
          <w:szCs w:val="22"/>
        </w:rPr>
        <w:t xml:space="preserve"> discussed with the Services during consul</w:t>
      </w:r>
      <w:r w:rsidR="00154BCC" w:rsidRPr="001507AB">
        <w:rPr>
          <w:rFonts w:asciiTheme="minorHAnsi" w:eastAsia="Calibri" w:hAnsiTheme="minorHAnsi" w:cstheme="minorHAnsi"/>
          <w:i/>
          <w:color w:val="000000" w:themeColor="text1"/>
          <w:sz w:val="22"/>
          <w:szCs w:val="22"/>
        </w:rPr>
        <w:t>t</w:t>
      </w:r>
      <w:r w:rsidR="007F66A4" w:rsidRPr="00B35FCC">
        <w:rPr>
          <w:rFonts w:asciiTheme="minorHAnsi" w:eastAsia="Calibri" w:hAnsiTheme="minorHAnsi" w:cstheme="minorHAnsi"/>
          <w:i/>
          <w:color w:val="000000" w:themeColor="text1"/>
          <w:sz w:val="22"/>
          <w:szCs w:val="22"/>
        </w:rPr>
        <w:t>ation</w:t>
      </w:r>
      <w:r w:rsidR="00A10D88" w:rsidRPr="00B35FCC">
        <w:rPr>
          <w:rFonts w:asciiTheme="minorHAnsi" w:eastAsia="Calibri" w:hAnsiTheme="minorHAnsi" w:cstheme="minorHAnsi"/>
          <w:i/>
          <w:color w:val="000000" w:themeColor="text1"/>
          <w:sz w:val="22"/>
          <w:szCs w:val="22"/>
        </w:rPr>
        <w:t>,</w:t>
      </w:r>
      <w:r w:rsidR="00B22576" w:rsidRPr="00B35FCC">
        <w:rPr>
          <w:rFonts w:asciiTheme="minorHAnsi" w:eastAsia="Calibri" w:hAnsiTheme="minorHAnsi" w:cstheme="minorHAnsi"/>
          <w:i/>
          <w:color w:val="000000" w:themeColor="text1"/>
          <w:sz w:val="22"/>
          <w:szCs w:val="22"/>
        </w:rPr>
        <w:t xml:space="preserve"> if appropriate</w:t>
      </w:r>
      <w:r w:rsidR="00070930" w:rsidRPr="007F0163">
        <w:rPr>
          <w:rFonts w:asciiTheme="minorHAnsi" w:eastAsia="Calibri" w:hAnsiTheme="minorHAnsi" w:cstheme="minorHAnsi"/>
          <w:i/>
          <w:color w:val="000000" w:themeColor="text1"/>
          <w:sz w:val="22"/>
          <w:szCs w:val="22"/>
        </w:rPr>
        <w:t>.</w:t>
      </w:r>
      <w:r w:rsidR="00202276">
        <w:rPr>
          <w:rFonts w:asciiTheme="minorHAnsi" w:eastAsia="Calibri" w:hAnsiTheme="minorHAnsi"/>
          <w:i/>
          <w:color w:val="000000" w:themeColor="text1"/>
          <w:sz w:val="22"/>
          <w:szCs w:val="22"/>
        </w:rPr>
        <w:t xml:space="preserve"> </w:t>
      </w:r>
    </w:p>
    <w:bookmarkEnd w:id="59"/>
    <w:p w14:paraId="41E37115" w14:textId="77777777" w:rsidR="00FE7FE2" w:rsidRPr="007657A7" w:rsidRDefault="00FE7FE2" w:rsidP="00DF050F">
      <w:pPr>
        <w:pStyle w:val="Default"/>
        <w:rPr>
          <w:rFonts w:eastAsia="Calibri"/>
          <w:i/>
          <w:iCs/>
          <w:color w:val="000000" w:themeColor="text1"/>
        </w:rPr>
      </w:pPr>
    </w:p>
    <w:p w14:paraId="45B482A6" w14:textId="0C4EA6BD" w:rsidR="00FE7FE2" w:rsidRPr="007657A7" w:rsidRDefault="00FE7FE2" w:rsidP="00DF050F">
      <w:pPr>
        <w:pStyle w:val="Default"/>
        <w:keepNext/>
        <w:keepLines/>
        <w:rPr>
          <w:rFonts w:asciiTheme="minorHAnsi" w:hAnsiTheme="minorHAnsi" w:cstheme="minorHAnsi"/>
          <w:sz w:val="22"/>
          <w:szCs w:val="22"/>
        </w:rPr>
      </w:pPr>
      <w:r w:rsidRPr="007657A7">
        <w:rPr>
          <w:rFonts w:asciiTheme="minorHAnsi" w:hAnsiTheme="minorHAnsi" w:cstheme="minorHAnsi"/>
          <w:b/>
          <w:bCs/>
          <w:sz w:val="22"/>
          <w:szCs w:val="22"/>
        </w:rPr>
        <w:t>Comment:</w:t>
      </w:r>
      <w:r w:rsidRPr="007657A7">
        <w:rPr>
          <w:rFonts w:asciiTheme="minorHAnsi" w:hAnsiTheme="minorHAnsi" w:cstheme="minorHAnsi"/>
          <w:sz w:val="22"/>
          <w:szCs w:val="22"/>
        </w:rPr>
        <w:t xml:space="preserve"> Acute oral toxicity</w:t>
      </w:r>
      <w:r w:rsidRPr="007657A7">
        <w:rPr>
          <w:rFonts w:asciiTheme="minorHAnsi" w:hAnsiTheme="minorHAnsi" w:cstheme="minorHAnsi"/>
          <w:spacing w:val="-1"/>
          <w:sz w:val="22"/>
          <w:szCs w:val="22"/>
        </w:rPr>
        <w:t xml:space="preserve"> </w:t>
      </w:r>
      <w:r w:rsidRPr="007657A7">
        <w:rPr>
          <w:rFonts w:asciiTheme="minorHAnsi" w:hAnsiTheme="minorHAnsi" w:cstheme="minorHAnsi"/>
          <w:sz w:val="22"/>
          <w:szCs w:val="22"/>
        </w:rPr>
        <w:t>data</w:t>
      </w:r>
      <w:r w:rsidRPr="007657A7">
        <w:rPr>
          <w:rFonts w:asciiTheme="minorHAnsi" w:hAnsiTheme="minorHAnsi" w:cstheme="minorHAnsi"/>
          <w:spacing w:val="-1"/>
          <w:sz w:val="22"/>
          <w:szCs w:val="22"/>
        </w:rPr>
        <w:t xml:space="preserve"> </w:t>
      </w:r>
      <w:r w:rsidRPr="007657A7">
        <w:rPr>
          <w:rFonts w:asciiTheme="minorHAnsi" w:hAnsiTheme="minorHAnsi" w:cstheme="minorHAnsi"/>
          <w:sz w:val="22"/>
          <w:szCs w:val="22"/>
        </w:rPr>
        <w:t>on imidacloprid for six species</w:t>
      </w:r>
      <w:r w:rsidRPr="007657A7">
        <w:rPr>
          <w:rFonts w:asciiTheme="minorHAnsi" w:hAnsiTheme="minorHAnsi" w:cstheme="minorHAnsi"/>
          <w:spacing w:val="2"/>
          <w:sz w:val="22"/>
          <w:szCs w:val="22"/>
        </w:rPr>
        <w:t xml:space="preserve"> </w:t>
      </w:r>
      <w:r w:rsidRPr="007657A7">
        <w:rPr>
          <w:rFonts w:asciiTheme="minorHAnsi" w:hAnsiTheme="minorHAnsi" w:cstheme="minorHAnsi"/>
          <w:sz w:val="22"/>
          <w:szCs w:val="22"/>
        </w:rPr>
        <w:t>of birds, representing five taxonomic</w:t>
      </w:r>
    </w:p>
    <w:p w14:paraId="3904F8F1" w14:textId="06E64CAD" w:rsidR="00FE7FE2" w:rsidRPr="006A78F6" w:rsidRDefault="00FE7FE2" w:rsidP="00DF050F">
      <w:pPr>
        <w:pStyle w:val="BodyText"/>
        <w:kinsoku w:val="0"/>
        <w:overflowPunct w:val="0"/>
        <w:ind w:right="865"/>
        <w:rPr>
          <w:rFonts w:asciiTheme="minorHAnsi" w:hAnsiTheme="minorHAnsi" w:cstheme="minorHAnsi"/>
          <w:sz w:val="22"/>
          <w:szCs w:val="22"/>
        </w:rPr>
      </w:pPr>
      <w:r w:rsidRPr="007657A7">
        <w:rPr>
          <w:rFonts w:asciiTheme="minorHAnsi" w:hAnsiTheme="minorHAnsi" w:cstheme="minorHAnsi"/>
          <w:sz w:val="22"/>
          <w:szCs w:val="22"/>
        </w:rPr>
        <w:t>orders,</w:t>
      </w:r>
      <w:r w:rsidRPr="007657A7">
        <w:rPr>
          <w:rFonts w:asciiTheme="minorHAnsi" w:hAnsiTheme="minorHAnsi" w:cstheme="minorHAnsi"/>
          <w:spacing w:val="-2"/>
          <w:sz w:val="22"/>
          <w:szCs w:val="22"/>
        </w:rPr>
        <w:t xml:space="preserve"> </w:t>
      </w:r>
      <w:r w:rsidRPr="007657A7">
        <w:rPr>
          <w:rFonts w:asciiTheme="minorHAnsi" w:hAnsiTheme="minorHAnsi" w:cstheme="minorHAnsi"/>
          <w:sz w:val="22"/>
          <w:szCs w:val="22"/>
        </w:rPr>
        <w:t>is available which the Agency considers</w:t>
      </w:r>
      <w:r w:rsidRPr="006A78F6">
        <w:rPr>
          <w:rFonts w:asciiTheme="minorHAnsi" w:hAnsiTheme="minorHAnsi" w:cstheme="minorHAnsi"/>
          <w:spacing w:val="-3"/>
          <w:sz w:val="22"/>
          <w:szCs w:val="22"/>
        </w:rPr>
        <w:t xml:space="preserve"> </w:t>
      </w:r>
      <w:r w:rsidRPr="006A78F6">
        <w:rPr>
          <w:rFonts w:asciiTheme="minorHAnsi" w:hAnsiTheme="minorHAnsi" w:cstheme="minorHAnsi"/>
          <w:sz w:val="22"/>
          <w:szCs w:val="22"/>
        </w:rPr>
        <w:t>acceptable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for quantitative use in an</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assessment (</w:t>
      </w:r>
      <w:r w:rsidRPr="003A3BAD">
        <w:rPr>
          <w:rFonts w:asciiTheme="minorHAnsi" w:hAnsiTheme="minorHAnsi" w:cstheme="minorHAnsi"/>
          <w:b/>
          <w:bCs/>
          <w:sz w:val="22"/>
          <w:szCs w:val="22"/>
        </w:rPr>
        <w:t xml:space="preserve">Table </w:t>
      </w:r>
      <w:r w:rsidR="00424558" w:rsidRPr="003A3BAD">
        <w:rPr>
          <w:rFonts w:asciiTheme="minorHAnsi" w:hAnsiTheme="minorHAnsi" w:cstheme="minorHAnsi"/>
          <w:b/>
          <w:bCs/>
          <w:sz w:val="22"/>
          <w:szCs w:val="22"/>
        </w:rPr>
        <w:t>3-5</w:t>
      </w:r>
      <w:r w:rsidRPr="006A78F6">
        <w:rPr>
          <w:rFonts w:asciiTheme="minorHAnsi" w:hAnsiTheme="minorHAnsi" w:cstheme="minorHAnsi"/>
          <w:sz w:val="22"/>
          <w:szCs w:val="22"/>
        </w:rPr>
        <w:t>). The breadth</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of data allows for dose-based mortality</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 xml:space="preserve">thresholds for some listed </w:t>
      </w:r>
      <w:r w:rsidRPr="006A78F6">
        <w:rPr>
          <w:rFonts w:asciiTheme="minorHAnsi" w:hAnsiTheme="minorHAnsi" w:cstheme="minorHAnsi"/>
          <w:position w:val="1"/>
          <w:sz w:val="22"/>
          <w:szCs w:val="22"/>
        </w:rPr>
        <w:t>species</w:t>
      </w:r>
      <w:r w:rsidRPr="006A78F6">
        <w:rPr>
          <w:rFonts w:asciiTheme="minorHAnsi" w:hAnsiTheme="minorHAnsi" w:cstheme="minorHAnsi"/>
          <w:spacing w:val="-1"/>
          <w:position w:val="1"/>
          <w:sz w:val="22"/>
          <w:szCs w:val="22"/>
        </w:rPr>
        <w:t xml:space="preserve"> </w:t>
      </w:r>
      <w:r w:rsidRPr="006A78F6">
        <w:rPr>
          <w:rFonts w:asciiTheme="minorHAnsi" w:hAnsiTheme="minorHAnsi" w:cstheme="minorHAnsi"/>
          <w:position w:val="1"/>
          <w:sz w:val="22"/>
          <w:szCs w:val="22"/>
        </w:rPr>
        <w:t>to be derived</w:t>
      </w:r>
      <w:r w:rsidRPr="006A78F6">
        <w:rPr>
          <w:rFonts w:asciiTheme="minorHAnsi" w:hAnsiTheme="minorHAnsi" w:cstheme="minorHAnsi"/>
          <w:spacing w:val="-2"/>
          <w:position w:val="1"/>
          <w:sz w:val="22"/>
          <w:szCs w:val="22"/>
        </w:rPr>
        <w:t xml:space="preserve"> </w:t>
      </w:r>
      <w:r w:rsidRPr="006A78F6">
        <w:rPr>
          <w:rFonts w:asciiTheme="minorHAnsi" w:hAnsiTheme="minorHAnsi" w:cstheme="minorHAnsi"/>
          <w:position w:val="1"/>
          <w:sz w:val="22"/>
          <w:szCs w:val="22"/>
        </w:rPr>
        <w:t xml:space="preserve">from </w:t>
      </w:r>
      <w:r w:rsidR="00CC0D64">
        <w:rPr>
          <w:rFonts w:asciiTheme="minorHAnsi" w:hAnsiTheme="minorHAnsi" w:cstheme="minorHAnsi"/>
          <w:position w:val="1"/>
          <w:sz w:val="22"/>
          <w:szCs w:val="22"/>
        </w:rPr>
        <w:t>LD</w:t>
      </w:r>
      <w:r w:rsidR="00CC0D64">
        <w:rPr>
          <w:rFonts w:asciiTheme="minorHAnsi" w:hAnsiTheme="minorHAnsi" w:cstheme="minorHAnsi"/>
          <w:position w:val="1"/>
          <w:sz w:val="22"/>
          <w:szCs w:val="22"/>
          <w:vertAlign w:val="subscript"/>
        </w:rPr>
        <w:t>50</w:t>
      </w:r>
      <w:r w:rsidRPr="006A78F6">
        <w:rPr>
          <w:rFonts w:asciiTheme="minorHAnsi" w:hAnsiTheme="minorHAnsi" w:cstheme="minorHAnsi"/>
          <w:spacing w:val="20"/>
          <w:sz w:val="22"/>
          <w:szCs w:val="22"/>
        </w:rPr>
        <w:t xml:space="preserve"> </w:t>
      </w:r>
      <w:r w:rsidRPr="006A78F6">
        <w:rPr>
          <w:rFonts w:asciiTheme="minorHAnsi" w:hAnsiTheme="minorHAnsi" w:cstheme="minorHAnsi"/>
          <w:position w:val="1"/>
          <w:sz w:val="22"/>
          <w:szCs w:val="22"/>
        </w:rPr>
        <w:t>values of surrogate species</w:t>
      </w:r>
      <w:r w:rsidRPr="006A78F6">
        <w:rPr>
          <w:rFonts w:asciiTheme="minorHAnsi" w:hAnsiTheme="minorHAnsi" w:cstheme="minorHAnsi"/>
          <w:spacing w:val="-1"/>
          <w:position w:val="1"/>
          <w:sz w:val="22"/>
          <w:szCs w:val="22"/>
        </w:rPr>
        <w:t xml:space="preserve"> </w:t>
      </w:r>
      <w:r w:rsidRPr="006A78F6">
        <w:rPr>
          <w:rFonts w:asciiTheme="minorHAnsi" w:hAnsiTheme="minorHAnsi" w:cstheme="minorHAnsi"/>
          <w:position w:val="1"/>
          <w:sz w:val="22"/>
          <w:szCs w:val="22"/>
        </w:rPr>
        <w:t>in</w:t>
      </w:r>
      <w:r w:rsidRPr="006A78F6">
        <w:rPr>
          <w:rFonts w:asciiTheme="minorHAnsi" w:hAnsiTheme="minorHAnsi" w:cstheme="minorHAnsi"/>
          <w:spacing w:val="-1"/>
          <w:position w:val="1"/>
          <w:sz w:val="22"/>
          <w:szCs w:val="22"/>
        </w:rPr>
        <w:t xml:space="preserve"> </w:t>
      </w:r>
      <w:r w:rsidRPr="006A78F6">
        <w:rPr>
          <w:rFonts w:asciiTheme="minorHAnsi" w:hAnsiTheme="minorHAnsi" w:cstheme="minorHAnsi"/>
          <w:position w:val="1"/>
          <w:sz w:val="22"/>
          <w:szCs w:val="22"/>
        </w:rPr>
        <w:t xml:space="preserve">the same taxonomic order. This </w:t>
      </w:r>
      <w:r w:rsidRPr="006A78F6">
        <w:rPr>
          <w:rFonts w:asciiTheme="minorHAnsi" w:hAnsiTheme="minorHAnsi" w:cstheme="minorHAnsi"/>
          <w:sz w:val="22"/>
          <w:szCs w:val="22"/>
        </w:rPr>
        <w:t>approach</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is comparable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to EPA’s approach to use reptile data for evaluation of listed</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reptiles, when available, instead of avian data, in an effort to rely on data from</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the most representative surrogate, and should be</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considered</w:t>
      </w:r>
      <w:r w:rsidRPr="006A78F6">
        <w:rPr>
          <w:rFonts w:asciiTheme="minorHAnsi" w:hAnsiTheme="minorHAnsi" w:cstheme="minorHAnsi"/>
          <w:spacing w:val="-2"/>
          <w:sz w:val="22"/>
          <w:szCs w:val="22"/>
        </w:rPr>
        <w:t xml:space="preserve"> </w:t>
      </w:r>
      <w:r w:rsidRPr="006A78F6">
        <w:rPr>
          <w:rFonts w:asciiTheme="minorHAnsi" w:hAnsiTheme="minorHAnsi" w:cstheme="minorHAnsi"/>
          <w:sz w:val="22"/>
          <w:szCs w:val="22"/>
        </w:rPr>
        <w:t>by EPA</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in the final BE.</w:t>
      </w:r>
    </w:p>
    <w:p w14:paraId="0ECEF8D7" w14:textId="63A3AC04" w:rsidR="00FE7FE2" w:rsidRPr="006A78F6" w:rsidRDefault="00FE7FE2" w:rsidP="00DF050F">
      <w:pPr>
        <w:pStyle w:val="Title"/>
        <w:keepNext/>
        <w:keepLines/>
        <w:kinsoku w:val="0"/>
        <w:overflowPunct w:val="0"/>
        <w:rPr>
          <w:rFonts w:asciiTheme="minorHAnsi" w:hAnsiTheme="minorHAnsi" w:cstheme="minorHAnsi"/>
          <w:sz w:val="22"/>
          <w:szCs w:val="22"/>
        </w:rPr>
      </w:pPr>
      <w:r w:rsidRPr="006A78F6">
        <w:rPr>
          <w:rFonts w:asciiTheme="minorHAnsi" w:hAnsiTheme="minorHAnsi" w:cstheme="minorHAnsi"/>
          <w:sz w:val="22"/>
          <w:szCs w:val="22"/>
        </w:rPr>
        <w:lastRenderedPageBreak/>
        <w:t xml:space="preserve">Table </w:t>
      </w:r>
      <w:r w:rsidR="00424558">
        <w:rPr>
          <w:rFonts w:asciiTheme="minorHAnsi" w:hAnsiTheme="minorHAnsi" w:cstheme="minorHAnsi"/>
          <w:sz w:val="22"/>
          <w:szCs w:val="22"/>
        </w:rPr>
        <w:t>3-5</w:t>
      </w:r>
      <w:r w:rsidRPr="006A78F6">
        <w:rPr>
          <w:rFonts w:asciiTheme="minorHAnsi" w:hAnsiTheme="minorHAnsi" w:cstheme="minorHAnsi"/>
          <w:sz w:val="22"/>
          <w:szCs w:val="22"/>
        </w:rPr>
        <w:t>.</w:t>
      </w:r>
      <w:r w:rsidRPr="006A78F6">
        <w:rPr>
          <w:rFonts w:asciiTheme="minorHAnsi" w:hAnsiTheme="minorHAnsi" w:cstheme="minorHAnsi"/>
          <w:spacing w:val="59"/>
          <w:sz w:val="22"/>
          <w:szCs w:val="22"/>
        </w:rPr>
        <w:t xml:space="preserve"> </w:t>
      </w:r>
      <w:r w:rsidRPr="006A78F6">
        <w:rPr>
          <w:rFonts w:asciiTheme="minorHAnsi" w:hAnsiTheme="minorHAnsi" w:cstheme="minorHAnsi"/>
          <w:sz w:val="22"/>
          <w:szCs w:val="22"/>
        </w:rPr>
        <w:t>Acute Bird Mortality Endpoints Grouped for Surrogacy per Taxonomic</w:t>
      </w:r>
      <w:r w:rsidRPr="006A78F6">
        <w:rPr>
          <w:rFonts w:asciiTheme="minorHAnsi" w:hAnsiTheme="minorHAnsi" w:cstheme="minorHAnsi"/>
          <w:spacing w:val="-1"/>
          <w:sz w:val="22"/>
          <w:szCs w:val="22"/>
        </w:rPr>
        <w:t xml:space="preserve"> </w:t>
      </w:r>
      <w:r w:rsidRPr="006A78F6">
        <w:rPr>
          <w:rFonts w:asciiTheme="minorHAnsi" w:hAnsiTheme="minorHAnsi" w:cstheme="minorHAnsi"/>
          <w:sz w:val="22"/>
          <w:szCs w:val="22"/>
        </w:rPr>
        <w:t>Order</w:t>
      </w:r>
    </w:p>
    <w:tbl>
      <w:tblPr>
        <w:tblW w:w="943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5"/>
        <w:gridCol w:w="2070"/>
        <w:gridCol w:w="1530"/>
        <w:gridCol w:w="810"/>
        <w:gridCol w:w="2070"/>
        <w:gridCol w:w="1530"/>
      </w:tblGrid>
      <w:tr w:rsidR="00FE7FE2" w:rsidRPr="00967653" w14:paraId="43C9A12B" w14:textId="77777777" w:rsidTr="00BB577E">
        <w:trPr>
          <w:cantSplit/>
          <w:trHeight w:val="460"/>
          <w:tblHeader/>
        </w:trPr>
        <w:tc>
          <w:tcPr>
            <w:tcW w:w="1425" w:type="dxa"/>
            <w:vAlign w:val="center"/>
          </w:tcPr>
          <w:p w14:paraId="352D07EE" w14:textId="77777777" w:rsidR="00FE7FE2" w:rsidRPr="00967653" w:rsidRDefault="00FE7FE2" w:rsidP="00DF050F">
            <w:pPr>
              <w:pStyle w:val="TableParagraph"/>
              <w:keepNext/>
              <w:keepLines/>
              <w:kinsoku w:val="0"/>
              <w:overflowPunct w:val="0"/>
              <w:rPr>
                <w:rFonts w:asciiTheme="minorHAnsi" w:hAnsiTheme="minorHAnsi" w:cstheme="minorHAnsi"/>
                <w:b/>
              </w:rPr>
            </w:pPr>
            <w:r w:rsidRPr="00967653">
              <w:rPr>
                <w:rFonts w:asciiTheme="minorHAnsi" w:hAnsiTheme="minorHAnsi" w:cstheme="minorHAnsi"/>
                <w:b/>
              </w:rPr>
              <w:t>Taxonomic</w:t>
            </w:r>
          </w:p>
        </w:tc>
        <w:tc>
          <w:tcPr>
            <w:tcW w:w="2070" w:type="dxa"/>
            <w:vAlign w:val="center"/>
          </w:tcPr>
          <w:p w14:paraId="1B95F54D" w14:textId="77777777" w:rsidR="00FE7FE2" w:rsidRPr="00967653" w:rsidRDefault="00FE7FE2" w:rsidP="00DF050F">
            <w:pPr>
              <w:pStyle w:val="TableParagraph"/>
              <w:keepNext/>
              <w:keepLines/>
              <w:kinsoku w:val="0"/>
              <w:overflowPunct w:val="0"/>
              <w:spacing w:before="115"/>
              <w:rPr>
                <w:rFonts w:asciiTheme="minorHAnsi" w:hAnsiTheme="minorHAnsi" w:cstheme="minorHAnsi"/>
                <w:b/>
              </w:rPr>
            </w:pPr>
            <w:r w:rsidRPr="00967653">
              <w:rPr>
                <w:rFonts w:asciiTheme="minorHAnsi" w:hAnsiTheme="minorHAnsi" w:cstheme="minorHAnsi"/>
                <w:b/>
              </w:rPr>
              <w:t>Test</w:t>
            </w:r>
            <w:r w:rsidRPr="00967653">
              <w:rPr>
                <w:rFonts w:asciiTheme="minorHAnsi" w:hAnsiTheme="minorHAnsi" w:cstheme="minorHAnsi"/>
                <w:b/>
                <w:spacing w:val="-1"/>
              </w:rPr>
              <w:t xml:space="preserve"> </w:t>
            </w:r>
            <w:r w:rsidRPr="00967653">
              <w:rPr>
                <w:rFonts w:asciiTheme="minorHAnsi" w:hAnsiTheme="minorHAnsi" w:cstheme="minorHAnsi"/>
                <w:b/>
              </w:rPr>
              <w:t>Species</w:t>
            </w:r>
          </w:p>
        </w:tc>
        <w:tc>
          <w:tcPr>
            <w:tcW w:w="1530" w:type="dxa"/>
            <w:vAlign w:val="center"/>
          </w:tcPr>
          <w:p w14:paraId="62F05B85" w14:textId="77777777" w:rsidR="00FE7FE2" w:rsidRPr="00967653" w:rsidRDefault="00FE7FE2" w:rsidP="00DF050F">
            <w:pPr>
              <w:pStyle w:val="TableParagraph"/>
              <w:keepNext/>
              <w:keepLines/>
              <w:kinsoku w:val="0"/>
              <w:overflowPunct w:val="0"/>
              <w:rPr>
                <w:rFonts w:asciiTheme="minorHAnsi" w:hAnsiTheme="minorHAnsi" w:cstheme="minorHAnsi"/>
                <w:b/>
              </w:rPr>
            </w:pPr>
            <w:r w:rsidRPr="00967653">
              <w:rPr>
                <w:rFonts w:asciiTheme="minorHAnsi" w:hAnsiTheme="minorHAnsi" w:cstheme="minorHAnsi"/>
                <w:b/>
              </w:rPr>
              <w:t>LD</w:t>
            </w:r>
            <w:r w:rsidRPr="000D6DED">
              <w:rPr>
                <w:rFonts w:asciiTheme="minorHAnsi" w:hAnsiTheme="minorHAnsi" w:cstheme="minorHAnsi"/>
                <w:b/>
                <w:vertAlign w:val="subscript"/>
              </w:rPr>
              <w:t>50</w:t>
            </w:r>
          </w:p>
          <w:p w14:paraId="39F3E145" w14:textId="77777777" w:rsidR="00FE7FE2" w:rsidRPr="00967653" w:rsidRDefault="00FE7FE2" w:rsidP="00DF050F">
            <w:pPr>
              <w:pStyle w:val="TableParagraph"/>
              <w:keepNext/>
              <w:keepLines/>
              <w:kinsoku w:val="0"/>
              <w:overflowPunct w:val="0"/>
              <w:spacing w:line="210" w:lineRule="exact"/>
              <w:rPr>
                <w:rFonts w:asciiTheme="minorHAnsi" w:hAnsiTheme="minorHAnsi" w:cstheme="minorHAnsi"/>
                <w:b/>
              </w:rPr>
            </w:pPr>
            <w:r w:rsidRPr="00967653">
              <w:rPr>
                <w:rFonts w:asciiTheme="minorHAnsi" w:hAnsiTheme="minorHAnsi" w:cstheme="minorHAnsi"/>
                <w:b/>
              </w:rPr>
              <w:t>(mg</w:t>
            </w:r>
            <w:r w:rsidRPr="00967653">
              <w:rPr>
                <w:rFonts w:asciiTheme="minorHAnsi" w:hAnsiTheme="minorHAnsi" w:cstheme="minorHAnsi"/>
                <w:b/>
                <w:spacing w:val="-1"/>
              </w:rPr>
              <w:t xml:space="preserve"> </w:t>
            </w:r>
            <w:r w:rsidRPr="00967653">
              <w:rPr>
                <w:rFonts w:asciiTheme="minorHAnsi" w:hAnsiTheme="minorHAnsi" w:cstheme="minorHAnsi"/>
                <w:b/>
              </w:rPr>
              <w:t xml:space="preserve">a.i./kg </w:t>
            </w:r>
            <w:proofErr w:type="spellStart"/>
            <w:r w:rsidRPr="00967653">
              <w:rPr>
                <w:rFonts w:asciiTheme="minorHAnsi" w:hAnsiTheme="minorHAnsi" w:cstheme="minorHAnsi"/>
                <w:b/>
              </w:rPr>
              <w:t>bw</w:t>
            </w:r>
            <w:proofErr w:type="spellEnd"/>
            <w:r w:rsidRPr="00967653">
              <w:rPr>
                <w:rFonts w:asciiTheme="minorHAnsi" w:hAnsiTheme="minorHAnsi" w:cstheme="minorHAnsi"/>
                <w:b/>
              </w:rPr>
              <w:t>)</w:t>
            </w:r>
          </w:p>
        </w:tc>
        <w:tc>
          <w:tcPr>
            <w:tcW w:w="810" w:type="dxa"/>
            <w:vAlign w:val="center"/>
          </w:tcPr>
          <w:p w14:paraId="5C15F9BE" w14:textId="77777777" w:rsidR="00FE7FE2" w:rsidRPr="00967653" w:rsidRDefault="00FE7FE2" w:rsidP="00DF050F">
            <w:pPr>
              <w:pStyle w:val="TableParagraph"/>
              <w:keepNext/>
              <w:keepLines/>
              <w:kinsoku w:val="0"/>
              <w:overflowPunct w:val="0"/>
              <w:spacing w:before="115"/>
              <w:rPr>
                <w:rFonts w:asciiTheme="minorHAnsi" w:hAnsiTheme="minorHAnsi" w:cstheme="minorHAnsi"/>
                <w:b/>
                <w:position w:val="6"/>
              </w:rPr>
            </w:pPr>
            <w:r w:rsidRPr="00967653">
              <w:rPr>
                <w:rFonts w:asciiTheme="minorHAnsi" w:hAnsiTheme="minorHAnsi" w:cstheme="minorHAnsi"/>
                <w:b/>
              </w:rPr>
              <w:t>Slope</w:t>
            </w:r>
            <w:r w:rsidRPr="00967653">
              <w:rPr>
                <w:rFonts w:asciiTheme="minorHAnsi" w:hAnsiTheme="minorHAnsi" w:cstheme="minorHAnsi"/>
                <w:b/>
                <w:spacing w:val="-20"/>
              </w:rPr>
              <w:t xml:space="preserve"> </w:t>
            </w:r>
            <w:r w:rsidRPr="00967653">
              <w:rPr>
                <w:rFonts w:asciiTheme="minorHAnsi" w:hAnsiTheme="minorHAnsi" w:cstheme="minorHAnsi"/>
                <w:b/>
                <w:position w:val="6"/>
              </w:rPr>
              <w:t>a</w:t>
            </w:r>
          </w:p>
        </w:tc>
        <w:tc>
          <w:tcPr>
            <w:tcW w:w="2070" w:type="dxa"/>
            <w:vAlign w:val="center"/>
          </w:tcPr>
          <w:p w14:paraId="11559EB3" w14:textId="241D3637" w:rsidR="00967653" w:rsidRDefault="00FE7FE2" w:rsidP="00DF050F">
            <w:pPr>
              <w:pStyle w:val="TableParagraph"/>
              <w:keepNext/>
              <w:keepLines/>
              <w:kinsoku w:val="0"/>
              <w:overflowPunct w:val="0"/>
              <w:spacing w:line="230" w:lineRule="atLeast"/>
              <w:ind w:left="106" w:right="160"/>
              <w:rPr>
                <w:rFonts w:asciiTheme="minorHAnsi" w:hAnsiTheme="minorHAnsi" w:cstheme="minorHAnsi"/>
                <w:b/>
                <w:spacing w:val="-47"/>
              </w:rPr>
            </w:pPr>
            <w:r w:rsidRPr="00967653">
              <w:rPr>
                <w:rFonts w:asciiTheme="minorHAnsi" w:hAnsiTheme="minorHAnsi" w:cstheme="minorHAnsi"/>
                <w:b/>
              </w:rPr>
              <w:t>Study Classification</w:t>
            </w:r>
            <w:r w:rsidRPr="00967653">
              <w:rPr>
                <w:rFonts w:asciiTheme="minorHAnsi" w:hAnsiTheme="minorHAnsi" w:cstheme="minorHAnsi"/>
                <w:b/>
                <w:spacing w:val="-47"/>
              </w:rPr>
              <w:t xml:space="preserve"> </w:t>
            </w:r>
            <w:r w:rsidR="00967653">
              <w:rPr>
                <w:rFonts w:asciiTheme="minorHAnsi" w:hAnsiTheme="minorHAnsi" w:cstheme="minorHAnsi"/>
                <w:b/>
                <w:spacing w:val="-47"/>
              </w:rPr>
              <w:t xml:space="preserve"> </w:t>
            </w:r>
          </w:p>
          <w:p w14:paraId="521ADA85" w14:textId="20204722" w:rsidR="00FE7FE2" w:rsidRPr="00967653" w:rsidRDefault="00FE7FE2" w:rsidP="00DF050F">
            <w:pPr>
              <w:pStyle w:val="TableParagraph"/>
              <w:keepNext/>
              <w:keepLines/>
              <w:kinsoku w:val="0"/>
              <w:overflowPunct w:val="0"/>
              <w:spacing w:line="230" w:lineRule="atLeast"/>
              <w:ind w:left="106" w:right="160"/>
              <w:rPr>
                <w:rFonts w:asciiTheme="minorHAnsi" w:hAnsiTheme="minorHAnsi" w:cstheme="minorHAnsi"/>
                <w:b/>
              </w:rPr>
            </w:pPr>
            <w:r w:rsidRPr="00967653">
              <w:rPr>
                <w:rFonts w:asciiTheme="minorHAnsi" w:hAnsiTheme="minorHAnsi" w:cstheme="minorHAnsi"/>
                <w:b/>
              </w:rPr>
              <w:t>(EPA 2017)</w:t>
            </w:r>
          </w:p>
        </w:tc>
        <w:tc>
          <w:tcPr>
            <w:tcW w:w="1530" w:type="dxa"/>
            <w:vAlign w:val="center"/>
          </w:tcPr>
          <w:p w14:paraId="6B3DFAC1" w14:textId="77777777" w:rsidR="00FE7FE2" w:rsidRPr="00967653" w:rsidRDefault="00FE7FE2" w:rsidP="00DF050F">
            <w:pPr>
              <w:pStyle w:val="TableParagraph"/>
              <w:keepNext/>
              <w:keepLines/>
              <w:kinsoku w:val="0"/>
              <w:overflowPunct w:val="0"/>
              <w:spacing w:before="115"/>
              <w:ind w:left="106"/>
              <w:rPr>
                <w:rFonts w:asciiTheme="minorHAnsi" w:hAnsiTheme="minorHAnsi" w:cstheme="minorHAnsi"/>
                <w:b/>
              </w:rPr>
            </w:pPr>
            <w:r w:rsidRPr="00967653">
              <w:rPr>
                <w:rFonts w:asciiTheme="minorHAnsi" w:hAnsiTheme="minorHAnsi" w:cstheme="minorHAnsi"/>
                <w:b/>
              </w:rPr>
              <w:t>Reference</w:t>
            </w:r>
          </w:p>
        </w:tc>
      </w:tr>
      <w:tr w:rsidR="00FE7FE2" w:rsidRPr="00967653" w14:paraId="728082B4" w14:textId="77777777" w:rsidTr="00BB577E">
        <w:trPr>
          <w:trHeight w:val="205"/>
        </w:trPr>
        <w:tc>
          <w:tcPr>
            <w:tcW w:w="1425" w:type="dxa"/>
            <w:vMerge w:val="restart"/>
            <w:vAlign w:val="center"/>
          </w:tcPr>
          <w:p w14:paraId="2938CD8F" w14:textId="77777777" w:rsidR="00FE7FE2" w:rsidRPr="00967653" w:rsidRDefault="00FE7FE2" w:rsidP="00DF050F">
            <w:pPr>
              <w:pStyle w:val="TableParagraph"/>
              <w:keepNext/>
              <w:keepLines/>
              <w:kinsoku w:val="0"/>
              <w:overflowPunct w:val="0"/>
              <w:rPr>
                <w:rFonts w:asciiTheme="minorHAnsi" w:hAnsiTheme="minorHAnsi" w:cstheme="minorHAnsi"/>
              </w:rPr>
            </w:pPr>
            <w:r w:rsidRPr="00967653">
              <w:rPr>
                <w:rFonts w:asciiTheme="minorHAnsi" w:hAnsiTheme="minorHAnsi" w:cstheme="minorHAnsi"/>
              </w:rPr>
              <w:t>Galliformes</w:t>
            </w:r>
          </w:p>
        </w:tc>
        <w:tc>
          <w:tcPr>
            <w:tcW w:w="2070" w:type="dxa"/>
            <w:vMerge w:val="restart"/>
            <w:vAlign w:val="center"/>
          </w:tcPr>
          <w:p w14:paraId="03329FC0" w14:textId="77777777" w:rsidR="00FE7FE2" w:rsidRPr="00967653" w:rsidRDefault="00FE7FE2" w:rsidP="00DF050F">
            <w:pPr>
              <w:pStyle w:val="TableParagraph"/>
              <w:keepNext/>
              <w:keepLines/>
              <w:kinsoku w:val="0"/>
              <w:overflowPunct w:val="0"/>
              <w:spacing w:line="206" w:lineRule="exact"/>
              <w:ind w:right="213"/>
              <w:rPr>
                <w:rFonts w:asciiTheme="minorHAnsi" w:hAnsiTheme="minorHAnsi" w:cstheme="minorHAnsi"/>
              </w:rPr>
            </w:pPr>
            <w:r w:rsidRPr="00967653">
              <w:rPr>
                <w:rFonts w:asciiTheme="minorHAnsi" w:hAnsiTheme="minorHAnsi" w:cstheme="minorHAnsi"/>
              </w:rPr>
              <w:t>Japanese quail</w:t>
            </w:r>
            <w:r w:rsidRPr="00967653">
              <w:rPr>
                <w:rFonts w:asciiTheme="minorHAnsi" w:hAnsiTheme="minorHAnsi" w:cstheme="minorHAnsi"/>
                <w:spacing w:val="1"/>
              </w:rPr>
              <w:t xml:space="preserve"> </w:t>
            </w:r>
            <w:r w:rsidRPr="00967653">
              <w:rPr>
                <w:rFonts w:asciiTheme="minorHAnsi" w:hAnsiTheme="minorHAnsi" w:cstheme="minorHAnsi"/>
                <w:spacing w:val="-1"/>
              </w:rPr>
              <w:t>(</w:t>
            </w:r>
            <w:r w:rsidRPr="00967653">
              <w:rPr>
                <w:rFonts w:asciiTheme="minorHAnsi" w:hAnsiTheme="minorHAnsi" w:cstheme="minorHAnsi"/>
                <w:i/>
                <w:iCs/>
                <w:spacing w:val="-1"/>
              </w:rPr>
              <w:t>Coturnix</w:t>
            </w:r>
            <w:r w:rsidRPr="00967653">
              <w:rPr>
                <w:rFonts w:asciiTheme="minorHAnsi" w:hAnsiTheme="minorHAnsi" w:cstheme="minorHAnsi"/>
                <w:i/>
                <w:iCs/>
                <w:spacing w:val="-6"/>
              </w:rPr>
              <w:t xml:space="preserve"> </w:t>
            </w:r>
            <w:r w:rsidRPr="00967653">
              <w:rPr>
                <w:rFonts w:asciiTheme="minorHAnsi" w:hAnsiTheme="minorHAnsi" w:cstheme="minorHAnsi"/>
                <w:i/>
                <w:iCs/>
              </w:rPr>
              <w:t>japonica</w:t>
            </w:r>
            <w:r w:rsidRPr="00967653">
              <w:rPr>
                <w:rFonts w:asciiTheme="minorHAnsi" w:hAnsiTheme="minorHAnsi" w:cstheme="minorHAnsi"/>
              </w:rPr>
              <w:t>)</w:t>
            </w:r>
          </w:p>
        </w:tc>
        <w:tc>
          <w:tcPr>
            <w:tcW w:w="1530" w:type="dxa"/>
            <w:vAlign w:val="center"/>
          </w:tcPr>
          <w:p w14:paraId="48273016" w14:textId="77777777" w:rsidR="00FE7FE2" w:rsidRPr="00967653" w:rsidRDefault="00FE7FE2" w:rsidP="00DF050F">
            <w:pPr>
              <w:pStyle w:val="TableParagraph"/>
              <w:keepNext/>
              <w:keepLines/>
              <w:kinsoku w:val="0"/>
              <w:overflowPunct w:val="0"/>
              <w:spacing w:line="186" w:lineRule="exact"/>
              <w:rPr>
                <w:rFonts w:asciiTheme="minorHAnsi" w:hAnsiTheme="minorHAnsi" w:cstheme="minorHAnsi"/>
              </w:rPr>
            </w:pPr>
            <w:r w:rsidRPr="00967653">
              <w:rPr>
                <w:rFonts w:asciiTheme="minorHAnsi" w:hAnsiTheme="minorHAnsi" w:cstheme="minorHAnsi"/>
              </w:rPr>
              <w:t>17</w:t>
            </w:r>
          </w:p>
        </w:tc>
        <w:tc>
          <w:tcPr>
            <w:tcW w:w="810" w:type="dxa"/>
            <w:vAlign w:val="center"/>
          </w:tcPr>
          <w:p w14:paraId="226CA3B3" w14:textId="77777777" w:rsidR="00FE7FE2" w:rsidRPr="00967653" w:rsidRDefault="00FE7FE2" w:rsidP="00DF050F">
            <w:pPr>
              <w:pStyle w:val="TableParagraph"/>
              <w:keepNext/>
              <w:keepLines/>
              <w:kinsoku w:val="0"/>
              <w:overflowPunct w:val="0"/>
              <w:spacing w:line="186" w:lineRule="exact"/>
              <w:rPr>
                <w:rFonts w:asciiTheme="minorHAnsi" w:hAnsiTheme="minorHAnsi" w:cstheme="minorHAnsi"/>
                <w:vertAlign w:val="superscript"/>
              </w:rPr>
            </w:pPr>
            <w:r w:rsidRPr="00967653">
              <w:rPr>
                <w:rFonts w:asciiTheme="minorHAnsi" w:hAnsiTheme="minorHAnsi" w:cstheme="minorHAnsi"/>
              </w:rPr>
              <w:t>4.5</w:t>
            </w:r>
            <w:r w:rsidRPr="00967653">
              <w:rPr>
                <w:rFonts w:asciiTheme="minorHAnsi" w:hAnsiTheme="minorHAnsi" w:cstheme="minorHAnsi"/>
                <w:spacing w:val="-15"/>
              </w:rPr>
              <w:t xml:space="preserve"> </w:t>
            </w:r>
            <w:r w:rsidRPr="00967653">
              <w:rPr>
                <w:rFonts w:asciiTheme="minorHAnsi" w:hAnsiTheme="minorHAnsi" w:cstheme="minorHAnsi"/>
                <w:vertAlign w:val="superscript"/>
              </w:rPr>
              <w:t>b</w:t>
            </w:r>
          </w:p>
        </w:tc>
        <w:tc>
          <w:tcPr>
            <w:tcW w:w="2070" w:type="dxa"/>
            <w:vAlign w:val="center"/>
          </w:tcPr>
          <w:p w14:paraId="3CD0BD21" w14:textId="77777777" w:rsidR="00FE7FE2" w:rsidRPr="00967653" w:rsidRDefault="00FE7FE2" w:rsidP="00DF050F">
            <w:pPr>
              <w:pStyle w:val="TableParagraph"/>
              <w:keepNext/>
              <w:keepLines/>
              <w:kinsoku w:val="0"/>
              <w:overflowPunct w:val="0"/>
              <w:spacing w:line="186" w:lineRule="exact"/>
              <w:ind w:left="106"/>
              <w:rPr>
                <w:rFonts w:asciiTheme="minorHAnsi" w:hAnsiTheme="minorHAnsi" w:cstheme="minorHAnsi"/>
              </w:rPr>
            </w:pPr>
            <w:r w:rsidRPr="00967653">
              <w:rPr>
                <w:rFonts w:asciiTheme="minorHAnsi" w:hAnsiTheme="minorHAnsi" w:cstheme="minorHAnsi"/>
              </w:rPr>
              <w:t>Quantitative</w:t>
            </w:r>
          </w:p>
        </w:tc>
        <w:tc>
          <w:tcPr>
            <w:tcW w:w="1530" w:type="dxa"/>
            <w:vAlign w:val="center"/>
          </w:tcPr>
          <w:p w14:paraId="2EF4702F" w14:textId="77777777" w:rsidR="00FE7FE2" w:rsidRPr="00967653" w:rsidRDefault="00FE7FE2" w:rsidP="00DF050F">
            <w:pPr>
              <w:pStyle w:val="TableParagraph"/>
              <w:keepNext/>
              <w:keepLines/>
              <w:kinsoku w:val="0"/>
              <w:overflowPunct w:val="0"/>
              <w:spacing w:line="186" w:lineRule="exact"/>
              <w:rPr>
                <w:rFonts w:asciiTheme="minorHAnsi" w:hAnsiTheme="minorHAnsi" w:cstheme="minorHAnsi"/>
              </w:rPr>
            </w:pPr>
            <w:r w:rsidRPr="00967653">
              <w:rPr>
                <w:rFonts w:asciiTheme="minorHAnsi" w:hAnsiTheme="minorHAnsi" w:cstheme="minorHAnsi"/>
              </w:rPr>
              <w:t>MRID</w:t>
            </w:r>
            <w:r w:rsidRPr="00967653">
              <w:rPr>
                <w:rFonts w:asciiTheme="minorHAnsi" w:hAnsiTheme="minorHAnsi" w:cstheme="minorHAnsi"/>
                <w:spacing w:val="-2"/>
              </w:rPr>
              <w:t xml:space="preserve"> </w:t>
            </w:r>
            <w:r w:rsidRPr="00967653">
              <w:rPr>
                <w:rFonts w:asciiTheme="minorHAnsi" w:hAnsiTheme="minorHAnsi" w:cstheme="minorHAnsi"/>
              </w:rPr>
              <w:t>44457401</w:t>
            </w:r>
          </w:p>
        </w:tc>
      </w:tr>
      <w:tr w:rsidR="00FE7FE2" w:rsidRPr="00967653" w14:paraId="63F5B931" w14:textId="77777777" w:rsidTr="00BB577E">
        <w:trPr>
          <w:trHeight w:val="207"/>
        </w:trPr>
        <w:tc>
          <w:tcPr>
            <w:tcW w:w="1425" w:type="dxa"/>
            <w:vMerge/>
            <w:vAlign w:val="center"/>
          </w:tcPr>
          <w:p w14:paraId="4723261B" w14:textId="77777777" w:rsidR="00FE7FE2" w:rsidRPr="00967653" w:rsidRDefault="00FE7FE2" w:rsidP="00DF050F">
            <w:pPr>
              <w:pStyle w:val="BodyText"/>
              <w:keepNext/>
              <w:keepLines/>
              <w:kinsoku w:val="0"/>
              <w:overflowPunct w:val="0"/>
              <w:spacing w:after="21" w:line="223" w:lineRule="exact"/>
              <w:ind w:right="98"/>
              <w:rPr>
                <w:rFonts w:asciiTheme="minorHAnsi" w:hAnsiTheme="minorHAnsi" w:cstheme="minorHAnsi"/>
                <w:sz w:val="22"/>
                <w:szCs w:val="22"/>
              </w:rPr>
            </w:pPr>
          </w:p>
        </w:tc>
        <w:tc>
          <w:tcPr>
            <w:tcW w:w="2070" w:type="dxa"/>
            <w:vMerge/>
            <w:vAlign w:val="center"/>
          </w:tcPr>
          <w:p w14:paraId="2A79B73F" w14:textId="77777777" w:rsidR="00FE7FE2" w:rsidRPr="00967653" w:rsidRDefault="00FE7FE2" w:rsidP="00DF050F">
            <w:pPr>
              <w:pStyle w:val="BodyText"/>
              <w:keepNext/>
              <w:keepLines/>
              <w:kinsoku w:val="0"/>
              <w:overflowPunct w:val="0"/>
              <w:spacing w:after="21" w:line="223" w:lineRule="exact"/>
              <w:ind w:right="98"/>
              <w:rPr>
                <w:rFonts w:asciiTheme="minorHAnsi" w:hAnsiTheme="minorHAnsi" w:cstheme="minorHAnsi"/>
                <w:sz w:val="22"/>
                <w:szCs w:val="22"/>
              </w:rPr>
            </w:pPr>
          </w:p>
        </w:tc>
        <w:tc>
          <w:tcPr>
            <w:tcW w:w="1530" w:type="dxa"/>
            <w:vAlign w:val="center"/>
          </w:tcPr>
          <w:p w14:paraId="1A77B2C6" w14:textId="77777777" w:rsidR="00FE7FE2" w:rsidRPr="00967653" w:rsidRDefault="00FE7FE2" w:rsidP="00DF050F">
            <w:pPr>
              <w:pStyle w:val="TableParagraph"/>
              <w:keepNext/>
              <w:keepLines/>
              <w:kinsoku w:val="0"/>
              <w:overflowPunct w:val="0"/>
              <w:spacing w:before="1" w:line="186" w:lineRule="exact"/>
              <w:rPr>
                <w:rFonts w:asciiTheme="minorHAnsi" w:hAnsiTheme="minorHAnsi" w:cstheme="minorHAnsi"/>
              </w:rPr>
            </w:pPr>
            <w:r w:rsidRPr="00967653">
              <w:rPr>
                <w:rFonts w:asciiTheme="minorHAnsi" w:hAnsiTheme="minorHAnsi" w:cstheme="minorHAnsi"/>
              </w:rPr>
              <w:t>33</w:t>
            </w:r>
          </w:p>
        </w:tc>
        <w:tc>
          <w:tcPr>
            <w:tcW w:w="810" w:type="dxa"/>
            <w:vAlign w:val="center"/>
          </w:tcPr>
          <w:p w14:paraId="7D1202F5" w14:textId="77777777" w:rsidR="00FE7FE2" w:rsidRPr="00967653" w:rsidRDefault="00FE7FE2" w:rsidP="00DF050F">
            <w:pPr>
              <w:pStyle w:val="TableParagraph"/>
              <w:keepNext/>
              <w:keepLines/>
              <w:kinsoku w:val="0"/>
              <w:overflowPunct w:val="0"/>
              <w:spacing w:before="1" w:line="186" w:lineRule="exact"/>
              <w:rPr>
                <w:rFonts w:asciiTheme="minorHAnsi" w:hAnsiTheme="minorHAnsi" w:cstheme="minorHAnsi"/>
              </w:rPr>
            </w:pPr>
            <w:r w:rsidRPr="00967653">
              <w:rPr>
                <w:rFonts w:asciiTheme="minorHAnsi" w:hAnsiTheme="minorHAnsi" w:cstheme="minorHAnsi"/>
              </w:rPr>
              <w:t>2.40</w:t>
            </w:r>
          </w:p>
        </w:tc>
        <w:tc>
          <w:tcPr>
            <w:tcW w:w="2070" w:type="dxa"/>
            <w:vAlign w:val="center"/>
          </w:tcPr>
          <w:p w14:paraId="37087793" w14:textId="77777777" w:rsidR="00FE7FE2" w:rsidRPr="00967653" w:rsidRDefault="00FE7FE2" w:rsidP="00DF050F">
            <w:pPr>
              <w:pStyle w:val="TableParagraph"/>
              <w:keepNext/>
              <w:keepLines/>
              <w:kinsoku w:val="0"/>
              <w:overflowPunct w:val="0"/>
              <w:spacing w:before="1" w:line="186" w:lineRule="exact"/>
              <w:ind w:left="106"/>
              <w:rPr>
                <w:rFonts w:asciiTheme="minorHAnsi" w:hAnsiTheme="minorHAnsi" w:cstheme="minorHAnsi"/>
              </w:rPr>
            </w:pPr>
            <w:r w:rsidRPr="00967653">
              <w:rPr>
                <w:rFonts w:asciiTheme="minorHAnsi" w:hAnsiTheme="minorHAnsi" w:cstheme="minorHAnsi"/>
              </w:rPr>
              <w:t>Quantitative</w:t>
            </w:r>
          </w:p>
        </w:tc>
        <w:tc>
          <w:tcPr>
            <w:tcW w:w="1530" w:type="dxa"/>
            <w:vAlign w:val="center"/>
          </w:tcPr>
          <w:p w14:paraId="5AE024EF" w14:textId="77777777" w:rsidR="00FE7FE2" w:rsidRPr="00967653" w:rsidRDefault="00FE7FE2" w:rsidP="00DF050F">
            <w:pPr>
              <w:pStyle w:val="TableParagraph"/>
              <w:keepNext/>
              <w:keepLines/>
              <w:kinsoku w:val="0"/>
              <w:overflowPunct w:val="0"/>
              <w:spacing w:before="1" w:line="186" w:lineRule="exact"/>
              <w:rPr>
                <w:rFonts w:asciiTheme="minorHAnsi" w:hAnsiTheme="minorHAnsi" w:cstheme="minorHAnsi"/>
              </w:rPr>
            </w:pPr>
            <w:r w:rsidRPr="00967653">
              <w:rPr>
                <w:rFonts w:asciiTheme="minorHAnsi" w:hAnsiTheme="minorHAnsi" w:cstheme="minorHAnsi"/>
              </w:rPr>
              <w:t>MRID</w:t>
            </w:r>
            <w:r w:rsidRPr="00967653">
              <w:rPr>
                <w:rFonts w:asciiTheme="minorHAnsi" w:hAnsiTheme="minorHAnsi" w:cstheme="minorHAnsi"/>
                <w:spacing w:val="-2"/>
              </w:rPr>
              <w:t xml:space="preserve"> </w:t>
            </w:r>
            <w:r w:rsidRPr="00967653">
              <w:rPr>
                <w:rFonts w:asciiTheme="minorHAnsi" w:hAnsiTheme="minorHAnsi" w:cstheme="minorHAnsi"/>
              </w:rPr>
              <w:t>43310401</w:t>
            </w:r>
          </w:p>
        </w:tc>
      </w:tr>
      <w:tr w:rsidR="00FE7FE2" w:rsidRPr="00967653" w14:paraId="6703CBE5" w14:textId="77777777" w:rsidTr="00BB577E">
        <w:trPr>
          <w:trHeight w:val="414"/>
        </w:trPr>
        <w:tc>
          <w:tcPr>
            <w:tcW w:w="1425" w:type="dxa"/>
            <w:vMerge/>
            <w:vAlign w:val="center"/>
          </w:tcPr>
          <w:p w14:paraId="64CE7ADE" w14:textId="77777777" w:rsidR="00FE7FE2" w:rsidRPr="00967653" w:rsidRDefault="00FE7FE2" w:rsidP="00DF050F">
            <w:pPr>
              <w:pStyle w:val="BodyText"/>
              <w:keepNext/>
              <w:keepLines/>
              <w:kinsoku w:val="0"/>
              <w:overflowPunct w:val="0"/>
              <w:spacing w:after="21" w:line="223" w:lineRule="exact"/>
              <w:ind w:right="98"/>
              <w:rPr>
                <w:rFonts w:asciiTheme="minorHAnsi" w:hAnsiTheme="minorHAnsi" w:cstheme="minorHAnsi"/>
                <w:sz w:val="22"/>
                <w:szCs w:val="22"/>
              </w:rPr>
            </w:pPr>
          </w:p>
        </w:tc>
        <w:tc>
          <w:tcPr>
            <w:tcW w:w="2070" w:type="dxa"/>
            <w:vAlign w:val="center"/>
          </w:tcPr>
          <w:p w14:paraId="604C9055" w14:textId="77777777" w:rsidR="00FE7FE2" w:rsidRPr="00967653" w:rsidRDefault="00FE7FE2" w:rsidP="00DF050F">
            <w:pPr>
              <w:pStyle w:val="TableParagraph"/>
              <w:keepNext/>
              <w:keepLines/>
              <w:kinsoku w:val="0"/>
              <w:overflowPunct w:val="0"/>
              <w:spacing w:line="206" w:lineRule="exact"/>
              <w:ind w:right="102"/>
              <w:rPr>
                <w:rFonts w:asciiTheme="minorHAnsi" w:hAnsiTheme="minorHAnsi" w:cstheme="minorHAnsi"/>
              </w:rPr>
            </w:pPr>
            <w:r w:rsidRPr="00967653">
              <w:rPr>
                <w:rFonts w:asciiTheme="minorHAnsi" w:hAnsiTheme="minorHAnsi" w:cstheme="minorHAnsi"/>
              </w:rPr>
              <w:t>Northern bobwhite</w:t>
            </w:r>
            <w:r w:rsidRPr="00967653">
              <w:rPr>
                <w:rFonts w:asciiTheme="minorHAnsi" w:hAnsiTheme="minorHAnsi" w:cstheme="minorHAnsi"/>
                <w:spacing w:val="1"/>
              </w:rPr>
              <w:t xml:space="preserve"> </w:t>
            </w:r>
            <w:r w:rsidRPr="00967653">
              <w:rPr>
                <w:rFonts w:asciiTheme="minorHAnsi" w:hAnsiTheme="minorHAnsi" w:cstheme="minorHAnsi"/>
                <w:spacing w:val="-1"/>
              </w:rPr>
              <w:t>(</w:t>
            </w:r>
            <w:proofErr w:type="spellStart"/>
            <w:r w:rsidRPr="00967653">
              <w:rPr>
                <w:rFonts w:asciiTheme="minorHAnsi" w:hAnsiTheme="minorHAnsi" w:cstheme="minorHAnsi"/>
                <w:i/>
                <w:iCs/>
                <w:spacing w:val="-1"/>
              </w:rPr>
              <w:t>Colinus</w:t>
            </w:r>
            <w:proofErr w:type="spellEnd"/>
            <w:r w:rsidRPr="00967653">
              <w:rPr>
                <w:rFonts w:asciiTheme="minorHAnsi" w:hAnsiTheme="minorHAnsi" w:cstheme="minorHAnsi"/>
                <w:i/>
                <w:iCs/>
                <w:spacing w:val="-7"/>
              </w:rPr>
              <w:t xml:space="preserve"> </w:t>
            </w:r>
            <w:r w:rsidRPr="00967653">
              <w:rPr>
                <w:rFonts w:asciiTheme="minorHAnsi" w:hAnsiTheme="minorHAnsi" w:cstheme="minorHAnsi"/>
                <w:i/>
                <w:iCs/>
              </w:rPr>
              <w:t>virginianus</w:t>
            </w:r>
            <w:r w:rsidRPr="00967653">
              <w:rPr>
                <w:rFonts w:asciiTheme="minorHAnsi" w:hAnsiTheme="minorHAnsi" w:cstheme="minorHAnsi"/>
              </w:rPr>
              <w:t>)</w:t>
            </w:r>
          </w:p>
        </w:tc>
        <w:tc>
          <w:tcPr>
            <w:tcW w:w="1530" w:type="dxa"/>
            <w:vAlign w:val="center"/>
          </w:tcPr>
          <w:p w14:paraId="7449E61E" w14:textId="77777777" w:rsidR="00FE7FE2" w:rsidRPr="00967653" w:rsidRDefault="00FE7FE2" w:rsidP="00DF050F">
            <w:pPr>
              <w:pStyle w:val="TableParagraph"/>
              <w:keepNext/>
              <w:keepLines/>
              <w:kinsoku w:val="0"/>
              <w:overflowPunct w:val="0"/>
              <w:spacing w:before="104"/>
              <w:rPr>
                <w:rFonts w:asciiTheme="minorHAnsi" w:hAnsiTheme="minorHAnsi" w:cstheme="minorHAnsi"/>
              </w:rPr>
            </w:pPr>
            <w:r w:rsidRPr="00967653">
              <w:rPr>
                <w:rFonts w:asciiTheme="minorHAnsi" w:hAnsiTheme="minorHAnsi" w:cstheme="minorHAnsi"/>
              </w:rPr>
              <w:t>152</w:t>
            </w:r>
          </w:p>
        </w:tc>
        <w:tc>
          <w:tcPr>
            <w:tcW w:w="810" w:type="dxa"/>
            <w:vAlign w:val="center"/>
          </w:tcPr>
          <w:p w14:paraId="520DF38D" w14:textId="77777777" w:rsidR="00FE7FE2" w:rsidRPr="00967653" w:rsidRDefault="00FE7FE2" w:rsidP="00DF050F">
            <w:pPr>
              <w:pStyle w:val="TableParagraph"/>
              <w:keepNext/>
              <w:keepLines/>
              <w:kinsoku w:val="0"/>
              <w:overflowPunct w:val="0"/>
              <w:spacing w:before="104"/>
              <w:rPr>
                <w:rFonts w:asciiTheme="minorHAnsi" w:hAnsiTheme="minorHAnsi" w:cstheme="minorHAnsi"/>
              </w:rPr>
            </w:pPr>
            <w:r w:rsidRPr="00967653">
              <w:rPr>
                <w:rFonts w:asciiTheme="minorHAnsi" w:hAnsiTheme="minorHAnsi" w:cstheme="minorHAnsi"/>
              </w:rPr>
              <w:t>2.656</w:t>
            </w:r>
          </w:p>
        </w:tc>
        <w:tc>
          <w:tcPr>
            <w:tcW w:w="2070" w:type="dxa"/>
            <w:vAlign w:val="center"/>
          </w:tcPr>
          <w:p w14:paraId="7C453C5D" w14:textId="77777777" w:rsidR="00FE7FE2" w:rsidRPr="00967653" w:rsidRDefault="00FE7FE2" w:rsidP="00DF050F">
            <w:pPr>
              <w:pStyle w:val="TableParagraph"/>
              <w:keepNext/>
              <w:keepLines/>
              <w:kinsoku w:val="0"/>
              <w:overflowPunct w:val="0"/>
              <w:spacing w:before="104"/>
              <w:ind w:left="106"/>
              <w:rPr>
                <w:rFonts w:asciiTheme="minorHAnsi" w:hAnsiTheme="minorHAnsi" w:cstheme="minorHAnsi"/>
              </w:rPr>
            </w:pPr>
            <w:r w:rsidRPr="00967653">
              <w:rPr>
                <w:rFonts w:asciiTheme="minorHAnsi" w:hAnsiTheme="minorHAnsi" w:cstheme="minorHAnsi"/>
              </w:rPr>
              <w:t>Quantitative</w:t>
            </w:r>
          </w:p>
        </w:tc>
        <w:tc>
          <w:tcPr>
            <w:tcW w:w="1530" w:type="dxa"/>
            <w:vAlign w:val="center"/>
          </w:tcPr>
          <w:p w14:paraId="0729BB51" w14:textId="77777777" w:rsidR="00FE7FE2" w:rsidRPr="00967653" w:rsidRDefault="00FE7FE2" w:rsidP="00DF050F">
            <w:pPr>
              <w:pStyle w:val="TableParagraph"/>
              <w:keepNext/>
              <w:keepLines/>
              <w:kinsoku w:val="0"/>
              <w:overflowPunct w:val="0"/>
              <w:spacing w:before="104"/>
              <w:rPr>
                <w:rFonts w:asciiTheme="minorHAnsi" w:hAnsiTheme="minorHAnsi" w:cstheme="minorHAnsi"/>
              </w:rPr>
            </w:pPr>
            <w:r w:rsidRPr="00967653">
              <w:rPr>
                <w:rFonts w:asciiTheme="minorHAnsi" w:hAnsiTheme="minorHAnsi" w:cstheme="minorHAnsi"/>
              </w:rPr>
              <w:t>MRID</w:t>
            </w:r>
            <w:r w:rsidRPr="00967653">
              <w:rPr>
                <w:rFonts w:asciiTheme="minorHAnsi" w:hAnsiTheme="minorHAnsi" w:cstheme="minorHAnsi"/>
                <w:spacing w:val="-2"/>
              </w:rPr>
              <w:t xml:space="preserve"> </w:t>
            </w:r>
            <w:r w:rsidRPr="00967653">
              <w:rPr>
                <w:rFonts w:asciiTheme="minorHAnsi" w:hAnsiTheme="minorHAnsi" w:cstheme="minorHAnsi"/>
              </w:rPr>
              <w:t>42055308</w:t>
            </w:r>
          </w:p>
        </w:tc>
      </w:tr>
      <w:tr w:rsidR="00FE7FE2" w:rsidRPr="00967653" w14:paraId="5EB7BC34" w14:textId="77777777" w:rsidTr="00BB577E">
        <w:trPr>
          <w:trHeight w:val="413"/>
        </w:trPr>
        <w:tc>
          <w:tcPr>
            <w:tcW w:w="1425" w:type="dxa"/>
            <w:vAlign w:val="center"/>
          </w:tcPr>
          <w:p w14:paraId="17B1F63F" w14:textId="77777777" w:rsidR="00FE7FE2" w:rsidRPr="00967653" w:rsidRDefault="00FE7FE2" w:rsidP="00DF050F">
            <w:pPr>
              <w:pStyle w:val="TableParagraph"/>
              <w:keepNext/>
              <w:keepLines/>
              <w:kinsoku w:val="0"/>
              <w:overflowPunct w:val="0"/>
              <w:spacing w:before="103"/>
              <w:rPr>
                <w:rFonts w:asciiTheme="minorHAnsi" w:hAnsiTheme="minorHAnsi" w:cstheme="minorHAnsi"/>
              </w:rPr>
            </w:pPr>
            <w:r w:rsidRPr="00967653">
              <w:rPr>
                <w:rFonts w:asciiTheme="minorHAnsi" w:hAnsiTheme="minorHAnsi" w:cstheme="minorHAnsi"/>
              </w:rPr>
              <w:t>Anseriformes</w:t>
            </w:r>
          </w:p>
        </w:tc>
        <w:tc>
          <w:tcPr>
            <w:tcW w:w="2070" w:type="dxa"/>
            <w:vAlign w:val="center"/>
          </w:tcPr>
          <w:p w14:paraId="21409180" w14:textId="7EED84D3" w:rsidR="00FE7FE2" w:rsidRPr="00967653" w:rsidRDefault="00FE7FE2" w:rsidP="00DF050F">
            <w:pPr>
              <w:pStyle w:val="TableParagraph"/>
              <w:keepNext/>
              <w:keepLines/>
              <w:kinsoku w:val="0"/>
              <w:overflowPunct w:val="0"/>
              <w:spacing w:line="206" w:lineRule="exact"/>
              <w:ind w:right="553"/>
              <w:rPr>
                <w:rFonts w:asciiTheme="minorHAnsi" w:hAnsiTheme="minorHAnsi" w:cstheme="minorHAnsi"/>
              </w:rPr>
            </w:pPr>
            <w:r w:rsidRPr="00967653">
              <w:rPr>
                <w:rFonts w:asciiTheme="minorHAnsi" w:hAnsiTheme="minorHAnsi" w:cstheme="minorHAnsi"/>
              </w:rPr>
              <w:t>Mallard (</w:t>
            </w:r>
            <w:r w:rsidRPr="00967653">
              <w:rPr>
                <w:rFonts w:asciiTheme="minorHAnsi" w:hAnsiTheme="minorHAnsi" w:cstheme="minorHAnsi"/>
                <w:i/>
                <w:iCs/>
              </w:rPr>
              <w:t>Anas</w:t>
            </w:r>
            <w:r w:rsidRPr="00967653">
              <w:rPr>
                <w:rFonts w:asciiTheme="minorHAnsi" w:hAnsiTheme="minorHAnsi" w:cstheme="minorHAnsi"/>
                <w:i/>
                <w:iCs/>
                <w:spacing w:val="1"/>
              </w:rPr>
              <w:t xml:space="preserve"> </w:t>
            </w:r>
            <w:r w:rsidRPr="00967653">
              <w:rPr>
                <w:rFonts w:asciiTheme="minorHAnsi" w:hAnsiTheme="minorHAnsi" w:cstheme="minorHAnsi"/>
                <w:i/>
                <w:iCs/>
              </w:rPr>
              <w:t>platyrhynchos</w:t>
            </w:r>
            <w:r w:rsidR="00AC02FF" w:rsidRPr="00967653">
              <w:rPr>
                <w:rFonts w:asciiTheme="minorHAnsi" w:hAnsiTheme="minorHAnsi" w:cstheme="minorHAnsi"/>
              </w:rPr>
              <w:t>)</w:t>
            </w:r>
          </w:p>
        </w:tc>
        <w:tc>
          <w:tcPr>
            <w:tcW w:w="1530" w:type="dxa"/>
            <w:vAlign w:val="center"/>
          </w:tcPr>
          <w:p w14:paraId="451AA155" w14:textId="77777777" w:rsidR="00FE7FE2" w:rsidRPr="00967653" w:rsidRDefault="00FE7FE2" w:rsidP="00DF050F">
            <w:pPr>
              <w:pStyle w:val="TableParagraph"/>
              <w:keepNext/>
              <w:keepLines/>
              <w:kinsoku w:val="0"/>
              <w:overflowPunct w:val="0"/>
              <w:spacing w:before="103"/>
              <w:rPr>
                <w:rFonts w:asciiTheme="minorHAnsi" w:hAnsiTheme="minorHAnsi" w:cstheme="minorHAnsi"/>
              </w:rPr>
            </w:pPr>
            <w:r w:rsidRPr="00967653">
              <w:rPr>
                <w:rFonts w:asciiTheme="minorHAnsi" w:hAnsiTheme="minorHAnsi" w:cstheme="minorHAnsi"/>
              </w:rPr>
              <w:t>283</w:t>
            </w:r>
          </w:p>
        </w:tc>
        <w:tc>
          <w:tcPr>
            <w:tcW w:w="810" w:type="dxa"/>
            <w:vAlign w:val="center"/>
          </w:tcPr>
          <w:p w14:paraId="29AC1ECF" w14:textId="77777777" w:rsidR="00FE7FE2" w:rsidRPr="00967653" w:rsidRDefault="00FE7FE2" w:rsidP="00DF050F">
            <w:pPr>
              <w:pStyle w:val="TableParagraph"/>
              <w:keepNext/>
              <w:keepLines/>
              <w:kinsoku w:val="0"/>
              <w:overflowPunct w:val="0"/>
              <w:spacing w:before="103"/>
              <w:rPr>
                <w:rFonts w:asciiTheme="minorHAnsi" w:hAnsiTheme="minorHAnsi" w:cstheme="minorHAnsi"/>
              </w:rPr>
            </w:pPr>
            <w:r w:rsidRPr="00967653">
              <w:rPr>
                <w:rFonts w:asciiTheme="minorHAnsi" w:hAnsiTheme="minorHAnsi" w:cstheme="minorHAnsi"/>
              </w:rPr>
              <w:t>6.63</w:t>
            </w:r>
          </w:p>
        </w:tc>
        <w:tc>
          <w:tcPr>
            <w:tcW w:w="2070" w:type="dxa"/>
            <w:vAlign w:val="center"/>
          </w:tcPr>
          <w:p w14:paraId="4B26B860" w14:textId="77777777" w:rsidR="00FE7FE2" w:rsidRPr="00967653" w:rsidRDefault="00FE7FE2" w:rsidP="00DF050F">
            <w:pPr>
              <w:pStyle w:val="TableParagraph"/>
              <w:keepNext/>
              <w:keepLines/>
              <w:kinsoku w:val="0"/>
              <w:overflowPunct w:val="0"/>
              <w:spacing w:before="103"/>
              <w:ind w:left="106"/>
              <w:rPr>
                <w:rFonts w:asciiTheme="minorHAnsi" w:hAnsiTheme="minorHAnsi" w:cstheme="minorHAnsi"/>
              </w:rPr>
            </w:pPr>
            <w:r w:rsidRPr="00967653">
              <w:rPr>
                <w:rFonts w:asciiTheme="minorHAnsi" w:hAnsiTheme="minorHAnsi" w:cstheme="minorHAnsi"/>
              </w:rPr>
              <w:t>Quantitative</w:t>
            </w:r>
          </w:p>
        </w:tc>
        <w:tc>
          <w:tcPr>
            <w:tcW w:w="1530" w:type="dxa"/>
            <w:vAlign w:val="center"/>
          </w:tcPr>
          <w:p w14:paraId="277C182A" w14:textId="77777777" w:rsidR="00FE7FE2" w:rsidRPr="00967653" w:rsidRDefault="00FE7FE2" w:rsidP="00DF050F">
            <w:pPr>
              <w:pStyle w:val="TableParagraph"/>
              <w:keepNext/>
              <w:keepLines/>
              <w:kinsoku w:val="0"/>
              <w:overflowPunct w:val="0"/>
              <w:spacing w:before="103"/>
              <w:rPr>
                <w:rFonts w:asciiTheme="minorHAnsi" w:hAnsiTheme="minorHAnsi" w:cstheme="minorHAnsi"/>
              </w:rPr>
            </w:pPr>
            <w:r w:rsidRPr="00967653">
              <w:rPr>
                <w:rFonts w:asciiTheme="minorHAnsi" w:hAnsiTheme="minorHAnsi" w:cstheme="minorHAnsi"/>
              </w:rPr>
              <w:t>MRID</w:t>
            </w:r>
            <w:r w:rsidRPr="00967653">
              <w:rPr>
                <w:rFonts w:asciiTheme="minorHAnsi" w:hAnsiTheme="minorHAnsi" w:cstheme="minorHAnsi"/>
                <w:spacing w:val="-2"/>
              </w:rPr>
              <w:t xml:space="preserve"> </w:t>
            </w:r>
            <w:r w:rsidRPr="00967653">
              <w:rPr>
                <w:rFonts w:asciiTheme="minorHAnsi" w:hAnsiTheme="minorHAnsi" w:cstheme="minorHAnsi"/>
              </w:rPr>
              <w:t>44059401</w:t>
            </w:r>
          </w:p>
        </w:tc>
      </w:tr>
      <w:tr w:rsidR="00FE7FE2" w:rsidRPr="00967653" w14:paraId="31DE7E37" w14:textId="77777777" w:rsidTr="00BB577E">
        <w:trPr>
          <w:trHeight w:val="413"/>
        </w:trPr>
        <w:tc>
          <w:tcPr>
            <w:tcW w:w="1425" w:type="dxa"/>
            <w:vAlign w:val="center"/>
          </w:tcPr>
          <w:p w14:paraId="49BBF287" w14:textId="77777777" w:rsidR="00FE7FE2" w:rsidRPr="00967653" w:rsidRDefault="00FE7FE2" w:rsidP="005859DB">
            <w:pPr>
              <w:pStyle w:val="TableParagraph"/>
              <w:kinsoku w:val="0"/>
              <w:overflowPunct w:val="0"/>
              <w:spacing w:before="103"/>
              <w:rPr>
                <w:rFonts w:asciiTheme="minorHAnsi" w:hAnsiTheme="minorHAnsi" w:cstheme="minorHAnsi"/>
              </w:rPr>
            </w:pPr>
            <w:r w:rsidRPr="00967653">
              <w:rPr>
                <w:rFonts w:asciiTheme="minorHAnsi" w:hAnsiTheme="minorHAnsi" w:cstheme="minorHAnsi"/>
              </w:rPr>
              <w:t>Passeriformes</w:t>
            </w:r>
          </w:p>
        </w:tc>
        <w:tc>
          <w:tcPr>
            <w:tcW w:w="2070" w:type="dxa"/>
            <w:vAlign w:val="center"/>
          </w:tcPr>
          <w:p w14:paraId="4A540480" w14:textId="77777777" w:rsidR="00FE7FE2" w:rsidRPr="00967653" w:rsidRDefault="00FE7FE2" w:rsidP="005859DB">
            <w:pPr>
              <w:pStyle w:val="TableParagraph"/>
              <w:kinsoku w:val="0"/>
              <w:overflowPunct w:val="0"/>
              <w:spacing w:line="208" w:lineRule="exact"/>
              <w:ind w:right="193"/>
              <w:rPr>
                <w:rFonts w:asciiTheme="minorHAnsi" w:hAnsiTheme="minorHAnsi" w:cstheme="minorHAnsi"/>
              </w:rPr>
            </w:pPr>
            <w:r w:rsidRPr="00967653">
              <w:rPr>
                <w:rFonts w:asciiTheme="minorHAnsi" w:hAnsiTheme="minorHAnsi" w:cstheme="minorHAnsi"/>
              </w:rPr>
              <w:t>House sparrow</w:t>
            </w:r>
            <w:r w:rsidRPr="00967653">
              <w:rPr>
                <w:rFonts w:asciiTheme="minorHAnsi" w:hAnsiTheme="minorHAnsi" w:cstheme="minorHAnsi"/>
                <w:spacing w:val="1"/>
              </w:rPr>
              <w:t xml:space="preserve"> </w:t>
            </w:r>
            <w:r w:rsidRPr="00967653">
              <w:rPr>
                <w:rFonts w:asciiTheme="minorHAnsi" w:hAnsiTheme="minorHAnsi" w:cstheme="minorHAnsi"/>
                <w:spacing w:val="-1"/>
              </w:rPr>
              <w:t>(</w:t>
            </w:r>
            <w:r w:rsidRPr="00967653">
              <w:rPr>
                <w:rFonts w:asciiTheme="minorHAnsi" w:hAnsiTheme="minorHAnsi" w:cstheme="minorHAnsi"/>
                <w:i/>
                <w:iCs/>
                <w:spacing w:val="-1"/>
              </w:rPr>
              <w:t>Passer</w:t>
            </w:r>
            <w:r w:rsidRPr="00967653">
              <w:rPr>
                <w:rFonts w:asciiTheme="minorHAnsi" w:hAnsiTheme="minorHAnsi" w:cstheme="minorHAnsi"/>
                <w:i/>
                <w:iCs/>
                <w:spacing w:val="-8"/>
              </w:rPr>
              <w:t xml:space="preserve"> </w:t>
            </w:r>
            <w:proofErr w:type="spellStart"/>
            <w:r w:rsidRPr="00967653">
              <w:rPr>
                <w:rFonts w:asciiTheme="minorHAnsi" w:hAnsiTheme="minorHAnsi" w:cstheme="minorHAnsi"/>
                <w:i/>
                <w:iCs/>
              </w:rPr>
              <w:t>domesticus</w:t>
            </w:r>
            <w:proofErr w:type="spellEnd"/>
            <w:r w:rsidRPr="00967653">
              <w:rPr>
                <w:rFonts w:asciiTheme="minorHAnsi" w:hAnsiTheme="minorHAnsi" w:cstheme="minorHAnsi"/>
              </w:rPr>
              <w:t>)</w:t>
            </w:r>
          </w:p>
        </w:tc>
        <w:tc>
          <w:tcPr>
            <w:tcW w:w="1530" w:type="dxa"/>
            <w:vAlign w:val="center"/>
          </w:tcPr>
          <w:p w14:paraId="143D8C14" w14:textId="77777777" w:rsidR="00FE7FE2" w:rsidRPr="00967653" w:rsidRDefault="00FE7FE2" w:rsidP="005859DB">
            <w:pPr>
              <w:pStyle w:val="TableParagraph"/>
              <w:kinsoku w:val="0"/>
              <w:overflowPunct w:val="0"/>
              <w:spacing w:before="103"/>
              <w:rPr>
                <w:rFonts w:asciiTheme="minorHAnsi" w:hAnsiTheme="minorHAnsi" w:cstheme="minorHAnsi"/>
              </w:rPr>
            </w:pPr>
            <w:r w:rsidRPr="00967653">
              <w:rPr>
                <w:rFonts w:asciiTheme="minorHAnsi" w:hAnsiTheme="minorHAnsi" w:cstheme="minorHAnsi"/>
              </w:rPr>
              <w:t>41.0</w:t>
            </w:r>
          </w:p>
        </w:tc>
        <w:tc>
          <w:tcPr>
            <w:tcW w:w="810" w:type="dxa"/>
            <w:vAlign w:val="center"/>
          </w:tcPr>
          <w:p w14:paraId="18338C1F" w14:textId="77777777" w:rsidR="00FE7FE2" w:rsidRPr="00967653" w:rsidRDefault="00FE7FE2" w:rsidP="005859DB">
            <w:pPr>
              <w:pStyle w:val="TableParagraph"/>
              <w:kinsoku w:val="0"/>
              <w:overflowPunct w:val="0"/>
              <w:spacing w:before="103"/>
              <w:rPr>
                <w:rFonts w:asciiTheme="minorHAnsi" w:hAnsiTheme="minorHAnsi" w:cstheme="minorHAnsi"/>
              </w:rPr>
            </w:pPr>
            <w:r w:rsidRPr="00967653">
              <w:rPr>
                <w:rFonts w:asciiTheme="minorHAnsi" w:hAnsiTheme="minorHAnsi" w:cstheme="minorHAnsi"/>
              </w:rPr>
              <w:t>2.48</w:t>
            </w:r>
          </w:p>
        </w:tc>
        <w:tc>
          <w:tcPr>
            <w:tcW w:w="2070" w:type="dxa"/>
            <w:vAlign w:val="center"/>
          </w:tcPr>
          <w:p w14:paraId="0C93453A" w14:textId="77777777" w:rsidR="00FE7FE2" w:rsidRPr="00967653" w:rsidRDefault="00FE7FE2" w:rsidP="005859DB">
            <w:pPr>
              <w:pStyle w:val="TableParagraph"/>
              <w:kinsoku w:val="0"/>
              <w:overflowPunct w:val="0"/>
              <w:spacing w:before="103"/>
              <w:ind w:left="106"/>
              <w:rPr>
                <w:rFonts w:asciiTheme="minorHAnsi" w:hAnsiTheme="minorHAnsi" w:cstheme="minorHAnsi"/>
              </w:rPr>
            </w:pPr>
            <w:r w:rsidRPr="00967653">
              <w:rPr>
                <w:rFonts w:asciiTheme="minorHAnsi" w:hAnsiTheme="minorHAnsi" w:cstheme="minorHAnsi"/>
              </w:rPr>
              <w:t>Quantitative</w:t>
            </w:r>
          </w:p>
        </w:tc>
        <w:tc>
          <w:tcPr>
            <w:tcW w:w="1530" w:type="dxa"/>
            <w:vAlign w:val="center"/>
          </w:tcPr>
          <w:p w14:paraId="08D36BE2" w14:textId="77777777" w:rsidR="00FE7FE2" w:rsidRPr="00967653" w:rsidRDefault="00FE7FE2" w:rsidP="00BB577E">
            <w:pPr>
              <w:pStyle w:val="TableParagraph"/>
              <w:kinsoku w:val="0"/>
              <w:overflowPunct w:val="0"/>
              <w:spacing w:before="103"/>
              <w:rPr>
                <w:rFonts w:asciiTheme="minorHAnsi" w:hAnsiTheme="minorHAnsi" w:cstheme="minorHAnsi"/>
              </w:rPr>
            </w:pPr>
            <w:r w:rsidRPr="00967653">
              <w:rPr>
                <w:rFonts w:asciiTheme="minorHAnsi" w:hAnsiTheme="minorHAnsi" w:cstheme="minorHAnsi"/>
              </w:rPr>
              <w:t>MRID</w:t>
            </w:r>
            <w:r w:rsidRPr="00967653">
              <w:rPr>
                <w:rFonts w:asciiTheme="minorHAnsi" w:hAnsiTheme="minorHAnsi" w:cstheme="minorHAnsi"/>
                <w:spacing w:val="-2"/>
              </w:rPr>
              <w:t xml:space="preserve"> </w:t>
            </w:r>
            <w:r w:rsidRPr="00967653">
              <w:rPr>
                <w:rFonts w:asciiTheme="minorHAnsi" w:hAnsiTheme="minorHAnsi" w:cstheme="minorHAnsi"/>
              </w:rPr>
              <w:t>42055309</w:t>
            </w:r>
          </w:p>
        </w:tc>
      </w:tr>
      <w:tr w:rsidR="00FE7FE2" w:rsidRPr="00967653" w14:paraId="77AAA607" w14:textId="77777777" w:rsidTr="00BB577E">
        <w:trPr>
          <w:trHeight w:val="413"/>
        </w:trPr>
        <w:tc>
          <w:tcPr>
            <w:tcW w:w="1425" w:type="dxa"/>
            <w:vAlign w:val="center"/>
          </w:tcPr>
          <w:p w14:paraId="3F9CD7E7" w14:textId="77777777" w:rsidR="00FE7FE2" w:rsidRPr="00967653" w:rsidRDefault="00FE7FE2" w:rsidP="005859DB">
            <w:pPr>
              <w:pStyle w:val="TableParagraph"/>
              <w:kinsoku w:val="0"/>
              <w:overflowPunct w:val="0"/>
              <w:spacing w:before="102"/>
              <w:rPr>
                <w:rFonts w:asciiTheme="minorHAnsi" w:hAnsiTheme="minorHAnsi" w:cstheme="minorHAnsi"/>
              </w:rPr>
            </w:pPr>
            <w:r w:rsidRPr="00967653">
              <w:rPr>
                <w:rFonts w:asciiTheme="minorHAnsi" w:hAnsiTheme="minorHAnsi" w:cstheme="minorHAnsi"/>
              </w:rPr>
              <w:t>Columbiformes</w:t>
            </w:r>
          </w:p>
        </w:tc>
        <w:tc>
          <w:tcPr>
            <w:tcW w:w="2070" w:type="dxa"/>
            <w:vAlign w:val="center"/>
          </w:tcPr>
          <w:p w14:paraId="7F137D2D" w14:textId="77777777" w:rsidR="00FE7FE2" w:rsidRPr="00967653" w:rsidRDefault="00FE7FE2" w:rsidP="005859DB">
            <w:pPr>
              <w:pStyle w:val="TableParagraph"/>
              <w:kinsoku w:val="0"/>
              <w:overflowPunct w:val="0"/>
              <w:spacing w:line="206" w:lineRule="exact"/>
              <w:ind w:right="123"/>
              <w:rPr>
                <w:rFonts w:asciiTheme="minorHAnsi" w:hAnsiTheme="minorHAnsi" w:cstheme="minorHAnsi"/>
              </w:rPr>
            </w:pPr>
            <w:r w:rsidRPr="00967653">
              <w:rPr>
                <w:rFonts w:asciiTheme="minorHAnsi" w:hAnsiTheme="minorHAnsi" w:cstheme="minorHAnsi"/>
              </w:rPr>
              <w:t>Eared dove (</w:t>
            </w:r>
            <w:r w:rsidRPr="00967653">
              <w:rPr>
                <w:rFonts w:asciiTheme="minorHAnsi" w:hAnsiTheme="minorHAnsi" w:cstheme="minorHAnsi"/>
                <w:i/>
                <w:iCs/>
              </w:rPr>
              <w:t>Zenaida</w:t>
            </w:r>
            <w:r w:rsidRPr="00967653">
              <w:rPr>
                <w:rFonts w:asciiTheme="minorHAnsi" w:hAnsiTheme="minorHAnsi" w:cstheme="minorHAnsi"/>
                <w:i/>
                <w:iCs/>
                <w:spacing w:val="-43"/>
              </w:rPr>
              <w:t xml:space="preserve"> </w:t>
            </w:r>
            <w:r w:rsidRPr="00967653">
              <w:rPr>
                <w:rFonts w:asciiTheme="minorHAnsi" w:hAnsiTheme="minorHAnsi" w:cstheme="minorHAnsi"/>
                <w:i/>
                <w:iCs/>
              </w:rPr>
              <w:t>auriculata)</w:t>
            </w:r>
          </w:p>
        </w:tc>
        <w:tc>
          <w:tcPr>
            <w:tcW w:w="1530" w:type="dxa"/>
            <w:vAlign w:val="center"/>
          </w:tcPr>
          <w:p w14:paraId="29B61365" w14:textId="77777777" w:rsidR="00FE7FE2" w:rsidRPr="00967653" w:rsidRDefault="00FE7FE2" w:rsidP="005859DB">
            <w:pPr>
              <w:pStyle w:val="TableParagraph"/>
              <w:kinsoku w:val="0"/>
              <w:overflowPunct w:val="0"/>
              <w:spacing w:before="102"/>
              <w:rPr>
                <w:rFonts w:asciiTheme="minorHAnsi" w:hAnsiTheme="minorHAnsi" w:cstheme="minorHAnsi"/>
              </w:rPr>
            </w:pPr>
            <w:r w:rsidRPr="00967653">
              <w:rPr>
                <w:rFonts w:asciiTheme="minorHAnsi" w:hAnsiTheme="minorHAnsi" w:cstheme="minorHAnsi"/>
              </w:rPr>
              <w:t>59</w:t>
            </w:r>
          </w:p>
        </w:tc>
        <w:tc>
          <w:tcPr>
            <w:tcW w:w="810" w:type="dxa"/>
            <w:vAlign w:val="center"/>
          </w:tcPr>
          <w:p w14:paraId="4912E0D5" w14:textId="77777777" w:rsidR="00FE7FE2" w:rsidRPr="00967653" w:rsidRDefault="00FE7FE2" w:rsidP="005859DB">
            <w:pPr>
              <w:pStyle w:val="TableParagraph"/>
              <w:kinsoku w:val="0"/>
              <w:overflowPunct w:val="0"/>
              <w:spacing w:before="102"/>
              <w:rPr>
                <w:rFonts w:asciiTheme="minorHAnsi" w:hAnsiTheme="minorHAnsi" w:cstheme="minorHAnsi"/>
              </w:rPr>
            </w:pPr>
            <w:r w:rsidRPr="00967653">
              <w:rPr>
                <w:rFonts w:asciiTheme="minorHAnsi" w:hAnsiTheme="minorHAnsi" w:cstheme="minorHAnsi"/>
              </w:rPr>
              <w:t>6.80</w:t>
            </w:r>
          </w:p>
        </w:tc>
        <w:tc>
          <w:tcPr>
            <w:tcW w:w="2070" w:type="dxa"/>
            <w:vAlign w:val="center"/>
          </w:tcPr>
          <w:p w14:paraId="74482EBB" w14:textId="77777777" w:rsidR="00FE7FE2" w:rsidRPr="00967653" w:rsidRDefault="00FE7FE2" w:rsidP="005859DB">
            <w:pPr>
              <w:pStyle w:val="TableParagraph"/>
              <w:kinsoku w:val="0"/>
              <w:overflowPunct w:val="0"/>
              <w:spacing w:before="102"/>
              <w:ind w:left="106"/>
              <w:rPr>
                <w:rFonts w:asciiTheme="minorHAnsi" w:hAnsiTheme="minorHAnsi" w:cstheme="minorHAnsi"/>
              </w:rPr>
            </w:pPr>
            <w:r w:rsidRPr="00967653">
              <w:rPr>
                <w:rFonts w:asciiTheme="minorHAnsi" w:hAnsiTheme="minorHAnsi" w:cstheme="minorHAnsi"/>
              </w:rPr>
              <w:t>Quantitative</w:t>
            </w:r>
          </w:p>
        </w:tc>
        <w:tc>
          <w:tcPr>
            <w:tcW w:w="1530" w:type="dxa"/>
            <w:vAlign w:val="center"/>
          </w:tcPr>
          <w:p w14:paraId="1035B698" w14:textId="77777777" w:rsidR="00FE7FE2" w:rsidRPr="00967653" w:rsidRDefault="00FE7FE2" w:rsidP="00BB577E">
            <w:pPr>
              <w:pStyle w:val="TableParagraph"/>
              <w:kinsoku w:val="0"/>
              <w:overflowPunct w:val="0"/>
              <w:spacing w:before="102"/>
              <w:rPr>
                <w:rFonts w:asciiTheme="minorHAnsi" w:hAnsiTheme="minorHAnsi" w:cstheme="minorHAnsi"/>
              </w:rPr>
            </w:pPr>
            <w:r w:rsidRPr="00967653">
              <w:rPr>
                <w:rFonts w:asciiTheme="minorHAnsi" w:hAnsiTheme="minorHAnsi" w:cstheme="minorHAnsi"/>
              </w:rPr>
              <w:t>E183555</w:t>
            </w:r>
          </w:p>
        </w:tc>
      </w:tr>
      <w:tr w:rsidR="00FE7FE2" w:rsidRPr="00967653" w14:paraId="13AF9796" w14:textId="77777777" w:rsidTr="00BB577E">
        <w:trPr>
          <w:trHeight w:val="413"/>
        </w:trPr>
        <w:tc>
          <w:tcPr>
            <w:tcW w:w="1425" w:type="dxa"/>
            <w:vAlign w:val="center"/>
          </w:tcPr>
          <w:p w14:paraId="68B05F50" w14:textId="77777777" w:rsidR="00FE7FE2" w:rsidRPr="00967653" w:rsidRDefault="00FE7FE2" w:rsidP="005859DB">
            <w:pPr>
              <w:pStyle w:val="TableParagraph"/>
              <w:spacing w:before="102"/>
              <w:rPr>
                <w:rFonts w:asciiTheme="minorHAnsi" w:hAnsiTheme="minorHAnsi" w:cstheme="minorHAnsi"/>
              </w:rPr>
            </w:pPr>
            <w:r w:rsidRPr="00967653">
              <w:rPr>
                <w:rFonts w:asciiTheme="minorHAnsi" w:hAnsiTheme="minorHAnsi" w:cstheme="minorHAnsi"/>
              </w:rPr>
              <w:t>Icteridae</w:t>
            </w:r>
          </w:p>
        </w:tc>
        <w:tc>
          <w:tcPr>
            <w:tcW w:w="2070" w:type="dxa"/>
            <w:vAlign w:val="center"/>
          </w:tcPr>
          <w:p w14:paraId="51457B2B" w14:textId="77777777" w:rsidR="00FE7FE2" w:rsidRPr="00967653" w:rsidRDefault="00FE7FE2" w:rsidP="005859DB">
            <w:pPr>
              <w:pStyle w:val="TableParagraph"/>
              <w:spacing w:line="206" w:lineRule="exact"/>
              <w:ind w:right="123"/>
              <w:rPr>
                <w:rFonts w:asciiTheme="minorHAnsi" w:hAnsiTheme="minorHAnsi" w:cstheme="minorHAnsi"/>
              </w:rPr>
            </w:pPr>
            <w:r w:rsidRPr="00967653">
              <w:rPr>
                <w:rFonts w:asciiTheme="minorHAnsi" w:hAnsiTheme="minorHAnsi" w:cstheme="minorHAnsi"/>
              </w:rPr>
              <w:t xml:space="preserve">Grayish </w:t>
            </w:r>
            <w:proofErr w:type="spellStart"/>
            <w:r w:rsidRPr="00967653">
              <w:rPr>
                <w:rFonts w:asciiTheme="minorHAnsi" w:hAnsiTheme="minorHAnsi" w:cstheme="minorHAnsi"/>
              </w:rPr>
              <w:t>baywing</w:t>
            </w:r>
            <w:proofErr w:type="spellEnd"/>
          </w:p>
          <w:p w14:paraId="71930B2B" w14:textId="77777777" w:rsidR="00FE7FE2" w:rsidRPr="00967653" w:rsidRDefault="00FE7FE2" w:rsidP="005859DB">
            <w:pPr>
              <w:pStyle w:val="TableParagraph"/>
              <w:spacing w:line="206" w:lineRule="exact"/>
              <w:ind w:right="123"/>
              <w:rPr>
                <w:rFonts w:asciiTheme="minorHAnsi" w:hAnsiTheme="minorHAnsi" w:cstheme="minorHAnsi"/>
              </w:rPr>
            </w:pPr>
            <w:r w:rsidRPr="00967653">
              <w:rPr>
                <w:rFonts w:asciiTheme="minorHAnsi" w:hAnsiTheme="minorHAnsi" w:cstheme="minorHAnsi"/>
              </w:rPr>
              <w:t xml:space="preserve"> (</w:t>
            </w:r>
            <w:proofErr w:type="spellStart"/>
            <w:r w:rsidRPr="00967653">
              <w:rPr>
                <w:rFonts w:asciiTheme="minorHAnsi" w:hAnsiTheme="minorHAnsi" w:cstheme="minorHAnsi"/>
                <w:i/>
                <w:iCs/>
              </w:rPr>
              <w:t>Agelaioides</w:t>
            </w:r>
            <w:proofErr w:type="spellEnd"/>
            <w:r w:rsidRPr="00967653">
              <w:rPr>
                <w:rFonts w:asciiTheme="minorHAnsi" w:hAnsiTheme="minorHAnsi" w:cstheme="minorHAnsi"/>
                <w:i/>
                <w:iCs/>
              </w:rPr>
              <w:t xml:space="preserve"> badius</w:t>
            </w:r>
            <w:r w:rsidRPr="00967653">
              <w:rPr>
                <w:rFonts w:asciiTheme="minorHAnsi" w:hAnsiTheme="minorHAnsi" w:cstheme="minorHAnsi"/>
              </w:rPr>
              <w:t>)</w:t>
            </w:r>
          </w:p>
        </w:tc>
        <w:tc>
          <w:tcPr>
            <w:tcW w:w="1530" w:type="dxa"/>
            <w:vAlign w:val="center"/>
          </w:tcPr>
          <w:p w14:paraId="312055B3" w14:textId="77777777" w:rsidR="00FE7FE2" w:rsidRPr="00967653" w:rsidRDefault="00FE7FE2" w:rsidP="005859DB">
            <w:pPr>
              <w:pStyle w:val="TableParagraph"/>
              <w:spacing w:before="102"/>
              <w:rPr>
                <w:rFonts w:asciiTheme="minorHAnsi" w:hAnsiTheme="minorHAnsi" w:cstheme="minorHAnsi"/>
              </w:rPr>
            </w:pPr>
            <w:r w:rsidRPr="00967653">
              <w:rPr>
                <w:rFonts w:asciiTheme="minorHAnsi" w:hAnsiTheme="minorHAnsi" w:cstheme="minorHAnsi"/>
              </w:rPr>
              <w:t>57.11</w:t>
            </w:r>
          </w:p>
        </w:tc>
        <w:tc>
          <w:tcPr>
            <w:tcW w:w="810" w:type="dxa"/>
            <w:vAlign w:val="center"/>
          </w:tcPr>
          <w:p w14:paraId="40848F37" w14:textId="77777777" w:rsidR="00FE7FE2" w:rsidRPr="00967653" w:rsidRDefault="00FE7FE2" w:rsidP="005859DB">
            <w:pPr>
              <w:pStyle w:val="TableParagraph"/>
              <w:spacing w:before="102"/>
              <w:rPr>
                <w:rFonts w:asciiTheme="minorHAnsi" w:hAnsiTheme="minorHAnsi" w:cstheme="minorHAnsi"/>
              </w:rPr>
            </w:pPr>
            <w:r w:rsidRPr="00967653">
              <w:rPr>
                <w:rFonts w:asciiTheme="minorHAnsi" w:hAnsiTheme="minorHAnsi" w:cstheme="minorHAnsi"/>
              </w:rPr>
              <w:t>4.12</w:t>
            </w:r>
          </w:p>
        </w:tc>
        <w:tc>
          <w:tcPr>
            <w:tcW w:w="2070" w:type="dxa"/>
            <w:vAlign w:val="center"/>
          </w:tcPr>
          <w:p w14:paraId="38770CFE" w14:textId="77777777" w:rsidR="00FE7FE2" w:rsidRPr="00967653" w:rsidRDefault="00FE7FE2" w:rsidP="005859DB">
            <w:pPr>
              <w:pStyle w:val="TableParagraph"/>
              <w:spacing w:before="102"/>
              <w:ind w:left="106"/>
              <w:rPr>
                <w:rFonts w:asciiTheme="minorHAnsi" w:hAnsiTheme="minorHAnsi" w:cstheme="minorHAnsi"/>
              </w:rPr>
            </w:pPr>
            <w:r w:rsidRPr="00967653">
              <w:rPr>
                <w:rFonts w:asciiTheme="minorHAnsi" w:hAnsiTheme="minorHAnsi" w:cstheme="minorHAnsi"/>
              </w:rPr>
              <w:t>Not reviewed</w:t>
            </w:r>
          </w:p>
        </w:tc>
        <w:tc>
          <w:tcPr>
            <w:tcW w:w="1530" w:type="dxa"/>
            <w:vAlign w:val="center"/>
          </w:tcPr>
          <w:p w14:paraId="4A3A4836" w14:textId="77777777" w:rsidR="00FE7FE2" w:rsidRPr="005859DB" w:rsidRDefault="00FE7FE2" w:rsidP="00BB577E">
            <w:pPr>
              <w:pStyle w:val="TableParagraph"/>
              <w:spacing w:before="102"/>
              <w:contextualSpacing/>
              <w:rPr>
                <w:rFonts w:asciiTheme="minorHAnsi" w:hAnsiTheme="minorHAnsi" w:cstheme="minorHAnsi"/>
                <w:i/>
                <w:iCs/>
              </w:rPr>
            </w:pPr>
            <w:proofErr w:type="spellStart"/>
            <w:r w:rsidRPr="00967653">
              <w:rPr>
                <w:rFonts w:asciiTheme="minorHAnsi" w:hAnsiTheme="minorHAnsi" w:cstheme="minorHAnsi"/>
              </w:rPr>
              <w:t>Poliserpi</w:t>
            </w:r>
            <w:proofErr w:type="spellEnd"/>
            <w:r w:rsidRPr="00967653">
              <w:rPr>
                <w:rFonts w:asciiTheme="minorHAnsi" w:hAnsiTheme="minorHAnsi" w:cstheme="minorHAnsi"/>
              </w:rPr>
              <w:t xml:space="preserve"> </w:t>
            </w:r>
            <w:r w:rsidRPr="005859DB">
              <w:rPr>
                <w:rFonts w:asciiTheme="minorHAnsi" w:hAnsiTheme="minorHAnsi" w:cstheme="minorHAnsi"/>
                <w:i/>
                <w:iCs/>
              </w:rPr>
              <w:t>et al.,</w:t>
            </w:r>
          </w:p>
          <w:p w14:paraId="38F11496" w14:textId="77777777" w:rsidR="00FE7FE2" w:rsidRPr="00967653" w:rsidRDefault="00FE7FE2" w:rsidP="00BB577E">
            <w:pPr>
              <w:pStyle w:val="TableParagraph"/>
              <w:spacing w:before="102"/>
              <w:contextualSpacing/>
              <w:rPr>
                <w:rFonts w:asciiTheme="minorHAnsi" w:hAnsiTheme="minorHAnsi" w:cstheme="minorHAnsi"/>
              </w:rPr>
            </w:pPr>
            <w:r w:rsidRPr="00967653">
              <w:rPr>
                <w:rFonts w:asciiTheme="minorHAnsi" w:hAnsiTheme="minorHAnsi" w:cstheme="minorHAnsi"/>
              </w:rPr>
              <w:t xml:space="preserve"> 2021</w:t>
            </w:r>
          </w:p>
        </w:tc>
      </w:tr>
    </w:tbl>
    <w:p w14:paraId="525707D8" w14:textId="77777777" w:rsidR="00FE7FE2" w:rsidRPr="007657A7" w:rsidRDefault="00FE7FE2" w:rsidP="005859DB">
      <w:pPr>
        <w:pStyle w:val="Default"/>
        <w:numPr>
          <w:ilvl w:val="0"/>
          <w:numId w:val="43"/>
        </w:numPr>
        <w:ind w:hanging="280"/>
        <w:rPr>
          <w:rFonts w:asciiTheme="minorHAnsi" w:hAnsiTheme="minorHAnsi" w:cstheme="minorHAnsi"/>
          <w:sz w:val="20"/>
          <w:szCs w:val="20"/>
        </w:rPr>
      </w:pPr>
      <w:r w:rsidRPr="007657A7">
        <w:rPr>
          <w:rFonts w:asciiTheme="minorHAnsi" w:hAnsiTheme="minorHAnsi" w:cstheme="minorHAnsi"/>
          <w:sz w:val="20"/>
          <w:szCs w:val="20"/>
        </w:rPr>
        <w:t xml:space="preserve">Slopes not reported by EPA, calculated using </w:t>
      </w:r>
      <w:proofErr w:type="spellStart"/>
      <w:r w:rsidRPr="007657A7">
        <w:rPr>
          <w:rFonts w:asciiTheme="minorHAnsi" w:hAnsiTheme="minorHAnsi" w:cstheme="minorHAnsi"/>
          <w:sz w:val="20"/>
          <w:szCs w:val="20"/>
        </w:rPr>
        <w:t>probit</w:t>
      </w:r>
      <w:proofErr w:type="spellEnd"/>
      <w:r w:rsidRPr="007657A7">
        <w:rPr>
          <w:rFonts w:asciiTheme="minorHAnsi" w:hAnsiTheme="minorHAnsi" w:cstheme="minorHAnsi"/>
          <w:sz w:val="20"/>
          <w:szCs w:val="20"/>
        </w:rPr>
        <w:t xml:space="preserve"> analysis in R using </w:t>
      </w:r>
      <w:proofErr w:type="spellStart"/>
      <w:r w:rsidRPr="007657A7">
        <w:rPr>
          <w:rFonts w:asciiTheme="minorHAnsi" w:hAnsiTheme="minorHAnsi" w:cstheme="minorHAnsi"/>
          <w:sz w:val="20"/>
          <w:szCs w:val="20"/>
        </w:rPr>
        <w:t>drc</w:t>
      </w:r>
      <w:proofErr w:type="spellEnd"/>
      <w:r w:rsidRPr="007657A7">
        <w:rPr>
          <w:rFonts w:asciiTheme="minorHAnsi" w:hAnsiTheme="minorHAnsi" w:cstheme="minorHAnsi"/>
          <w:sz w:val="20"/>
          <w:szCs w:val="20"/>
        </w:rPr>
        <w:t xml:space="preserve"> package (Ritz </w:t>
      </w:r>
      <w:r w:rsidRPr="005859DB">
        <w:rPr>
          <w:rFonts w:asciiTheme="minorHAnsi" w:hAnsiTheme="minorHAnsi" w:cstheme="minorHAnsi"/>
          <w:i/>
          <w:iCs/>
          <w:sz w:val="20"/>
          <w:szCs w:val="20"/>
        </w:rPr>
        <w:t>et al</w:t>
      </w:r>
      <w:r w:rsidRPr="007657A7">
        <w:rPr>
          <w:rFonts w:asciiTheme="minorHAnsi" w:hAnsiTheme="minorHAnsi" w:cstheme="minorHAnsi"/>
          <w:sz w:val="20"/>
          <w:szCs w:val="20"/>
        </w:rPr>
        <w:t>., 2015) on data provided in report or publication.</w:t>
      </w:r>
    </w:p>
    <w:p w14:paraId="6FD4C5B4" w14:textId="77777777" w:rsidR="00FE7FE2" w:rsidRPr="007657A7" w:rsidRDefault="00FE7FE2" w:rsidP="005859DB">
      <w:pPr>
        <w:pStyle w:val="Default"/>
        <w:numPr>
          <w:ilvl w:val="0"/>
          <w:numId w:val="43"/>
        </w:numPr>
        <w:ind w:hanging="280"/>
        <w:rPr>
          <w:rFonts w:asciiTheme="minorHAnsi" w:hAnsiTheme="minorHAnsi" w:cstheme="minorHAnsi"/>
          <w:sz w:val="20"/>
          <w:szCs w:val="20"/>
        </w:rPr>
      </w:pPr>
      <w:r w:rsidRPr="007657A7">
        <w:rPr>
          <w:rFonts w:asciiTheme="minorHAnsi" w:hAnsiTheme="minorHAnsi" w:cstheme="minorHAnsi"/>
          <w:sz w:val="20"/>
          <w:szCs w:val="20"/>
        </w:rPr>
        <w:t>Slope reported by EPA in draft BE.</w:t>
      </w:r>
    </w:p>
    <w:p w14:paraId="50B17B3B" w14:textId="77777777" w:rsidR="00FE7FE2" w:rsidRPr="006A78F6" w:rsidRDefault="00FE7FE2" w:rsidP="005859DB">
      <w:pPr>
        <w:pStyle w:val="Default"/>
        <w:rPr>
          <w:rFonts w:asciiTheme="minorHAnsi" w:hAnsiTheme="minorHAnsi" w:cstheme="minorHAnsi"/>
          <w:sz w:val="22"/>
          <w:szCs w:val="22"/>
        </w:rPr>
      </w:pPr>
    </w:p>
    <w:p w14:paraId="43D1758D" w14:textId="77777777" w:rsidR="00FE7FE2" w:rsidRPr="006A78F6" w:rsidRDefault="00FE7FE2" w:rsidP="005859DB">
      <w:pPr>
        <w:pStyle w:val="Default"/>
        <w:rPr>
          <w:rFonts w:asciiTheme="minorHAnsi" w:hAnsiTheme="minorHAnsi" w:cstheme="minorBidi"/>
          <w:sz w:val="22"/>
          <w:szCs w:val="22"/>
        </w:rPr>
      </w:pPr>
      <w:r w:rsidRPr="006A78F6">
        <w:rPr>
          <w:rFonts w:asciiTheme="minorHAnsi" w:hAnsiTheme="minorHAnsi" w:cstheme="minorBidi"/>
          <w:sz w:val="22"/>
          <w:szCs w:val="22"/>
        </w:rPr>
        <w:t>In addition to revising the quantitative approach, EPA must consider additional lines of evidence currently omitted in the draft BE. Imidacloprid induces a strong learned avoidance – documented in &gt;38 lab, flight cage and field studies – which reduces the risk of mortality events and should be considered in the Weight of Evidence. In addition, there are &gt;11 avian field studies with imidacloprid that investigate the potential for adverse effects under typical agronomic practices. These studies are summarized in MRID 50216001 and should be considered by EPA in the final BE.</w:t>
      </w:r>
    </w:p>
    <w:p w14:paraId="55978A5F" w14:textId="77777777" w:rsidR="00FE7FE2" w:rsidRDefault="00FE7FE2" w:rsidP="005859DB">
      <w:pPr>
        <w:pStyle w:val="Default"/>
        <w:rPr>
          <w:rFonts w:eastAsia="Calibri"/>
          <w:i/>
          <w:iCs/>
          <w:color w:val="000000" w:themeColor="text1"/>
        </w:rPr>
      </w:pPr>
    </w:p>
    <w:p w14:paraId="40E17AF3" w14:textId="6673444B" w:rsidR="00FE7FE2" w:rsidRPr="005B5C3D" w:rsidRDefault="00FE7FE2" w:rsidP="005859DB">
      <w:pPr>
        <w:pStyle w:val="Default"/>
        <w:rPr>
          <w:rFonts w:asciiTheme="minorHAnsi" w:eastAsia="Calibri" w:hAnsiTheme="minorHAnsi"/>
          <w:i/>
          <w:color w:val="000000" w:themeColor="text1"/>
          <w:sz w:val="22"/>
          <w:szCs w:val="22"/>
        </w:rPr>
      </w:pPr>
      <w:r w:rsidRPr="00B37E8D">
        <w:rPr>
          <w:rFonts w:asciiTheme="minorHAnsi" w:hAnsiTheme="minorHAnsi" w:cstheme="minorBidi"/>
          <w:b/>
          <w:bCs/>
          <w:sz w:val="22"/>
          <w:szCs w:val="22"/>
        </w:rPr>
        <w:t>EPA Response:</w:t>
      </w:r>
      <w:r w:rsidRPr="00B37E8D">
        <w:rPr>
          <w:rFonts w:asciiTheme="minorHAnsi" w:eastAsia="Calibri" w:hAnsiTheme="minorHAnsi"/>
          <w:i/>
          <w:iCs/>
          <w:color w:val="000000" w:themeColor="text1"/>
          <w:sz w:val="22"/>
          <w:szCs w:val="22"/>
        </w:rPr>
        <w:t xml:space="preserve"> </w:t>
      </w:r>
      <w:bookmarkStart w:id="60" w:name="_Hlk101354238"/>
      <w:r w:rsidRPr="00B37E8D">
        <w:rPr>
          <w:rFonts w:asciiTheme="minorHAnsi" w:eastAsia="Calibri" w:hAnsiTheme="minorHAnsi"/>
          <w:i/>
          <w:color w:val="000000" w:themeColor="text1"/>
          <w:sz w:val="22"/>
          <w:szCs w:val="22"/>
        </w:rPr>
        <w:t>By design</w:t>
      </w:r>
      <w:r w:rsidR="003E544A">
        <w:rPr>
          <w:rFonts w:asciiTheme="minorHAnsi" w:eastAsia="Calibri" w:hAnsiTheme="minorHAnsi"/>
          <w:i/>
          <w:color w:val="000000" w:themeColor="text1"/>
          <w:sz w:val="22"/>
          <w:szCs w:val="22"/>
        </w:rPr>
        <w:t>,</w:t>
      </w:r>
      <w:r w:rsidRPr="00B37E8D">
        <w:rPr>
          <w:rFonts w:asciiTheme="minorHAnsi" w:eastAsia="Calibri" w:hAnsiTheme="minorHAnsi"/>
          <w:i/>
          <w:color w:val="000000" w:themeColor="text1"/>
          <w:sz w:val="22"/>
          <w:szCs w:val="22"/>
        </w:rPr>
        <w:t xml:space="preserve"> lab</w:t>
      </w:r>
      <w:r w:rsidR="003E544A">
        <w:rPr>
          <w:rFonts w:asciiTheme="minorHAnsi" w:eastAsia="Calibri" w:hAnsiTheme="minorHAnsi"/>
          <w:i/>
          <w:color w:val="000000" w:themeColor="text1"/>
          <w:sz w:val="22"/>
          <w:szCs w:val="22"/>
        </w:rPr>
        <w:t>oratory</w:t>
      </w:r>
      <w:r w:rsidRPr="00B37E8D">
        <w:rPr>
          <w:rFonts w:asciiTheme="minorHAnsi" w:eastAsia="Calibri" w:hAnsiTheme="minorHAnsi"/>
          <w:i/>
          <w:color w:val="000000" w:themeColor="text1"/>
          <w:sz w:val="22"/>
          <w:szCs w:val="22"/>
        </w:rPr>
        <w:t xml:space="preserve"> test </w:t>
      </w:r>
      <w:r w:rsidR="003E544A">
        <w:rPr>
          <w:rFonts w:asciiTheme="minorHAnsi" w:eastAsia="Calibri" w:hAnsiTheme="minorHAnsi"/>
          <w:i/>
          <w:color w:val="000000" w:themeColor="text1"/>
          <w:sz w:val="22"/>
          <w:szCs w:val="22"/>
        </w:rPr>
        <w:t>animals and species</w:t>
      </w:r>
      <w:r w:rsidRPr="00B37E8D">
        <w:rPr>
          <w:rFonts w:asciiTheme="minorHAnsi" w:eastAsia="Calibri" w:hAnsiTheme="minorHAnsi"/>
          <w:i/>
          <w:color w:val="000000" w:themeColor="text1"/>
          <w:sz w:val="22"/>
          <w:szCs w:val="22"/>
        </w:rPr>
        <w:t xml:space="preserve"> are </w:t>
      </w:r>
      <w:r w:rsidR="003E544A">
        <w:rPr>
          <w:rFonts w:asciiTheme="minorHAnsi" w:eastAsia="Calibri" w:hAnsiTheme="minorHAnsi"/>
          <w:i/>
          <w:color w:val="000000" w:themeColor="text1"/>
          <w:sz w:val="22"/>
          <w:szCs w:val="22"/>
        </w:rPr>
        <w:t>obviously able to be reared in laboratory conditions and generally maintain good control performance.</w:t>
      </w:r>
      <w:r w:rsidRPr="00B37E8D">
        <w:rPr>
          <w:rFonts w:asciiTheme="minorHAnsi" w:eastAsia="Calibri" w:hAnsiTheme="minorHAnsi"/>
          <w:i/>
          <w:color w:val="000000" w:themeColor="text1"/>
          <w:sz w:val="22"/>
          <w:szCs w:val="22"/>
        </w:rPr>
        <w:t xml:space="preserve"> Additionally, these diet preference</w:t>
      </w:r>
      <w:bookmarkEnd w:id="60"/>
      <w:r w:rsidR="005B11BA">
        <w:rPr>
          <w:rFonts w:asciiTheme="minorHAnsi" w:eastAsia="Calibri" w:hAnsiTheme="minorHAnsi"/>
          <w:i/>
          <w:color w:val="000000" w:themeColor="text1"/>
          <w:sz w:val="22"/>
          <w:szCs w:val="22"/>
        </w:rPr>
        <w:t>/avoidance</w:t>
      </w:r>
      <w:r w:rsidRPr="00B37E8D">
        <w:rPr>
          <w:rFonts w:asciiTheme="minorHAnsi" w:eastAsia="Calibri" w:hAnsiTheme="minorHAnsi"/>
          <w:i/>
          <w:color w:val="000000" w:themeColor="text1"/>
          <w:sz w:val="22"/>
          <w:szCs w:val="22"/>
        </w:rPr>
        <w:t xml:space="preserve"> studies are not </w:t>
      </w:r>
      <w:r w:rsidR="005B11BA">
        <w:rPr>
          <w:rFonts w:asciiTheme="minorHAnsi" w:eastAsia="Calibri" w:hAnsiTheme="minorHAnsi"/>
          <w:i/>
          <w:color w:val="000000" w:themeColor="text1"/>
          <w:sz w:val="22"/>
          <w:szCs w:val="22"/>
        </w:rPr>
        <w:t xml:space="preserve">anticipated to alter determinations at the individual level given the large spatial extent of usage for imidacloprid, the empirically derived toxicity of imidacloprid to birds across several species, and the unknown relevance of these studies for vulnerable and listed species in the field. </w:t>
      </w:r>
      <w:r w:rsidRPr="00B37E8D">
        <w:rPr>
          <w:rFonts w:asciiTheme="minorHAnsi" w:eastAsia="Calibri" w:hAnsiTheme="minorHAnsi"/>
          <w:i/>
          <w:color w:val="000000" w:themeColor="text1"/>
          <w:sz w:val="22"/>
          <w:szCs w:val="22"/>
        </w:rPr>
        <w:t xml:space="preserve"> </w:t>
      </w:r>
      <w:r w:rsidR="005B11BA">
        <w:rPr>
          <w:rFonts w:asciiTheme="minorHAnsi" w:eastAsia="Calibri" w:hAnsiTheme="minorHAnsi"/>
          <w:i/>
          <w:color w:val="000000" w:themeColor="text1"/>
          <w:sz w:val="22"/>
          <w:szCs w:val="22"/>
        </w:rPr>
        <w:t>Where relevant, t</w:t>
      </w:r>
      <w:r w:rsidRPr="00B37E8D">
        <w:rPr>
          <w:rFonts w:asciiTheme="minorHAnsi" w:eastAsia="Calibri" w:hAnsiTheme="minorHAnsi"/>
          <w:i/>
          <w:color w:val="000000" w:themeColor="text1"/>
          <w:sz w:val="22"/>
          <w:szCs w:val="22"/>
        </w:rPr>
        <w:t xml:space="preserve">hese studies </w:t>
      </w:r>
      <w:r w:rsidR="002735FF">
        <w:rPr>
          <w:rFonts w:asciiTheme="minorHAnsi" w:eastAsia="Calibri" w:hAnsiTheme="minorHAnsi"/>
          <w:i/>
          <w:color w:val="000000" w:themeColor="text1"/>
          <w:sz w:val="22"/>
          <w:szCs w:val="22"/>
        </w:rPr>
        <w:t>may be discussed with the Services during consultation</w:t>
      </w:r>
      <w:r w:rsidR="00B37E8D" w:rsidRPr="00B37E8D">
        <w:rPr>
          <w:rFonts w:asciiTheme="minorHAnsi" w:eastAsia="Calibri" w:hAnsiTheme="minorHAnsi"/>
          <w:i/>
          <w:color w:val="000000" w:themeColor="text1"/>
          <w:sz w:val="22"/>
          <w:szCs w:val="22"/>
        </w:rPr>
        <w:t>.</w:t>
      </w:r>
    </w:p>
    <w:p w14:paraId="375B2EE7" w14:textId="77777777" w:rsidR="00FE7FE2" w:rsidRDefault="00FE7FE2" w:rsidP="005859DB">
      <w:pPr>
        <w:pStyle w:val="Default"/>
        <w:rPr>
          <w:rFonts w:eastAsia="Calibri"/>
          <w:i/>
          <w:iCs/>
          <w:color w:val="000000" w:themeColor="text1"/>
        </w:rPr>
      </w:pPr>
    </w:p>
    <w:p w14:paraId="1FB9477F" w14:textId="38FB8CD2" w:rsidR="00FE7FE2" w:rsidRPr="006A78F6" w:rsidRDefault="00FE7FE2" w:rsidP="005859DB">
      <w:pPr>
        <w:pStyle w:val="Default"/>
        <w:rPr>
          <w:rFonts w:asciiTheme="minorHAnsi" w:hAnsiTheme="minorHAnsi" w:cstheme="minorHAnsi"/>
          <w:sz w:val="22"/>
          <w:szCs w:val="22"/>
        </w:rPr>
      </w:pPr>
      <w:r w:rsidRPr="00721481">
        <w:rPr>
          <w:rFonts w:asciiTheme="minorHAnsi" w:hAnsiTheme="minorHAnsi" w:cstheme="minorHAnsi"/>
          <w:b/>
          <w:bCs/>
          <w:sz w:val="22"/>
          <w:szCs w:val="22"/>
        </w:rPr>
        <w:t>Comment</w:t>
      </w:r>
      <w:r w:rsidRPr="006A78F6">
        <w:rPr>
          <w:rFonts w:asciiTheme="minorHAnsi" w:hAnsiTheme="minorHAnsi" w:cstheme="minorHAnsi"/>
          <w:b/>
          <w:bCs/>
          <w:sz w:val="22"/>
          <w:szCs w:val="22"/>
        </w:rPr>
        <w:t>:</w:t>
      </w:r>
      <w:r>
        <w:rPr>
          <w:rFonts w:asciiTheme="minorHAnsi" w:hAnsiTheme="minorHAnsi" w:cstheme="minorHAnsi"/>
          <w:sz w:val="22"/>
          <w:szCs w:val="22"/>
        </w:rPr>
        <w:t xml:space="preserve"> </w:t>
      </w:r>
      <w:r w:rsidRPr="002F6C95">
        <w:rPr>
          <w:rFonts w:asciiTheme="minorHAnsi" w:hAnsiTheme="minorHAnsi" w:cstheme="minorHAnsi"/>
          <w:b/>
          <w:bCs/>
          <w:sz w:val="22"/>
          <w:szCs w:val="22"/>
        </w:rPr>
        <w:t>Appendix 2-6</w:t>
      </w:r>
      <w:r w:rsidRPr="006A78F6">
        <w:rPr>
          <w:rFonts w:asciiTheme="minorHAnsi" w:hAnsiTheme="minorHAnsi" w:cstheme="minorHAnsi"/>
          <w:sz w:val="22"/>
          <w:szCs w:val="22"/>
        </w:rPr>
        <w:t xml:space="preserve"> of the draft BE describes the derivation of species sensitivity distributions (SSD)</w:t>
      </w:r>
      <w:r w:rsidR="000D2AB2">
        <w:rPr>
          <w:rFonts w:asciiTheme="minorHAnsi" w:hAnsiTheme="minorHAnsi" w:cstheme="minorHAnsi"/>
          <w:sz w:val="22"/>
          <w:szCs w:val="22"/>
        </w:rPr>
        <w:t xml:space="preserve"> </w:t>
      </w:r>
      <w:r w:rsidRPr="006A78F6">
        <w:rPr>
          <w:rFonts w:asciiTheme="minorHAnsi" w:hAnsiTheme="minorHAnsi" w:cstheme="minorHAnsi"/>
          <w:sz w:val="22"/>
          <w:szCs w:val="22"/>
        </w:rPr>
        <w:t xml:space="preserve">for terrestrial acute hazard. Generally, the Consortium is supportive of the Agency’s use of SSDs in these scenarios, as the data set is of sufficient size. Greater transparency in how the Agency is interpreting the studies and the underlying assumptions that are being made in converting hazard values from the literature is warranted. No evaluations of any of the studies used in constructing the SSDs were provided which contrasts with documentation that was provided with the aquatic invertebrate SSD document. One of the challenges with using literature studies is that endpoints can be presented in a variety of units (e.g., mass ai/individual, </w:t>
      </w:r>
      <w:proofErr w:type="spellStart"/>
      <w:r w:rsidRPr="006A78F6">
        <w:rPr>
          <w:rFonts w:asciiTheme="minorHAnsi" w:hAnsiTheme="minorHAnsi" w:cstheme="minorHAnsi"/>
          <w:sz w:val="22"/>
          <w:szCs w:val="22"/>
        </w:rPr>
        <w:t>lb</w:t>
      </w:r>
      <w:proofErr w:type="spellEnd"/>
      <w:r w:rsidRPr="006A78F6">
        <w:rPr>
          <w:rFonts w:asciiTheme="minorHAnsi" w:hAnsiTheme="minorHAnsi" w:cstheme="minorHAnsi"/>
          <w:sz w:val="22"/>
          <w:szCs w:val="22"/>
        </w:rPr>
        <w:t xml:space="preserve"> ai/Acre) and enough information to convert these into a common unit for the SSD (i.e., mg/kg) must be available for use. The assumptions that EPA is using to make these conversions should be included in the documentation (</w:t>
      </w:r>
      <w:r w:rsidRPr="0065488D">
        <w:rPr>
          <w:rFonts w:asciiTheme="minorHAnsi" w:hAnsiTheme="minorHAnsi" w:cstheme="minorHAnsi"/>
          <w:i/>
          <w:iCs/>
          <w:sz w:val="22"/>
          <w:szCs w:val="22"/>
        </w:rPr>
        <w:t>e.g.</w:t>
      </w:r>
      <w:r w:rsidRPr="006A78F6">
        <w:rPr>
          <w:rFonts w:asciiTheme="minorHAnsi" w:hAnsiTheme="minorHAnsi" w:cstheme="minorHAnsi"/>
          <w:sz w:val="22"/>
          <w:szCs w:val="22"/>
        </w:rPr>
        <w:t xml:space="preserve">, body mass of </w:t>
      </w:r>
      <w:proofErr w:type="spellStart"/>
      <w:r w:rsidRPr="00047D3D">
        <w:rPr>
          <w:rFonts w:asciiTheme="minorHAnsi" w:hAnsiTheme="minorHAnsi" w:cstheme="minorHAnsi"/>
          <w:i/>
          <w:iCs/>
          <w:sz w:val="22"/>
          <w:szCs w:val="22"/>
        </w:rPr>
        <w:t>Apis</w:t>
      </w:r>
      <w:proofErr w:type="spellEnd"/>
      <w:r w:rsidRPr="00047D3D">
        <w:rPr>
          <w:rFonts w:asciiTheme="minorHAnsi" w:hAnsiTheme="minorHAnsi" w:cstheme="minorHAnsi"/>
          <w:i/>
          <w:iCs/>
          <w:sz w:val="22"/>
          <w:szCs w:val="22"/>
        </w:rPr>
        <w:t xml:space="preserve"> </w:t>
      </w:r>
      <w:proofErr w:type="spellStart"/>
      <w:r w:rsidRPr="00047D3D">
        <w:rPr>
          <w:rFonts w:asciiTheme="minorHAnsi" w:hAnsiTheme="minorHAnsi" w:cstheme="minorHAnsi"/>
          <w:i/>
          <w:iCs/>
          <w:sz w:val="22"/>
          <w:szCs w:val="22"/>
        </w:rPr>
        <w:t>cerana</w:t>
      </w:r>
      <w:proofErr w:type="spellEnd"/>
      <w:r w:rsidRPr="006A78F6">
        <w:rPr>
          <w:rFonts w:asciiTheme="minorHAnsi" w:hAnsiTheme="minorHAnsi" w:cstheme="minorHAnsi"/>
          <w:sz w:val="22"/>
          <w:szCs w:val="22"/>
        </w:rPr>
        <w:t>).</w:t>
      </w:r>
    </w:p>
    <w:p w14:paraId="21F89CF1" w14:textId="77777777" w:rsidR="00FE7FE2" w:rsidRPr="007A3A5A" w:rsidRDefault="00FE7FE2" w:rsidP="005859DB">
      <w:pPr>
        <w:pStyle w:val="Default"/>
        <w:rPr>
          <w:rFonts w:asciiTheme="minorHAnsi" w:hAnsiTheme="minorHAnsi" w:cstheme="minorHAnsi"/>
          <w:i/>
          <w:iCs/>
        </w:rPr>
      </w:pPr>
    </w:p>
    <w:p w14:paraId="59A9A02B" w14:textId="37366B1C" w:rsidR="00FE7FE2" w:rsidRPr="007A3A5A" w:rsidRDefault="00FE7FE2" w:rsidP="005F39DC">
      <w:pPr>
        <w:rPr>
          <w:rFonts w:asciiTheme="minorHAnsi" w:hAnsiTheme="minorHAnsi" w:cstheme="minorHAnsi"/>
          <w:b/>
          <w:bCs/>
        </w:rPr>
      </w:pPr>
      <w:r w:rsidRPr="007A3A5A">
        <w:rPr>
          <w:rFonts w:asciiTheme="minorHAnsi" w:hAnsiTheme="minorHAnsi" w:cstheme="minorHAnsi"/>
          <w:b/>
          <w:bCs/>
        </w:rPr>
        <w:t>EPA Response:</w:t>
      </w:r>
      <w:r w:rsidRPr="007A3A5A">
        <w:rPr>
          <w:rFonts w:asciiTheme="minorHAnsi" w:eastAsia="Calibri" w:hAnsiTheme="minorHAnsi" w:cstheme="minorHAnsi"/>
          <w:i/>
          <w:iCs/>
          <w:color w:val="000000" w:themeColor="text1"/>
        </w:rPr>
        <w:t xml:space="preserve"> </w:t>
      </w:r>
      <w:bookmarkStart w:id="61" w:name="_Hlk101354255"/>
      <w:r w:rsidR="007A3A5A" w:rsidRPr="007A3A5A">
        <w:rPr>
          <w:rFonts w:asciiTheme="minorHAnsi" w:eastAsia="Calibri" w:hAnsiTheme="minorHAnsi" w:cstheme="minorHAnsi"/>
          <w:i/>
          <w:iCs/>
          <w:color w:val="000000" w:themeColor="text1"/>
        </w:rPr>
        <w:t xml:space="preserve">The Agency acknowledges the lack of evaluations for </w:t>
      </w:r>
      <w:r w:rsidR="00FD0101">
        <w:rPr>
          <w:rFonts w:asciiTheme="minorHAnsi" w:eastAsia="Calibri" w:hAnsiTheme="minorHAnsi" w:cstheme="minorHAnsi"/>
          <w:i/>
          <w:iCs/>
          <w:color w:val="000000" w:themeColor="text1"/>
        </w:rPr>
        <w:t>certain</w:t>
      </w:r>
      <w:r w:rsidR="00FD0101" w:rsidRPr="007A3A5A">
        <w:rPr>
          <w:rFonts w:asciiTheme="minorHAnsi" w:eastAsia="Calibri" w:hAnsiTheme="minorHAnsi" w:cstheme="minorHAnsi"/>
          <w:i/>
          <w:iCs/>
          <w:color w:val="000000" w:themeColor="text1"/>
        </w:rPr>
        <w:t xml:space="preserve"> </w:t>
      </w:r>
      <w:r w:rsidR="007A3A5A" w:rsidRPr="007A3A5A">
        <w:rPr>
          <w:rFonts w:asciiTheme="minorHAnsi" w:eastAsia="Calibri" w:hAnsiTheme="minorHAnsi" w:cstheme="minorHAnsi"/>
          <w:i/>
          <w:iCs/>
          <w:color w:val="000000" w:themeColor="text1"/>
        </w:rPr>
        <w:t xml:space="preserve">studies </w:t>
      </w:r>
      <w:bookmarkEnd w:id="61"/>
      <w:r w:rsidR="00FD0101">
        <w:rPr>
          <w:rFonts w:asciiTheme="minorHAnsi" w:eastAsia="Calibri" w:hAnsiTheme="minorHAnsi" w:cstheme="minorHAnsi"/>
          <w:i/>
          <w:iCs/>
          <w:color w:val="000000" w:themeColor="text1"/>
        </w:rPr>
        <w:t xml:space="preserve">but notes that not all studies used in the construction of an SSD receive a full evaluation. Rather, and as has been consistent in previous assessments where they were utilized, studies that represent certain thresholds on the larger array of data receive a review, which have previously been made available. </w:t>
      </w:r>
    </w:p>
    <w:p w14:paraId="5B726A8F" w14:textId="77777777" w:rsidR="00FE7FE2" w:rsidRPr="00721481" w:rsidRDefault="00FE7FE2" w:rsidP="005859DB">
      <w:pPr>
        <w:pStyle w:val="Default"/>
        <w:rPr>
          <w:rFonts w:asciiTheme="minorHAnsi" w:hAnsiTheme="minorHAnsi" w:cstheme="minorHAnsi"/>
          <w:i/>
          <w:iCs/>
          <w:sz w:val="22"/>
          <w:szCs w:val="22"/>
        </w:rPr>
      </w:pPr>
    </w:p>
    <w:p w14:paraId="3C306B9B" w14:textId="34827BDE" w:rsidR="00FE7FE2" w:rsidRPr="000E624B" w:rsidRDefault="00FE7FE2" w:rsidP="005859DB">
      <w:pPr>
        <w:pStyle w:val="Default"/>
        <w:rPr>
          <w:rFonts w:asciiTheme="minorHAnsi" w:hAnsiTheme="minorHAnsi" w:cstheme="minorHAnsi"/>
          <w:sz w:val="22"/>
          <w:szCs w:val="22"/>
        </w:rPr>
      </w:pPr>
      <w:r w:rsidRPr="00721481">
        <w:rPr>
          <w:rFonts w:asciiTheme="minorHAnsi" w:hAnsiTheme="minorHAnsi" w:cstheme="minorHAnsi"/>
          <w:b/>
          <w:bCs/>
          <w:sz w:val="22"/>
          <w:szCs w:val="22"/>
        </w:rPr>
        <w:lastRenderedPageBreak/>
        <w:t>Comment:</w:t>
      </w:r>
      <w:r w:rsidRPr="00721481">
        <w:rPr>
          <w:rFonts w:asciiTheme="minorHAnsi" w:hAnsiTheme="minorHAnsi" w:cstheme="minorHAnsi"/>
          <w:sz w:val="22"/>
          <w:szCs w:val="22"/>
        </w:rPr>
        <w:t xml:space="preserve"> </w:t>
      </w:r>
      <w:r w:rsidRPr="000E624B">
        <w:rPr>
          <w:rFonts w:asciiTheme="minorHAnsi" w:hAnsiTheme="minorHAnsi" w:cstheme="minorHAnsi"/>
          <w:sz w:val="22"/>
          <w:szCs w:val="22"/>
        </w:rPr>
        <w:t>Only one dietary acute LC</w:t>
      </w:r>
      <w:r w:rsidRPr="007D51D5">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is used for </w:t>
      </w:r>
      <w:r w:rsidRPr="007D51D5">
        <w:rPr>
          <w:rFonts w:asciiTheme="minorHAnsi" w:hAnsiTheme="minorHAnsi" w:cstheme="minorHAnsi"/>
          <w:i/>
          <w:iCs/>
          <w:sz w:val="22"/>
          <w:szCs w:val="22"/>
        </w:rPr>
        <w:t>Bombyx mori</w:t>
      </w:r>
      <w:r w:rsidRPr="000E624B">
        <w:rPr>
          <w:rFonts w:asciiTheme="minorHAnsi" w:hAnsiTheme="minorHAnsi" w:cstheme="minorHAnsi"/>
          <w:sz w:val="22"/>
          <w:szCs w:val="22"/>
        </w:rPr>
        <w:t xml:space="preserve"> from ECOTOX #162856 (Sun et al. 2012) with a value of 0.13 mg/kg. There are 8 LC</w:t>
      </w:r>
      <w:r w:rsidRPr="007D51D5">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values reported in this reference each from separate studies ranging from 0.13 to 0.25 mg/kg. It is not clear why only the study with the lowest endpoint was utilized in the SSD when it is indicated in </w:t>
      </w:r>
      <w:r w:rsidR="003A3BAD" w:rsidRPr="003A3BAD">
        <w:rPr>
          <w:rFonts w:asciiTheme="minorHAnsi" w:hAnsiTheme="minorHAnsi" w:cstheme="minorHAnsi"/>
          <w:b/>
          <w:bCs/>
          <w:sz w:val="22"/>
          <w:szCs w:val="22"/>
        </w:rPr>
        <w:t>S</w:t>
      </w:r>
      <w:r w:rsidRPr="003A3BAD">
        <w:rPr>
          <w:rFonts w:asciiTheme="minorHAnsi" w:hAnsiTheme="minorHAnsi" w:cstheme="minorHAnsi"/>
          <w:b/>
          <w:bCs/>
          <w:sz w:val="22"/>
          <w:szCs w:val="22"/>
        </w:rPr>
        <w:t>ection 2</w:t>
      </w:r>
      <w:r w:rsidRPr="000E624B">
        <w:rPr>
          <w:rFonts w:asciiTheme="minorHAnsi" w:hAnsiTheme="minorHAnsi" w:cstheme="minorHAnsi"/>
          <w:sz w:val="22"/>
          <w:szCs w:val="22"/>
        </w:rPr>
        <w:t xml:space="preserve"> of this appendix that all endpoints would be used when multiple tests were conducted.</w:t>
      </w:r>
    </w:p>
    <w:p w14:paraId="289CF672" w14:textId="77777777" w:rsidR="00FE7FE2" w:rsidRPr="000E624B" w:rsidRDefault="00FE7FE2" w:rsidP="005859DB">
      <w:pPr>
        <w:pStyle w:val="Default"/>
        <w:rPr>
          <w:rFonts w:asciiTheme="minorHAnsi" w:hAnsiTheme="minorHAnsi" w:cstheme="minorHAnsi"/>
          <w:sz w:val="22"/>
          <w:szCs w:val="22"/>
        </w:rPr>
      </w:pPr>
    </w:p>
    <w:p w14:paraId="28A744CA" w14:textId="27510930" w:rsidR="00FE7FE2" w:rsidRPr="000E624B" w:rsidRDefault="00FE7FE2" w:rsidP="005859DB">
      <w:pPr>
        <w:pStyle w:val="Default"/>
        <w:rPr>
          <w:rFonts w:asciiTheme="minorHAnsi" w:hAnsiTheme="minorHAnsi" w:cstheme="minorHAnsi"/>
          <w:sz w:val="22"/>
          <w:szCs w:val="22"/>
        </w:rPr>
      </w:pPr>
      <w:r w:rsidRPr="000E624B">
        <w:rPr>
          <w:rFonts w:asciiTheme="minorHAnsi" w:hAnsiTheme="minorHAnsi" w:cstheme="minorHAnsi"/>
          <w:sz w:val="22"/>
          <w:szCs w:val="22"/>
        </w:rPr>
        <w:t xml:space="preserve">For </w:t>
      </w:r>
      <w:r w:rsidRPr="007D51D5">
        <w:rPr>
          <w:rFonts w:asciiTheme="minorHAnsi" w:hAnsiTheme="minorHAnsi" w:cstheme="minorHAnsi"/>
          <w:i/>
          <w:iCs/>
          <w:sz w:val="22"/>
          <w:szCs w:val="22"/>
        </w:rPr>
        <w:t xml:space="preserve">Culex </w:t>
      </w:r>
      <w:proofErr w:type="spellStart"/>
      <w:r w:rsidRPr="007D51D5">
        <w:rPr>
          <w:rFonts w:asciiTheme="minorHAnsi" w:hAnsiTheme="minorHAnsi" w:cstheme="minorHAnsi"/>
          <w:i/>
          <w:iCs/>
          <w:sz w:val="22"/>
          <w:szCs w:val="22"/>
        </w:rPr>
        <w:t>quinquefasciatus</w:t>
      </w:r>
      <w:proofErr w:type="spellEnd"/>
      <w:r w:rsidRPr="000E624B">
        <w:rPr>
          <w:rFonts w:asciiTheme="minorHAnsi" w:hAnsiTheme="minorHAnsi" w:cstheme="minorHAnsi"/>
          <w:sz w:val="22"/>
          <w:szCs w:val="22"/>
        </w:rPr>
        <w:t>, the acute LC</w:t>
      </w:r>
      <w:r w:rsidRPr="007D51D5">
        <w:rPr>
          <w:rFonts w:asciiTheme="minorHAnsi" w:hAnsiTheme="minorHAnsi" w:cstheme="minorHAnsi"/>
          <w:sz w:val="22"/>
          <w:szCs w:val="22"/>
          <w:vertAlign w:val="subscript"/>
        </w:rPr>
        <w:t xml:space="preserve">50 </w:t>
      </w:r>
      <w:r w:rsidRPr="000E624B">
        <w:rPr>
          <w:rFonts w:asciiTheme="minorHAnsi" w:hAnsiTheme="minorHAnsi" w:cstheme="minorHAnsi"/>
          <w:sz w:val="22"/>
          <w:szCs w:val="22"/>
        </w:rPr>
        <w:t xml:space="preserve">value is listed as 0.31 mg/kg from ECOTOX #175414 (Shah et al 2016). It’s not exactly evident where this value comes from. In </w:t>
      </w:r>
      <w:r w:rsidR="003A3BAD">
        <w:rPr>
          <w:rFonts w:asciiTheme="minorHAnsi" w:hAnsiTheme="minorHAnsi" w:cstheme="minorHAnsi"/>
          <w:b/>
          <w:bCs/>
          <w:sz w:val="22"/>
          <w:szCs w:val="22"/>
        </w:rPr>
        <w:t>T</w:t>
      </w:r>
      <w:r w:rsidRPr="003A3BAD">
        <w:rPr>
          <w:rFonts w:asciiTheme="minorHAnsi" w:hAnsiTheme="minorHAnsi" w:cstheme="minorHAnsi"/>
          <w:b/>
          <w:bCs/>
          <w:sz w:val="22"/>
          <w:szCs w:val="22"/>
        </w:rPr>
        <w:t>able 2</w:t>
      </w:r>
      <w:r w:rsidRPr="000E624B">
        <w:rPr>
          <w:rFonts w:asciiTheme="minorHAnsi" w:hAnsiTheme="minorHAnsi" w:cstheme="minorHAnsi"/>
          <w:sz w:val="22"/>
          <w:szCs w:val="22"/>
        </w:rPr>
        <w:t xml:space="preserve"> of this reference, the LC</w:t>
      </w:r>
      <w:r w:rsidRPr="00EC137B">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for clothianidin is listed as 0.31 µg/</w:t>
      </w:r>
      <w:proofErr w:type="spellStart"/>
      <w:r w:rsidRPr="000E624B">
        <w:rPr>
          <w:rFonts w:asciiTheme="minorHAnsi" w:hAnsiTheme="minorHAnsi" w:cstheme="minorHAnsi"/>
          <w:sz w:val="22"/>
          <w:szCs w:val="22"/>
        </w:rPr>
        <w:t>mL.</w:t>
      </w:r>
      <w:proofErr w:type="spellEnd"/>
      <w:r w:rsidRPr="000E624B">
        <w:rPr>
          <w:rFonts w:asciiTheme="minorHAnsi" w:hAnsiTheme="minorHAnsi" w:cstheme="minorHAnsi"/>
          <w:sz w:val="22"/>
          <w:szCs w:val="22"/>
        </w:rPr>
        <w:t xml:space="preserve"> Adjusting for density of the 10% sugar solution using 1.038 g/mL would yield a value of 0.30 mg/kg. Therefore, it seems the most likely source of the value used in the SSD was from a clothianidin study which was not adjusted for the density of the food item. An imidacloprid study is reported in this reference with an LC</w:t>
      </w:r>
      <w:r w:rsidRPr="00EC137B">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of 1.59 µg/mL (slope of 3.99) which would be 1.53 mg/kg adjusted for density.</w:t>
      </w:r>
    </w:p>
    <w:p w14:paraId="0BC12DF7" w14:textId="77777777" w:rsidR="0053294B" w:rsidRDefault="0053294B" w:rsidP="005859DB">
      <w:pPr>
        <w:pStyle w:val="Default"/>
        <w:rPr>
          <w:rFonts w:asciiTheme="minorHAnsi" w:hAnsiTheme="minorHAnsi" w:cstheme="minorHAnsi"/>
          <w:sz w:val="22"/>
          <w:szCs w:val="22"/>
        </w:rPr>
      </w:pPr>
    </w:p>
    <w:p w14:paraId="3406B6E6" w14:textId="5FC7CCF3" w:rsidR="00FE7FE2" w:rsidRPr="00721481" w:rsidRDefault="00FE7FE2" w:rsidP="005859DB">
      <w:pPr>
        <w:pStyle w:val="Default"/>
        <w:rPr>
          <w:rFonts w:asciiTheme="minorHAnsi" w:hAnsiTheme="minorHAnsi" w:cstheme="minorHAnsi"/>
          <w:i/>
          <w:iCs/>
          <w:sz w:val="22"/>
          <w:szCs w:val="22"/>
        </w:rPr>
      </w:pPr>
      <w:r w:rsidRPr="000E624B">
        <w:rPr>
          <w:rFonts w:asciiTheme="minorHAnsi" w:hAnsiTheme="minorHAnsi" w:cstheme="minorHAnsi"/>
          <w:sz w:val="22"/>
          <w:szCs w:val="22"/>
        </w:rPr>
        <w:t xml:space="preserve">A literature review produced additional studies that should be considered in the acute dietary SSD </w:t>
      </w:r>
      <w:r w:rsidR="0053294B">
        <w:rPr>
          <w:rFonts w:asciiTheme="minorHAnsi" w:hAnsiTheme="minorHAnsi" w:cstheme="minorHAnsi"/>
          <w:sz w:val="22"/>
          <w:szCs w:val="22"/>
        </w:rPr>
        <w:t>that</w:t>
      </w:r>
      <w:r w:rsidRPr="000E624B">
        <w:rPr>
          <w:rFonts w:asciiTheme="minorHAnsi" w:hAnsiTheme="minorHAnsi" w:cstheme="minorHAnsi"/>
          <w:sz w:val="22"/>
          <w:szCs w:val="22"/>
        </w:rPr>
        <w:t xml:space="preserve"> are summarized below:</w:t>
      </w:r>
    </w:p>
    <w:p w14:paraId="00A37445" w14:textId="77777777" w:rsidR="00FE7FE2" w:rsidRPr="00721481" w:rsidRDefault="00FE7FE2" w:rsidP="005859DB">
      <w:pPr>
        <w:pStyle w:val="Default"/>
        <w:rPr>
          <w:rFonts w:asciiTheme="minorHAnsi" w:hAnsiTheme="minorHAnsi" w:cstheme="minorHAnsi"/>
          <w:b/>
          <w:bCs/>
          <w:i/>
          <w:iCs/>
          <w:sz w:val="22"/>
          <w:szCs w:val="22"/>
        </w:rPr>
      </w:pPr>
    </w:p>
    <w:p w14:paraId="19B01EF6" w14:textId="2C1150F7" w:rsidR="00FE7FE2" w:rsidRPr="00721481" w:rsidRDefault="00FE7FE2" w:rsidP="005F39DC">
      <w:pPr>
        <w:pStyle w:val="Default"/>
        <w:keepNext/>
        <w:keepLines/>
        <w:rPr>
          <w:rFonts w:asciiTheme="minorHAnsi" w:hAnsiTheme="minorHAnsi" w:cstheme="minorHAnsi"/>
          <w:b/>
          <w:bCs/>
          <w:i/>
          <w:iCs/>
          <w:sz w:val="22"/>
          <w:szCs w:val="22"/>
        </w:rPr>
      </w:pPr>
      <w:r w:rsidRPr="00721481">
        <w:rPr>
          <w:rFonts w:asciiTheme="minorHAnsi" w:hAnsiTheme="minorHAnsi" w:cstheme="minorHAnsi"/>
          <w:b/>
          <w:bCs/>
          <w:i/>
          <w:iCs/>
          <w:sz w:val="22"/>
          <w:szCs w:val="22"/>
        </w:rPr>
        <w:t xml:space="preserve">Table </w:t>
      </w:r>
      <w:r w:rsidR="009E3F66">
        <w:rPr>
          <w:rFonts w:asciiTheme="minorHAnsi" w:hAnsiTheme="minorHAnsi" w:cstheme="minorHAnsi"/>
          <w:b/>
          <w:bCs/>
          <w:i/>
          <w:iCs/>
          <w:sz w:val="22"/>
          <w:szCs w:val="22"/>
        </w:rPr>
        <w:t>3</w:t>
      </w:r>
      <w:r w:rsidRPr="00721481">
        <w:rPr>
          <w:rFonts w:asciiTheme="minorHAnsi" w:hAnsiTheme="minorHAnsi" w:cstheme="minorHAnsi"/>
          <w:b/>
          <w:bCs/>
          <w:i/>
          <w:iCs/>
          <w:sz w:val="22"/>
          <w:szCs w:val="22"/>
        </w:rPr>
        <w:t>-</w:t>
      </w:r>
      <w:r w:rsidR="00424558">
        <w:rPr>
          <w:rFonts w:asciiTheme="minorHAnsi" w:hAnsiTheme="minorHAnsi" w:cstheme="minorHAnsi"/>
          <w:b/>
          <w:bCs/>
          <w:i/>
          <w:iCs/>
          <w:sz w:val="22"/>
          <w:szCs w:val="22"/>
        </w:rPr>
        <w:t>6</w:t>
      </w:r>
      <w:r w:rsidRPr="00721481">
        <w:rPr>
          <w:rFonts w:asciiTheme="minorHAnsi" w:hAnsiTheme="minorHAnsi" w:cstheme="minorHAnsi"/>
          <w:b/>
          <w:bCs/>
          <w:i/>
          <w:iCs/>
          <w:sz w:val="22"/>
          <w:szCs w:val="22"/>
        </w:rPr>
        <w:t>. Available studies that should be considered in the terrestrial invertebrate acute dietary SSD</w:t>
      </w:r>
    </w:p>
    <w:tbl>
      <w:tblPr>
        <w:tblW w:w="9270" w:type="dxa"/>
        <w:tblInd w:w="100" w:type="dxa"/>
        <w:tblLayout w:type="fixed"/>
        <w:tblCellMar>
          <w:left w:w="0" w:type="dxa"/>
          <w:right w:w="0" w:type="dxa"/>
        </w:tblCellMar>
        <w:tblLook w:val="0000" w:firstRow="0" w:lastRow="0" w:firstColumn="0" w:lastColumn="0" w:noHBand="0" w:noVBand="0"/>
      </w:tblPr>
      <w:tblGrid>
        <w:gridCol w:w="2430"/>
        <w:gridCol w:w="2520"/>
        <w:gridCol w:w="2160"/>
        <w:gridCol w:w="2160"/>
      </w:tblGrid>
      <w:tr w:rsidR="00FE7FE2" w:rsidRPr="00721481" w14:paraId="5C4C4A35" w14:textId="77777777" w:rsidTr="00D722B7">
        <w:trPr>
          <w:trHeight w:val="252"/>
          <w:tblHeader/>
        </w:trPr>
        <w:tc>
          <w:tcPr>
            <w:tcW w:w="2430" w:type="dxa"/>
            <w:tcBorders>
              <w:top w:val="single" w:sz="8" w:space="0" w:color="000000"/>
              <w:left w:val="single" w:sz="8" w:space="0" w:color="000000"/>
              <w:bottom w:val="single" w:sz="8" w:space="0" w:color="000000"/>
              <w:right w:val="single" w:sz="8" w:space="0" w:color="000000"/>
            </w:tcBorders>
          </w:tcPr>
          <w:p w14:paraId="14A07712" w14:textId="77777777" w:rsidR="00FE7FE2" w:rsidRPr="00F740B1" w:rsidRDefault="00FE7FE2" w:rsidP="005859DB">
            <w:pPr>
              <w:pStyle w:val="Default"/>
              <w:rPr>
                <w:rFonts w:asciiTheme="minorHAnsi" w:hAnsiTheme="minorHAnsi" w:cstheme="minorHAnsi"/>
                <w:b/>
                <w:sz w:val="22"/>
                <w:szCs w:val="22"/>
              </w:rPr>
            </w:pPr>
            <w:r w:rsidRPr="00F740B1">
              <w:rPr>
                <w:rFonts w:asciiTheme="minorHAnsi" w:hAnsiTheme="minorHAnsi" w:cstheme="minorHAnsi"/>
                <w:b/>
                <w:sz w:val="22"/>
                <w:szCs w:val="22"/>
              </w:rPr>
              <w:t>Species</w:t>
            </w:r>
          </w:p>
        </w:tc>
        <w:tc>
          <w:tcPr>
            <w:tcW w:w="2520" w:type="dxa"/>
            <w:tcBorders>
              <w:top w:val="single" w:sz="8" w:space="0" w:color="000000"/>
              <w:left w:val="single" w:sz="8" w:space="0" w:color="000000"/>
              <w:bottom w:val="single" w:sz="8" w:space="0" w:color="000000"/>
              <w:right w:val="single" w:sz="8" w:space="0" w:color="000000"/>
            </w:tcBorders>
          </w:tcPr>
          <w:p w14:paraId="6B04B940" w14:textId="77777777" w:rsidR="00FE7FE2" w:rsidRPr="00F740B1" w:rsidRDefault="00FE7FE2" w:rsidP="005859DB">
            <w:pPr>
              <w:pStyle w:val="Default"/>
              <w:rPr>
                <w:rFonts w:asciiTheme="minorHAnsi" w:hAnsiTheme="minorHAnsi" w:cstheme="minorHAnsi"/>
                <w:b/>
                <w:sz w:val="22"/>
                <w:szCs w:val="22"/>
              </w:rPr>
            </w:pPr>
            <w:r w:rsidRPr="00F740B1">
              <w:rPr>
                <w:rFonts w:asciiTheme="minorHAnsi" w:hAnsiTheme="minorHAnsi" w:cstheme="minorHAnsi"/>
                <w:b/>
                <w:sz w:val="22"/>
                <w:szCs w:val="22"/>
              </w:rPr>
              <w:t>Acute LC50 (mg/kg food)</w:t>
            </w:r>
          </w:p>
        </w:tc>
        <w:tc>
          <w:tcPr>
            <w:tcW w:w="2160" w:type="dxa"/>
            <w:tcBorders>
              <w:top w:val="single" w:sz="8" w:space="0" w:color="000000"/>
              <w:left w:val="single" w:sz="8" w:space="0" w:color="000000"/>
              <w:bottom w:val="single" w:sz="8" w:space="0" w:color="000000"/>
              <w:right w:val="single" w:sz="8" w:space="0" w:color="000000"/>
            </w:tcBorders>
          </w:tcPr>
          <w:p w14:paraId="2F43CE4A" w14:textId="77777777" w:rsidR="00FE7FE2" w:rsidRPr="00F740B1" w:rsidRDefault="00FE7FE2" w:rsidP="005859DB">
            <w:pPr>
              <w:pStyle w:val="Default"/>
              <w:rPr>
                <w:rFonts w:asciiTheme="minorHAnsi" w:hAnsiTheme="minorHAnsi" w:cstheme="minorHAnsi"/>
                <w:b/>
                <w:sz w:val="22"/>
                <w:szCs w:val="22"/>
              </w:rPr>
            </w:pPr>
            <w:r w:rsidRPr="00F740B1">
              <w:rPr>
                <w:rFonts w:asciiTheme="minorHAnsi" w:hAnsiTheme="minorHAnsi" w:cstheme="minorHAnsi"/>
                <w:b/>
                <w:sz w:val="22"/>
                <w:szCs w:val="22"/>
              </w:rPr>
              <w:t>Slope</w:t>
            </w:r>
          </w:p>
        </w:tc>
        <w:tc>
          <w:tcPr>
            <w:tcW w:w="2160" w:type="dxa"/>
            <w:tcBorders>
              <w:top w:val="single" w:sz="8" w:space="0" w:color="000000"/>
              <w:left w:val="single" w:sz="8" w:space="0" w:color="000000"/>
              <w:bottom w:val="single" w:sz="8" w:space="0" w:color="000000"/>
              <w:right w:val="single" w:sz="8" w:space="0" w:color="000000"/>
            </w:tcBorders>
          </w:tcPr>
          <w:p w14:paraId="574DBCAE" w14:textId="77777777" w:rsidR="00FE7FE2" w:rsidRPr="00F740B1" w:rsidRDefault="00FE7FE2" w:rsidP="005859DB">
            <w:pPr>
              <w:pStyle w:val="Default"/>
              <w:rPr>
                <w:rFonts w:asciiTheme="minorHAnsi" w:hAnsiTheme="minorHAnsi" w:cstheme="minorHAnsi"/>
                <w:b/>
                <w:sz w:val="22"/>
                <w:szCs w:val="22"/>
              </w:rPr>
            </w:pPr>
            <w:r w:rsidRPr="00F740B1">
              <w:rPr>
                <w:rFonts w:asciiTheme="minorHAnsi" w:hAnsiTheme="minorHAnsi" w:cstheme="minorHAnsi"/>
                <w:b/>
                <w:sz w:val="22"/>
                <w:szCs w:val="22"/>
              </w:rPr>
              <w:t>Reference</w:t>
            </w:r>
          </w:p>
        </w:tc>
      </w:tr>
      <w:tr w:rsidR="00FE7FE2" w:rsidRPr="00721481" w14:paraId="7DAEFF65" w14:textId="77777777" w:rsidTr="007A4697">
        <w:trPr>
          <w:trHeight w:val="253"/>
        </w:trPr>
        <w:tc>
          <w:tcPr>
            <w:tcW w:w="2430" w:type="dxa"/>
            <w:tcBorders>
              <w:top w:val="single" w:sz="8" w:space="0" w:color="000000"/>
              <w:left w:val="single" w:sz="8" w:space="0" w:color="000000"/>
              <w:bottom w:val="single" w:sz="8" w:space="0" w:color="000000"/>
              <w:right w:val="single" w:sz="8" w:space="0" w:color="000000"/>
            </w:tcBorders>
          </w:tcPr>
          <w:p w14:paraId="75C7BBC7"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 xml:space="preserve">Spodoptera </w:t>
            </w:r>
            <w:proofErr w:type="spellStart"/>
            <w:r w:rsidRPr="00721481">
              <w:rPr>
                <w:rFonts w:asciiTheme="minorHAnsi" w:hAnsiTheme="minorHAnsi" w:cstheme="minorHAnsi"/>
                <w:i/>
                <w:iCs/>
                <w:sz w:val="22"/>
                <w:szCs w:val="22"/>
              </w:rPr>
              <w:t>litura</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0A7BAA0C"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240.1, 57.7, 63.1, 49.9</w:t>
            </w:r>
          </w:p>
        </w:tc>
        <w:tc>
          <w:tcPr>
            <w:tcW w:w="2160" w:type="dxa"/>
            <w:tcBorders>
              <w:top w:val="single" w:sz="8" w:space="0" w:color="000000"/>
              <w:left w:val="single" w:sz="8" w:space="0" w:color="000000"/>
              <w:bottom w:val="single" w:sz="8" w:space="0" w:color="000000"/>
              <w:right w:val="single" w:sz="8" w:space="0" w:color="000000"/>
            </w:tcBorders>
          </w:tcPr>
          <w:p w14:paraId="45373F70"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1.36, 1.68, 1.62, 1.68</w:t>
            </w:r>
          </w:p>
        </w:tc>
        <w:tc>
          <w:tcPr>
            <w:tcW w:w="2160" w:type="dxa"/>
            <w:tcBorders>
              <w:top w:val="single" w:sz="8" w:space="0" w:color="000000"/>
              <w:left w:val="single" w:sz="8" w:space="0" w:color="000000"/>
              <w:bottom w:val="single" w:sz="8" w:space="0" w:color="000000"/>
              <w:right w:val="single" w:sz="8" w:space="0" w:color="000000"/>
            </w:tcBorders>
          </w:tcPr>
          <w:p w14:paraId="7389848D"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Rehan</w:t>
            </w:r>
            <w:proofErr w:type="spellEnd"/>
            <w:r w:rsidRPr="00721481">
              <w:rPr>
                <w:rFonts w:asciiTheme="minorHAnsi" w:hAnsiTheme="minorHAnsi" w:cstheme="minorHAnsi"/>
                <w:i/>
                <w:iCs/>
                <w:sz w:val="22"/>
                <w:szCs w:val="22"/>
              </w:rPr>
              <w:t xml:space="preserve"> 2014</w:t>
            </w:r>
          </w:p>
        </w:tc>
      </w:tr>
      <w:tr w:rsidR="00FE7FE2" w:rsidRPr="00721481" w14:paraId="6DC12811" w14:textId="77777777" w:rsidTr="007A4697">
        <w:trPr>
          <w:trHeight w:val="505"/>
        </w:trPr>
        <w:tc>
          <w:tcPr>
            <w:tcW w:w="2430" w:type="dxa"/>
            <w:tcBorders>
              <w:top w:val="single" w:sz="8" w:space="0" w:color="000000"/>
              <w:left w:val="single" w:sz="8" w:space="0" w:color="000000"/>
              <w:bottom w:val="single" w:sz="8" w:space="0" w:color="000000"/>
              <w:right w:val="single" w:sz="8" w:space="0" w:color="000000"/>
            </w:tcBorders>
          </w:tcPr>
          <w:p w14:paraId="3D88AE5E"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Leptopilina</w:t>
            </w:r>
            <w:proofErr w:type="spellEnd"/>
            <w:r w:rsidRPr="00721481">
              <w:rPr>
                <w:rFonts w:asciiTheme="minorHAnsi" w:hAnsiTheme="minorHAnsi" w:cstheme="minorHAnsi"/>
                <w:i/>
                <w:iCs/>
                <w:sz w:val="22"/>
                <w:szCs w:val="22"/>
              </w:rPr>
              <w:t xml:space="preserve"> </w:t>
            </w:r>
            <w:proofErr w:type="spellStart"/>
            <w:r w:rsidRPr="00721481">
              <w:rPr>
                <w:rFonts w:asciiTheme="minorHAnsi" w:hAnsiTheme="minorHAnsi" w:cstheme="minorHAnsi"/>
                <w:i/>
                <w:iCs/>
                <w:sz w:val="22"/>
                <w:szCs w:val="22"/>
              </w:rPr>
              <w:t>boulardi</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3F961C8C"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10.17</w:t>
            </w:r>
          </w:p>
        </w:tc>
        <w:tc>
          <w:tcPr>
            <w:tcW w:w="2160" w:type="dxa"/>
            <w:tcBorders>
              <w:top w:val="single" w:sz="8" w:space="0" w:color="000000"/>
              <w:left w:val="single" w:sz="8" w:space="0" w:color="000000"/>
              <w:bottom w:val="single" w:sz="8" w:space="0" w:color="000000"/>
              <w:right w:val="single" w:sz="8" w:space="0" w:color="000000"/>
            </w:tcBorders>
          </w:tcPr>
          <w:p w14:paraId="7CD1FCE0"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2.68</w:t>
            </w:r>
          </w:p>
        </w:tc>
        <w:tc>
          <w:tcPr>
            <w:tcW w:w="2160" w:type="dxa"/>
            <w:tcBorders>
              <w:top w:val="single" w:sz="8" w:space="0" w:color="000000"/>
              <w:left w:val="single" w:sz="8" w:space="0" w:color="000000"/>
              <w:bottom w:val="single" w:sz="8" w:space="0" w:color="000000"/>
              <w:right w:val="single" w:sz="8" w:space="0" w:color="000000"/>
            </w:tcBorders>
          </w:tcPr>
          <w:p w14:paraId="1EDF0B4C"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Delpuech</w:t>
            </w:r>
            <w:proofErr w:type="spellEnd"/>
            <w:r w:rsidRPr="00721481">
              <w:rPr>
                <w:rFonts w:asciiTheme="minorHAnsi" w:hAnsiTheme="minorHAnsi" w:cstheme="minorHAnsi"/>
                <w:i/>
                <w:iCs/>
                <w:sz w:val="22"/>
                <w:szCs w:val="22"/>
              </w:rPr>
              <w:t xml:space="preserve"> 2020</w:t>
            </w:r>
          </w:p>
        </w:tc>
      </w:tr>
      <w:tr w:rsidR="00FE7FE2" w:rsidRPr="00721481" w14:paraId="37C3E434" w14:textId="77777777" w:rsidTr="007A4697">
        <w:trPr>
          <w:trHeight w:val="758"/>
        </w:trPr>
        <w:tc>
          <w:tcPr>
            <w:tcW w:w="2430" w:type="dxa"/>
            <w:tcBorders>
              <w:top w:val="single" w:sz="8" w:space="0" w:color="000000"/>
              <w:left w:val="single" w:sz="8" w:space="0" w:color="000000"/>
              <w:bottom w:val="single" w:sz="8" w:space="0" w:color="000000"/>
              <w:right w:val="single" w:sz="8" w:space="0" w:color="000000"/>
            </w:tcBorders>
          </w:tcPr>
          <w:p w14:paraId="262AFCA1"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 xml:space="preserve">Leptinotarsa </w:t>
            </w:r>
            <w:proofErr w:type="spellStart"/>
            <w:r w:rsidRPr="00721481">
              <w:rPr>
                <w:rFonts w:asciiTheme="minorHAnsi" w:hAnsiTheme="minorHAnsi" w:cstheme="minorHAnsi"/>
                <w:i/>
                <w:iCs/>
                <w:sz w:val="22"/>
                <w:szCs w:val="22"/>
              </w:rPr>
              <w:t>decemlineata</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5A2A680E"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0.7425 (geomean of 124 values with a range of</w:t>
            </w:r>
          </w:p>
          <w:p w14:paraId="27E6CA70"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0.27-8.41)</w:t>
            </w:r>
          </w:p>
        </w:tc>
        <w:tc>
          <w:tcPr>
            <w:tcW w:w="2160" w:type="dxa"/>
            <w:tcBorders>
              <w:top w:val="single" w:sz="8" w:space="0" w:color="000000"/>
              <w:left w:val="single" w:sz="8" w:space="0" w:color="000000"/>
              <w:bottom w:val="single" w:sz="8" w:space="0" w:color="000000"/>
              <w:right w:val="single" w:sz="8" w:space="0" w:color="000000"/>
            </w:tcBorders>
          </w:tcPr>
          <w:p w14:paraId="5BF0ECFF"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1.68 (mean, 0.9-2.8)</w:t>
            </w:r>
          </w:p>
        </w:tc>
        <w:tc>
          <w:tcPr>
            <w:tcW w:w="2160" w:type="dxa"/>
            <w:tcBorders>
              <w:top w:val="single" w:sz="8" w:space="0" w:color="000000"/>
              <w:left w:val="single" w:sz="8" w:space="0" w:color="000000"/>
              <w:bottom w:val="single" w:sz="8" w:space="0" w:color="000000"/>
              <w:right w:val="single" w:sz="8" w:space="0" w:color="000000"/>
            </w:tcBorders>
          </w:tcPr>
          <w:p w14:paraId="44C0E953"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Olson 2000</w:t>
            </w:r>
          </w:p>
        </w:tc>
      </w:tr>
      <w:tr w:rsidR="00FE7FE2" w:rsidRPr="00721481" w14:paraId="04A78585" w14:textId="77777777" w:rsidTr="007A4697">
        <w:trPr>
          <w:trHeight w:val="253"/>
        </w:trPr>
        <w:tc>
          <w:tcPr>
            <w:tcW w:w="2430" w:type="dxa"/>
            <w:tcBorders>
              <w:top w:val="single" w:sz="8" w:space="0" w:color="000000"/>
              <w:left w:val="single" w:sz="8" w:space="0" w:color="000000"/>
              <w:bottom w:val="single" w:sz="8" w:space="0" w:color="000000"/>
              <w:right w:val="single" w:sz="8" w:space="0" w:color="000000"/>
            </w:tcBorders>
          </w:tcPr>
          <w:p w14:paraId="71166A91"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Musca domestica</w:t>
            </w:r>
          </w:p>
        </w:tc>
        <w:tc>
          <w:tcPr>
            <w:tcW w:w="2520" w:type="dxa"/>
            <w:tcBorders>
              <w:top w:val="single" w:sz="8" w:space="0" w:color="000000"/>
              <w:left w:val="single" w:sz="8" w:space="0" w:color="000000"/>
              <w:bottom w:val="single" w:sz="8" w:space="0" w:color="000000"/>
              <w:right w:val="single" w:sz="8" w:space="0" w:color="000000"/>
            </w:tcBorders>
          </w:tcPr>
          <w:p w14:paraId="0403280D"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0.27</w:t>
            </w:r>
          </w:p>
        </w:tc>
        <w:tc>
          <w:tcPr>
            <w:tcW w:w="2160" w:type="dxa"/>
            <w:tcBorders>
              <w:top w:val="single" w:sz="8" w:space="0" w:color="000000"/>
              <w:left w:val="single" w:sz="8" w:space="0" w:color="000000"/>
              <w:bottom w:val="single" w:sz="8" w:space="0" w:color="000000"/>
              <w:right w:val="single" w:sz="8" w:space="0" w:color="000000"/>
            </w:tcBorders>
          </w:tcPr>
          <w:p w14:paraId="08243971"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w:t>
            </w:r>
          </w:p>
        </w:tc>
        <w:tc>
          <w:tcPr>
            <w:tcW w:w="2160" w:type="dxa"/>
            <w:tcBorders>
              <w:top w:val="single" w:sz="8" w:space="0" w:color="000000"/>
              <w:left w:val="single" w:sz="8" w:space="0" w:color="000000"/>
              <w:bottom w:val="single" w:sz="8" w:space="0" w:color="000000"/>
              <w:right w:val="single" w:sz="8" w:space="0" w:color="000000"/>
            </w:tcBorders>
          </w:tcPr>
          <w:p w14:paraId="70BC58CC"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Farooq 2016</w:t>
            </w:r>
          </w:p>
        </w:tc>
      </w:tr>
      <w:tr w:rsidR="00FE7FE2" w:rsidRPr="00721481" w14:paraId="7579DE6C" w14:textId="77777777" w:rsidTr="007A4697">
        <w:trPr>
          <w:trHeight w:val="252"/>
        </w:trPr>
        <w:tc>
          <w:tcPr>
            <w:tcW w:w="2430" w:type="dxa"/>
            <w:tcBorders>
              <w:top w:val="single" w:sz="8" w:space="0" w:color="000000"/>
              <w:left w:val="single" w:sz="8" w:space="0" w:color="000000"/>
              <w:bottom w:val="single" w:sz="8" w:space="0" w:color="000000"/>
              <w:right w:val="single" w:sz="8" w:space="0" w:color="000000"/>
            </w:tcBorders>
          </w:tcPr>
          <w:p w14:paraId="29B9F916"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Apis</w:t>
            </w:r>
            <w:proofErr w:type="spellEnd"/>
            <w:r w:rsidRPr="00721481">
              <w:rPr>
                <w:rFonts w:asciiTheme="minorHAnsi" w:hAnsiTheme="minorHAnsi" w:cstheme="minorHAnsi"/>
                <w:i/>
                <w:iCs/>
                <w:sz w:val="22"/>
                <w:szCs w:val="22"/>
              </w:rPr>
              <w:t xml:space="preserve"> mellifera</w:t>
            </w:r>
          </w:p>
        </w:tc>
        <w:tc>
          <w:tcPr>
            <w:tcW w:w="2520" w:type="dxa"/>
            <w:tcBorders>
              <w:top w:val="single" w:sz="8" w:space="0" w:color="000000"/>
              <w:left w:val="single" w:sz="8" w:space="0" w:color="000000"/>
              <w:bottom w:val="single" w:sz="8" w:space="0" w:color="000000"/>
              <w:right w:val="single" w:sz="8" w:space="0" w:color="000000"/>
            </w:tcBorders>
          </w:tcPr>
          <w:p w14:paraId="5E959C8E"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18.52</w:t>
            </w:r>
          </w:p>
        </w:tc>
        <w:tc>
          <w:tcPr>
            <w:tcW w:w="2160" w:type="dxa"/>
            <w:tcBorders>
              <w:top w:val="single" w:sz="8" w:space="0" w:color="000000"/>
              <w:left w:val="single" w:sz="8" w:space="0" w:color="000000"/>
              <w:bottom w:val="single" w:sz="8" w:space="0" w:color="000000"/>
              <w:right w:val="single" w:sz="8" w:space="0" w:color="000000"/>
            </w:tcBorders>
          </w:tcPr>
          <w:p w14:paraId="2CA3CC14"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1.63</w:t>
            </w:r>
          </w:p>
        </w:tc>
        <w:tc>
          <w:tcPr>
            <w:tcW w:w="2160" w:type="dxa"/>
            <w:tcBorders>
              <w:top w:val="single" w:sz="8" w:space="0" w:color="000000"/>
              <w:left w:val="single" w:sz="8" w:space="0" w:color="000000"/>
              <w:bottom w:val="single" w:sz="8" w:space="0" w:color="000000"/>
              <w:right w:val="single" w:sz="8" w:space="0" w:color="000000"/>
            </w:tcBorders>
          </w:tcPr>
          <w:p w14:paraId="22D8E299"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Jacob 2019</w:t>
            </w:r>
          </w:p>
        </w:tc>
      </w:tr>
      <w:tr w:rsidR="00FE7FE2" w:rsidRPr="00721481" w14:paraId="7AC32222" w14:textId="77777777" w:rsidTr="007A4697">
        <w:trPr>
          <w:trHeight w:val="253"/>
        </w:trPr>
        <w:tc>
          <w:tcPr>
            <w:tcW w:w="2430" w:type="dxa"/>
            <w:tcBorders>
              <w:top w:val="single" w:sz="8" w:space="0" w:color="000000"/>
              <w:left w:val="single" w:sz="8" w:space="0" w:color="000000"/>
              <w:bottom w:val="single" w:sz="8" w:space="0" w:color="000000"/>
              <w:right w:val="single" w:sz="8" w:space="0" w:color="000000"/>
            </w:tcBorders>
          </w:tcPr>
          <w:p w14:paraId="5F56C314"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Scaptotrigona</w:t>
            </w:r>
            <w:proofErr w:type="spellEnd"/>
            <w:r w:rsidRPr="00721481">
              <w:rPr>
                <w:rFonts w:asciiTheme="minorHAnsi" w:hAnsiTheme="minorHAnsi" w:cstheme="minorHAnsi"/>
                <w:i/>
                <w:iCs/>
                <w:sz w:val="22"/>
                <w:szCs w:val="22"/>
              </w:rPr>
              <w:t xml:space="preserve"> </w:t>
            </w:r>
            <w:proofErr w:type="spellStart"/>
            <w:r w:rsidRPr="00721481">
              <w:rPr>
                <w:rFonts w:asciiTheme="minorHAnsi" w:hAnsiTheme="minorHAnsi" w:cstheme="minorHAnsi"/>
                <w:i/>
                <w:iCs/>
                <w:sz w:val="22"/>
                <w:szCs w:val="22"/>
              </w:rPr>
              <w:t>postica</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1E86BB32"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72.45</w:t>
            </w:r>
          </w:p>
        </w:tc>
        <w:tc>
          <w:tcPr>
            <w:tcW w:w="2160" w:type="dxa"/>
            <w:tcBorders>
              <w:top w:val="single" w:sz="8" w:space="0" w:color="000000"/>
              <w:left w:val="single" w:sz="8" w:space="0" w:color="000000"/>
              <w:bottom w:val="single" w:sz="8" w:space="0" w:color="000000"/>
              <w:right w:val="single" w:sz="8" w:space="0" w:color="000000"/>
            </w:tcBorders>
          </w:tcPr>
          <w:p w14:paraId="31C83A57"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1.91</w:t>
            </w:r>
          </w:p>
        </w:tc>
        <w:tc>
          <w:tcPr>
            <w:tcW w:w="2160" w:type="dxa"/>
            <w:tcBorders>
              <w:top w:val="single" w:sz="8" w:space="0" w:color="000000"/>
              <w:left w:val="single" w:sz="8" w:space="0" w:color="000000"/>
              <w:bottom w:val="single" w:sz="8" w:space="0" w:color="000000"/>
              <w:right w:val="single" w:sz="8" w:space="0" w:color="000000"/>
            </w:tcBorders>
          </w:tcPr>
          <w:p w14:paraId="6972F8E4"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Jacob 2019</w:t>
            </w:r>
          </w:p>
        </w:tc>
      </w:tr>
      <w:tr w:rsidR="00FE7FE2" w:rsidRPr="00721481" w14:paraId="5CC0376D" w14:textId="77777777" w:rsidTr="007A4697">
        <w:trPr>
          <w:trHeight w:val="252"/>
        </w:trPr>
        <w:tc>
          <w:tcPr>
            <w:tcW w:w="2430" w:type="dxa"/>
            <w:tcBorders>
              <w:top w:val="single" w:sz="8" w:space="0" w:color="000000"/>
              <w:left w:val="single" w:sz="8" w:space="0" w:color="000000"/>
              <w:bottom w:val="single" w:sz="8" w:space="0" w:color="000000"/>
              <w:right w:val="single" w:sz="8" w:space="0" w:color="000000"/>
            </w:tcBorders>
          </w:tcPr>
          <w:p w14:paraId="2B01745B"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Heliothis</w:t>
            </w:r>
            <w:proofErr w:type="spellEnd"/>
            <w:r w:rsidRPr="00721481">
              <w:rPr>
                <w:rFonts w:asciiTheme="minorHAnsi" w:hAnsiTheme="minorHAnsi" w:cstheme="minorHAnsi"/>
                <w:i/>
                <w:iCs/>
                <w:sz w:val="22"/>
                <w:szCs w:val="22"/>
              </w:rPr>
              <w:t xml:space="preserve"> </w:t>
            </w:r>
            <w:proofErr w:type="spellStart"/>
            <w:r w:rsidRPr="00721481">
              <w:rPr>
                <w:rFonts w:asciiTheme="minorHAnsi" w:hAnsiTheme="minorHAnsi" w:cstheme="minorHAnsi"/>
                <w:i/>
                <w:iCs/>
                <w:sz w:val="22"/>
                <w:szCs w:val="22"/>
              </w:rPr>
              <w:t>virescens</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71D9803A"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821</w:t>
            </w:r>
          </w:p>
        </w:tc>
        <w:tc>
          <w:tcPr>
            <w:tcW w:w="2160" w:type="dxa"/>
            <w:tcBorders>
              <w:top w:val="single" w:sz="8" w:space="0" w:color="000000"/>
              <w:left w:val="single" w:sz="8" w:space="0" w:color="000000"/>
              <w:bottom w:val="single" w:sz="8" w:space="0" w:color="000000"/>
              <w:right w:val="single" w:sz="8" w:space="0" w:color="000000"/>
            </w:tcBorders>
          </w:tcPr>
          <w:p w14:paraId="4019219D"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0.81</w:t>
            </w:r>
          </w:p>
        </w:tc>
        <w:tc>
          <w:tcPr>
            <w:tcW w:w="2160" w:type="dxa"/>
            <w:tcBorders>
              <w:top w:val="single" w:sz="8" w:space="0" w:color="000000"/>
              <w:left w:val="single" w:sz="8" w:space="0" w:color="000000"/>
              <w:bottom w:val="single" w:sz="8" w:space="0" w:color="000000"/>
              <w:right w:val="single" w:sz="8" w:space="0" w:color="000000"/>
            </w:tcBorders>
          </w:tcPr>
          <w:p w14:paraId="1F2B5748"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Lagadic</w:t>
            </w:r>
            <w:proofErr w:type="spellEnd"/>
            <w:r w:rsidRPr="00721481">
              <w:rPr>
                <w:rFonts w:asciiTheme="minorHAnsi" w:hAnsiTheme="minorHAnsi" w:cstheme="minorHAnsi"/>
                <w:i/>
                <w:iCs/>
                <w:sz w:val="22"/>
                <w:szCs w:val="22"/>
              </w:rPr>
              <w:t xml:space="preserve"> 1993</w:t>
            </w:r>
          </w:p>
        </w:tc>
      </w:tr>
      <w:tr w:rsidR="00FE7FE2" w:rsidRPr="00721481" w14:paraId="69932587" w14:textId="77777777" w:rsidTr="007A4697">
        <w:trPr>
          <w:trHeight w:val="253"/>
        </w:trPr>
        <w:tc>
          <w:tcPr>
            <w:tcW w:w="2430" w:type="dxa"/>
            <w:tcBorders>
              <w:top w:val="single" w:sz="8" w:space="0" w:color="000000"/>
              <w:left w:val="single" w:sz="8" w:space="0" w:color="000000"/>
              <w:bottom w:val="single" w:sz="8" w:space="0" w:color="000000"/>
              <w:right w:val="single" w:sz="8" w:space="0" w:color="000000"/>
            </w:tcBorders>
          </w:tcPr>
          <w:p w14:paraId="551B3B5F"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 xml:space="preserve">Spodoptera </w:t>
            </w:r>
            <w:proofErr w:type="spellStart"/>
            <w:r w:rsidRPr="00721481">
              <w:rPr>
                <w:rFonts w:asciiTheme="minorHAnsi" w:hAnsiTheme="minorHAnsi" w:cstheme="minorHAnsi"/>
                <w:i/>
                <w:iCs/>
                <w:sz w:val="22"/>
                <w:szCs w:val="22"/>
              </w:rPr>
              <w:t>littoralis</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10C17F23"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17.7</w:t>
            </w:r>
          </w:p>
        </w:tc>
        <w:tc>
          <w:tcPr>
            <w:tcW w:w="2160" w:type="dxa"/>
            <w:tcBorders>
              <w:top w:val="single" w:sz="8" w:space="0" w:color="000000"/>
              <w:left w:val="single" w:sz="8" w:space="0" w:color="000000"/>
              <w:bottom w:val="single" w:sz="8" w:space="0" w:color="000000"/>
              <w:right w:val="single" w:sz="8" w:space="0" w:color="000000"/>
            </w:tcBorders>
          </w:tcPr>
          <w:p w14:paraId="6A370A19"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0.92</w:t>
            </w:r>
          </w:p>
        </w:tc>
        <w:tc>
          <w:tcPr>
            <w:tcW w:w="2160" w:type="dxa"/>
            <w:tcBorders>
              <w:top w:val="single" w:sz="8" w:space="0" w:color="000000"/>
              <w:left w:val="single" w:sz="8" w:space="0" w:color="000000"/>
              <w:bottom w:val="single" w:sz="8" w:space="0" w:color="000000"/>
              <w:right w:val="single" w:sz="8" w:space="0" w:color="000000"/>
            </w:tcBorders>
          </w:tcPr>
          <w:p w14:paraId="5C8B5D9D"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Lagadic</w:t>
            </w:r>
            <w:proofErr w:type="spellEnd"/>
            <w:r w:rsidRPr="00721481">
              <w:rPr>
                <w:rFonts w:asciiTheme="minorHAnsi" w:hAnsiTheme="minorHAnsi" w:cstheme="minorHAnsi"/>
                <w:i/>
                <w:iCs/>
                <w:sz w:val="22"/>
                <w:szCs w:val="22"/>
              </w:rPr>
              <w:t xml:space="preserve"> 1993</w:t>
            </w:r>
          </w:p>
        </w:tc>
      </w:tr>
      <w:tr w:rsidR="00FE7FE2" w:rsidRPr="00721481" w14:paraId="1C6F27D0" w14:textId="77777777" w:rsidTr="007A4697">
        <w:trPr>
          <w:trHeight w:val="252"/>
        </w:trPr>
        <w:tc>
          <w:tcPr>
            <w:tcW w:w="2430" w:type="dxa"/>
            <w:tcBorders>
              <w:top w:val="single" w:sz="8" w:space="0" w:color="000000"/>
              <w:left w:val="single" w:sz="8" w:space="0" w:color="000000"/>
              <w:bottom w:val="single" w:sz="8" w:space="0" w:color="000000"/>
              <w:right w:val="single" w:sz="8" w:space="0" w:color="000000"/>
            </w:tcBorders>
          </w:tcPr>
          <w:p w14:paraId="4D138F8C"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Apis</w:t>
            </w:r>
            <w:proofErr w:type="spellEnd"/>
            <w:r w:rsidRPr="00721481">
              <w:rPr>
                <w:rFonts w:asciiTheme="minorHAnsi" w:hAnsiTheme="minorHAnsi" w:cstheme="minorHAnsi"/>
                <w:i/>
                <w:iCs/>
                <w:sz w:val="22"/>
                <w:szCs w:val="22"/>
              </w:rPr>
              <w:t xml:space="preserve"> mellifera</w:t>
            </w:r>
          </w:p>
        </w:tc>
        <w:tc>
          <w:tcPr>
            <w:tcW w:w="2520" w:type="dxa"/>
            <w:tcBorders>
              <w:top w:val="single" w:sz="8" w:space="0" w:color="000000"/>
              <w:left w:val="single" w:sz="8" w:space="0" w:color="000000"/>
              <w:bottom w:val="single" w:sz="8" w:space="0" w:color="000000"/>
              <w:right w:val="single" w:sz="8" w:space="0" w:color="000000"/>
            </w:tcBorders>
          </w:tcPr>
          <w:p w14:paraId="0276D018"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195.2</w:t>
            </w:r>
          </w:p>
        </w:tc>
        <w:tc>
          <w:tcPr>
            <w:tcW w:w="2160" w:type="dxa"/>
            <w:tcBorders>
              <w:top w:val="single" w:sz="8" w:space="0" w:color="000000"/>
              <w:left w:val="single" w:sz="8" w:space="0" w:color="000000"/>
              <w:bottom w:val="single" w:sz="8" w:space="0" w:color="000000"/>
              <w:right w:val="single" w:sz="8" w:space="0" w:color="000000"/>
            </w:tcBorders>
          </w:tcPr>
          <w:p w14:paraId="2319E137"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5.0</w:t>
            </w:r>
          </w:p>
        </w:tc>
        <w:tc>
          <w:tcPr>
            <w:tcW w:w="2160" w:type="dxa"/>
            <w:tcBorders>
              <w:top w:val="single" w:sz="8" w:space="0" w:color="000000"/>
              <w:left w:val="single" w:sz="8" w:space="0" w:color="000000"/>
              <w:bottom w:val="single" w:sz="8" w:space="0" w:color="000000"/>
              <w:right w:val="single" w:sz="8" w:space="0" w:color="000000"/>
            </w:tcBorders>
          </w:tcPr>
          <w:p w14:paraId="32E1D32D"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Tome 2017</w:t>
            </w:r>
          </w:p>
        </w:tc>
      </w:tr>
      <w:tr w:rsidR="00FE7FE2" w:rsidRPr="00721481" w14:paraId="37087365" w14:textId="77777777" w:rsidTr="007A4697">
        <w:trPr>
          <w:trHeight w:val="253"/>
        </w:trPr>
        <w:tc>
          <w:tcPr>
            <w:tcW w:w="2430" w:type="dxa"/>
            <w:tcBorders>
              <w:top w:val="single" w:sz="8" w:space="0" w:color="000000"/>
              <w:left w:val="single" w:sz="8" w:space="0" w:color="000000"/>
              <w:bottom w:val="single" w:sz="8" w:space="0" w:color="000000"/>
              <w:right w:val="single" w:sz="8" w:space="0" w:color="000000"/>
            </w:tcBorders>
          </w:tcPr>
          <w:p w14:paraId="6F570E75"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Partamona</w:t>
            </w:r>
            <w:proofErr w:type="spellEnd"/>
            <w:r w:rsidRPr="00721481">
              <w:rPr>
                <w:rFonts w:asciiTheme="minorHAnsi" w:hAnsiTheme="minorHAnsi" w:cstheme="minorHAnsi"/>
                <w:i/>
                <w:iCs/>
                <w:sz w:val="22"/>
                <w:szCs w:val="22"/>
              </w:rPr>
              <w:t xml:space="preserve"> helleri</w:t>
            </w:r>
          </w:p>
        </w:tc>
        <w:tc>
          <w:tcPr>
            <w:tcW w:w="2520" w:type="dxa"/>
            <w:tcBorders>
              <w:top w:val="single" w:sz="8" w:space="0" w:color="000000"/>
              <w:left w:val="single" w:sz="8" w:space="0" w:color="000000"/>
              <w:bottom w:val="single" w:sz="8" w:space="0" w:color="000000"/>
              <w:right w:val="single" w:sz="8" w:space="0" w:color="000000"/>
            </w:tcBorders>
          </w:tcPr>
          <w:p w14:paraId="79D28BAC"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466.1</w:t>
            </w:r>
          </w:p>
        </w:tc>
        <w:tc>
          <w:tcPr>
            <w:tcW w:w="2160" w:type="dxa"/>
            <w:tcBorders>
              <w:top w:val="single" w:sz="8" w:space="0" w:color="000000"/>
              <w:left w:val="single" w:sz="8" w:space="0" w:color="000000"/>
              <w:bottom w:val="single" w:sz="8" w:space="0" w:color="000000"/>
              <w:right w:val="single" w:sz="8" w:space="0" w:color="000000"/>
            </w:tcBorders>
          </w:tcPr>
          <w:p w14:paraId="1D45385A"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3.3</w:t>
            </w:r>
          </w:p>
        </w:tc>
        <w:tc>
          <w:tcPr>
            <w:tcW w:w="2160" w:type="dxa"/>
            <w:tcBorders>
              <w:top w:val="single" w:sz="8" w:space="0" w:color="000000"/>
              <w:left w:val="single" w:sz="8" w:space="0" w:color="000000"/>
              <w:bottom w:val="single" w:sz="8" w:space="0" w:color="000000"/>
              <w:right w:val="single" w:sz="8" w:space="0" w:color="000000"/>
            </w:tcBorders>
          </w:tcPr>
          <w:p w14:paraId="038F99B5"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Tome 2017</w:t>
            </w:r>
          </w:p>
        </w:tc>
      </w:tr>
      <w:tr w:rsidR="00FE7FE2" w:rsidRPr="00721481" w14:paraId="734EB8AF" w14:textId="77777777" w:rsidTr="007A4697">
        <w:trPr>
          <w:trHeight w:val="252"/>
        </w:trPr>
        <w:tc>
          <w:tcPr>
            <w:tcW w:w="2430" w:type="dxa"/>
            <w:tcBorders>
              <w:top w:val="single" w:sz="8" w:space="0" w:color="000000"/>
              <w:left w:val="single" w:sz="8" w:space="0" w:color="000000"/>
              <w:bottom w:val="single" w:sz="8" w:space="0" w:color="000000"/>
              <w:right w:val="single" w:sz="8" w:space="0" w:color="000000"/>
            </w:tcBorders>
          </w:tcPr>
          <w:p w14:paraId="5A3FBDD6"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 xml:space="preserve">Danaus </w:t>
            </w:r>
            <w:proofErr w:type="spellStart"/>
            <w:r w:rsidRPr="00721481">
              <w:rPr>
                <w:rFonts w:asciiTheme="minorHAnsi" w:hAnsiTheme="minorHAnsi" w:cstheme="minorHAnsi"/>
                <w:i/>
                <w:iCs/>
                <w:sz w:val="22"/>
                <w:szCs w:val="22"/>
              </w:rPr>
              <w:t>plexippus</w:t>
            </w:r>
            <w:proofErr w:type="spellEnd"/>
          </w:p>
        </w:tc>
        <w:tc>
          <w:tcPr>
            <w:tcW w:w="2520" w:type="dxa"/>
            <w:tcBorders>
              <w:top w:val="single" w:sz="8" w:space="0" w:color="000000"/>
              <w:left w:val="single" w:sz="8" w:space="0" w:color="000000"/>
              <w:bottom w:val="single" w:sz="8" w:space="0" w:color="000000"/>
              <w:right w:val="single" w:sz="8" w:space="0" w:color="000000"/>
            </w:tcBorders>
          </w:tcPr>
          <w:p w14:paraId="5A6293E8"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5.1, 17, 9.4</w:t>
            </w:r>
          </w:p>
        </w:tc>
        <w:tc>
          <w:tcPr>
            <w:tcW w:w="2160" w:type="dxa"/>
            <w:tcBorders>
              <w:top w:val="single" w:sz="8" w:space="0" w:color="000000"/>
              <w:left w:val="single" w:sz="8" w:space="0" w:color="000000"/>
              <w:bottom w:val="single" w:sz="8" w:space="0" w:color="000000"/>
              <w:right w:val="single" w:sz="8" w:space="0" w:color="000000"/>
            </w:tcBorders>
          </w:tcPr>
          <w:p w14:paraId="12D10AF8" w14:textId="77777777" w:rsidR="00FE7FE2" w:rsidRPr="00721481" w:rsidRDefault="00FE7FE2" w:rsidP="005859DB">
            <w:pPr>
              <w:pStyle w:val="Default"/>
              <w:rPr>
                <w:rFonts w:asciiTheme="minorHAnsi" w:hAnsiTheme="minorHAnsi" w:cstheme="minorHAnsi"/>
                <w:i/>
                <w:iCs/>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789E7DD8"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Krishnan 2020</w:t>
            </w:r>
          </w:p>
        </w:tc>
      </w:tr>
    </w:tbl>
    <w:p w14:paraId="2E0FFD19" w14:textId="77777777" w:rsidR="00FE7FE2" w:rsidRPr="00047D3D" w:rsidRDefault="00FE7FE2" w:rsidP="005859DB">
      <w:pPr>
        <w:pStyle w:val="Default"/>
        <w:rPr>
          <w:rFonts w:asciiTheme="minorHAnsi" w:hAnsiTheme="minorHAnsi" w:cstheme="minorHAnsi"/>
          <w:i/>
          <w:iCs/>
          <w:sz w:val="22"/>
          <w:szCs w:val="22"/>
        </w:rPr>
      </w:pPr>
    </w:p>
    <w:p w14:paraId="0A8812A4" w14:textId="7EAE8159" w:rsidR="00DB72BA" w:rsidRPr="0055149A" w:rsidRDefault="00DB72BA" w:rsidP="0055149A">
      <w:pPr>
        <w:rPr>
          <w:rFonts w:asciiTheme="minorHAnsi" w:hAnsiTheme="minorHAnsi" w:cstheme="minorHAnsi"/>
          <w:color w:val="000000"/>
        </w:rPr>
      </w:pPr>
      <w:r w:rsidRPr="00047D3D">
        <w:rPr>
          <w:rFonts w:asciiTheme="minorHAnsi" w:hAnsiTheme="minorHAnsi" w:cstheme="minorHAnsi"/>
          <w:b/>
        </w:rPr>
        <w:t>EPA Response:</w:t>
      </w:r>
      <w:r w:rsidRPr="00047D3D">
        <w:rPr>
          <w:rFonts w:asciiTheme="minorHAnsi" w:eastAsia="Calibri" w:hAnsiTheme="minorHAnsi" w:cstheme="minorHAnsi"/>
          <w:i/>
          <w:color w:val="000000" w:themeColor="text1"/>
        </w:rPr>
        <w:t xml:space="preserve"> </w:t>
      </w:r>
      <w:bookmarkStart w:id="62" w:name="_Hlk101354273"/>
      <w:r w:rsidRPr="00047D3D">
        <w:rPr>
          <w:rFonts w:asciiTheme="minorHAnsi" w:eastAsia="Calibri" w:hAnsiTheme="minorHAnsi"/>
          <w:i/>
          <w:iCs/>
          <w:color w:val="000000" w:themeColor="text1"/>
        </w:rPr>
        <w:t xml:space="preserve">Inclusion of the referenced studies in the acute dietary SSD used for the draft BE would not significantly </w:t>
      </w:r>
      <w:r w:rsidRPr="00047D3D">
        <w:rPr>
          <w:rFonts w:asciiTheme="minorHAnsi" w:eastAsia="Calibri" w:hAnsiTheme="minorHAnsi"/>
          <w:i/>
          <w:color w:val="000000" w:themeColor="text1"/>
        </w:rPr>
        <w:t>a</w:t>
      </w:r>
      <w:r w:rsidR="00D014FF">
        <w:rPr>
          <w:rFonts w:asciiTheme="minorHAnsi" w:eastAsia="Calibri" w:hAnsiTheme="minorHAnsi"/>
          <w:i/>
          <w:color w:val="000000" w:themeColor="text1"/>
        </w:rPr>
        <w:t>l</w:t>
      </w:r>
      <w:r w:rsidRPr="00047D3D">
        <w:rPr>
          <w:rFonts w:asciiTheme="minorHAnsi" w:eastAsia="Calibri" w:hAnsiTheme="minorHAnsi"/>
          <w:i/>
          <w:color w:val="000000" w:themeColor="text1"/>
        </w:rPr>
        <w:t>ter</w:t>
      </w:r>
      <w:r w:rsidRPr="00047D3D">
        <w:rPr>
          <w:rFonts w:asciiTheme="minorHAnsi" w:eastAsia="Calibri" w:hAnsiTheme="minorHAnsi"/>
          <w:i/>
          <w:iCs/>
          <w:color w:val="000000" w:themeColor="text1"/>
        </w:rPr>
        <w:t xml:space="preserve"> the results in terms of</w:t>
      </w:r>
      <w:r w:rsidR="00FD0101">
        <w:rPr>
          <w:rFonts w:asciiTheme="minorHAnsi" w:eastAsia="Calibri" w:hAnsiTheme="minorHAnsi"/>
          <w:i/>
          <w:iCs/>
          <w:color w:val="000000" w:themeColor="text1"/>
        </w:rPr>
        <w:t xml:space="preserve"> the individual level NE/NLAA/</w:t>
      </w:r>
      <w:r w:rsidRPr="00047D3D">
        <w:rPr>
          <w:rFonts w:asciiTheme="minorHAnsi" w:eastAsia="Calibri" w:hAnsiTheme="minorHAnsi"/>
          <w:i/>
          <w:iCs/>
          <w:color w:val="000000" w:themeColor="text1"/>
        </w:rPr>
        <w:t>LAA determinations</w:t>
      </w:r>
      <w:r w:rsidR="00B72ADC">
        <w:rPr>
          <w:rFonts w:asciiTheme="minorHAnsi" w:eastAsia="Calibri" w:hAnsiTheme="minorHAnsi"/>
          <w:i/>
          <w:iCs/>
          <w:color w:val="000000" w:themeColor="text1"/>
        </w:rPr>
        <w:t xml:space="preserve"> </w:t>
      </w:r>
      <w:r w:rsidR="00FD0101">
        <w:rPr>
          <w:rFonts w:asciiTheme="minorHAnsi" w:eastAsia="Calibri" w:hAnsiTheme="minorHAnsi"/>
          <w:i/>
          <w:iCs/>
          <w:color w:val="000000" w:themeColor="text1"/>
        </w:rPr>
        <w:t>due to the extensive spatial extent of the usage and currently available toxicity information for imidacloprid.</w:t>
      </w:r>
      <w:bookmarkEnd w:id="62"/>
    </w:p>
    <w:p w14:paraId="2024232B" w14:textId="77777777" w:rsidR="00FE7FE2" w:rsidRPr="00047D3D" w:rsidRDefault="00FE7FE2" w:rsidP="005859DB">
      <w:pPr>
        <w:pStyle w:val="Default"/>
        <w:rPr>
          <w:rFonts w:asciiTheme="minorHAnsi" w:hAnsiTheme="minorHAnsi" w:cstheme="minorHAnsi"/>
          <w:b/>
          <w:bCs/>
          <w:i/>
          <w:iCs/>
          <w:sz w:val="22"/>
          <w:szCs w:val="22"/>
        </w:rPr>
      </w:pPr>
    </w:p>
    <w:p w14:paraId="54DE0186" w14:textId="64F74D87" w:rsidR="00FE7FE2" w:rsidRPr="000E624B" w:rsidRDefault="00FE7FE2" w:rsidP="00BA2C46">
      <w:pPr>
        <w:pStyle w:val="Default"/>
        <w:keepNext/>
        <w:keepLines/>
        <w:rPr>
          <w:rFonts w:asciiTheme="minorHAnsi" w:hAnsiTheme="minorHAnsi" w:cstheme="minorHAnsi"/>
          <w:sz w:val="22"/>
          <w:szCs w:val="22"/>
        </w:rPr>
      </w:pPr>
      <w:r w:rsidRPr="00047D3D">
        <w:rPr>
          <w:rFonts w:asciiTheme="minorHAnsi" w:hAnsiTheme="minorHAnsi" w:cstheme="minorHAnsi"/>
          <w:b/>
          <w:bCs/>
          <w:sz w:val="22"/>
          <w:szCs w:val="22"/>
        </w:rPr>
        <w:t xml:space="preserve">Comment: </w:t>
      </w:r>
      <w:r w:rsidRPr="00047D3D">
        <w:rPr>
          <w:rFonts w:asciiTheme="minorHAnsi" w:hAnsiTheme="minorHAnsi" w:cstheme="minorHAnsi"/>
          <w:sz w:val="22"/>
          <w:szCs w:val="22"/>
        </w:rPr>
        <w:t>There are two separate LC</w:t>
      </w:r>
      <w:r w:rsidRPr="000D6DED">
        <w:rPr>
          <w:rFonts w:asciiTheme="minorHAnsi" w:hAnsiTheme="minorHAnsi" w:cstheme="minorHAnsi"/>
          <w:sz w:val="22"/>
          <w:szCs w:val="22"/>
          <w:vertAlign w:val="subscript"/>
        </w:rPr>
        <w:t>50</w:t>
      </w:r>
      <w:r w:rsidRPr="00047D3D">
        <w:rPr>
          <w:rFonts w:asciiTheme="minorHAnsi" w:hAnsiTheme="minorHAnsi" w:cstheme="minorHAnsi"/>
          <w:sz w:val="22"/>
          <w:szCs w:val="22"/>
        </w:rPr>
        <w:t xml:space="preserve"> values</w:t>
      </w:r>
      <w:r w:rsidRPr="000E624B">
        <w:rPr>
          <w:rFonts w:asciiTheme="minorHAnsi" w:hAnsiTheme="minorHAnsi" w:cstheme="minorHAnsi"/>
          <w:sz w:val="22"/>
          <w:szCs w:val="22"/>
        </w:rPr>
        <w:t xml:space="preserve"> for </w:t>
      </w:r>
      <w:proofErr w:type="spellStart"/>
      <w:r w:rsidRPr="00047D3D">
        <w:rPr>
          <w:rFonts w:asciiTheme="minorHAnsi" w:hAnsiTheme="minorHAnsi" w:cstheme="minorHAnsi"/>
          <w:i/>
          <w:iCs/>
          <w:sz w:val="22"/>
          <w:szCs w:val="22"/>
        </w:rPr>
        <w:t>Apis</w:t>
      </w:r>
      <w:proofErr w:type="spellEnd"/>
      <w:r w:rsidRPr="00047D3D">
        <w:rPr>
          <w:rFonts w:asciiTheme="minorHAnsi" w:hAnsiTheme="minorHAnsi" w:cstheme="minorHAnsi"/>
          <w:i/>
          <w:iCs/>
          <w:sz w:val="22"/>
          <w:szCs w:val="22"/>
        </w:rPr>
        <w:t xml:space="preserve"> mellifera</w:t>
      </w:r>
      <w:r w:rsidRPr="000E624B">
        <w:rPr>
          <w:rFonts w:asciiTheme="minorHAnsi" w:hAnsiTheme="minorHAnsi" w:cstheme="minorHAnsi"/>
          <w:sz w:val="22"/>
          <w:szCs w:val="22"/>
        </w:rPr>
        <w:t xml:space="preserve"> ssp. </w:t>
      </w:r>
      <w:r w:rsidRPr="00DF050F">
        <w:rPr>
          <w:rFonts w:asciiTheme="minorHAnsi" w:hAnsiTheme="minorHAnsi" w:cstheme="minorHAnsi"/>
          <w:i/>
          <w:sz w:val="22"/>
          <w:szCs w:val="22"/>
        </w:rPr>
        <w:t>mellifera</w:t>
      </w:r>
      <w:r w:rsidRPr="000E624B">
        <w:rPr>
          <w:rFonts w:asciiTheme="minorHAnsi" w:hAnsiTheme="minorHAnsi" w:cstheme="minorHAnsi"/>
          <w:sz w:val="22"/>
          <w:szCs w:val="22"/>
        </w:rPr>
        <w:t xml:space="preserve"> used from ECOTOX</w:t>
      </w:r>
    </w:p>
    <w:p w14:paraId="63ED436D" w14:textId="77777777" w:rsidR="00FE7FE2" w:rsidRPr="000E624B" w:rsidRDefault="00FE7FE2" w:rsidP="005859DB">
      <w:pPr>
        <w:pStyle w:val="Default"/>
        <w:rPr>
          <w:rFonts w:asciiTheme="minorHAnsi" w:hAnsiTheme="minorHAnsi" w:cstheme="minorHAnsi"/>
          <w:sz w:val="22"/>
          <w:szCs w:val="22"/>
        </w:rPr>
      </w:pPr>
      <w:r w:rsidRPr="000E624B">
        <w:rPr>
          <w:rFonts w:asciiTheme="minorHAnsi" w:hAnsiTheme="minorHAnsi" w:cstheme="minorHAnsi"/>
          <w:sz w:val="22"/>
          <w:szCs w:val="22"/>
        </w:rPr>
        <w:t>#46261 (</w:t>
      </w:r>
      <w:proofErr w:type="spellStart"/>
      <w:r w:rsidRPr="000E624B">
        <w:rPr>
          <w:rFonts w:asciiTheme="minorHAnsi" w:hAnsiTheme="minorHAnsi" w:cstheme="minorHAnsi"/>
          <w:sz w:val="22"/>
          <w:szCs w:val="22"/>
        </w:rPr>
        <w:t>Suchail</w:t>
      </w:r>
      <w:proofErr w:type="spellEnd"/>
      <w:r w:rsidRPr="000E624B">
        <w:rPr>
          <w:rFonts w:asciiTheme="minorHAnsi" w:hAnsiTheme="minorHAnsi" w:cstheme="minorHAnsi"/>
          <w:sz w:val="22"/>
          <w:szCs w:val="22"/>
        </w:rPr>
        <w:t xml:space="preserve"> </w:t>
      </w:r>
      <w:r w:rsidRPr="00047D3D">
        <w:rPr>
          <w:rFonts w:asciiTheme="minorHAnsi" w:hAnsiTheme="minorHAnsi" w:cstheme="minorHAnsi"/>
          <w:i/>
          <w:iCs/>
          <w:sz w:val="22"/>
          <w:szCs w:val="22"/>
        </w:rPr>
        <w:t>et al.</w:t>
      </w:r>
      <w:r w:rsidRPr="000E624B">
        <w:rPr>
          <w:rFonts w:asciiTheme="minorHAnsi" w:hAnsiTheme="minorHAnsi" w:cstheme="minorHAnsi"/>
          <w:sz w:val="22"/>
          <w:szCs w:val="22"/>
        </w:rPr>
        <w:t xml:space="preserve"> 2000). These values are 0.052 and 0.19 mg/kg. Both values were calculated within the manuscript; however, both originate from the same experiment. The higher reported value (24.3 ng/bee) corresponding to 0.19 mg/kg utilizes the full data set. The lower reported value (6.7 ng/bee) corresponding to 0.052 mg/kg was derived by only fitting the three lowest test levels and excluding the other 14 test levels. Only the higher value should be utilized in the SSD as it uses the full data set.</w:t>
      </w:r>
    </w:p>
    <w:p w14:paraId="20408CF5" w14:textId="77777777" w:rsidR="00FE7FE2" w:rsidRPr="000E624B" w:rsidRDefault="00FE7FE2" w:rsidP="005859DB">
      <w:pPr>
        <w:pStyle w:val="Default"/>
        <w:rPr>
          <w:rFonts w:asciiTheme="minorHAnsi" w:hAnsiTheme="minorHAnsi" w:cstheme="minorHAnsi"/>
          <w:sz w:val="22"/>
          <w:szCs w:val="22"/>
        </w:rPr>
      </w:pPr>
    </w:p>
    <w:p w14:paraId="676C5D1B" w14:textId="77777777" w:rsidR="00FE7FE2" w:rsidRPr="000E624B" w:rsidRDefault="00FE7FE2" w:rsidP="005859DB">
      <w:pPr>
        <w:pStyle w:val="Default"/>
        <w:rPr>
          <w:rFonts w:asciiTheme="minorHAnsi" w:hAnsiTheme="minorHAnsi" w:cstheme="minorHAnsi"/>
          <w:sz w:val="22"/>
          <w:szCs w:val="22"/>
        </w:rPr>
      </w:pPr>
      <w:r w:rsidRPr="000E624B">
        <w:rPr>
          <w:rFonts w:asciiTheme="minorHAnsi" w:hAnsiTheme="minorHAnsi" w:cstheme="minorHAnsi"/>
          <w:sz w:val="22"/>
          <w:szCs w:val="22"/>
        </w:rPr>
        <w:t>Two LC</w:t>
      </w:r>
      <w:r w:rsidRPr="000D6DED">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values are listed from ECOTOX #168903 (</w:t>
      </w:r>
      <w:proofErr w:type="spellStart"/>
      <w:r w:rsidRPr="000E624B">
        <w:rPr>
          <w:rFonts w:asciiTheme="minorHAnsi" w:hAnsiTheme="minorHAnsi" w:cstheme="minorHAnsi"/>
          <w:sz w:val="22"/>
          <w:szCs w:val="22"/>
        </w:rPr>
        <w:t>Biddinger</w:t>
      </w:r>
      <w:proofErr w:type="spellEnd"/>
      <w:r w:rsidRPr="000E624B">
        <w:rPr>
          <w:rFonts w:asciiTheme="minorHAnsi" w:hAnsiTheme="minorHAnsi" w:cstheme="minorHAnsi"/>
          <w:sz w:val="22"/>
          <w:szCs w:val="22"/>
        </w:rPr>
        <w:t xml:space="preserve"> </w:t>
      </w:r>
      <w:r w:rsidRPr="00047D3D">
        <w:rPr>
          <w:rFonts w:asciiTheme="minorHAnsi" w:hAnsiTheme="minorHAnsi" w:cstheme="minorHAnsi"/>
          <w:i/>
          <w:iCs/>
          <w:sz w:val="22"/>
          <w:szCs w:val="22"/>
        </w:rPr>
        <w:t>et al.</w:t>
      </w:r>
      <w:r w:rsidRPr="000E624B">
        <w:rPr>
          <w:rFonts w:asciiTheme="minorHAnsi" w:hAnsiTheme="minorHAnsi" w:cstheme="minorHAnsi"/>
          <w:sz w:val="22"/>
          <w:szCs w:val="22"/>
        </w:rPr>
        <w:t xml:space="preserve"> 2013). One is for </w:t>
      </w:r>
      <w:proofErr w:type="spellStart"/>
      <w:r w:rsidRPr="00047D3D">
        <w:rPr>
          <w:rFonts w:asciiTheme="minorHAnsi" w:hAnsiTheme="minorHAnsi" w:cstheme="minorHAnsi"/>
          <w:i/>
          <w:iCs/>
          <w:sz w:val="22"/>
          <w:szCs w:val="22"/>
        </w:rPr>
        <w:t>Apis</w:t>
      </w:r>
      <w:proofErr w:type="spellEnd"/>
      <w:r w:rsidRPr="00047D3D">
        <w:rPr>
          <w:rFonts w:asciiTheme="minorHAnsi" w:hAnsiTheme="minorHAnsi" w:cstheme="minorHAnsi"/>
          <w:i/>
          <w:iCs/>
          <w:sz w:val="22"/>
          <w:szCs w:val="22"/>
        </w:rPr>
        <w:t xml:space="preserve"> mellifera</w:t>
      </w:r>
      <w:r w:rsidRPr="000E624B">
        <w:rPr>
          <w:rFonts w:asciiTheme="minorHAnsi" w:hAnsiTheme="minorHAnsi" w:cstheme="minorHAnsi"/>
          <w:sz w:val="22"/>
          <w:szCs w:val="22"/>
        </w:rPr>
        <w:t xml:space="preserve"> at 0.2 mg/kg. However, in this reference, the LD</w:t>
      </w:r>
      <w:r w:rsidRPr="000D6DED">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is reported at 0.2 µg/bee, which using an adult female bee </w:t>
      </w:r>
      <w:r w:rsidRPr="000E624B">
        <w:rPr>
          <w:rFonts w:asciiTheme="minorHAnsi" w:hAnsiTheme="minorHAnsi" w:cstheme="minorHAnsi"/>
          <w:sz w:val="22"/>
          <w:szCs w:val="22"/>
        </w:rPr>
        <w:lastRenderedPageBreak/>
        <w:t>mass of 128 mg, would be 1.56 mg/kg. The supplemental material lists this as 0.15 µg/bee (differences likely due to rounding), which when adjusted for body mass would be 1.19 mg/kg. The second listed LC</w:t>
      </w:r>
      <w:r w:rsidRPr="000D6DED">
        <w:rPr>
          <w:rFonts w:asciiTheme="minorHAnsi" w:hAnsiTheme="minorHAnsi" w:cstheme="minorHAnsi"/>
          <w:sz w:val="22"/>
          <w:szCs w:val="22"/>
          <w:vertAlign w:val="subscript"/>
        </w:rPr>
        <w:t>50</w:t>
      </w:r>
      <w:r w:rsidRPr="000E624B">
        <w:rPr>
          <w:rFonts w:asciiTheme="minorHAnsi" w:hAnsiTheme="minorHAnsi" w:cstheme="minorHAnsi"/>
          <w:sz w:val="22"/>
          <w:szCs w:val="22"/>
        </w:rPr>
        <w:t xml:space="preserve"> value is 7.60 mg/kg for </w:t>
      </w:r>
      <w:r w:rsidRPr="00047D3D">
        <w:rPr>
          <w:rFonts w:asciiTheme="minorHAnsi" w:hAnsiTheme="minorHAnsi" w:cstheme="minorHAnsi"/>
          <w:i/>
          <w:iCs/>
          <w:sz w:val="22"/>
          <w:szCs w:val="22"/>
        </w:rPr>
        <w:t xml:space="preserve">Osmia </w:t>
      </w:r>
      <w:proofErr w:type="spellStart"/>
      <w:r w:rsidRPr="00047D3D">
        <w:rPr>
          <w:rFonts w:asciiTheme="minorHAnsi" w:hAnsiTheme="minorHAnsi" w:cstheme="minorHAnsi"/>
          <w:i/>
          <w:iCs/>
          <w:sz w:val="22"/>
          <w:szCs w:val="22"/>
        </w:rPr>
        <w:t>cornifrons</w:t>
      </w:r>
      <w:proofErr w:type="spellEnd"/>
      <w:r w:rsidRPr="000E624B">
        <w:rPr>
          <w:rFonts w:asciiTheme="minorHAnsi" w:hAnsiTheme="minorHAnsi" w:cstheme="minorHAnsi"/>
          <w:sz w:val="22"/>
          <w:szCs w:val="22"/>
        </w:rPr>
        <w:t>. In the referenced paper, this is listed as 3.8 µg/bee. It appears that EPA used a body mass of 0.5 g for this species (</w:t>
      </w:r>
      <w:r w:rsidRPr="00DF050F">
        <w:rPr>
          <w:rFonts w:asciiTheme="minorHAnsi" w:hAnsiTheme="minorHAnsi" w:cstheme="minorHAnsi"/>
          <w:i/>
          <w:sz w:val="22"/>
          <w:szCs w:val="22"/>
        </w:rPr>
        <w:t>e.g.</w:t>
      </w:r>
      <w:r w:rsidRPr="000E624B">
        <w:rPr>
          <w:rFonts w:asciiTheme="minorHAnsi" w:hAnsiTheme="minorHAnsi" w:cstheme="minorHAnsi"/>
          <w:sz w:val="22"/>
          <w:szCs w:val="22"/>
        </w:rPr>
        <w:t xml:space="preserve">, 3.8/0.5 = 7.6). This is not an appropriate assumption, as this species is typically much smaller. Measurements from the same lab as the referenced paper are mean body masses of 105.2 mg for females and 68.99 mg for males (supplemental material, Phan </w:t>
      </w:r>
      <w:r w:rsidRPr="009D62D4">
        <w:rPr>
          <w:rFonts w:asciiTheme="minorHAnsi" w:hAnsiTheme="minorHAnsi" w:cstheme="minorHAnsi"/>
          <w:i/>
          <w:iCs/>
          <w:sz w:val="22"/>
          <w:szCs w:val="22"/>
        </w:rPr>
        <w:t>et al</w:t>
      </w:r>
      <w:r w:rsidRPr="000E624B">
        <w:rPr>
          <w:rFonts w:asciiTheme="minorHAnsi" w:hAnsiTheme="minorHAnsi" w:cstheme="minorHAnsi"/>
          <w:sz w:val="22"/>
          <w:szCs w:val="22"/>
        </w:rPr>
        <w:t>. 2020).</w:t>
      </w:r>
    </w:p>
    <w:p w14:paraId="433CC74D" w14:textId="77777777" w:rsidR="00FE7FE2" w:rsidRPr="000E624B" w:rsidRDefault="00FE7FE2" w:rsidP="005859DB">
      <w:pPr>
        <w:pStyle w:val="Default"/>
        <w:rPr>
          <w:rFonts w:asciiTheme="minorHAnsi" w:hAnsiTheme="minorHAnsi" w:cstheme="minorHAnsi"/>
          <w:sz w:val="22"/>
          <w:szCs w:val="22"/>
        </w:rPr>
      </w:pPr>
    </w:p>
    <w:p w14:paraId="0DB69D6F" w14:textId="77777777" w:rsidR="00FE7FE2" w:rsidRPr="000E624B" w:rsidRDefault="00FE7FE2" w:rsidP="005859DB">
      <w:pPr>
        <w:pStyle w:val="Default"/>
        <w:rPr>
          <w:rFonts w:asciiTheme="minorHAnsi" w:hAnsiTheme="minorHAnsi" w:cstheme="minorHAnsi"/>
          <w:sz w:val="22"/>
          <w:szCs w:val="22"/>
        </w:rPr>
      </w:pPr>
      <w:r w:rsidRPr="000E624B">
        <w:rPr>
          <w:rFonts w:asciiTheme="minorHAnsi" w:hAnsiTheme="minorHAnsi" w:cstheme="minorHAnsi"/>
          <w:sz w:val="22"/>
          <w:szCs w:val="22"/>
        </w:rPr>
        <w:t xml:space="preserve">There is a value of 0.33 mg/kg listed for </w:t>
      </w:r>
      <w:proofErr w:type="spellStart"/>
      <w:r w:rsidRPr="009D62D4">
        <w:rPr>
          <w:rFonts w:asciiTheme="minorHAnsi" w:hAnsiTheme="minorHAnsi" w:cstheme="minorHAnsi"/>
          <w:i/>
          <w:iCs/>
          <w:sz w:val="22"/>
          <w:szCs w:val="22"/>
        </w:rPr>
        <w:t>Apis</w:t>
      </w:r>
      <w:proofErr w:type="spellEnd"/>
      <w:r w:rsidRPr="009D62D4">
        <w:rPr>
          <w:rFonts w:asciiTheme="minorHAnsi" w:hAnsiTheme="minorHAnsi" w:cstheme="minorHAnsi"/>
          <w:i/>
          <w:iCs/>
          <w:sz w:val="22"/>
          <w:szCs w:val="22"/>
        </w:rPr>
        <w:t xml:space="preserve"> mellifera</w:t>
      </w:r>
      <w:r w:rsidRPr="000E624B">
        <w:rPr>
          <w:rFonts w:asciiTheme="minorHAnsi" w:hAnsiTheme="minorHAnsi" w:cstheme="minorHAnsi"/>
          <w:sz w:val="22"/>
          <w:szCs w:val="22"/>
        </w:rPr>
        <w:t xml:space="preserve"> from ECOTOX #82007. There is no corresponding entry for this reference number in </w:t>
      </w:r>
      <w:r w:rsidRPr="002F6C95">
        <w:rPr>
          <w:rFonts w:asciiTheme="minorHAnsi" w:hAnsiTheme="minorHAnsi" w:cstheme="minorHAnsi"/>
          <w:b/>
          <w:bCs/>
          <w:sz w:val="22"/>
          <w:szCs w:val="22"/>
        </w:rPr>
        <w:t>Appendix 2-2</w:t>
      </w:r>
      <w:r w:rsidRPr="000E624B">
        <w:rPr>
          <w:rFonts w:asciiTheme="minorHAnsi" w:hAnsiTheme="minorHAnsi" w:cstheme="minorHAnsi"/>
          <w:sz w:val="22"/>
          <w:szCs w:val="22"/>
        </w:rPr>
        <w:t xml:space="preserve"> “Accepted ECOTOX Database”. A search within the ECOTOX Knowledgebase website yielded no hits for this reference number.</w:t>
      </w:r>
    </w:p>
    <w:p w14:paraId="31C2513D" w14:textId="77777777" w:rsidR="00FE7FE2" w:rsidRPr="000E624B" w:rsidRDefault="00FE7FE2" w:rsidP="005859DB">
      <w:pPr>
        <w:pStyle w:val="Default"/>
        <w:rPr>
          <w:rFonts w:asciiTheme="minorHAnsi" w:hAnsiTheme="minorHAnsi" w:cstheme="minorHAnsi"/>
          <w:sz w:val="22"/>
          <w:szCs w:val="22"/>
        </w:rPr>
      </w:pPr>
    </w:p>
    <w:p w14:paraId="06B3678E" w14:textId="51C8622D" w:rsidR="00FE7FE2" w:rsidRPr="000E624B" w:rsidRDefault="00FE7FE2" w:rsidP="005859DB">
      <w:pPr>
        <w:pStyle w:val="Default"/>
        <w:rPr>
          <w:rFonts w:asciiTheme="minorHAnsi" w:hAnsiTheme="minorHAnsi" w:cstheme="minorHAnsi"/>
          <w:sz w:val="22"/>
          <w:szCs w:val="22"/>
        </w:rPr>
      </w:pPr>
      <w:r w:rsidRPr="000E624B">
        <w:rPr>
          <w:rFonts w:asciiTheme="minorHAnsi" w:hAnsiTheme="minorHAnsi" w:cstheme="minorHAnsi"/>
          <w:sz w:val="22"/>
          <w:szCs w:val="22"/>
        </w:rPr>
        <w:t xml:space="preserve">Recently EPA conducted a bee risk assessment for the registration review of imidacloprid (USEPA, 2020b). In </w:t>
      </w:r>
      <w:r w:rsidR="003A3BAD" w:rsidRPr="003A3BAD">
        <w:rPr>
          <w:rFonts w:asciiTheme="minorHAnsi" w:hAnsiTheme="minorHAnsi" w:cstheme="minorHAnsi"/>
          <w:b/>
          <w:bCs/>
          <w:sz w:val="22"/>
          <w:szCs w:val="22"/>
        </w:rPr>
        <w:t>T</w:t>
      </w:r>
      <w:r w:rsidRPr="003A3BAD">
        <w:rPr>
          <w:rFonts w:asciiTheme="minorHAnsi" w:hAnsiTheme="minorHAnsi" w:cstheme="minorHAnsi"/>
          <w:b/>
          <w:bCs/>
          <w:sz w:val="22"/>
          <w:szCs w:val="22"/>
        </w:rPr>
        <w:t>able 5-2</w:t>
      </w:r>
      <w:r w:rsidRPr="000E624B">
        <w:rPr>
          <w:rFonts w:asciiTheme="minorHAnsi" w:hAnsiTheme="minorHAnsi" w:cstheme="minorHAnsi"/>
          <w:sz w:val="22"/>
          <w:szCs w:val="22"/>
        </w:rPr>
        <w:t xml:space="preserve"> of EPA’s bee risk assessment, the Agency summarizes six acute contact honey bee studies that were submitted by the registrant and rated as acceptable. None of these studies were used in the derivation of the terrestrial invertebrate acute contact SSD.</w:t>
      </w:r>
    </w:p>
    <w:p w14:paraId="2B98769F" w14:textId="77777777" w:rsidR="00FE7FE2" w:rsidRPr="000E624B" w:rsidRDefault="00FE7FE2" w:rsidP="005859DB">
      <w:pPr>
        <w:pStyle w:val="Default"/>
        <w:rPr>
          <w:rFonts w:asciiTheme="minorHAnsi" w:hAnsiTheme="minorHAnsi" w:cstheme="minorHAnsi"/>
          <w:sz w:val="22"/>
          <w:szCs w:val="22"/>
        </w:rPr>
      </w:pPr>
    </w:p>
    <w:p w14:paraId="130B88E8" w14:textId="77777777" w:rsidR="00FE7FE2" w:rsidRPr="000E624B" w:rsidRDefault="00FE7FE2" w:rsidP="005859DB">
      <w:pPr>
        <w:pStyle w:val="Default"/>
        <w:rPr>
          <w:rFonts w:asciiTheme="minorHAnsi" w:hAnsiTheme="minorHAnsi" w:cstheme="minorHAnsi"/>
          <w:sz w:val="22"/>
          <w:szCs w:val="22"/>
        </w:rPr>
      </w:pPr>
      <w:r w:rsidRPr="000E624B">
        <w:rPr>
          <w:rFonts w:asciiTheme="minorHAnsi" w:hAnsiTheme="minorHAnsi" w:cstheme="minorHAnsi"/>
          <w:sz w:val="22"/>
          <w:szCs w:val="22"/>
        </w:rPr>
        <w:t>A literature review produced additional studies that should be considered in the acute contact</w:t>
      </w:r>
    </w:p>
    <w:p w14:paraId="77F4F6B9" w14:textId="6893B67B" w:rsidR="00FE7FE2" w:rsidRPr="00721481" w:rsidRDefault="00FE7FE2" w:rsidP="005859DB">
      <w:pPr>
        <w:pStyle w:val="Default"/>
        <w:rPr>
          <w:rFonts w:asciiTheme="minorHAnsi" w:hAnsiTheme="minorHAnsi" w:cstheme="minorHAnsi"/>
          <w:i/>
          <w:iCs/>
          <w:sz w:val="22"/>
          <w:szCs w:val="22"/>
        </w:rPr>
      </w:pPr>
      <w:r w:rsidRPr="000E624B">
        <w:rPr>
          <w:rFonts w:asciiTheme="minorHAnsi" w:hAnsiTheme="minorHAnsi" w:cstheme="minorHAnsi"/>
          <w:sz w:val="22"/>
          <w:szCs w:val="22"/>
        </w:rPr>
        <w:t>SSD and are summarized below:</w:t>
      </w:r>
    </w:p>
    <w:p w14:paraId="0BA9FE50" w14:textId="77777777" w:rsidR="00FE7FE2" w:rsidRPr="00721481" w:rsidRDefault="00FE7FE2" w:rsidP="005859DB">
      <w:pPr>
        <w:pStyle w:val="Default"/>
        <w:rPr>
          <w:rFonts w:asciiTheme="minorHAnsi" w:hAnsiTheme="minorHAnsi" w:cstheme="minorHAnsi"/>
          <w:i/>
          <w:iCs/>
          <w:sz w:val="22"/>
          <w:szCs w:val="22"/>
        </w:rPr>
      </w:pPr>
    </w:p>
    <w:p w14:paraId="138DF425" w14:textId="13022022" w:rsidR="00FE7FE2" w:rsidRPr="00721481" w:rsidRDefault="00FE7FE2" w:rsidP="005859DB">
      <w:pPr>
        <w:pStyle w:val="Default"/>
        <w:keepNext/>
        <w:keepLines/>
        <w:rPr>
          <w:rFonts w:asciiTheme="minorHAnsi" w:hAnsiTheme="minorHAnsi" w:cstheme="minorHAnsi"/>
          <w:b/>
          <w:bCs/>
          <w:i/>
          <w:iCs/>
          <w:sz w:val="22"/>
          <w:szCs w:val="22"/>
        </w:rPr>
      </w:pPr>
      <w:r w:rsidRPr="00721481">
        <w:rPr>
          <w:rFonts w:asciiTheme="minorHAnsi" w:hAnsiTheme="minorHAnsi" w:cstheme="minorHAnsi"/>
          <w:b/>
          <w:bCs/>
          <w:i/>
          <w:iCs/>
          <w:sz w:val="22"/>
          <w:szCs w:val="22"/>
        </w:rPr>
        <w:t xml:space="preserve">Table </w:t>
      </w:r>
      <w:r w:rsidR="009E3F66">
        <w:rPr>
          <w:rFonts w:asciiTheme="minorHAnsi" w:hAnsiTheme="minorHAnsi" w:cstheme="minorHAnsi"/>
          <w:b/>
          <w:bCs/>
          <w:i/>
          <w:iCs/>
          <w:sz w:val="22"/>
          <w:szCs w:val="22"/>
        </w:rPr>
        <w:t>3-</w:t>
      </w:r>
      <w:r w:rsidR="00424558">
        <w:rPr>
          <w:rFonts w:asciiTheme="minorHAnsi" w:hAnsiTheme="minorHAnsi" w:cstheme="minorHAnsi"/>
          <w:b/>
          <w:bCs/>
          <w:i/>
          <w:iCs/>
          <w:sz w:val="22"/>
          <w:szCs w:val="22"/>
        </w:rPr>
        <w:t xml:space="preserve">7. </w:t>
      </w:r>
      <w:r w:rsidRPr="00721481">
        <w:rPr>
          <w:rFonts w:asciiTheme="minorHAnsi" w:hAnsiTheme="minorHAnsi" w:cstheme="minorHAnsi"/>
          <w:b/>
          <w:bCs/>
          <w:i/>
          <w:iCs/>
          <w:sz w:val="22"/>
          <w:szCs w:val="22"/>
        </w:rPr>
        <w:t>Available studies that should be considered in the terrestrial invertebrate acute</w:t>
      </w:r>
    </w:p>
    <w:p w14:paraId="47DBE1F1" w14:textId="77777777" w:rsidR="00FE7FE2" w:rsidRPr="00721481" w:rsidRDefault="00FE7FE2" w:rsidP="005859DB">
      <w:pPr>
        <w:pStyle w:val="Default"/>
        <w:keepNext/>
        <w:keepLines/>
        <w:rPr>
          <w:rFonts w:asciiTheme="minorHAnsi" w:hAnsiTheme="minorHAnsi" w:cstheme="minorHAnsi"/>
          <w:b/>
          <w:bCs/>
          <w:i/>
          <w:iCs/>
          <w:sz w:val="22"/>
          <w:szCs w:val="22"/>
        </w:rPr>
      </w:pPr>
      <w:r w:rsidRPr="00721481">
        <w:rPr>
          <w:rFonts w:asciiTheme="minorHAnsi" w:hAnsiTheme="minorHAnsi" w:cstheme="minorHAnsi"/>
          <w:b/>
          <w:bCs/>
          <w:i/>
          <w:iCs/>
          <w:sz w:val="22"/>
          <w:szCs w:val="22"/>
        </w:rPr>
        <w:t>contact SSD</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160"/>
        <w:gridCol w:w="1980"/>
        <w:gridCol w:w="1583"/>
      </w:tblGrid>
      <w:tr w:rsidR="00FE7FE2" w:rsidRPr="00721481" w14:paraId="181A36C8" w14:textId="77777777" w:rsidTr="007A4697">
        <w:trPr>
          <w:trHeight w:val="536"/>
        </w:trPr>
        <w:tc>
          <w:tcPr>
            <w:tcW w:w="2880" w:type="dxa"/>
            <w:vAlign w:val="center"/>
          </w:tcPr>
          <w:p w14:paraId="5977C4B9" w14:textId="77777777" w:rsidR="00FE7FE2" w:rsidRPr="00F740B1" w:rsidRDefault="00FE7FE2" w:rsidP="005859DB">
            <w:pPr>
              <w:pStyle w:val="Default"/>
              <w:keepNext/>
              <w:keepLines/>
              <w:rPr>
                <w:rFonts w:asciiTheme="minorHAnsi" w:hAnsiTheme="minorHAnsi" w:cstheme="minorHAnsi"/>
                <w:b/>
                <w:sz w:val="22"/>
                <w:szCs w:val="22"/>
              </w:rPr>
            </w:pPr>
            <w:r w:rsidRPr="00F740B1">
              <w:rPr>
                <w:rFonts w:asciiTheme="minorHAnsi" w:hAnsiTheme="minorHAnsi" w:cstheme="minorHAnsi"/>
                <w:b/>
                <w:sz w:val="22"/>
                <w:szCs w:val="22"/>
              </w:rPr>
              <w:t>Species</w:t>
            </w:r>
          </w:p>
        </w:tc>
        <w:tc>
          <w:tcPr>
            <w:tcW w:w="2160" w:type="dxa"/>
            <w:vAlign w:val="center"/>
          </w:tcPr>
          <w:p w14:paraId="62C2D5CE" w14:textId="77777777" w:rsidR="00FE7FE2" w:rsidRPr="00F740B1" w:rsidRDefault="00FE7FE2" w:rsidP="005859DB">
            <w:pPr>
              <w:pStyle w:val="Default"/>
              <w:keepNext/>
              <w:keepLines/>
              <w:rPr>
                <w:rFonts w:asciiTheme="minorHAnsi" w:hAnsiTheme="minorHAnsi" w:cstheme="minorHAnsi"/>
                <w:b/>
                <w:sz w:val="22"/>
                <w:szCs w:val="22"/>
              </w:rPr>
            </w:pPr>
            <w:r w:rsidRPr="00F740B1">
              <w:rPr>
                <w:rFonts w:asciiTheme="minorHAnsi" w:hAnsiTheme="minorHAnsi" w:cstheme="minorHAnsi"/>
                <w:b/>
                <w:sz w:val="22"/>
                <w:szCs w:val="22"/>
              </w:rPr>
              <w:t>Acute LC</w:t>
            </w:r>
            <w:r w:rsidRPr="00F740B1">
              <w:rPr>
                <w:rFonts w:asciiTheme="minorHAnsi" w:hAnsiTheme="minorHAnsi" w:cstheme="minorHAnsi"/>
                <w:b/>
                <w:sz w:val="22"/>
                <w:szCs w:val="22"/>
                <w:vertAlign w:val="subscript"/>
              </w:rPr>
              <w:t>50</w:t>
            </w:r>
            <w:r w:rsidRPr="00F740B1">
              <w:rPr>
                <w:rFonts w:asciiTheme="minorHAnsi" w:hAnsiTheme="minorHAnsi" w:cstheme="minorHAnsi"/>
                <w:b/>
                <w:sz w:val="22"/>
                <w:szCs w:val="22"/>
              </w:rPr>
              <w:t xml:space="preserve"> (mg/kg </w:t>
            </w:r>
            <w:proofErr w:type="spellStart"/>
            <w:r w:rsidRPr="00F740B1">
              <w:rPr>
                <w:rFonts w:asciiTheme="minorHAnsi" w:hAnsiTheme="minorHAnsi" w:cstheme="minorHAnsi"/>
                <w:b/>
                <w:sz w:val="22"/>
                <w:szCs w:val="22"/>
              </w:rPr>
              <w:t>bw</w:t>
            </w:r>
            <w:proofErr w:type="spellEnd"/>
            <w:r w:rsidRPr="00F740B1">
              <w:rPr>
                <w:rFonts w:asciiTheme="minorHAnsi" w:hAnsiTheme="minorHAnsi" w:cstheme="minorHAnsi"/>
                <w:b/>
                <w:sz w:val="22"/>
                <w:szCs w:val="22"/>
              </w:rPr>
              <w:t>)</w:t>
            </w:r>
          </w:p>
        </w:tc>
        <w:tc>
          <w:tcPr>
            <w:tcW w:w="1980" w:type="dxa"/>
            <w:vAlign w:val="center"/>
          </w:tcPr>
          <w:p w14:paraId="67912F8D" w14:textId="77777777" w:rsidR="00FE7FE2" w:rsidRPr="00F740B1" w:rsidRDefault="00FE7FE2" w:rsidP="005859DB">
            <w:pPr>
              <w:pStyle w:val="Default"/>
              <w:keepNext/>
              <w:keepLines/>
              <w:rPr>
                <w:rFonts w:asciiTheme="minorHAnsi" w:hAnsiTheme="minorHAnsi" w:cstheme="minorHAnsi"/>
                <w:b/>
                <w:sz w:val="22"/>
                <w:szCs w:val="22"/>
              </w:rPr>
            </w:pPr>
            <w:r w:rsidRPr="00F740B1">
              <w:rPr>
                <w:rFonts w:asciiTheme="minorHAnsi" w:hAnsiTheme="minorHAnsi" w:cstheme="minorHAnsi"/>
                <w:b/>
                <w:sz w:val="22"/>
                <w:szCs w:val="22"/>
              </w:rPr>
              <w:t>Slope</w:t>
            </w:r>
          </w:p>
        </w:tc>
        <w:tc>
          <w:tcPr>
            <w:tcW w:w="1583" w:type="dxa"/>
            <w:vAlign w:val="center"/>
          </w:tcPr>
          <w:p w14:paraId="47DA2DC2" w14:textId="77777777" w:rsidR="00FE7FE2" w:rsidRPr="00F740B1" w:rsidRDefault="00FE7FE2" w:rsidP="005859DB">
            <w:pPr>
              <w:pStyle w:val="Default"/>
              <w:keepNext/>
              <w:keepLines/>
              <w:rPr>
                <w:rFonts w:asciiTheme="minorHAnsi" w:hAnsiTheme="minorHAnsi" w:cstheme="minorHAnsi"/>
                <w:b/>
                <w:sz w:val="22"/>
                <w:szCs w:val="22"/>
              </w:rPr>
            </w:pPr>
            <w:r w:rsidRPr="00F740B1">
              <w:rPr>
                <w:rFonts w:asciiTheme="minorHAnsi" w:hAnsiTheme="minorHAnsi" w:cstheme="minorHAnsi"/>
                <w:b/>
                <w:sz w:val="22"/>
                <w:szCs w:val="22"/>
              </w:rPr>
              <w:t>Reference</w:t>
            </w:r>
          </w:p>
        </w:tc>
      </w:tr>
      <w:tr w:rsidR="00FE7FE2" w:rsidRPr="00721481" w14:paraId="4924E925" w14:textId="77777777" w:rsidTr="007A4697">
        <w:trPr>
          <w:trHeight w:val="266"/>
        </w:trPr>
        <w:tc>
          <w:tcPr>
            <w:tcW w:w="2880" w:type="dxa"/>
          </w:tcPr>
          <w:p w14:paraId="40B45F30"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Podisus</w:t>
            </w:r>
            <w:proofErr w:type="spellEnd"/>
            <w:r w:rsidRPr="00721481">
              <w:rPr>
                <w:rFonts w:asciiTheme="minorHAnsi" w:hAnsiTheme="minorHAnsi" w:cstheme="minorHAnsi"/>
                <w:i/>
                <w:iCs/>
                <w:sz w:val="22"/>
                <w:szCs w:val="22"/>
              </w:rPr>
              <w:t xml:space="preserve"> </w:t>
            </w:r>
            <w:proofErr w:type="spellStart"/>
            <w:r w:rsidRPr="00721481">
              <w:rPr>
                <w:rFonts w:asciiTheme="minorHAnsi" w:hAnsiTheme="minorHAnsi" w:cstheme="minorHAnsi"/>
                <w:i/>
                <w:iCs/>
                <w:sz w:val="22"/>
                <w:szCs w:val="22"/>
              </w:rPr>
              <w:t>maculiventrish</w:t>
            </w:r>
            <w:proofErr w:type="spellEnd"/>
          </w:p>
        </w:tc>
        <w:tc>
          <w:tcPr>
            <w:tcW w:w="2160" w:type="dxa"/>
          </w:tcPr>
          <w:p w14:paraId="62B487AE"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0.002333</w:t>
            </w:r>
          </w:p>
        </w:tc>
        <w:tc>
          <w:tcPr>
            <w:tcW w:w="1980" w:type="dxa"/>
          </w:tcPr>
          <w:p w14:paraId="42C616D8"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1.8</w:t>
            </w:r>
          </w:p>
        </w:tc>
        <w:tc>
          <w:tcPr>
            <w:tcW w:w="1583" w:type="dxa"/>
          </w:tcPr>
          <w:p w14:paraId="4467473E"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De Cock 1996</w:t>
            </w:r>
          </w:p>
        </w:tc>
      </w:tr>
      <w:tr w:rsidR="00FE7FE2" w:rsidRPr="00721481" w14:paraId="096428DF" w14:textId="77777777" w:rsidTr="007A4697">
        <w:trPr>
          <w:trHeight w:val="267"/>
        </w:trPr>
        <w:tc>
          <w:tcPr>
            <w:tcW w:w="2880" w:type="dxa"/>
          </w:tcPr>
          <w:p w14:paraId="2810FF31"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Melanoplus</w:t>
            </w:r>
            <w:proofErr w:type="spellEnd"/>
            <w:r w:rsidRPr="00721481">
              <w:rPr>
                <w:rFonts w:asciiTheme="minorHAnsi" w:hAnsiTheme="minorHAnsi" w:cstheme="minorHAnsi"/>
                <w:i/>
                <w:iCs/>
                <w:sz w:val="22"/>
                <w:szCs w:val="22"/>
              </w:rPr>
              <w:t xml:space="preserve"> </w:t>
            </w:r>
            <w:proofErr w:type="spellStart"/>
            <w:r w:rsidRPr="00721481">
              <w:rPr>
                <w:rFonts w:asciiTheme="minorHAnsi" w:hAnsiTheme="minorHAnsi" w:cstheme="minorHAnsi"/>
                <w:i/>
                <w:iCs/>
                <w:sz w:val="22"/>
                <w:szCs w:val="22"/>
              </w:rPr>
              <w:t>sanguinipes</w:t>
            </w:r>
            <w:proofErr w:type="spellEnd"/>
          </w:p>
        </w:tc>
        <w:tc>
          <w:tcPr>
            <w:tcW w:w="2160" w:type="dxa"/>
          </w:tcPr>
          <w:p w14:paraId="2F1AD0F8"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86.12</w:t>
            </w:r>
          </w:p>
        </w:tc>
        <w:tc>
          <w:tcPr>
            <w:tcW w:w="1980" w:type="dxa"/>
          </w:tcPr>
          <w:p w14:paraId="32CF8F97"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0.4</w:t>
            </w:r>
          </w:p>
        </w:tc>
        <w:tc>
          <w:tcPr>
            <w:tcW w:w="1583" w:type="dxa"/>
          </w:tcPr>
          <w:p w14:paraId="5FC450FF"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Tharp 2000</w:t>
            </w:r>
          </w:p>
        </w:tc>
      </w:tr>
      <w:tr w:rsidR="00FE7FE2" w:rsidRPr="00721481" w14:paraId="5090E378" w14:textId="77777777" w:rsidTr="007A4697">
        <w:trPr>
          <w:trHeight w:val="267"/>
        </w:trPr>
        <w:tc>
          <w:tcPr>
            <w:tcW w:w="2880" w:type="dxa"/>
          </w:tcPr>
          <w:p w14:paraId="6280AB82"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 xml:space="preserve">Spodoptera </w:t>
            </w:r>
            <w:proofErr w:type="spellStart"/>
            <w:r w:rsidRPr="00721481">
              <w:rPr>
                <w:rFonts w:asciiTheme="minorHAnsi" w:hAnsiTheme="minorHAnsi" w:cstheme="minorHAnsi"/>
                <w:i/>
                <w:iCs/>
                <w:sz w:val="22"/>
                <w:szCs w:val="22"/>
              </w:rPr>
              <w:t>littoralis</w:t>
            </w:r>
            <w:proofErr w:type="spellEnd"/>
          </w:p>
        </w:tc>
        <w:tc>
          <w:tcPr>
            <w:tcW w:w="2160" w:type="dxa"/>
          </w:tcPr>
          <w:p w14:paraId="7D40726A"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653.0</w:t>
            </w:r>
          </w:p>
        </w:tc>
        <w:tc>
          <w:tcPr>
            <w:tcW w:w="1980" w:type="dxa"/>
          </w:tcPr>
          <w:p w14:paraId="2C7244B2"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0.92</w:t>
            </w:r>
          </w:p>
        </w:tc>
        <w:tc>
          <w:tcPr>
            <w:tcW w:w="1583" w:type="dxa"/>
          </w:tcPr>
          <w:p w14:paraId="36C221A1"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Lagadic</w:t>
            </w:r>
            <w:proofErr w:type="spellEnd"/>
            <w:r w:rsidRPr="00721481">
              <w:rPr>
                <w:rFonts w:asciiTheme="minorHAnsi" w:hAnsiTheme="minorHAnsi" w:cstheme="minorHAnsi"/>
                <w:i/>
                <w:iCs/>
                <w:sz w:val="22"/>
                <w:szCs w:val="22"/>
              </w:rPr>
              <w:t xml:space="preserve"> 1993</w:t>
            </w:r>
          </w:p>
        </w:tc>
      </w:tr>
      <w:tr w:rsidR="00FE7FE2" w:rsidRPr="00721481" w14:paraId="666F5B90" w14:textId="77777777" w:rsidTr="007A4697">
        <w:trPr>
          <w:trHeight w:val="269"/>
        </w:trPr>
        <w:tc>
          <w:tcPr>
            <w:tcW w:w="2880" w:type="dxa"/>
          </w:tcPr>
          <w:p w14:paraId="61736575"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Heliothis</w:t>
            </w:r>
            <w:proofErr w:type="spellEnd"/>
            <w:r w:rsidRPr="00721481">
              <w:rPr>
                <w:rFonts w:asciiTheme="minorHAnsi" w:hAnsiTheme="minorHAnsi" w:cstheme="minorHAnsi"/>
                <w:i/>
                <w:iCs/>
                <w:sz w:val="22"/>
                <w:szCs w:val="22"/>
              </w:rPr>
              <w:t xml:space="preserve"> </w:t>
            </w:r>
            <w:proofErr w:type="spellStart"/>
            <w:r w:rsidRPr="00721481">
              <w:rPr>
                <w:rFonts w:asciiTheme="minorHAnsi" w:hAnsiTheme="minorHAnsi" w:cstheme="minorHAnsi"/>
                <w:i/>
                <w:iCs/>
                <w:sz w:val="22"/>
                <w:szCs w:val="22"/>
              </w:rPr>
              <w:t>virescens</w:t>
            </w:r>
            <w:proofErr w:type="spellEnd"/>
          </w:p>
        </w:tc>
        <w:tc>
          <w:tcPr>
            <w:tcW w:w="2160" w:type="dxa"/>
          </w:tcPr>
          <w:p w14:paraId="230824CE"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348.4</w:t>
            </w:r>
          </w:p>
        </w:tc>
        <w:tc>
          <w:tcPr>
            <w:tcW w:w="1980" w:type="dxa"/>
          </w:tcPr>
          <w:p w14:paraId="0A78AA83"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0.89</w:t>
            </w:r>
          </w:p>
        </w:tc>
        <w:tc>
          <w:tcPr>
            <w:tcW w:w="1583" w:type="dxa"/>
          </w:tcPr>
          <w:p w14:paraId="5232157E" w14:textId="77777777" w:rsidR="00FE7FE2" w:rsidRPr="00721481" w:rsidRDefault="00FE7FE2" w:rsidP="005859DB">
            <w:pPr>
              <w:pStyle w:val="Default"/>
              <w:rPr>
                <w:rFonts w:asciiTheme="minorHAnsi" w:hAnsiTheme="minorHAnsi" w:cstheme="minorHAnsi"/>
                <w:i/>
                <w:iCs/>
                <w:sz w:val="22"/>
                <w:szCs w:val="22"/>
              </w:rPr>
            </w:pPr>
            <w:proofErr w:type="spellStart"/>
            <w:r w:rsidRPr="00721481">
              <w:rPr>
                <w:rFonts w:asciiTheme="minorHAnsi" w:hAnsiTheme="minorHAnsi" w:cstheme="minorHAnsi"/>
                <w:i/>
                <w:iCs/>
                <w:sz w:val="22"/>
                <w:szCs w:val="22"/>
              </w:rPr>
              <w:t>Lagadic</w:t>
            </w:r>
            <w:proofErr w:type="spellEnd"/>
            <w:r w:rsidRPr="00721481">
              <w:rPr>
                <w:rFonts w:asciiTheme="minorHAnsi" w:hAnsiTheme="minorHAnsi" w:cstheme="minorHAnsi"/>
                <w:i/>
                <w:iCs/>
                <w:sz w:val="22"/>
                <w:szCs w:val="22"/>
              </w:rPr>
              <w:t xml:space="preserve"> 1993</w:t>
            </w:r>
          </w:p>
        </w:tc>
      </w:tr>
      <w:tr w:rsidR="00FE7FE2" w:rsidRPr="00721481" w14:paraId="549655A9" w14:textId="77777777" w:rsidTr="007A4697">
        <w:trPr>
          <w:trHeight w:val="275"/>
        </w:trPr>
        <w:tc>
          <w:tcPr>
            <w:tcW w:w="2880" w:type="dxa"/>
          </w:tcPr>
          <w:p w14:paraId="59188684"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 xml:space="preserve">Danaus </w:t>
            </w:r>
            <w:proofErr w:type="spellStart"/>
            <w:r w:rsidRPr="00721481">
              <w:rPr>
                <w:rFonts w:asciiTheme="minorHAnsi" w:hAnsiTheme="minorHAnsi" w:cstheme="minorHAnsi"/>
                <w:i/>
                <w:iCs/>
                <w:sz w:val="22"/>
                <w:szCs w:val="22"/>
              </w:rPr>
              <w:t>plexippus</w:t>
            </w:r>
            <w:proofErr w:type="spellEnd"/>
          </w:p>
        </w:tc>
        <w:tc>
          <w:tcPr>
            <w:tcW w:w="2160" w:type="dxa"/>
          </w:tcPr>
          <w:p w14:paraId="1CED62AD"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6.7, 8.4, 3.0</w:t>
            </w:r>
          </w:p>
        </w:tc>
        <w:tc>
          <w:tcPr>
            <w:tcW w:w="1980" w:type="dxa"/>
          </w:tcPr>
          <w:p w14:paraId="59EF4FD4" w14:textId="77777777" w:rsidR="00FE7FE2" w:rsidRPr="00721481" w:rsidRDefault="00FE7FE2" w:rsidP="005859DB">
            <w:pPr>
              <w:pStyle w:val="Default"/>
              <w:rPr>
                <w:rFonts w:asciiTheme="minorHAnsi" w:hAnsiTheme="minorHAnsi" w:cstheme="minorHAnsi"/>
                <w:i/>
                <w:iCs/>
                <w:sz w:val="22"/>
                <w:szCs w:val="22"/>
              </w:rPr>
            </w:pPr>
          </w:p>
        </w:tc>
        <w:tc>
          <w:tcPr>
            <w:tcW w:w="1583" w:type="dxa"/>
          </w:tcPr>
          <w:p w14:paraId="4CD64EB5" w14:textId="77777777" w:rsidR="00FE7FE2" w:rsidRPr="00721481" w:rsidRDefault="00FE7FE2" w:rsidP="005859DB">
            <w:pPr>
              <w:pStyle w:val="Default"/>
              <w:rPr>
                <w:rFonts w:asciiTheme="minorHAnsi" w:hAnsiTheme="minorHAnsi" w:cstheme="minorHAnsi"/>
                <w:i/>
                <w:iCs/>
                <w:sz w:val="22"/>
                <w:szCs w:val="22"/>
              </w:rPr>
            </w:pPr>
            <w:r w:rsidRPr="00721481">
              <w:rPr>
                <w:rFonts w:asciiTheme="minorHAnsi" w:hAnsiTheme="minorHAnsi" w:cstheme="minorHAnsi"/>
                <w:i/>
                <w:iCs/>
                <w:sz w:val="22"/>
                <w:szCs w:val="22"/>
              </w:rPr>
              <w:t>Krishnan 2020</w:t>
            </w:r>
          </w:p>
        </w:tc>
      </w:tr>
    </w:tbl>
    <w:p w14:paraId="2661216B" w14:textId="77777777" w:rsidR="00FE7FE2" w:rsidRPr="00721481" w:rsidRDefault="00FE7FE2" w:rsidP="005859DB">
      <w:pPr>
        <w:pStyle w:val="Default"/>
        <w:rPr>
          <w:rFonts w:asciiTheme="minorHAnsi" w:hAnsiTheme="minorHAnsi" w:cstheme="minorHAnsi"/>
          <w:i/>
          <w:iCs/>
          <w:sz w:val="22"/>
          <w:szCs w:val="22"/>
        </w:rPr>
      </w:pPr>
    </w:p>
    <w:p w14:paraId="39058037" w14:textId="3663F7F4" w:rsidR="00AD70F9" w:rsidRDefault="00FE7FE2" w:rsidP="00DD7A0A">
      <w:pPr>
        <w:rPr>
          <w:rFonts w:cs="Times New Roman"/>
          <w:color w:val="000000"/>
          <w:sz w:val="24"/>
          <w:szCs w:val="24"/>
        </w:rPr>
        <w:sectPr w:rsidR="00AD70F9" w:rsidSect="005C5E5D">
          <w:pgSz w:w="12240" w:h="15840"/>
          <w:pgMar w:top="1440" w:right="1440" w:bottom="1440" w:left="1440" w:header="720" w:footer="720" w:gutter="0"/>
          <w:cols w:space="720"/>
          <w:docGrid w:linePitch="360"/>
        </w:sectPr>
      </w:pPr>
      <w:r w:rsidRPr="005B5C3D">
        <w:rPr>
          <w:rFonts w:asciiTheme="minorHAnsi" w:hAnsiTheme="minorHAnsi" w:cstheme="minorHAnsi"/>
          <w:b/>
        </w:rPr>
        <w:t>EPA Response:</w:t>
      </w:r>
      <w:r w:rsidRPr="005B5C3D">
        <w:rPr>
          <w:rFonts w:asciiTheme="minorHAnsi" w:eastAsia="Calibri" w:hAnsiTheme="minorHAnsi" w:cstheme="minorHAnsi"/>
          <w:i/>
          <w:color w:val="000000" w:themeColor="text1"/>
        </w:rPr>
        <w:t xml:space="preserve"> </w:t>
      </w:r>
      <w:bookmarkStart w:id="63" w:name="_Hlk101354287"/>
      <w:r w:rsidR="00FD0101" w:rsidRPr="00047D3D">
        <w:rPr>
          <w:rFonts w:asciiTheme="minorHAnsi" w:eastAsia="Calibri" w:hAnsiTheme="minorHAnsi"/>
          <w:i/>
          <w:iCs/>
          <w:color w:val="000000" w:themeColor="text1"/>
        </w:rPr>
        <w:t xml:space="preserve">Inclusion of the referenced studies in the acute dietary SSD used for the draft BE would not significantly </w:t>
      </w:r>
      <w:r w:rsidR="00FD0101" w:rsidRPr="00047D3D">
        <w:rPr>
          <w:rFonts w:asciiTheme="minorHAnsi" w:eastAsia="Calibri" w:hAnsiTheme="minorHAnsi"/>
          <w:i/>
          <w:color w:val="000000" w:themeColor="text1"/>
        </w:rPr>
        <w:t>a</w:t>
      </w:r>
      <w:r w:rsidR="00FD0101">
        <w:rPr>
          <w:rFonts w:asciiTheme="minorHAnsi" w:eastAsia="Calibri" w:hAnsiTheme="minorHAnsi"/>
          <w:i/>
          <w:color w:val="000000" w:themeColor="text1"/>
        </w:rPr>
        <w:t>l</w:t>
      </w:r>
      <w:r w:rsidR="00FD0101" w:rsidRPr="00047D3D">
        <w:rPr>
          <w:rFonts w:asciiTheme="minorHAnsi" w:eastAsia="Calibri" w:hAnsiTheme="minorHAnsi"/>
          <w:i/>
          <w:color w:val="000000" w:themeColor="text1"/>
        </w:rPr>
        <w:t>ter</w:t>
      </w:r>
      <w:r w:rsidR="00FD0101" w:rsidRPr="00047D3D">
        <w:rPr>
          <w:rFonts w:asciiTheme="minorHAnsi" w:eastAsia="Calibri" w:hAnsiTheme="minorHAnsi"/>
          <w:i/>
          <w:iCs/>
          <w:color w:val="000000" w:themeColor="text1"/>
        </w:rPr>
        <w:t xml:space="preserve"> the results in terms of</w:t>
      </w:r>
      <w:r w:rsidR="00FD0101">
        <w:rPr>
          <w:rFonts w:asciiTheme="minorHAnsi" w:eastAsia="Calibri" w:hAnsiTheme="minorHAnsi"/>
          <w:i/>
          <w:iCs/>
          <w:color w:val="000000" w:themeColor="text1"/>
        </w:rPr>
        <w:t xml:space="preserve"> the individual level NE/NLAA/</w:t>
      </w:r>
      <w:r w:rsidR="00FD0101" w:rsidRPr="00047D3D">
        <w:rPr>
          <w:rFonts w:asciiTheme="minorHAnsi" w:eastAsia="Calibri" w:hAnsiTheme="minorHAnsi"/>
          <w:i/>
          <w:iCs/>
          <w:color w:val="000000" w:themeColor="text1"/>
        </w:rPr>
        <w:t>LAA determinations</w:t>
      </w:r>
      <w:r w:rsidR="00B72ADC">
        <w:rPr>
          <w:rFonts w:asciiTheme="minorHAnsi" w:eastAsia="Calibri" w:hAnsiTheme="minorHAnsi"/>
          <w:i/>
          <w:iCs/>
          <w:color w:val="000000" w:themeColor="text1"/>
        </w:rPr>
        <w:t xml:space="preserve"> </w:t>
      </w:r>
      <w:r w:rsidR="00FD0101">
        <w:rPr>
          <w:rFonts w:asciiTheme="minorHAnsi" w:eastAsia="Calibri" w:hAnsiTheme="minorHAnsi"/>
          <w:i/>
          <w:iCs/>
          <w:color w:val="000000" w:themeColor="text1"/>
        </w:rPr>
        <w:t>due to the extensive spatial extent of the usage and currently available toxicity information for imidacloprid.</w:t>
      </w:r>
      <w:bookmarkEnd w:id="63"/>
    </w:p>
    <w:p w14:paraId="392AA785" w14:textId="4E79D10C" w:rsidR="000B1CD7" w:rsidRPr="00E564F7" w:rsidRDefault="00130027" w:rsidP="005859DB">
      <w:pPr>
        <w:pStyle w:val="Heading1"/>
      </w:pPr>
      <w:bookmarkStart w:id="64" w:name="_Toc106187580"/>
      <w:r>
        <w:lastRenderedPageBreak/>
        <w:t>4</w:t>
      </w:r>
      <w:r>
        <w:tab/>
      </w:r>
      <w:r w:rsidR="000B1CD7" w:rsidRPr="00E564F7">
        <w:t>Responses to Public Comments Specific to Thiamethoxam</w:t>
      </w:r>
      <w:bookmarkEnd w:id="64"/>
    </w:p>
    <w:p w14:paraId="34697C39" w14:textId="39406444" w:rsidR="000B1CD7" w:rsidRPr="00E564F7" w:rsidRDefault="000B1CD7" w:rsidP="005859DB">
      <w:pPr>
        <w:pStyle w:val="Default"/>
        <w:rPr>
          <w:rFonts w:asciiTheme="minorHAnsi" w:hAnsiTheme="minorHAnsi" w:cstheme="minorHAnsi"/>
          <w:sz w:val="22"/>
          <w:szCs w:val="22"/>
        </w:rPr>
      </w:pPr>
    </w:p>
    <w:p w14:paraId="305AEC6C" w14:textId="3B40E44A" w:rsidR="00EC559C" w:rsidRDefault="00EC559C" w:rsidP="005859DB">
      <w:pPr>
        <w:pStyle w:val="Default"/>
        <w:rPr>
          <w:rFonts w:asciiTheme="minorHAnsi" w:hAnsiTheme="minorHAnsi" w:cstheme="minorBidi"/>
          <w:sz w:val="22"/>
          <w:szCs w:val="22"/>
        </w:rPr>
      </w:pPr>
      <w:r w:rsidRPr="614B95BE">
        <w:rPr>
          <w:rFonts w:asciiTheme="minorHAnsi" w:hAnsiTheme="minorHAnsi" w:cstheme="minorBidi"/>
          <w:b/>
          <w:bCs/>
          <w:sz w:val="22"/>
          <w:szCs w:val="22"/>
        </w:rPr>
        <w:t>Comment</w:t>
      </w:r>
      <w:r w:rsidR="00510478">
        <w:rPr>
          <w:rFonts w:asciiTheme="minorHAnsi" w:hAnsiTheme="minorHAnsi" w:cstheme="minorBidi"/>
          <w:b/>
          <w:bCs/>
          <w:sz w:val="22"/>
          <w:szCs w:val="22"/>
        </w:rPr>
        <w:t>:</w:t>
      </w:r>
      <w:r w:rsidR="00510478">
        <w:rPr>
          <w:rFonts w:asciiTheme="minorHAnsi" w:hAnsiTheme="minorHAnsi" w:cstheme="minorBidi"/>
          <w:sz w:val="22"/>
          <w:szCs w:val="22"/>
        </w:rPr>
        <w:t xml:space="preserve"> </w:t>
      </w:r>
      <w:r w:rsidR="00680E00">
        <w:rPr>
          <w:rFonts w:asciiTheme="minorHAnsi" w:hAnsiTheme="minorHAnsi" w:cstheme="minorBidi"/>
          <w:sz w:val="22"/>
          <w:szCs w:val="22"/>
        </w:rPr>
        <w:t>It was</w:t>
      </w:r>
      <w:r w:rsidR="00680E00" w:rsidRPr="614B95BE">
        <w:rPr>
          <w:rFonts w:asciiTheme="minorHAnsi" w:hAnsiTheme="minorHAnsi" w:cstheme="minorBidi"/>
          <w:sz w:val="22"/>
          <w:szCs w:val="22"/>
        </w:rPr>
        <w:t xml:space="preserve"> </w:t>
      </w:r>
      <w:r w:rsidR="00C02774" w:rsidRPr="614B95BE">
        <w:rPr>
          <w:rFonts w:asciiTheme="minorHAnsi" w:hAnsiTheme="minorHAnsi" w:cstheme="minorBidi"/>
          <w:sz w:val="22"/>
          <w:szCs w:val="22"/>
        </w:rPr>
        <w:t>recommend</w:t>
      </w:r>
      <w:r w:rsidR="00680E00">
        <w:rPr>
          <w:rFonts w:asciiTheme="minorHAnsi" w:hAnsiTheme="minorHAnsi" w:cstheme="minorBidi"/>
          <w:sz w:val="22"/>
          <w:szCs w:val="22"/>
        </w:rPr>
        <w:t>ed that</w:t>
      </w:r>
      <w:r w:rsidR="00C02774" w:rsidRPr="614B95BE">
        <w:rPr>
          <w:rFonts w:asciiTheme="minorHAnsi" w:hAnsiTheme="minorHAnsi" w:cstheme="minorBidi"/>
          <w:sz w:val="22"/>
          <w:szCs w:val="22"/>
        </w:rPr>
        <w:t xml:space="preserve"> the Agency use thiamethoxam-specific foliar dissipation rates (DT</w:t>
      </w:r>
      <w:r w:rsidR="00C16AFF" w:rsidRPr="00C16AFF">
        <w:rPr>
          <w:rFonts w:asciiTheme="minorHAnsi" w:hAnsiTheme="minorHAnsi" w:cstheme="minorHAnsi"/>
          <w:vertAlign w:val="subscript"/>
        </w:rPr>
        <w:t>50</w:t>
      </w:r>
      <w:r w:rsidR="00C02774" w:rsidRPr="614B95BE">
        <w:rPr>
          <w:rFonts w:asciiTheme="minorHAnsi" w:hAnsiTheme="minorHAnsi" w:cstheme="minorBidi"/>
          <w:sz w:val="22"/>
          <w:szCs w:val="22"/>
        </w:rPr>
        <w:t>) instead of the default 35-day value - foliar DT</w:t>
      </w:r>
      <w:r w:rsidR="00C16AFF" w:rsidRPr="00C16AFF">
        <w:rPr>
          <w:rFonts w:asciiTheme="minorHAnsi" w:hAnsiTheme="minorHAnsi" w:cstheme="minorHAnsi"/>
          <w:vertAlign w:val="subscript"/>
        </w:rPr>
        <w:t>50</w:t>
      </w:r>
      <w:r w:rsidR="00C02774" w:rsidRPr="614B95BE">
        <w:rPr>
          <w:rFonts w:asciiTheme="minorHAnsi" w:hAnsiTheme="minorHAnsi" w:cstheme="minorBidi"/>
          <w:sz w:val="22"/>
          <w:szCs w:val="22"/>
        </w:rPr>
        <w:t xml:space="preserve"> to be used 3.3 ± 2.5 days.</w:t>
      </w:r>
      <w:r w:rsidR="0023219C" w:rsidRPr="614B95BE">
        <w:rPr>
          <w:rFonts w:asciiTheme="minorHAnsi" w:hAnsiTheme="minorHAnsi" w:cstheme="minorBidi"/>
          <w:sz w:val="22"/>
          <w:szCs w:val="22"/>
        </w:rPr>
        <w:t xml:space="preserve"> Using studies containing leaf residue data where foliar applications of thiamethoxam were made to crops that were previously submitted to the Agency and six additional studies being submitted in support of this analysis, </w:t>
      </w:r>
      <w:r w:rsidR="00754345">
        <w:rPr>
          <w:rFonts w:asciiTheme="minorHAnsi" w:hAnsiTheme="minorHAnsi" w:cstheme="minorBidi"/>
          <w:sz w:val="22"/>
          <w:szCs w:val="22"/>
        </w:rPr>
        <w:t>the</w:t>
      </w:r>
      <w:r w:rsidR="0023219C" w:rsidRPr="614B95BE">
        <w:rPr>
          <w:rFonts w:asciiTheme="minorHAnsi" w:hAnsiTheme="minorHAnsi" w:cstheme="minorBidi"/>
          <w:sz w:val="22"/>
          <w:szCs w:val="22"/>
        </w:rPr>
        <w:t xml:space="preserve"> mean foliar DT</w:t>
      </w:r>
      <w:r w:rsidR="00C16AFF" w:rsidRPr="00C16AFF">
        <w:rPr>
          <w:rFonts w:asciiTheme="minorHAnsi" w:hAnsiTheme="minorHAnsi" w:cstheme="minorHAnsi"/>
          <w:vertAlign w:val="subscript"/>
        </w:rPr>
        <w:t>50</w:t>
      </w:r>
      <w:r w:rsidR="0023219C" w:rsidRPr="614B95BE">
        <w:rPr>
          <w:rFonts w:asciiTheme="minorHAnsi" w:hAnsiTheme="minorHAnsi" w:cstheme="minorBidi"/>
          <w:sz w:val="22"/>
          <w:szCs w:val="22"/>
        </w:rPr>
        <w:t xml:space="preserve"> </w:t>
      </w:r>
      <w:r w:rsidR="00754345">
        <w:rPr>
          <w:rFonts w:asciiTheme="minorHAnsi" w:hAnsiTheme="minorHAnsi" w:cstheme="minorBidi"/>
          <w:sz w:val="22"/>
          <w:szCs w:val="22"/>
        </w:rPr>
        <w:t xml:space="preserve">was determined </w:t>
      </w:r>
      <w:r w:rsidR="0023219C" w:rsidRPr="614B95BE">
        <w:rPr>
          <w:rFonts w:asciiTheme="minorHAnsi" w:hAnsiTheme="minorHAnsi" w:cstheme="minorBidi"/>
          <w:sz w:val="22"/>
          <w:szCs w:val="22"/>
        </w:rPr>
        <w:t>to be 3.3 ± 2.5 days.</w:t>
      </w:r>
    </w:p>
    <w:p w14:paraId="0BB073EA" w14:textId="683B7DB7" w:rsidR="007223C6" w:rsidRDefault="007223C6" w:rsidP="005859DB">
      <w:pPr>
        <w:pStyle w:val="Default"/>
        <w:rPr>
          <w:rFonts w:asciiTheme="minorHAnsi" w:hAnsiTheme="minorHAnsi" w:cstheme="minorBidi"/>
          <w:sz w:val="22"/>
          <w:szCs w:val="22"/>
        </w:rPr>
      </w:pPr>
    </w:p>
    <w:p w14:paraId="416BB5DE" w14:textId="1B95568D" w:rsidR="00DB1908" w:rsidRDefault="00846FCE" w:rsidP="005859DB">
      <w:pPr>
        <w:pStyle w:val="Default"/>
        <w:rPr>
          <w:rFonts w:asciiTheme="minorHAnsi" w:hAnsiTheme="minorHAnsi" w:cstheme="minorBidi"/>
          <w:sz w:val="22"/>
          <w:szCs w:val="22"/>
        </w:rPr>
      </w:pPr>
      <w:r w:rsidRPr="614B95BE">
        <w:rPr>
          <w:rFonts w:asciiTheme="minorHAnsi" w:hAnsiTheme="minorHAnsi" w:cstheme="minorBidi"/>
          <w:b/>
          <w:bCs/>
          <w:sz w:val="22"/>
          <w:szCs w:val="22"/>
        </w:rPr>
        <w:t>EPA</w:t>
      </w:r>
      <w:r w:rsidR="007223C6" w:rsidRPr="614B95BE">
        <w:rPr>
          <w:rFonts w:asciiTheme="minorHAnsi" w:hAnsiTheme="minorHAnsi" w:cstheme="minorBidi"/>
          <w:b/>
          <w:bCs/>
          <w:sz w:val="22"/>
          <w:szCs w:val="22"/>
        </w:rPr>
        <w:t xml:space="preserve"> Response:</w:t>
      </w:r>
      <w:r w:rsidR="007223C6" w:rsidRPr="614B95BE">
        <w:rPr>
          <w:rFonts w:asciiTheme="minorHAnsi" w:hAnsiTheme="minorHAnsi" w:cstheme="minorBidi"/>
          <w:sz w:val="22"/>
          <w:szCs w:val="22"/>
        </w:rPr>
        <w:t xml:space="preserve"> </w:t>
      </w:r>
      <w:r w:rsidR="00754345" w:rsidRPr="00CC37A9">
        <w:rPr>
          <w:rFonts w:asciiTheme="minorHAnsi" w:hAnsiTheme="minorHAnsi" w:cstheme="minorBidi"/>
          <w:i/>
          <w:iCs/>
          <w:sz w:val="22"/>
          <w:szCs w:val="22"/>
        </w:rPr>
        <w:t>EPA acknowledges the s</w:t>
      </w:r>
      <w:r w:rsidR="00CC37A9" w:rsidRPr="00CC37A9">
        <w:rPr>
          <w:rFonts w:asciiTheme="minorHAnsi" w:hAnsiTheme="minorHAnsi" w:cstheme="minorBidi"/>
          <w:i/>
          <w:iCs/>
          <w:sz w:val="22"/>
          <w:szCs w:val="22"/>
        </w:rPr>
        <w:t>ubmission of the leaf residue data. An adjust</w:t>
      </w:r>
      <w:r w:rsidR="0021573D">
        <w:rPr>
          <w:rFonts w:asciiTheme="minorHAnsi" w:hAnsiTheme="minorHAnsi" w:cstheme="minorBidi"/>
          <w:i/>
          <w:iCs/>
          <w:sz w:val="22"/>
          <w:szCs w:val="22"/>
        </w:rPr>
        <w:t>ment</w:t>
      </w:r>
      <w:r w:rsidR="00CC37A9" w:rsidRPr="00CC37A9">
        <w:rPr>
          <w:rFonts w:asciiTheme="minorHAnsi" w:hAnsiTheme="minorHAnsi" w:cstheme="minorBidi"/>
          <w:i/>
          <w:iCs/>
          <w:sz w:val="22"/>
          <w:szCs w:val="22"/>
        </w:rPr>
        <w:t xml:space="preserve"> of the DT</w:t>
      </w:r>
      <w:r w:rsidR="00C16AFF" w:rsidRPr="4255501D">
        <w:rPr>
          <w:rFonts w:asciiTheme="minorHAnsi" w:hAnsiTheme="minorHAnsi" w:cstheme="minorBidi"/>
          <w:vertAlign w:val="subscript"/>
        </w:rPr>
        <w:t>50</w:t>
      </w:r>
      <w:r w:rsidR="00CC37A9" w:rsidRPr="00CC37A9">
        <w:rPr>
          <w:rFonts w:asciiTheme="minorHAnsi" w:hAnsiTheme="minorHAnsi" w:cstheme="minorBidi"/>
          <w:i/>
          <w:iCs/>
          <w:sz w:val="22"/>
          <w:szCs w:val="22"/>
        </w:rPr>
        <w:t xml:space="preserve"> will not impact any of the</w:t>
      </w:r>
      <w:r w:rsidR="00754345" w:rsidRPr="00CC37A9">
        <w:rPr>
          <w:rFonts w:asciiTheme="minorHAnsi" w:hAnsiTheme="minorHAnsi" w:cstheme="minorBidi"/>
          <w:i/>
          <w:iCs/>
          <w:sz w:val="22"/>
          <w:szCs w:val="22"/>
        </w:rPr>
        <w:t xml:space="preserve"> LAA </w:t>
      </w:r>
      <w:r w:rsidR="00CC37A9" w:rsidRPr="00CC37A9">
        <w:rPr>
          <w:rFonts w:asciiTheme="minorHAnsi" w:hAnsiTheme="minorHAnsi" w:cstheme="minorBidi"/>
          <w:i/>
          <w:iCs/>
          <w:sz w:val="22"/>
          <w:szCs w:val="22"/>
        </w:rPr>
        <w:t>determinations</w:t>
      </w:r>
      <w:r w:rsidR="003D16C1" w:rsidRPr="003D16C1">
        <w:rPr>
          <w:rFonts w:asciiTheme="minorHAnsi" w:hAnsiTheme="minorHAnsi" w:cstheme="minorBidi"/>
          <w:i/>
          <w:iCs/>
          <w:sz w:val="22"/>
          <w:szCs w:val="22"/>
        </w:rPr>
        <w:t xml:space="preserve"> </w:t>
      </w:r>
      <w:r w:rsidR="003D16C1" w:rsidRPr="00DF050F">
        <w:rPr>
          <w:rFonts w:asciiTheme="minorHAnsi" w:hAnsiTheme="minorHAnsi"/>
          <w:i/>
          <w:iCs/>
          <w:sz w:val="22"/>
          <w:szCs w:val="22"/>
        </w:rPr>
        <w:t>due to impacts being predicted with only one application</w:t>
      </w:r>
      <w:r w:rsidR="00CC37A9" w:rsidRPr="00CC37A9">
        <w:rPr>
          <w:rFonts w:asciiTheme="minorHAnsi" w:hAnsiTheme="minorHAnsi" w:cstheme="minorBidi"/>
          <w:i/>
          <w:iCs/>
          <w:sz w:val="22"/>
          <w:szCs w:val="22"/>
        </w:rPr>
        <w:t>.</w:t>
      </w:r>
      <w:r w:rsidR="00754345" w:rsidRPr="00CC37A9">
        <w:rPr>
          <w:rFonts w:asciiTheme="minorHAnsi" w:hAnsiTheme="minorHAnsi" w:cstheme="minorBidi"/>
          <w:i/>
          <w:iCs/>
          <w:sz w:val="22"/>
          <w:szCs w:val="22"/>
        </w:rPr>
        <w:t xml:space="preserve"> </w:t>
      </w:r>
      <w:r w:rsidR="00014528" w:rsidRPr="4255501D">
        <w:rPr>
          <w:rFonts w:asciiTheme="minorHAnsi" w:hAnsiTheme="minorHAnsi" w:cstheme="minorBidi"/>
          <w:i/>
          <w:sz w:val="22"/>
          <w:szCs w:val="22"/>
        </w:rPr>
        <w:t>If appropriate, t</w:t>
      </w:r>
      <w:r w:rsidR="00D923BA" w:rsidRPr="4255501D">
        <w:rPr>
          <w:rFonts w:asciiTheme="minorHAnsi" w:hAnsiTheme="minorHAnsi" w:cstheme="minorBidi"/>
          <w:i/>
          <w:sz w:val="22"/>
          <w:szCs w:val="22"/>
        </w:rPr>
        <w:t>his</w:t>
      </w:r>
      <w:r w:rsidR="00BB2013" w:rsidRPr="4255501D">
        <w:rPr>
          <w:rFonts w:asciiTheme="minorHAnsi" w:hAnsiTheme="minorHAnsi" w:cstheme="minorBidi"/>
          <w:i/>
          <w:sz w:val="22"/>
          <w:szCs w:val="22"/>
        </w:rPr>
        <w:t xml:space="preserve"> </w:t>
      </w:r>
      <w:r w:rsidR="00401CCA">
        <w:rPr>
          <w:rFonts w:asciiTheme="minorHAnsi" w:hAnsiTheme="minorHAnsi" w:cstheme="minorBidi"/>
          <w:i/>
          <w:sz w:val="22"/>
          <w:szCs w:val="22"/>
        </w:rPr>
        <w:t>may</w:t>
      </w:r>
      <w:r w:rsidR="00401CCA" w:rsidRPr="4255501D">
        <w:rPr>
          <w:rFonts w:asciiTheme="minorHAnsi" w:hAnsiTheme="minorHAnsi" w:cstheme="minorBidi"/>
          <w:i/>
          <w:sz w:val="22"/>
          <w:szCs w:val="22"/>
        </w:rPr>
        <w:t xml:space="preserve"> </w:t>
      </w:r>
      <w:r w:rsidR="00BB2013" w:rsidRPr="4255501D">
        <w:rPr>
          <w:rFonts w:asciiTheme="minorHAnsi" w:hAnsiTheme="minorHAnsi" w:cstheme="minorBidi"/>
          <w:i/>
          <w:sz w:val="22"/>
          <w:szCs w:val="22"/>
        </w:rPr>
        <w:t>be further considered during consultation with the Services</w:t>
      </w:r>
      <w:r w:rsidR="00BD3BEC" w:rsidRPr="4255501D">
        <w:rPr>
          <w:rFonts w:asciiTheme="minorHAnsi" w:hAnsiTheme="minorHAnsi" w:cstheme="minorBidi"/>
          <w:i/>
          <w:sz w:val="22"/>
          <w:szCs w:val="22"/>
        </w:rPr>
        <w:t>.</w:t>
      </w:r>
    </w:p>
    <w:p w14:paraId="21E20BA7" w14:textId="77777777" w:rsidR="00641F72" w:rsidRDefault="00641F72" w:rsidP="005859DB">
      <w:pPr>
        <w:pStyle w:val="Default"/>
        <w:rPr>
          <w:rFonts w:asciiTheme="minorHAnsi" w:hAnsiTheme="minorHAnsi" w:cstheme="minorBidi"/>
          <w:sz w:val="22"/>
          <w:szCs w:val="22"/>
        </w:rPr>
      </w:pPr>
    </w:p>
    <w:p w14:paraId="3E982654" w14:textId="0DA91C1D" w:rsidR="00DB1908" w:rsidRDefault="00DB1908" w:rsidP="005859DB">
      <w:pPr>
        <w:pStyle w:val="Default"/>
        <w:rPr>
          <w:rFonts w:asciiTheme="minorHAnsi" w:hAnsiTheme="minorHAnsi" w:cstheme="minorBidi"/>
          <w:sz w:val="22"/>
          <w:szCs w:val="22"/>
        </w:rPr>
      </w:pPr>
      <w:r w:rsidRPr="614B95BE">
        <w:rPr>
          <w:rFonts w:asciiTheme="minorHAnsi" w:hAnsiTheme="minorHAnsi" w:cstheme="minorBidi"/>
          <w:b/>
          <w:bCs/>
          <w:sz w:val="22"/>
          <w:szCs w:val="22"/>
        </w:rPr>
        <w:t>Comment</w:t>
      </w:r>
      <w:r w:rsidR="00510478">
        <w:rPr>
          <w:rFonts w:asciiTheme="minorHAnsi" w:hAnsiTheme="minorHAnsi" w:cstheme="minorBidi"/>
          <w:b/>
          <w:bCs/>
          <w:sz w:val="22"/>
          <w:szCs w:val="22"/>
        </w:rPr>
        <w:t>:</w:t>
      </w:r>
      <w:r w:rsidRPr="614B95BE">
        <w:rPr>
          <w:rFonts w:asciiTheme="minorHAnsi" w:hAnsiTheme="minorHAnsi" w:cstheme="minorBidi"/>
          <w:b/>
          <w:bCs/>
          <w:sz w:val="22"/>
          <w:szCs w:val="22"/>
        </w:rPr>
        <w:t xml:space="preserve"> </w:t>
      </w:r>
      <w:r w:rsidRPr="614B95BE">
        <w:rPr>
          <w:rFonts w:asciiTheme="minorHAnsi" w:hAnsiTheme="minorHAnsi" w:cstheme="minorBidi"/>
          <w:sz w:val="22"/>
          <w:szCs w:val="22"/>
        </w:rPr>
        <w:t>Although foliar application scenarios were primarily used in the draft Thiamethoxam BE to cover seed treatment uses, seed treatment decline studies have been submitted. While there is currently not an input for seed treatment DT</w:t>
      </w:r>
      <w:r w:rsidR="00C16AFF" w:rsidRPr="00C16AFF">
        <w:rPr>
          <w:rFonts w:asciiTheme="minorHAnsi" w:hAnsiTheme="minorHAnsi" w:cstheme="minorHAnsi"/>
          <w:vertAlign w:val="subscript"/>
        </w:rPr>
        <w:t>50</w:t>
      </w:r>
      <w:r w:rsidRPr="614B95BE">
        <w:rPr>
          <w:rFonts w:asciiTheme="minorHAnsi" w:hAnsiTheme="minorHAnsi" w:cstheme="minorBidi"/>
          <w:sz w:val="22"/>
          <w:szCs w:val="22"/>
        </w:rPr>
        <w:t xml:space="preserve"> values in T-REX, these studies can be used to determine a DT</w:t>
      </w:r>
      <w:r w:rsidR="00C16AFF" w:rsidRPr="00C16AFF">
        <w:rPr>
          <w:rFonts w:asciiTheme="minorHAnsi" w:hAnsiTheme="minorHAnsi" w:cstheme="minorHAnsi"/>
          <w:vertAlign w:val="subscript"/>
        </w:rPr>
        <w:t>50</w:t>
      </w:r>
      <w:r w:rsidRPr="614B95BE">
        <w:rPr>
          <w:rFonts w:asciiTheme="minorHAnsi" w:hAnsiTheme="minorHAnsi" w:cstheme="minorBidi"/>
          <w:sz w:val="22"/>
          <w:szCs w:val="22"/>
        </w:rPr>
        <w:t xml:space="preserve"> for treated seeds for use as weight of evidence that long term exposure to residues on treated seeds is not consistent over time.</w:t>
      </w:r>
    </w:p>
    <w:p w14:paraId="46EB39F0" w14:textId="491A752B" w:rsidR="00DB1908" w:rsidRDefault="00DB1908" w:rsidP="005859DB">
      <w:pPr>
        <w:pStyle w:val="Default"/>
        <w:rPr>
          <w:rFonts w:asciiTheme="minorHAnsi" w:hAnsiTheme="minorHAnsi" w:cstheme="minorBidi"/>
          <w:sz w:val="22"/>
          <w:szCs w:val="22"/>
        </w:rPr>
      </w:pPr>
    </w:p>
    <w:p w14:paraId="170DC951" w14:textId="4B2632FE" w:rsidR="00DB1908" w:rsidRDefault="00846FCE" w:rsidP="005859DB">
      <w:pPr>
        <w:pStyle w:val="Default"/>
        <w:rPr>
          <w:rFonts w:asciiTheme="minorHAnsi" w:hAnsiTheme="minorHAnsi" w:cstheme="minorBidi"/>
          <w:sz w:val="22"/>
          <w:szCs w:val="22"/>
        </w:rPr>
      </w:pPr>
      <w:r w:rsidRPr="614B95BE">
        <w:rPr>
          <w:rFonts w:asciiTheme="minorHAnsi" w:hAnsiTheme="minorHAnsi" w:cstheme="minorBidi"/>
          <w:b/>
          <w:bCs/>
          <w:sz w:val="22"/>
          <w:szCs w:val="22"/>
        </w:rPr>
        <w:t>EPA</w:t>
      </w:r>
      <w:r w:rsidR="00DB1908" w:rsidRPr="614B95BE">
        <w:rPr>
          <w:rFonts w:asciiTheme="minorHAnsi" w:hAnsiTheme="minorHAnsi" w:cstheme="minorBidi"/>
          <w:b/>
          <w:bCs/>
          <w:sz w:val="22"/>
          <w:szCs w:val="22"/>
        </w:rPr>
        <w:t xml:space="preserve"> Response:</w:t>
      </w:r>
      <w:r w:rsidR="00DB1908" w:rsidRPr="614B95BE">
        <w:rPr>
          <w:rFonts w:asciiTheme="minorHAnsi" w:hAnsiTheme="minorHAnsi" w:cstheme="minorBidi"/>
          <w:sz w:val="22"/>
          <w:szCs w:val="22"/>
        </w:rPr>
        <w:t xml:space="preserve"> </w:t>
      </w:r>
      <w:r w:rsidR="00641F72" w:rsidRPr="0067789F">
        <w:rPr>
          <w:rFonts w:asciiTheme="minorHAnsi" w:hAnsiTheme="minorHAnsi" w:cstheme="minorBidi"/>
          <w:i/>
          <w:sz w:val="22"/>
          <w:szCs w:val="22"/>
        </w:rPr>
        <w:t xml:space="preserve">As foliar and soil uses are permitted on the thiamethoxam labels, the EECs are considered protective in evaluating the impact of the uses to one or more individuals of a species. </w:t>
      </w:r>
      <w:r w:rsidR="003513AB">
        <w:rPr>
          <w:rFonts w:asciiTheme="minorHAnsi" w:hAnsiTheme="minorHAnsi" w:cstheme="minorBidi"/>
          <w:i/>
          <w:sz w:val="22"/>
          <w:szCs w:val="22"/>
        </w:rPr>
        <w:t>To the extent that this information is determinative for the biological opinion</w:t>
      </w:r>
      <w:r w:rsidR="00695BA9">
        <w:rPr>
          <w:rFonts w:asciiTheme="minorHAnsi" w:hAnsiTheme="minorHAnsi" w:cstheme="minorBidi"/>
          <w:i/>
          <w:sz w:val="22"/>
          <w:szCs w:val="22"/>
        </w:rPr>
        <w:t xml:space="preserve">, </w:t>
      </w:r>
      <w:r w:rsidR="004D4130">
        <w:rPr>
          <w:rFonts w:asciiTheme="minorHAnsi" w:hAnsiTheme="minorHAnsi" w:cstheme="minorHAnsi"/>
          <w:i/>
          <w:iCs/>
          <w:sz w:val="22"/>
          <w:szCs w:val="22"/>
        </w:rPr>
        <w:t xml:space="preserve">EPA </w:t>
      </w:r>
      <w:r w:rsidR="00401CCA">
        <w:rPr>
          <w:rFonts w:asciiTheme="minorHAnsi" w:hAnsiTheme="minorHAnsi" w:cstheme="minorHAnsi"/>
          <w:i/>
          <w:iCs/>
          <w:sz w:val="22"/>
          <w:szCs w:val="22"/>
        </w:rPr>
        <w:t xml:space="preserve">may </w:t>
      </w:r>
      <w:r w:rsidR="004D4130">
        <w:rPr>
          <w:rFonts w:asciiTheme="minorHAnsi" w:hAnsiTheme="minorHAnsi" w:cstheme="minorHAnsi"/>
          <w:i/>
          <w:iCs/>
          <w:sz w:val="22"/>
          <w:szCs w:val="22"/>
        </w:rPr>
        <w:t>further consider</w:t>
      </w:r>
      <w:r w:rsidR="00756AB8">
        <w:rPr>
          <w:rFonts w:asciiTheme="minorHAnsi" w:hAnsiTheme="minorHAnsi" w:cstheme="minorHAnsi"/>
          <w:i/>
          <w:iCs/>
          <w:sz w:val="22"/>
          <w:szCs w:val="22"/>
        </w:rPr>
        <w:t xml:space="preserve"> the seed </w:t>
      </w:r>
      <w:r w:rsidR="00247461">
        <w:rPr>
          <w:rFonts w:asciiTheme="minorHAnsi" w:hAnsiTheme="minorHAnsi" w:cstheme="minorHAnsi"/>
          <w:i/>
          <w:iCs/>
          <w:sz w:val="22"/>
          <w:szCs w:val="22"/>
        </w:rPr>
        <w:t>EEC</w:t>
      </w:r>
      <w:r w:rsidR="00C80D97">
        <w:rPr>
          <w:rFonts w:asciiTheme="minorHAnsi" w:hAnsiTheme="minorHAnsi" w:cstheme="minorHAnsi"/>
          <w:i/>
          <w:iCs/>
          <w:sz w:val="22"/>
          <w:szCs w:val="22"/>
        </w:rPr>
        <w:t>s</w:t>
      </w:r>
      <w:r w:rsidR="009575D7">
        <w:rPr>
          <w:rFonts w:asciiTheme="minorHAnsi" w:hAnsiTheme="minorHAnsi" w:cstheme="minorHAnsi"/>
          <w:i/>
          <w:iCs/>
          <w:sz w:val="22"/>
          <w:szCs w:val="22"/>
        </w:rPr>
        <w:t xml:space="preserve"> in evaluating mitigation and the impact of thiamethoxam uses</w:t>
      </w:r>
      <w:r w:rsidR="00A5062C">
        <w:rPr>
          <w:rFonts w:asciiTheme="minorHAnsi" w:hAnsiTheme="minorHAnsi" w:cstheme="minorHAnsi"/>
          <w:i/>
          <w:iCs/>
          <w:sz w:val="22"/>
          <w:szCs w:val="22"/>
        </w:rPr>
        <w:t xml:space="preserve"> </w:t>
      </w:r>
      <w:r w:rsidR="0062396A">
        <w:rPr>
          <w:rFonts w:asciiTheme="minorHAnsi" w:hAnsiTheme="minorHAnsi" w:cstheme="minorHAnsi"/>
          <w:i/>
          <w:iCs/>
          <w:sz w:val="22"/>
          <w:szCs w:val="22"/>
        </w:rPr>
        <w:t>to listed species</w:t>
      </w:r>
      <w:r w:rsidR="004D4130" w:rsidRPr="00BB2013">
        <w:rPr>
          <w:rFonts w:asciiTheme="minorHAnsi" w:hAnsiTheme="minorHAnsi" w:cstheme="minorHAnsi"/>
          <w:i/>
          <w:iCs/>
          <w:sz w:val="22"/>
          <w:szCs w:val="22"/>
        </w:rPr>
        <w:t xml:space="preserve"> during consultation with the Services</w:t>
      </w:r>
      <w:r w:rsidR="004D4130">
        <w:rPr>
          <w:rFonts w:asciiTheme="minorHAnsi" w:hAnsiTheme="minorHAnsi" w:cstheme="minorHAnsi"/>
          <w:i/>
          <w:iCs/>
          <w:sz w:val="22"/>
          <w:szCs w:val="22"/>
        </w:rPr>
        <w:t>.</w:t>
      </w:r>
      <w:r w:rsidR="0062396A" w:rsidRPr="0067789F" w:rsidDel="0062396A">
        <w:rPr>
          <w:rFonts w:asciiTheme="minorHAnsi" w:hAnsiTheme="minorHAnsi" w:cstheme="minorBidi"/>
          <w:i/>
          <w:sz w:val="22"/>
          <w:szCs w:val="22"/>
        </w:rPr>
        <w:t xml:space="preserve"> </w:t>
      </w:r>
    </w:p>
    <w:p w14:paraId="38F45980" w14:textId="111A5793" w:rsidR="00357AEB" w:rsidRDefault="00357AEB" w:rsidP="005859DB">
      <w:pPr>
        <w:pStyle w:val="Default"/>
        <w:rPr>
          <w:rFonts w:asciiTheme="minorHAnsi" w:hAnsiTheme="minorHAnsi" w:cstheme="minorBidi"/>
          <w:sz w:val="22"/>
          <w:szCs w:val="22"/>
        </w:rPr>
      </w:pPr>
    </w:p>
    <w:p w14:paraId="3A9E4E3C" w14:textId="1DC683F8" w:rsidR="00357AEB" w:rsidRDefault="00357AEB" w:rsidP="005859DB">
      <w:pPr>
        <w:pStyle w:val="Default"/>
        <w:rPr>
          <w:rFonts w:asciiTheme="minorHAnsi" w:hAnsiTheme="minorHAnsi" w:cstheme="minorBidi"/>
          <w:sz w:val="22"/>
          <w:szCs w:val="22"/>
        </w:rPr>
      </w:pPr>
      <w:r w:rsidRPr="614B95BE">
        <w:rPr>
          <w:rFonts w:asciiTheme="minorHAnsi" w:hAnsiTheme="minorHAnsi" w:cstheme="minorBidi"/>
          <w:b/>
          <w:bCs/>
          <w:sz w:val="22"/>
          <w:szCs w:val="22"/>
        </w:rPr>
        <w:t>Comment</w:t>
      </w:r>
      <w:r w:rsidR="00510478">
        <w:rPr>
          <w:rFonts w:asciiTheme="minorHAnsi" w:hAnsiTheme="minorHAnsi" w:cstheme="minorBidi"/>
          <w:b/>
          <w:bCs/>
          <w:sz w:val="22"/>
          <w:szCs w:val="22"/>
        </w:rPr>
        <w:t>:</w:t>
      </w:r>
      <w:r w:rsidRPr="614B95BE">
        <w:rPr>
          <w:rFonts w:asciiTheme="minorHAnsi" w:hAnsiTheme="minorHAnsi" w:cstheme="minorBidi"/>
          <w:b/>
          <w:bCs/>
          <w:sz w:val="22"/>
          <w:szCs w:val="22"/>
        </w:rPr>
        <w:t xml:space="preserve"> </w:t>
      </w:r>
      <w:r w:rsidRPr="614B95BE">
        <w:rPr>
          <w:rFonts w:asciiTheme="minorHAnsi" w:hAnsiTheme="minorHAnsi" w:cstheme="minorBidi"/>
          <w:sz w:val="22"/>
          <w:szCs w:val="22"/>
        </w:rPr>
        <w:t xml:space="preserve">The Agency uses the AgDRIFT model as a component of the MAGtool and PAT to estimate the contribution of exposure from spray drift of foliar applications. It has been shown that AgDRIFT tends to overpredict deposition especially in the far field. Therefore, </w:t>
      </w:r>
      <w:r w:rsidR="00680E00">
        <w:rPr>
          <w:rFonts w:asciiTheme="minorHAnsi" w:hAnsiTheme="minorHAnsi" w:cstheme="minorBidi"/>
          <w:sz w:val="22"/>
          <w:szCs w:val="22"/>
        </w:rPr>
        <w:t>it was</w:t>
      </w:r>
      <w:r w:rsidR="00680E00" w:rsidRPr="614B95BE">
        <w:rPr>
          <w:rFonts w:asciiTheme="minorHAnsi" w:hAnsiTheme="minorHAnsi" w:cstheme="minorBidi"/>
          <w:sz w:val="22"/>
          <w:szCs w:val="22"/>
        </w:rPr>
        <w:t xml:space="preserve"> </w:t>
      </w:r>
      <w:r w:rsidRPr="614B95BE">
        <w:rPr>
          <w:rFonts w:asciiTheme="minorHAnsi" w:hAnsiTheme="minorHAnsi" w:cstheme="minorBidi"/>
          <w:sz w:val="22"/>
          <w:szCs w:val="22"/>
        </w:rPr>
        <w:t>recommend</w:t>
      </w:r>
      <w:r w:rsidR="00680E00">
        <w:rPr>
          <w:rFonts w:asciiTheme="minorHAnsi" w:hAnsiTheme="minorHAnsi" w:cstheme="minorBidi"/>
          <w:sz w:val="22"/>
          <w:szCs w:val="22"/>
        </w:rPr>
        <w:t>ed that</w:t>
      </w:r>
      <w:r w:rsidRPr="614B95BE">
        <w:rPr>
          <w:rFonts w:asciiTheme="minorHAnsi" w:hAnsiTheme="minorHAnsi" w:cstheme="minorBidi"/>
          <w:sz w:val="22"/>
          <w:szCs w:val="22"/>
        </w:rPr>
        <w:t xml:space="preserve"> the Agency consider published drift deposition data for thiamethoxam as an alternative to the AgDRIFT estimates to further refine environmental exposure predictions.</w:t>
      </w:r>
    </w:p>
    <w:p w14:paraId="59558AC7" w14:textId="41B9E31D" w:rsidR="00357AEB" w:rsidRDefault="00357AEB" w:rsidP="005859DB">
      <w:pPr>
        <w:pStyle w:val="Default"/>
        <w:rPr>
          <w:rFonts w:asciiTheme="minorHAnsi" w:hAnsiTheme="minorHAnsi" w:cstheme="minorBidi"/>
          <w:sz w:val="22"/>
          <w:szCs w:val="22"/>
        </w:rPr>
      </w:pPr>
    </w:p>
    <w:p w14:paraId="1D3649DC" w14:textId="75E30914" w:rsidR="00335B75" w:rsidRDefault="00846FCE" w:rsidP="005859DB">
      <w:pPr>
        <w:pStyle w:val="Default"/>
        <w:rPr>
          <w:rFonts w:ascii="Calibri" w:hAnsi="Calibri" w:cs="Calibri"/>
          <w:sz w:val="22"/>
          <w:szCs w:val="22"/>
        </w:rPr>
      </w:pPr>
      <w:r w:rsidRPr="614B95BE">
        <w:rPr>
          <w:rFonts w:asciiTheme="minorHAnsi" w:hAnsiTheme="minorHAnsi" w:cstheme="minorBidi"/>
          <w:b/>
          <w:bCs/>
          <w:sz w:val="22"/>
          <w:szCs w:val="22"/>
        </w:rPr>
        <w:t>EPA</w:t>
      </w:r>
      <w:r w:rsidR="00357AEB" w:rsidRPr="614B95BE">
        <w:rPr>
          <w:rFonts w:asciiTheme="minorHAnsi" w:hAnsiTheme="minorHAnsi" w:cstheme="minorBidi"/>
          <w:b/>
          <w:bCs/>
          <w:sz w:val="22"/>
          <w:szCs w:val="22"/>
        </w:rPr>
        <w:t xml:space="preserve"> Response:</w:t>
      </w:r>
      <w:r w:rsidR="00357AEB" w:rsidRPr="614B95BE">
        <w:rPr>
          <w:rFonts w:asciiTheme="minorHAnsi" w:hAnsiTheme="minorHAnsi" w:cstheme="minorBidi"/>
          <w:sz w:val="22"/>
          <w:szCs w:val="22"/>
        </w:rPr>
        <w:t xml:space="preserve"> </w:t>
      </w:r>
      <w:r w:rsidR="00E14B42">
        <w:rPr>
          <w:rFonts w:ascii="Calibri" w:hAnsi="Calibri" w:cs="Calibri"/>
          <w:i/>
          <w:sz w:val="22"/>
          <w:szCs w:val="22"/>
        </w:rPr>
        <w:t>EPA</w:t>
      </w:r>
      <w:r w:rsidR="00335B75" w:rsidRPr="0067789F">
        <w:rPr>
          <w:rFonts w:ascii="Calibri" w:hAnsi="Calibri" w:cs="Calibri"/>
          <w:i/>
          <w:sz w:val="22"/>
          <w:szCs w:val="22"/>
        </w:rPr>
        <w:t xml:space="preserve"> appreciates Syngenta referencing the thiamethoxam open literature study on field drift. This study is specific to the </w:t>
      </w:r>
      <w:proofErr w:type="spellStart"/>
      <w:r w:rsidR="00335B75" w:rsidRPr="0067789F">
        <w:rPr>
          <w:rFonts w:ascii="Calibri" w:hAnsi="Calibri" w:cs="Calibri"/>
          <w:i/>
          <w:sz w:val="22"/>
          <w:szCs w:val="22"/>
        </w:rPr>
        <w:t>Actara</w:t>
      </w:r>
      <w:proofErr w:type="spellEnd"/>
      <w:r w:rsidR="00335B75" w:rsidRPr="0067789F">
        <w:rPr>
          <w:rFonts w:ascii="Calibri" w:hAnsi="Calibri" w:cs="Calibri"/>
          <w:i/>
          <w:sz w:val="22"/>
          <w:szCs w:val="22"/>
        </w:rPr>
        <w:t>® 25WG formulation with the specific nozzle types identified. As other combinations of thiamethoxam formulations and nozzle types are possible, us</w:t>
      </w:r>
      <w:r w:rsidR="001D5F05">
        <w:rPr>
          <w:rFonts w:ascii="Calibri" w:hAnsi="Calibri" w:cs="Calibri"/>
          <w:i/>
          <w:sz w:val="22"/>
          <w:szCs w:val="22"/>
        </w:rPr>
        <w:t xml:space="preserve">ing </w:t>
      </w:r>
      <w:r w:rsidR="001155EC">
        <w:rPr>
          <w:rFonts w:ascii="Calibri" w:hAnsi="Calibri" w:cs="Calibri"/>
          <w:i/>
          <w:sz w:val="22"/>
          <w:szCs w:val="22"/>
        </w:rPr>
        <w:t xml:space="preserve">the results from </w:t>
      </w:r>
      <w:r w:rsidR="00335B75" w:rsidRPr="0067789F">
        <w:rPr>
          <w:rFonts w:ascii="Calibri" w:hAnsi="Calibri" w:cs="Calibri"/>
          <w:i/>
          <w:sz w:val="22"/>
          <w:szCs w:val="22"/>
        </w:rPr>
        <w:t>this study for exposure modeling in a national-level assessment, conducted using maximum application rates, limitations, and instructions listed on pesticide labels, would be inappropriate. In the absence of specific use directions and application restrictions implemented across all registered product labels, default assumptions (based on empirical data) and the AgDRIFT model are used to estimate spray drift.</w:t>
      </w:r>
    </w:p>
    <w:p w14:paraId="6CA0E296" w14:textId="77777777" w:rsidR="00811906" w:rsidRDefault="00811906" w:rsidP="005859DB">
      <w:pPr>
        <w:pStyle w:val="Default"/>
        <w:rPr>
          <w:rFonts w:asciiTheme="minorHAnsi" w:hAnsiTheme="minorHAnsi" w:cstheme="minorBidi"/>
          <w:sz w:val="22"/>
          <w:szCs w:val="22"/>
        </w:rPr>
      </w:pPr>
    </w:p>
    <w:p w14:paraId="1D8F03D0" w14:textId="2B8718A2" w:rsidR="00384788" w:rsidRDefault="45AC70E8" w:rsidP="2A3AE54D">
      <w:pPr>
        <w:pStyle w:val="Default"/>
        <w:rPr>
          <w:rFonts w:asciiTheme="minorHAnsi" w:hAnsiTheme="minorHAnsi" w:cstheme="minorBidi"/>
          <w:sz w:val="22"/>
          <w:szCs w:val="22"/>
        </w:rPr>
      </w:pPr>
      <w:r w:rsidRPr="2A3AE54D">
        <w:rPr>
          <w:rFonts w:asciiTheme="minorHAnsi" w:hAnsiTheme="minorHAnsi" w:cstheme="minorBidi"/>
          <w:b/>
          <w:bCs/>
          <w:sz w:val="22"/>
          <w:szCs w:val="22"/>
        </w:rPr>
        <w:t>Comment</w:t>
      </w:r>
      <w:r w:rsidR="6C899A6F" w:rsidRPr="2A3AE54D">
        <w:rPr>
          <w:rFonts w:asciiTheme="minorHAnsi" w:hAnsiTheme="minorHAnsi" w:cstheme="minorBidi"/>
          <w:b/>
          <w:bCs/>
          <w:sz w:val="22"/>
          <w:szCs w:val="22"/>
        </w:rPr>
        <w:t>:</w:t>
      </w:r>
      <w:r w:rsidRPr="2A3AE54D">
        <w:rPr>
          <w:rFonts w:asciiTheme="minorHAnsi" w:hAnsiTheme="minorHAnsi" w:cstheme="minorBidi"/>
          <w:sz w:val="22"/>
          <w:szCs w:val="22"/>
        </w:rPr>
        <w:t xml:space="preserve"> </w:t>
      </w:r>
      <w:r w:rsidR="2F1E05A7" w:rsidRPr="2A3AE54D">
        <w:rPr>
          <w:rFonts w:asciiTheme="minorHAnsi" w:hAnsiTheme="minorHAnsi" w:cstheme="minorBidi"/>
          <w:sz w:val="22"/>
          <w:szCs w:val="22"/>
        </w:rPr>
        <w:t xml:space="preserve">The Agency identified both thiamethoxam and its primary degradant clothianidin as residues of concern for terrestrial and aquatic organisms and used the lowest effects endpoints from either clothianidin or thiamethoxam studies as input values to the MAGtool. Clothianidin is more toxic than thiamethoxam to several terrestrial and aquatic taxa, leading to an overestimation of effects to listed species. Although clothianidin can be considered a degradate of concern, the contribution of clothianidin from a thiamethoxam application for exposure to terrestrial and aquatic wildlife is relatively low, especially at the time of application. Therefore, </w:t>
      </w:r>
      <w:r w:rsidR="3A97B1C7" w:rsidRPr="2A3AE54D">
        <w:rPr>
          <w:rFonts w:asciiTheme="minorHAnsi" w:hAnsiTheme="minorHAnsi" w:cstheme="minorBidi"/>
          <w:sz w:val="22"/>
          <w:szCs w:val="22"/>
        </w:rPr>
        <w:t xml:space="preserve">it was </w:t>
      </w:r>
      <w:r w:rsidR="2F1E05A7" w:rsidRPr="2A3AE54D">
        <w:rPr>
          <w:rFonts w:asciiTheme="minorHAnsi" w:hAnsiTheme="minorHAnsi" w:cstheme="minorBidi"/>
          <w:sz w:val="22"/>
          <w:szCs w:val="22"/>
        </w:rPr>
        <w:t>recommend</w:t>
      </w:r>
      <w:r w:rsidR="3A97B1C7" w:rsidRPr="2A3AE54D">
        <w:rPr>
          <w:rFonts w:asciiTheme="minorHAnsi" w:hAnsiTheme="minorHAnsi" w:cstheme="minorBidi"/>
          <w:sz w:val="22"/>
          <w:szCs w:val="22"/>
        </w:rPr>
        <w:t>ed</w:t>
      </w:r>
      <w:r w:rsidR="2F1E05A7" w:rsidRPr="2A3AE54D">
        <w:rPr>
          <w:rFonts w:asciiTheme="minorHAnsi" w:hAnsiTheme="minorHAnsi" w:cstheme="minorBidi"/>
          <w:sz w:val="22"/>
          <w:szCs w:val="22"/>
        </w:rPr>
        <w:t xml:space="preserve"> that only thiamethoxam effects endpoints be used as input values to the MAGtool.</w:t>
      </w:r>
    </w:p>
    <w:p w14:paraId="39886C5D" w14:textId="41B20387" w:rsidR="007223C6" w:rsidRDefault="007223C6" w:rsidP="005859DB">
      <w:pPr>
        <w:pStyle w:val="Default"/>
        <w:rPr>
          <w:rFonts w:asciiTheme="minorHAnsi" w:hAnsiTheme="minorHAnsi" w:cstheme="minorBidi"/>
          <w:sz w:val="22"/>
          <w:szCs w:val="22"/>
        </w:rPr>
      </w:pPr>
    </w:p>
    <w:p w14:paraId="47E00AE1" w14:textId="7C12F4B0" w:rsidR="00A540BC" w:rsidRDefault="00846FCE" w:rsidP="005859DB">
      <w:pPr>
        <w:pStyle w:val="Default"/>
        <w:rPr>
          <w:rFonts w:asciiTheme="minorHAnsi" w:hAnsiTheme="minorHAnsi" w:cstheme="minorBidi"/>
          <w:i/>
          <w:sz w:val="22"/>
          <w:szCs w:val="22"/>
        </w:rPr>
      </w:pPr>
      <w:r w:rsidRPr="614B95BE">
        <w:rPr>
          <w:rFonts w:asciiTheme="minorHAnsi" w:hAnsiTheme="minorHAnsi" w:cstheme="minorBidi"/>
          <w:b/>
          <w:bCs/>
          <w:sz w:val="22"/>
          <w:szCs w:val="22"/>
        </w:rPr>
        <w:lastRenderedPageBreak/>
        <w:t>EPA</w:t>
      </w:r>
      <w:r w:rsidR="007223C6" w:rsidRPr="614B95BE">
        <w:rPr>
          <w:rFonts w:asciiTheme="minorHAnsi" w:hAnsiTheme="minorHAnsi" w:cstheme="minorBidi"/>
          <w:b/>
          <w:bCs/>
          <w:sz w:val="22"/>
          <w:szCs w:val="22"/>
        </w:rPr>
        <w:t xml:space="preserve"> Response:</w:t>
      </w:r>
      <w:r w:rsidR="007223C6" w:rsidRPr="614B95BE">
        <w:rPr>
          <w:rFonts w:asciiTheme="minorHAnsi" w:hAnsiTheme="minorHAnsi" w:cstheme="minorBidi"/>
          <w:sz w:val="22"/>
          <w:szCs w:val="22"/>
        </w:rPr>
        <w:t xml:space="preserve"> </w:t>
      </w:r>
      <w:r w:rsidR="00A540BC" w:rsidRPr="002F6C95">
        <w:rPr>
          <w:rFonts w:asciiTheme="minorHAnsi" w:hAnsiTheme="minorHAnsi" w:cstheme="minorBidi"/>
          <w:b/>
          <w:bCs/>
          <w:i/>
          <w:sz w:val="22"/>
          <w:szCs w:val="22"/>
        </w:rPr>
        <w:t>Chapters 2 and 3</w:t>
      </w:r>
      <w:r w:rsidR="00A540BC">
        <w:rPr>
          <w:rFonts w:asciiTheme="minorHAnsi" w:hAnsiTheme="minorHAnsi" w:cstheme="minorBidi"/>
          <w:i/>
          <w:sz w:val="22"/>
          <w:szCs w:val="22"/>
        </w:rPr>
        <w:t xml:space="preserve"> of the </w:t>
      </w:r>
      <w:r w:rsidR="00A540BC" w:rsidRPr="0067789F">
        <w:rPr>
          <w:rFonts w:asciiTheme="minorHAnsi" w:hAnsiTheme="minorHAnsi" w:cstheme="minorBidi"/>
          <w:i/>
          <w:sz w:val="22"/>
          <w:szCs w:val="22"/>
        </w:rPr>
        <w:t>thiamethoxam</w:t>
      </w:r>
      <w:r w:rsidR="00A540BC">
        <w:rPr>
          <w:rFonts w:asciiTheme="minorHAnsi" w:hAnsiTheme="minorHAnsi" w:cstheme="minorBidi"/>
          <w:i/>
          <w:sz w:val="22"/>
          <w:szCs w:val="22"/>
        </w:rPr>
        <w:t xml:space="preserve"> BE</w:t>
      </w:r>
      <w:r w:rsidR="00A540BC" w:rsidRPr="0067789F">
        <w:rPr>
          <w:rFonts w:asciiTheme="minorHAnsi" w:hAnsiTheme="minorHAnsi" w:cstheme="minorBidi"/>
          <w:i/>
          <w:sz w:val="22"/>
          <w:szCs w:val="22"/>
        </w:rPr>
        <w:t xml:space="preserve"> </w:t>
      </w:r>
      <w:r w:rsidR="00EA1966" w:rsidRPr="0067789F">
        <w:rPr>
          <w:rFonts w:asciiTheme="minorHAnsi" w:hAnsiTheme="minorHAnsi" w:cstheme="minorBidi"/>
          <w:i/>
          <w:sz w:val="22"/>
          <w:szCs w:val="22"/>
        </w:rPr>
        <w:t xml:space="preserve">provided </w:t>
      </w:r>
      <w:r w:rsidR="00A540BC">
        <w:rPr>
          <w:rFonts w:asciiTheme="minorHAnsi" w:hAnsiTheme="minorHAnsi" w:cstheme="minorBidi"/>
          <w:i/>
          <w:sz w:val="22"/>
          <w:szCs w:val="22"/>
        </w:rPr>
        <w:t xml:space="preserve">the reasoning for relying upon thiamethoxam and clothianidin endpoints interchangeably. To summarize, several of the main points are: </w:t>
      </w:r>
    </w:p>
    <w:p w14:paraId="64D27496" w14:textId="2EA54845" w:rsidR="00A540BC" w:rsidRDefault="00A540BC" w:rsidP="005859DB">
      <w:pPr>
        <w:pStyle w:val="Default"/>
        <w:numPr>
          <w:ilvl w:val="0"/>
          <w:numId w:val="58"/>
        </w:numPr>
        <w:rPr>
          <w:rFonts w:asciiTheme="minorHAnsi" w:hAnsiTheme="minorHAnsi" w:cstheme="minorBidi"/>
          <w:i/>
          <w:sz w:val="22"/>
          <w:szCs w:val="22"/>
        </w:rPr>
      </w:pPr>
      <w:r>
        <w:rPr>
          <w:rFonts w:asciiTheme="minorHAnsi" w:hAnsiTheme="minorHAnsi" w:cstheme="minorBidi"/>
          <w:i/>
          <w:sz w:val="22"/>
          <w:szCs w:val="22"/>
        </w:rPr>
        <w:t>B</w:t>
      </w:r>
      <w:r w:rsidRPr="0067789F">
        <w:rPr>
          <w:rFonts w:asciiTheme="minorHAnsi" w:hAnsiTheme="minorHAnsi" w:cstheme="minorBidi"/>
          <w:i/>
          <w:sz w:val="22"/>
          <w:szCs w:val="22"/>
        </w:rPr>
        <w:t xml:space="preserve">oth thiamethoxam and clothianidin are considered residues of concern for terrestrial and aquatic organisms in </w:t>
      </w:r>
      <w:r>
        <w:rPr>
          <w:rFonts w:asciiTheme="minorHAnsi" w:hAnsiTheme="minorHAnsi" w:cstheme="minorBidi"/>
          <w:i/>
          <w:sz w:val="22"/>
          <w:szCs w:val="22"/>
        </w:rPr>
        <w:t>the thiamethoxam</w:t>
      </w:r>
      <w:r w:rsidRPr="0067789F">
        <w:rPr>
          <w:rFonts w:asciiTheme="minorHAnsi" w:hAnsiTheme="minorHAnsi" w:cstheme="minorBidi"/>
          <w:i/>
          <w:sz w:val="22"/>
          <w:szCs w:val="22"/>
        </w:rPr>
        <w:t xml:space="preserve"> BE. </w:t>
      </w:r>
      <w:r>
        <w:rPr>
          <w:rFonts w:asciiTheme="minorHAnsi" w:hAnsiTheme="minorHAnsi" w:cstheme="minorBidi"/>
          <w:i/>
          <w:sz w:val="22"/>
          <w:szCs w:val="22"/>
        </w:rPr>
        <w:t xml:space="preserve">This was based upon the fate and transport of the chemicals: </w:t>
      </w:r>
    </w:p>
    <w:p w14:paraId="55D83E7C" w14:textId="034763F6" w:rsidR="00A540BC" w:rsidRDefault="00EA1966" w:rsidP="00BA2C46">
      <w:pPr>
        <w:pStyle w:val="Default"/>
        <w:numPr>
          <w:ilvl w:val="1"/>
          <w:numId w:val="58"/>
        </w:numPr>
        <w:rPr>
          <w:rFonts w:asciiTheme="minorHAnsi" w:hAnsiTheme="minorHAnsi" w:cstheme="minorBidi"/>
          <w:i/>
          <w:sz w:val="22"/>
          <w:szCs w:val="22"/>
        </w:rPr>
      </w:pPr>
      <w:r w:rsidRPr="0067789F">
        <w:rPr>
          <w:rFonts w:asciiTheme="minorHAnsi" w:hAnsiTheme="minorHAnsi" w:cstheme="minorBidi"/>
          <w:i/>
          <w:sz w:val="22"/>
          <w:szCs w:val="22"/>
        </w:rPr>
        <w:t xml:space="preserve">Thiamethoxam degrades to clothianidin, </w:t>
      </w:r>
      <w:r w:rsidR="00572553" w:rsidRPr="0067789F">
        <w:rPr>
          <w:rFonts w:asciiTheme="minorHAnsi" w:hAnsiTheme="minorHAnsi" w:cstheme="minorBidi"/>
          <w:i/>
          <w:sz w:val="22"/>
          <w:szCs w:val="22"/>
        </w:rPr>
        <w:t>and both active ingredients</w:t>
      </w:r>
      <w:r w:rsidRPr="0067789F">
        <w:rPr>
          <w:rFonts w:asciiTheme="minorHAnsi" w:hAnsiTheme="minorHAnsi" w:cstheme="minorBidi"/>
          <w:i/>
          <w:sz w:val="22"/>
          <w:szCs w:val="22"/>
        </w:rPr>
        <w:t xml:space="preserve"> share similar environmental fate characteristics and show similar behavior in the environment. </w:t>
      </w:r>
    </w:p>
    <w:p w14:paraId="71B29526" w14:textId="77777777" w:rsidR="00A540BC" w:rsidRDefault="00EA1966" w:rsidP="00BA2C46">
      <w:pPr>
        <w:pStyle w:val="Default"/>
        <w:numPr>
          <w:ilvl w:val="1"/>
          <w:numId w:val="58"/>
        </w:numPr>
        <w:rPr>
          <w:rFonts w:asciiTheme="minorHAnsi" w:hAnsiTheme="minorHAnsi" w:cstheme="minorBidi"/>
          <w:i/>
          <w:sz w:val="22"/>
          <w:szCs w:val="22"/>
        </w:rPr>
      </w:pPr>
      <w:r w:rsidRPr="0067789F">
        <w:rPr>
          <w:rFonts w:asciiTheme="minorHAnsi" w:hAnsiTheme="minorHAnsi" w:cstheme="minorBidi"/>
          <w:i/>
          <w:sz w:val="22"/>
          <w:szCs w:val="22"/>
        </w:rPr>
        <w:t xml:space="preserve">Available fate and residue data of thiamethoxam indicate that the major route of formation of clothianidin (as a degradate) is from metabolism of thiamethoxam within plants. </w:t>
      </w:r>
    </w:p>
    <w:p w14:paraId="7B42F619" w14:textId="77777777" w:rsidR="00A540BC" w:rsidRDefault="00EA1966" w:rsidP="00BA2C46">
      <w:pPr>
        <w:pStyle w:val="Default"/>
        <w:numPr>
          <w:ilvl w:val="1"/>
          <w:numId w:val="58"/>
        </w:numPr>
        <w:rPr>
          <w:rFonts w:asciiTheme="minorHAnsi" w:hAnsiTheme="minorHAnsi" w:cstheme="minorBidi"/>
          <w:i/>
          <w:sz w:val="22"/>
          <w:szCs w:val="22"/>
        </w:rPr>
      </w:pPr>
      <w:r w:rsidRPr="0067789F">
        <w:rPr>
          <w:rFonts w:asciiTheme="minorHAnsi" w:hAnsiTheme="minorHAnsi" w:cstheme="minorBidi"/>
          <w:i/>
          <w:sz w:val="22"/>
          <w:szCs w:val="22"/>
        </w:rPr>
        <w:t xml:space="preserve">Clothianidin is also a major degradate in three of eight aerobic soil metabolism studies and one of two anaerobic soil metabolism studies. </w:t>
      </w:r>
    </w:p>
    <w:p w14:paraId="4AE37692" w14:textId="15D24D38" w:rsidR="00A540BC" w:rsidRDefault="00EA1966" w:rsidP="005859DB">
      <w:pPr>
        <w:pStyle w:val="Default"/>
        <w:numPr>
          <w:ilvl w:val="1"/>
          <w:numId w:val="58"/>
        </w:numPr>
        <w:rPr>
          <w:rFonts w:asciiTheme="minorHAnsi" w:hAnsiTheme="minorHAnsi" w:cstheme="minorBidi"/>
          <w:i/>
          <w:sz w:val="22"/>
          <w:szCs w:val="22"/>
        </w:rPr>
      </w:pPr>
      <w:r w:rsidRPr="0067789F">
        <w:rPr>
          <w:rFonts w:asciiTheme="minorHAnsi" w:hAnsiTheme="minorHAnsi" w:cstheme="minorBidi"/>
          <w:i/>
          <w:sz w:val="22"/>
          <w:szCs w:val="22"/>
        </w:rPr>
        <w:t xml:space="preserve">Clothianidin is also formed under field conditions as it is detected in terrestrial field dissipation studies. </w:t>
      </w:r>
    </w:p>
    <w:p w14:paraId="62D8C483" w14:textId="2A3FD8A1" w:rsidR="00A540BC" w:rsidRDefault="00EA1966" w:rsidP="005859DB">
      <w:pPr>
        <w:pStyle w:val="Default"/>
        <w:numPr>
          <w:ilvl w:val="0"/>
          <w:numId w:val="58"/>
        </w:numPr>
        <w:rPr>
          <w:rFonts w:asciiTheme="minorHAnsi" w:hAnsiTheme="minorHAnsi" w:cstheme="minorBidi"/>
          <w:i/>
          <w:sz w:val="22"/>
          <w:szCs w:val="22"/>
        </w:rPr>
      </w:pPr>
      <w:r w:rsidRPr="0067789F">
        <w:rPr>
          <w:rFonts w:asciiTheme="minorHAnsi" w:hAnsiTheme="minorHAnsi" w:cstheme="minorBidi"/>
          <w:i/>
          <w:sz w:val="22"/>
          <w:szCs w:val="22"/>
        </w:rPr>
        <w:t>E</w:t>
      </w:r>
      <w:r w:rsidR="00FA094D">
        <w:rPr>
          <w:rFonts w:asciiTheme="minorHAnsi" w:hAnsiTheme="minorHAnsi" w:cstheme="minorBidi"/>
          <w:i/>
          <w:sz w:val="22"/>
          <w:szCs w:val="22"/>
        </w:rPr>
        <w:t>PA</w:t>
      </w:r>
      <w:r w:rsidRPr="0067789F">
        <w:rPr>
          <w:rFonts w:asciiTheme="minorHAnsi" w:hAnsiTheme="minorHAnsi" w:cstheme="minorBidi"/>
          <w:i/>
          <w:sz w:val="22"/>
          <w:szCs w:val="22"/>
        </w:rPr>
        <w:t xml:space="preserve"> does not have a threshold for what factor difference in toxicity would represent a significant difference in toxicity; however, the weight of evidence presented in the BE indicates that the toxicity of the two chemicals is similar. </w:t>
      </w:r>
    </w:p>
    <w:p w14:paraId="653E206B" w14:textId="722B5D65" w:rsidR="007223C6" w:rsidRPr="0067789F" w:rsidRDefault="00EA1966" w:rsidP="00BA2C46">
      <w:pPr>
        <w:pStyle w:val="Default"/>
        <w:numPr>
          <w:ilvl w:val="0"/>
          <w:numId w:val="58"/>
        </w:numPr>
        <w:rPr>
          <w:rFonts w:asciiTheme="minorHAnsi" w:hAnsiTheme="minorHAnsi" w:cstheme="minorBidi"/>
          <w:i/>
          <w:sz w:val="22"/>
          <w:szCs w:val="22"/>
        </w:rPr>
      </w:pPr>
      <w:r w:rsidRPr="0067789F">
        <w:rPr>
          <w:rFonts w:asciiTheme="minorHAnsi" w:hAnsiTheme="minorHAnsi" w:cstheme="minorBidi"/>
          <w:i/>
          <w:sz w:val="22"/>
          <w:szCs w:val="22"/>
        </w:rPr>
        <w:t xml:space="preserve">As part of the weight of evidence, EPA also considered alternative endpoints, which represent less conservative assumptions. </w:t>
      </w:r>
      <w:proofErr w:type="gramStart"/>
      <w:r w:rsidR="00A540BC">
        <w:rPr>
          <w:rFonts w:asciiTheme="minorHAnsi" w:hAnsiTheme="minorHAnsi" w:cstheme="minorBidi"/>
          <w:i/>
          <w:sz w:val="22"/>
          <w:szCs w:val="22"/>
        </w:rPr>
        <w:t>In particular, f</w:t>
      </w:r>
      <w:r w:rsidR="00A540BC" w:rsidRPr="0067789F">
        <w:rPr>
          <w:rFonts w:asciiTheme="minorHAnsi" w:hAnsiTheme="minorHAnsi" w:cstheme="minorBidi"/>
          <w:i/>
          <w:sz w:val="22"/>
          <w:szCs w:val="22"/>
        </w:rPr>
        <w:t>or</w:t>
      </w:r>
      <w:proofErr w:type="gramEnd"/>
      <w:r w:rsidR="00A540BC" w:rsidRPr="0067789F">
        <w:rPr>
          <w:rFonts w:asciiTheme="minorHAnsi" w:hAnsiTheme="minorHAnsi" w:cstheme="minorBidi"/>
          <w:i/>
          <w:sz w:val="22"/>
          <w:szCs w:val="22"/>
        </w:rPr>
        <w:t xml:space="preserve"> </w:t>
      </w:r>
      <w:r w:rsidRPr="0067789F">
        <w:rPr>
          <w:rFonts w:asciiTheme="minorHAnsi" w:hAnsiTheme="minorHAnsi" w:cstheme="minorBidi"/>
          <w:i/>
          <w:sz w:val="22"/>
          <w:szCs w:val="22"/>
        </w:rPr>
        <w:t>endpoints where clothianidin was the most sensitive,</w:t>
      </w:r>
      <w:r w:rsidR="00A540BC">
        <w:rPr>
          <w:rFonts w:asciiTheme="minorHAnsi" w:hAnsiTheme="minorHAnsi" w:cstheme="minorBidi"/>
          <w:i/>
          <w:sz w:val="22"/>
          <w:szCs w:val="22"/>
        </w:rPr>
        <w:t xml:space="preserve"> the</w:t>
      </w:r>
      <w:r w:rsidRPr="0067789F">
        <w:rPr>
          <w:rFonts w:asciiTheme="minorHAnsi" w:hAnsiTheme="minorHAnsi" w:cstheme="minorBidi"/>
          <w:i/>
          <w:sz w:val="22"/>
          <w:szCs w:val="22"/>
        </w:rPr>
        <w:t xml:space="preserve"> thiamethoxam</w:t>
      </w:r>
      <w:r w:rsidR="00401CCA">
        <w:rPr>
          <w:rFonts w:asciiTheme="minorHAnsi" w:hAnsiTheme="minorHAnsi" w:cstheme="minorBidi"/>
          <w:i/>
          <w:sz w:val="22"/>
          <w:szCs w:val="22"/>
        </w:rPr>
        <w:t>-</w:t>
      </w:r>
      <w:r w:rsidR="00A540BC">
        <w:rPr>
          <w:rFonts w:asciiTheme="minorHAnsi" w:hAnsiTheme="minorHAnsi" w:cstheme="minorBidi"/>
          <w:i/>
          <w:sz w:val="22"/>
          <w:szCs w:val="22"/>
        </w:rPr>
        <w:t xml:space="preserve">based endpoint </w:t>
      </w:r>
      <w:r w:rsidRPr="0067789F">
        <w:rPr>
          <w:rFonts w:asciiTheme="minorHAnsi" w:hAnsiTheme="minorHAnsi" w:cstheme="minorBidi"/>
          <w:i/>
          <w:sz w:val="22"/>
          <w:szCs w:val="22"/>
        </w:rPr>
        <w:t>was used as the alternative endpoint.</w:t>
      </w:r>
    </w:p>
    <w:p w14:paraId="6FFEF773" w14:textId="2367F628" w:rsidR="00EF4225" w:rsidRDefault="00EF4225" w:rsidP="005859DB">
      <w:pPr>
        <w:pStyle w:val="Default"/>
        <w:rPr>
          <w:rFonts w:asciiTheme="minorHAnsi" w:hAnsiTheme="minorHAnsi" w:cstheme="minorBidi"/>
          <w:sz w:val="22"/>
          <w:szCs w:val="22"/>
        </w:rPr>
      </w:pPr>
    </w:p>
    <w:p w14:paraId="6AADDFA4" w14:textId="22F4229F" w:rsidR="0005701A" w:rsidRPr="0005701A" w:rsidRDefault="00EF4225" w:rsidP="005859DB">
      <w:pPr>
        <w:pStyle w:val="Default"/>
        <w:rPr>
          <w:rFonts w:asciiTheme="minorHAnsi" w:hAnsiTheme="minorHAnsi" w:cstheme="minorBidi"/>
          <w:sz w:val="22"/>
          <w:szCs w:val="22"/>
        </w:rPr>
      </w:pPr>
      <w:r w:rsidRPr="614B95BE">
        <w:rPr>
          <w:rFonts w:asciiTheme="minorHAnsi" w:hAnsiTheme="minorHAnsi" w:cstheme="minorBidi"/>
          <w:b/>
          <w:bCs/>
          <w:sz w:val="22"/>
          <w:szCs w:val="22"/>
        </w:rPr>
        <w:t>Comment</w:t>
      </w:r>
      <w:r w:rsidR="00510478">
        <w:rPr>
          <w:rFonts w:asciiTheme="minorHAnsi" w:hAnsiTheme="minorHAnsi" w:cstheme="minorBidi"/>
          <w:b/>
          <w:bCs/>
          <w:sz w:val="22"/>
          <w:szCs w:val="22"/>
        </w:rPr>
        <w:t>:</w:t>
      </w:r>
      <w:r w:rsidRPr="614B95BE">
        <w:rPr>
          <w:rFonts w:asciiTheme="minorHAnsi" w:hAnsiTheme="minorHAnsi" w:cstheme="minorBidi"/>
          <w:sz w:val="22"/>
          <w:szCs w:val="22"/>
        </w:rPr>
        <w:t xml:space="preserve"> </w:t>
      </w:r>
      <w:r w:rsidR="0005701A" w:rsidRPr="614B95BE">
        <w:rPr>
          <w:rFonts w:asciiTheme="minorHAnsi" w:hAnsiTheme="minorHAnsi" w:cstheme="minorBidi"/>
          <w:sz w:val="22"/>
          <w:szCs w:val="22"/>
        </w:rPr>
        <w:t xml:space="preserve">Aquatic invertebrates outside the </w:t>
      </w:r>
      <w:r w:rsidR="00C04D5A">
        <w:rPr>
          <w:rFonts w:asciiTheme="minorHAnsi" w:hAnsiTheme="minorHAnsi" w:cstheme="minorBidi"/>
          <w:sz w:val="22"/>
          <w:szCs w:val="22"/>
        </w:rPr>
        <w:t>c</w:t>
      </w:r>
      <w:r w:rsidR="0005701A" w:rsidRPr="614B95BE">
        <w:rPr>
          <w:rFonts w:asciiTheme="minorHAnsi" w:hAnsiTheme="minorHAnsi" w:cstheme="minorBidi"/>
          <w:sz w:val="22"/>
          <w:szCs w:val="22"/>
        </w:rPr>
        <w:t xml:space="preserve">lass </w:t>
      </w:r>
      <w:proofErr w:type="spellStart"/>
      <w:r w:rsidR="0005701A" w:rsidRPr="614B95BE">
        <w:rPr>
          <w:rFonts w:asciiTheme="minorHAnsi" w:hAnsiTheme="minorHAnsi" w:cstheme="minorBidi"/>
          <w:sz w:val="22"/>
          <w:szCs w:val="22"/>
        </w:rPr>
        <w:t>Insecta</w:t>
      </w:r>
      <w:proofErr w:type="spellEnd"/>
      <w:r w:rsidR="0005701A" w:rsidRPr="614B95BE">
        <w:rPr>
          <w:rFonts w:asciiTheme="minorHAnsi" w:hAnsiTheme="minorHAnsi" w:cstheme="minorBidi"/>
          <w:sz w:val="22"/>
          <w:szCs w:val="22"/>
        </w:rPr>
        <w:t xml:space="preserve"> are less sensitive to thiamethoxam than aquatic insects. Sufficient data are available to generate a species sensitivity distribution (SSD). The </w:t>
      </w:r>
      <w:r w:rsidR="0014655B" w:rsidRPr="614B95BE">
        <w:rPr>
          <w:rFonts w:asciiTheme="minorHAnsi" w:hAnsiTheme="minorHAnsi" w:cstheme="minorBidi"/>
          <w:sz w:val="22"/>
          <w:szCs w:val="22"/>
        </w:rPr>
        <w:t>HC</w:t>
      </w:r>
      <w:r w:rsidR="0014655B" w:rsidRPr="0014655B">
        <w:rPr>
          <w:rFonts w:asciiTheme="minorHAnsi" w:hAnsiTheme="minorHAnsi" w:cstheme="minorBidi"/>
          <w:sz w:val="22"/>
          <w:szCs w:val="22"/>
          <w:vertAlign w:val="subscript"/>
        </w:rPr>
        <w:t>05</w:t>
      </w:r>
      <w:r w:rsidR="0005701A" w:rsidRPr="614B95BE">
        <w:rPr>
          <w:rFonts w:asciiTheme="minorHAnsi" w:hAnsiTheme="minorHAnsi" w:cstheme="minorBidi"/>
          <w:sz w:val="22"/>
          <w:szCs w:val="22"/>
        </w:rPr>
        <w:t xml:space="preserve"> for aquatic invertebrates outside the </w:t>
      </w:r>
      <w:r w:rsidR="00C04D5A">
        <w:rPr>
          <w:rFonts w:asciiTheme="minorHAnsi" w:hAnsiTheme="minorHAnsi" w:cstheme="minorBidi"/>
          <w:sz w:val="22"/>
          <w:szCs w:val="22"/>
        </w:rPr>
        <w:t>c</w:t>
      </w:r>
      <w:r w:rsidR="0005701A" w:rsidRPr="614B95BE">
        <w:rPr>
          <w:rFonts w:asciiTheme="minorHAnsi" w:hAnsiTheme="minorHAnsi" w:cstheme="minorBidi"/>
          <w:sz w:val="22"/>
          <w:szCs w:val="22"/>
        </w:rPr>
        <w:t xml:space="preserve">lass </w:t>
      </w:r>
      <w:proofErr w:type="spellStart"/>
      <w:r w:rsidR="0005701A" w:rsidRPr="614B95BE">
        <w:rPr>
          <w:rFonts w:asciiTheme="minorHAnsi" w:hAnsiTheme="minorHAnsi" w:cstheme="minorBidi"/>
          <w:sz w:val="22"/>
          <w:szCs w:val="22"/>
        </w:rPr>
        <w:t>Insecta</w:t>
      </w:r>
      <w:proofErr w:type="spellEnd"/>
      <w:r w:rsidR="0005701A" w:rsidRPr="614B95BE">
        <w:rPr>
          <w:rFonts w:asciiTheme="minorHAnsi" w:hAnsiTheme="minorHAnsi" w:cstheme="minorBidi"/>
          <w:sz w:val="22"/>
          <w:szCs w:val="22"/>
        </w:rPr>
        <w:t xml:space="preserve"> was determined to be 106.1 </w:t>
      </w:r>
      <w:r w:rsidR="0014655B">
        <w:rPr>
          <w:rFonts w:asciiTheme="minorHAnsi" w:hAnsiTheme="minorHAnsi" w:cstheme="minorHAnsi"/>
          <w:sz w:val="22"/>
          <w:szCs w:val="22"/>
        </w:rPr>
        <w:t>µ</w:t>
      </w:r>
      <w:r w:rsidR="0005701A" w:rsidRPr="614B95BE">
        <w:rPr>
          <w:rFonts w:asciiTheme="minorHAnsi" w:hAnsiTheme="minorHAnsi" w:cstheme="minorBidi"/>
          <w:sz w:val="22"/>
          <w:szCs w:val="22"/>
        </w:rPr>
        <w:t xml:space="preserve">g/L. </w:t>
      </w:r>
      <w:r w:rsidR="00680E00">
        <w:rPr>
          <w:rFonts w:asciiTheme="minorHAnsi" w:hAnsiTheme="minorHAnsi" w:cstheme="minorBidi"/>
          <w:sz w:val="22"/>
          <w:szCs w:val="22"/>
        </w:rPr>
        <w:t>A</w:t>
      </w:r>
      <w:r w:rsidR="0005701A" w:rsidRPr="614B95BE">
        <w:rPr>
          <w:rFonts w:asciiTheme="minorHAnsi" w:hAnsiTheme="minorHAnsi" w:cstheme="minorBidi"/>
          <w:sz w:val="22"/>
          <w:szCs w:val="22"/>
        </w:rPr>
        <w:t xml:space="preserve">dverse effects to listed aquatic invertebrates outside the class </w:t>
      </w:r>
      <w:proofErr w:type="spellStart"/>
      <w:r w:rsidR="0005701A" w:rsidRPr="614B95BE">
        <w:rPr>
          <w:rFonts w:asciiTheme="minorHAnsi" w:hAnsiTheme="minorHAnsi" w:cstheme="minorBidi"/>
          <w:sz w:val="22"/>
          <w:szCs w:val="22"/>
        </w:rPr>
        <w:t>Insecta</w:t>
      </w:r>
      <w:proofErr w:type="spellEnd"/>
      <w:r w:rsidR="0005701A" w:rsidRPr="614B95BE">
        <w:rPr>
          <w:rFonts w:asciiTheme="minorHAnsi" w:hAnsiTheme="minorHAnsi" w:cstheme="minorBidi"/>
          <w:sz w:val="22"/>
          <w:szCs w:val="22"/>
        </w:rPr>
        <w:t xml:space="preserve"> are not likely to occur and requests that the Agency re-evaluates how these species are assessed in the MAGtool with consideration of the HC</w:t>
      </w:r>
      <w:r w:rsidR="0005701A" w:rsidRPr="0014655B">
        <w:rPr>
          <w:rFonts w:asciiTheme="minorHAnsi" w:hAnsiTheme="minorHAnsi" w:cstheme="minorBidi"/>
          <w:sz w:val="22"/>
          <w:szCs w:val="22"/>
          <w:vertAlign w:val="subscript"/>
        </w:rPr>
        <w:t>05</w:t>
      </w:r>
      <w:r w:rsidR="0005701A" w:rsidRPr="614B95BE">
        <w:rPr>
          <w:rFonts w:asciiTheme="minorHAnsi" w:hAnsiTheme="minorHAnsi" w:cstheme="minorBidi"/>
          <w:sz w:val="22"/>
          <w:szCs w:val="22"/>
        </w:rPr>
        <w:t xml:space="preserve"> for aquatic invertebrates outside the </w:t>
      </w:r>
      <w:r w:rsidR="00C04D5A">
        <w:rPr>
          <w:rFonts w:asciiTheme="minorHAnsi" w:hAnsiTheme="minorHAnsi" w:cstheme="minorBidi"/>
          <w:sz w:val="22"/>
          <w:szCs w:val="22"/>
        </w:rPr>
        <w:t>c</w:t>
      </w:r>
      <w:r w:rsidR="0005701A" w:rsidRPr="614B95BE">
        <w:rPr>
          <w:rFonts w:asciiTheme="minorHAnsi" w:hAnsiTheme="minorHAnsi" w:cstheme="minorBidi"/>
          <w:sz w:val="22"/>
          <w:szCs w:val="22"/>
        </w:rPr>
        <w:t xml:space="preserve">lass </w:t>
      </w:r>
      <w:proofErr w:type="spellStart"/>
      <w:r w:rsidR="0005701A" w:rsidRPr="614B95BE">
        <w:rPr>
          <w:rFonts w:asciiTheme="minorHAnsi" w:hAnsiTheme="minorHAnsi" w:cstheme="minorBidi"/>
          <w:sz w:val="22"/>
          <w:szCs w:val="22"/>
        </w:rPr>
        <w:t>Insecta</w:t>
      </w:r>
      <w:proofErr w:type="spellEnd"/>
      <w:r w:rsidR="0005701A" w:rsidRPr="614B95BE">
        <w:rPr>
          <w:rFonts w:asciiTheme="minorHAnsi" w:hAnsiTheme="minorHAnsi" w:cstheme="minorBidi"/>
          <w:sz w:val="22"/>
          <w:szCs w:val="22"/>
        </w:rPr>
        <w:t xml:space="preserve"> and exposure concentrations more reflective of those observed in available monitoring data.</w:t>
      </w:r>
    </w:p>
    <w:p w14:paraId="70C2B445" w14:textId="77777777" w:rsidR="00EF4225" w:rsidRDefault="00EF4225" w:rsidP="005859DB">
      <w:pPr>
        <w:pStyle w:val="Default"/>
        <w:rPr>
          <w:rFonts w:asciiTheme="minorHAnsi" w:hAnsiTheme="minorHAnsi" w:cstheme="minorBidi"/>
          <w:sz w:val="22"/>
          <w:szCs w:val="22"/>
        </w:rPr>
      </w:pPr>
    </w:p>
    <w:p w14:paraId="6D67CB51" w14:textId="205BFD5E" w:rsidR="00E5317D" w:rsidRPr="0067789F" w:rsidRDefault="71C63B71" w:rsidP="2A3AE54D">
      <w:pPr>
        <w:pStyle w:val="Default"/>
        <w:rPr>
          <w:rFonts w:asciiTheme="minorHAnsi" w:hAnsiTheme="minorHAnsi" w:cstheme="minorBidi"/>
          <w:i/>
          <w:iCs/>
          <w:sz w:val="22"/>
          <w:szCs w:val="22"/>
        </w:rPr>
      </w:pPr>
      <w:r w:rsidRPr="2A3AE54D">
        <w:rPr>
          <w:rFonts w:asciiTheme="minorHAnsi" w:hAnsiTheme="minorHAnsi" w:cstheme="minorBidi"/>
          <w:b/>
          <w:bCs/>
          <w:sz w:val="22"/>
          <w:szCs w:val="22"/>
        </w:rPr>
        <w:t>EPA</w:t>
      </w:r>
      <w:r w:rsidR="6CCA7E8C" w:rsidRPr="2A3AE54D">
        <w:rPr>
          <w:rFonts w:asciiTheme="minorHAnsi" w:hAnsiTheme="minorHAnsi" w:cstheme="minorBidi"/>
          <w:b/>
          <w:bCs/>
          <w:sz w:val="22"/>
          <w:szCs w:val="22"/>
        </w:rPr>
        <w:t xml:space="preserve"> Response:</w:t>
      </w:r>
      <w:r w:rsidR="6CCA7E8C" w:rsidRPr="2A3AE54D">
        <w:rPr>
          <w:rFonts w:asciiTheme="minorHAnsi" w:hAnsiTheme="minorHAnsi" w:cstheme="minorBidi"/>
          <w:sz w:val="22"/>
          <w:szCs w:val="22"/>
        </w:rPr>
        <w:t xml:space="preserve"> </w:t>
      </w:r>
      <w:r w:rsidR="7CE42E24" w:rsidRPr="2A3AE54D">
        <w:rPr>
          <w:rFonts w:asciiTheme="minorHAnsi" w:hAnsiTheme="minorHAnsi" w:cstheme="minorBidi"/>
          <w:i/>
          <w:iCs/>
          <w:sz w:val="22"/>
          <w:szCs w:val="22"/>
        </w:rPr>
        <w:t xml:space="preserve">EPA agrees that aquatic invertebrates outside the class </w:t>
      </w:r>
      <w:proofErr w:type="spellStart"/>
      <w:r w:rsidR="7CE42E24" w:rsidRPr="2A3AE54D">
        <w:rPr>
          <w:rFonts w:asciiTheme="minorHAnsi" w:hAnsiTheme="minorHAnsi" w:cstheme="minorBidi"/>
          <w:i/>
          <w:iCs/>
          <w:sz w:val="22"/>
          <w:szCs w:val="22"/>
        </w:rPr>
        <w:t>Insecta</w:t>
      </w:r>
      <w:proofErr w:type="spellEnd"/>
      <w:r w:rsidR="7CE42E24" w:rsidRPr="2A3AE54D">
        <w:rPr>
          <w:rFonts w:asciiTheme="minorHAnsi" w:hAnsiTheme="minorHAnsi" w:cstheme="minorBidi"/>
          <w:i/>
          <w:iCs/>
          <w:sz w:val="22"/>
          <w:szCs w:val="22"/>
        </w:rPr>
        <w:t xml:space="preserve"> are less sensitive to thiamethoxam compared to aquatic insects. However, EPA disagrees that sufficient data are available to generate a species sensitivity distribution (SSD). EPA uses data to derive SSDs from literature that passed the ECOTOX quality screen and data from unpublished, registrant-submitted studies. There was a total of five aquatic invertebrate species outside of the class </w:t>
      </w:r>
      <w:proofErr w:type="spellStart"/>
      <w:r w:rsidR="7CE42E24" w:rsidRPr="2A3AE54D">
        <w:rPr>
          <w:rFonts w:asciiTheme="minorHAnsi" w:hAnsiTheme="minorHAnsi" w:cstheme="minorBidi"/>
          <w:i/>
          <w:iCs/>
          <w:sz w:val="22"/>
          <w:szCs w:val="22"/>
        </w:rPr>
        <w:t>Insecta</w:t>
      </w:r>
      <w:proofErr w:type="spellEnd"/>
      <w:r w:rsidR="7CE42E24" w:rsidRPr="2A3AE54D">
        <w:rPr>
          <w:rFonts w:asciiTheme="minorHAnsi" w:hAnsiTheme="minorHAnsi" w:cstheme="minorBidi"/>
          <w:i/>
          <w:iCs/>
          <w:sz w:val="22"/>
          <w:szCs w:val="22"/>
        </w:rPr>
        <w:t xml:space="preserve"> tested, resulting in nine toxicity endpoints. While there are no minimum sample sizes required by the SSD Toolbox and it is understood that in most cases SSDs will be fit with small sample sizes, attempting to fit distributions to such limiting cases (sample size barely exceeding the number of estimated parameters) will almost certainly result in unreliable estimates of </w:t>
      </w:r>
      <w:r w:rsidR="00E74F23">
        <w:rPr>
          <w:rFonts w:asciiTheme="minorHAnsi" w:hAnsiTheme="minorHAnsi" w:cstheme="minorBidi"/>
          <w:i/>
          <w:iCs/>
          <w:sz w:val="22"/>
          <w:szCs w:val="22"/>
        </w:rPr>
        <w:t>toxicity</w:t>
      </w:r>
      <w:r w:rsidR="7CE42E24" w:rsidRPr="2A3AE54D">
        <w:rPr>
          <w:rFonts w:asciiTheme="minorHAnsi" w:hAnsiTheme="minorHAnsi" w:cstheme="minorBidi"/>
          <w:i/>
          <w:iCs/>
          <w:sz w:val="22"/>
          <w:szCs w:val="22"/>
        </w:rPr>
        <w:t xml:space="preserve"> concentrations. Therefore, EPA determined there were not sufficient data to generate a</w:t>
      </w:r>
      <w:r w:rsidR="71C0393A" w:rsidRPr="2A3AE54D">
        <w:rPr>
          <w:rFonts w:asciiTheme="minorHAnsi" w:hAnsiTheme="minorHAnsi" w:cstheme="minorBidi"/>
          <w:i/>
          <w:iCs/>
          <w:sz w:val="22"/>
          <w:szCs w:val="22"/>
        </w:rPr>
        <w:t>n</w:t>
      </w:r>
      <w:r w:rsidR="7CE42E24" w:rsidRPr="2A3AE54D">
        <w:rPr>
          <w:rFonts w:asciiTheme="minorHAnsi" w:hAnsiTheme="minorHAnsi" w:cstheme="minorBidi"/>
          <w:i/>
          <w:iCs/>
          <w:sz w:val="22"/>
          <w:szCs w:val="22"/>
        </w:rPr>
        <w:t xml:space="preserve"> SSD for aquatic invertebrates outside the </w:t>
      </w:r>
      <w:r w:rsidR="00C04D5A">
        <w:rPr>
          <w:rFonts w:asciiTheme="minorHAnsi" w:hAnsiTheme="minorHAnsi" w:cstheme="minorBidi"/>
          <w:i/>
          <w:iCs/>
          <w:sz w:val="22"/>
          <w:szCs w:val="22"/>
        </w:rPr>
        <w:t>c</w:t>
      </w:r>
      <w:r w:rsidR="7CE42E24" w:rsidRPr="2A3AE54D">
        <w:rPr>
          <w:rFonts w:asciiTheme="minorHAnsi" w:hAnsiTheme="minorHAnsi" w:cstheme="minorBidi"/>
          <w:i/>
          <w:iCs/>
          <w:sz w:val="22"/>
          <w:szCs w:val="22"/>
        </w:rPr>
        <w:t xml:space="preserve">lass </w:t>
      </w:r>
      <w:proofErr w:type="spellStart"/>
      <w:r w:rsidR="7CE42E24" w:rsidRPr="2A3AE54D">
        <w:rPr>
          <w:rFonts w:asciiTheme="minorHAnsi" w:hAnsiTheme="minorHAnsi" w:cstheme="minorBidi"/>
          <w:i/>
          <w:iCs/>
          <w:sz w:val="22"/>
          <w:szCs w:val="22"/>
        </w:rPr>
        <w:t>Insecta</w:t>
      </w:r>
      <w:proofErr w:type="spellEnd"/>
      <w:r w:rsidR="7CE42E24" w:rsidRPr="2A3AE54D">
        <w:rPr>
          <w:rFonts w:asciiTheme="minorHAnsi" w:hAnsiTheme="minorHAnsi" w:cstheme="minorBidi"/>
          <w:i/>
          <w:iCs/>
          <w:sz w:val="22"/>
          <w:szCs w:val="22"/>
        </w:rPr>
        <w:t>.</w:t>
      </w:r>
      <w:r w:rsidR="3BE8C980" w:rsidRPr="2A3AE54D">
        <w:rPr>
          <w:rFonts w:asciiTheme="minorHAnsi" w:hAnsiTheme="minorHAnsi" w:cstheme="minorBidi"/>
          <w:i/>
          <w:iCs/>
          <w:sz w:val="22"/>
          <w:szCs w:val="22"/>
        </w:rPr>
        <w:t xml:space="preserve"> Ultimately, the thresholds are conservative representations of the available data. Values selected as thresholds represent the most sensitive available data. Therefore, the threshold is expected to be more conservative than the broader range of toxicity within a taxa</w:t>
      </w:r>
      <w:r w:rsidR="71C0393A" w:rsidRPr="2A3AE54D">
        <w:rPr>
          <w:rFonts w:asciiTheme="minorHAnsi" w:hAnsiTheme="minorHAnsi" w:cstheme="minorBidi"/>
          <w:i/>
          <w:iCs/>
          <w:sz w:val="22"/>
          <w:szCs w:val="22"/>
        </w:rPr>
        <w:t>,</w:t>
      </w:r>
      <w:r w:rsidR="3BE8C980" w:rsidRPr="2A3AE54D">
        <w:rPr>
          <w:rFonts w:asciiTheme="minorHAnsi" w:hAnsiTheme="minorHAnsi" w:cstheme="minorBidi"/>
          <w:i/>
          <w:iCs/>
          <w:sz w:val="22"/>
          <w:szCs w:val="22"/>
        </w:rPr>
        <w:t xml:space="preserve"> and is meant to be a protective value. </w:t>
      </w:r>
    </w:p>
    <w:p w14:paraId="6B2F41F2" w14:textId="77777777" w:rsidR="00E42AA9" w:rsidRPr="00E42AA9" w:rsidRDefault="00E42AA9" w:rsidP="005859DB">
      <w:pPr>
        <w:pStyle w:val="Default"/>
        <w:rPr>
          <w:rFonts w:asciiTheme="minorHAnsi" w:hAnsiTheme="minorHAnsi" w:cstheme="minorHAnsi"/>
          <w:sz w:val="22"/>
          <w:szCs w:val="22"/>
        </w:rPr>
      </w:pPr>
    </w:p>
    <w:p w14:paraId="0F01E205" w14:textId="4C727FBD" w:rsidR="00E42AA9" w:rsidRPr="00E42AA9" w:rsidRDefault="00E42AA9" w:rsidP="005859DB">
      <w:pPr>
        <w:autoSpaceDE w:val="0"/>
        <w:autoSpaceDN w:val="0"/>
        <w:adjustRightInd w:val="0"/>
        <w:rPr>
          <w:rFonts w:asciiTheme="minorHAnsi" w:hAnsiTheme="minorHAnsi" w:cstheme="minorHAnsi"/>
        </w:rPr>
      </w:pPr>
      <w:r w:rsidRPr="00E42AA9">
        <w:rPr>
          <w:rFonts w:asciiTheme="minorHAnsi" w:hAnsiTheme="minorHAnsi" w:cstheme="minorHAnsi"/>
          <w:b/>
          <w:bCs/>
        </w:rPr>
        <w:t>Comment</w:t>
      </w:r>
      <w:r w:rsidR="00510478">
        <w:rPr>
          <w:rFonts w:asciiTheme="minorHAnsi" w:hAnsiTheme="minorHAnsi" w:cstheme="minorHAnsi"/>
          <w:b/>
          <w:bCs/>
        </w:rPr>
        <w:t>:</w:t>
      </w:r>
      <w:r w:rsidRPr="00E42AA9">
        <w:rPr>
          <w:rFonts w:asciiTheme="minorHAnsi" w:hAnsiTheme="minorHAnsi" w:cstheme="minorHAnsi"/>
        </w:rPr>
        <w:t xml:space="preserve"> </w:t>
      </w:r>
      <w:r w:rsidR="00680E00">
        <w:rPr>
          <w:rFonts w:asciiTheme="minorHAnsi" w:hAnsiTheme="minorHAnsi" w:cstheme="minorHAnsi"/>
        </w:rPr>
        <w:t xml:space="preserve">It was </w:t>
      </w:r>
      <w:r w:rsidRPr="00E42AA9">
        <w:rPr>
          <w:rFonts w:asciiTheme="minorHAnsi" w:hAnsiTheme="minorHAnsi" w:cstheme="minorHAnsi"/>
        </w:rPr>
        <w:t>request</w:t>
      </w:r>
      <w:r w:rsidR="00680E00">
        <w:rPr>
          <w:rFonts w:asciiTheme="minorHAnsi" w:hAnsiTheme="minorHAnsi" w:cstheme="minorHAnsi"/>
        </w:rPr>
        <w:t>ed</w:t>
      </w:r>
      <w:r w:rsidRPr="00E42AA9">
        <w:rPr>
          <w:rFonts w:asciiTheme="minorHAnsi" w:hAnsiTheme="minorHAnsi" w:cstheme="minorHAnsi"/>
        </w:rPr>
        <w:t xml:space="preserve"> that EPA include the latest aquatic toxicity data, particularly that for</w:t>
      </w:r>
    </w:p>
    <w:p w14:paraId="383349FD" w14:textId="63D03B1C" w:rsidR="00E42AA9" w:rsidRPr="00E42AA9" w:rsidRDefault="00E42AA9" w:rsidP="005859DB">
      <w:pPr>
        <w:autoSpaceDE w:val="0"/>
        <w:autoSpaceDN w:val="0"/>
        <w:adjustRightInd w:val="0"/>
        <w:rPr>
          <w:rFonts w:asciiTheme="minorHAnsi" w:hAnsiTheme="minorHAnsi" w:cstheme="minorHAnsi"/>
        </w:rPr>
      </w:pPr>
      <w:r w:rsidRPr="00E42AA9">
        <w:rPr>
          <w:rFonts w:asciiTheme="minorHAnsi" w:hAnsiTheme="minorHAnsi" w:cstheme="minorHAnsi"/>
        </w:rPr>
        <w:t xml:space="preserve">chronic toxicity. The EPA noted that there are significant data gaps with regards to acute and chronic toxicity data on thiamethoxam’s effect on invertebrates. </w:t>
      </w:r>
      <w:r w:rsidR="00680E00">
        <w:rPr>
          <w:rFonts w:asciiTheme="minorHAnsi" w:hAnsiTheme="minorHAnsi" w:cstheme="minorHAnsi"/>
        </w:rPr>
        <w:t>T</w:t>
      </w:r>
      <w:r w:rsidRPr="00E42AA9">
        <w:rPr>
          <w:rFonts w:asciiTheme="minorHAnsi" w:hAnsiTheme="minorHAnsi" w:cstheme="minorHAnsi"/>
        </w:rPr>
        <w:t>he</w:t>
      </w:r>
      <w:r w:rsidR="00680E00">
        <w:rPr>
          <w:rFonts w:asciiTheme="minorHAnsi" w:hAnsiTheme="minorHAnsi" w:cstheme="minorHAnsi"/>
        </w:rPr>
        <w:t xml:space="preserve"> </w:t>
      </w:r>
      <w:r w:rsidRPr="00E42AA9">
        <w:rPr>
          <w:rFonts w:asciiTheme="minorHAnsi" w:hAnsiTheme="minorHAnsi" w:cstheme="minorHAnsi"/>
        </w:rPr>
        <w:t xml:space="preserve">following recently published studies </w:t>
      </w:r>
      <w:r w:rsidR="00680E00">
        <w:rPr>
          <w:rFonts w:asciiTheme="minorHAnsi" w:hAnsiTheme="minorHAnsi" w:cstheme="minorHAnsi"/>
        </w:rPr>
        <w:t xml:space="preserve">were submitted </w:t>
      </w:r>
      <w:r w:rsidRPr="00E42AA9">
        <w:rPr>
          <w:rFonts w:asciiTheme="minorHAnsi" w:hAnsiTheme="minorHAnsi" w:cstheme="minorHAnsi"/>
        </w:rPr>
        <w:t>that were not included in the RA:</w:t>
      </w:r>
    </w:p>
    <w:p w14:paraId="22AA3D83" w14:textId="77777777" w:rsidR="00E42AA9" w:rsidRPr="00E42AA9" w:rsidRDefault="00E42AA9" w:rsidP="005859DB">
      <w:pPr>
        <w:autoSpaceDE w:val="0"/>
        <w:autoSpaceDN w:val="0"/>
        <w:adjustRightInd w:val="0"/>
        <w:rPr>
          <w:rFonts w:asciiTheme="minorHAnsi" w:hAnsiTheme="minorHAnsi" w:cstheme="minorHAnsi"/>
        </w:rPr>
      </w:pPr>
    </w:p>
    <w:p w14:paraId="780692D1" w14:textId="2BE992F7" w:rsidR="00E42AA9" w:rsidRPr="00E42AA9" w:rsidRDefault="00E42AA9" w:rsidP="005859DB">
      <w:pPr>
        <w:pStyle w:val="ListParagraph"/>
        <w:numPr>
          <w:ilvl w:val="0"/>
          <w:numId w:val="47"/>
        </w:numPr>
        <w:autoSpaceDE w:val="0"/>
        <w:autoSpaceDN w:val="0"/>
        <w:adjustRightInd w:val="0"/>
        <w:contextualSpacing/>
        <w:rPr>
          <w:rFonts w:asciiTheme="minorHAnsi" w:hAnsiTheme="minorHAnsi" w:cstheme="minorHAnsi"/>
        </w:rPr>
      </w:pPr>
      <w:r w:rsidRPr="00E42AA9">
        <w:rPr>
          <w:rFonts w:asciiTheme="minorHAnsi" w:hAnsiTheme="minorHAnsi" w:cstheme="minorHAnsi"/>
        </w:rPr>
        <w:t xml:space="preserve">Maloney </w:t>
      </w:r>
      <w:r w:rsidRPr="00E74F23">
        <w:rPr>
          <w:rFonts w:asciiTheme="minorHAnsi" w:hAnsiTheme="minorHAnsi" w:cstheme="minorHAnsi"/>
          <w:i/>
          <w:iCs/>
        </w:rPr>
        <w:t>et al.</w:t>
      </w:r>
      <w:r w:rsidRPr="00E42AA9">
        <w:rPr>
          <w:rFonts w:asciiTheme="minorHAnsi" w:hAnsiTheme="minorHAnsi" w:cstheme="minorHAnsi"/>
        </w:rPr>
        <w:t xml:space="preserve"> (2017) measured acute toxicity of thiamethoxam to </w:t>
      </w:r>
      <w:r w:rsidRPr="00E42AA9">
        <w:rPr>
          <w:rFonts w:asciiTheme="minorHAnsi" w:hAnsiTheme="minorHAnsi" w:cstheme="minorHAnsi"/>
          <w:i/>
          <w:iCs/>
        </w:rPr>
        <w:t xml:space="preserve">C. </w:t>
      </w:r>
      <w:proofErr w:type="spellStart"/>
      <w:r w:rsidRPr="00E42AA9">
        <w:rPr>
          <w:rFonts w:asciiTheme="minorHAnsi" w:hAnsiTheme="minorHAnsi" w:cstheme="minorHAnsi"/>
          <w:i/>
          <w:iCs/>
        </w:rPr>
        <w:t>dilutus</w:t>
      </w:r>
      <w:proofErr w:type="spellEnd"/>
      <w:r w:rsidRPr="00E42AA9">
        <w:rPr>
          <w:rFonts w:asciiTheme="minorHAnsi" w:hAnsiTheme="minorHAnsi" w:cstheme="minorHAnsi"/>
        </w:rPr>
        <w:t>.</w:t>
      </w:r>
    </w:p>
    <w:p w14:paraId="2F3B6007" w14:textId="3C8EF9F6" w:rsidR="00E42AA9" w:rsidRPr="00E42AA9" w:rsidRDefault="00E42AA9" w:rsidP="005859DB">
      <w:pPr>
        <w:pStyle w:val="ListParagraph"/>
        <w:numPr>
          <w:ilvl w:val="0"/>
          <w:numId w:val="47"/>
        </w:numPr>
        <w:autoSpaceDE w:val="0"/>
        <w:autoSpaceDN w:val="0"/>
        <w:adjustRightInd w:val="0"/>
        <w:contextualSpacing/>
        <w:rPr>
          <w:rFonts w:asciiTheme="minorHAnsi" w:hAnsiTheme="minorHAnsi" w:cstheme="minorHAnsi"/>
        </w:rPr>
      </w:pPr>
      <w:r w:rsidRPr="00E42AA9">
        <w:rPr>
          <w:rFonts w:asciiTheme="minorHAnsi" w:hAnsiTheme="minorHAnsi" w:cstheme="minorHAnsi"/>
        </w:rPr>
        <w:t xml:space="preserve">Raby </w:t>
      </w:r>
      <w:r w:rsidRPr="00E74F23">
        <w:rPr>
          <w:rFonts w:asciiTheme="minorHAnsi" w:hAnsiTheme="minorHAnsi" w:cstheme="minorHAnsi"/>
          <w:i/>
          <w:iCs/>
        </w:rPr>
        <w:t>et</w:t>
      </w:r>
      <w:r w:rsidR="00DE77E7">
        <w:rPr>
          <w:rFonts w:asciiTheme="minorHAnsi" w:hAnsiTheme="minorHAnsi" w:cstheme="minorHAnsi"/>
          <w:i/>
          <w:iCs/>
        </w:rPr>
        <w:t xml:space="preserve"> </w:t>
      </w:r>
      <w:r w:rsidRPr="00E74F23">
        <w:rPr>
          <w:rFonts w:asciiTheme="minorHAnsi" w:hAnsiTheme="minorHAnsi" w:cstheme="minorHAnsi"/>
          <w:i/>
          <w:iCs/>
        </w:rPr>
        <w:t>al.</w:t>
      </w:r>
      <w:r w:rsidRPr="00E42AA9">
        <w:rPr>
          <w:rFonts w:asciiTheme="minorHAnsi" w:hAnsiTheme="minorHAnsi" w:cstheme="minorHAnsi"/>
        </w:rPr>
        <w:t xml:space="preserve"> (2018) measured acute toxicity of thiamethoxam to 21 different aquatic</w:t>
      </w:r>
    </w:p>
    <w:p w14:paraId="13DFA903" w14:textId="77777777" w:rsidR="00E42AA9" w:rsidRPr="00E42AA9" w:rsidRDefault="00E42AA9" w:rsidP="005859DB">
      <w:pPr>
        <w:autoSpaceDE w:val="0"/>
        <w:autoSpaceDN w:val="0"/>
        <w:adjustRightInd w:val="0"/>
        <w:ind w:firstLine="720"/>
        <w:rPr>
          <w:rFonts w:asciiTheme="minorHAnsi" w:hAnsiTheme="minorHAnsi" w:cstheme="minorHAnsi"/>
        </w:rPr>
      </w:pPr>
      <w:r w:rsidRPr="00E42AA9">
        <w:rPr>
          <w:rFonts w:asciiTheme="minorHAnsi" w:hAnsiTheme="minorHAnsi" w:cstheme="minorHAnsi"/>
        </w:rPr>
        <w:t>invertebrates.</w:t>
      </w:r>
    </w:p>
    <w:p w14:paraId="0663A1F9" w14:textId="77777777" w:rsidR="00E42AA9" w:rsidRPr="00E42AA9" w:rsidRDefault="00E42AA9" w:rsidP="005859DB">
      <w:pPr>
        <w:autoSpaceDE w:val="0"/>
        <w:autoSpaceDN w:val="0"/>
        <w:adjustRightInd w:val="0"/>
        <w:ind w:firstLine="720"/>
        <w:rPr>
          <w:rFonts w:asciiTheme="minorHAnsi" w:hAnsiTheme="minorHAnsi" w:cstheme="minorHAnsi"/>
        </w:rPr>
      </w:pPr>
    </w:p>
    <w:p w14:paraId="374984AE" w14:textId="5C103019" w:rsidR="00E42AA9" w:rsidRPr="00E42AA9" w:rsidRDefault="00E42AA9" w:rsidP="005859DB">
      <w:pPr>
        <w:autoSpaceDE w:val="0"/>
        <w:autoSpaceDN w:val="0"/>
        <w:adjustRightInd w:val="0"/>
        <w:rPr>
          <w:rFonts w:asciiTheme="minorHAnsi" w:hAnsiTheme="minorHAnsi" w:cstheme="minorHAnsi"/>
        </w:rPr>
      </w:pPr>
      <w:r w:rsidRPr="00E42AA9">
        <w:rPr>
          <w:rFonts w:asciiTheme="minorHAnsi" w:hAnsiTheme="minorHAnsi" w:cstheme="minorHAnsi"/>
        </w:rPr>
        <w:t xml:space="preserve">While these papers provide additional acute toxicity data, </w:t>
      </w:r>
      <w:r w:rsidR="00680E00">
        <w:rPr>
          <w:rFonts w:asciiTheme="minorHAnsi" w:hAnsiTheme="minorHAnsi" w:cstheme="minorHAnsi"/>
        </w:rPr>
        <w:t>it was</w:t>
      </w:r>
      <w:r w:rsidRPr="00E42AA9">
        <w:rPr>
          <w:rFonts w:asciiTheme="minorHAnsi" w:hAnsiTheme="minorHAnsi" w:cstheme="minorHAnsi"/>
        </w:rPr>
        <w:t xml:space="preserve"> request</w:t>
      </w:r>
      <w:r w:rsidR="00680E00">
        <w:rPr>
          <w:rFonts w:asciiTheme="minorHAnsi" w:hAnsiTheme="minorHAnsi" w:cstheme="minorHAnsi"/>
        </w:rPr>
        <w:t>ed</w:t>
      </w:r>
      <w:r w:rsidRPr="00E42AA9">
        <w:rPr>
          <w:rFonts w:asciiTheme="minorHAnsi" w:hAnsiTheme="minorHAnsi" w:cstheme="minorHAnsi"/>
        </w:rPr>
        <w:t xml:space="preserve"> that EPA seek to</w:t>
      </w:r>
    </w:p>
    <w:p w14:paraId="1A73DC08" w14:textId="77777777" w:rsidR="00E42AA9" w:rsidRPr="00E42AA9" w:rsidRDefault="00E42AA9" w:rsidP="005859DB">
      <w:pPr>
        <w:autoSpaceDE w:val="0"/>
        <w:autoSpaceDN w:val="0"/>
        <w:adjustRightInd w:val="0"/>
        <w:rPr>
          <w:rFonts w:asciiTheme="minorHAnsi" w:hAnsiTheme="minorHAnsi" w:cstheme="minorHAnsi"/>
        </w:rPr>
      </w:pPr>
      <w:r w:rsidRPr="00E42AA9">
        <w:rPr>
          <w:rFonts w:asciiTheme="minorHAnsi" w:hAnsiTheme="minorHAnsi" w:cstheme="minorHAnsi"/>
        </w:rPr>
        <w:t>obtain chronic toxicity data to incorporate into the findings in the proposed decision in order to</w:t>
      </w:r>
    </w:p>
    <w:p w14:paraId="69CCEA0F" w14:textId="77777777" w:rsidR="00E42AA9" w:rsidRPr="00E42AA9" w:rsidRDefault="00E42AA9" w:rsidP="005859DB">
      <w:pPr>
        <w:autoSpaceDE w:val="0"/>
        <w:autoSpaceDN w:val="0"/>
        <w:adjustRightInd w:val="0"/>
        <w:rPr>
          <w:rFonts w:asciiTheme="minorHAnsi" w:hAnsiTheme="minorHAnsi" w:cstheme="minorHAnsi"/>
        </w:rPr>
      </w:pPr>
      <w:r w:rsidRPr="00E42AA9">
        <w:rPr>
          <w:rFonts w:asciiTheme="minorHAnsi" w:hAnsiTheme="minorHAnsi" w:cstheme="minorHAnsi"/>
        </w:rPr>
        <w:t>ensure that any associated mitigation measures are sufficient to prevent POTW effluent toxicity.</w:t>
      </w:r>
    </w:p>
    <w:p w14:paraId="753C2267" w14:textId="77777777" w:rsidR="00E42AA9" w:rsidRPr="00E42AA9" w:rsidRDefault="00E42AA9" w:rsidP="005859DB">
      <w:pPr>
        <w:autoSpaceDE w:val="0"/>
        <w:autoSpaceDN w:val="0"/>
        <w:adjustRightInd w:val="0"/>
        <w:rPr>
          <w:rFonts w:asciiTheme="minorHAnsi" w:hAnsiTheme="minorHAnsi" w:cstheme="minorHAnsi"/>
        </w:rPr>
      </w:pPr>
      <w:r w:rsidRPr="00E42AA9">
        <w:rPr>
          <w:rFonts w:asciiTheme="minorHAnsi" w:hAnsiTheme="minorHAnsi" w:cstheme="minorHAnsi"/>
        </w:rPr>
        <w:t>Chronic toxicity data are recommended for two reasons:</w:t>
      </w:r>
    </w:p>
    <w:p w14:paraId="1F00CB45" w14:textId="77777777" w:rsidR="00E42AA9" w:rsidRPr="00E42AA9" w:rsidRDefault="00E42AA9" w:rsidP="005859DB">
      <w:pPr>
        <w:autoSpaceDE w:val="0"/>
        <w:autoSpaceDN w:val="0"/>
        <w:adjustRightInd w:val="0"/>
        <w:rPr>
          <w:rFonts w:asciiTheme="minorHAnsi" w:hAnsiTheme="minorHAnsi" w:cstheme="minorHAnsi"/>
        </w:rPr>
      </w:pPr>
    </w:p>
    <w:p w14:paraId="7C82E7A9" w14:textId="77777777" w:rsidR="00E42AA9" w:rsidRPr="00E42AA9" w:rsidRDefault="00E42AA9" w:rsidP="005859DB">
      <w:pPr>
        <w:autoSpaceDE w:val="0"/>
        <w:autoSpaceDN w:val="0"/>
        <w:adjustRightInd w:val="0"/>
        <w:ind w:firstLine="720"/>
        <w:rPr>
          <w:rFonts w:asciiTheme="minorHAnsi" w:hAnsiTheme="minorHAnsi" w:cstheme="minorHAnsi"/>
        </w:rPr>
      </w:pPr>
      <w:r w:rsidRPr="00E42AA9">
        <w:rPr>
          <w:rFonts w:asciiTheme="minorHAnsi" w:hAnsiTheme="minorHAnsi" w:cstheme="minorHAnsi"/>
        </w:rPr>
        <w:t>1) POTWs continuously discharge to surface waters.</w:t>
      </w:r>
    </w:p>
    <w:p w14:paraId="44FE372E" w14:textId="77777777" w:rsidR="00E42AA9" w:rsidRPr="00E42AA9" w:rsidRDefault="00E42AA9" w:rsidP="005859DB">
      <w:pPr>
        <w:autoSpaceDE w:val="0"/>
        <w:autoSpaceDN w:val="0"/>
        <w:adjustRightInd w:val="0"/>
        <w:ind w:firstLine="720"/>
        <w:rPr>
          <w:rFonts w:asciiTheme="minorHAnsi" w:hAnsiTheme="minorHAnsi" w:cstheme="minorHAnsi"/>
        </w:rPr>
      </w:pPr>
      <w:r w:rsidRPr="00E42AA9">
        <w:rPr>
          <w:rFonts w:asciiTheme="minorHAnsi" w:hAnsiTheme="minorHAnsi" w:cstheme="minorHAnsi"/>
        </w:rPr>
        <w:t>2) Use of acute toxicity data and the common default assumption that the acute-to-chronic</w:t>
      </w:r>
    </w:p>
    <w:p w14:paraId="6797B20E" w14:textId="77777777" w:rsidR="00E42AA9" w:rsidRPr="00E42AA9" w:rsidRDefault="00E42AA9" w:rsidP="005859DB">
      <w:pPr>
        <w:autoSpaceDE w:val="0"/>
        <w:autoSpaceDN w:val="0"/>
        <w:adjustRightInd w:val="0"/>
        <w:ind w:left="720"/>
        <w:rPr>
          <w:rFonts w:asciiTheme="minorHAnsi" w:hAnsiTheme="minorHAnsi" w:cstheme="minorHAnsi"/>
        </w:rPr>
      </w:pPr>
      <w:r w:rsidRPr="00E42AA9">
        <w:rPr>
          <w:rFonts w:asciiTheme="minorHAnsi" w:hAnsiTheme="minorHAnsi" w:cstheme="minorHAnsi"/>
        </w:rPr>
        <w:t>toxicity ratio is 10 might significantly underestimate chronic toxicity given that some</w:t>
      </w:r>
    </w:p>
    <w:p w14:paraId="4196B4D4" w14:textId="77777777" w:rsidR="00E42AA9" w:rsidRPr="00E42AA9" w:rsidRDefault="00E42AA9" w:rsidP="005859DB">
      <w:pPr>
        <w:autoSpaceDE w:val="0"/>
        <w:autoSpaceDN w:val="0"/>
        <w:adjustRightInd w:val="0"/>
        <w:ind w:firstLine="720"/>
        <w:rPr>
          <w:rFonts w:asciiTheme="minorHAnsi" w:hAnsiTheme="minorHAnsi" w:cstheme="minorHAnsi"/>
        </w:rPr>
      </w:pPr>
      <w:r w:rsidRPr="00E42AA9">
        <w:rPr>
          <w:rFonts w:asciiTheme="minorHAnsi" w:hAnsiTheme="minorHAnsi" w:cstheme="minorHAnsi"/>
        </w:rPr>
        <w:t>neonicotinoids are known to have chronic toxicity values that are more than 300-fold</w:t>
      </w:r>
    </w:p>
    <w:p w14:paraId="4DA3F884" w14:textId="77777777" w:rsidR="00E42AA9" w:rsidRPr="00E42AA9" w:rsidRDefault="00E42AA9" w:rsidP="005859DB">
      <w:pPr>
        <w:pStyle w:val="Default"/>
        <w:ind w:left="360" w:firstLine="360"/>
        <w:rPr>
          <w:rFonts w:asciiTheme="minorHAnsi" w:hAnsiTheme="minorHAnsi" w:cstheme="minorHAnsi"/>
          <w:color w:val="auto"/>
          <w:sz w:val="22"/>
          <w:szCs w:val="22"/>
        </w:rPr>
      </w:pPr>
      <w:r w:rsidRPr="00E42AA9">
        <w:rPr>
          <w:rFonts w:asciiTheme="minorHAnsi" w:hAnsiTheme="minorHAnsi" w:cstheme="minorHAnsi"/>
          <w:color w:val="auto"/>
          <w:sz w:val="22"/>
          <w:szCs w:val="22"/>
        </w:rPr>
        <w:t>lower than the lowest acute toxicity value.</w:t>
      </w:r>
    </w:p>
    <w:p w14:paraId="2681AF14" w14:textId="77777777" w:rsidR="00E42AA9" w:rsidRPr="00E42AA9" w:rsidRDefault="00E42AA9" w:rsidP="005859DB">
      <w:pPr>
        <w:pStyle w:val="Default"/>
        <w:rPr>
          <w:rFonts w:ascii="TimesNewRomanPSMT" w:hAnsi="TimesNewRomanPSMT" w:cs="TimesNewRomanPSMT"/>
          <w:sz w:val="20"/>
          <w:szCs w:val="20"/>
        </w:rPr>
      </w:pPr>
    </w:p>
    <w:p w14:paraId="48AC621C" w14:textId="04AACE60" w:rsidR="00E42AA9" w:rsidRPr="002B1910" w:rsidRDefault="00E42AA9" w:rsidP="00B750E9">
      <w:pPr>
        <w:rPr>
          <w:rFonts w:asciiTheme="minorHAnsi" w:hAnsiTheme="minorHAnsi" w:cstheme="minorHAnsi"/>
          <w:i/>
          <w:iCs/>
        </w:rPr>
      </w:pPr>
      <w:r w:rsidRPr="00E42AA9">
        <w:rPr>
          <w:rFonts w:asciiTheme="minorHAnsi" w:hAnsiTheme="minorHAnsi" w:cstheme="minorHAnsi"/>
          <w:b/>
        </w:rPr>
        <w:t xml:space="preserve">EPA Response: </w:t>
      </w:r>
      <w:r w:rsidRPr="0067789F">
        <w:rPr>
          <w:rFonts w:asciiTheme="minorHAnsi" w:hAnsiTheme="minorHAnsi" w:cstheme="minorHAnsi"/>
          <w:i/>
        </w:rPr>
        <w:t xml:space="preserve">EPA appreciates </w:t>
      </w:r>
      <w:r w:rsidR="00680E00">
        <w:rPr>
          <w:rFonts w:asciiTheme="minorHAnsi" w:hAnsiTheme="minorHAnsi" w:cstheme="minorHAnsi"/>
          <w:i/>
        </w:rPr>
        <w:t xml:space="preserve">the </w:t>
      </w:r>
      <w:r w:rsidRPr="0067789F">
        <w:rPr>
          <w:rFonts w:asciiTheme="minorHAnsi" w:hAnsiTheme="minorHAnsi" w:cstheme="minorHAnsi"/>
          <w:i/>
        </w:rPr>
        <w:t xml:space="preserve">submission of both acute and chronic toxicity data to be included in the BE. Acute toxicity data from Maloney </w:t>
      </w:r>
      <w:r w:rsidRPr="00E74F23">
        <w:rPr>
          <w:rFonts w:asciiTheme="minorHAnsi" w:hAnsiTheme="minorHAnsi" w:cstheme="minorHAnsi"/>
          <w:iCs/>
        </w:rPr>
        <w:t>et al.</w:t>
      </w:r>
      <w:r w:rsidRPr="0067789F">
        <w:rPr>
          <w:rFonts w:asciiTheme="minorHAnsi" w:hAnsiTheme="minorHAnsi" w:cstheme="minorHAnsi"/>
          <w:i/>
        </w:rPr>
        <w:t xml:space="preserve"> (2017; ECOTOX reference 183458) and Raby </w:t>
      </w:r>
      <w:r w:rsidRPr="00E74F23">
        <w:rPr>
          <w:rFonts w:asciiTheme="minorHAnsi" w:hAnsiTheme="minorHAnsi" w:cstheme="minorHAnsi"/>
          <w:iCs/>
        </w:rPr>
        <w:t>et al.</w:t>
      </w:r>
      <w:r w:rsidRPr="0067789F">
        <w:rPr>
          <w:rFonts w:asciiTheme="minorHAnsi" w:hAnsiTheme="minorHAnsi" w:cstheme="minorHAnsi"/>
          <w:i/>
        </w:rPr>
        <w:t xml:space="preserve"> (2018; ECOTOX reference 178290) were utilized in the aquatic insect species sensitivity distribution (SSD) in the thiamethoxam BE (</w:t>
      </w:r>
      <w:r w:rsidRPr="002F6C95">
        <w:rPr>
          <w:rFonts w:asciiTheme="minorHAnsi" w:hAnsiTheme="minorHAnsi" w:cstheme="minorHAnsi"/>
          <w:b/>
          <w:bCs/>
          <w:i/>
        </w:rPr>
        <w:t>Appendix 2-5</w:t>
      </w:r>
      <w:r w:rsidRPr="0067789F">
        <w:rPr>
          <w:rFonts w:asciiTheme="minorHAnsi" w:hAnsiTheme="minorHAnsi" w:cstheme="minorHAnsi"/>
          <w:i/>
        </w:rPr>
        <w:t>). As for chronic toxicity data, EPA has reviewed and incorporated all available chronic toxicity data that w</w:t>
      </w:r>
      <w:r w:rsidR="00A2799C">
        <w:rPr>
          <w:rFonts w:asciiTheme="minorHAnsi" w:hAnsiTheme="minorHAnsi" w:cstheme="minorHAnsi"/>
          <w:i/>
        </w:rPr>
        <w:t>ere</w:t>
      </w:r>
      <w:r w:rsidRPr="0067789F">
        <w:rPr>
          <w:rFonts w:asciiTheme="minorHAnsi" w:hAnsiTheme="minorHAnsi" w:cstheme="minorHAnsi"/>
          <w:i/>
        </w:rPr>
        <w:t xml:space="preserve"> deemed appropriate for use into the thiamethoxam BE. When evaluating unpublished studies submitted by registrants, EPA utilized the standard test guidelines that were most representative of the studies (</w:t>
      </w:r>
      <w:r w:rsidRPr="00E74F23">
        <w:rPr>
          <w:rFonts w:asciiTheme="minorHAnsi" w:hAnsiTheme="minorHAnsi" w:cstheme="minorHAnsi"/>
          <w:iCs/>
        </w:rPr>
        <w:t>e.g</w:t>
      </w:r>
      <w:r w:rsidRPr="0067789F">
        <w:rPr>
          <w:rFonts w:asciiTheme="minorHAnsi" w:hAnsiTheme="minorHAnsi" w:cstheme="minorHAnsi"/>
          <w:i/>
        </w:rPr>
        <w:t>., OCSPP 850 test guidelines, OECD test guidelines). For studies available in the scientific literature (identified using the ECOTOX database), EPA used its open literature guidance.</w:t>
      </w:r>
      <w:r w:rsidR="003B3C77">
        <w:rPr>
          <w:rFonts w:asciiTheme="minorHAnsi" w:hAnsiTheme="minorHAnsi" w:cstheme="minorHAnsi"/>
          <w:i/>
        </w:rPr>
        <w:t xml:space="preserve"> </w:t>
      </w:r>
      <w:r w:rsidR="00E05A71">
        <w:rPr>
          <w:rFonts w:asciiTheme="minorHAnsi" w:hAnsiTheme="minorHAnsi" w:cstheme="minorHAnsi"/>
          <w:i/>
        </w:rPr>
        <w:t>Additionally,</w:t>
      </w:r>
      <w:r w:rsidR="002B1910">
        <w:rPr>
          <w:rFonts w:asciiTheme="minorHAnsi" w:hAnsiTheme="minorHAnsi" w:cstheme="minorHAnsi"/>
          <w:i/>
        </w:rPr>
        <w:t xml:space="preserve"> </w:t>
      </w:r>
      <w:r w:rsidR="002B1910">
        <w:rPr>
          <w:rFonts w:asciiTheme="minorHAnsi" w:hAnsiTheme="minorHAnsi" w:cstheme="minorHAnsi"/>
          <w:i/>
          <w:iCs/>
        </w:rPr>
        <w:t xml:space="preserve">EPA has acknowledged that it does not have the information sufficient to model </w:t>
      </w:r>
      <w:r w:rsidR="00954CEA">
        <w:rPr>
          <w:rFonts w:asciiTheme="minorHAnsi" w:hAnsiTheme="minorHAnsi" w:cstheme="minorHAnsi"/>
          <w:i/>
          <w:iCs/>
        </w:rPr>
        <w:t xml:space="preserve">POTW </w:t>
      </w:r>
      <w:r w:rsidR="00C77E1F">
        <w:rPr>
          <w:rFonts w:asciiTheme="minorHAnsi" w:hAnsiTheme="minorHAnsi" w:cstheme="minorHAnsi"/>
          <w:i/>
          <w:iCs/>
        </w:rPr>
        <w:t>effluent toxicity</w:t>
      </w:r>
      <w:r w:rsidR="002B1910">
        <w:rPr>
          <w:rFonts w:asciiTheme="minorHAnsi" w:hAnsiTheme="minorHAnsi" w:cstheme="minorHAnsi"/>
          <w:i/>
          <w:iCs/>
        </w:rPr>
        <w:t xml:space="preserve"> and is using the aquatic concentrations derived for residential uses as a surrogate for indoor uses. EPA has included a summary of the </w:t>
      </w:r>
      <w:proofErr w:type="spellStart"/>
      <w:r w:rsidR="002B1910">
        <w:rPr>
          <w:rFonts w:asciiTheme="minorHAnsi" w:hAnsiTheme="minorHAnsi" w:cstheme="minorHAnsi"/>
          <w:i/>
          <w:iCs/>
        </w:rPr>
        <w:t>Sandaria</w:t>
      </w:r>
      <w:proofErr w:type="spellEnd"/>
      <w:r w:rsidR="002B1910">
        <w:rPr>
          <w:rFonts w:asciiTheme="minorHAnsi" w:hAnsiTheme="minorHAnsi" w:cstheme="minorHAnsi"/>
          <w:i/>
          <w:iCs/>
        </w:rPr>
        <w:t xml:space="preserve"> </w:t>
      </w:r>
      <w:r w:rsidR="002B1910" w:rsidRPr="003D28DC">
        <w:rPr>
          <w:rFonts w:asciiTheme="minorHAnsi" w:hAnsiTheme="minorHAnsi" w:cstheme="minorHAnsi"/>
        </w:rPr>
        <w:t>et al.</w:t>
      </w:r>
      <w:r w:rsidR="002B1910">
        <w:rPr>
          <w:rFonts w:asciiTheme="minorHAnsi" w:hAnsiTheme="minorHAnsi" w:cstheme="minorHAnsi"/>
          <w:i/>
          <w:iCs/>
        </w:rPr>
        <w:t xml:space="preserve"> papers (2016; 2017) in </w:t>
      </w:r>
      <w:r w:rsidR="002B1910" w:rsidRPr="00421AE0">
        <w:rPr>
          <w:rFonts w:asciiTheme="minorHAnsi" w:hAnsiTheme="minorHAnsi" w:cstheme="minorHAnsi"/>
          <w:b/>
          <w:bCs/>
          <w:i/>
          <w:iCs/>
        </w:rPr>
        <w:t>Appendix B</w:t>
      </w:r>
      <w:r w:rsidR="002B1910">
        <w:rPr>
          <w:rFonts w:asciiTheme="minorHAnsi" w:hAnsiTheme="minorHAnsi" w:cstheme="minorHAnsi"/>
          <w:i/>
          <w:iCs/>
        </w:rPr>
        <w:t>, as well as a comparison of the modeled concentrations to those in municipal wastewater. EPA will work with the Services</w:t>
      </w:r>
      <w:r w:rsidR="00954424">
        <w:rPr>
          <w:rFonts w:asciiTheme="minorHAnsi" w:hAnsiTheme="minorHAnsi" w:cstheme="minorHAnsi"/>
          <w:i/>
          <w:iCs/>
        </w:rPr>
        <w:t>, as necessary,</w:t>
      </w:r>
      <w:r w:rsidR="002B1910">
        <w:rPr>
          <w:rFonts w:asciiTheme="minorHAnsi" w:hAnsiTheme="minorHAnsi" w:cstheme="minorHAnsi"/>
          <w:i/>
          <w:iCs/>
        </w:rPr>
        <w:t xml:space="preserve"> on finding ways to mitigate the impact of neonicotinoids in municipal wastewater on listed species.</w:t>
      </w:r>
    </w:p>
    <w:p w14:paraId="45D01A2A" w14:textId="77777777" w:rsidR="00E131EA" w:rsidRDefault="00E131EA" w:rsidP="005859DB">
      <w:pPr>
        <w:pStyle w:val="Default"/>
        <w:rPr>
          <w:rFonts w:asciiTheme="minorHAnsi" w:hAnsiTheme="minorHAnsi" w:cstheme="minorHAnsi"/>
          <w:sz w:val="22"/>
          <w:szCs w:val="22"/>
        </w:rPr>
      </w:pPr>
    </w:p>
    <w:p w14:paraId="5B889812" w14:textId="19969A44" w:rsidR="00E131EA" w:rsidRPr="001F6FBC" w:rsidRDefault="00E131EA" w:rsidP="005859DB">
      <w:pPr>
        <w:pStyle w:val="Default"/>
        <w:rPr>
          <w:rFonts w:asciiTheme="minorHAnsi" w:hAnsiTheme="minorHAnsi" w:cstheme="minorHAnsi"/>
          <w:sz w:val="22"/>
          <w:szCs w:val="22"/>
        </w:rPr>
      </w:pPr>
      <w:r w:rsidRPr="00030507">
        <w:rPr>
          <w:rFonts w:asciiTheme="minorHAnsi" w:hAnsiTheme="minorHAnsi" w:cstheme="minorHAnsi"/>
          <w:b/>
          <w:bCs/>
          <w:sz w:val="22"/>
          <w:szCs w:val="22"/>
        </w:rPr>
        <w:t>Comment</w:t>
      </w:r>
      <w:r w:rsidR="00510478">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sz w:val="22"/>
          <w:szCs w:val="22"/>
        </w:rPr>
        <w:t>Habitats and proximity to use patterns</w:t>
      </w:r>
    </w:p>
    <w:p w14:paraId="223ECA13" w14:textId="77777777" w:rsidR="00E131EA" w:rsidRDefault="00E131EA" w:rsidP="005859DB">
      <w:pPr>
        <w:pStyle w:val="Default"/>
        <w:rPr>
          <w:rFonts w:asciiTheme="minorHAnsi" w:hAnsiTheme="minorHAnsi" w:cstheme="minorHAnsi"/>
          <w:sz w:val="22"/>
          <w:szCs w:val="22"/>
        </w:rPr>
      </w:pPr>
      <w:r w:rsidRPr="008E0CFC">
        <w:rPr>
          <w:rFonts w:asciiTheme="minorHAnsi" w:hAnsiTheme="minorHAnsi" w:cstheme="minorHAnsi"/>
          <w:noProof/>
          <w:sz w:val="22"/>
          <w:szCs w:val="22"/>
        </w:rPr>
        <w:drawing>
          <wp:inline distT="0" distB="0" distL="0" distR="0" wp14:anchorId="185BA400" wp14:editId="0EAF5ABC">
            <wp:extent cx="4432300" cy="2011446"/>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9172" cy="2014565"/>
                    </a:xfrm>
                    <a:prstGeom prst="rect">
                      <a:avLst/>
                    </a:prstGeom>
                  </pic:spPr>
                </pic:pic>
              </a:graphicData>
            </a:graphic>
          </wp:inline>
        </w:drawing>
      </w:r>
    </w:p>
    <w:p w14:paraId="5DDB0514" w14:textId="77777777" w:rsidR="00E131EA" w:rsidRDefault="00E131EA" w:rsidP="005859DB">
      <w:pPr>
        <w:pStyle w:val="Default"/>
        <w:rPr>
          <w:rFonts w:asciiTheme="minorHAnsi" w:hAnsiTheme="minorHAnsi" w:cstheme="minorHAnsi"/>
          <w:sz w:val="22"/>
          <w:szCs w:val="22"/>
        </w:rPr>
      </w:pPr>
    </w:p>
    <w:p w14:paraId="365EC9BA" w14:textId="77777777" w:rsidR="00E131EA" w:rsidRDefault="00E131EA" w:rsidP="005859DB">
      <w:pPr>
        <w:pStyle w:val="Default"/>
        <w:rPr>
          <w:rFonts w:asciiTheme="minorHAnsi" w:hAnsiTheme="minorHAnsi" w:cstheme="minorHAnsi"/>
          <w:sz w:val="22"/>
          <w:szCs w:val="22"/>
        </w:rPr>
      </w:pPr>
      <w:r w:rsidRPr="004B5609">
        <w:rPr>
          <w:rFonts w:asciiTheme="minorHAnsi" w:hAnsiTheme="minorHAnsi" w:cstheme="minorHAnsi"/>
          <w:sz w:val="22"/>
          <w:szCs w:val="22"/>
        </w:rPr>
        <w:t xml:space="preserve">For each of </w:t>
      </w:r>
      <w:r w:rsidRPr="003A3BAD">
        <w:rPr>
          <w:rFonts w:asciiTheme="minorHAnsi" w:hAnsiTheme="minorHAnsi" w:cstheme="minorHAnsi"/>
          <w:b/>
          <w:bCs/>
          <w:sz w:val="22"/>
          <w:szCs w:val="22"/>
        </w:rPr>
        <w:t>Table 2</w:t>
      </w:r>
      <w:r w:rsidRPr="004B5609">
        <w:rPr>
          <w:rFonts w:asciiTheme="minorHAnsi" w:hAnsiTheme="minorHAnsi" w:cstheme="minorHAnsi"/>
          <w:sz w:val="22"/>
          <w:szCs w:val="22"/>
        </w:rPr>
        <w:t xml:space="preserve"> listed species, in the draft Thiamethoxam BE, the Agency assumed that the dietary items (for the animals), or pollinators (for the plant) were present on treated fields and other treated areas during thiamethoxam applications. However, based on proximity analyses for the agricultural use </w:t>
      </w:r>
      <w:r w:rsidRPr="004B5609">
        <w:rPr>
          <w:rFonts w:asciiTheme="minorHAnsi" w:hAnsiTheme="minorHAnsi" w:cstheme="minorHAnsi"/>
          <w:sz w:val="22"/>
          <w:szCs w:val="22"/>
        </w:rPr>
        <w:lastRenderedPageBreak/>
        <w:t>patterns deemed LAA in the draft BE for indirect effects to these three listed species, none were found in close proximity to the species ranges. The Agency provided no scientific rationale in the Draft Neonic BEs for their assumption that dietary items or pollinators of listed species would be present on treated fields even though the habitat requirements of these receptor groups are generally similar to those where the listed species are found. Had the Agency accounted for the proximity of thiamethoxam use patterns to the habitats where listed species are found and adjusted exposure accordingly using a spray drift model, many LAA conclusions for indirect effects would have been NLAA.</w:t>
      </w:r>
    </w:p>
    <w:p w14:paraId="6D6DA8E7" w14:textId="77777777" w:rsidR="00E131EA" w:rsidRDefault="00E131EA" w:rsidP="005859DB">
      <w:pPr>
        <w:pStyle w:val="Default"/>
        <w:rPr>
          <w:rFonts w:asciiTheme="minorHAnsi" w:hAnsiTheme="minorHAnsi" w:cstheme="minorHAnsi"/>
          <w:sz w:val="22"/>
          <w:szCs w:val="22"/>
        </w:rPr>
      </w:pPr>
    </w:p>
    <w:p w14:paraId="22F598EF" w14:textId="1678E97D" w:rsidR="00E131EA" w:rsidRPr="00D05067" w:rsidRDefault="00E131EA" w:rsidP="005859DB">
      <w:pPr>
        <w:pStyle w:val="Default"/>
        <w:rPr>
          <w:rFonts w:asciiTheme="minorHAnsi" w:hAnsiTheme="minorHAnsi" w:cstheme="minorHAnsi"/>
          <w:bCs/>
          <w:sz w:val="22"/>
          <w:szCs w:val="22"/>
        </w:rPr>
      </w:pPr>
      <w:r>
        <w:rPr>
          <w:rFonts w:asciiTheme="minorHAnsi" w:hAnsiTheme="minorHAnsi" w:cstheme="minorHAnsi"/>
          <w:b/>
          <w:sz w:val="22"/>
          <w:szCs w:val="22"/>
        </w:rPr>
        <w:t>EPA</w:t>
      </w:r>
      <w:r w:rsidRPr="007223C6">
        <w:rPr>
          <w:rFonts w:asciiTheme="minorHAnsi" w:hAnsiTheme="minorHAnsi" w:cstheme="minorHAnsi"/>
          <w:b/>
          <w:sz w:val="22"/>
          <w:szCs w:val="22"/>
        </w:rPr>
        <w:t xml:space="preserve"> Response:</w:t>
      </w:r>
      <w:r>
        <w:rPr>
          <w:rFonts w:asciiTheme="minorHAnsi" w:hAnsiTheme="minorHAnsi" w:cstheme="minorHAnsi"/>
          <w:b/>
          <w:sz w:val="22"/>
          <w:szCs w:val="22"/>
        </w:rPr>
        <w:t xml:space="preserve"> </w:t>
      </w:r>
      <w:r w:rsidR="00B11C97" w:rsidRPr="0067789F">
        <w:rPr>
          <w:rFonts w:asciiTheme="minorHAnsi" w:hAnsiTheme="minorHAnsi" w:cstheme="minorHAnsi"/>
          <w:i/>
          <w:sz w:val="22"/>
          <w:szCs w:val="22"/>
        </w:rPr>
        <w:t>EPA appreciates the submission of this information. EPA relies on the Services</w:t>
      </w:r>
      <w:r w:rsidR="00114B5B">
        <w:rPr>
          <w:rFonts w:asciiTheme="minorHAnsi" w:hAnsiTheme="minorHAnsi" w:cstheme="minorHAnsi"/>
          <w:i/>
          <w:sz w:val="22"/>
          <w:szCs w:val="22"/>
        </w:rPr>
        <w:t>’</w:t>
      </w:r>
      <w:r w:rsidR="00B11C97" w:rsidRPr="0067789F">
        <w:rPr>
          <w:rFonts w:asciiTheme="minorHAnsi" w:hAnsiTheme="minorHAnsi" w:cstheme="minorHAnsi"/>
          <w:i/>
          <w:sz w:val="22"/>
          <w:szCs w:val="22"/>
        </w:rPr>
        <w:t xml:space="preserve"> </w:t>
      </w:r>
      <w:r w:rsidR="000805F0">
        <w:rPr>
          <w:rFonts w:asciiTheme="minorHAnsi" w:hAnsiTheme="minorHAnsi" w:cstheme="minorHAnsi"/>
          <w:i/>
          <w:sz w:val="22"/>
          <w:szCs w:val="22"/>
        </w:rPr>
        <w:t xml:space="preserve">documents </w:t>
      </w:r>
      <w:r w:rsidR="000805F0" w:rsidRPr="000805F0">
        <w:rPr>
          <w:rFonts w:asciiTheme="minorHAnsi" w:hAnsiTheme="minorHAnsi" w:cstheme="minorHAnsi"/>
          <w:i/>
          <w:sz w:val="22"/>
          <w:szCs w:val="22"/>
        </w:rPr>
        <w:t>(</w:t>
      </w:r>
      <w:r w:rsidR="000805F0" w:rsidRPr="00114B5B">
        <w:rPr>
          <w:rFonts w:asciiTheme="minorHAnsi" w:hAnsiTheme="minorHAnsi" w:cstheme="minorHAnsi"/>
          <w:sz w:val="22"/>
          <w:szCs w:val="22"/>
        </w:rPr>
        <w:t>e.g</w:t>
      </w:r>
      <w:r w:rsidR="000805F0" w:rsidRPr="000805F0">
        <w:rPr>
          <w:rFonts w:asciiTheme="minorHAnsi" w:hAnsiTheme="minorHAnsi" w:cstheme="minorHAnsi"/>
          <w:i/>
          <w:sz w:val="22"/>
          <w:szCs w:val="22"/>
        </w:rPr>
        <w:t>., Recovery plan, 5-year review)</w:t>
      </w:r>
      <w:r w:rsidR="00B11C97" w:rsidRPr="0067789F">
        <w:rPr>
          <w:rFonts w:asciiTheme="minorHAnsi" w:hAnsiTheme="minorHAnsi" w:cstheme="minorHAnsi"/>
          <w:i/>
          <w:sz w:val="22"/>
          <w:szCs w:val="22"/>
        </w:rPr>
        <w:t xml:space="preserve"> when identifying the species habitat requirements. </w:t>
      </w:r>
      <w:r w:rsidR="00EE419F">
        <w:rPr>
          <w:rFonts w:asciiTheme="minorHAnsi" w:hAnsiTheme="minorHAnsi" w:cstheme="minorHAnsi"/>
          <w:i/>
          <w:sz w:val="22"/>
          <w:szCs w:val="22"/>
        </w:rPr>
        <w:t>I</w:t>
      </w:r>
      <w:r w:rsidR="00B11C97" w:rsidRPr="0067789F">
        <w:rPr>
          <w:rFonts w:asciiTheme="minorHAnsi" w:hAnsiTheme="minorHAnsi" w:cstheme="minorHAnsi"/>
          <w:i/>
          <w:sz w:val="22"/>
          <w:szCs w:val="22"/>
        </w:rPr>
        <w:t xml:space="preserve">f appropriate, </w:t>
      </w:r>
      <w:r w:rsidR="00DE77E7">
        <w:rPr>
          <w:rFonts w:asciiTheme="minorHAnsi" w:hAnsiTheme="minorHAnsi" w:cstheme="minorHAnsi"/>
          <w:i/>
          <w:sz w:val="22"/>
          <w:szCs w:val="22"/>
        </w:rPr>
        <w:t>the</w:t>
      </w:r>
      <w:r w:rsidR="00417474">
        <w:rPr>
          <w:rFonts w:asciiTheme="minorHAnsi" w:hAnsiTheme="minorHAnsi" w:cstheme="minorHAnsi"/>
          <w:i/>
          <w:sz w:val="22"/>
          <w:szCs w:val="22"/>
        </w:rPr>
        <w:t xml:space="preserve"> habitat requirement</w:t>
      </w:r>
      <w:r w:rsidR="00DE77E7">
        <w:rPr>
          <w:rFonts w:asciiTheme="minorHAnsi" w:hAnsiTheme="minorHAnsi" w:cstheme="minorHAnsi"/>
          <w:i/>
          <w:sz w:val="22"/>
          <w:szCs w:val="22"/>
        </w:rPr>
        <w:t xml:space="preserve"> information </w:t>
      </w:r>
      <w:r w:rsidR="00337372" w:rsidRPr="00BB2013">
        <w:rPr>
          <w:rFonts w:asciiTheme="minorHAnsi" w:hAnsiTheme="minorHAnsi" w:cstheme="minorHAnsi"/>
          <w:i/>
          <w:iCs/>
          <w:sz w:val="22"/>
          <w:szCs w:val="22"/>
        </w:rPr>
        <w:t>will be further considered during consultation with the Services</w:t>
      </w:r>
      <w:r w:rsidR="00337372">
        <w:rPr>
          <w:rFonts w:asciiTheme="minorHAnsi" w:hAnsiTheme="minorHAnsi" w:cstheme="minorHAnsi"/>
          <w:i/>
          <w:iCs/>
          <w:sz w:val="22"/>
          <w:szCs w:val="22"/>
        </w:rPr>
        <w:t>.</w:t>
      </w:r>
    </w:p>
    <w:p w14:paraId="42F8DBC5" w14:textId="77777777" w:rsidR="00E131EA" w:rsidRDefault="00E131EA" w:rsidP="005859DB">
      <w:pPr>
        <w:pStyle w:val="Default"/>
        <w:rPr>
          <w:rFonts w:asciiTheme="minorHAnsi" w:hAnsiTheme="minorHAnsi" w:cstheme="minorHAnsi"/>
          <w:sz w:val="22"/>
          <w:szCs w:val="22"/>
        </w:rPr>
      </w:pPr>
    </w:p>
    <w:p w14:paraId="6013F153" w14:textId="63637556" w:rsidR="00E131EA" w:rsidRDefault="00E131EA" w:rsidP="005859DB">
      <w:pPr>
        <w:pStyle w:val="Default"/>
        <w:rPr>
          <w:rFonts w:asciiTheme="minorHAnsi" w:hAnsiTheme="minorHAnsi" w:cstheme="minorHAnsi"/>
          <w:sz w:val="22"/>
          <w:szCs w:val="22"/>
        </w:rPr>
      </w:pPr>
      <w:r w:rsidRPr="00030507">
        <w:rPr>
          <w:rFonts w:asciiTheme="minorHAnsi" w:hAnsiTheme="minorHAnsi" w:cstheme="minorHAnsi"/>
          <w:b/>
          <w:bCs/>
          <w:sz w:val="22"/>
          <w:szCs w:val="22"/>
        </w:rPr>
        <w:t>Comment</w:t>
      </w:r>
      <w:r w:rsidR="00510478">
        <w:rPr>
          <w:rFonts w:asciiTheme="minorHAnsi" w:hAnsiTheme="minorHAnsi" w:cstheme="minorHAnsi"/>
          <w:b/>
          <w:bCs/>
          <w:sz w:val="22"/>
          <w:szCs w:val="22"/>
        </w:rPr>
        <w:t xml:space="preserve">: </w:t>
      </w:r>
      <w:r w:rsidRPr="002F727C">
        <w:rPr>
          <w:rFonts w:asciiTheme="minorHAnsi" w:hAnsiTheme="minorHAnsi" w:cstheme="minorHAnsi"/>
          <w:sz w:val="22"/>
          <w:szCs w:val="22"/>
        </w:rPr>
        <w:t>The current implementation of the MAGtool</w:t>
      </w:r>
      <w:r w:rsidR="00B11C97">
        <w:rPr>
          <w:rFonts w:asciiTheme="minorHAnsi" w:hAnsiTheme="minorHAnsi" w:cstheme="minorHAnsi"/>
          <w:sz w:val="22"/>
          <w:szCs w:val="22"/>
        </w:rPr>
        <w:t xml:space="preserve"> </w:t>
      </w:r>
      <w:r w:rsidRPr="002F727C">
        <w:rPr>
          <w:rFonts w:asciiTheme="minorHAnsi" w:hAnsiTheme="minorHAnsi" w:cstheme="minorHAnsi"/>
          <w:sz w:val="22"/>
          <w:szCs w:val="22"/>
        </w:rPr>
        <w:t>only considers terrestrial insects in estimating the effects of pesticides, including thiamethoxam, on the prey of the Alameda whipsnake. Terrestrial insects are infrequently consumed by this species, and EPA provided no evidence that the reduced availability of insect prey would have any impact on even one individual snake.</w:t>
      </w:r>
    </w:p>
    <w:p w14:paraId="781DF868" w14:textId="77777777" w:rsidR="00E131EA" w:rsidRDefault="00E131EA" w:rsidP="005859DB">
      <w:pPr>
        <w:pStyle w:val="Default"/>
        <w:rPr>
          <w:rFonts w:asciiTheme="minorHAnsi" w:hAnsiTheme="minorHAnsi" w:cstheme="minorHAnsi"/>
          <w:sz w:val="22"/>
          <w:szCs w:val="22"/>
        </w:rPr>
      </w:pPr>
    </w:p>
    <w:p w14:paraId="590698FE" w14:textId="7E8EAFC8" w:rsidR="00E131EA" w:rsidRDefault="00E131EA" w:rsidP="005859DB">
      <w:pPr>
        <w:pStyle w:val="Default"/>
        <w:rPr>
          <w:rFonts w:asciiTheme="minorHAnsi" w:hAnsiTheme="minorHAnsi" w:cstheme="minorHAnsi"/>
          <w:sz w:val="22"/>
          <w:szCs w:val="22"/>
        </w:rPr>
      </w:pPr>
      <w:r w:rsidRPr="002F727C">
        <w:rPr>
          <w:rFonts w:asciiTheme="minorHAnsi" w:hAnsiTheme="minorHAnsi" w:cstheme="minorHAnsi"/>
          <w:sz w:val="22"/>
          <w:szCs w:val="22"/>
        </w:rPr>
        <w:t>In the case of the Everglade snail kite (</w:t>
      </w:r>
      <w:proofErr w:type="spellStart"/>
      <w:r w:rsidRPr="002F727C">
        <w:rPr>
          <w:rFonts w:asciiTheme="minorHAnsi" w:hAnsiTheme="minorHAnsi" w:cstheme="minorHAnsi"/>
          <w:i/>
          <w:iCs/>
          <w:sz w:val="22"/>
          <w:szCs w:val="22"/>
        </w:rPr>
        <w:t>Rostrhamus</w:t>
      </w:r>
      <w:proofErr w:type="spellEnd"/>
      <w:r w:rsidRPr="002F727C">
        <w:rPr>
          <w:rFonts w:asciiTheme="minorHAnsi" w:hAnsiTheme="minorHAnsi" w:cstheme="minorHAnsi"/>
          <w:i/>
          <w:iCs/>
          <w:sz w:val="22"/>
          <w:szCs w:val="22"/>
        </w:rPr>
        <w:t xml:space="preserve"> </w:t>
      </w:r>
      <w:proofErr w:type="spellStart"/>
      <w:r w:rsidRPr="002F727C">
        <w:rPr>
          <w:rFonts w:asciiTheme="minorHAnsi" w:hAnsiTheme="minorHAnsi" w:cstheme="minorHAnsi"/>
          <w:i/>
          <w:iCs/>
          <w:sz w:val="22"/>
          <w:szCs w:val="22"/>
        </w:rPr>
        <w:t>sociabilis</w:t>
      </w:r>
      <w:proofErr w:type="spellEnd"/>
      <w:r w:rsidRPr="002F727C">
        <w:rPr>
          <w:rFonts w:asciiTheme="minorHAnsi" w:hAnsiTheme="minorHAnsi" w:cstheme="minorHAnsi"/>
          <w:sz w:val="22"/>
          <w:szCs w:val="22"/>
        </w:rPr>
        <w:t>), the model correctly considered aquatic invertebrates as the major receptor group upon which the kite species depends for food. However, the</w:t>
      </w:r>
      <w:r>
        <w:rPr>
          <w:rFonts w:asciiTheme="minorHAnsi" w:hAnsiTheme="minorHAnsi" w:cstheme="minorHAnsi"/>
          <w:sz w:val="22"/>
          <w:szCs w:val="22"/>
        </w:rPr>
        <w:t xml:space="preserve"> </w:t>
      </w:r>
      <w:r w:rsidRPr="002F727C">
        <w:rPr>
          <w:rFonts w:asciiTheme="minorHAnsi" w:hAnsiTheme="minorHAnsi" w:cstheme="minorHAnsi"/>
          <w:sz w:val="22"/>
          <w:szCs w:val="22"/>
        </w:rPr>
        <w:t>kite has an obligate dependency on apple snails, a unique dietary requirement that was not considered in the Draft Neonic BEs (Reichert et al., 2020). Although thiamethoxam is toxic to aquatic insects, it is non-toxic to aquatic snails including apple snails even at the upper bound concentrations estimated to occur by EPA in habitats of the Everglade snail kite</w:t>
      </w:r>
      <w:r w:rsidR="00B11C97">
        <w:rPr>
          <w:rFonts w:asciiTheme="minorHAnsi" w:hAnsiTheme="minorHAnsi" w:cstheme="minorHAnsi"/>
          <w:sz w:val="22"/>
          <w:szCs w:val="22"/>
        </w:rPr>
        <w:t xml:space="preserve">. </w:t>
      </w:r>
    </w:p>
    <w:p w14:paraId="6D283CA2" w14:textId="77777777" w:rsidR="00E131EA" w:rsidRDefault="00E131EA" w:rsidP="005859DB">
      <w:pPr>
        <w:pStyle w:val="Default"/>
        <w:rPr>
          <w:rFonts w:asciiTheme="minorHAnsi" w:hAnsiTheme="minorHAnsi" w:cstheme="minorHAnsi"/>
          <w:sz w:val="22"/>
          <w:szCs w:val="22"/>
        </w:rPr>
      </w:pPr>
    </w:p>
    <w:p w14:paraId="3BAB166D" w14:textId="60F36A30" w:rsidR="00E131EA" w:rsidRDefault="00E131EA" w:rsidP="005859DB">
      <w:pPr>
        <w:pStyle w:val="Default"/>
        <w:rPr>
          <w:rFonts w:asciiTheme="minorHAnsi" w:hAnsiTheme="minorHAnsi" w:cstheme="minorHAnsi"/>
          <w:sz w:val="22"/>
          <w:szCs w:val="22"/>
        </w:rPr>
      </w:pPr>
      <w:r w:rsidRPr="007A2EB5">
        <w:rPr>
          <w:rFonts w:asciiTheme="minorHAnsi" w:hAnsiTheme="minorHAnsi" w:cstheme="minorHAnsi"/>
          <w:sz w:val="22"/>
          <w:szCs w:val="22"/>
        </w:rPr>
        <w:t>The lack of species specificity regarding the dietary requirements of listed species led to EPA concluding that the use of thiamethoxam would adversely affect the availability of prey upon which listed species depend for numerous use patterns. Had the unique dietary requirements of listed animal species been considered, there likely would have been significantly fewer LAA conclusions. We recommend that EPA modify the MAGtool to estimate exposure and risk to the major dietary items upon which each listed species depends. We further recommend that EPA model typical diets for listed species that have multiple dietary items rather than modeling each dietary item assuming that it constitutes 100% of the diet.</w:t>
      </w:r>
    </w:p>
    <w:p w14:paraId="2D882BF1" w14:textId="77777777" w:rsidR="00E131EA" w:rsidRDefault="00E131EA" w:rsidP="005859DB">
      <w:pPr>
        <w:pStyle w:val="Default"/>
        <w:rPr>
          <w:rFonts w:asciiTheme="minorHAnsi" w:hAnsiTheme="minorHAnsi" w:cstheme="minorHAnsi"/>
          <w:sz w:val="22"/>
          <w:szCs w:val="22"/>
        </w:rPr>
      </w:pPr>
    </w:p>
    <w:p w14:paraId="5C0A75F2" w14:textId="07C24EB2" w:rsidR="00E131EA" w:rsidRPr="0067789F" w:rsidRDefault="00E131EA" w:rsidP="005859DB">
      <w:pPr>
        <w:pStyle w:val="Default"/>
        <w:rPr>
          <w:rFonts w:asciiTheme="minorHAnsi" w:hAnsiTheme="minorHAnsi" w:cstheme="minorHAnsi"/>
          <w:b/>
          <w:i/>
          <w:sz w:val="22"/>
          <w:szCs w:val="22"/>
        </w:rPr>
      </w:pPr>
      <w:r>
        <w:rPr>
          <w:rFonts w:asciiTheme="minorHAnsi" w:hAnsiTheme="minorHAnsi" w:cstheme="minorHAnsi"/>
          <w:b/>
          <w:sz w:val="22"/>
          <w:szCs w:val="22"/>
        </w:rPr>
        <w:t>EPA</w:t>
      </w:r>
      <w:r w:rsidRPr="007223C6">
        <w:rPr>
          <w:rFonts w:asciiTheme="minorHAnsi" w:hAnsiTheme="minorHAnsi" w:cstheme="minorHAnsi"/>
          <w:b/>
          <w:sz w:val="22"/>
          <w:szCs w:val="22"/>
        </w:rPr>
        <w:t xml:space="preserve"> Response:</w:t>
      </w:r>
      <w:r>
        <w:rPr>
          <w:rFonts w:asciiTheme="minorHAnsi" w:hAnsiTheme="minorHAnsi" w:cstheme="minorHAnsi"/>
          <w:b/>
          <w:sz w:val="22"/>
          <w:szCs w:val="22"/>
        </w:rPr>
        <w:t xml:space="preserve"> </w:t>
      </w:r>
      <w:r w:rsidR="00B11C97" w:rsidRPr="0067789F">
        <w:rPr>
          <w:rFonts w:asciiTheme="minorHAnsi" w:hAnsiTheme="minorHAnsi" w:cstheme="minorHAnsi"/>
          <w:i/>
          <w:sz w:val="22"/>
          <w:szCs w:val="22"/>
        </w:rPr>
        <w:t xml:space="preserve">EPA relies on the Services (who are the species experts) when identifying the dietary requirements of listed species. </w:t>
      </w:r>
      <w:r w:rsidR="00EE419F">
        <w:rPr>
          <w:rFonts w:asciiTheme="minorHAnsi" w:hAnsiTheme="minorHAnsi" w:cstheme="minorHAnsi"/>
          <w:i/>
          <w:sz w:val="22"/>
          <w:szCs w:val="22"/>
        </w:rPr>
        <w:t>I</w:t>
      </w:r>
      <w:r w:rsidR="00B11C97" w:rsidRPr="0067789F">
        <w:rPr>
          <w:rFonts w:asciiTheme="minorHAnsi" w:hAnsiTheme="minorHAnsi" w:cstheme="minorHAnsi"/>
          <w:i/>
          <w:sz w:val="22"/>
          <w:szCs w:val="22"/>
        </w:rPr>
        <w:t xml:space="preserve">f appropriate, </w:t>
      </w:r>
      <w:r w:rsidR="00102BB4">
        <w:rPr>
          <w:rFonts w:asciiTheme="minorHAnsi" w:hAnsiTheme="minorHAnsi" w:cstheme="minorHAnsi"/>
          <w:i/>
          <w:sz w:val="22"/>
          <w:szCs w:val="22"/>
        </w:rPr>
        <w:t xml:space="preserve">the </w:t>
      </w:r>
      <w:r w:rsidR="00037228">
        <w:rPr>
          <w:rFonts w:asciiTheme="minorHAnsi" w:hAnsiTheme="minorHAnsi" w:cstheme="minorHAnsi"/>
          <w:bCs/>
          <w:i/>
          <w:iCs/>
          <w:sz w:val="22"/>
          <w:szCs w:val="22"/>
        </w:rPr>
        <w:t>dietary item preferences and variation in dietary items consumed</w:t>
      </w:r>
      <w:r w:rsidR="00102BB4">
        <w:rPr>
          <w:rFonts w:asciiTheme="minorHAnsi" w:hAnsiTheme="minorHAnsi" w:cstheme="minorHAnsi"/>
          <w:i/>
          <w:sz w:val="22"/>
          <w:szCs w:val="22"/>
        </w:rPr>
        <w:t xml:space="preserve"> </w:t>
      </w:r>
      <w:bookmarkStart w:id="65" w:name="_Hlk105444422"/>
      <w:r w:rsidR="00A2799C">
        <w:rPr>
          <w:rFonts w:asciiTheme="minorHAnsi" w:hAnsiTheme="minorHAnsi" w:cstheme="minorHAnsi"/>
          <w:i/>
          <w:iCs/>
          <w:sz w:val="22"/>
          <w:szCs w:val="22"/>
        </w:rPr>
        <w:t>may</w:t>
      </w:r>
      <w:r w:rsidR="00A2799C" w:rsidRPr="00BB2013">
        <w:rPr>
          <w:rFonts w:asciiTheme="minorHAnsi" w:hAnsiTheme="minorHAnsi" w:cstheme="minorHAnsi"/>
          <w:i/>
          <w:iCs/>
          <w:sz w:val="22"/>
          <w:szCs w:val="22"/>
        </w:rPr>
        <w:t xml:space="preserve"> </w:t>
      </w:r>
      <w:r w:rsidR="00E05A71" w:rsidRPr="00BB2013">
        <w:rPr>
          <w:rFonts w:asciiTheme="minorHAnsi" w:hAnsiTheme="minorHAnsi" w:cstheme="minorHAnsi"/>
          <w:i/>
          <w:iCs/>
          <w:sz w:val="22"/>
          <w:szCs w:val="22"/>
        </w:rPr>
        <w:t>be further considered during consultation with the Services</w:t>
      </w:r>
      <w:r w:rsidR="00B11C97" w:rsidRPr="0067789F">
        <w:rPr>
          <w:rFonts w:asciiTheme="minorHAnsi" w:hAnsiTheme="minorHAnsi" w:cstheme="minorHAnsi"/>
          <w:i/>
          <w:sz w:val="22"/>
          <w:szCs w:val="22"/>
        </w:rPr>
        <w:t>.</w:t>
      </w:r>
    </w:p>
    <w:bookmarkEnd w:id="65"/>
    <w:p w14:paraId="35D2F156" w14:textId="6CB79216" w:rsidR="00E564F7" w:rsidRPr="00E564F7" w:rsidRDefault="00E564F7" w:rsidP="005859DB">
      <w:pPr>
        <w:autoSpaceDE w:val="0"/>
        <w:autoSpaceDN w:val="0"/>
        <w:adjustRightInd w:val="0"/>
        <w:rPr>
          <w:rFonts w:asciiTheme="minorHAnsi" w:hAnsiTheme="minorHAnsi" w:cstheme="minorHAnsi"/>
          <w:bCs/>
          <w:color w:val="000000"/>
        </w:rPr>
        <w:sectPr w:rsidR="00E564F7" w:rsidRPr="00E564F7" w:rsidSect="005C5E5D">
          <w:pgSz w:w="12240" w:h="15840"/>
          <w:pgMar w:top="1440" w:right="1440" w:bottom="1440" w:left="1440" w:header="720" w:footer="720" w:gutter="0"/>
          <w:cols w:space="720"/>
          <w:docGrid w:linePitch="360"/>
        </w:sectPr>
      </w:pPr>
    </w:p>
    <w:p w14:paraId="32DC5B79" w14:textId="7FA5B5B4" w:rsidR="00F154DB" w:rsidRPr="00F154DB" w:rsidRDefault="00130027" w:rsidP="005859DB">
      <w:pPr>
        <w:pStyle w:val="Heading1"/>
        <w:rPr>
          <w:rFonts w:eastAsia="Calibri" w:cs="Arial"/>
          <w:highlight w:val="lightGray"/>
          <w:u w:val="single"/>
        </w:rPr>
      </w:pPr>
      <w:bookmarkStart w:id="66" w:name="_Hlk57120088"/>
      <w:bookmarkStart w:id="67" w:name="_Toc106187581"/>
      <w:r>
        <w:lastRenderedPageBreak/>
        <w:t>5</w:t>
      </w:r>
      <w:r>
        <w:tab/>
      </w:r>
      <w:r w:rsidR="005C5E5D" w:rsidRPr="00E564F7">
        <w:t>Responses to Public Comments Specific to Clothianidin</w:t>
      </w:r>
      <w:bookmarkEnd w:id="66"/>
      <w:bookmarkEnd w:id="67"/>
    </w:p>
    <w:p w14:paraId="5D3E2E0E" w14:textId="3579B42A" w:rsidR="00891C37" w:rsidRPr="009D7F1E" w:rsidRDefault="00891C37" w:rsidP="005859DB">
      <w:pPr>
        <w:pStyle w:val="Default"/>
        <w:contextualSpacing/>
        <w:rPr>
          <w:rFonts w:asciiTheme="minorHAnsi" w:hAnsiTheme="minorHAnsi" w:cstheme="minorHAnsi"/>
          <w:b/>
          <w:sz w:val="22"/>
          <w:szCs w:val="22"/>
          <w:u w:val="single"/>
        </w:rPr>
      </w:pPr>
    </w:p>
    <w:p w14:paraId="69FCC4AF" w14:textId="24A448FA" w:rsidR="00891C37" w:rsidRPr="009D7F1E" w:rsidRDefault="00A43C9B" w:rsidP="005859DB">
      <w:pPr>
        <w:contextualSpacing/>
        <w:rPr>
          <w:rFonts w:asciiTheme="minorHAnsi" w:eastAsia="Calibri" w:hAnsiTheme="minorHAnsi" w:cstheme="minorHAnsi"/>
          <w:color w:val="000000" w:themeColor="text1"/>
          <w:highlight w:val="yellow"/>
        </w:rPr>
      </w:pPr>
      <w:r>
        <w:rPr>
          <w:rFonts w:asciiTheme="minorHAnsi" w:hAnsiTheme="minorHAnsi" w:cstheme="minorHAnsi"/>
          <w:b/>
        </w:rPr>
        <w:t>C</w:t>
      </w:r>
      <w:r w:rsidR="00891C37" w:rsidRPr="00052116">
        <w:rPr>
          <w:rFonts w:asciiTheme="minorHAnsi" w:hAnsiTheme="minorHAnsi" w:cstheme="minorHAnsi"/>
          <w:b/>
        </w:rPr>
        <w:t>omment</w:t>
      </w:r>
      <w:r w:rsidR="00052116" w:rsidRPr="00052116">
        <w:rPr>
          <w:rFonts w:asciiTheme="minorHAnsi" w:hAnsiTheme="minorHAnsi" w:cstheme="minorHAnsi"/>
          <w:b/>
        </w:rPr>
        <w:t>:</w:t>
      </w:r>
      <w:r>
        <w:rPr>
          <w:rFonts w:asciiTheme="minorHAnsi" w:hAnsiTheme="minorHAnsi" w:cstheme="minorHAnsi"/>
          <w:b/>
        </w:rPr>
        <w:t xml:space="preserve"> </w:t>
      </w:r>
      <w:r w:rsidRPr="00A43C9B">
        <w:rPr>
          <w:rFonts w:asciiTheme="minorHAnsi" w:hAnsiTheme="minorHAnsi" w:cstheme="minorHAnsi"/>
          <w:bCs/>
        </w:rPr>
        <w:t>The commenter</w:t>
      </w:r>
      <w:r w:rsidR="00891C37" w:rsidRPr="00052116">
        <w:rPr>
          <w:rFonts w:asciiTheme="minorHAnsi" w:eastAsia="Calibri" w:hAnsiTheme="minorHAnsi" w:cstheme="minorHAnsi"/>
          <w:color w:val="000000" w:themeColor="text1"/>
        </w:rPr>
        <w:t xml:space="preserve"> notes the terrestrial assessment</w:t>
      </w:r>
      <w:r w:rsidR="00891C37" w:rsidRPr="009D7F1E">
        <w:rPr>
          <w:rFonts w:asciiTheme="minorHAnsi" w:eastAsia="Calibri" w:hAnsiTheme="minorHAnsi" w:cstheme="minorHAnsi"/>
          <w:color w:val="000000" w:themeColor="text1"/>
        </w:rPr>
        <w:t xml:space="preserve"> of leafy vegetables used a retreatment interval of 7 days whereas labels specify an interval of 10 days. </w:t>
      </w:r>
      <w:r>
        <w:rPr>
          <w:rFonts w:asciiTheme="minorHAnsi" w:eastAsia="Calibri" w:hAnsiTheme="minorHAnsi" w:cstheme="minorHAnsi"/>
          <w:color w:val="000000" w:themeColor="text1"/>
        </w:rPr>
        <w:t>The commenter</w:t>
      </w:r>
      <w:r w:rsidR="00891C37" w:rsidRPr="009D7F1E">
        <w:rPr>
          <w:rFonts w:asciiTheme="minorHAnsi" w:eastAsia="Calibri" w:hAnsiTheme="minorHAnsi" w:cstheme="minorHAnsi"/>
          <w:color w:val="000000" w:themeColor="text1"/>
        </w:rPr>
        <w:t xml:space="preserve"> also notes foliar use on grapes allow only one application allowed per year, but two applications were evaluated. </w:t>
      </w:r>
    </w:p>
    <w:p w14:paraId="6403F3FF" w14:textId="77777777" w:rsidR="00891C37" w:rsidRPr="009D7F1E" w:rsidRDefault="00891C37" w:rsidP="005859DB">
      <w:pPr>
        <w:contextualSpacing/>
        <w:rPr>
          <w:rFonts w:asciiTheme="minorHAnsi" w:eastAsiaTheme="minorEastAsia" w:hAnsiTheme="minorHAnsi" w:cstheme="minorHAnsi"/>
          <w:color w:val="000000" w:themeColor="text1"/>
          <w:highlight w:val="yellow"/>
        </w:rPr>
      </w:pPr>
    </w:p>
    <w:p w14:paraId="3C469B03" w14:textId="4540FB58" w:rsidR="00891C37" w:rsidRDefault="0067789F" w:rsidP="005859DB">
      <w:pPr>
        <w:contextualSpacing/>
        <w:rPr>
          <w:rFonts w:asciiTheme="minorHAnsi" w:eastAsiaTheme="minorEastAsia" w:hAnsiTheme="minorHAnsi" w:cstheme="minorHAnsi"/>
          <w:color w:val="000000" w:themeColor="text1"/>
        </w:rPr>
      </w:pPr>
      <w:r w:rsidRPr="00891C37">
        <w:rPr>
          <w:rFonts w:asciiTheme="minorHAnsi" w:hAnsiTheme="minorHAnsi" w:cstheme="minorHAnsi"/>
          <w:b/>
        </w:rPr>
        <w:t>E</w:t>
      </w:r>
      <w:r>
        <w:rPr>
          <w:rFonts w:asciiTheme="minorHAnsi" w:hAnsiTheme="minorHAnsi" w:cstheme="minorHAnsi"/>
          <w:b/>
        </w:rPr>
        <w:t>PA</w:t>
      </w:r>
      <w:r w:rsidR="00891C37" w:rsidRPr="00891C37">
        <w:rPr>
          <w:rFonts w:asciiTheme="minorHAnsi" w:hAnsiTheme="minorHAnsi" w:cstheme="minorHAnsi"/>
          <w:b/>
        </w:rPr>
        <w:t xml:space="preserve"> Response: </w:t>
      </w:r>
      <w:r w:rsidR="00891C37" w:rsidRPr="0067789F">
        <w:rPr>
          <w:rFonts w:asciiTheme="minorHAnsi" w:eastAsiaTheme="minorEastAsia" w:hAnsiTheme="minorHAnsi" w:cstheme="minorHAnsi"/>
          <w:i/>
          <w:color w:val="000000" w:themeColor="text1"/>
        </w:rPr>
        <w:t xml:space="preserve">Terrestrial exposure modeling in the </w:t>
      </w:r>
      <w:r w:rsidR="000776E4">
        <w:rPr>
          <w:rFonts w:asciiTheme="minorHAnsi" w:eastAsiaTheme="minorEastAsia" w:hAnsiTheme="minorHAnsi" w:cstheme="minorHAnsi"/>
          <w:i/>
          <w:color w:val="000000" w:themeColor="text1"/>
        </w:rPr>
        <w:t>d</w:t>
      </w:r>
      <w:r w:rsidR="00891C37" w:rsidRPr="0067789F">
        <w:rPr>
          <w:rFonts w:asciiTheme="minorHAnsi" w:eastAsiaTheme="minorEastAsia" w:hAnsiTheme="minorHAnsi" w:cstheme="minorHAnsi"/>
          <w:i/>
          <w:color w:val="000000" w:themeColor="text1"/>
        </w:rPr>
        <w:t xml:space="preserve">raft </w:t>
      </w:r>
      <w:r w:rsidR="000776E4">
        <w:rPr>
          <w:rFonts w:asciiTheme="minorHAnsi" w:eastAsiaTheme="minorEastAsia" w:hAnsiTheme="minorHAnsi" w:cstheme="minorHAnsi"/>
          <w:i/>
          <w:color w:val="000000" w:themeColor="text1"/>
        </w:rPr>
        <w:t>BE</w:t>
      </w:r>
      <w:r w:rsidR="00891C37" w:rsidRPr="0067789F">
        <w:rPr>
          <w:rFonts w:asciiTheme="minorHAnsi" w:eastAsiaTheme="minorEastAsia" w:hAnsiTheme="minorHAnsi" w:cstheme="minorHAnsi"/>
          <w:i/>
          <w:color w:val="000000" w:themeColor="text1"/>
        </w:rPr>
        <w:t xml:space="preserve"> was conducted across all use patterns associated with a given UDL. For this reason, two applications were assumed for the CONUS</w:t>
      </w:r>
      <w:r w:rsidR="00BA2C46">
        <w:rPr>
          <w:rFonts w:asciiTheme="minorHAnsi" w:eastAsiaTheme="minorEastAsia" w:hAnsiTheme="minorHAnsi" w:cstheme="minorHAnsi"/>
          <w:i/>
          <w:color w:val="000000" w:themeColor="text1"/>
        </w:rPr>
        <w:t xml:space="preserve"> </w:t>
      </w:r>
      <w:r w:rsidR="00891C37" w:rsidRPr="0067789F">
        <w:rPr>
          <w:rFonts w:asciiTheme="minorHAnsi" w:eastAsiaTheme="minorEastAsia" w:hAnsiTheme="minorHAnsi" w:cstheme="minorHAnsi"/>
          <w:i/>
          <w:color w:val="000000" w:themeColor="text1"/>
        </w:rPr>
        <w:t xml:space="preserve">Grapes UDL because two applications are </w:t>
      </w:r>
      <w:r w:rsidR="00891C37" w:rsidRPr="0067789F">
        <w:rPr>
          <w:rFonts w:asciiTheme="minorHAnsi" w:eastAsiaTheme="minorEastAsia" w:hAnsiTheme="minorHAnsi" w:cstheme="minorHAnsi"/>
          <w:i/>
          <w:iCs/>
          <w:color w:val="000000" w:themeColor="text1"/>
        </w:rPr>
        <w:t>allow</w:t>
      </w:r>
      <w:r w:rsidR="008525BB">
        <w:rPr>
          <w:rFonts w:asciiTheme="minorHAnsi" w:eastAsiaTheme="minorEastAsia" w:hAnsiTheme="minorHAnsi" w:cstheme="minorHAnsi"/>
          <w:i/>
          <w:iCs/>
          <w:color w:val="000000" w:themeColor="text1"/>
        </w:rPr>
        <w:t>ed</w:t>
      </w:r>
      <w:r w:rsidR="00891C37" w:rsidRPr="0067789F">
        <w:rPr>
          <w:rFonts w:asciiTheme="minorHAnsi" w:eastAsiaTheme="minorEastAsia" w:hAnsiTheme="minorHAnsi" w:cstheme="minorHAnsi"/>
          <w:i/>
          <w:color w:val="000000" w:themeColor="text1"/>
        </w:rPr>
        <w:t xml:space="preserve"> for ground applications. Similarly, some leafy vegetables labels do not specify a retreatment interval</w:t>
      </w:r>
      <w:r w:rsidR="008525BB">
        <w:rPr>
          <w:rFonts w:asciiTheme="minorHAnsi" w:eastAsiaTheme="minorEastAsia" w:hAnsiTheme="minorHAnsi" w:cstheme="minorHAnsi"/>
          <w:i/>
          <w:iCs/>
          <w:color w:val="000000" w:themeColor="text1"/>
        </w:rPr>
        <w:t>,</w:t>
      </w:r>
      <w:r w:rsidR="00891C37" w:rsidRPr="0067789F">
        <w:rPr>
          <w:rFonts w:asciiTheme="minorHAnsi" w:eastAsiaTheme="minorEastAsia" w:hAnsiTheme="minorHAnsi" w:cstheme="minorHAnsi"/>
          <w:i/>
          <w:color w:val="000000" w:themeColor="text1"/>
        </w:rPr>
        <w:t xml:space="preserve"> so a 7</w:t>
      </w:r>
      <w:r w:rsidR="008525BB">
        <w:rPr>
          <w:rFonts w:asciiTheme="minorHAnsi" w:eastAsiaTheme="minorEastAsia" w:hAnsiTheme="minorHAnsi" w:cstheme="minorHAnsi"/>
          <w:i/>
          <w:iCs/>
          <w:color w:val="000000" w:themeColor="text1"/>
        </w:rPr>
        <w:t>-</w:t>
      </w:r>
      <w:r w:rsidR="00891C37" w:rsidRPr="0067789F">
        <w:rPr>
          <w:rFonts w:asciiTheme="minorHAnsi" w:eastAsiaTheme="minorEastAsia" w:hAnsiTheme="minorHAnsi" w:cstheme="minorHAnsi"/>
          <w:i/>
          <w:color w:val="000000" w:themeColor="text1"/>
        </w:rPr>
        <w:t>day interval was assumed.</w:t>
      </w:r>
    </w:p>
    <w:p w14:paraId="7FBB6C40" w14:textId="18FB78D4" w:rsidR="00E07052" w:rsidRDefault="00E07052" w:rsidP="005859DB">
      <w:pPr>
        <w:contextualSpacing/>
        <w:rPr>
          <w:rFonts w:asciiTheme="minorHAnsi" w:eastAsiaTheme="minorEastAsia" w:hAnsiTheme="minorHAnsi" w:cstheme="minorHAnsi"/>
          <w:color w:val="000000" w:themeColor="text1"/>
          <w:highlight w:val="yellow"/>
        </w:rPr>
      </w:pPr>
    </w:p>
    <w:p w14:paraId="2A206B94" w14:textId="0CB534A5" w:rsidR="009300BF" w:rsidRPr="00052116" w:rsidRDefault="009300BF" w:rsidP="005859DB">
      <w:pPr>
        <w:contextualSpacing/>
        <w:rPr>
          <w:rFonts w:asciiTheme="minorHAnsi" w:eastAsia="Times New Roman" w:hAnsiTheme="minorHAnsi"/>
          <w:b/>
          <w:u w:val="single"/>
        </w:rPr>
      </w:pPr>
      <w:r w:rsidRPr="00052116">
        <w:rPr>
          <w:rFonts w:asciiTheme="minorHAnsi" w:hAnsiTheme="minorHAnsi" w:cstheme="minorHAnsi"/>
          <w:b/>
        </w:rPr>
        <w:t>Comment</w:t>
      </w:r>
      <w:r w:rsidR="00052116" w:rsidRPr="00052116">
        <w:rPr>
          <w:rFonts w:asciiTheme="minorHAnsi" w:hAnsiTheme="minorHAnsi" w:cstheme="minorHAnsi"/>
          <w:b/>
        </w:rPr>
        <w:t>:</w:t>
      </w:r>
      <w:r w:rsidR="00052116" w:rsidRPr="00052116">
        <w:rPr>
          <w:rFonts w:asciiTheme="minorHAnsi" w:hAnsiTheme="minorHAnsi"/>
          <w:b/>
        </w:rPr>
        <w:t xml:space="preserve"> </w:t>
      </w:r>
      <w:r w:rsidRPr="00052116">
        <w:rPr>
          <w:rFonts w:asciiTheme="minorHAnsi" w:hAnsiTheme="minorHAnsi" w:cstheme="minorHAnsi"/>
          <w:bCs/>
        </w:rPr>
        <w:t>It is unclear if the proper droplet size distribution (medium to coarse, as specified on the labels) was used, as there was no mention of this in the modeling.</w:t>
      </w:r>
    </w:p>
    <w:p w14:paraId="7C10CB7E" w14:textId="2B5B8FF8" w:rsidR="009300BF" w:rsidRDefault="009300BF" w:rsidP="005859DB">
      <w:pPr>
        <w:contextualSpacing/>
        <w:rPr>
          <w:rFonts w:asciiTheme="minorHAnsi" w:eastAsiaTheme="minorEastAsia" w:hAnsiTheme="minorHAnsi" w:cstheme="minorHAnsi"/>
          <w:bCs/>
          <w:color w:val="000000" w:themeColor="text1"/>
          <w:highlight w:val="yellow"/>
        </w:rPr>
      </w:pPr>
    </w:p>
    <w:p w14:paraId="4569D31F" w14:textId="3771993E" w:rsidR="009300BF" w:rsidRPr="009300BF" w:rsidRDefault="009300BF" w:rsidP="005859DB">
      <w:pPr>
        <w:contextualSpacing/>
        <w:rPr>
          <w:rFonts w:asciiTheme="minorHAnsi" w:eastAsiaTheme="minorEastAsia" w:hAnsiTheme="minorHAnsi" w:cstheme="minorHAnsi"/>
          <w:bCs/>
          <w:i/>
          <w:iCs/>
          <w:color w:val="000000" w:themeColor="text1"/>
        </w:rPr>
      </w:pPr>
      <w:r w:rsidRPr="009300BF">
        <w:rPr>
          <w:rFonts w:asciiTheme="minorHAnsi" w:eastAsiaTheme="minorEastAsia" w:hAnsiTheme="minorHAnsi" w:cstheme="minorHAnsi"/>
          <w:b/>
          <w:color w:val="000000" w:themeColor="text1"/>
        </w:rPr>
        <w:t>EPA Response:</w:t>
      </w:r>
      <w:r w:rsidRPr="009300BF">
        <w:rPr>
          <w:rFonts w:asciiTheme="minorHAnsi" w:eastAsiaTheme="minorEastAsia" w:hAnsiTheme="minorHAnsi" w:cstheme="minorHAnsi"/>
          <w:bCs/>
          <w:color w:val="000000" w:themeColor="text1"/>
        </w:rPr>
        <w:t xml:space="preserve"> </w:t>
      </w:r>
      <w:r w:rsidRPr="009300BF">
        <w:rPr>
          <w:rFonts w:asciiTheme="minorHAnsi" w:eastAsiaTheme="minorEastAsia" w:hAnsiTheme="minorHAnsi" w:cstheme="minorHAnsi"/>
          <w:bCs/>
          <w:i/>
          <w:iCs/>
          <w:color w:val="000000" w:themeColor="text1"/>
        </w:rPr>
        <w:t xml:space="preserve">Spray drift inputs for aquatic modeling of clothianidin were updated in the </w:t>
      </w:r>
      <w:r w:rsidR="0054216E">
        <w:rPr>
          <w:rFonts w:asciiTheme="minorHAnsi" w:eastAsiaTheme="minorEastAsia" w:hAnsiTheme="minorHAnsi" w:cstheme="minorHAnsi"/>
          <w:bCs/>
          <w:i/>
          <w:iCs/>
          <w:color w:val="000000" w:themeColor="text1"/>
        </w:rPr>
        <w:t>d</w:t>
      </w:r>
      <w:r w:rsidRPr="009300BF">
        <w:rPr>
          <w:rFonts w:asciiTheme="minorHAnsi" w:eastAsiaTheme="minorEastAsia" w:hAnsiTheme="minorHAnsi" w:cstheme="minorHAnsi"/>
          <w:bCs/>
          <w:i/>
          <w:iCs/>
          <w:color w:val="000000" w:themeColor="text1"/>
        </w:rPr>
        <w:t xml:space="preserve">raft </w:t>
      </w:r>
      <w:r w:rsidR="0054216E">
        <w:rPr>
          <w:rFonts w:asciiTheme="minorHAnsi" w:eastAsiaTheme="minorEastAsia" w:hAnsiTheme="minorHAnsi" w:cstheme="minorHAnsi"/>
          <w:bCs/>
          <w:i/>
          <w:iCs/>
          <w:color w:val="000000" w:themeColor="text1"/>
        </w:rPr>
        <w:t>BE</w:t>
      </w:r>
      <w:r w:rsidRPr="009300BF">
        <w:rPr>
          <w:rFonts w:asciiTheme="minorHAnsi" w:eastAsiaTheme="minorEastAsia" w:hAnsiTheme="minorHAnsi" w:cstheme="minorHAnsi"/>
          <w:bCs/>
          <w:i/>
          <w:iCs/>
          <w:color w:val="000000" w:themeColor="text1"/>
        </w:rPr>
        <w:t xml:space="preserve"> based on comments made to a previous assessment</w:t>
      </w:r>
      <w:r w:rsidR="00006C14">
        <w:rPr>
          <w:rStyle w:val="FootnoteReference"/>
          <w:rFonts w:asciiTheme="minorHAnsi" w:eastAsiaTheme="minorEastAsia" w:hAnsiTheme="minorHAnsi" w:cstheme="minorHAnsi"/>
          <w:bCs/>
          <w:i/>
          <w:iCs/>
          <w:color w:val="000000" w:themeColor="text1"/>
        </w:rPr>
        <w:footnoteReference w:id="16"/>
      </w:r>
      <w:r w:rsidRPr="009300BF">
        <w:rPr>
          <w:rFonts w:asciiTheme="minorHAnsi" w:eastAsiaTheme="minorEastAsia" w:hAnsiTheme="minorHAnsi" w:cstheme="minorHAnsi"/>
          <w:bCs/>
          <w:i/>
          <w:iCs/>
          <w:color w:val="000000" w:themeColor="text1"/>
        </w:rPr>
        <w:t xml:space="preserve">. Accordingly, aerial applications are parameterized with a </w:t>
      </w:r>
      <w:r w:rsidR="0054216E">
        <w:rPr>
          <w:rFonts w:asciiTheme="minorHAnsi" w:eastAsiaTheme="minorEastAsia" w:hAnsiTheme="minorHAnsi" w:cstheme="minorHAnsi"/>
          <w:bCs/>
          <w:i/>
          <w:iCs/>
          <w:color w:val="000000" w:themeColor="text1"/>
        </w:rPr>
        <w:t>m</w:t>
      </w:r>
      <w:r w:rsidRPr="009300BF">
        <w:rPr>
          <w:rFonts w:asciiTheme="minorHAnsi" w:eastAsiaTheme="minorEastAsia" w:hAnsiTheme="minorHAnsi" w:cstheme="minorHAnsi"/>
          <w:bCs/>
          <w:i/>
          <w:iCs/>
          <w:color w:val="000000" w:themeColor="text1"/>
        </w:rPr>
        <w:t xml:space="preserve">edium to </w:t>
      </w:r>
      <w:r w:rsidR="0054216E">
        <w:rPr>
          <w:rFonts w:asciiTheme="minorHAnsi" w:eastAsiaTheme="minorEastAsia" w:hAnsiTheme="minorHAnsi" w:cstheme="minorHAnsi"/>
          <w:bCs/>
          <w:i/>
          <w:iCs/>
          <w:color w:val="000000" w:themeColor="text1"/>
        </w:rPr>
        <w:t>c</w:t>
      </w:r>
      <w:r w:rsidRPr="009300BF">
        <w:rPr>
          <w:rFonts w:asciiTheme="minorHAnsi" w:eastAsiaTheme="minorEastAsia" w:hAnsiTheme="minorHAnsi" w:cstheme="minorHAnsi"/>
          <w:bCs/>
          <w:i/>
          <w:iCs/>
          <w:color w:val="000000" w:themeColor="text1"/>
        </w:rPr>
        <w:t xml:space="preserve">oarse droplet spectra and ground applications are parameterized with </w:t>
      </w:r>
      <w:r w:rsidR="0054216E">
        <w:rPr>
          <w:rFonts w:asciiTheme="minorHAnsi" w:eastAsiaTheme="minorEastAsia" w:hAnsiTheme="minorHAnsi" w:cstheme="minorHAnsi"/>
          <w:bCs/>
          <w:i/>
          <w:iCs/>
          <w:color w:val="000000" w:themeColor="text1"/>
        </w:rPr>
        <w:t>f</w:t>
      </w:r>
      <w:r w:rsidRPr="009300BF">
        <w:rPr>
          <w:rFonts w:asciiTheme="minorHAnsi" w:eastAsiaTheme="minorEastAsia" w:hAnsiTheme="minorHAnsi" w:cstheme="minorHAnsi"/>
          <w:bCs/>
          <w:i/>
          <w:iCs/>
          <w:color w:val="000000" w:themeColor="text1"/>
        </w:rPr>
        <w:t xml:space="preserve">ine to </w:t>
      </w:r>
      <w:r w:rsidR="0054216E">
        <w:rPr>
          <w:rFonts w:asciiTheme="minorHAnsi" w:eastAsiaTheme="minorEastAsia" w:hAnsiTheme="minorHAnsi" w:cstheme="minorHAnsi"/>
          <w:bCs/>
          <w:i/>
          <w:iCs/>
          <w:color w:val="000000" w:themeColor="text1"/>
        </w:rPr>
        <w:t>m</w:t>
      </w:r>
      <w:r w:rsidRPr="009300BF">
        <w:rPr>
          <w:rFonts w:asciiTheme="minorHAnsi" w:eastAsiaTheme="minorEastAsia" w:hAnsiTheme="minorHAnsi" w:cstheme="minorHAnsi"/>
          <w:bCs/>
          <w:i/>
          <w:iCs/>
          <w:color w:val="000000" w:themeColor="text1"/>
        </w:rPr>
        <w:t>edium/</w:t>
      </w:r>
      <w:r w:rsidR="0054216E">
        <w:rPr>
          <w:rFonts w:asciiTheme="minorHAnsi" w:eastAsiaTheme="minorEastAsia" w:hAnsiTheme="minorHAnsi" w:cstheme="minorHAnsi"/>
          <w:bCs/>
          <w:i/>
          <w:iCs/>
          <w:color w:val="000000" w:themeColor="text1"/>
        </w:rPr>
        <w:t>c</w:t>
      </w:r>
      <w:r w:rsidRPr="009300BF">
        <w:rPr>
          <w:rFonts w:asciiTheme="minorHAnsi" w:eastAsiaTheme="minorEastAsia" w:hAnsiTheme="minorHAnsi" w:cstheme="minorHAnsi"/>
          <w:bCs/>
          <w:i/>
          <w:iCs/>
          <w:color w:val="000000" w:themeColor="text1"/>
        </w:rPr>
        <w:t xml:space="preserve">oarse droplet spectra. </w:t>
      </w:r>
    </w:p>
    <w:p w14:paraId="07D53876" w14:textId="77777777" w:rsidR="009300BF" w:rsidRPr="009300BF" w:rsidRDefault="009300BF" w:rsidP="005859DB">
      <w:pPr>
        <w:contextualSpacing/>
        <w:rPr>
          <w:rFonts w:asciiTheme="minorHAnsi" w:eastAsiaTheme="minorEastAsia" w:hAnsiTheme="minorHAnsi" w:cstheme="minorHAnsi"/>
          <w:bCs/>
          <w:i/>
          <w:iCs/>
          <w:color w:val="000000" w:themeColor="text1"/>
        </w:rPr>
      </w:pPr>
    </w:p>
    <w:p w14:paraId="72AEE5D9" w14:textId="367E4148" w:rsidR="009300BF" w:rsidRPr="009300BF" w:rsidRDefault="00E72BEE" w:rsidP="005859DB">
      <w:pPr>
        <w:contextualSpacing/>
        <w:rPr>
          <w:rFonts w:asciiTheme="minorHAnsi" w:eastAsiaTheme="minorEastAsia" w:hAnsiTheme="minorHAnsi" w:cstheme="minorHAnsi"/>
          <w:bCs/>
          <w:i/>
          <w:iCs/>
          <w:color w:val="000000" w:themeColor="text1"/>
          <w:highlight w:val="yellow"/>
        </w:rPr>
      </w:pPr>
      <w:r>
        <w:rPr>
          <w:rFonts w:asciiTheme="minorHAnsi" w:eastAsiaTheme="minorEastAsia" w:hAnsiTheme="minorHAnsi" w:cstheme="minorHAnsi"/>
          <w:bCs/>
          <w:i/>
          <w:iCs/>
          <w:color w:val="000000" w:themeColor="text1"/>
        </w:rPr>
        <w:t>EPA</w:t>
      </w:r>
      <w:r w:rsidR="001155EC">
        <w:rPr>
          <w:rFonts w:asciiTheme="minorHAnsi" w:eastAsiaTheme="minorEastAsia" w:hAnsiTheme="minorHAnsi" w:cstheme="minorHAnsi"/>
          <w:bCs/>
          <w:i/>
          <w:iCs/>
          <w:color w:val="000000" w:themeColor="text1"/>
        </w:rPr>
        <w:t xml:space="preserve"> acknowledges that s</w:t>
      </w:r>
      <w:r w:rsidR="009300BF" w:rsidRPr="009300BF">
        <w:rPr>
          <w:rFonts w:asciiTheme="minorHAnsi" w:eastAsiaTheme="minorEastAsia" w:hAnsiTheme="minorHAnsi" w:cstheme="minorHAnsi"/>
          <w:bCs/>
          <w:i/>
          <w:iCs/>
          <w:color w:val="000000" w:themeColor="text1"/>
        </w:rPr>
        <w:t>pray drift inputs for terrestrial modeling of clothianidin assumed fine</w:t>
      </w:r>
      <w:r w:rsidR="00343E59">
        <w:rPr>
          <w:rFonts w:asciiTheme="minorHAnsi" w:eastAsiaTheme="minorEastAsia" w:hAnsiTheme="minorHAnsi" w:cstheme="minorHAnsi"/>
          <w:bCs/>
          <w:i/>
          <w:iCs/>
          <w:color w:val="000000" w:themeColor="text1"/>
        </w:rPr>
        <w:t>r</w:t>
      </w:r>
      <w:r w:rsidR="009300BF" w:rsidRPr="009300BF">
        <w:rPr>
          <w:rFonts w:asciiTheme="minorHAnsi" w:eastAsiaTheme="minorEastAsia" w:hAnsiTheme="minorHAnsi" w:cstheme="minorHAnsi"/>
          <w:bCs/>
          <w:i/>
          <w:iCs/>
          <w:color w:val="000000" w:themeColor="text1"/>
        </w:rPr>
        <w:t xml:space="preserve"> droplet spectra </w:t>
      </w:r>
      <w:r w:rsidR="001155EC">
        <w:rPr>
          <w:rFonts w:asciiTheme="minorHAnsi" w:eastAsiaTheme="minorEastAsia" w:hAnsiTheme="minorHAnsi" w:cstheme="minorHAnsi"/>
          <w:bCs/>
          <w:i/>
          <w:iCs/>
          <w:color w:val="000000" w:themeColor="text1"/>
        </w:rPr>
        <w:t>but</w:t>
      </w:r>
      <w:r w:rsidR="001155EC" w:rsidRPr="009300BF">
        <w:rPr>
          <w:rFonts w:asciiTheme="minorHAnsi" w:eastAsiaTheme="minorEastAsia" w:hAnsiTheme="minorHAnsi" w:cstheme="minorHAnsi"/>
          <w:bCs/>
          <w:i/>
          <w:iCs/>
          <w:color w:val="000000" w:themeColor="text1"/>
        </w:rPr>
        <w:t xml:space="preserve"> </w:t>
      </w:r>
      <w:r w:rsidR="009300BF" w:rsidRPr="009300BF">
        <w:rPr>
          <w:rFonts w:asciiTheme="minorHAnsi" w:eastAsiaTheme="minorEastAsia" w:hAnsiTheme="minorHAnsi" w:cstheme="minorHAnsi"/>
          <w:bCs/>
          <w:i/>
          <w:iCs/>
          <w:color w:val="000000" w:themeColor="text1"/>
        </w:rPr>
        <w:t xml:space="preserve">would be more accurate if </w:t>
      </w:r>
      <w:r w:rsidR="00343E59">
        <w:rPr>
          <w:rFonts w:asciiTheme="minorHAnsi" w:eastAsiaTheme="minorEastAsia" w:hAnsiTheme="minorHAnsi" w:cstheme="minorHAnsi"/>
          <w:bCs/>
          <w:i/>
          <w:iCs/>
          <w:color w:val="000000" w:themeColor="text1"/>
        </w:rPr>
        <w:t xml:space="preserve">they </w:t>
      </w:r>
      <w:r w:rsidR="009300BF" w:rsidRPr="009300BF">
        <w:rPr>
          <w:rFonts w:asciiTheme="minorHAnsi" w:eastAsiaTheme="minorEastAsia" w:hAnsiTheme="minorHAnsi" w:cstheme="minorHAnsi"/>
          <w:bCs/>
          <w:i/>
          <w:iCs/>
          <w:color w:val="000000" w:themeColor="text1"/>
        </w:rPr>
        <w:t xml:space="preserve">were consistent with </w:t>
      </w:r>
      <w:r w:rsidR="00343E59" w:rsidRPr="009300BF">
        <w:rPr>
          <w:rFonts w:asciiTheme="minorHAnsi" w:eastAsiaTheme="minorEastAsia" w:hAnsiTheme="minorHAnsi" w:cstheme="minorHAnsi"/>
          <w:bCs/>
          <w:i/>
          <w:iCs/>
          <w:color w:val="000000" w:themeColor="text1"/>
        </w:rPr>
        <w:t xml:space="preserve">spray drift assumptions </w:t>
      </w:r>
      <w:r w:rsidR="00343E59">
        <w:rPr>
          <w:rFonts w:asciiTheme="minorHAnsi" w:eastAsiaTheme="minorEastAsia" w:hAnsiTheme="minorHAnsi" w:cstheme="minorHAnsi"/>
          <w:bCs/>
          <w:i/>
          <w:iCs/>
          <w:color w:val="000000" w:themeColor="text1"/>
        </w:rPr>
        <w:t xml:space="preserve">in the </w:t>
      </w:r>
      <w:r w:rsidR="009300BF" w:rsidRPr="009300BF">
        <w:rPr>
          <w:rFonts w:asciiTheme="minorHAnsi" w:eastAsiaTheme="minorEastAsia" w:hAnsiTheme="minorHAnsi" w:cstheme="minorHAnsi"/>
          <w:bCs/>
          <w:i/>
          <w:iCs/>
          <w:color w:val="000000" w:themeColor="text1"/>
        </w:rPr>
        <w:t xml:space="preserve">aquatic inputs. However, this assumption does not impact </w:t>
      </w:r>
      <w:r w:rsidR="00343E59">
        <w:rPr>
          <w:rFonts w:asciiTheme="minorHAnsi" w:eastAsiaTheme="minorEastAsia" w:hAnsiTheme="minorHAnsi" w:cstheme="minorHAnsi"/>
          <w:bCs/>
          <w:i/>
          <w:iCs/>
          <w:color w:val="000000" w:themeColor="text1"/>
        </w:rPr>
        <w:t xml:space="preserve">the </w:t>
      </w:r>
      <w:r w:rsidR="001155EC">
        <w:rPr>
          <w:rFonts w:asciiTheme="minorHAnsi" w:eastAsiaTheme="minorEastAsia" w:hAnsiTheme="minorHAnsi" w:cstheme="minorHAnsi"/>
          <w:bCs/>
          <w:i/>
          <w:iCs/>
          <w:color w:val="000000" w:themeColor="text1"/>
        </w:rPr>
        <w:t xml:space="preserve">overall </w:t>
      </w:r>
      <w:r w:rsidR="009300BF" w:rsidRPr="009300BF">
        <w:rPr>
          <w:rFonts w:asciiTheme="minorHAnsi" w:eastAsiaTheme="minorEastAsia" w:hAnsiTheme="minorHAnsi" w:cstheme="minorHAnsi"/>
          <w:bCs/>
          <w:i/>
          <w:iCs/>
          <w:color w:val="000000" w:themeColor="text1"/>
        </w:rPr>
        <w:t xml:space="preserve">conclusions </w:t>
      </w:r>
      <w:r w:rsidR="00343E59">
        <w:rPr>
          <w:rFonts w:asciiTheme="minorHAnsi" w:eastAsiaTheme="minorEastAsia" w:hAnsiTheme="minorHAnsi" w:cstheme="minorHAnsi"/>
          <w:bCs/>
          <w:i/>
          <w:iCs/>
          <w:color w:val="000000" w:themeColor="text1"/>
        </w:rPr>
        <w:t xml:space="preserve">in the BE </w:t>
      </w:r>
      <w:r w:rsidR="009300BF" w:rsidRPr="009300BF">
        <w:rPr>
          <w:rFonts w:asciiTheme="minorHAnsi" w:eastAsiaTheme="minorEastAsia" w:hAnsiTheme="minorHAnsi" w:cstheme="minorHAnsi"/>
          <w:bCs/>
          <w:i/>
          <w:iCs/>
          <w:color w:val="000000" w:themeColor="text1"/>
        </w:rPr>
        <w:t>associated with terrestrial exposure</w:t>
      </w:r>
      <w:r w:rsidR="00343E59">
        <w:rPr>
          <w:rFonts w:asciiTheme="minorHAnsi" w:eastAsiaTheme="minorEastAsia" w:hAnsiTheme="minorHAnsi" w:cstheme="minorHAnsi"/>
          <w:bCs/>
          <w:i/>
          <w:iCs/>
          <w:color w:val="000000" w:themeColor="text1"/>
        </w:rPr>
        <w:t xml:space="preserve"> off of </w:t>
      </w:r>
      <w:r>
        <w:rPr>
          <w:rFonts w:asciiTheme="minorHAnsi" w:eastAsiaTheme="minorEastAsia" w:hAnsiTheme="minorHAnsi" w:cstheme="minorHAnsi"/>
          <w:bCs/>
          <w:i/>
          <w:iCs/>
          <w:color w:val="000000" w:themeColor="text1"/>
        </w:rPr>
        <w:t xml:space="preserve">the </w:t>
      </w:r>
      <w:r w:rsidR="00343E59">
        <w:rPr>
          <w:rFonts w:asciiTheme="minorHAnsi" w:eastAsiaTheme="minorEastAsia" w:hAnsiTheme="minorHAnsi" w:cstheme="minorHAnsi"/>
          <w:bCs/>
          <w:i/>
          <w:iCs/>
          <w:color w:val="000000" w:themeColor="text1"/>
        </w:rPr>
        <w:t>treated field</w:t>
      </w:r>
      <w:r w:rsidR="009300BF" w:rsidRPr="009300BF">
        <w:rPr>
          <w:rFonts w:asciiTheme="minorHAnsi" w:eastAsiaTheme="minorEastAsia" w:hAnsiTheme="minorHAnsi" w:cstheme="minorHAnsi"/>
          <w:bCs/>
          <w:i/>
          <w:iCs/>
          <w:color w:val="000000" w:themeColor="text1"/>
        </w:rPr>
        <w:t>.</w:t>
      </w:r>
    </w:p>
    <w:p w14:paraId="7DABC465" w14:textId="77777777" w:rsidR="009300BF" w:rsidRPr="00C15FA2" w:rsidRDefault="009300BF" w:rsidP="005859DB">
      <w:pPr>
        <w:contextualSpacing/>
        <w:rPr>
          <w:rFonts w:asciiTheme="minorHAnsi" w:eastAsiaTheme="minorEastAsia" w:hAnsiTheme="minorHAnsi" w:cstheme="minorHAnsi"/>
          <w:color w:val="000000" w:themeColor="text1"/>
          <w:highlight w:val="yellow"/>
        </w:rPr>
      </w:pPr>
    </w:p>
    <w:p w14:paraId="6A0E6D4C" w14:textId="13FA82A2" w:rsidR="003F4781" w:rsidRPr="003F4781" w:rsidRDefault="00052116" w:rsidP="005859DB">
      <w:pPr>
        <w:contextualSpacing/>
        <w:rPr>
          <w:rFonts w:ascii="Calibri" w:eastAsia="Calibri" w:hAnsi="Calibri" w:cs="Calibri"/>
          <w:bCs/>
          <w:color w:val="000000"/>
        </w:rPr>
      </w:pPr>
      <w:r w:rsidRPr="00C15FA2">
        <w:rPr>
          <w:rFonts w:asciiTheme="minorHAnsi" w:eastAsiaTheme="minorEastAsia" w:hAnsiTheme="minorHAnsi"/>
          <w:b/>
          <w:color w:val="000000" w:themeColor="text1"/>
        </w:rPr>
        <w:t>C</w:t>
      </w:r>
      <w:r w:rsidR="00E07052" w:rsidRPr="00C15FA2">
        <w:rPr>
          <w:rFonts w:asciiTheme="minorHAnsi" w:eastAsiaTheme="minorEastAsia" w:hAnsiTheme="minorHAnsi"/>
          <w:b/>
          <w:color w:val="000000" w:themeColor="text1"/>
        </w:rPr>
        <w:t>omment</w:t>
      </w:r>
      <w:r w:rsidR="003F4781" w:rsidRPr="00C15FA2">
        <w:rPr>
          <w:rFonts w:ascii="Calibri" w:eastAsia="Calibri" w:hAnsi="Calibri" w:cs="Calibri"/>
          <w:b/>
          <w:bCs/>
          <w:color w:val="000000"/>
        </w:rPr>
        <w:t>:</w:t>
      </w:r>
      <w:r w:rsidR="003F4781" w:rsidRPr="00C15FA2">
        <w:rPr>
          <w:rFonts w:eastAsia="Calibri" w:cs="Times New Roman"/>
          <w:color w:val="000000"/>
          <w:sz w:val="24"/>
          <w:szCs w:val="24"/>
        </w:rPr>
        <w:t xml:space="preserve"> </w:t>
      </w:r>
      <w:r w:rsidR="003F4781" w:rsidRPr="00C15FA2">
        <w:rPr>
          <w:rFonts w:ascii="Calibri" w:eastAsia="Calibri" w:hAnsi="Calibri" w:cs="Calibri"/>
          <w:bCs/>
          <w:color w:val="000000"/>
        </w:rPr>
        <w:t xml:space="preserve">The “Toxicity inputs” worksheet in the “Clothianidin </w:t>
      </w:r>
      <w:proofErr w:type="spellStart"/>
      <w:r w:rsidR="003F4781" w:rsidRPr="00C15FA2">
        <w:rPr>
          <w:rFonts w:ascii="Calibri" w:eastAsia="Calibri" w:hAnsi="Calibri" w:cs="Calibri"/>
          <w:bCs/>
          <w:color w:val="000000"/>
        </w:rPr>
        <w:t>WoE</w:t>
      </w:r>
      <w:proofErr w:type="spellEnd"/>
      <w:r w:rsidR="003F4781" w:rsidRPr="00C15FA2">
        <w:rPr>
          <w:rFonts w:ascii="Calibri" w:eastAsia="Calibri" w:hAnsi="Calibri" w:cs="Calibri"/>
          <w:bCs/>
          <w:color w:val="000000"/>
        </w:rPr>
        <w:t xml:space="preserve"> input parameters” workbook indicates that the mortality and slope values for mammals are LC</w:t>
      </w:r>
      <w:r w:rsidR="003F4781" w:rsidRPr="000D6DED">
        <w:rPr>
          <w:rFonts w:ascii="Calibri" w:eastAsia="Calibri" w:hAnsi="Calibri" w:cs="Calibri"/>
          <w:bCs/>
          <w:color w:val="000000"/>
          <w:vertAlign w:val="subscript"/>
        </w:rPr>
        <w:t>50</w:t>
      </w:r>
      <w:r w:rsidR="003F4781" w:rsidRPr="00C15FA2">
        <w:rPr>
          <w:rFonts w:ascii="Calibri" w:eastAsia="Calibri" w:hAnsi="Calibri" w:cs="Calibri"/>
          <w:bCs/>
          <w:color w:val="000000"/>
        </w:rPr>
        <w:t xml:space="preserve"> 99999 mg a.i./kg-diet and 4.5, respectively. However, </w:t>
      </w:r>
      <w:r w:rsidR="003F4781" w:rsidRPr="002F6C95">
        <w:rPr>
          <w:rFonts w:ascii="Calibri" w:eastAsia="Calibri" w:hAnsi="Calibri" w:cs="Calibri"/>
          <w:b/>
          <w:color w:val="000000"/>
        </w:rPr>
        <w:t>Table 2-1</w:t>
      </w:r>
      <w:r w:rsidR="003F4781" w:rsidRPr="00C15FA2">
        <w:rPr>
          <w:rFonts w:ascii="Calibri" w:eastAsia="Calibri" w:hAnsi="Calibri" w:cs="Calibri"/>
          <w:bCs/>
          <w:color w:val="000000"/>
        </w:rPr>
        <w:t xml:space="preserve"> in </w:t>
      </w:r>
      <w:r w:rsidR="003F4781" w:rsidRPr="002F6C95">
        <w:rPr>
          <w:rFonts w:ascii="Calibri" w:eastAsia="Calibri" w:hAnsi="Calibri" w:cs="Calibri"/>
          <w:b/>
          <w:color w:val="000000"/>
        </w:rPr>
        <w:t>Chapter 2</w:t>
      </w:r>
      <w:r w:rsidR="003F4781" w:rsidRPr="00C15FA2">
        <w:rPr>
          <w:rFonts w:ascii="Calibri" w:eastAsia="Calibri" w:hAnsi="Calibri" w:cs="Calibri"/>
          <w:bCs/>
          <w:color w:val="000000"/>
        </w:rPr>
        <w:t xml:space="preserve"> of the draft clothianidin BE indicates that “No Data” is available. It would appear the 99999 mg a.i./kg is a placeholder value in the model, but this should be specified and</w:t>
      </w:r>
      <w:r w:rsidR="003F4781" w:rsidRPr="003F4781">
        <w:rPr>
          <w:rFonts w:ascii="Calibri" w:eastAsia="Calibri" w:hAnsi="Calibri" w:cs="Calibri"/>
          <w:bCs/>
          <w:color w:val="000000"/>
        </w:rPr>
        <w:t xml:space="preserve"> the reason for using this value (</w:t>
      </w:r>
      <w:r w:rsidR="003F4781" w:rsidRPr="000D6DED">
        <w:rPr>
          <w:rFonts w:ascii="Calibri" w:eastAsia="Calibri" w:hAnsi="Calibri" w:cs="Calibri"/>
          <w:bCs/>
          <w:i/>
          <w:iCs/>
          <w:color w:val="000000"/>
        </w:rPr>
        <w:t>e.g.</w:t>
      </w:r>
      <w:r w:rsidR="003F4781" w:rsidRPr="003F4781">
        <w:rPr>
          <w:rFonts w:ascii="Calibri" w:eastAsia="Calibri" w:hAnsi="Calibri" w:cs="Calibri"/>
          <w:bCs/>
          <w:color w:val="000000"/>
        </w:rPr>
        <w:t>, to prevent #DIV/0! errors in Excel) and a QC check to ensure these results are accounted for and do not contribute to the effect determinations.</w:t>
      </w:r>
    </w:p>
    <w:p w14:paraId="4683DD91" w14:textId="77777777" w:rsidR="003F4781" w:rsidRPr="003F4781" w:rsidRDefault="003F4781" w:rsidP="005859DB">
      <w:pPr>
        <w:autoSpaceDE w:val="0"/>
        <w:autoSpaceDN w:val="0"/>
        <w:adjustRightInd w:val="0"/>
        <w:contextualSpacing/>
        <w:rPr>
          <w:rFonts w:ascii="Calibri" w:eastAsia="Calibri" w:hAnsi="Calibri" w:cs="Calibri"/>
          <w:bCs/>
          <w:color w:val="000000"/>
        </w:rPr>
      </w:pPr>
    </w:p>
    <w:p w14:paraId="43D0ACE6" w14:textId="186544C9" w:rsidR="00213925" w:rsidRPr="0067789F" w:rsidRDefault="0067789F" w:rsidP="005859DB">
      <w:pPr>
        <w:pStyle w:val="Default"/>
        <w:contextualSpacing/>
        <w:rPr>
          <w:rFonts w:asciiTheme="minorHAnsi" w:hAnsiTheme="minorHAnsi" w:cstheme="minorBidi"/>
          <w:i/>
          <w:sz w:val="22"/>
          <w:szCs w:val="22"/>
        </w:rPr>
      </w:pPr>
      <w:r w:rsidRPr="00B4664D">
        <w:rPr>
          <w:rFonts w:ascii="Calibri" w:eastAsia="Calibri" w:hAnsi="Calibri" w:cs="Calibri"/>
          <w:b/>
          <w:sz w:val="22"/>
          <w:szCs w:val="22"/>
        </w:rPr>
        <w:t xml:space="preserve">EPA </w:t>
      </w:r>
      <w:r w:rsidR="003F4781" w:rsidRPr="00B4664D">
        <w:rPr>
          <w:rFonts w:ascii="Calibri" w:eastAsia="Calibri" w:hAnsi="Calibri" w:cs="Calibri"/>
          <w:b/>
          <w:sz w:val="22"/>
          <w:szCs w:val="22"/>
        </w:rPr>
        <w:t>Response:</w:t>
      </w:r>
      <w:r w:rsidR="003F4781" w:rsidRPr="003F4781">
        <w:rPr>
          <w:rFonts w:ascii="Calibri" w:eastAsia="Calibri" w:hAnsi="Calibri" w:cs="Calibri"/>
          <w:b/>
          <w:bCs/>
        </w:rPr>
        <w:t xml:space="preserve"> </w:t>
      </w:r>
      <w:r w:rsidR="00213925" w:rsidRPr="7B75FD3E">
        <w:rPr>
          <w:rFonts w:asciiTheme="minorHAnsi" w:hAnsiTheme="minorHAnsi" w:cstheme="minorBidi"/>
          <w:i/>
          <w:sz w:val="22"/>
          <w:szCs w:val="22"/>
        </w:rPr>
        <w:t>The commenter is correct that these are placeholder values. The value 99999 along with a default slope of 4.5 is used for an exposure/taxonomic input into the M</w:t>
      </w:r>
      <w:r w:rsidR="008525BB" w:rsidRPr="7B75FD3E">
        <w:rPr>
          <w:rFonts w:asciiTheme="minorHAnsi" w:hAnsiTheme="minorHAnsi" w:cstheme="minorBidi"/>
          <w:i/>
          <w:sz w:val="22"/>
          <w:szCs w:val="22"/>
        </w:rPr>
        <w:t>AGt</w:t>
      </w:r>
      <w:r w:rsidR="00213925" w:rsidRPr="7B75FD3E">
        <w:rPr>
          <w:rFonts w:asciiTheme="minorHAnsi" w:hAnsiTheme="minorHAnsi" w:cstheme="minorBidi"/>
          <w:i/>
          <w:sz w:val="22"/>
          <w:szCs w:val="22"/>
        </w:rPr>
        <w:t xml:space="preserve">ool in the case of non-definitive (&gt;) values (no statistically significant effects at any tested concentration) or </w:t>
      </w:r>
      <w:r w:rsidR="00C420BD" w:rsidRPr="7B75FD3E">
        <w:rPr>
          <w:rFonts w:asciiTheme="minorHAnsi" w:hAnsiTheme="minorHAnsi" w:cstheme="minorBidi"/>
          <w:i/>
          <w:sz w:val="22"/>
          <w:szCs w:val="22"/>
        </w:rPr>
        <w:t xml:space="preserve">if </w:t>
      </w:r>
      <w:r w:rsidR="00213925" w:rsidRPr="7B75FD3E">
        <w:rPr>
          <w:rFonts w:asciiTheme="minorHAnsi" w:hAnsiTheme="minorHAnsi" w:cstheme="minorBidi"/>
          <w:i/>
          <w:sz w:val="22"/>
          <w:szCs w:val="22"/>
        </w:rPr>
        <w:t>no data is available.</w:t>
      </w:r>
      <w:r w:rsidR="00C420BD" w:rsidRPr="7B75FD3E">
        <w:rPr>
          <w:rFonts w:asciiTheme="minorHAnsi" w:hAnsiTheme="minorHAnsi" w:cstheme="minorBidi"/>
          <w:i/>
          <w:sz w:val="22"/>
          <w:szCs w:val="22"/>
        </w:rPr>
        <w:t xml:space="preserve"> This is to prevent effects from being predicted to a species from the use of a non-definitive endpoint that may be exceeded by EECs when used in a dose response relationship or the generation of errors that are based on lack of an input to the model. </w:t>
      </w:r>
    </w:p>
    <w:p w14:paraId="4BD7DF2A" w14:textId="500C851F" w:rsidR="003F4781" w:rsidRPr="003F4781" w:rsidRDefault="003F4781" w:rsidP="005859DB">
      <w:pPr>
        <w:autoSpaceDE w:val="0"/>
        <w:autoSpaceDN w:val="0"/>
        <w:adjustRightInd w:val="0"/>
        <w:contextualSpacing/>
        <w:rPr>
          <w:rFonts w:ascii="Calibri" w:eastAsia="Calibri" w:hAnsi="Calibri" w:cs="Calibri"/>
          <w:b/>
          <w:bCs/>
          <w:color w:val="000000"/>
        </w:rPr>
      </w:pPr>
    </w:p>
    <w:p w14:paraId="1465071D" w14:textId="61E14494"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w:t>
      </w:r>
      <w:r w:rsidR="00C15FA2">
        <w:rPr>
          <w:rFonts w:ascii="Calibri" w:eastAsia="Calibri" w:hAnsi="Calibri" w:cs="Times New Roman"/>
          <w:b/>
        </w:rPr>
        <w:t>t</w:t>
      </w:r>
      <w:r w:rsidRPr="003F4781">
        <w:rPr>
          <w:rFonts w:ascii="Calibri" w:eastAsia="Calibri" w:hAnsi="Calibri" w:cs="Times New Roman"/>
          <w:b/>
        </w:rPr>
        <w:t>:</w:t>
      </w:r>
      <w:r w:rsidRPr="003F4781">
        <w:rPr>
          <w:rFonts w:ascii="Calibri" w:eastAsia="Calibri" w:hAnsi="Calibri" w:cs="Times New Roman"/>
        </w:rPr>
        <w:t xml:space="preserve"> The “Toxicity inputs” worksheet in the “Clothianidin </w:t>
      </w:r>
      <w:proofErr w:type="spellStart"/>
      <w:r w:rsidRPr="003F4781">
        <w:rPr>
          <w:rFonts w:ascii="Calibri" w:eastAsia="Calibri" w:hAnsi="Calibri" w:cs="Times New Roman"/>
        </w:rPr>
        <w:t>WoE</w:t>
      </w:r>
      <w:proofErr w:type="spellEnd"/>
      <w:r w:rsidRPr="003F4781">
        <w:rPr>
          <w:rFonts w:ascii="Calibri" w:eastAsia="Calibri" w:hAnsi="Calibri" w:cs="Times New Roman"/>
        </w:rPr>
        <w:t xml:space="preserve"> input parameters” workbook show empty values for the weight of the test animals used in the dietary based mortality for mammals, birds, reptiles and terrestrial amphibians and terrestrial invertebrates. However, </w:t>
      </w:r>
      <w:r w:rsidRPr="002F6C95">
        <w:rPr>
          <w:rFonts w:ascii="Calibri" w:eastAsia="Calibri" w:hAnsi="Calibri" w:cs="Times New Roman"/>
          <w:b/>
          <w:bCs/>
        </w:rPr>
        <w:t>Table 2-1</w:t>
      </w:r>
      <w:r w:rsidRPr="003F4781">
        <w:rPr>
          <w:rFonts w:ascii="Calibri" w:eastAsia="Calibri" w:hAnsi="Calibri" w:cs="Times New Roman"/>
        </w:rPr>
        <w:t xml:space="preserve"> in </w:t>
      </w:r>
      <w:r w:rsidRPr="002F6C95">
        <w:rPr>
          <w:rFonts w:ascii="Calibri" w:eastAsia="Calibri" w:hAnsi="Calibri" w:cs="Times New Roman"/>
          <w:b/>
          <w:bCs/>
        </w:rPr>
        <w:t>Chapter 2</w:t>
      </w:r>
      <w:r w:rsidRPr="003F4781">
        <w:rPr>
          <w:rFonts w:ascii="Calibri" w:eastAsia="Calibri" w:hAnsi="Calibri" w:cs="Times New Roman"/>
        </w:rPr>
        <w:t xml:space="preserve"> of the draft clothianidin BE shows data under the weight of the test animal heading for each of those organisms.</w:t>
      </w:r>
    </w:p>
    <w:p w14:paraId="02CE93A5" w14:textId="77777777" w:rsidR="003F4781" w:rsidRPr="003F4781" w:rsidRDefault="003F4781" w:rsidP="005859DB">
      <w:pPr>
        <w:contextualSpacing/>
        <w:rPr>
          <w:rFonts w:ascii="Calibri" w:eastAsia="Calibri" w:hAnsi="Calibri" w:cs="Times New Roman"/>
        </w:rPr>
      </w:pPr>
    </w:p>
    <w:p w14:paraId="4A02C595" w14:textId="6F61D31D" w:rsidR="003F4781" w:rsidRPr="008525BB" w:rsidRDefault="008525BB" w:rsidP="005859DB">
      <w:pPr>
        <w:contextualSpacing/>
        <w:rPr>
          <w:rFonts w:ascii="Calibri" w:eastAsia="Calibri" w:hAnsi="Calibri" w:cs="Times New Roman"/>
          <w:b/>
          <w:i/>
        </w:rPr>
      </w:pPr>
      <w:r>
        <w:rPr>
          <w:rFonts w:ascii="Calibri" w:eastAsia="Calibri" w:hAnsi="Calibri" w:cs="Times New Roman"/>
          <w:b/>
        </w:rPr>
        <w:lastRenderedPageBreak/>
        <w:t xml:space="preserve">EPA </w:t>
      </w:r>
      <w:r w:rsidR="003F4781" w:rsidRPr="003F4781">
        <w:rPr>
          <w:rFonts w:ascii="Calibri" w:eastAsia="Calibri" w:hAnsi="Calibri" w:cs="Times New Roman"/>
          <w:b/>
        </w:rPr>
        <w:t>Response:</w:t>
      </w:r>
      <w:r w:rsidR="00C420BD">
        <w:rPr>
          <w:rFonts w:ascii="Calibri" w:eastAsia="Calibri" w:hAnsi="Calibri" w:cs="Times New Roman"/>
        </w:rPr>
        <w:t xml:space="preserve"> </w:t>
      </w:r>
      <w:r w:rsidR="00C420BD" w:rsidRPr="00B4664D">
        <w:rPr>
          <w:rFonts w:ascii="Calibri" w:eastAsia="Calibri" w:hAnsi="Calibri" w:cs="Times New Roman"/>
          <w:i/>
          <w:iCs/>
        </w:rPr>
        <w:t>Species body weights of the test animal is not utilized in the dietary based assessment</w:t>
      </w:r>
      <w:r w:rsidR="00E72BEE">
        <w:rPr>
          <w:rFonts w:ascii="Calibri" w:eastAsia="Calibri" w:hAnsi="Calibri" w:cs="Times New Roman"/>
          <w:i/>
          <w:iCs/>
        </w:rPr>
        <w:t>, so there is no impact of the missing weight values on the dietary based conclusions</w:t>
      </w:r>
      <w:r w:rsidR="00BD1C41">
        <w:rPr>
          <w:rFonts w:ascii="Calibri" w:eastAsia="Calibri" w:hAnsi="Calibri" w:cs="Times New Roman"/>
          <w:i/>
          <w:iCs/>
        </w:rPr>
        <w:t>.</w:t>
      </w:r>
    </w:p>
    <w:p w14:paraId="6762B826" w14:textId="77777777" w:rsidR="003F4781" w:rsidRPr="003F4781" w:rsidRDefault="003F4781" w:rsidP="005859DB">
      <w:pPr>
        <w:contextualSpacing/>
        <w:rPr>
          <w:rFonts w:ascii="Calibri" w:eastAsia="Calibri" w:hAnsi="Calibri" w:cs="Times New Roman"/>
        </w:rPr>
      </w:pPr>
    </w:p>
    <w:p w14:paraId="513F8489" w14:textId="1C10A775"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Comment:</w:t>
      </w:r>
      <w:r w:rsidRPr="003F4781">
        <w:rPr>
          <w:rFonts w:ascii="Calibri" w:eastAsia="Calibri" w:hAnsi="Calibri" w:cs="Times New Roman"/>
        </w:rPr>
        <w:t xml:space="preserve"> The slope for the terrestrial invertebrates whose effects metrics are presented in “</w:t>
      </w:r>
      <w:proofErr w:type="spellStart"/>
      <w:r w:rsidRPr="003F4781">
        <w:rPr>
          <w:rFonts w:ascii="Calibri" w:eastAsia="Calibri" w:hAnsi="Calibri" w:cs="Times New Roman"/>
        </w:rPr>
        <w:t>lb</w:t>
      </w:r>
      <w:proofErr w:type="spellEnd"/>
      <w:r w:rsidRPr="003F4781">
        <w:rPr>
          <w:rFonts w:ascii="Calibri" w:eastAsia="Calibri" w:hAnsi="Calibri" w:cs="Times New Roman"/>
        </w:rPr>
        <w:t xml:space="preserve"> a.i./A</w:t>
      </w:r>
      <w:r w:rsidR="00551397">
        <w:rPr>
          <w:rFonts w:ascii="Calibri" w:eastAsia="Calibri" w:hAnsi="Calibri" w:cs="Times New Roman"/>
        </w:rPr>
        <w:t>”</w:t>
      </w:r>
      <w:r w:rsidRPr="003F4781">
        <w:rPr>
          <w:rFonts w:ascii="Calibri" w:eastAsia="Calibri" w:hAnsi="Calibri" w:cs="Times New Roman"/>
        </w:rPr>
        <w:t xml:space="preserve"> units are assumed to be 4.5 in the “Toxicity inputs” worksheet within the “Clothianidin </w:t>
      </w:r>
      <w:proofErr w:type="spellStart"/>
      <w:r w:rsidRPr="003F4781">
        <w:rPr>
          <w:rFonts w:ascii="Calibri" w:eastAsia="Calibri" w:hAnsi="Calibri" w:cs="Times New Roman"/>
        </w:rPr>
        <w:t>WoE</w:t>
      </w:r>
      <w:proofErr w:type="spellEnd"/>
      <w:r w:rsidRPr="003F4781">
        <w:rPr>
          <w:rFonts w:ascii="Calibri" w:eastAsia="Calibri" w:hAnsi="Calibri" w:cs="Times New Roman"/>
        </w:rPr>
        <w:t xml:space="preserve"> input parameters” workbook. However, </w:t>
      </w:r>
      <w:r w:rsidRPr="002F6C95">
        <w:rPr>
          <w:rFonts w:ascii="Calibri" w:eastAsia="Calibri" w:hAnsi="Calibri" w:cs="Times New Roman"/>
          <w:b/>
          <w:bCs/>
        </w:rPr>
        <w:t>Table 2-1</w:t>
      </w:r>
      <w:r w:rsidRPr="003F4781">
        <w:rPr>
          <w:rFonts w:ascii="Calibri" w:eastAsia="Calibri" w:hAnsi="Calibri" w:cs="Times New Roman"/>
        </w:rPr>
        <w:t xml:space="preserve"> in </w:t>
      </w:r>
      <w:r w:rsidRPr="002F6C95">
        <w:rPr>
          <w:rFonts w:ascii="Calibri" w:eastAsia="Calibri" w:hAnsi="Calibri" w:cs="Times New Roman"/>
          <w:b/>
          <w:bCs/>
        </w:rPr>
        <w:t>Chapter 2</w:t>
      </w:r>
      <w:r w:rsidRPr="003F4781">
        <w:rPr>
          <w:rFonts w:ascii="Calibri" w:eastAsia="Calibri" w:hAnsi="Calibri" w:cs="Times New Roman"/>
        </w:rPr>
        <w:t xml:space="preserve"> of the draft clothianidin BE shows the slope value is qualitatively assessed for these organisms and is 4.12.</w:t>
      </w:r>
    </w:p>
    <w:p w14:paraId="0CCC69D8" w14:textId="77777777" w:rsidR="003F4781" w:rsidRPr="003F4781" w:rsidRDefault="003F4781" w:rsidP="005859DB">
      <w:pPr>
        <w:contextualSpacing/>
        <w:rPr>
          <w:rFonts w:ascii="Calibri" w:eastAsia="Calibri" w:hAnsi="Calibri" w:cs="Times New Roman"/>
        </w:rPr>
      </w:pPr>
    </w:p>
    <w:p w14:paraId="1905306E" w14:textId="6175E406" w:rsidR="003F4781" w:rsidRPr="003F4781" w:rsidRDefault="008525BB" w:rsidP="005859DB">
      <w:pPr>
        <w:contextualSpacing/>
        <w:rPr>
          <w:rFonts w:ascii="Calibri" w:eastAsia="Calibri" w:hAnsi="Calibri" w:cs="Times New Roman"/>
          <w:b/>
        </w:rPr>
      </w:pPr>
      <w:r>
        <w:rPr>
          <w:rFonts w:ascii="Calibri" w:eastAsia="Calibri" w:hAnsi="Calibri" w:cs="Times New Roman"/>
          <w:b/>
        </w:rPr>
        <w:t xml:space="preserve">EPA </w:t>
      </w:r>
      <w:r w:rsidR="003F4781" w:rsidRPr="003F4781">
        <w:rPr>
          <w:rFonts w:ascii="Calibri" w:eastAsia="Calibri" w:hAnsi="Calibri" w:cs="Times New Roman"/>
          <w:b/>
        </w:rPr>
        <w:t>Response:</w:t>
      </w:r>
      <w:r w:rsidR="00213925" w:rsidRPr="00213925">
        <w:rPr>
          <w:rFonts w:ascii="Calibri" w:eastAsia="Calibri" w:hAnsi="Calibri" w:cs="Times New Roman"/>
        </w:rPr>
        <w:t xml:space="preserve"> </w:t>
      </w:r>
      <w:r w:rsidR="00213925" w:rsidRPr="008525BB">
        <w:rPr>
          <w:rFonts w:ascii="Calibri" w:eastAsia="Calibri" w:hAnsi="Calibri" w:cs="Times New Roman"/>
          <w:i/>
        </w:rPr>
        <w:t>Generally,</w:t>
      </w:r>
      <w:r w:rsidR="00213925" w:rsidRPr="008525BB">
        <w:rPr>
          <w:rFonts w:ascii="Calibri" w:eastAsia="Calibri" w:hAnsi="Calibri" w:cs="Times New Roman"/>
          <w:b/>
          <w:i/>
        </w:rPr>
        <w:t xml:space="preserve"> </w:t>
      </w:r>
      <w:r w:rsidR="00213925" w:rsidRPr="008525BB">
        <w:rPr>
          <w:rFonts w:ascii="Calibri" w:eastAsia="Calibri" w:hAnsi="Calibri" w:cs="Times New Roman"/>
          <w:i/>
        </w:rPr>
        <w:t xml:space="preserve">only quantitatively acceptable data </w:t>
      </w:r>
      <w:r w:rsidR="00551397">
        <w:rPr>
          <w:rFonts w:ascii="Calibri" w:eastAsia="Calibri" w:hAnsi="Calibri" w:cs="Times New Roman"/>
          <w:i/>
        </w:rPr>
        <w:t>are</w:t>
      </w:r>
      <w:r w:rsidR="00213925" w:rsidRPr="008525BB">
        <w:rPr>
          <w:rFonts w:ascii="Calibri" w:eastAsia="Calibri" w:hAnsi="Calibri" w:cs="Times New Roman"/>
          <w:i/>
        </w:rPr>
        <w:t xml:space="preserve"> used for </w:t>
      </w:r>
      <w:r w:rsidR="00213925" w:rsidRPr="008525BB">
        <w:rPr>
          <w:rFonts w:ascii="Calibri" w:eastAsia="Calibri" w:hAnsi="Calibri" w:cs="Times New Roman"/>
          <w:i/>
          <w:iCs/>
        </w:rPr>
        <w:t>M</w:t>
      </w:r>
      <w:r>
        <w:rPr>
          <w:rFonts w:ascii="Calibri" w:eastAsia="Calibri" w:hAnsi="Calibri" w:cs="Times New Roman"/>
          <w:i/>
          <w:iCs/>
        </w:rPr>
        <w:t>AGt</w:t>
      </w:r>
      <w:r w:rsidR="00213925" w:rsidRPr="008525BB">
        <w:rPr>
          <w:rFonts w:ascii="Calibri" w:eastAsia="Calibri" w:hAnsi="Calibri" w:cs="Times New Roman"/>
          <w:i/>
          <w:iCs/>
        </w:rPr>
        <w:t>ool</w:t>
      </w:r>
      <w:r w:rsidR="00213925" w:rsidRPr="008525BB">
        <w:rPr>
          <w:rFonts w:ascii="Calibri" w:eastAsia="Calibri" w:hAnsi="Calibri" w:cs="Times New Roman"/>
          <w:i/>
        </w:rPr>
        <w:t xml:space="preserve"> inputs. </w:t>
      </w:r>
      <w:r w:rsidR="00E72BEE">
        <w:rPr>
          <w:rFonts w:ascii="Calibri" w:eastAsia="Calibri" w:hAnsi="Calibri" w:cs="Times New Roman"/>
          <w:i/>
        </w:rPr>
        <w:t>T</w:t>
      </w:r>
      <w:r w:rsidR="00213925" w:rsidRPr="008525BB">
        <w:rPr>
          <w:rFonts w:ascii="Calibri" w:eastAsia="Calibri" w:hAnsi="Calibri" w:cs="Times New Roman"/>
          <w:i/>
        </w:rPr>
        <w:t xml:space="preserve">he assessed slope for this </w:t>
      </w:r>
      <w:r w:rsidR="00E72BEE" w:rsidRPr="008525BB">
        <w:rPr>
          <w:rFonts w:ascii="Calibri" w:eastAsia="Calibri" w:hAnsi="Calibri" w:cs="Times New Roman"/>
          <w:i/>
        </w:rPr>
        <w:t>tax</w:t>
      </w:r>
      <w:r w:rsidR="00E72BEE">
        <w:rPr>
          <w:rFonts w:ascii="Calibri" w:eastAsia="Calibri" w:hAnsi="Calibri" w:cs="Times New Roman"/>
          <w:i/>
        </w:rPr>
        <w:t>on</w:t>
      </w:r>
      <w:r w:rsidR="00E72BEE" w:rsidRPr="008525BB">
        <w:rPr>
          <w:rFonts w:ascii="Calibri" w:eastAsia="Calibri" w:hAnsi="Calibri" w:cs="Times New Roman"/>
          <w:i/>
        </w:rPr>
        <w:t xml:space="preserve"> </w:t>
      </w:r>
      <w:r w:rsidR="00E72BEE">
        <w:rPr>
          <w:rFonts w:ascii="Calibri" w:eastAsia="Calibri" w:hAnsi="Calibri" w:cs="Times New Roman"/>
          <w:i/>
        </w:rPr>
        <w:t xml:space="preserve">was </w:t>
      </w:r>
      <w:r w:rsidR="00213925" w:rsidRPr="008525BB">
        <w:rPr>
          <w:rFonts w:ascii="Calibri" w:eastAsia="Calibri" w:hAnsi="Calibri" w:cs="Times New Roman"/>
          <w:i/>
        </w:rPr>
        <w:t xml:space="preserve">based on available toxicity data </w:t>
      </w:r>
      <w:r w:rsidR="00E72BEE">
        <w:rPr>
          <w:rFonts w:ascii="Calibri" w:eastAsia="Calibri" w:hAnsi="Calibri" w:cs="Times New Roman"/>
          <w:i/>
        </w:rPr>
        <w:t>which w</w:t>
      </w:r>
      <w:r w:rsidR="00551397">
        <w:rPr>
          <w:rFonts w:ascii="Calibri" w:eastAsia="Calibri" w:hAnsi="Calibri" w:cs="Times New Roman"/>
          <w:i/>
        </w:rPr>
        <w:t>ere</w:t>
      </w:r>
      <w:r w:rsidR="00E72BEE" w:rsidRPr="008525BB">
        <w:rPr>
          <w:rFonts w:ascii="Calibri" w:eastAsia="Calibri" w:hAnsi="Calibri" w:cs="Times New Roman"/>
          <w:i/>
        </w:rPr>
        <w:t xml:space="preserve"> </w:t>
      </w:r>
      <w:r w:rsidR="00213925" w:rsidRPr="008525BB">
        <w:rPr>
          <w:rFonts w:ascii="Calibri" w:eastAsia="Calibri" w:hAnsi="Calibri" w:cs="Times New Roman"/>
          <w:i/>
        </w:rPr>
        <w:t>evaluated qualitative</w:t>
      </w:r>
      <w:r w:rsidR="00E72BEE">
        <w:rPr>
          <w:rFonts w:ascii="Calibri" w:eastAsia="Calibri" w:hAnsi="Calibri" w:cs="Times New Roman"/>
          <w:i/>
        </w:rPr>
        <w:t>ly. The</w:t>
      </w:r>
      <w:r w:rsidR="00213925" w:rsidRPr="008525BB">
        <w:rPr>
          <w:rFonts w:ascii="Calibri" w:eastAsia="Calibri" w:hAnsi="Calibri" w:cs="Times New Roman"/>
          <w:i/>
        </w:rPr>
        <w:t xml:space="preserve"> </w:t>
      </w:r>
      <w:r w:rsidR="00E72BEE">
        <w:rPr>
          <w:rFonts w:ascii="Calibri" w:eastAsia="Calibri" w:hAnsi="Calibri" w:cs="Times New Roman"/>
          <w:i/>
        </w:rPr>
        <w:t>slope from the toxicity study</w:t>
      </w:r>
      <w:r w:rsidR="00213925" w:rsidRPr="008525BB">
        <w:rPr>
          <w:rFonts w:ascii="Calibri" w:eastAsia="Calibri" w:hAnsi="Calibri" w:cs="Times New Roman"/>
          <w:i/>
        </w:rPr>
        <w:t xml:space="preserve"> was very similar to the default slope of 4.5, the</w:t>
      </w:r>
      <w:r w:rsidR="00E72BEE">
        <w:rPr>
          <w:rFonts w:ascii="Calibri" w:eastAsia="Calibri" w:hAnsi="Calibri" w:cs="Times New Roman"/>
          <w:i/>
        </w:rPr>
        <w:t>refore the</w:t>
      </w:r>
      <w:r w:rsidR="00213925" w:rsidRPr="008525BB">
        <w:rPr>
          <w:rFonts w:ascii="Calibri" w:eastAsia="Calibri" w:hAnsi="Calibri" w:cs="Times New Roman"/>
          <w:i/>
        </w:rPr>
        <w:t xml:space="preserve"> default slope was used. The use of the default value here does not impact effect determinations.</w:t>
      </w:r>
    </w:p>
    <w:p w14:paraId="771F9ED6" w14:textId="77777777" w:rsidR="003F4781" w:rsidRPr="003F4781" w:rsidRDefault="003F4781" w:rsidP="005859DB">
      <w:pPr>
        <w:contextualSpacing/>
        <w:rPr>
          <w:rFonts w:ascii="Calibri" w:eastAsia="Calibri" w:hAnsi="Calibri" w:cs="Times New Roman"/>
        </w:rPr>
      </w:pPr>
    </w:p>
    <w:p w14:paraId="131D5E66" w14:textId="11ABDBF2"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Comment:</w:t>
      </w:r>
      <w:r w:rsidRPr="003F4781">
        <w:rPr>
          <w:rFonts w:ascii="Calibri" w:eastAsia="Calibri" w:hAnsi="Calibri" w:cs="Times New Roman"/>
        </w:rPr>
        <w:t xml:space="preserve"> There is a discrepancy in the test species used to derive the sublethal endpoint for mollusks. The “Toxicity inputs” worksheet in the “Clothianidin </w:t>
      </w:r>
      <w:proofErr w:type="spellStart"/>
      <w:r w:rsidRPr="003F4781">
        <w:rPr>
          <w:rFonts w:ascii="Calibri" w:eastAsia="Calibri" w:hAnsi="Calibri" w:cs="Times New Roman"/>
        </w:rPr>
        <w:t>WoE</w:t>
      </w:r>
      <w:proofErr w:type="spellEnd"/>
      <w:r w:rsidRPr="003F4781">
        <w:rPr>
          <w:rFonts w:ascii="Calibri" w:eastAsia="Calibri" w:hAnsi="Calibri" w:cs="Times New Roman"/>
        </w:rPr>
        <w:t xml:space="preserve"> input parameters” workbook show that the test animal used to derive the sublethal endpoint for the mollusk taxon is mysid shrimp (</w:t>
      </w:r>
      <w:r w:rsidRPr="008A6C99">
        <w:rPr>
          <w:rFonts w:ascii="Calibri" w:eastAsia="Calibri" w:hAnsi="Calibri" w:cs="Times New Roman"/>
          <w:i/>
        </w:rPr>
        <w:t>i.e</w:t>
      </w:r>
      <w:r w:rsidRPr="003F4781">
        <w:rPr>
          <w:rFonts w:ascii="Calibri" w:eastAsia="Calibri" w:hAnsi="Calibri" w:cs="Times New Roman"/>
        </w:rPr>
        <w:t xml:space="preserve">., cell G59). However, </w:t>
      </w:r>
      <w:r w:rsidRPr="003A3BAD">
        <w:rPr>
          <w:rFonts w:ascii="Calibri" w:eastAsia="Calibri" w:hAnsi="Calibri" w:cs="Times New Roman"/>
          <w:b/>
          <w:bCs/>
        </w:rPr>
        <w:t>Table 2-4</w:t>
      </w:r>
      <w:r w:rsidRPr="003F4781">
        <w:rPr>
          <w:rFonts w:ascii="Calibri" w:eastAsia="Calibri" w:hAnsi="Calibri" w:cs="Times New Roman"/>
        </w:rPr>
        <w:t xml:space="preserve"> in the draft clothianidin BE indicates that the aquatic sublethal endpoints were based on the Eastern oyster. EPA needs to replace mysid shrimp with Eastern oyster in the comment cell in the MAGtool ‘Toxicity inputs” since </w:t>
      </w:r>
      <w:r w:rsidRPr="002F6C95">
        <w:rPr>
          <w:rFonts w:ascii="Calibri" w:eastAsia="Calibri" w:hAnsi="Calibri" w:cs="Times New Roman"/>
          <w:b/>
          <w:bCs/>
        </w:rPr>
        <w:t>Chapter 2</w:t>
      </w:r>
      <w:r w:rsidRPr="003F4781">
        <w:rPr>
          <w:rFonts w:ascii="Calibri" w:eastAsia="Calibri" w:hAnsi="Calibri" w:cs="Times New Roman"/>
        </w:rPr>
        <w:t xml:space="preserve"> in the draft clothianidin BE indicates that the threshold value used for mollusks (</w:t>
      </w:r>
      <w:r w:rsidRPr="000564AA">
        <w:rPr>
          <w:rFonts w:ascii="Calibri" w:eastAsia="Calibri" w:hAnsi="Calibri" w:cs="Times New Roman"/>
          <w:i/>
        </w:rPr>
        <w:t>i.e</w:t>
      </w:r>
      <w:r w:rsidRPr="003F4781">
        <w:rPr>
          <w:rFonts w:ascii="Calibri" w:eastAsia="Calibri" w:hAnsi="Calibri" w:cs="Times New Roman"/>
        </w:rPr>
        <w:t>., 129,100 μg a.i./L) is based on the Eastern oyster. This error does not impact findings but is one example of a lack of general QC when reviewing the MAGtool before release to the public.</w:t>
      </w:r>
    </w:p>
    <w:p w14:paraId="68BB1CD5" w14:textId="77777777" w:rsidR="003F4781" w:rsidRPr="003F4781" w:rsidRDefault="003F4781" w:rsidP="005859DB">
      <w:pPr>
        <w:contextualSpacing/>
        <w:rPr>
          <w:rFonts w:ascii="Calibri" w:eastAsia="Calibri" w:hAnsi="Calibri" w:cs="Times New Roman"/>
        </w:rPr>
      </w:pPr>
    </w:p>
    <w:p w14:paraId="67D1A1F6" w14:textId="1F0567A6" w:rsidR="003F4781" w:rsidRPr="00C15FA2" w:rsidRDefault="008525BB" w:rsidP="005859DB">
      <w:pPr>
        <w:contextualSpacing/>
        <w:rPr>
          <w:rFonts w:ascii="Calibri" w:eastAsia="Calibri" w:hAnsi="Calibri" w:cs="Times New Roman"/>
          <w:b/>
          <w:i/>
        </w:rPr>
      </w:pPr>
      <w:r>
        <w:rPr>
          <w:rFonts w:ascii="Calibri" w:eastAsia="Calibri" w:hAnsi="Calibri" w:cs="Times New Roman"/>
          <w:b/>
        </w:rPr>
        <w:t xml:space="preserve">EPA </w:t>
      </w:r>
      <w:r w:rsidR="003F4781" w:rsidRPr="003F4781">
        <w:rPr>
          <w:rFonts w:ascii="Calibri" w:eastAsia="Calibri" w:hAnsi="Calibri" w:cs="Times New Roman"/>
          <w:b/>
        </w:rPr>
        <w:t>Response:</w:t>
      </w:r>
      <w:r w:rsidR="00213925" w:rsidRPr="00213925">
        <w:rPr>
          <w:rFonts w:ascii="Calibri" w:eastAsia="Calibri" w:hAnsi="Calibri" w:cs="Times New Roman"/>
        </w:rPr>
        <w:t xml:space="preserve"> </w:t>
      </w:r>
      <w:r w:rsidR="00213925" w:rsidRPr="008525BB">
        <w:rPr>
          <w:rFonts w:ascii="Calibri" w:eastAsia="Calibri" w:hAnsi="Calibri" w:cs="Times New Roman"/>
          <w:i/>
        </w:rPr>
        <w:t>E</w:t>
      </w:r>
      <w:r w:rsidR="00431841">
        <w:rPr>
          <w:rFonts w:ascii="Calibri" w:eastAsia="Calibri" w:hAnsi="Calibri" w:cs="Times New Roman"/>
          <w:i/>
        </w:rPr>
        <w:t>PA</w:t>
      </w:r>
      <w:r w:rsidR="00213925" w:rsidRPr="008525BB">
        <w:rPr>
          <w:rFonts w:ascii="Calibri" w:eastAsia="Calibri" w:hAnsi="Calibri" w:cs="Times New Roman"/>
          <w:i/>
        </w:rPr>
        <w:t xml:space="preserve"> </w:t>
      </w:r>
      <w:r w:rsidR="00A43C9B">
        <w:rPr>
          <w:rFonts w:ascii="Calibri" w:eastAsia="Calibri" w:hAnsi="Calibri" w:cs="Times New Roman"/>
          <w:i/>
        </w:rPr>
        <w:t>appreciates</w:t>
      </w:r>
      <w:r w:rsidR="00213925" w:rsidRPr="008525BB">
        <w:rPr>
          <w:rFonts w:ascii="Calibri" w:eastAsia="Calibri" w:hAnsi="Calibri" w:cs="Times New Roman"/>
          <w:i/>
        </w:rPr>
        <w:t xml:space="preserve"> the commenter for bringing this typo to our attention. The correct species is indeed the Eastern oyster (</w:t>
      </w:r>
      <w:r w:rsidR="00EB45E8" w:rsidRPr="00D63617">
        <w:rPr>
          <w:rFonts w:ascii="Calibri" w:eastAsia="Calibri" w:hAnsi="Calibri" w:cs="Times New Roman"/>
          <w:iCs/>
        </w:rPr>
        <w:t xml:space="preserve">Crassostrea </w:t>
      </w:r>
      <w:r w:rsidR="00213925" w:rsidRPr="00D63617">
        <w:rPr>
          <w:rFonts w:ascii="Calibri" w:eastAsia="Calibri" w:hAnsi="Calibri" w:cs="Times New Roman"/>
          <w:iCs/>
        </w:rPr>
        <w:t>virginica</w:t>
      </w:r>
      <w:r w:rsidR="00213925" w:rsidRPr="008525BB">
        <w:rPr>
          <w:rFonts w:ascii="Calibri" w:eastAsia="Calibri" w:hAnsi="Calibri" w:cs="Times New Roman"/>
          <w:i/>
        </w:rPr>
        <w:t>) from MRID 45422404. As noted by the commenter, this typo does not impact effect determinations.</w:t>
      </w:r>
    </w:p>
    <w:p w14:paraId="3BF32BFE" w14:textId="017D0BCC" w:rsidR="003F4781" w:rsidRPr="003F4781" w:rsidRDefault="003F4781" w:rsidP="005859DB">
      <w:pPr>
        <w:contextualSpacing/>
        <w:rPr>
          <w:rFonts w:eastAsia="Calibri" w:cs="Arial"/>
        </w:rPr>
      </w:pPr>
    </w:p>
    <w:p w14:paraId="7AEB7BC6" w14:textId="06D8310D"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Comment</w:t>
      </w:r>
      <w:r w:rsidRPr="003F4781">
        <w:rPr>
          <w:rFonts w:ascii="Calibri" w:eastAsia="Calibri" w:hAnsi="Calibri" w:cs="Times New Roman"/>
        </w:rPr>
        <w:t xml:space="preserve">: The “Toxicity inputs” worksheet in the “Clothianidin </w:t>
      </w:r>
      <w:proofErr w:type="spellStart"/>
      <w:r w:rsidRPr="003F4781">
        <w:rPr>
          <w:rFonts w:ascii="Calibri" w:eastAsia="Calibri" w:hAnsi="Calibri" w:cs="Times New Roman"/>
        </w:rPr>
        <w:t>WoE</w:t>
      </w:r>
      <w:proofErr w:type="spellEnd"/>
      <w:r w:rsidRPr="003F4781">
        <w:rPr>
          <w:rFonts w:ascii="Calibri" w:eastAsia="Calibri" w:hAnsi="Calibri" w:cs="Times New Roman"/>
        </w:rPr>
        <w:t xml:space="preserve"> input parameters” workbook show that the weight of the test animals used to derive the animal dose based sublethal endpoints for mammals, birds and reptiles/terrestrial amphibians are 350 g, 25 g and 25 g, respectively. However, </w:t>
      </w:r>
      <w:r w:rsidRPr="002F6C95">
        <w:rPr>
          <w:rFonts w:ascii="Calibri" w:eastAsia="Calibri" w:hAnsi="Calibri" w:cs="Times New Roman"/>
          <w:b/>
          <w:bCs/>
        </w:rPr>
        <w:t>Table 2-2</w:t>
      </w:r>
      <w:r w:rsidRPr="003F4781">
        <w:rPr>
          <w:rFonts w:ascii="Calibri" w:eastAsia="Calibri" w:hAnsi="Calibri" w:cs="Times New Roman"/>
        </w:rPr>
        <w:t xml:space="preserve"> in </w:t>
      </w:r>
      <w:r w:rsidRPr="002F6C95">
        <w:rPr>
          <w:rFonts w:ascii="Calibri" w:eastAsia="Calibri" w:hAnsi="Calibri" w:cs="Times New Roman"/>
          <w:b/>
          <w:bCs/>
        </w:rPr>
        <w:t>Chapter 2</w:t>
      </w:r>
      <w:r w:rsidRPr="003F4781">
        <w:rPr>
          <w:rFonts w:ascii="Calibri" w:eastAsia="Calibri" w:hAnsi="Calibri" w:cs="Times New Roman"/>
        </w:rPr>
        <w:t xml:space="preserve"> of the draft clothianidin BE does not provide the weights of the tested animals nor is there any discussion provided in </w:t>
      </w:r>
      <w:r w:rsidRPr="002F6C95">
        <w:rPr>
          <w:rFonts w:ascii="Calibri" w:eastAsia="Calibri" w:hAnsi="Calibri" w:cs="Times New Roman"/>
          <w:b/>
          <w:bCs/>
        </w:rPr>
        <w:t>Chapter 2</w:t>
      </w:r>
      <w:r w:rsidRPr="003F4781">
        <w:rPr>
          <w:rFonts w:ascii="Calibri" w:eastAsia="Calibri" w:hAnsi="Calibri" w:cs="Times New Roman"/>
        </w:rPr>
        <w:t xml:space="preserve"> text body as to why these values were selected in the MAGtool. The weights of the tested animals are important since they are used to adjust the dose-based sublethal endpoint values in the MAGtool.</w:t>
      </w:r>
    </w:p>
    <w:p w14:paraId="36F8463A" w14:textId="77777777" w:rsidR="003F4781" w:rsidRPr="003F4781" w:rsidRDefault="003F4781" w:rsidP="005859DB">
      <w:pPr>
        <w:contextualSpacing/>
        <w:rPr>
          <w:rFonts w:ascii="Calibri" w:eastAsia="Calibri" w:hAnsi="Calibri" w:cs="Times New Roman"/>
        </w:rPr>
      </w:pPr>
    </w:p>
    <w:p w14:paraId="6DAAFD1A" w14:textId="2D49DCAB" w:rsidR="003F4781" w:rsidRPr="003F4781" w:rsidRDefault="008525BB" w:rsidP="005859DB">
      <w:pPr>
        <w:contextualSpacing/>
        <w:rPr>
          <w:rFonts w:ascii="Calibri" w:eastAsia="Calibri" w:hAnsi="Calibri" w:cs="Times New Roman"/>
          <w:b/>
        </w:rPr>
      </w:pPr>
      <w:r>
        <w:rPr>
          <w:rFonts w:ascii="Calibri" w:eastAsia="Calibri" w:hAnsi="Calibri" w:cs="Times New Roman"/>
          <w:b/>
        </w:rPr>
        <w:t xml:space="preserve">EPA </w:t>
      </w:r>
      <w:r w:rsidR="003F4781" w:rsidRPr="003F4781">
        <w:rPr>
          <w:rFonts w:ascii="Calibri" w:eastAsia="Calibri" w:hAnsi="Calibri" w:cs="Times New Roman"/>
          <w:b/>
        </w:rPr>
        <w:t>Response:</w:t>
      </w:r>
      <w:r w:rsidR="00213925" w:rsidRPr="00213925">
        <w:rPr>
          <w:rFonts w:ascii="Calibri" w:eastAsia="Calibri" w:hAnsi="Calibri" w:cs="Times New Roman"/>
        </w:rPr>
        <w:t xml:space="preserve"> </w:t>
      </w:r>
      <w:r w:rsidR="00213925" w:rsidRPr="008525BB">
        <w:rPr>
          <w:rFonts w:ascii="Calibri" w:eastAsia="Calibri" w:hAnsi="Calibri" w:cs="Times New Roman"/>
          <w:i/>
        </w:rPr>
        <w:t>The</w:t>
      </w:r>
      <w:r w:rsidR="00EB45E8">
        <w:rPr>
          <w:rFonts w:ascii="Calibri" w:eastAsia="Calibri" w:hAnsi="Calibri" w:cs="Times New Roman"/>
          <w:i/>
        </w:rPr>
        <w:t xml:space="preserve"> weights provided in </w:t>
      </w:r>
      <w:r w:rsidR="00EB45E8" w:rsidRPr="003A3BAD">
        <w:rPr>
          <w:rFonts w:ascii="Calibri" w:eastAsia="Calibri" w:hAnsi="Calibri" w:cs="Times New Roman"/>
          <w:b/>
          <w:bCs/>
          <w:i/>
        </w:rPr>
        <w:t>Table 2-2</w:t>
      </w:r>
      <w:r w:rsidR="00EB45E8">
        <w:rPr>
          <w:rFonts w:ascii="Calibri" w:eastAsia="Calibri" w:hAnsi="Calibri" w:cs="Times New Roman"/>
          <w:i/>
        </w:rPr>
        <w:t xml:space="preserve"> represent the </w:t>
      </w:r>
      <w:r w:rsidR="00213925" w:rsidRPr="008525BB">
        <w:rPr>
          <w:rFonts w:ascii="Calibri" w:eastAsia="Calibri" w:hAnsi="Calibri" w:cs="Times New Roman"/>
          <w:i/>
        </w:rPr>
        <w:t>mean weight</w:t>
      </w:r>
      <w:r w:rsidR="00EB45E8">
        <w:rPr>
          <w:rFonts w:ascii="Calibri" w:eastAsia="Calibri" w:hAnsi="Calibri" w:cs="Times New Roman"/>
          <w:i/>
        </w:rPr>
        <w:t xml:space="preserve"> </w:t>
      </w:r>
      <w:r w:rsidR="00213925" w:rsidRPr="008525BB">
        <w:rPr>
          <w:rFonts w:ascii="Calibri" w:eastAsia="Calibri" w:hAnsi="Calibri" w:cs="Times New Roman"/>
          <w:i/>
        </w:rPr>
        <w:t xml:space="preserve">of all test organisms used in the study from which the endpoint </w:t>
      </w:r>
      <w:r w:rsidR="00EB45E8">
        <w:rPr>
          <w:rFonts w:ascii="Calibri" w:eastAsia="Calibri" w:hAnsi="Calibri" w:cs="Times New Roman"/>
          <w:i/>
        </w:rPr>
        <w:t xml:space="preserve">was derived. EPA recognizes that the </w:t>
      </w:r>
      <w:r w:rsidR="00213925" w:rsidRPr="008525BB">
        <w:rPr>
          <w:rFonts w:ascii="Calibri" w:eastAsia="Calibri" w:hAnsi="Calibri" w:cs="Times New Roman"/>
          <w:i/>
        </w:rPr>
        <w:t>column header, “Weight of test animal (g)”</w:t>
      </w:r>
      <w:r w:rsidR="00EB45E8">
        <w:rPr>
          <w:rFonts w:ascii="Calibri" w:eastAsia="Calibri" w:hAnsi="Calibri" w:cs="Times New Roman"/>
          <w:i/>
        </w:rPr>
        <w:t>, could have been clearer. The endpoint for</w:t>
      </w:r>
      <w:r w:rsidR="00EB45E8" w:rsidRPr="008525BB">
        <w:rPr>
          <w:rFonts w:ascii="Calibri" w:eastAsia="Calibri" w:hAnsi="Calibri" w:cs="Times New Roman"/>
          <w:i/>
        </w:rPr>
        <w:t xml:space="preserve"> birds and reptiles/terrestrial amphibians</w:t>
      </w:r>
      <w:r w:rsidR="00EB45E8">
        <w:rPr>
          <w:rFonts w:ascii="Calibri" w:eastAsia="Calibri" w:hAnsi="Calibri" w:cs="Times New Roman"/>
          <w:i/>
        </w:rPr>
        <w:t xml:space="preserve"> was the same and was derived from an</w:t>
      </w:r>
      <w:r w:rsidR="00213925" w:rsidRPr="008525BB">
        <w:rPr>
          <w:rFonts w:ascii="Calibri" w:eastAsia="Calibri" w:hAnsi="Calibri" w:cs="Times New Roman"/>
          <w:i/>
        </w:rPr>
        <w:t xml:space="preserve"> acute oral toxicity test with the house sparrow (</w:t>
      </w:r>
      <w:r w:rsidR="00213925" w:rsidRPr="000564AA">
        <w:rPr>
          <w:rFonts w:ascii="Calibri" w:eastAsia="Calibri" w:hAnsi="Calibri" w:cs="Times New Roman"/>
          <w:i/>
        </w:rPr>
        <w:t xml:space="preserve">Passer </w:t>
      </w:r>
      <w:proofErr w:type="spellStart"/>
      <w:r w:rsidR="00213925" w:rsidRPr="000564AA">
        <w:rPr>
          <w:rFonts w:ascii="Calibri" w:eastAsia="Calibri" w:hAnsi="Calibri" w:cs="Times New Roman"/>
          <w:i/>
        </w:rPr>
        <w:t>domesticus</w:t>
      </w:r>
      <w:proofErr w:type="spellEnd"/>
      <w:r w:rsidR="00EB45E8">
        <w:rPr>
          <w:rFonts w:ascii="Calibri" w:eastAsia="Calibri" w:hAnsi="Calibri" w:cs="Times New Roman"/>
          <w:i/>
        </w:rPr>
        <w:t xml:space="preserve">; </w:t>
      </w:r>
      <w:r w:rsidR="00213925" w:rsidRPr="008525BB">
        <w:rPr>
          <w:rFonts w:ascii="Calibri" w:eastAsia="Calibri" w:hAnsi="Calibri" w:cs="Times New Roman"/>
          <w:i/>
        </w:rPr>
        <w:t>MRID</w:t>
      </w:r>
      <w:r w:rsidR="00EB45E8">
        <w:rPr>
          <w:rFonts w:ascii="Calibri" w:eastAsia="Calibri" w:hAnsi="Calibri" w:cs="Times New Roman"/>
          <w:i/>
        </w:rPr>
        <w:t xml:space="preserve"> </w:t>
      </w:r>
      <w:r w:rsidR="00213925" w:rsidRPr="008525BB">
        <w:rPr>
          <w:rFonts w:ascii="Calibri" w:eastAsia="Calibri" w:hAnsi="Calibri" w:cs="Times New Roman"/>
          <w:i/>
        </w:rPr>
        <w:t>49104802). For mammals, a chronic 2-generation study with the rat was used</w:t>
      </w:r>
      <w:r w:rsidR="00EB45E8" w:rsidRPr="00EB45E8">
        <w:rPr>
          <w:rFonts w:ascii="Calibri" w:eastAsia="Calibri" w:hAnsi="Calibri" w:cs="Times New Roman"/>
          <w:i/>
        </w:rPr>
        <w:t xml:space="preserve"> </w:t>
      </w:r>
      <w:r w:rsidR="00EB45E8">
        <w:rPr>
          <w:rFonts w:ascii="Calibri" w:eastAsia="Calibri" w:hAnsi="Calibri" w:cs="Times New Roman"/>
          <w:i/>
        </w:rPr>
        <w:t>(</w:t>
      </w:r>
      <w:r w:rsidR="00EB45E8" w:rsidRPr="008525BB">
        <w:rPr>
          <w:rFonts w:ascii="Calibri" w:eastAsia="Calibri" w:hAnsi="Calibri" w:cs="Times New Roman"/>
          <w:i/>
        </w:rPr>
        <w:t>MRID</w:t>
      </w:r>
      <w:r w:rsidR="00EB45E8">
        <w:rPr>
          <w:rFonts w:ascii="Calibri" w:eastAsia="Calibri" w:hAnsi="Calibri" w:cs="Times New Roman"/>
          <w:i/>
        </w:rPr>
        <w:t xml:space="preserve"> </w:t>
      </w:r>
      <w:r w:rsidR="00EB45E8" w:rsidRPr="008525BB">
        <w:rPr>
          <w:rFonts w:ascii="Calibri" w:eastAsia="Calibri" w:hAnsi="Calibri" w:cs="Times New Roman"/>
          <w:i/>
        </w:rPr>
        <w:t>45422714</w:t>
      </w:r>
      <w:r w:rsidR="00EB45E8">
        <w:rPr>
          <w:rFonts w:ascii="Calibri" w:eastAsia="Calibri" w:hAnsi="Calibri" w:cs="Times New Roman"/>
          <w:i/>
        </w:rPr>
        <w:t>)</w:t>
      </w:r>
      <w:r w:rsidR="00213925" w:rsidRPr="008525BB">
        <w:rPr>
          <w:rFonts w:ascii="Calibri" w:eastAsia="Calibri" w:hAnsi="Calibri" w:cs="Times New Roman"/>
          <w:i/>
        </w:rPr>
        <w:t xml:space="preserve">. </w:t>
      </w:r>
    </w:p>
    <w:p w14:paraId="53BCCD13" w14:textId="77777777" w:rsidR="003F4781" w:rsidRPr="003F4781" w:rsidRDefault="003F4781" w:rsidP="005859DB">
      <w:pPr>
        <w:contextualSpacing/>
        <w:rPr>
          <w:rFonts w:ascii="Calibri" w:eastAsia="Calibri" w:hAnsi="Calibri" w:cs="Times New Roman"/>
        </w:rPr>
      </w:pPr>
    </w:p>
    <w:p w14:paraId="0D142AD8" w14:textId="2EDE6F74"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Comment:</w:t>
      </w:r>
      <w:r w:rsidRPr="003F4781">
        <w:rPr>
          <w:rFonts w:ascii="Calibri" w:eastAsia="Calibri" w:hAnsi="Calibri" w:cs="Times New Roman"/>
        </w:rPr>
        <w:t xml:space="preserve"> The “Toxicity inputs” worksheet in the “Clothianidin </w:t>
      </w:r>
      <w:proofErr w:type="spellStart"/>
      <w:r w:rsidRPr="003F4781">
        <w:rPr>
          <w:rFonts w:ascii="Calibri" w:eastAsia="Calibri" w:hAnsi="Calibri" w:cs="Times New Roman"/>
        </w:rPr>
        <w:t>WoE</w:t>
      </w:r>
      <w:proofErr w:type="spellEnd"/>
      <w:r w:rsidRPr="003F4781">
        <w:rPr>
          <w:rFonts w:ascii="Calibri" w:eastAsia="Calibri" w:hAnsi="Calibri" w:cs="Times New Roman"/>
        </w:rPr>
        <w:t xml:space="preserve"> input parameters” workbook uses a value of 328 mg a.i./kg-diet as the animal dietary based MATC or LOAEC sublethal endpoint (eggshell thickness) for birds and based on the Bobwhite Quail. However, </w:t>
      </w:r>
      <w:r w:rsidRPr="002F6C95">
        <w:rPr>
          <w:rFonts w:ascii="Calibri" w:eastAsia="Calibri" w:hAnsi="Calibri" w:cs="Times New Roman"/>
          <w:b/>
          <w:bCs/>
        </w:rPr>
        <w:t>Table 2-2</w:t>
      </w:r>
      <w:r w:rsidRPr="003F4781">
        <w:rPr>
          <w:rFonts w:ascii="Calibri" w:eastAsia="Calibri" w:hAnsi="Calibri" w:cs="Times New Roman"/>
        </w:rPr>
        <w:t xml:space="preserve"> in </w:t>
      </w:r>
      <w:r w:rsidRPr="002F6C95">
        <w:rPr>
          <w:rFonts w:ascii="Calibri" w:eastAsia="Calibri" w:hAnsi="Calibri" w:cs="Times New Roman"/>
          <w:b/>
          <w:bCs/>
        </w:rPr>
        <w:t>Chapter 2</w:t>
      </w:r>
      <w:r w:rsidRPr="003F4781">
        <w:rPr>
          <w:rFonts w:ascii="Calibri" w:eastAsia="Calibri" w:hAnsi="Calibri" w:cs="Times New Roman"/>
        </w:rPr>
        <w:t xml:space="preserve"> of the draft clothianidin BE uses a value of 329 mg a.i./kg-diet for the same bird species.</w:t>
      </w:r>
    </w:p>
    <w:p w14:paraId="59BC6B3F" w14:textId="77777777" w:rsidR="003F4781" w:rsidRPr="003F4781" w:rsidRDefault="003F4781" w:rsidP="005859DB">
      <w:pPr>
        <w:contextualSpacing/>
        <w:rPr>
          <w:rFonts w:ascii="Calibri" w:eastAsia="Calibri" w:hAnsi="Calibri" w:cs="Times New Roman"/>
        </w:rPr>
      </w:pPr>
    </w:p>
    <w:p w14:paraId="2C6B345E" w14:textId="02B9A1F6" w:rsidR="003F4781" w:rsidRPr="003F4781" w:rsidRDefault="008525BB" w:rsidP="005859DB">
      <w:pPr>
        <w:contextualSpacing/>
        <w:rPr>
          <w:rFonts w:ascii="Calibri" w:eastAsia="Calibri" w:hAnsi="Calibri" w:cs="Times New Roman"/>
          <w:b/>
        </w:rPr>
      </w:pPr>
      <w:r>
        <w:rPr>
          <w:rFonts w:ascii="Calibri" w:eastAsia="Calibri" w:hAnsi="Calibri" w:cs="Times New Roman"/>
          <w:b/>
        </w:rPr>
        <w:t xml:space="preserve">EPA </w:t>
      </w:r>
      <w:r w:rsidR="003F4781" w:rsidRPr="003F4781">
        <w:rPr>
          <w:rFonts w:ascii="Calibri" w:eastAsia="Calibri" w:hAnsi="Calibri" w:cs="Times New Roman"/>
          <w:b/>
        </w:rPr>
        <w:t>Response:</w:t>
      </w:r>
      <w:r w:rsidR="00213925" w:rsidRPr="00213925">
        <w:rPr>
          <w:rFonts w:ascii="Calibri" w:eastAsia="Calibri" w:hAnsi="Calibri" w:cs="Times New Roman"/>
        </w:rPr>
        <w:t xml:space="preserve"> </w:t>
      </w:r>
      <w:r w:rsidR="00213925" w:rsidRPr="008525BB">
        <w:rPr>
          <w:rFonts w:ascii="Calibri" w:eastAsia="Calibri" w:hAnsi="Calibri" w:cs="Times New Roman"/>
          <w:i/>
        </w:rPr>
        <w:t>E</w:t>
      </w:r>
      <w:r w:rsidR="00A91FF1">
        <w:rPr>
          <w:rFonts w:ascii="Calibri" w:eastAsia="Calibri" w:hAnsi="Calibri" w:cs="Times New Roman"/>
          <w:i/>
        </w:rPr>
        <w:t>PA</w:t>
      </w:r>
      <w:r w:rsidR="00213925" w:rsidRPr="008525BB">
        <w:rPr>
          <w:rFonts w:ascii="Calibri" w:eastAsia="Calibri" w:hAnsi="Calibri" w:cs="Times New Roman"/>
          <w:i/>
        </w:rPr>
        <w:t xml:space="preserve"> </w:t>
      </w:r>
      <w:r w:rsidR="00A43C9B">
        <w:rPr>
          <w:rFonts w:ascii="Calibri" w:eastAsia="Calibri" w:hAnsi="Calibri" w:cs="Times New Roman"/>
          <w:i/>
        </w:rPr>
        <w:t>appreciates</w:t>
      </w:r>
      <w:r w:rsidR="00213925" w:rsidRPr="008525BB">
        <w:rPr>
          <w:rFonts w:ascii="Calibri" w:eastAsia="Calibri" w:hAnsi="Calibri" w:cs="Times New Roman"/>
          <w:i/>
        </w:rPr>
        <w:t xml:space="preserve"> the commenter for bringing this typo to our attention. The correct MATC for this bobwhite quail study (MRID 45422421) is 328 mg a.i./kg-diet. The value </w:t>
      </w:r>
      <w:proofErr w:type="gramStart"/>
      <w:r w:rsidR="00213925" w:rsidRPr="008525BB">
        <w:rPr>
          <w:rFonts w:ascii="Calibri" w:eastAsia="Calibri" w:hAnsi="Calibri" w:cs="Times New Roman"/>
          <w:i/>
        </w:rPr>
        <w:t>entered into</w:t>
      </w:r>
      <w:proofErr w:type="gramEnd"/>
      <w:r w:rsidR="00213925" w:rsidRPr="008525BB">
        <w:rPr>
          <w:rFonts w:ascii="Calibri" w:eastAsia="Calibri" w:hAnsi="Calibri" w:cs="Times New Roman"/>
          <w:i/>
        </w:rPr>
        <w:t xml:space="preserve"> the </w:t>
      </w:r>
      <w:r w:rsidR="00213925" w:rsidRPr="008525BB">
        <w:rPr>
          <w:rFonts w:ascii="Calibri" w:eastAsia="Calibri" w:hAnsi="Calibri" w:cs="Times New Roman"/>
          <w:i/>
        </w:rPr>
        <w:lastRenderedPageBreak/>
        <w:t xml:space="preserve">MagTool as the sublethal dietary-based animal endpoint for birds </w:t>
      </w:r>
      <w:r w:rsidR="006032EF">
        <w:rPr>
          <w:rFonts w:ascii="Calibri" w:eastAsia="Calibri" w:hAnsi="Calibri" w:cs="Times New Roman"/>
          <w:i/>
        </w:rPr>
        <w:t>wa</w:t>
      </w:r>
      <w:r w:rsidR="00213925" w:rsidRPr="008525BB">
        <w:rPr>
          <w:rFonts w:ascii="Calibri" w:eastAsia="Calibri" w:hAnsi="Calibri" w:cs="Times New Roman"/>
          <w:i/>
        </w:rPr>
        <w:t xml:space="preserve">s 329 mg a.i./kg-diet but should </w:t>
      </w:r>
      <w:r w:rsidR="006032EF">
        <w:rPr>
          <w:rFonts w:ascii="Calibri" w:eastAsia="Calibri" w:hAnsi="Calibri" w:cs="Times New Roman"/>
          <w:i/>
        </w:rPr>
        <w:t xml:space="preserve">have </w:t>
      </w:r>
      <w:r w:rsidR="00213925" w:rsidRPr="008525BB">
        <w:rPr>
          <w:rFonts w:ascii="Calibri" w:eastAsia="Calibri" w:hAnsi="Calibri" w:cs="Times New Roman"/>
          <w:i/>
        </w:rPr>
        <w:t>be</w:t>
      </w:r>
      <w:r w:rsidR="006032EF">
        <w:rPr>
          <w:rFonts w:ascii="Calibri" w:eastAsia="Calibri" w:hAnsi="Calibri" w:cs="Times New Roman"/>
          <w:i/>
        </w:rPr>
        <w:t>en</w:t>
      </w:r>
      <w:r w:rsidR="00213925" w:rsidRPr="008525BB">
        <w:rPr>
          <w:rFonts w:ascii="Calibri" w:eastAsia="Calibri" w:hAnsi="Calibri" w:cs="Times New Roman"/>
          <w:i/>
        </w:rPr>
        <w:t xml:space="preserve"> 328 mg </w:t>
      </w:r>
      <w:proofErr w:type="spellStart"/>
      <w:r w:rsidR="00213925" w:rsidRPr="008525BB">
        <w:rPr>
          <w:rFonts w:ascii="Calibri" w:eastAsia="Calibri" w:hAnsi="Calibri" w:cs="Times New Roman"/>
          <w:i/>
        </w:rPr>
        <w:t>a.i</w:t>
      </w:r>
      <w:proofErr w:type="spellEnd"/>
      <w:r w:rsidR="00213925" w:rsidRPr="008525BB">
        <w:rPr>
          <w:rFonts w:ascii="Calibri" w:eastAsia="Calibri" w:hAnsi="Calibri" w:cs="Times New Roman"/>
          <w:i/>
        </w:rPr>
        <w:t xml:space="preserve">/kg-diet. Although </w:t>
      </w:r>
      <w:r w:rsidR="00E462E2">
        <w:rPr>
          <w:rFonts w:ascii="Calibri" w:eastAsia="Calibri" w:hAnsi="Calibri" w:cs="Times New Roman"/>
          <w:i/>
        </w:rPr>
        <w:t>this was a</w:t>
      </w:r>
      <w:r w:rsidR="00213925" w:rsidRPr="008525BB">
        <w:rPr>
          <w:rFonts w:ascii="Calibri" w:eastAsia="Calibri" w:hAnsi="Calibri" w:cs="Times New Roman"/>
          <w:i/>
        </w:rPr>
        <w:t xml:space="preserve"> mistake, the small difference between these values would not result in any changes to effect determinations.</w:t>
      </w:r>
    </w:p>
    <w:p w14:paraId="27C4C3E1" w14:textId="77777777" w:rsidR="003F4781" w:rsidRPr="003F4781" w:rsidRDefault="003F4781" w:rsidP="005859DB">
      <w:pPr>
        <w:contextualSpacing/>
        <w:rPr>
          <w:rFonts w:ascii="Calibri" w:eastAsia="Calibri" w:hAnsi="Calibri" w:cs="Times New Roman"/>
        </w:rPr>
      </w:pPr>
    </w:p>
    <w:p w14:paraId="429B5E63" w14:textId="266683AB"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Comment:</w:t>
      </w:r>
      <w:r w:rsidRPr="003F4781">
        <w:rPr>
          <w:rFonts w:ascii="Calibri" w:eastAsia="Calibri" w:hAnsi="Calibri" w:cs="Times New Roman"/>
        </w:rPr>
        <w:t xml:space="preserve"> There is a discrepancy in the duration of study days used for aquatic mortality endpoints that are provided in </w:t>
      </w:r>
      <w:r w:rsidRPr="003A3BAD">
        <w:rPr>
          <w:rFonts w:ascii="Calibri" w:eastAsia="Calibri" w:hAnsi="Calibri" w:cs="Times New Roman"/>
          <w:b/>
          <w:bCs/>
        </w:rPr>
        <w:t>Table 2-2</w:t>
      </w:r>
      <w:r w:rsidRPr="003F4781">
        <w:rPr>
          <w:rFonts w:ascii="Calibri" w:eastAsia="Calibri" w:hAnsi="Calibri" w:cs="Times New Roman"/>
        </w:rPr>
        <w:t xml:space="preserve"> of the draft clothianidin BE and the MAGtool “Toxicity inputs”. For instance, the “Toxicity inputs” worksheet in the “Clothianidin </w:t>
      </w:r>
      <w:proofErr w:type="spellStart"/>
      <w:r w:rsidRPr="003F4781">
        <w:rPr>
          <w:rFonts w:ascii="Calibri" w:eastAsia="Calibri" w:hAnsi="Calibri" w:cs="Times New Roman"/>
        </w:rPr>
        <w:t>WoE</w:t>
      </w:r>
      <w:proofErr w:type="spellEnd"/>
      <w:r w:rsidRPr="003F4781">
        <w:rPr>
          <w:rFonts w:ascii="Calibri" w:eastAsia="Calibri" w:hAnsi="Calibri" w:cs="Times New Roman"/>
        </w:rPr>
        <w:t xml:space="preserve"> input parameters” workbook displays 4 days as the duration of the study period but the values in the </w:t>
      </w:r>
      <w:r w:rsidRPr="002F6C95">
        <w:rPr>
          <w:rFonts w:ascii="Calibri" w:eastAsia="Calibri" w:hAnsi="Calibri" w:cs="Times New Roman"/>
          <w:b/>
          <w:bCs/>
        </w:rPr>
        <w:t>Chapter 2</w:t>
      </w:r>
      <w:r w:rsidRPr="003F4781">
        <w:rPr>
          <w:rFonts w:ascii="Calibri" w:eastAsia="Calibri" w:hAnsi="Calibri" w:cs="Times New Roman"/>
        </w:rPr>
        <w:t xml:space="preserve"> of the draft clothianidin BE range from 4 to 39 days for aquatic organisms. It is unlikely that this error will affect the MAGtool analysis in any significant way, however, this example furthers the point that proper QC practices need to be documented and implemented in the future iterations of the MAGtool.</w:t>
      </w:r>
    </w:p>
    <w:p w14:paraId="5D80D906" w14:textId="77777777" w:rsidR="003F4781" w:rsidRPr="003F4781" w:rsidRDefault="003F4781" w:rsidP="005859DB">
      <w:pPr>
        <w:contextualSpacing/>
        <w:rPr>
          <w:rFonts w:ascii="Calibri" w:eastAsia="Calibri" w:hAnsi="Calibri" w:cs="Times New Roman"/>
        </w:rPr>
      </w:pPr>
    </w:p>
    <w:p w14:paraId="3312ABF3" w14:textId="23B56578" w:rsidR="003F4781" w:rsidRPr="00B4664D" w:rsidRDefault="008525BB" w:rsidP="005859DB">
      <w:pPr>
        <w:contextualSpacing/>
        <w:rPr>
          <w:rFonts w:ascii="Calibri" w:eastAsia="Calibri" w:hAnsi="Calibri" w:cs="Times New Roman"/>
          <w:i/>
        </w:rPr>
      </w:pPr>
      <w:r>
        <w:rPr>
          <w:rFonts w:ascii="Calibri" w:eastAsia="Calibri" w:hAnsi="Calibri" w:cs="Times New Roman"/>
          <w:b/>
        </w:rPr>
        <w:t xml:space="preserve">EPA </w:t>
      </w:r>
      <w:r w:rsidR="003F4781" w:rsidRPr="003F4781">
        <w:rPr>
          <w:rFonts w:ascii="Calibri" w:eastAsia="Calibri" w:hAnsi="Calibri" w:cs="Times New Roman"/>
          <w:b/>
        </w:rPr>
        <w:t>Response</w:t>
      </w:r>
      <w:r w:rsidR="003F4781" w:rsidRPr="008525BB">
        <w:rPr>
          <w:rFonts w:ascii="Calibri" w:eastAsia="Calibri" w:hAnsi="Calibri" w:cs="Times New Roman"/>
          <w:b/>
          <w:i/>
        </w:rPr>
        <w:t>:</w:t>
      </w:r>
      <w:r w:rsidR="00213925" w:rsidRPr="008525BB">
        <w:rPr>
          <w:rFonts w:ascii="Calibri" w:eastAsia="Calibri" w:hAnsi="Calibri" w:cs="Times New Roman"/>
          <w:i/>
        </w:rPr>
        <w:t xml:space="preserve"> E</w:t>
      </w:r>
      <w:r w:rsidR="002E0B0C">
        <w:rPr>
          <w:rFonts w:ascii="Calibri" w:eastAsia="Calibri" w:hAnsi="Calibri" w:cs="Times New Roman"/>
          <w:i/>
        </w:rPr>
        <w:t>PA</w:t>
      </w:r>
      <w:r w:rsidR="00213925" w:rsidRPr="008525BB">
        <w:rPr>
          <w:rFonts w:ascii="Calibri" w:eastAsia="Calibri" w:hAnsi="Calibri" w:cs="Times New Roman"/>
          <w:i/>
        </w:rPr>
        <w:t xml:space="preserve"> </w:t>
      </w:r>
      <w:r w:rsidR="00A43C9B">
        <w:rPr>
          <w:rFonts w:ascii="Calibri" w:eastAsia="Calibri" w:hAnsi="Calibri" w:cs="Times New Roman"/>
          <w:i/>
        </w:rPr>
        <w:t>appreciates</w:t>
      </w:r>
      <w:r w:rsidR="00213925" w:rsidRPr="008525BB">
        <w:rPr>
          <w:rFonts w:ascii="Calibri" w:eastAsia="Calibri" w:hAnsi="Calibri" w:cs="Times New Roman"/>
          <w:i/>
        </w:rPr>
        <w:t xml:space="preserve"> the commenter </w:t>
      </w:r>
      <w:r w:rsidR="002738CF">
        <w:rPr>
          <w:rFonts w:ascii="Calibri" w:eastAsia="Calibri" w:hAnsi="Calibri" w:cs="Times New Roman"/>
          <w:i/>
        </w:rPr>
        <w:t>for pointing out</w:t>
      </w:r>
      <w:r w:rsidR="00213925" w:rsidRPr="008525BB">
        <w:rPr>
          <w:rFonts w:ascii="Calibri" w:eastAsia="Calibri" w:hAnsi="Calibri" w:cs="Times New Roman"/>
          <w:i/>
        </w:rPr>
        <w:t xml:space="preserve"> these </w:t>
      </w:r>
      <w:r w:rsidR="00213925" w:rsidRPr="00D9835E">
        <w:rPr>
          <w:rFonts w:ascii="Calibri" w:eastAsia="Calibri" w:hAnsi="Calibri" w:cs="Times New Roman"/>
          <w:i/>
          <w:iCs/>
        </w:rPr>
        <w:t>typographical errors</w:t>
      </w:r>
      <w:r w:rsidR="00213925" w:rsidRPr="008525BB">
        <w:rPr>
          <w:rFonts w:ascii="Calibri" w:eastAsia="Calibri" w:hAnsi="Calibri" w:cs="Times New Roman"/>
          <w:i/>
        </w:rPr>
        <w:t xml:space="preserve">. The correct study duration for </w:t>
      </w:r>
      <w:r w:rsidR="00E462E2">
        <w:rPr>
          <w:rFonts w:ascii="Calibri" w:eastAsia="Calibri" w:hAnsi="Calibri" w:cs="Times New Roman"/>
          <w:i/>
        </w:rPr>
        <w:t>the</w:t>
      </w:r>
      <w:r w:rsidR="00213925" w:rsidRPr="008525BB">
        <w:rPr>
          <w:rFonts w:ascii="Calibri" w:eastAsia="Calibri" w:hAnsi="Calibri" w:cs="Times New Roman"/>
          <w:i/>
        </w:rPr>
        <w:t xml:space="preserve"> acute toxicity study with </w:t>
      </w:r>
      <w:proofErr w:type="spellStart"/>
      <w:r w:rsidR="00213925" w:rsidRPr="006913FD">
        <w:rPr>
          <w:rFonts w:ascii="Calibri" w:eastAsia="Calibri" w:hAnsi="Calibri" w:cs="Times New Roman"/>
          <w:iCs/>
        </w:rPr>
        <w:t>Mysidopsis</w:t>
      </w:r>
      <w:proofErr w:type="spellEnd"/>
      <w:r w:rsidR="00213925" w:rsidRPr="006913FD">
        <w:rPr>
          <w:rFonts w:ascii="Calibri" w:eastAsia="Calibri" w:hAnsi="Calibri" w:cs="Times New Roman"/>
          <w:iCs/>
        </w:rPr>
        <w:t xml:space="preserve"> </w:t>
      </w:r>
      <w:proofErr w:type="spellStart"/>
      <w:r w:rsidR="00213925" w:rsidRPr="006913FD">
        <w:rPr>
          <w:rFonts w:ascii="Calibri" w:eastAsia="Calibri" w:hAnsi="Calibri" w:cs="Times New Roman"/>
          <w:iCs/>
        </w:rPr>
        <w:t>bahia</w:t>
      </w:r>
      <w:proofErr w:type="spellEnd"/>
      <w:r w:rsidR="00E462E2">
        <w:rPr>
          <w:rFonts w:ascii="Calibri" w:eastAsia="Calibri" w:hAnsi="Calibri" w:cs="Times New Roman"/>
          <w:i/>
        </w:rPr>
        <w:t xml:space="preserve"> (MRID 45422403)</w:t>
      </w:r>
      <w:r w:rsidR="00213925" w:rsidRPr="008525BB">
        <w:rPr>
          <w:rFonts w:ascii="Calibri" w:eastAsia="Calibri" w:hAnsi="Calibri" w:cs="Times New Roman"/>
          <w:i/>
        </w:rPr>
        <w:t xml:space="preserve"> </w:t>
      </w:r>
      <w:r w:rsidR="00E462E2" w:rsidRPr="008525BB">
        <w:rPr>
          <w:rFonts w:ascii="Calibri" w:eastAsia="Calibri" w:hAnsi="Calibri" w:cs="Times New Roman"/>
          <w:i/>
        </w:rPr>
        <w:t>is 4 days, not 39</w:t>
      </w:r>
      <w:r w:rsidR="00E462E2">
        <w:rPr>
          <w:rFonts w:ascii="Calibri" w:eastAsia="Calibri" w:hAnsi="Calibri" w:cs="Times New Roman"/>
          <w:i/>
        </w:rPr>
        <w:t xml:space="preserve"> days</w:t>
      </w:r>
      <w:r w:rsidR="00213925" w:rsidRPr="008525BB">
        <w:rPr>
          <w:rFonts w:ascii="Calibri" w:eastAsia="Calibri" w:hAnsi="Calibri" w:cs="Times New Roman"/>
          <w:i/>
        </w:rPr>
        <w:t>. The correct</w:t>
      </w:r>
      <w:r w:rsidR="00E462E2">
        <w:rPr>
          <w:rFonts w:ascii="Calibri" w:eastAsia="Calibri" w:hAnsi="Calibri" w:cs="Times New Roman"/>
          <w:i/>
        </w:rPr>
        <w:t xml:space="preserve"> 4-day</w:t>
      </w:r>
      <w:r w:rsidR="00150E7F">
        <w:rPr>
          <w:rFonts w:ascii="Calibri" w:eastAsia="Calibri" w:hAnsi="Calibri" w:cs="Times New Roman"/>
          <w:i/>
        </w:rPr>
        <w:t xml:space="preserve"> duration</w:t>
      </w:r>
      <w:r w:rsidR="00213925" w:rsidRPr="008525BB">
        <w:rPr>
          <w:rFonts w:ascii="Calibri" w:eastAsia="Calibri" w:hAnsi="Calibri" w:cs="Times New Roman"/>
          <w:i/>
        </w:rPr>
        <w:t xml:space="preserve"> value is listed in the Toxicity Inputs tab in </w:t>
      </w:r>
      <w:r w:rsidR="00213925" w:rsidRPr="002F6C95">
        <w:rPr>
          <w:rFonts w:ascii="Calibri" w:eastAsia="Calibri" w:hAnsi="Calibri" w:cs="Times New Roman"/>
          <w:b/>
          <w:bCs/>
          <w:i/>
        </w:rPr>
        <w:t>Appendix 4-2</w:t>
      </w:r>
      <w:r w:rsidR="00213925" w:rsidRPr="008525BB">
        <w:rPr>
          <w:rFonts w:ascii="Calibri" w:eastAsia="Calibri" w:hAnsi="Calibri" w:cs="Times New Roman"/>
          <w:i/>
        </w:rPr>
        <w:t xml:space="preserve">. The </w:t>
      </w:r>
      <w:r w:rsidR="00213925" w:rsidRPr="008525BB" w:rsidDel="00E462E2">
        <w:rPr>
          <w:rFonts w:ascii="Calibri" w:eastAsia="Calibri" w:hAnsi="Calibri" w:cs="Times New Roman"/>
          <w:i/>
        </w:rPr>
        <w:t>HC</w:t>
      </w:r>
      <w:r w:rsidR="00213925" w:rsidRPr="008C4852" w:rsidDel="00E462E2">
        <w:rPr>
          <w:rFonts w:ascii="Calibri" w:eastAsia="Calibri" w:hAnsi="Calibri" w:cs="Times New Roman"/>
          <w:i/>
          <w:vertAlign w:val="subscript"/>
        </w:rPr>
        <w:t>05</w:t>
      </w:r>
      <w:r w:rsidR="00213925" w:rsidRPr="008525BB" w:rsidDel="00E462E2">
        <w:rPr>
          <w:rFonts w:ascii="Calibri" w:eastAsia="Calibri" w:hAnsi="Calibri" w:cs="Times New Roman"/>
          <w:i/>
        </w:rPr>
        <w:t xml:space="preserve"> from the </w:t>
      </w:r>
      <w:r w:rsidR="00213925" w:rsidRPr="008525BB">
        <w:rPr>
          <w:rFonts w:ascii="Calibri" w:eastAsia="Calibri" w:hAnsi="Calibri" w:cs="Times New Roman"/>
          <w:i/>
        </w:rPr>
        <w:t xml:space="preserve">freshwater invertebrate SSD used for the freshwater invertebrate mortality endpoint is based on a dataset of 2- to 4-day toxicity values. </w:t>
      </w:r>
      <w:r w:rsidR="00306982">
        <w:rPr>
          <w:rFonts w:ascii="Calibri" w:eastAsia="Calibri" w:hAnsi="Calibri" w:cs="Times New Roman"/>
          <w:i/>
        </w:rPr>
        <w:t>The duration</w:t>
      </w:r>
      <w:r w:rsidR="00F16766">
        <w:rPr>
          <w:rFonts w:ascii="Calibri" w:eastAsia="Calibri" w:hAnsi="Calibri" w:cs="Times New Roman"/>
          <w:i/>
        </w:rPr>
        <w:t xml:space="preserve"> </w:t>
      </w:r>
      <w:r w:rsidR="00A53FC6">
        <w:rPr>
          <w:rFonts w:ascii="Calibri" w:eastAsia="Calibri" w:hAnsi="Calibri" w:cs="Times New Roman"/>
          <w:i/>
          <w:iCs/>
        </w:rPr>
        <w:t xml:space="preserve">value </w:t>
      </w:r>
      <w:r w:rsidR="00E462E2">
        <w:rPr>
          <w:rFonts w:ascii="Calibri" w:eastAsia="Calibri" w:hAnsi="Calibri" w:cs="Times New Roman"/>
          <w:i/>
          <w:iCs/>
        </w:rPr>
        <w:t xml:space="preserve">provided </w:t>
      </w:r>
      <w:r w:rsidR="00A53FC6">
        <w:rPr>
          <w:rFonts w:ascii="Calibri" w:eastAsia="Calibri" w:hAnsi="Calibri" w:cs="Times New Roman"/>
          <w:i/>
          <w:iCs/>
        </w:rPr>
        <w:t xml:space="preserve">in </w:t>
      </w:r>
      <w:r w:rsidR="00A53FC6" w:rsidRPr="00A53FC6">
        <w:rPr>
          <w:rFonts w:ascii="Calibri" w:eastAsia="Calibri" w:hAnsi="Calibri" w:cs="Times New Roman"/>
          <w:i/>
          <w:iCs/>
        </w:rPr>
        <w:t xml:space="preserve">the </w:t>
      </w:r>
      <w:r w:rsidR="00A53FC6" w:rsidRPr="00B4664D">
        <w:rPr>
          <w:rFonts w:ascii="Calibri" w:eastAsia="Calibri" w:hAnsi="Calibri" w:cs="Times New Roman"/>
          <w:i/>
          <w:iCs/>
        </w:rPr>
        <w:t xml:space="preserve">“Clothianidin </w:t>
      </w:r>
      <w:proofErr w:type="spellStart"/>
      <w:r w:rsidR="00A53FC6" w:rsidRPr="00B4664D">
        <w:rPr>
          <w:rFonts w:ascii="Calibri" w:eastAsia="Calibri" w:hAnsi="Calibri" w:cs="Times New Roman"/>
          <w:i/>
          <w:iCs/>
        </w:rPr>
        <w:t>WoE</w:t>
      </w:r>
      <w:proofErr w:type="spellEnd"/>
      <w:r w:rsidR="00A53FC6" w:rsidRPr="00B4664D">
        <w:rPr>
          <w:rFonts w:ascii="Calibri" w:eastAsia="Calibri" w:hAnsi="Calibri" w:cs="Times New Roman"/>
          <w:i/>
          <w:iCs/>
        </w:rPr>
        <w:t xml:space="preserve"> input parameters” workbook </w:t>
      </w:r>
      <w:r w:rsidR="00A53FC6" w:rsidRPr="00A53FC6">
        <w:rPr>
          <w:rFonts w:ascii="Calibri" w:eastAsia="Calibri" w:hAnsi="Calibri" w:cs="Times New Roman"/>
          <w:i/>
          <w:iCs/>
        </w:rPr>
        <w:t xml:space="preserve">is for </w:t>
      </w:r>
      <w:r w:rsidR="00A53FC6">
        <w:rPr>
          <w:rFonts w:ascii="Calibri" w:eastAsia="Calibri" w:hAnsi="Calibri" w:cs="Times New Roman"/>
          <w:i/>
          <w:iCs/>
        </w:rPr>
        <w:t>informational purposes only and has no impact on the MAGtool analysis.</w:t>
      </w:r>
      <w:r w:rsidR="00A53FC6" w:rsidRPr="00A53FC6">
        <w:rPr>
          <w:rFonts w:ascii="Calibri" w:eastAsia="Calibri" w:hAnsi="Calibri" w:cs="Times New Roman"/>
          <w:i/>
          <w:iCs/>
        </w:rPr>
        <w:t xml:space="preserve"> </w:t>
      </w:r>
    </w:p>
    <w:p w14:paraId="6E5B4AE9" w14:textId="77777777" w:rsidR="003F4781" w:rsidRPr="003F4781" w:rsidRDefault="003F4781" w:rsidP="005859DB">
      <w:pPr>
        <w:contextualSpacing/>
        <w:rPr>
          <w:rFonts w:ascii="Calibri" w:eastAsia="Calibri" w:hAnsi="Calibri" w:cs="Times New Roman"/>
        </w:rPr>
      </w:pPr>
    </w:p>
    <w:p w14:paraId="3F55D158" w14:textId="7597050A"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Comment:</w:t>
      </w:r>
      <w:r w:rsidRPr="003F4781">
        <w:rPr>
          <w:rFonts w:ascii="Calibri" w:eastAsia="Calibri" w:hAnsi="Calibri" w:cs="Times New Roman"/>
        </w:rPr>
        <w:t xml:space="preserve"> The aquatic mortality endpoint used for all freshwater invertebrates (insect and non-insect) in the draft clothianidin BE is the HC05 from a species sensitivity distribution (SSD) of 3.58 ug/L. The SSD in </w:t>
      </w:r>
      <w:r w:rsidRPr="002F6C95">
        <w:rPr>
          <w:rFonts w:ascii="Calibri" w:eastAsia="Calibri" w:hAnsi="Calibri" w:cs="Times New Roman"/>
          <w:b/>
          <w:bCs/>
        </w:rPr>
        <w:t>Appendix 2-5</w:t>
      </w:r>
      <w:r w:rsidRPr="003F4781">
        <w:rPr>
          <w:rFonts w:ascii="Calibri" w:eastAsia="Calibri" w:hAnsi="Calibri" w:cs="Times New Roman"/>
        </w:rPr>
        <w:t xml:space="preserve"> (EPA, 2021) is based on insect species only but is used for both insect and non-insect aquatic invertebrate species. A PMRA Special Review Decision on the risk of clothianidin to aquatic invertebrates (SRD2021-03) calculated different HC</w:t>
      </w:r>
      <w:r w:rsidRPr="008C4852">
        <w:rPr>
          <w:rFonts w:ascii="Calibri" w:eastAsia="Calibri" w:hAnsi="Calibri" w:cs="Times New Roman"/>
          <w:vertAlign w:val="subscript"/>
        </w:rPr>
        <w:t>05</w:t>
      </w:r>
      <w:r w:rsidRPr="003F4781">
        <w:rPr>
          <w:rFonts w:ascii="Calibri" w:eastAsia="Calibri" w:hAnsi="Calibri" w:cs="Times New Roman"/>
        </w:rPr>
        <w:t xml:space="preserve"> and HC</w:t>
      </w:r>
      <w:r w:rsidRPr="008C4852">
        <w:rPr>
          <w:rFonts w:ascii="Calibri" w:eastAsia="Calibri" w:hAnsi="Calibri" w:cs="Times New Roman"/>
          <w:vertAlign w:val="subscript"/>
        </w:rPr>
        <w:t xml:space="preserve">25 </w:t>
      </w:r>
      <w:r w:rsidRPr="003F4781">
        <w:rPr>
          <w:rFonts w:ascii="Calibri" w:eastAsia="Calibri" w:hAnsi="Calibri" w:cs="Times New Roman"/>
        </w:rPr>
        <w:t>values for non-inse</w:t>
      </w:r>
      <w:r w:rsidR="00810455">
        <w:rPr>
          <w:rFonts w:ascii="Calibri" w:eastAsia="Calibri" w:hAnsi="Calibri" w:cs="Times New Roman"/>
        </w:rPr>
        <w:t>c</w:t>
      </w:r>
      <w:r w:rsidRPr="003F4781">
        <w:rPr>
          <w:rFonts w:ascii="Calibri" w:eastAsia="Calibri" w:hAnsi="Calibri" w:cs="Times New Roman"/>
        </w:rPr>
        <w:t>t aquatic invertebrates.</w:t>
      </w:r>
      <w:r w:rsidRPr="003F4781">
        <w:rPr>
          <w:rFonts w:eastAsia="Calibri" w:cs="Arial"/>
        </w:rPr>
        <w:t xml:space="preserve"> </w:t>
      </w:r>
      <w:r w:rsidRPr="003F4781">
        <w:rPr>
          <w:rFonts w:ascii="Calibri" w:eastAsia="Calibri" w:hAnsi="Calibri" w:cs="Times New Roman"/>
        </w:rPr>
        <w:t>We propose the use of the draft BE stated HC</w:t>
      </w:r>
      <w:r w:rsidRPr="008C4852">
        <w:rPr>
          <w:rFonts w:ascii="Calibri" w:eastAsia="Calibri" w:hAnsi="Calibri" w:cs="Times New Roman"/>
          <w:vertAlign w:val="subscript"/>
        </w:rPr>
        <w:t>05</w:t>
      </w:r>
      <w:r w:rsidRPr="003F4781">
        <w:rPr>
          <w:rFonts w:ascii="Calibri" w:eastAsia="Calibri" w:hAnsi="Calibri" w:cs="Times New Roman"/>
        </w:rPr>
        <w:t xml:space="preserve"> based solely on insect species for the insect species; and an appropriate effects threshold based on non-insect aquatic invertebrate toxicity values for the non-insect species to derive the effects assessment for effects to PPHD where appropriate.</w:t>
      </w:r>
    </w:p>
    <w:p w14:paraId="5A4CEAD1" w14:textId="77777777" w:rsidR="003F4781" w:rsidRPr="003F4781" w:rsidRDefault="003F4781" w:rsidP="005859DB">
      <w:pPr>
        <w:contextualSpacing/>
        <w:rPr>
          <w:rFonts w:ascii="Calibri" w:eastAsia="Calibri" w:hAnsi="Calibri" w:cs="Times New Roman"/>
        </w:rPr>
      </w:pPr>
    </w:p>
    <w:p w14:paraId="4B6AA533" w14:textId="7C67632C" w:rsidR="003F4781" w:rsidRPr="00FC588D" w:rsidRDefault="008525BB" w:rsidP="005859DB">
      <w:pPr>
        <w:contextualSpacing/>
        <w:rPr>
          <w:rFonts w:ascii="Calibri" w:eastAsia="Calibri" w:hAnsi="Calibri" w:cs="Times New Roman"/>
          <w:b/>
          <w:bCs/>
        </w:rPr>
      </w:pPr>
      <w:r w:rsidRPr="30A1C4C4">
        <w:rPr>
          <w:rFonts w:ascii="Calibri" w:eastAsia="Calibri" w:hAnsi="Calibri" w:cs="Times New Roman"/>
          <w:b/>
          <w:bCs/>
        </w:rPr>
        <w:t xml:space="preserve">EPA </w:t>
      </w:r>
      <w:r w:rsidR="00213925" w:rsidRPr="30A1C4C4">
        <w:rPr>
          <w:rFonts w:ascii="Calibri" w:eastAsia="Calibri" w:hAnsi="Calibri" w:cs="Times New Roman"/>
          <w:b/>
          <w:bCs/>
        </w:rPr>
        <w:t>Response:</w:t>
      </w:r>
      <w:r w:rsidR="30A1C4C4" w:rsidRPr="30A1C4C4">
        <w:rPr>
          <w:rFonts w:ascii="Calibri" w:eastAsia="Calibri" w:hAnsi="Calibri" w:cs="Times New Roman"/>
          <w:b/>
        </w:rPr>
        <w:t xml:space="preserve"> </w:t>
      </w:r>
      <w:r w:rsidR="30A1C4C4" w:rsidRPr="00B4664D">
        <w:rPr>
          <w:rFonts w:ascii="Calibri" w:eastAsia="Calibri" w:hAnsi="Calibri" w:cs="Calibri"/>
          <w:i/>
        </w:rPr>
        <w:t xml:space="preserve">EPA agrees that aquatic invertebrates outside the class </w:t>
      </w:r>
      <w:proofErr w:type="spellStart"/>
      <w:r w:rsidR="30A1C4C4" w:rsidRPr="00B4664D">
        <w:rPr>
          <w:rFonts w:ascii="Calibri" w:eastAsia="Calibri" w:hAnsi="Calibri" w:cs="Calibri"/>
          <w:i/>
        </w:rPr>
        <w:t>Insecta</w:t>
      </w:r>
      <w:proofErr w:type="spellEnd"/>
      <w:r w:rsidR="30A1C4C4" w:rsidRPr="00B4664D">
        <w:rPr>
          <w:rFonts w:ascii="Calibri" w:eastAsia="Calibri" w:hAnsi="Calibri" w:cs="Calibri"/>
          <w:i/>
        </w:rPr>
        <w:t xml:space="preserve"> are </w:t>
      </w:r>
      <w:r w:rsidR="00266EB2" w:rsidRPr="00B4664D">
        <w:rPr>
          <w:rFonts w:ascii="Calibri" w:eastAsia="Calibri" w:hAnsi="Calibri" w:cs="Calibri"/>
          <w:i/>
        </w:rPr>
        <w:t xml:space="preserve">generally </w:t>
      </w:r>
      <w:r w:rsidR="30A1C4C4" w:rsidRPr="00B4664D">
        <w:rPr>
          <w:rFonts w:ascii="Calibri" w:eastAsia="Calibri" w:hAnsi="Calibri" w:cs="Calibri"/>
          <w:i/>
        </w:rPr>
        <w:t>less sensitive to clothianidin compared to aquatic insects.</w:t>
      </w:r>
      <w:r w:rsidR="00266EB2" w:rsidRPr="00B4664D">
        <w:rPr>
          <w:rFonts w:ascii="Calibri" w:eastAsia="Calibri" w:hAnsi="Calibri" w:cs="Calibri"/>
          <w:i/>
        </w:rPr>
        <w:t xml:space="preserve"> Ultimately, the thresholds selected for analysis are conservative representations of the available data</w:t>
      </w:r>
      <w:r w:rsidR="003D68A5">
        <w:rPr>
          <w:rFonts w:ascii="Calibri" w:eastAsia="Calibri" w:hAnsi="Calibri" w:cs="Calibri"/>
          <w:i/>
        </w:rPr>
        <w:t>, and</w:t>
      </w:r>
      <w:r w:rsidR="00266EB2" w:rsidRPr="00B4664D">
        <w:rPr>
          <w:rFonts w:ascii="Calibri" w:eastAsia="Calibri" w:hAnsi="Calibri" w:cs="Calibri"/>
          <w:i/>
        </w:rPr>
        <w:t xml:space="preserve"> </w:t>
      </w:r>
      <w:r w:rsidR="003D68A5">
        <w:rPr>
          <w:rFonts w:ascii="Calibri" w:eastAsia="Calibri" w:hAnsi="Calibri" w:cs="Calibri"/>
          <w:i/>
        </w:rPr>
        <w:t xml:space="preserve">are </w:t>
      </w:r>
      <w:r w:rsidR="00266EB2" w:rsidRPr="00B4664D">
        <w:rPr>
          <w:rFonts w:ascii="Calibri" w:eastAsia="Calibri" w:hAnsi="Calibri" w:cs="Calibri"/>
          <w:i/>
        </w:rPr>
        <w:t>selected as thresholds</w:t>
      </w:r>
      <w:r w:rsidR="003D68A5">
        <w:rPr>
          <w:rFonts w:ascii="Calibri" w:eastAsia="Calibri" w:hAnsi="Calibri" w:cs="Calibri"/>
          <w:i/>
        </w:rPr>
        <w:t xml:space="preserve"> to</w:t>
      </w:r>
      <w:r w:rsidR="00266EB2" w:rsidRPr="00B4664D">
        <w:rPr>
          <w:rFonts w:ascii="Calibri" w:eastAsia="Calibri" w:hAnsi="Calibri" w:cs="Calibri"/>
          <w:i/>
        </w:rPr>
        <w:t xml:space="preserve"> represent the most sensitive available data. Therefore, the threshold is expected to be more conservative than the broader range of toxicity within a </w:t>
      </w:r>
      <w:r w:rsidR="003D68A5" w:rsidRPr="00B4664D">
        <w:rPr>
          <w:rFonts w:ascii="Calibri" w:eastAsia="Calibri" w:hAnsi="Calibri" w:cs="Calibri"/>
          <w:i/>
        </w:rPr>
        <w:t>tax</w:t>
      </w:r>
      <w:r w:rsidR="003D68A5">
        <w:rPr>
          <w:rFonts w:ascii="Calibri" w:eastAsia="Calibri" w:hAnsi="Calibri" w:cs="Calibri"/>
          <w:i/>
        </w:rPr>
        <w:t>on</w:t>
      </w:r>
      <w:r w:rsidR="003D68A5" w:rsidRPr="00B4664D">
        <w:rPr>
          <w:rFonts w:ascii="Calibri" w:eastAsia="Calibri" w:hAnsi="Calibri" w:cs="Calibri"/>
          <w:i/>
        </w:rPr>
        <w:t xml:space="preserve"> </w:t>
      </w:r>
      <w:r w:rsidR="00266EB2" w:rsidRPr="00B4664D">
        <w:rPr>
          <w:rFonts w:ascii="Calibri" w:eastAsia="Calibri" w:hAnsi="Calibri" w:cs="Calibri"/>
          <w:i/>
        </w:rPr>
        <w:t>and is meant to be a protective value</w:t>
      </w:r>
      <w:r w:rsidR="003D68A5">
        <w:rPr>
          <w:rFonts w:ascii="Calibri" w:eastAsia="Calibri" w:hAnsi="Calibri" w:cs="Calibri"/>
          <w:i/>
        </w:rPr>
        <w:t>.</w:t>
      </w:r>
      <w:r w:rsidR="00266EB2" w:rsidRPr="00B4664D">
        <w:rPr>
          <w:rFonts w:ascii="Calibri" w:eastAsia="Calibri" w:hAnsi="Calibri" w:cs="Calibri"/>
          <w:i/>
        </w:rPr>
        <w:t xml:space="preserve"> </w:t>
      </w:r>
      <w:r w:rsidR="003D68A5">
        <w:rPr>
          <w:rFonts w:ascii="Calibri" w:eastAsia="Calibri" w:hAnsi="Calibri" w:cs="Calibri"/>
          <w:i/>
        </w:rPr>
        <w:t>A</w:t>
      </w:r>
      <w:r w:rsidR="00266EB2" w:rsidRPr="00B4664D">
        <w:rPr>
          <w:rFonts w:ascii="Calibri" w:eastAsia="Calibri" w:hAnsi="Calibri" w:cs="Calibri"/>
          <w:i/>
        </w:rPr>
        <w:t>t the time of analysis</w:t>
      </w:r>
      <w:r w:rsidR="003D68A5">
        <w:rPr>
          <w:rFonts w:ascii="Calibri" w:eastAsia="Calibri" w:hAnsi="Calibri" w:cs="Calibri"/>
          <w:i/>
        </w:rPr>
        <w:t xml:space="preserve"> for the clothianidin BE</w:t>
      </w:r>
      <w:r w:rsidR="00266EB2" w:rsidRPr="00B4664D">
        <w:rPr>
          <w:rFonts w:ascii="Calibri" w:eastAsia="Calibri" w:hAnsi="Calibri" w:cs="Calibri"/>
          <w:i/>
        </w:rPr>
        <w:t>, the most sensitive threshold was chosen for all aquatic invertebrates. EPA recognizes that it is important to accurately characterize differing sensitivities among the classes of aquatic invertebrates</w:t>
      </w:r>
      <w:r w:rsidR="003D68A5">
        <w:rPr>
          <w:rFonts w:ascii="Calibri" w:eastAsia="Calibri" w:hAnsi="Calibri" w:cs="Calibri"/>
          <w:i/>
        </w:rPr>
        <w:t xml:space="preserve">. In this case, consideration of this variability is significant </w:t>
      </w:r>
      <w:r w:rsidR="00266EB2" w:rsidRPr="00B4664D">
        <w:rPr>
          <w:rFonts w:ascii="Calibri" w:eastAsia="Calibri" w:hAnsi="Calibri" w:cs="Calibri"/>
          <w:i/>
        </w:rPr>
        <w:t xml:space="preserve">due to the mode of action of neonicotinoids and the important role that aquatic invertebrates serve as </w:t>
      </w:r>
      <w:r w:rsidR="006731BC" w:rsidRPr="00B4664D">
        <w:rPr>
          <w:rFonts w:ascii="Calibri" w:eastAsia="Calibri" w:hAnsi="Calibri" w:cs="Calibri"/>
          <w:i/>
        </w:rPr>
        <w:t xml:space="preserve">a prey base component of many aquatic communities. Therefore, </w:t>
      </w:r>
      <w:r w:rsidR="0088474E">
        <w:rPr>
          <w:rFonts w:asciiTheme="minorHAnsi" w:hAnsiTheme="minorHAnsi"/>
          <w:i/>
        </w:rPr>
        <w:t>to the extent that this information is determinative for the biological opinion</w:t>
      </w:r>
      <w:r w:rsidR="006731BC">
        <w:rPr>
          <w:rFonts w:asciiTheme="minorHAnsi" w:hAnsiTheme="minorHAnsi"/>
          <w:i/>
        </w:rPr>
        <w:t xml:space="preserve">, </w:t>
      </w:r>
      <w:r w:rsidR="006731BC" w:rsidRPr="00B4664D">
        <w:rPr>
          <w:rFonts w:ascii="Calibri" w:eastAsia="Calibri" w:hAnsi="Calibri" w:cs="Calibri"/>
          <w:i/>
        </w:rPr>
        <w:t xml:space="preserve">EPA </w:t>
      </w:r>
      <w:r w:rsidR="00EE4177">
        <w:rPr>
          <w:rFonts w:ascii="Calibri" w:eastAsia="Calibri" w:hAnsi="Calibri" w:cs="Calibri"/>
          <w:i/>
        </w:rPr>
        <w:t xml:space="preserve">may </w:t>
      </w:r>
      <w:r w:rsidR="006731BC" w:rsidRPr="00B4664D">
        <w:rPr>
          <w:rFonts w:ascii="Calibri" w:eastAsia="Calibri" w:hAnsi="Calibri" w:cs="Calibri"/>
          <w:i/>
        </w:rPr>
        <w:t xml:space="preserve">be revising its analysis of the aquatic invertebrate data and </w:t>
      </w:r>
      <w:r w:rsidR="000E5780">
        <w:rPr>
          <w:rFonts w:ascii="Calibri" w:eastAsia="Calibri" w:hAnsi="Calibri" w:cs="Calibri"/>
          <w:i/>
        </w:rPr>
        <w:t>reportin</w:t>
      </w:r>
      <w:r w:rsidR="000E5780" w:rsidRPr="00B4664D">
        <w:rPr>
          <w:rFonts w:ascii="Calibri" w:eastAsia="Calibri" w:hAnsi="Calibri" w:cs="Calibri"/>
          <w:i/>
        </w:rPr>
        <w:t xml:space="preserve">g </w:t>
      </w:r>
      <w:r w:rsidR="006731BC" w:rsidRPr="00B4664D">
        <w:rPr>
          <w:rFonts w:ascii="Calibri" w:eastAsia="Calibri" w:hAnsi="Calibri" w:cs="Calibri"/>
          <w:i/>
        </w:rPr>
        <w:t xml:space="preserve">the results of this re-analysis </w:t>
      </w:r>
      <w:r w:rsidR="000E5780">
        <w:rPr>
          <w:rFonts w:ascii="Calibri" w:eastAsia="Calibri" w:hAnsi="Calibri" w:cs="Calibri"/>
          <w:i/>
        </w:rPr>
        <w:t xml:space="preserve">to the Services </w:t>
      </w:r>
      <w:r w:rsidR="009C1680" w:rsidRPr="009C1680">
        <w:rPr>
          <w:rFonts w:ascii="Calibri" w:eastAsia="Calibri" w:hAnsi="Calibri" w:cs="Calibri"/>
          <w:i/>
        </w:rPr>
        <w:t>during consultation.</w:t>
      </w:r>
      <w:r w:rsidR="003F4781">
        <w:br/>
      </w:r>
    </w:p>
    <w:p w14:paraId="55507BA7" w14:textId="5C7C9402" w:rsidR="003F4781" w:rsidRPr="003F4781" w:rsidRDefault="00FC588D" w:rsidP="005859DB">
      <w:pPr>
        <w:contextualSpacing/>
        <w:rPr>
          <w:rFonts w:ascii="Calibri" w:eastAsia="Calibri" w:hAnsi="Calibri" w:cs="Times New Roman"/>
        </w:rPr>
      </w:pPr>
      <w:r>
        <w:rPr>
          <w:rFonts w:ascii="Calibri" w:eastAsia="Calibri" w:hAnsi="Calibri" w:cs="Times New Roman"/>
          <w:b/>
        </w:rPr>
        <w:t>C</w:t>
      </w:r>
      <w:r w:rsidR="003F4781" w:rsidRPr="003F4781">
        <w:rPr>
          <w:rFonts w:ascii="Calibri" w:eastAsia="Calibri" w:hAnsi="Calibri" w:cs="Times New Roman"/>
          <w:b/>
        </w:rPr>
        <w:t>omment:</w:t>
      </w:r>
      <w:r w:rsidR="003F4781" w:rsidRPr="003F4781">
        <w:rPr>
          <w:rFonts w:eastAsia="Calibri" w:cs="Arial"/>
        </w:rPr>
        <w:t xml:space="preserve"> </w:t>
      </w:r>
      <w:r w:rsidR="003F4781" w:rsidRPr="00B4664D">
        <w:rPr>
          <w:rFonts w:asciiTheme="minorHAnsi" w:eastAsia="Calibri" w:hAnsiTheme="minorHAnsi" w:cstheme="minorHAnsi"/>
        </w:rPr>
        <w:t xml:space="preserve">Given the ability of higher tier/mesocosm studies to more closely account for indirect and community-related effects by reflecting natural conditions of exposure and biological processes, they </w:t>
      </w:r>
      <w:r w:rsidR="003F4781" w:rsidRPr="003F4781">
        <w:rPr>
          <w:rFonts w:ascii="Calibri" w:eastAsia="Calibri" w:hAnsi="Calibri" w:cs="Times New Roman"/>
        </w:rPr>
        <w:t>are a critically important line of evidence to help the Agency evaluate whether their modeling lines of evidence are providing reasonable and realistic risk evaluations. There are several mesocosm studies available for clothianidin (</w:t>
      </w:r>
      <w:r w:rsidR="003F4781" w:rsidRPr="004F4FA6">
        <w:rPr>
          <w:rFonts w:ascii="Calibri" w:eastAsia="Calibri" w:hAnsi="Calibri" w:cs="Times New Roman"/>
          <w:i/>
          <w:iCs/>
        </w:rPr>
        <w:t>e.g</w:t>
      </w:r>
      <w:r w:rsidR="003F4781" w:rsidRPr="003F4781">
        <w:rPr>
          <w:rFonts w:ascii="Calibri" w:eastAsia="Calibri" w:hAnsi="Calibri" w:cs="Times New Roman"/>
        </w:rPr>
        <w:t xml:space="preserve">., </w:t>
      </w:r>
      <w:proofErr w:type="spellStart"/>
      <w:r w:rsidR="003F4781" w:rsidRPr="003F4781">
        <w:rPr>
          <w:rFonts w:ascii="Calibri" w:eastAsia="Calibri" w:hAnsi="Calibri" w:cs="Times New Roman"/>
        </w:rPr>
        <w:t>Memmert</w:t>
      </w:r>
      <w:proofErr w:type="spellEnd"/>
      <w:r w:rsidR="003F4781" w:rsidRPr="003F4781">
        <w:rPr>
          <w:rFonts w:ascii="Calibri" w:eastAsia="Calibri" w:hAnsi="Calibri" w:cs="Times New Roman"/>
        </w:rPr>
        <w:t xml:space="preserve">, 2001; </w:t>
      </w:r>
      <w:proofErr w:type="spellStart"/>
      <w:r w:rsidR="003F4781" w:rsidRPr="003F4781">
        <w:rPr>
          <w:rFonts w:ascii="Calibri" w:eastAsia="Calibri" w:hAnsi="Calibri" w:cs="Times New Roman"/>
        </w:rPr>
        <w:t>Hartgers</w:t>
      </w:r>
      <w:proofErr w:type="spellEnd"/>
      <w:r w:rsidR="003F4781" w:rsidRPr="003F4781">
        <w:rPr>
          <w:rFonts w:ascii="Calibri" w:eastAsia="Calibri" w:hAnsi="Calibri" w:cs="Times New Roman"/>
        </w:rPr>
        <w:t xml:space="preserve"> and </w:t>
      </w:r>
      <w:proofErr w:type="spellStart"/>
      <w:r w:rsidR="003F4781" w:rsidRPr="003F4781">
        <w:rPr>
          <w:rFonts w:ascii="Calibri" w:eastAsia="Calibri" w:hAnsi="Calibri" w:cs="Times New Roman"/>
        </w:rPr>
        <w:t>Roessink</w:t>
      </w:r>
      <w:proofErr w:type="spellEnd"/>
      <w:r w:rsidR="003F4781" w:rsidRPr="003F4781">
        <w:rPr>
          <w:rFonts w:ascii="Calibri" w:eastAsia="Calibri" w:hAnsi="Calibri" w:cs="Times New Roman"/>
        </w:rPr>
        <w:t xml:space="preserve">, 2015; Robinson </w:t>
      </w:r>
      <w:r w:rsidR="003F4781" w:rsidRPr="004F4FA6">
        <w:rPr>
          <w:rFonts w:ascii="Calibri" w:eastAsia="Calibri" w:hAnsi="Calibri" w:cs="Times New Roman"/>
          <w:i/>
          <w:iCs/>
        </w:rPr>
        <w:t>et al.</w:t>
      </w:r>
      <w:r w:rsidR="003F4781" w:rsidRPr="003F4781">
        <w:rPr>
          <w:rFonts w:ascii="Calibri" w:eastAsia="Calibri" w:hAnsi="Calibri" w:cs="Times New Roman"/>
        </w:rPr>
        <w:t xml:space="preserve"> 2019 (</w:t>
      </w:r>
      <w:proofErr w:type="spellStart"/>
      <w:r w:rsidR="003F4781" w:rsidRPr="003F4781">
        <w:rPr>
          <w:rFonts w:ascii="Calibri" w:eastAsia="Calibri" w:hAnsi="Calibri" w:cs="Times New Roman"/>
        </w:rPr>
        <w:t>Ecotox</w:t>
      </w:r>
      <w:proofErr w:type="spellEnd"/>
      <w:r w:rsidR="003F4781" w:rsidRPr="003F4781">
        <w:rPr>
          <w:rFonts w:ascii="Calibri" w:eastAsia="Calibri" w:hAnsi="Calibri" w:cs="Times New Roman"/>
        </w:rPr>
        <w:t xml:space="preserve"> Ref No. 183407) and one field study (Kasai </w:t>
      </w:r>
      <w:r w:rsidR="003F4781" w:rsidRPr="004F4FA6">
        <w:rPr>
          <w:rFonts w:ascii="Calibri" w:eastAsia="Calibri" w:hAnsi="Calibri" w:cs="Times New Roman"/>
          <w:i/>
          <w:iCs/>
        </w:rPr>
        <w:t>et al.</w:t>
      </w:r>
      <w:r w:rsidR="003F4781" w:rsidRPr="003F4781">
        <w:rPr>
          <w:rFonts w:ascii="Calibri" w:eastAsia="Calibri" w:hAnsi="Calibri" w:cs="Times New Roman"/>
        </w:rPr>
        <w:t xml:space="preserve"> 2016). An additional mesocosm study (Miles </w:t>
      </w:r>
      <w:r w:rsidR="003F4781" w:rsidRPr="004F4FA6">
        <w:rPr>
          <w:rFonts w:ascii="Calibri" w:eastAsia="Calibri" w:hAnsi="Calibri" w:cs="Times New Roman"/>
          <w:i/>
          <w:iCs/>
        </w:rPr>
        <w:t xml:space="preserve">et </w:t>
      </w:r>
      <w:r w:rsidR="003F4781" w:rsidRPr="004F4FA6">
        <w:rPr>
          <w:rFonts w:ascii="Calibri" w:eastAsia="Calibri" w:hAnsi="Calibri" w:cs="Times New Roman"/>
          <w:i/>
          <w:iCs/>
        </w:rPr>
        <w:lastRenderedPageBreak/>
        <w:t>al.</w:t>
      </w:r>
      <w:r w:rsidR="003F4781" w:rsidRPr="003F4781">
        <w:rPr>
          <w:rFonts w:ascii="Calibri" w:eastAsia="Calibri" w:hAnsi="Calibri" w:cs="Times New Roman"/>
        </w:rPr>
        <w:t xml:space="preserve">, 2017) was deemed unacceptable due to contamination of control ponds. We note that EPA did document these studies in </w:t>
      </w:r>
      <w:r w:rsidR="003F4781" w:rsidRPr="002F6C95">
        <w:rPr>
          <w:rFonts w:ascii="Calibri" w:eastAsia="Calibri" w:hAnsi="Calibri" w:cs="Times New Roman"/>
          <w:b/>
          <w:bCs/>
        </w:rPr>
        <w:t>Chapter 2</w:t>
      </w:r>
      <w:r w:rsidR="003F4781" w:rsidRPr="003F4781">
        <w:rPr>
          <w:rFonts w:ascii="Calibri" w:eastAsia="Calibri" w:hAnsi="Calibri" w:cs="Times New Roman"/>
        </w:rPr>
        <w:t xml:space="preserve"> of the draft BE. Although EPA does extract data for inclusion into their R-Plots and SSDs, further use of the higher tier studies as part of a robust weight of evidence process to refute or support the modeling line of evidence is required.</w:t>
      </w:r>
    </w:p>
    <w:p w14:paraId="0BA4A59D" w14:textId="77777777" w:rsidR="003F4781" w:rsidRPr="003F4781" w:rsidRDefault="003F4781" w:rsidP="005859DB">
      <w:pPr>
        <w:contextualSpacing/>
        <w:rPr>
          <w:rFonts w:ascii="Calibri" w:eastAsia="Calibri" w:hAnsi="Calibri" w:cs="Times New Roman"/>
        </w:rPr>
      </w:pPr>
    </w:p>
    <w:p w14:paraId="250AF6A2" w14:textId="25549303" w:rsidR="00D15B00" w:rsidRDefault="008525BB" w:rsidP="005859DB">
      <w:pPr>
        <w:contextualSpacing/>
        <w:rPr>
          <w:rFonts w:ascii="Calibri" w:eastAsia="Calibri" w:hAnsi="Calibri" w:cs="Times New Roman"/>
          <w:i/>
        </w:rPr>
      </w:pPr>
      <w:r>
        <w:rPr>
          <w:rFonts w:ascii="Calibri" w:eastAsia="Calibri" w:hAnsi="Calibri" w:cs="Times New Roman"/>
          <w:b/>
        </w:rPr>
        <w:t xml:space="preserve">EPA </w:t>
      </w:r>
      <w:r w:rsidR="003F4781" w:rsidRPr="003F4781">
        <w:rPr>
          <w:rFonts w:ascii="Calibri" w:eastAsia="Calibri" w:hAnsi="Calibri" w:cs="Times New Roman"/>
          <w:b/>
        </w:rPr>
        <w:t>Response:</w:t>
      </w:r>
      <w:r w:rsidR="00213925" w:rsidRPr="00213925">
        <w:rPr>
          <w:rFonts w:ascii="Calibri" w:eastAsia="Calibri" w:hAnsi="Calibri" w:cs="Times New Roman"/>
        </w:rPr>
        <w:t xml:space="preserve"> </w:t>
      </w:r>
      <w:r w:rsidR="00213925" w:rsidRPr="008525BB">
        <w:rPr>
          <w:rFonts w:ascii="Calibri" w:eastAsia="Calibri" w:hAnsi="Calibri" w:cs="Times New Roman"/>
          <w:i/>
        </w:rPr>
        <w:t xml:space="preserve">Higher tier </w:t>
      </w:r>
      <w:r w:rsidR="00213925" w:rsidRPr="004C19A7">
        <w:rPr>
          <w:rFonts w:ascii="Calibri" w:eastAsia="Calibri" w:hAnsi="Calibri" w:cs="Calibri"/>
          <w:i/>
        </w:rPr>
        <w:t>full-field and mesocosm studies are often not used quantitatively because elements of their study design</w:t>
      </w:r>
      <w:r w:rsidR="001326A3" w:rsidRPr="004C19A7">
        <w:rPr>
          <w:rFonts w:ascii="Calibri" w:eastAsia="Calibri" w:hAnsi="Calibri" w:cs="Calibri"/>
          <w:i/>
        </w:rPr>
        <w:t>s</w:t>
      </w:r>
      <w:r w:rsidR="00213925" w:rsidRPr="004C19A7">
        <w:rPr>
          <w:rFonts w:ascii="Calibri" w:eastAsia="Calibri" w:hAnsi="Calibri" w:cs="Calibri"/>
          <w:i/>
        </w:rPr>
        <w:t xml:space="preserve"> </w:t>
      </w:r>
      <w:r w:rsidR="001326A3" w:rsidRPr="004C19A7">
        <w:rPr>
          <w:rFonts w:ascii="Calibri" w:eastAsia="Calibri" w:hAnsi="Calibri" w:cs="Calibri"/>
          <w:i/>
        </w:rPr>
        <w:t xml:space="preserve">often </w:t>
      </w:r>
      <w:r w:rsidR="00213925" w:rsidRPr="00DB2CA8">
        <w:rPr>
          <w:rFonts w:ascii="Calibri" w:eastAsia="Calibri" w:hAnsi="Calibri" w:cs="Calibri"/>
          <w:i/>
        </w:rPr>
        <w:t xml:space="preserve">lower </w:t>
      </w:r>
      <w:r w:rsidR="001326A3" w:rsidRPr="00DB2CA8">
        <w:rPr>
          <w:rFonts w:ascii="Calibri" w:eastAsia="Calibri" w:hAnsi="Calibri" w:cs="Calibri"/>
          <w:i/>
        </w:rPr>
        <w:t xml:space="preserve">the </w:t>
      </w:r>
      <w:r w:rsidR="00213925" w:rsidRPr="00D078C9">
        <w:rPr>
          <w:rFonts w:ascii="Calibri" w:eastAsia="Calibri" w:hAnsi="Calibri" w:cs="Calibri"/>
          <w:i/>
        </w:rPr>
        <w:t>confidence in</w:t>
      </w:r>
      <w:r w:rsidR="001326A3" w:rsidRPr="00D078C9">
        <w:rPr>
          <w:rFonts w:ascii="Calibri" w:eastAsia="Calibri" w:hAnsi="Calibri" w:cs="Calibri"/>
          <w:i/>
        </w:rPr>
        <w:t xml:space="preserve"> the</w:t>
      </w:r>
      <w:r w:rsidR="00213925" w:rsidRPr="00D078C9">
        <w:rPr>
          <w:rFonts w:ascii="Calibri" w:eastAsia="Calibri" w:hAnsi="Calibri" w:cs="Calibri"/>
          <w:i/>
        </w:rPr>
        <w:t xml:space="preserve"> study results. In the case of the mesocosm studies available for clothianidin, two aquatic mesocosm (simulated pond system) studies</w:t>
      </w:r>
      <w:r w:rsidR="00213925" w:rsidRPr="000558AA">
        <w:rPr>
          <w:rFonts w:ascii="Calibri" w:eastAsia="Calibri" w:hAnsi="Calibri" w:cs="Calibri"/>
          <w:i/>
        </w:rPr>
        <w:t xml:space="preserve"> have been submitted to the Agency by the registrant (MRID 47483004 and 50227907), and </w:t>
      </w:r>
      <w:r w:rsidR="001326A3" w:rsidRPr="00E13396">
        <w:rPr>
          <w:rFonts w:ascii="Calibri" w:eastAsia="Calibri" w:hAnsi="Calibri" w:cs="Calibri"/>
          <w:i/>
        </w:rPr>
        <w:t xml:space="preserve">another study </w:t>
      </w:r>
      <w:r w:rsidR="00213925" w:rsidRPr="00E13396">
        <w:rPr>
          <w:rFonts w:ascii="Calibri" w:eastAsia="Calibri" w:hAnsi="Calibri" w:cs="Calibri"/>
          <w:i/>
        </w:rPr>
        <w:t xml:space="preserve">was found </w:t>
      </w:r>
      <w:r w:rsidR="001326A3" w:rsidRPr="00E13396">
        <w:rPr>
          <w:rFonts w:ascii="Calibri" w:eastAsia="Calibri" w:hAnsi="Calibri" w:cs="Calibri"/>
          <w:i/>
        </w:rPr>
        <w:t xml:space="preserve">in </w:t>
      </w:r>
      <w:r w:rsidR="00213925" w:rsidRPr="00E13396">
        <w:rPr>
          <w:rFonts w:ascii="Calibri" w:eastAsia="Calibri" w:hAnsi="Calibri" w:cs="Calibri"/>
          <w:i/>
        </w:rPr>
        <w:t xml:space="preserve">ECOTOX (Miles </w:t>
      </w:r>
      <w:r w:rsidR="00213925" w:rsidRPr="00E13396">
        <w:rPr>
          <w:rFonts w:ascii="Calibri" w:eastAsia="Calibri" w:hAnsi="Calibri" w:cs="Calibri"/>
        </w:rPr>
        <w:t>et al.</w:t>
      </w:r>
      <w:r w:rsidR="00213925" w:rsidRPr="00E13396">
        <w:rPr>
          <w:rFonts w:ascii="Calibri" w:eastAsia="Calibri" w:hAnsi="Calibri" w:cs="Calibri"/>
          <w:i/>
        </w:rPr>
        <w:t xml:space="preserve"> 2017</w:t>
      </w:r>
      <w:r w:rsidR="00306982" w:rsidRPr="00E13396">
        <w:rPr>
          <w:rFonts w:ascii="Calibri" w:eastAsia="Calibri" w:hAnsi="Calibri" w:cs="Calibri"/>
          <w:i/>
        </w:rPr>
        <w:t>; ECOTOX#</w:t>
      </w:r>
      <w:r w:rsidR="00953D5B" w:rsidRPr="009D6EA4">
        <w:rPr>
          <w:rFonts w:ascii="Calibri" w:eastAsia="Calibri" w:hAnsi="Calibri" w:cs="Calibri"/>
          <w:i/>
        </w:rPr>
        <w:t xml:space="preserve"> </w:t>
      </w:r>
      <w:r w:rsidR="00306982" w:rsidRPr="008A6C99">
        <w:rPr>
          <w:rFonts w:ascii="Calibri" w:hAnsi="Calibri" w:cs="Calibri"/>
        </w:rPr>
        <w:t>183651</w:t>
      </w:r>
      <w:r w:rsidR="00213925" w:rsidRPr="004C19A7">
        <w:rPr>
          <w:rFonts w:ascii="Calibri" w:eastAsia="Calibri" w:hAnsi="Calibri" w:cs="Calibri"/>
          <w:i/>
        </w:rPr>
        <w:t xml:space="preserve">). </w:t>
      </w:r>
      <w:proofErr w:type="gramStart"/>
      <w:r w:rsidR="001326A3" w:rsidRPr="004C19A7">
        <w:rPr>
          <w:rFonts w:ascii="Calibri" w:eastAsia="Calibri" w:hAnsi="Calibri" w:cs="Calibri"/>
          <w:i/>
        </w:rPr>
        <w:t>Both of the registrant</w:t>
      </w:r>
      <w:r w:rsidR="003A7C5E">
        <w:rPr>
          <w:rFonts w:ascii="Calibri" w:eastAsia="Calibri" w:hAnsi="Calibri" w:cs="Calibri"/>
          <w:i/>
        </w:rPr>
        <w:t>-</w:t>
      </w:r>
      <w:r w:rsidR="001326A3" w:rsidRPr="004C19A7">
        <w:rPr>
          <w:rFonts w:ascii="Calibri" w:eastAsia="Calibri" w:hAnsi="Calibri" w:cs="Calibri"/>
          <w:i/>
        </w:rPr>
        <w:t>submitted</w:t>
      </w:r>
      <w:proofErr w:type="gramEnd"/>
      <w:r w:rsidR="001326A3" w:rsidRPr="004C19A7">
        <w:rPr>
          <w:rFonts w:ascii="Calibri" w:eastAsia="Calibri" w:hAnsi="Calibri" w:cs="Calibri"/>
          <w:i/>
        </w:rPr>
        <w:t xml:space="preserve"> studies (MRIDs 47483004 and 50227907) </w:t>
      </w:r>
      <w:r w:rsidR="001326A3" w:rsidRPr="00DB2CA8">
        <w:rPr>
          <w:rFonts w:ascii="Calibri" w:eastAsia="Calibri" w:hAnsi="Calibri" w:cs="Calibri"/>
          <w:i/>
        </w:rPr>
        <w:t xml:space="preserve">did not analytically verify test concentrations and used </w:t>
      </w:r>
      <w:r w:rsidR="00D15B00" w:rsidRPr="00DB2CA8">
        <w:rPr>
          <w:rFonts w:ascii="Calibri" w:eastAsia="Calibri" w:hAnsi="Calibri" w:cs="Calibri"/>
          <w:i/>
        </w:rPr>
        <w:t>Typical</w:t>
      </w:r>
      <w:r w:rsidR="001326A3" w:rsidRPr="00D078C9">
        <w:rPr>
          <w:rFonts w:ascii="Calibri" w:eastAsia="Calibri" w:hAnsi="Calibri" w:cs="Calibri"/>
          <w:i/>
        </w:rPr>
        <w:t xml:space="preserve"> End Use Products (TEPs) rather than the Technical Grade Active Ingredient (TGAI). This is an important distinction becau</w:t>
      </w:r>
      <w:r w:rsidR="001326A3" w:rsidRPr="000558AA">
        <w:rPr>
          <w:rFonts w:ascii="Calibri" w:eastAsia="Calibri" w:hAnsi="Calibri" w:cs="Calibri"/>
          <w:i/>
        </w:rPr>
        <w:t xml:space="preserve">se </w:t>
      </w:r>
      <w:r w:rsidR="00D15B00" w:rsidRPr="004D013C">
        <w:rPr>
          <w:rFonts w:ascii="Calibri" w:eastAsia="Calibri" w:hAnsi="Calibri" w:cs="Calibri"/>
          <w:i/>
        </w:rPr>
        <w:t>the aquatic exposure to TEPs is considered only through a direct application or spray drift of product to the aquatic environment</w:t>
      </w:r>
      <w:r w:rsidR="001326A3" w:rsidRPr="00E13396">
        <w:rPr>
          <w:rFonts w:ascii="Calibri" w:eastAsia="Calibri" w:hAnsi="Calibri" w:cs="Calibri"/>
          <w:i/>
        </w:rPr>
        <w:t xml:space="preserve">. </w:t>
      </w:r>
      <w:r w:rsidR="00D15B00" w:rsidRPr="00E13396">
        <w:rPr>
          <w:rFonts w:ascii="Calibri" w:eastAsia="Calibri" w:hAnsi="Calibri" w:cs="Calibri"/>
          <w:i/>
        </w:rPr>
        <w:t xml:space="preserve">Similarly, </w:t>
      </w:r>
      <w:r w:rsidR="00213925" w:rsidRPr="00E13396">
        <w:rPr>
          <w:rFonts w:ascii="Calibri" w:eastAsia="Calibri" w:hAnsi="Calibri" w:cs="Calibri"/>
          <w:i/>
        </w:rPr>
        <w:t xml:space="preserve">Miles </w:t>
      </w:r>
      <w:r w:rsidR="00213925" w:rsidRPr="00E13396">
        <w:rPr>
          <w:rFonts w:ascii="Calibri" w:eastAsia="Calibri" w:hAnsi="Calibri" w:cs="Calibri"/>
        </w:rPr>
        <w:t>et al.</w:t>
      </w:r>
      <w:r w:rsidR="00213925" w:rsidRPr="00E13396">
        <w:rPr>
          <w:rFonts w:ascii="Calibri" w:eastAsia="Calibri" w:hAnsi="Calibri" w:cs="Calibri"/>
          <w:i/>
        </w:rPr>
        <w:t xml:space="preserve"> 2017 has been classified as qualitative due to the use of a </w:t>
      </w:r>
      <w:r w:rsidR="00D15B00" w:rsidRPr="0088474E">
        <w:rPr>
          <w:rFonts w:ascii="Calibri" w:eastAsia="Calibri" w:hAnsi="Calibri" w:cs="Calibri"/>
          <w:i/>
        </w:rPr>
        <w:t xml:space="preserve">TEP </w:t>
      </w:r>
      <w:r w:rsidR="00213925" w:rsidRPr="0088474E">
        <w:rPr>
          <w:rFonts w:ascii="Calibri" w:eastAsia="Calibri" w:hAnsi="Calibri" w:cs="Calibri"/>
          <w:i/>
        </w:rPr>
        <w:t xml:space="preserve">as the test material, making it difficult to discern effects from clothianidin alone versus other ingredients in the formulation. </w:t>
      </w:r>
      <w:r w:rsidR="00D15B00" w:rsidRPr="00D745F2">
        <w:rPr>
          <w:rFonts w:ascii="Calibri" w:eastAsia="Calibri" w:hAnsi="Calibri" w:cs="Calibri"/>
          <w:i/>
        </w:rPr>
        <w:t xml:space="preserve">Additionally, Miles </w:t>
      </w:r>
      <w:r w:rsidR="00D15B00" w:rsidRPr="00D745F2">
        <w:rPr>
          <w:rFonts w:ascii="Calibri" w:eastAsia="Calibri" w:hAnsi="Calibri" w:cs="Calibri"/>
        </w:rPr>
        <w:t>et al</w:t>
      </w:r>
      <w:r w:rsidR="00190F7F" w:rsidRPr="00D745F2">
        <w:rPr>
          <w:rFonts w:ascii="Calibri" w:eastAsia="Calibri" w:hAnsi="Calibri" w:cs="Calibri"/>
        </w:rPr>
        <w:t>.</w:t>
      </w:r>
      <w:r w:rsidR="00D15B00" w:rsidRPr="00D745F2">
        <w:rPr>
          <w:rFonts w:ascii="Calibri" w:eastAsia="Calibri" w:hAnsi="Calibri" w:cs="Calibri"/>
        </w:rPr>
        <w:t xml:space="preserve"> (</w:t>
      </w:r>
      <w:r w:rsidR="00D15B00" w:rsidRPr="00D745F2">
        <w:rPr>
          <w:rFonts w:ascii="Calibri" w:eastAsia="Calibri" w:hAnsi="Calibri" w:cs="Calibri"/>
          <w:i/>
        </w:rPr>
        <w:t xml:space="preserve">2017), did </w:t>
      </w:r>
      <w:r w:rsidR="00213925" w:rsidRPr="00E2098E">
        <w:rPr>
          <w:rFonts w:ascii="Calibri" w:eastAsia="Calibri" w:hAnsi="Calibri" w:cs="Calibri"/>
          <w:i/>
        </w:rPr>
        <w:t>not analytically verif</w:t>
      </w:r>
      <w:r w:rsidR="00D15B00" w:rsidRPr="00E2098E">
        <w:rPr>
          <w:rFonts w:ascii="Calibri" w:eastAsia="Calibri" w:hAnsi="Calibri" w:cs="Calibri"/>
          <w:i/>
        </w:rPr>
        <w:t>y the test concentrations</w:t>
      </w:r>
      <w:r w:rsidR="00213925" w:rsidRPr="001507AB">
        <w:rPr>
          <w:rFonts w:ascii="Calibri" w:eastAsia="Calibri" w:hAnsi="Calibri" w:cs="Calibri"/>
          <w:i/>
        </w:rPr>
        <w:t xml:space="preserve">. </w:t>
      </w:r>
      <w:r w:rsidR="00A3535D" w:rsidRPr="009C0263">
        <w:rPr>
          <w:rFonts w:ascii="Calibri" w:eastAsia="Calibri" w:hAnsi="Calibri" w:cs="Calibri"/>
          <w:i/>
        </w:rPr>
        <w:t xml:space="preserve">In particular, </w:t>
      </w:r>
      <w:r w:rsidR="00213925" w:rsidRPr="006032EF">
        <w:rPr>
          <w:rFonts w:ascii="Calibri" w:eastAsia="Calibri" w:hAnsi="Calibri" w:cs="Calibri"/>
          <w:i/>
        </w:rPr>
        <w:t xml:space="preserve">Robinson </w:t>
      </w:r>
      <w:r w:rsidR="00213925" w:rsidRPr="002738CF">
        <w:rPr>
          <w:rFonts w:ascii="Calibri" w:eastAsia="Calibri" w:hAnsi="Calibri" w:cs="Calibri"/>
        </w:rPr>
        <w:t>et al.</w:t>
      </w:r>
      <w:r w:rsidR="00213925" w:rsidRPr="00EE4177">
        <w:rPr>
          <w:rFonts w:ascii="Calibri" w:eastAsia="Calibri" w:hAnsi="Calibri" w:cs="Calibri"/>
          <w:i/>
        </w:rPr>
        <w:t xml:space="preserve"> 2019 (E183407) and Gavel </w:t>
      </w:r>
      <w:r w:rsidR="00213925" w:rsidRPr="00EE4177">
        <w:rPr>
          <w:rFonts w:ascii="Calibri" w:eastAsia="Calibri" w:hAnsi="Calibri" w:cs="Calibri"/>
        </w:rPr>
        <w:t>et al.</w:t>
      </w:r>
      <w:r w:rsidR="00213925" w:rsidRPr="00EE4177">
        <w:rPr>
          <w:rFonts w:ascii="Calibri" w:eastAsia="Calibri" w:hAnsi="Calibri" w:cs="Calibri"/>
          <w:i/>
        </w:rPr>
        <w:t xml:space="preserve"> 2019 (E183401) were considered for aquatic-phase amphibian chronic and sublethal effects respectively (</w:t>
      </w:r>
      <w:proofErr w:type="spellStart"/>
      <w:r w:rsidR="00213925" w:rsidRPr="00EE4177">
        <w:rPr>
          <w:rFonts w:ascii="Calibri" w:eastAsia="Calibri" w:hAnsi="Calibri" w:cs="Calibri"/>
          <w:i/>
        </w:rPr>
        <w:t>Lithobates</w:t>
      </w:r>
      <w:proofErr w:type="spellEnd"/>
      <w:r w:rsidR="00213925" w:rsidRPr="00EE4177">
        <w:rPr>
          <w:rFonts w:ascii="Calibri" w:eastAsia="Calibri" w:hAnsi="Calibri" w:cs="Calibri"/>
          <w:i/>
        </w:rPr>
        <w:t xml:space="preserve"> </w:t>
      </w:r>
      <w:proofErr w:type="spellStart"/>
      <w:r w:rsidR="00213925" w:rsidRPr="00EE4177">
        <w:rPr>
          <w:rFonts w:ascii="Calibri" w:eastAsia="Calibri" w:hAnsi="Calibri" w:cs="Calibri"/>
          <w:i/>
        </w:rPr>
        <w:t>sylvaticus</w:t>
      </w:r>
      <w:proofErr w:type="spellEnd"/>
      <w:r w:rsidR="00213925" w:rsidRPr="00EE4177">
        <w:rPr>
          <w:rFonts w:ascii="Calibri" w:eastAsia="Calibri" w:hAnsi="Calibri" w:cs="Calibri"/>
          <w:i/>
        </w:rPr>
        <w:t>) rather than true community-level mesocosm studies. Further, both of these studies were classified as qualitative due to several study desig</w:t>
      </w:r>
      <w:r w:rsidR="00213925" w:rsidRPr="00954173">
        <w:rPr>
          <w:rFonts w:ascii="Calibri" w:eastAsia="Calibri" w:hAnsi="Calibri" w:cs="Calibri"/>
          <w:i/>
        </w:rPr>
        <w:t xml:space="preserve">n elements that lowered confidence in study results, including a lack of analytically verified test concentrations. Kasai </w:t>
      </w:r>
      <w:r w:rsidR="00213925" w:rsidRPr="00971707">
        <w:rPr>
          <w:rFonts w:ascii="Calibri" w:eastAsia="Calibri" w:hAnsi="Calibri" w:cs="Calibri"/>
        </w:rPr>
        <w:t>et</w:t>
      </w:r>
      <w:r w:rsidR="00213925" w:rsidRPr="00D0022B">
        <w:rPr>
          <w:rFonts w:ascii="Calibri" w:eastAsia="Calibri" w:hAnsi="Calibri" w:cs="Calibri"/>
        </w:rPr>
        <w:t xml:space="preserve"> al.</w:t>
      </w:r>
      <w:r w:rsidR="00213925" w:rsidRPr="00D0022B">
        <w:rPr>
          <w:rFonts w:ascii="Calibri" w:eastAsia="Calibri" w:hAnsi="Calibri" w:cs="Calibri"/>
          <w:i/>
        </w:rPr>
        <w:t xml:space="preserve"> 2016 has not been formally reviewed by the </w:t>
      </w:r>
      <w:r w:rsidR="00A3535D" w:rsidRPr="00054CC0">
        <w:rPr>
          <w:rFonts w:ascii="Calibri" w:eastAsia="Calibri" w:hAnsi="Calibri" w:cs="Calibri"/>
          <w:i/>
        </w:rPr>
        <w:t>EPA</w:t>
      </w:r>
      <w:r w:rsidR="00213925" w:rsidRPr="00054CC0">
        <w:rPr>
          <w:rFonts w:ascii="Calibri" w:eastAsia="Calibri" w:hAnsi="Calibri" w:cs="Calibri"/>
          <w:i/>
        </w:rPr>
        <w:t xml:space="preserve">; however, it appears that this study would also be classified </w:t>
      </w:r>
      <w:r w:rsidR="00D15B00" w:rsidRPr="00054CC0">
        <w:rPr>
          <w:rFonts w:ascii="Calibri" w:eastAsia="Calibri" w:hAnsi="Calibri" w:cs="Calibri"/>
          <w:i/>
        </w:rPr>
        <w:t xml:space="preserve">for </w:t>
      </w:r>
      <w:r w:rsidR="00213925" w:rsidRPr="00054CC0">
        <w:rPr>
          <w:rFonts w:ascii="Calibri" w:eastAsia="Calibri" w:hAnsi="Calibri" w:cs="Calibri"/>
          <w:i/>
        </w:rPr>
        <w:t>qualitativ</w:t>
      </w:r>
      <w:r w:rsidR="00D15B00" w:rsidRPr="00054CC0">
        <w:rPr>
          <w:rFonts w:ascii="Calibri" w:eastAsia="Calibri" w:hAnsi="Calibri" w:cs="Calibri"/>
          <w:i/>
        </w:rPr>
        <w:t>e use</w:t>
      </w:r>
      <w:r w:rsidR="00213925" w:rsidRPr="00054CC0">
        <w:rPr>
          <w:rFonts w:ascii="Calibri" w:eastAsia="Calibri" w:hAnsi="Calibri" w:cs="Calibri"/>
          <w:i/>
        </w:rPr>
        <w:t xml:space="preserve"> </w:t>
      </w:r>
      <w:r w:rsidR="00D15B00" w:rsidRPr="000358DF">
        <w:rPr>
          <w:rFonts w:ascii="Calibri" w:eastAsia="Calibri" w:hAnsi="Calibri" w:cs="Calibri"/>
          <w:i/>
        </w:rPr>
        <w:t xml:space="preserve">because of specific </w:t>
      </w:r>
      <w:r w:rsidR="00213925" w:rsidRPr="00D10166">
        <w:rPr>
          <w:rFonts w:ascii="Calibri" w:eastAsia="Calibri" w:hAnsi="Calibri" w:cs="Calibri"/>
          <w:i/>
        </w:rPr>
        <w:t>study design elements</w:t>
      </w:r>
      <w:r w:rsidR="00D15B00" w:rsidRPr="00D10166">
        <w:rPr>
          <w:rFonts w:ascii="Calibri" w:eastAsia="Calibri" w:hAnsi="Calibri" w:cs="Calibri"/>
          <w:i/>
        </w:rPr>
        <w:t xml:space="preserve">. One element in particular is </w:t>
      </w:r>
      <w:r w:rsidR="00213925" w:rsidRPr="00D10166">
        <w:rPr>
          <w:rFonts w:ascii="Calibri" w:eastAsia="Calibri" w:hAnsi="Calibri" w:cs="Calibri"/>
          <w:i/>
        </w:rPr>
        <w:t>the method of exposure</w:t>
      </w:r>
      <w:r w:rsidR="00D15B00" w:rsidRPr="00D10166">
        <w:rPr>
          <w:rFonts w:ascii="Calibri" w:eastAsia="Calibri" w:hAnsi="Calibri" w:cs="Calibri"/>
          <w:i/>
        </w:rPr>
        <w:t xml:space="preserve">, which </w:t>
      </w:r>
      <w:r w:rsidR="00213925" w:rsidRPr="00F61252">
        <w:rPr>
          <w:rFonts w:ascii="Calibri" w:eastAsia="Calibri" w:hAnsi="Calibri" w:cs="Calibri"/>
          <w:i/>
        </w:rPr>
        <w:t xml:space="preserve">was </w:t>
      </w:r>
      <w:r w:rsidR="00D15B00" w:rsidRPr="00F61252">
        <w:rPr>
          <w:rFonts w:ascii="Calibri" w:eastAsia="Calibri" w:hAnsi="Calibri" w:cs="Calibri"/>
          <w:i/>
        </w:rPr>
        <w:t xml:space="preserve">through treated </w:t>
      </w:r>
      <w:r w:rsidR="00213925" w:rsidRPr="00F61252">
        <w:rPr>
          <w:rFonts w:ascii="Calibri" w:eastAsia="Calibri" w:hAnsi="Calibri" w:cs="Calibri"/>
          <w:i/>
        </w:rPr>
        <w:t xml:space="preserve">plants </w:t>
      </w:r>
      <w:r w:rsidR="00D15B00" w:rsidRPr="00F61252">
        <w:rPr>
          <w:rFonts w:ascii="Calibri" w:eastAsia="Calibri" w:hAnsi="Calibri" w:cs="Calibri"/>
          <w:i/>
        </w:rPr>
        <w:t xml:space="preserve">which were </w:t>
      </w:r>
      <w:r w:rsidR="00213925" w:rsidRPr="00F61252">
        <w:rPr>
          <w:rFonts w:ascii="Calibri" w:eastAsia="Calibri" w:hAnsi="Calibri" w:cs="Calibri"/>
          <w:i/>
        </w:rPr>
        <w:t>transplanted into the mesocosms</w:t>
      </w:r>
      <w:r w:rsidR="00D15B00" w:rsidRPr="00F61252">
        <w:rPr>
          <w:rFonts w:ascii="Calibri" w:eastAsia="Calibri" w:hAnsi="Calibri" w:cs="Calibri"/>
          <w:i/>
        </w:rPr>
        <w:t>, an unlikely environmental exposure pathway for aquatic systems</w:t>
      </w:r>
      <w:r w:rsidR="00213925" w:rsidRPr="00F61252">
        <w:rPr>
          <w:rFonts w:ascii="Calibri" w:eastAsia="Calibri" w:hAnsi="Calibri" w:cs="Calibri"/>
          <w:i/>
        </w:rPr>
        <w:t>.</w:t>
      </w:r>
      <w:r w:rsidR="00213925" w:rsidRPr="008525BB">
        <w:rPr>
          <w:rFonts w:ascii="Calibri" w:eastAsia="Calibri" w:hAnsi="Calibri" w:cs="Times New Roman"/>
          <w:i/>
        </w:rPr>
        <w:t xml:space="preserve"> </w:t>
      </w:r>
    </w:p>
    <w:p w14:paraId="2EC8BE90" w14:textId="77777777" w:rsidR="00D15B00" w:rsidRDefault="00D15B00" w:rsidP="005859DB">
      <w:pPr>
        <w:contextualSpacing/>
        <w:rPr>
          <w:rFonts w:ascii="Calibri" w:eastAsia="Calibri" w:hAnsi="Calibri" w:cs="Times New Roman"/>
          <w:i/>
        </w:rPr>
      </w:pPr>
    </w:p>
    <w:p w14:paraId="465253BC" w14:textId="020CC76A" w:rsidR="00213925" w:rsidRDefault="00D15B00" w:rsidP="005859DB">
      <w:pPr>
        <w:contextualSpacing/>
        <w:rPr>
          <w:rFonts w:ascii="Calibri" w:eastAsia="Calibri" w:hAnsi="Calibri" w:cs="Times New Roman"/>
        </w:rPr>
      </w:pPr>
      <w:r>
        <w:rPr>
          <w:rFonts w:ascii="Calibri" w:eastAsia="Calibri" w:hAnsi="Calibri" w:cs="Times New Roman"/>
          <w:i/>
        </w:rPr>
        <w:t>Lastly</w:t>
      </w:r>
      <w:r w:rsidR="00213925" w:rsidRPr="008525BB">
        <w:rPr>
          <w:rFonts w:ascii="Calibri" w:eastAsia="Calibri" w:hAnsi="Calibri" w:cs="Times New Roman"/>
          <w:i/>
        </w:rPr>
        <w:t>, full-field and mesocosm studies are not appropriate for consideration of effects to a single individual or, indeed, even in some cases, to a species, but</w:t>
      </w:r>
      <w:r>
        <w:rPr>
          <w:rFonts w:ascii="Calibri" w:eastAsia="Calibri" w:hAnsi="Calibri" w:cs="Times New Roman"/>
          <w:i/>
        </w:rPr>
        <w:t xml:space="preserve"> are</w:t>
      </w:r>
      <w:r w:rsidR="00213925" w:rsidRPr="008525BB">
        <w:rPr>
          <w:rFonts w:ascii="Calibri" w:eastAsia="Calibri" w:hAnsi="Calibri" w:cs="Times New Roman"/>
          <w:i/>
        </w:rPr>
        <w:t xml:space="preserve"> rather</w:t>
      </w:r>
      <w:r>
        <w:rPr>
          <w:rFonts w:ascii="Calibri" w:eastAsia="Calibri" w:hAnsi="Calibri" w:cs="Times New Roman"/>
          <w:i/>
        </w:rPr>
        <w:t xml:space="preserve"> measures of effects</w:t>
      </w:r>
      <w:r w:rsidR="00213925" w:rsidRPr="008525BB">
        <w:rPr>
          <w:rFonts w:ascii="Calibri" w:eastAsia="Calibri" w:hAnsi="Calibri" w:cs="Times New Roman"/>
          <w:i/>
        </w:rPr>
        <w:t xml:space="preserve"> to a community of organisms. </w:t>
      </w:r>
      <w:r>
        <w:rPr>
          <w:rFonts w:ascii="Calibri" w:eastAsia="Calibri" w:hAnsi="Calibri" w:cs="Times New Roman"/>
          <w:i/>
        </w:rPr>
        <w:t>Mesocosm</w:t>
      </w:r>
      <w:r w:rsidRPr="008525BB">
        <w:rPr>
          <w:rFonts w:ascii="Calibri" w:eastAsia="Calibri" w:hAnsi="Calibri" w:cs="Times New Roman"/>
          <w:i/>
        </w:rPr>
        <w:t xml:space="preserve"> </w:t>
      </w:r>
      <w:r w:rsidR="00213925" w:rsidRPr="008525BB">
        <w:rPr>
          <w:rFonts w:ascii="Calibri" w:eastAsia="Calibri" w:hAnsi="Calibri" w:cs="Times New Roman"/>
          <w:i/>
        </w:rPr>
        <w:t>studies and</w:t>
      </w:r>
      <w:r>
        <w:rPr>
          <w:rFonts w:ascii="Calibri" w:eastAsia="Calibri" w:hAnsi="Calibri" w:cs="Times New Roman"/>
          <w:i/>
        </w:rPr>
        <w:t xml:space="preserve"> their</w:t>
      </w:r>
      <w:r w:rsidR="00213925" w:rsidRPr="008525BB">
        <w:rPr>
          <w:rFonts w:ascii="Calibri" w:eastAsia="Calibri" w:hAnsi="Calibri" w:cs="Times New Roman"/>
          <w:i/>
        </w:rPr>
        <w:t xml:space="preserve"> results may be considered (qualitatively) for characterization of community</w:t>
      </w:r>
      <w:r w:rsidR="009B0041">
        <w:rPr>
          <w:rFonts w:ascii="Calibri" w:eastAsia="Calibri" w:hAnsi="Calibri" w:cs="Times New Roman"/>
          <w:i/>
        </w:rPr>
        <w:t>-</w:t>
      </w:r>
      <w:r w:rsidR="00213925" w:rsidRPr="008525BB">
        <w:rPr>
          <w:rFonts w:ascii="Calibri" w:eastAsia="Calibri" w:hAnsi="Calibri" w:cs="Times New Roman"/>
          <w:i/>
        </w:rPr>
        <w:t>level effects determinations</w:t>
      </w:r>
      <w:r w:rsidR="009B0041">
        <w:rPr>
          <w:rFonts w:ascii="Calibri" w:eastAsia="Calibri" w:hAnsi="Calibri" w:cs="Times New Roman"/>
          <w:i/>
        </w:rPr>
        <w:t>, as relevant,</w:t>
      </w:r>
      <w:r w:rsidR="00A848B5">
        <w:rPr>
          <w:rFonts w:ascii="Calibri" w:eastAsia="Calibri" w:hAnsi="Calibri" w:cs="Times New Roman"/>
          <w:i/>
        </w:rPr>
        <w:t xml:space="preserve"> </w:t>
      </w:r>
      <w:r w:rsidR="007A2A32" w:rsidRPr="009C1680">
        <w:rPr>
          <w:rFonts w:ascii="Calibri" w:eastAsia="Calibri" w:hAnsi="Calibri" w:cs="Calibri"/>
          <w:i/>
        </w:rPr>
        <w:t>during consultation with the Services</w:t>
      </w:r>
      <w:r w:rsidR="000776E4">
        <w:rPr>
          <w:rFonts w:ascii="Calibri" w:eastAsia="Calibri" w:hAnsi="Calibri" w:cs="Calibri"/>
          <w:i/>
        </w:rPr>
        <w:t>.</w:t>
      </w:r>
    </w:p>
    <w:p w14:paraId="1C5E0C4F" w14:textId="6C3AE630" w:rsidR="00E07052" w:rsidRDefault="00E07052" w:rsidP="005859DB">
      <w:pPr>
        <w:contextualSpacing/>
        <w:rPr>
          <w:rFonts w:asciiTheme="minorHAnsi" w:eastAsiaTheme="minorEastAsia" w:hAnsiTheme="minorHAnsi" w:cstheme="minorHAnsi"/>
          <w:b/>
          <w:color w:val="000000" w:themeColor="text1"/>
        </w:rPr>
      </w:pPr>
    </w:p>
    <w:p w14:paraId="55D67D7D" w14:textId="33C78246" w:rsidR="00FC588D" w:rsidRPr="00FC588D" w:rsidRDefault="00FC588D" w:rsidP="005859DB">
      <w:pPr>
        <w:rPr>
          <w:rFonts w:ascii="Calibri" w:eastAsia="Calibri" w:hAnsi="Calibri" w:cs="Times New Roman"/>
          <w:b/>
          <w:bCs/>
        </w:rPr>
      </w:pPr>
      <w:r w:rsidRPr="14C639DD">
        <w:rPr>
          <w:rFonts w:ascii="Calibri" w:eastAsia="Calibri" w:hAnsi="Calibri" w:cs="Times New Roman"/>
          <w:b/>
          <w:bCs/>
        </w:rPr>
        <w:t>Comment</w:t>
      </w:r>
      <w:r w:rsidRPr="1BF2BFB5">
        <w:rPr>
          <w:rFonts w:ascii="Calibri" w:eastAsia="Calibri" w:hAnsi="Calibri" w:cs="Times New Roman"/>
          <w:b/>
          <w:bCs/>
        </w:rPr>
        <w:t xml:space="preserve">: </w:t>
      </w:r>
      <w:r w:rsidRPr="00B021D7">
        <w:rPr>
          <w:rFonts w:ascii="Calibri" w:eastAsia="Calibri" w:hAnsi="Calibri" w:cs="Times New Roman"/>
        </w:rPr>
        <w:t xml:space="preserve">The </w:t>
      </w:r>
      <w:r w:rsidR="00DC3C60">
        <w:rPr>
          <w:rFonts w:ascii="Calibri" w:eastAsia="Calibri" w:hAnsi="Calibri" w:cs="Times New Roman"/>
        </w:rPr>
        <w:t>commenter</w:t>
      </w:r>
      <w:r w:rsidRPr="00B021D7">
        <w:rPr>
          <w:rFonts w:ascii="Calibri" w:eastAsia="Calibri" w:hAnsi="Calibri" w:cs="Times New Roman"/>
        </w:rPr>
        <w:t xml:space="preserve"> identified various typographical errors and editorial issues in the Executive Summary, </w:t>
      </w:r>
      <w:r w:rsidRPr="002F6C95">
        <w:rPr>
          <w:rFonts w:ascii="Calibri" w:eastAsia="Calibri" w:hAnsi="Calibri" w:cs="Times New Roman"/>
          <w:b/>
          <w:bCs/>
        </w:rPr>
        <w:t>Chapter 2</w:t>
      </w:r>
      <w:r w:rsidRPr="00B021D7">
        <w:rPr>
          <w:rFonts w:ascii="Calibri" w:eastAsia="Calibri" w:hAnsi="Calibri" w:cs="Times New Roman"/>
        </w:rPr>
        <w:t>, and MAGtool worksheets.</w:t>
      </w:r>
    </w:p>
    <w:p w14:paraId="209901C6" w14:textId="77777777" w:rsidR="00FC588D" w:rsidRPr="003F4781" w:rsidRDefault="00FC588D" w:rsidP="005859DB">
      <w:pPr>
        <w:contextualSpacing/>
        <w:rPr>
          <w:rFonts w:ascii="Calibri" w:eastAsia="Calibri" w:hAnsi="Calibri" w:cs="Times New Roman"/>
        </w:rPr>
      </w:pPr>
    </w:p>
    <w:p w14:paraId="28E5C8D8" w14:textId="5DB4C997" w:rsidR="00FC588D" w:rsidRPr="00190F7F" w:rsidRDefault="00FC588D" w:rsidP="005859DB">
      <w:pPr>
        <w:contextualSpacing/>
        <w:rPr>
          <w:rFonts w:ascii="Calibri" w:eastAsia="Calibri" w:hAnsi="Calibri" w:cs="Times New Roman"/>
          <w:b/>
          <w:i/>
          <w:iCs/>
        </w:rPr>
      </w:pPr>
      <w:r>
        <w:rPr>
          <w:rFonts w:ascii="Calibri" w:eastAsia="Calibri" w:hAnsi="Calibri" w:cs="Times New Roman"/>
          <w:b/>
        </w:rPr>
        <w:t xml:space="preserve">EPA </w:t>
      </w:r>
      <w:r w:rsidRPr="003F4781">
        <w:rPr>
          <w:rFonts w:ascii="Calibri" w:eastAsia="Calibri" w:hAnsi="Calibri" w:cs="Times New Roman"/>
          <w:b/>
        </w:rPr>
        <w:t xml:space="preserve">Response: </w:t>
      </w:r>
      <w:r w:rsidRPr="00133372">
        <w:rPr>
          <w:rFonts w:ascii="Calibri" w:eastAsia="Calibri" w:hAnsi="Calibri" w:cs="Times New Roman"/>
          <w:i/>
        </w:rPr>
        <w:t>E</w:t>
      </w:r>
      <w:r w:rsidR="00484F45">
        <w:rPr>
          <w:rFonts w:ascii="Calibri" w:eastAsia="Calibri" w:hAnsi="Calibri" w:cs="Times New Roman"/>
          <w:i/>
        </w:rPr>
        <w:t>PA</w:t>
      </w:r>
      <w:r w:rsidRPr="00133372">
        <w:rPr>
          <w:rFonts w:ascii="Calibri" w:eastAsia="Calibri" w:hAnsi="Calibri" w:cs="Times New Roman"/>
          <w:i/>
        </w:rPr>
        <w:t xml:space="preserve"> </w:t>
      </w:r>
      <w:r>
        <w:rPr>
          <w:rFonts w:ascii="Calibri" w:eastAsia="Calibri" w:hAnsi="Calibri" w:cs="Times New Roman"/>
          <w:i/>
        </w:rPr>
        <w:t>appreciate</w:t>
      </w:r>
      <w:r w:rsidRPr="00133372">
        <w:rPr>
          <w:rFonts w:ascii="Calibri" w:eastAsia="Calibri" w:hAnsi="Calibri" w:cs="Times New Roman"/>
          <w:i/>
        </w:rPr>
        <w:t xml:space="preserve">s the comments and agrees </w:t>
      </w:r>
      <w:r>
        <w:rPr>
          <w:rFonts w:ascii="Calibri" w:eastAsia="Calibri" w:hAnsi="Calibri" w:cs="Times New Roman"/>
          <w:i/>
        </w:rPr>
        <w:t>with</w:t>
      </w:r>
      <w:r w:rsidRPr="00133372">
        <w:rPr>
          <w:rFonts w:ascii="Calibri" w:eastAsia="Calibri" w:hAnsi="Calibri" w:cs="Times New Roman"/>
          <w:i/>
        </w:rPr>
        <w:t xml:space="preserve"> these editorial corrections and comments.</w:t>
      </w:r>
      <w:r>
        <w:rPr>
          <w:rFonts w:ascii="Calibri" w:eastAsia="Calibri" w:hAnsi="Calibri" w:cs="Times New Roman"/>
        </w:rPr>
        <w:t xml:space="preserve"> </w:t>
      </w:r>
      <w:r w:rsidR="00D15B00">
        <w:rPr>
          <w:rFonts w:ascii="Calibri" w:eastAsia="Calibri" w:hAnsi="Calibri" w:cs="Times New Roman"/>
          <w:i/>
          <w:iCs/>
        </w:rPr>
        <w:t>There are no changes to the effects determinations as a result of these corrections.</w:t>
      </w:r>
    </w:p>
    <w:p w14:paraId="599485BA" w14:textId="77777777" w:rsidR="003F4781" w:rsidRPr="003F4781" w:rsidRDefault="003F4781" w:rsidP="005859DB">
      <w:pPr>
        <w:contextualSpacing/>
        <w:rPr>
          <w:rFonts w:ascii="Calibri" w:eastAsia="Calibri" w:hAnsi="Calibri" w:cs="Times New Roman"/>
          <w:b/>
        </w:rPr>
      </w:pPr>
    </w:p>
    <w:p w14:paraId="31DB16D9" w14:textId="126CE26A"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 xml:space="preserve">Comment: </w:t>
      </w:r>
      <w:r w:rsidRPr="003F4781">
        <w:rPr>
          <w:rFonts w:ascii="Calibri" w:eastAsia="Calibri" w:hAnsi="Calibri" w:cs="Times New Roman"/>
        </w:rPr>
        <w:t>Executive Summary - Page 3 – Toxicity Summary – There is no mention of herptiles (aquatic or terrestrial phase) in the Toxicity Summary provided.</w:t>
      </w:r>
    </w:p>
    <w:p w14:paraId="3D085A59" w14:textId="77777777" w:rsidR="003F4781" w:rsidRPr="003F4781" w:rsidRDefault="003F4781" w:rsidP="005859DB">
      <w:pPr>
        <w:contextualSpacing/>
        <w:rPr>
          <w:rFonts w:ascii="Calibri" w:eastAsia="Calibri" w:hAnsi="Calibri" w:cs="Times New Roman"/>
        </w:rPr>
      </w:pPr>
    </w:p>
    <w:p w14:paraId="21583BC9" w14:textId="4CCB1E95" w:rsidR="00AE0B43" w:rsidRPr="0051130F" w:rsidRDefault="0051130F" w:rsidP="005859DB">
      <w:pPr>
        <w:contextualSpacing/>
        <w:rPr>
          <w:rFonts w:ascii="Calibri" w:eastAsia="Calibri" w:hAnsi="Calibri" w:cs="Times New Roman"/>
          <w:i/>
        </w:rPr>
      </w:pPr>
      <w:r>
        <w:rPr>
          <w:rFonts w:ascii="Calibri" w:eastAsia="Calibri" w:hAnsi="Calibri" w:cs="Times New Roman"/>
          <w:b/>
        </w:rPr>
        <w:t xml:space="preserve">EPA </w:t>
      </w:r>
      <w:r w:rsidR="003F4781" w:rsidRPr="003F4781">
        <w:rPr>
          <w:rFonts w:ascii="Calibri" w:eastAsia="Calibri" w:hAnsi="Calibri" w:cs="Times New Roman"/>
          <w:b/>
        </w:rPr>
        <w:t>Response:</w:t>
      </w:r>
      <w:r w:rsidR="00AE0B43">
        <w:rPr>
          <w:rFonts w:ascii="Calibri" w:eastAsia="Calibri" w:hAnsi="Calibri" w:cs="Times New Roman"/>
          <w:b/>
        </w:rPr>
        <w:t xml:space="preserve"> </w:t>
      </w:r>
      <w:r w:rsidR="00AE0B43" w:rsidRPr="0051130F">
        <w:rPr>
          <w:rFonts w:ascii="Calibri" w:eastAsia="Calibri" w:hAnsi="Calibri" w:cs="Times New Roman"/>
          <w:i/>
        </w:rPr>
        <w:t>E</w:t>
      </w:r>
      <w:r w:rsidR="00484F45">
        <w:rPr>
          <w:rFonts w:ascii="Calibri" w:eastAsia="Calibri" w:hAnsi="Calibri" w:cs="Times New Roman"/>
          <w:i/>
        </w:rPr>
        <w:t>PA</w:t>
      </w:r>
      <w:r w:rsidR="00AE0B43" w:rsidRPr="0051130F">
        <w:rPr>
          <w:rFonts w:ascii="Calibri" w:eastAsia="Calibri" w:hAnsi="Calibri" w:cs="Times New Roman"/>
          <w:i/>
        </w:rPr>
        <w:t xml:space="preserve"> </w:t>
      </w:r>
      <w:r w:rsidR="00FC588D">
        <w:rPr>
          <w:rFonts w:ascii="Calibri" w:eastAsia="Calibri" w:hAnsi="Calibri" w:cs="Times New Roman"/>
          <w:i/>
        </w:rPr>
        <w:t>appreciates</w:t>
      </w:r>
      <w:r w:rsidR="00AE0B43" w:rsidRPr="0051130F">
        <w:rPr>
          <w:rFonts w:ascii="Calibri" w:eastAsia="Calibri" w:hAnsi="Calibri" w:cs="Times New Roman"/>
          <w:i/>
        </w:rPr>
        <w:t xml:space="preserve"> the commenter pointing out this oversight in the Toxicity Summary </w:t>
      </w:r>
      <w:r w:rsidR="00AE0B43" w:rsidRPr="00296289">
        <w:rPr>
          <w:rFonts w:ascii="Calibri" w:eastAsia="Calibri" w:hAnsi="Calibri" w:cs="Times New Roman"/>
          <w:i/>
        </w:rPr>
        <w:t>(</w:t>
      </w:r>
      <w:r w:rsidR="00AE0B43" w:rsidRPr="003A3BAD">
        <w:rPr>
          <w:rFonts w:ascii="Calibri" w:eastAsia="Calibri" w:hAnsi="Calibri" w:cs="Times New Roman"/>
          <w:b/>
          <w:bCs/>
          <w:i/>
        </w:rPr>
        <w:t>Executive Summary</w:t>
      </w:r>
      <w:r w:rsidR="00AE0B43" w:rsidRPr="005466BD">
        <w:rPr>
          <w:rFonts w:ascii="Calibri" w:eastAsia="Calibri" w:hAnsi="Calibri" w:cs="Times New Roman"/>
          <w:i/>
        </w:rPr>
        <w:t xml:space="preserve"> </w:t>
      </w:r>
      <w:r w:rsidR="00AE0B43" w:rsidRPr="003A3BAD">
        <w:rPr>
          <w:rFonts w:ascii="Calibri" w:eastAsia="Calibri" w:hAnsi="Calibri" w:cs="Times New Roman"/>
          <w:b/>
          <w:bCs/>
          <w:i/>
        </w:rPr>
        <w:t>Section 2</w:t>
      </w:r>
      <w:r w:rsidR="00AE0B43" w:rsidRPr="00296289">
        <w:rPr>
          <w:rFonts w:ascii="Calibri" w:eastAsia="Calibri" w:hAnsi="Calibri" w:cs="Times New Roman"/>
          <w:i/>
        </w:rPr>
        <w:t>).</w:t>
      </w:r>
      <w:r w:rsidR="00AE0B43" w:rsidRPr="0051130F">
        <w:rPr>
          <w:rFonts w:ascii="Calibri" w:eastAsia="Calibri" w:hAnsi="Calibri" w:cs="Times New Roman"/>
          <w:i/>
        </w:rPr>
        <w:t xml:space="preserve"> No mortality was observed up to the highest concentration tested (327,000 </w:t>
      </w:r>
      <w:r w:rsidR="00AE0B43" w:rsidRPr="0051130F">
        <w:rPr>
          <w:rFonts w:ascii="Calibri" w:eastAsia="Calibri" w:hAnsi="Calibri" w:cs="Calibri"/>
          <w:i/>
        </w:rPr>
        <w:t>µ</w:t>
      </w:r>
      <w:r w:rsidR="00AE0B43" w:rsidRPr="0051130F">
        <w:rPr>
          <w:rFonts w:ascii="Calibri" w:eastAsia="Calibri" w:hAnsi="Calibri" w:cs="Times New Roman"/>
          <w:i/>
        </w:rPr>
        <w:t>g/L) in the available open acute toxicity literature data (</w:t>
      </w:r>
      <w:r w:rsidR="00296289" w:rsidRPr="0051130F">
        <w:rPr>
          <w:rFonts w:ascii="Calibri" w:eastAsia="Calibri" w:hAnsi="Calibri" w:cs="Times New Roman"/>
          <w:i/>
        </w:rPr>
        <w:t>E</w:t>
      </w:r>
      <w:r w:rsidR="00296289">
        <w:rPr>
          <w:rFonts w:ascii="Calibri" w:eastAsia="Calibri" w:hAnsi="Calibri" w:cs="Times New Roman"/>
          <w:i/>
        </w:rPr>
        <w:t>C</w:t>
      </w:r>
      <w:r w:rsidR="00296289" w:rsidRPr="0051130F">
        <w:rPr>
          <w:rFonts w:ascii="Calibri" w:eastAsia="Calibri" w:hAnsi="Calibri" w:cs="Times New Roman"/>
          <w:i/>
        </w:rPr>
        <w:t>OTOX</w:t>
      </w:r>
      <w:r w:rsidR="00AE0B43" w:rsidRPr="0051130F">
        <w:rPr>
          <w:rFonts w:ascii="Calibri" w:eastAsia="Calibri" w:hAnsi="Calibri" w:cs="Times New Roman"/>
          <w:i/>
        </w:rPr>
        <w:t>#</w:t>
      </w:r>
      <w:r w:rsidR="00296289">
        <w:rPr>
          <w:rFonts w:ascii="Calibri" w:eastAsia="Calibri" w:hAnsi="Calibri" w:cs="Times New Roman"/>
          <w:i/>
        </w:rPr>
        <w:t xml:space="preserve"> </w:t>
      </w:r>
      <w:r w:rsidR="00AE0B43" w:rsidRPr="0051130F">
        <w:rPr>
          <w:rFonts w:ascii="Calibri" w:eastAsia="Calibri" w:hAnsi="Calibri" w:cs="Times New Roman"/>
          <w:i/>
        </w:rPr>
        <w:t xml:space="preserve">183651) in which three species of aquatic-phase amphibians were exposed to a clothianidin TEP. </w:t>
      </w:r>
      <w:r w:rsidR="00953D5B">
        <w:rPr>
          <w:rFonts w:ascii="Calibri" w:eastAsia="Calibri" w:hAnsi="Calibri" w:cs="Times New Roman"/>
          <w:i/>
        </w:rPr>
        <w:t xml:space="preserve">As noted above, use of a TEP as the test substance </w:t>
      </w:r>
      <w:r w:rsidR="00953D5B" w:rsidRPr="008525BB">
        <w:rPr>
          <w:rFonts w:ascii="Calibri" w:eastAsia="Calibri" w:hAnsi="Calibri" w:cs="Times New Roman"/>
          <w:i/>
        </w:rPr>
        <w:t>rather than TGAI</w:t>
      </w:r>
      <w:r w:rsidR="00953D5B">
        <w:rPr>
          <w:rFonts w:ascii="Calibri" w:eastAsia="Calibri" w:hAnsi="Calibri" w:cs="Times New Roman"/>
          <w:i/>
        </w:rPr>
        <w:t xml:space="preserve"> is an important distinction because the aquatic exposure to TEPs is considered only through a direct application or spray drift of product to the aquatic environment</w:t>
      </w:r>
      <w:r w:rsidR="00953D5B" w:rsidRPr="008525BB">
        <w:rPr>
          <w:rFonts w:ascii="Calibri" w:eastAsia="Calibri" w:hAnsi="Calibri" w:cs="Times New Roman"/>
          <w:i/>
        </w:rPr>
        <w:t>.</w:t>
      </w:r>
      <w:r w:rsidR="00953D5B">
        <w:rPr>
          <w:rFonts w:ascii="Calibri" w:eastAsia="Calibri" w:hAnsi="Calibri" w:cs="Times New Roman"/>
          <w:i/>
        </w:rPr>
        <w:t xml:space="preserve"> </w:t>
      </w:r>
      <w:r w:rsidR="00035E0C">
        <w:rPr>
          <w:rFonts w:ascii="Calibri" w:eastAsia="Calibri" w:hAnsi="Calibri" w:cs="Times New Roman"/>
          <w:i/>
        </w:rPr>
        <w:t xml:space="preserve">As a result </w:t>
      </w:r>
      <w:r w:rsidR="00AE0B43" w:rsidRPr="0051130F">
        <w:rPr>
          <w:rFonts w:ascii="Calibri" w:eastAsia="Calibri" w:hAnsi="Calibri" w:cs="Times New Roman"/>
          <w:i/>
        </w:rPr>
        <w:t>this study has been classified as qualitative</w:t>
      </w:r>
      <w:r w:rsidR="00035E0C">
        <w:rPr>
          <w:rFonts w:ascii="Calibri" w:eastAsia="Calibri" w:hAnsi="Calibri" w:cs="Times New Roman"/>
          <w:i/>
        </w:rPr>
        <w:t>. In the assessment, the</w:t>
      </w:r>
      <w:r w:rsidR="00AE0B43" w:rsidRPr="0051130F">
        <w:rPr>
          <w:rFonts w:ascii="Calibri" w:eastAsia="Calibri" w:hAnsi="Calibri" w:cs="Times New Roman"/>
          <w:i/>
        </w:rPr>
        <w:t xml:space="preserve"> acute toxicity to aquatic-phase amphibians was conservatively represented by freshwater fish data. </w:t>
      </w:r>
      <w:r w:rsidR="00BE52A0">
        <w:rPr>
          <w:rFonts w:ascii="Calibri" w:eastAsia="Calibri" w:hAnsi="Calibri" w:cs="Times New Roman"/>
          <w:i/>
        </w:rPr>
        <w:t>N</w:t>
      </w:r>
      <w:r w:rsidR="00AE0B43" w:rsidRPr="0051130F">
        <w:rPr>
          <w:rFonts w:ascii="Calibri" w:eastAsia="Calibri" w:hAnsi="Calibri" w:cs="Times New Roman"/>
          <w:i/>
        </w:rPr>
        <w:t>o mortality</w:t>
      </w:r>
      <w:r w:rsidR="00BE52A0">
        <w:rPr>
          <w:rFonts w:ascii="Calibri" w:eastAsia="Calibri" w:hAnsi="Calibri" w:cs="Times New Roman"/>
          <w:i/>
        </w:rPr>
        <w:t xml:space="preserve"> was observed in</w:t>
      </w:r>
      <w:r w:rsidR="00AE0B43" w:rsidRPr="0051130F">
        <w:rPr>
          <w:rFonts w:ascii="Calibri" w:eastAsia="Calibri" w:hAnsi="Calibri" w:cs="Times New Roman"/>
          <w:i/>
        </w:rPr>
        <w:t xml:space="preserve"> </w:t>
      </w:r>
      <w:r w:rsidR="00BE52A0">
        <w:rPr>
          <w:rFonts w:ascii="Calibri" w:eastAsia="Calibri" w:hAnsi="Calibri" w:cs="Times New Roman"/>
          <w:i/>
        </w:rPr>
        <w:t>the</w:t>
      </w:r>
      <w:r w:rsidR="00BE52A0" w:rsidRPr="0051130F">
        <w:rPr>
          <w:rFonts w:ascii="Calibri" w:eastAsia="Calibri" w:hAnsi="Calibri" w:cs="Times New Roman"/>
          <w:i/>
        </w:rPr>
        <w:t xml:space="preserve"> </w:t>
      </w:r>
      <w:r w:rsidR="00BE52A0">
        <w:rPr>
          <w:rFonts w:ascii="Calibri" w:eastAsia="Calibri" w:hAnsi="Calibri" w:cs="Times New Roman"/>
          <w:i/>
        </w:rPr>
        <w:lastRenderedPageBreak/>
        <w:t xml:space="preserve">available </w:t>
      </w:r>
      <w:r w:rsidR="00AE0B43" w:rsidRPr="0051130F">
        <w:rPr>
          <w:rFonts w:ascii="Calibri" w:eastAsia="Calibri" w:hAnsi="Calibri" w:cs="Times New Roman"/>
          <w:i/>
        </w:rPr>
        <w:t>aquatic-phase amphibians or freshwater fish</w:t>
      </w:r>
      <w:r w:rsidR="00BE52A0">
        <w:rPr>
          <w:rFonts w:ascii="Calibri" w:eastAsia="Calibri" w:hAnsi="Calibri" w:cs="Times New Roman"/>
          <w:i/>
        </w:rPr>
        <w:t xml:space="preserve"> studies</w:t>
      </w:r>
      <w:r w:rsidR="00AE0B43" w:rsidRPr="0051130F">
        <w:rPr>
          <w:rFonts w:ascii="Calibri" w:eastAsia="Calibri" w:hAnsi="Calibri" w:cs="Times New Roman"/>
          <w:i/>
        </w:rPr>
        <w:t xml:space="preserve">. Similarly, the available open literature </w:t>
      </w:r>
      <w:r w:rsidR="005466BD">
        <w:rPr>
          <w:rFonts w:ascii="Calibri" w:eastAsia="Calibri" w:hAnsi="Calibri" w:cs="Times New Roman"/>
          <w:i/>
        </w:rPr>
        <w:t>study</w:t>
      </w:r>
      <w:r w:rsidR="00AE0B43" w:rsidRPr="0051130F">
        <w:rPr>
          <w:rFonts w:ascii="Calibri" w:eastAsia="Calibri" w:hAnsi="Calibri" w:cs="Times New Roman"/>
          <w:i/>
        </w:rPr>
        <w:t xml:space="preserve"> (ECOTOX# 183407) </w:t>
      </w:r>
      <w:r w:rsidR="005466BD">
        <w:rPr>
          <w:rFonts w:ascii="Calibri" w:eastAsia="Calibri" w:hAnsi="Calibri" w:cs="Times New Roman"/>
          <w:i/>
        </w:rPr>
        <w:t>of</w:t>
      </w:r>
      <w:r w:rsidR="00AE0B43" w:rsidRPr="0051130F">
        <w:rPr>
          <w:rFonts w:ascii="Calibri" w:eastAsia="Calibri" w:hAnsi="Calibri" w:cs="Times New Roman"/>
          <w:i/>
        </w:rPr>
        <w:t xml:space="preserve"> chronic effects on aquatic-phase amphibians</w:t>
      </w:r>
      <w:r w:rsidR="00BE52A0">
        <w:rPr>
          <w:rFonts w:ascii="Calibri" w:eastAsia="Calibri" w:hAnsi="Calibri" w:cs="Times New Roman"/>
          <w:i/>
        </w:rPr>
        <w:t xml:space="preserve">, classified as qualitative because it tested </w:t>
      </w:r>
      <w:r w:rsidR="00AE0B43" w:rsidRPr="0051130F">
        <w:rPr>
          <w:rFonts w:ascii="Calibri" w:eastAsia="Calibri" w:hAnsi="Calibri" w:cs="Times New Roman"/>
          <w:i/>
        </w:rPr>
        <w:t>a clothianidin TEP</w:t>
      </w:r>
      <w:r w:rsidR="00BE52A0">
        <w:rPr>
          <w:rFonts w:ascii="Calibri" w:eastAsia="Calibri" w:hAnsi="Calibri" w:cs="Times New Roman"/>
          <w:i/>
        </w:rPr>
        <w:t>,</w:t>
      </w:r>
      <w:r w:rsidR="00AE0B43" w:rsidRPr="0051130F">
        <w:rPr>
          <w:rFonts w:ascii="Calibri" w:eastAsia="Calibri" w:hAnsi="Calibri" w:cs="Times New Roman"/>
          <w:i/>
        </w:rPr>
        <w:t xml:space="preserve"> found no chronic effects up to the highest concentration tested (250 µg/L). Consequently, the most sensitive chronic freshwater fish endpoint was used as a surrogate. </w:t>
      </w:r>
    </w:p>
    <w:p w14:paraId="50FA6503" w14:textId="77777777" w:rsidR="00AE0B43" w:rsidRPr="0051130F" w:rsidRDefault="00AE0B43" w:rsidP="005859DB">
      <w:pPr>
        <w:contextualSpacing/>
        <w:rPr>
          <w:rFonts w:ascii="Calibri" w:eastAsia="Calibri" w:hAnsi="Calibri" w:cs="Times New Roman"/>
          <w:i/>
        </w:rPr>
      </w:pPr>
    </w:p>
    <w:p w14:paraId="3101F982" w14:textId="3F4AD1B3" w:rsidR="00AE0B43" w:rsidRPr="0050254C" w:rsidRDefault="00AE0B43" w:rsidP="005859DB">
      <w:pPr>
        <w:contextualSpacing/>
        <w:rPr>
          <w:rFonts w:ascii="Calibri" w:eastAsia="Calibri" w:hAnsi="Calibri" w:cs="Times New Roman"/>
          <w:b/>
        </w:rPr>
      </w:pPr>
      <w:r w:rsidRPr="0051130F">
        <w:rPr>
          <w:rFonts w:ascii="Calibri" w:eastAsia="Calibri" w:hAnsi="Calibri" w:cs="Times New Roman"/>
          <w:i/>
        </w:rPr>
        <w:t>No acute toxicity data are available for terrestrial-phase amphibians or reptiles exposed to clothianidin; therefore, the available acute toxicity data for birds was used as a surrogate. The open literature data available for chronic exposure of reptiles suggested that clothianidin exposure may influence some aspects of physiological biochemistry but these results are highly uncertain and no frank sublethal</w:t>
      </w:r>
      <w:r w:rsidR="00A3535D">
        <w:rPr>
          <w:rFonts w:ascii="Calibri" w:eastAsia="Calibri" w:hAnsi="Calibri" w:cs="Times New Roman"/>
          <w:i/>
        </w:rPr>
        <w:t xml:space="preserve"> (</w:t>
      </w:r>
      <w:r w:rsidR="00A3535D" w:rsidRPr="007A2A32">
        <w:rPr>
          <w:rFonts w:ascii="Calibri" w:eastAsia="Calibri" w:hAnsi="Calibri" w:cs="Times New Roman"/>
        </w:rPr>
        <w:t>e.g</w:t>
      </w:r>
      <w:r w:rsidR="00A3535D">
        <w:rPr>
          <w:rFonts w:ascii="Calibri" w:eastAsia="Calibri" w:hAnsi="Calibri" w:cs="Times New Roman"/>
          <w:i/>
        </w:rPr>
        <w:t>., growth, reproduction)</w:t>
      </w:r>
      <w:r w:rsidRPr="0051130F">
        <w:rPr>
          <w:rFonts w:ascii="Calibri" w:eastAsia="Calibri" w:hAnsi="Calibri" w:cs="Times New Roman"/>
          <w:i/>
        </w:rPr>
        <w:t xml:space="preserve"> effects were observed; therefore, the available chronic toxicity data for birds w</w:t>
      </w:r>
      <w:r w:rsidR="001F67CC">
        <w:rPr>
          <w:rFonts w:ascii="Calibri" w:eastAsia="Calibri" w:hAnsi="Calibri" w:cs="Times New Roman"/>
          <w:i/>
        </w:rPr>
        <w:t>ere</w:t>
      </w:r>
      <w:r w:rsidRPr="0051130F">
        <w:rPr>
          <w:rFonts w:ascii="Calibri" w:eastAsia="Calibri" w:hAnsi="Calibri" w:cs="Times New Roman"/>
          <w:i/>
        </w:rPr>
        <w:t xml:space="preserve"> also used as a surrogate for terrestrial-phase amphibians and reptiles.</w:t>
      </w:r>
      <w:r>
        <w:rPr>
          <w:rFonts w:ascii="Calibri" w:eastAsia="Calibri" w:hAnsi="Calibri" w:cs="Times New Roman"/>
        </w:rPr>
        <w:t xml:space="preserve"> </w:t>
      </w:r>
    </w:p>
    <w:p w14:paraId="047EE82B" w14:textId="69677909" w:rsidR="003F4781" w:rsidRPr="003F4781" w:rsidRDefault="003F4781" w:rsidP="005859DB">
      <w:pPr>
        <w:contextualSpacing/>
        <w:rPr>
          <w:rFonts w:ascii="Calibri" w:eastAsia="Calibri" w:hAnsi="Calibri" w:cs="Times New Roman"/>
          <w:b/>
        </w:rPr>
      </w:pPr>
    </w:p>
    <w:p w14:paraId="1B43B4AD" w14:textId="61331E3B"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 xml:space="preserve">Comment: </w:t>
      </w:r>
      <w:r w:rsidRPr="002F6C95">
        <w:rPr>
          <w:rFonts w:ascii="Calibri" w:eastAsia="Calibri" w:hAnsi="Calibri" w:cs="Times New Roman"/>
          <w:b/>
          <w:bCs/>
        </w:rPr>
        <w:t>Chapter 2</w:t>
      </w:r>
      <w:r w:rsidRPr="003F4781">
        <w:rPr>
          <w:rFonts w:ascii="Calibri" w:eastAsia="Calibri" w:hAnsi="Calibri" w:cs="Times New Roman"/>
        </w:rPr>
        <w:t xml:space="preserve"> - </w:t>
      </w:r>
      <w:r w:rsidRPr="002F6C95">
        <w:rPr>
          <w:rFonts w:ascii="Calibri" w:eastAsia="Calibri" w:hAnsi="Calibri" w:cs="Times New Roman"/>
          <w:b/>
          <w:bCs/>
        </w:rPr>
        <w:t>Table 2-2</w:t>
      </w:r>
      <w:r w:rsidRPr="003F4781">
        <w:rPr>
          <w:rFonts w:ascii="Calibri" w:eastAsia="Calibri" w:hAnsi="Calibri" w:cs="Times New Roman"/>
        </w:rPr>
        <w:t xml:space="preserve"> - It is unclear how a 200% increase in mortality is being described as a LOAEC for a sublethal endpoint.</w:t>
      </w:r>
    </w:p>
    <w:p w14:paraId="0F7716AF" w14:textId="77777777" w:rsidR="003F4781" w:rsidRPr="001F67CC" w:rsidRDefault="003F4781" w:rsidP="005859DB">
      <w:pPr>
        <w:contextualSpacing/>
        <w:rPr>
          <w:rFonts w:asciiTheme="minorHAnsi" w:eastAsia="Calibri" w:hAnsiTheme="minorHAnsi" w:cstheme="minorHAnsi"/>
        </w:rPr>
      </w:pPr>
    </w:p>
    <w:p w14:paraId="66ADF623" w14:textId="37A0F40B" w:rsidR="003F4781" w:rsidRPr="00E13396" w:rsidRDefault="0051130F" w:rsidP="005859DB">
      <w:pPr>
        <w:contextualSpacing/>
        <w:rPr>
          <w:rFonts w:asciiTheme="minorHAnsi" w:eastAsia="Calibri" w:hAnsiTheme="minorHAnsi" w:cstheme="minorHAnsi"/>
          <w:b/>
        </w:rPr>
      </w:pPr>
      <w:r w:rsidRPr="00E13396">
        <w:rPr>
          <w:rFonts w:asciiTheme="minorHAnsi" w:eastAsia="Calibri" w:hAnsiTheme="minorHAnsi" w:cstheme="minorHAnsi"/>
          <w:b/>
        </w:rPr>
        <w:t xml:space="preserve">EPA </w:t>
      </w:r>
      <w:r w:rsidR="003F4781" w:rsidRPr="00E13396">
        <w:rPr>
          <w:rFonts w:asciiTheme="minorHAnsi" w:eastAsia="Calibri" w:hAnsiTheme="minorHAnsi" w:cstheme="minorHAnsi"/>
          <w:b/>
        </w:rPr>
        <w:t>Response:</w:t>
      </w:r>
      <w:r w:rsidR="00AE0B43" w:rsidRPr="00E13396">
        <w:rPr>
          <w:rFonts w:asciiTheme="minorHAnsi" w:eastAsia="Calibri" w:hAnsiTheme="minorHAnsi" w:cstheme="minorHAnsi"/>
          <w:b/>
        </w:rPr>
        <w:t xml:space="preserve"> </w:t>
      </w:r>
      <w:r w:rsidR="00AE0B43" w:rsidRPr="00E13396">
        <w:rPr>
          <w:rFonts w:asciiTheme="minorHAnsi" w:eastAsia="Calibri" w:hAnsiTheme="minorHAnsi" w:cstheme="minorHAnsi"/>
          <w:i/>
        </w:rPr>
        <w:t>For the BEs,</w:t>
      </w:r>
      <w:r w:rsidR="00AE0B43" w:rsidRPr="00E13396">
        <w:rPr>
          <w:rFonts w:asciiTheme="minorHAnsi" w:eastAsia="Calibri" w:hAnsiTheme="minorHAnsi" w:cstheme="minorHAnsi"/>
          <w:b/>
          <w:i/>
        </w:rPr>
        <w:t xml:space="preserve"> </w:t>
      </w:r>
      <w:r w:rsidR="00AE0B43" w:rsidRPr="00E13396">
        <w:rPr>
          <w:rFonts w:asciiTheme="minorHAnsi" w:eastAsia="Calibri" w:hAnsiTheme="minorHAnsi" w:cstheme="minorHAnsi"/>
          <w:i/>
        </w:rPr>
        <w:t xml:space="preserve">the most sensitive endpoint was </w:t>
      </w:r>
      <w:r w:rsidR="00BE52A0" w:rsidRPr="00E13396">
        <w:rPr>
          <w:rFonts w:asciiTheme="minorHAnsi" w:eastAsia="Calibri" w:hAnsiTheme="minorHAnsi" w:cstheme="minorHAnsi"/>
          <w:i/>
        </w:rPr>
        <w:t>selected from</w:t>
      </w:r>
      <w:r w:rsidR="00AE0B43" w:rsidRPr="00E13396">
        <w:rPr>
          <w:rFonts w:asciiTheme="minorHAnsi" w:eastAsia="Calibri" w:hAnsiTheme="minorHAnsi" w:cstheme="minorHAnsi"/>
          <w:i/>
        </w:rPr>
        <w:t xml:space="preserve"> available sublethal studies by assessed taxonomic group. In the case of dose-based </w:t>
      </w:r>
      <w:r w:rsidR="006D521E" w:rsidRPr="00E13396">
        <w:rPr>
          <w:rFonts w:asciiTheme="minorHAnsi" w:eastAsia="Calibri" w:hAnsiTheme="minorHAnsi" w:cstheme="minorHAnsi"/>
          <w:i/>
        </w:rPr>
        <w:t xml:space="preserve">endpoints from </w:t>
      </w:r>
      <w:r w:rsidR="00AE0B43" w:rsidRPr="00E13396">
        <w:rPr>
          <w:rFonts w:asciiTheme="minorHAnsi" w:eastAsia="Calibri" w:hAnsiTheme="minorHAnsi" w:cstheme="minorHAnsi"/>
          <w:i/>
        </w:rPr>
        <w:t>sublethal bird</w:t>
      </w:r>
      <w:r w:rsidR="006D521E" w:rsidRPr="00E13396">
        <w:rPr>
          <w:rFonts w:asciiTheme="minorHAnsi" w:eastAsia="Calibri" w:hAnsiTheme="minorHAnsi" w:cstheme="minorHAnsi"/>
          <w:i/>
        </w:rPr>
        <w:t xml:space="preserve"> studies</w:t>
      </w:r>
      <w:r w:rsidR="00AE0B43" w:rsidRPr="00E13396">
        <w:rPr>
          <w:rFonts w:asciiTheme="minorHAnsi" w:eastAsia="Calibri" w:hAnsiTheme="minorHAnsi" w:cstheme="minorHAnsi"/>
          <w:i/>
        </w:rPr>
        <w:t>, mortality was the most sensitive endpoint</w:t>
      </w:r>
      <w:r w:rsidR="00BE52A0" w:rsidRPr="00E13396">
        <w:rPr>
          <w:rFonts w:asciiTheme="minorHAnsi" w:eastAsia="Calibri" w:hAnsiTheme="minorHAnsi" w:cstheme="minorHAnsi"/>
          <w:i/>
        </w:rPr>
        <w:t xml:space="preserve"> </w:t>
      </w:r>
      <w:r w:rsidR="00AE0B43" w:rsidRPr="00E13396">
        <w:rPr>
          <w:rFonts w:asciiTheme="minorHAnsi" w:eastAsia="Calibri" w:hAnsiTheme="minorHAnsi" w:cstheme="minorHAnsi"/>
          <w:i/>
        </w:rPr>
        <w:t>(MRID</w:t>
      </w:r>
      <w:r w:rsidR="00FC588D" w:rsidRPr="00E13396">
        <w:rPr>
          <w:rFonts w:asciiTheme="minorHAnsi" w:eastAsia="Calibri" w:hAnsiTheme="minorHAnsi" w:cstheme="minorHAnsi"/>
          <w:i/>
        </w:rPr>
        <w:t xml:space="preserve"> </w:t>
      </w:r>
      <w:r w:rsidR="00AE0B43" w:rsidRPr="00E13396">
        <w:rPr>
          <w:rFonts w:asciiTheme="minorHAnsi" w:eastAsia="Calibri" w:hAnsiTheme="minorHAnsi" w:cstheme="minorHAnsi"/>
          <w:i/>
        </w:rPr>
        <w:t>49104802).</w:t>
      </w:r>
      <w:r w:rsidR="00904917" w:rsidRPr="00E13396">
        <w:rPr>
          <w:rFonts w:asciiTheme="minorHAnsi" w:eastAsia="Calibri" w:hAnsiTheme="minorHAnsi" w:cstheme="minorHAnsi"/>
          <w:i/>
        </w:rPr>
        <w:t xml:space="preserve"> In this dietary study with the House Sparrow, 0 birds died at the NOAEL (63 mg ai/kg-</w:t>
      </w:r>
      <w:proofErr w:type="spellStart"/>
      <w:r w:rsidR="00904917" w:rsidRPr="00E13396">
        <w:rPr>
          <w:rFonts w:asciiTheme="minorHAnsi" w:eastAsia="Calibri" w:hAnsiTheme="minorHAnsi" w:cstheme="minorHAnsi"/>
          <w:i/>
        </w:rPr>
        <w:t>bw</w:t>
      </w:r>
      <w:proofErr w:type="spellEnd"/>
      <w:r w:rsidR="00904917" w:rsidRPr="00E13396">
        <w:rPr>
          <w:rFonts w:asciiTheme="minorHAnsi" w:eastAsia="Calibri" w:hAnsiTheme="minorHAnsi" w:cstheme="minorHAnsi"/>
          <w:i/>
        </w:rPr>
        <w:t>) and 2 birds died at the LOAEL (125 mg/kg-</w:t>
      </w:r>
      <w:proofErr w:type="spellStart"/>
      <w:r w:rsidR="00904917" w:rsidRPr="00E13396">
        <w:rPr>
          <w:rFonts w:asciiTheme="minorHAnsi" w:eastAsia="Calibri" w:hAnsiTheme="minorHAnsi" w:cstheme="minorHAnsi"/>
          <w:i/>
        </w:rPr>
        <w:t>bw</w:t>
      </w:r>
      <w:proofErr w:type="spellEnd"/>
      <w:r w:rsidR="00904917" w:rsidRPr="00E13396">
        <w:rPr>
          <w:rFonts w:asciiTheme="minorHAnsi" w:eastAsia="Calibri" w:hAnsiTheme="minorHAnsi" w:cstheme="minorHAnsi"/>
          <w:i/>
        </w:rPr>
        <w:t>), thus the 200% increase in mortality.</w:t>
      </w:r>
      <w:r w:rsidR="00031A6B" w:rsidRPr="00E13396">
        <w:rPr>
          <w:rFonts w:asciiTheme="minorHAnsi" w:hAnsiTheme="minorHAnsi" w:cstheme="minorHAnsi"/>
          <w:i/>
        </w:rPr>
        <w:t xml:space="preserve"> </w:t>
      </w:r>
      <w:r w:rsidR="00031A6B" w:rsidRPr="00E13396">
        <w:rPr>
          <w:rFonts w:asciiTheme="minorHAnsi" w:eastAsia="Calibri" w:hAnsiTheme="minorHAnsi" w:cstheme="minorHAnsi"/>
          <w:i/>
        </w:rPr>
        <w:t>Mortality endpoints used in the analysis focused on the LD</w:t>
      </w:r>
      <w:r w:rsidR="00031A6B" w:rsidRPr="001F67CC">
        <w:rPr>
          <w:rFonts w:asciiTheme="minorHAnsi" w:eastAsia="Calibri" w:hAnsiTheme="minorHAnsi" w:cstheme="minorHAnsi"/>
          <w:i/>
          <w:vertAlign w:val="subscript"/>
        </w:rPr>
        <w:t>50</w:t>
      </w:r>
      <w:r w:rsidR="00031A6B" w:rsidRPr="00E13396">
        <w:rPr>
          <w:rFonts w:asciiTheme="minorHAnsi" w:eastAsia="Calibri" w:hAnsiTheme="minorHAnsi" w:cstheme="minorHAnsi"/>
          <w:i/>
        </w:rPr>
        <w:t xml:space="preserve"> whereas “sublethal” endpoints used the most sensitive endpoint overall, which could sometimes be associated with mortality or survival.</w:t>
      </w:r>
    </w:p>
    <w:p w14:paraId="3B52EAE6" w14:textId="3D67846A" w:rsidR="003F4781" w:rsidRPr="001F67CC" w:rsidRDefault="003F4781" w:rsidP="005859DB">
      <w:pPr>
        <w:contextualSpacing/>
        <w:rPr>
          <w:rFonts w:asciiTheme="minorHAnsi" w:eastAsia="Calibri" w:hAnsiTheme="minorHAnsi" w:cstheme="minorHAnsi"/>
        </w:rPr>
      </w:pPr>
    </w:p>
    <w:p w14:paraId="770A58DC" w14:textId="5A88238B" w:rsidR="003F4781" w:rsidRPr="003F4781" w:rsidRDefault="003F4781" w:rsidP="005859DB">
      <w:pPr>
        <w:contextualSpacing/>
        <w:rPr>
          <w:rFonts w:ascii="Calibri" w:eastAsia="Calibri" w:hAnsi="Calibri" w:cs="Times New Roman"/>
        </w:rPr>
      </w:pPr>
      <w:r w:rsidRPr="001F67CC">
        <w:rPr>
          <w:rFonts w:asciiTheme="minorHAnsi" w:eastAsia="Calibri" w:hAnsiTheme="minorHAnsi" w:cstheme="minorHAnsi"/>
          <w:b/>
        </w:rPr>
        <w:t>Comment: Chapter 2</w:t>
      </w:r>
      <w:r w:rsidRPr="001F67CC">
        <w:rPr>
          <w:rFonts w:asciiTheme="minorHAnsi" w:eastAsia="Calibri" w:hAnsiTheme="minorHAnsi" w:cstheme="minorHAnsi"/>
        </w:rPr>
        <w:t xml:space="preserve"> – </w:t>
      </w:r>
      <w:r w:rsidRPr="001F67CC">
        <w:rPr>
          <w:rFonts w:asciiTheme="minorHAnsi" w:eastAsia="Calibri" w:hAnsiTheme="minorHAnsi" w:cstheme="minorHAnsi"/>
          <w:b/>
        </w:rPr>
        <w:t>Section 4.6</w:t>
      </w:r>
      <w:r w:rsidRPr="001F67CC">
        <w:rPr>
          <w:rFonts w:asciiTheme="minorHAnsi" w:eastAsia="Calibri" w:hAnsiTheme="minorHAnsi" w:cstheme="minorHAnsi"/>
        </w:rPr>
        <w:t xml:space="preserve"> -Page 2-18 – This section is focused on Potential effects to aquatic vertebrates at the community-level using the Mile</w:t>
      </w:r>
      <w:r w:rsidR="004F4FA6" w:rsidRPr="001F67CC">
        <w:rPr>
          <w:rFonts w:asciiTheme="minorHAnsi" w:eastAsia="Calibri" w:hAnsiTheme="minorHAnsi" w:cstheme="minorHAnsi"/>
        </w:rPr>
        <w:t>s</w:t>
      </w:r>
      <w:r w:rsidRPr="001F67CC">
        <w:rPr>
          <w:rFonts w:asciiTheme="minorHAnsi" w:eastAsia="Calibri" w:hAnsiTheme="minorHAnsi" w:cstheme="minorHAnsi"/>
        </w:rPr>
        <w:t xml:space="preserve"> </w:t>
      </w:r>
      <w:r w:rsidRPr="001F67CC">
        <w:rPr>
          <w:rFonts w:asciiTheme="minorHAnsi" w:eastAsia="Calibri" w:hAnsiTheme="minorHAnsi" w:cstheme="minorHAnsi"/>
          <w:i/>
        </w:rPr>
        <w:t>et al.</w:t>
      </w:r>
      <w:r w:rsidRPr="001F67CC">
        <w:rPr>
          <w:rFonts w:asciiTheme="minorHAnsi" w:eastAsia="Calibri" w:hAnsiTheme="minorHAnsi" w:cstheme="minorHAnsi"/>
        </w:rPr>
        <w:t xml:space="preserve"> (2017) and Robinson </w:t>
      </w:r>
      <w:r w:rsidRPr="001F67CC">
        <w:rPr>
          <w:rFonts w:asciiTheme="minorHAnsi" w:eastAsia="Calibri" w:hAnsiTheme="minorHAnsi" w:cstheme="minorHAnsi"/>
          <w:i/>
        </w:rPr>
        <w:t>et al.</w:t>
      </w:r>
      <w:r w:rsidRPr="001F67CC">
        <w:rPr>
          <w:rFonts w:asciiTheme="minorHAnsi" w:eastAsia="Calibri" w:hAnsiTheme="minorHAnsi" w:cstheme="minorHAnsi"/>
        </w:rPr>
        <w:t xml:space="preserve"> (2019) mesocosm studies. The last sentence in this section appears to be incorrectly stated “Therefore, based on data for aquatic -phase amphibians, there may be indirect effects to aquatic vertebrate predators from clothianidin exposure”. In fact, the</w:t>
      </w:r>
      <w:r w:rsidRPr="003F4781">
        <w:rPr>
          <w:rFonts w:ascii="Calibri" w:eastAsia="Calibri" w:hAnsi="Calibri" w:cs="Times New Roman"/>
        </w:rPr>
        <w:t xml:space="preserve"> two mesocosm studies demonstrated no adverse effects to aquatic-phase amphibians. Rather, the authors findings indicated that direct effects to aquatic invertebrate predators (i.e., water bugs, backswimmer, dragonfly larvae, and crayfish) caused an increase in frog tadpole survival (~10% increase) due to a reduction in predation. Therefore, the final sentence should read “Therefore, based on the available mesocosm data, clothianidin exposure may result in direct effects to aquatic predatory invertebrates and no effects or beneficial effects to aquatic-phase amphibians due to a reduction in predation.” Ideally other lines of evidence could be used to support or refute these findings. For example, 1) using laboratory studies for aquatic invertebrate predators to demonstrate toxicity at similar thresholds to the measured mesocosm water EECs; and 2) using monitoring data to evaluate the range of concentrations in the mesocosm studies that resulted the adverse effects to aquatic invertebrate predators.</w:t>
      </w:r>
    </w:p>
    <w:p w14:paraId="62FFF1EC" w14:textId="77777777" w:rsidR="003F4781" w:rsidRPr="003F4781" w:rsidRDefault="003F4781" w:rsidP="005859DB">
      <w:pPr>
        <w:contextualSpacing/>
        <w:rPr>
          <w:rFonts w:ascii="Calibri" w:eastAsia="Calibri" w:hAnsi="Calibri" w:cs="Times New Roman"/>
        </w:rPr>
      </w:pPr>
    </w:p>
    <w:p w14:paraId="0FF0CA45" w14:textId="34BF0F75" w:rsidR="003F4781" w:rsidRPr="003F4781" w:rsidRDefault="0051130F" w:rsidP="005859DB">
      <w:pPr>
        <w:contextualSpacing/>
        <w:rPr>
          <w:rFonts w:ascii="Calibri" w:eastAsia="Calibri" w:hAnsi="Calibri" w:cs="Times New Roman"/>
          <w:b/>
        </w:rPr>
      </w:pPr>
      <w:r>
        <w:rPr>
          <w:rFonts w:ascii="Calibri" w:eastAsia="Calibri" w:hAnsi="Calibri" w:cs="Times New Roman"/>
          <w:b/>
        </w:rPr>
        <w:t xml:space="preserve">EPA </w:t>
      </w:r>
      <w:r w:rsidR="003F4781" w:rsidRPr="003F4781">
        <w:rPr>
          <w:rFonts w:ascii="Calibri" w:eastAsia="Calibri" w:hAnsi="Calibri" w:cs="Times New Roman"/>
          <w:b/>
        </w:rPr>
        <w:t>Response:</w:t>
      </w:r>
      <w:r w:rsidR="00AE0B43">
        <w:rPr>
          <w:rFonts w:ascii="Calibri" w:eastAsia="Calibri" w:hAnsi="Calibri" w:cs="Times New Roman"/>
          <w:b/>
        </w:rPr>
        <w:t xml:space="preserve"> </w:t>
      </w:r>
      <w:r w:rsidR="00AE0B43" w:rsidRPr="0051130F">
        <w:rPr>
          <w:rFonts w:ascii="Calibri" w:eastAsia="Calibri" w:hAnsi="Calibri" w:cs="Times New Roman"/>
          <w:i/>
        </w:rPr>
        <w:t>E</w:t>
      </w:r>
      <w:r w:rsidR="00906D6A">
        <w:rPr>
          <w:rFonts w:ascii="Calibri" w:eastAsia="Calibri" w:hAnsi="Calibri" w:cs="Times New Roman"/>
          <w:i/>
        </w:rPr>
        <w:t>PA</w:t>
      </w:r>
      <w:r w:rsidR="00AE0B43" w:rsidRPr="0051130F">
        <w:rPr>
          <w:rFonts w:ascii="Calibri" w:eastAsia="Calibri" w:hAnsi="Calibri" w:cs="Times New Roman"/>
          <w:i/>
        </w:rPr>
        <w:t xml:space="preserve"> </w:t>
      </w:r>
      <w:r w:rsidR="00FC588D">
        <w:rPr>
          <w:rFonts w:ascii="Calibri" w:eastAsia="Calibri" w:hAnsi="Calibri" w:cs="Times New Roman"/>
          <w:i/>
        </w:rPr>
        <w:t>appreciate</w:t>
      </w:r>
      <w:r w:rsidR="00AE0B43" w:rsidRPr="0051130F">
        <w:rPr>
          <w:rFonts w:ascii="Calibri" w:eastAsia="Calibri" w:hAnsi="Calibri" w:cs="Times New Roman"/>
          <w:i/>
        </w:rPr>
        <w:t xml:space="preserve">s the commenter bringing this typographical error to our attention. Indeed, the concluding sentence here should </w:t>
      </w:r>
      <w:r w:rsidR="001F67CC">
        <w:rPr>
          <w:rFonts w:ascii="Calibri" w:eastAsia="Calibri" w:hAnsi="Calibri" w:cs="Times New Roman"/>
          <w:i/>
        </w:rPr>
        <w:t xml:space="preserve">have </w:t>
      </w:r>
      <w:r w:rsidR="00AE0B43" w:rsidRPr="0051130F">
        <w:rPr>
          <w:rFonts w:ascii="Calibri" w:eastAsia="Calibri" w:hAnsi="Calibri" w:cs="Times New Roman"/>
          <w:i/>
        </w:rPr>
        <w:t xml:space="preserve">read, “Therefore, the available </w:t>
      </w:r>
      <w:r w:rsidR="00291689" w:rsidRPr="0051130F">
        <w:rPr>
          <w:rFonts w:ascii="Calibri" w:eastAsia="Calibri" w:hAnsi="Calibri" w:cs="Times New Roman"/>
          <w:i/>
        </w:rPr>
        <w:t xml:space="preserve">aquatic-phase amphibian </w:t>
      </w:r>
      <w:r w:rsidR="00AE0B43" w:rsidRPr="0051130F">
        <w:rPr>
          <w:rFonts w:ascii="Calibri" w:eastAsia="Calibri" w:hAnsi="Calibri" w:cs="Times New Roman"/>
          <w:i/>
        </w:rPr>
        <w:t xml:space="preserve">community-level toxicity data suggest no effects on aquatic-phase amphibians at the community level with certain clothianidin TEPs at nominal </w:t>
      </w:r>
      <w:r w:rsidR="00291689">
        <w:rPr>
          <w:rFonts w:ascii="Calibri" w:eastAsia="Calibri" w:hAnsi="Calibri" w:cs="Times New Roman"/>
          <w:i/>
        </w:rPr>
        <w:t xml:space="preserve">tested </w:t>
      </w:r>
      <w:r w:rsidR="00AE0B43" w:rsidRPr="0051130F">
        <w:rPr>
          <w:rFonts w:ascii="Calibri" w:eastAsia="Calibri" w:hAnsi="Calibri" w:cs="Times New Roman"/>
          <w:i/>
        </w:rPr>
        <w:t>concentrations (</w:t>
      </w:r>
      <w:r w:rsidR="00AE0B43" w:rsidRPr="0051130F">
        <w:rPr>
          <w:rFonts w:ascii="Calibri" w:eastAsia="Calibri" w:hAnsi="Calibri" w:cs="Calibri"/>
          <w:i/>
        </w:rPr>
        <w:t>≥</w:t>
      </w:r>
      <w:r w:rsidR="00AE0B43" w:rsidRPr="0051130F">
        <w:rPr>
          <w:rFonts w:ascii="Calibri" w:eastAsia="Calibri" w:hAnsi="Calibri" w:cs="Times New Roman"/>
          <w:i/>
        </w:rPr>
        <w:t xml:space="preserve">352 </w:t>
      </w:r>
      <w:r w:rsidR="00AE0B43" w:rsidRPr="0051130F">
        <w:rPr>
          <w:rFonts w:ascii="Calibri" w:eastAsia="Calibri" w:hAnsi="Calibri" w:cs="Calibri"/>
          <w:i/>
        </w:rPr>
        <w:t>µ</w:t>
      </w:r>
      <w:r w:rsidR="00AE0B43" w:rsidRPr="0051130F">
        <w:rPr>
          <w:rFonts w:ascii="Calibri" w:eastAsia="Calibri" w:hAnsi="Calibri" w:cs="Times New Roman"/>
          <w:i/>
        </w:rPr>
        <w:t>g/L).”</w:t>
      </w:r>
      <w:r w:rsidR="00291689">
        <w:rPr>
          <w:rFonts w:ascii="Calibri" w:eastAsia="Calibri" w:hAnsi="Calibri" w:cs="Times New Roman"/>
          <w:i/>
        </w:rPr>
        <w:t xml:space="preserve"> This </w:t>
      </w:r>
      <w:r w:rsidR="001F67CC">
        <w:rPr>
          <w:rFonts w:ascii="Calibri" w:eastAsia="Calibri" w:hAnsi="Calibri" w:cs="Times New Roman"/>
          <w:i/>
        </w:rPr>
        <w:t>potential</w:t>
      </w:r>
      <w:r w:rsidR="00291689">
        <w:rPr>
          <w:rFonts w:ascii="Calibri" w:eastAsia="Calibri" w:hAnsi="Calibri" w:cs="Times New Roman"/>
          <w:i/>
        </w:rPr>
        <w:t xml:space="preserve"> revision </w:t>
      </w:r>
      <w:r w:rsidR="00591AA8">
        <w:rPr>
          <w:rFonts w:ascii="Calibri" w:eastAsia="Calibri" w:hAnsi="Calibri" w:cs="Times New Roman"/>
          <w:i/>
        </w:rPr>
        <w:t xml:space="preserve">did </w:t>
      </w:r>
      <w:r w:rsidR="00291689">
        <w:rPr>
          <w:rFonts w:ascii="Calibri" w:eastAsia="Calibri" w:hAnsi="Calibri" w:cs="Times New Roman"/>
          <w:i/>
        </w:rPr>
        <w:t>not have an impact on the effects determinations.</w:t>
      </w:r>
    </w:p>
    <w:p w14:paraId="6093DAFB" w14:textId="38F869E1" w:rsidR="003F4781" w:rsidRPr="003F4781" w:rsidRDefault="003F4781" w:rsidP="005859DB">
      <w:pPr>
        <w:contextualSpacing/>
        <w:rPr>
          <w:rFonts w:ascii="Calibri" w:eastAsia="Calibri" w:hAnsi="Calibri" w:cs="Times New Roman"/>
        </w:rPr>
      </w:pPr>
    </w:p>
    <w:p w14:paraId="2344B9E2" w14:textId="1A564C4D"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 xml:space="preserve">Comment: </w:t>
      </w:r>
      <w:r w:rsidRPr="002F6C95">
        <w:rPr>
          <w:rFonts w:ascii="Calibri" w:eastAsia="Calibri" w:hAnsi="Calibri" w:cs="Times New Roman"/>
          <w:b/>
          <w:bCs/>
        </w:rPr>
        <w:t>Chapter 2</w:t>
      </w:r>
      <w:r w:rsidRPr="003F4781">
        <w:rPr>
          <w:rFonts w:ascii="Calibri" w:eastAsia="Calibri" w:hAnsi="Calibri" w:cs="Times New Roman"/>
        </w:rPr>
        <w:t xml:space="preserve"> – </w:t>
      </w:r>
      <w:r w:rsidRPr="002F6C95">
        <w:rPr>
          <w:rFonts w:ascii="Calibri" w:eastAsia="Calibri" w:hAnsi="Calibri" w:cs="Times New Roman"/>
          <w:b/>
          <w:bCs/>
        </w:rPr>
        <w:t>Section 13.2</w:t>
      </w:r>
      <w:r w:rsidRPr="003F4781">
        <w:rPr>
          <w:rFonts w:ascii="Calibri" w:eastAsia="Calibri" w:hAnsi="Calibri" w:cs="Times New Roman"/>
        </w:rPr>
        <w:t xml:space="preserve"> – Aquatic Incidents – EPA reported one aquatic incident from a drench application in a residential yard in Florida, but no details were provided, and the incident certainty was labelled “possible” due to the confounding presence of other pesticides. There are several </w:t>
      </w:r>
      <w:r w:rsidRPr="003F4781">
        <w:rPr>
          <w:rFonts w:ascii="Calibri" w:eastAsia="Calibri" w:hAnsi="Calibri" w:cs="Times New Roman"/>
        </w:rPr>
        <w:lastRenderedPageBreak/>
        <w:t xml:space="preserve">lines of evidence that suggest that clothianidin did not cause the one reported incident. These are: 1. Incidents involving fish (in particular) are more commonly noted and reported for most pesticides due to their visibility; 2. laboratory studies conducted on numerous fish species indicate fish are tolerant of clothianidin (see draft BE </w:t>
      </w:r>
      <w:r w:rsidRPr="003A3BAD">
        <w:rPr>
          <w:rFonts w:ascii="Calibri" w:eastAsia="Calibri" w:hAnsi="Calibri" w:cs="Times New Roman"/>
          <w:b/>
          <w:bCs/>
        </w:rPr>
        <w:t>Table 2-7</w:t>
      </w:r>
      <w:r w:rsidRPr="003F4781">
        <w:rPr>
          <w:rFonts w:ascii="Calibri" w:eastAsia="Calibri" w:hAnsi="Calibri" w:cs="Times New Roman"/>
        </w:rPr>
        <w:t xml:space="preserve">); 3. the reported incident was labelled “possible” and no details were provided. Therefore, the Agency should adjust draft BE </w:t>
      </w:r>
      <w:r w:rsidRPr="003A3BAD">
        <w:rPr>
          <w:rFonts w:ascii="Calibri" w:eastAsia="Calibri" w:hAnsi="Calibri" w:cs="Times New Roman"/>
          <w:b/>
          <w:bCs/>
        </w:rPr>
        <w:t>Table 2-24</w:t>
      </w:r>
      <w:r w:rsidRPr="003F4781">
        <w:rPr>
          <w:rFonts w:ascii="Calibri" w:eastAsia="Calibri" w:hAnsi="Calibri" w:cs="Times New Roman"/>
        </w:rPr>
        <w:t xml:space="preserve"> to indicate no aquatic incidents that directly implicate clothianidin were reported.</w:t>
      </w:r>
    </w:p>
    <w:p w14:paraId="1E9BDFC1" w14:textId="77777777" w:rsidR="003F4781" w:rsidRPr="003F4781" w:rsidRDefault="003F4781" w:rsidP="005859DB">
      <w:pPr>
        <w:contextualSpacing/>
        <w:rPr>
          <w:rFonts w:ascii="Calibri" w:eastAsia="Calibri" w:hAnsi="Calibri" w:cs="Times New Roman"/>
        </w:rPr>
      </w:pPr>
    </w:p>
    <w:p w14:paraId="2C1A2D44" w14:textId="3559E60D" w:rsidR="00AE0B43" w:rsidRPr="00606F5C" w:rsidRDefault="0051130F" w:rsidP="005859DB">
      <w:pPr>
        <w:contextualSpacing/>
        <w:rPr>
          <w:rFonts w:ascii="Calibri" w:eastAsia="Calibri" w:hAnsi="Calibri" w:cs="Times New Roman"/>
          <w:b/>
        </w:rPr>
      </w:pPr>
      <w:r>
        <w:rPr>
          <w:rFonts w:ascii="Calibri" w:eastAsia="Calibri" w:hAnsi="Calibri" w:cs="Times New Roman"/>
          <w:b/>
        </w:rPr>
        <w:t xml:space="preserve">EPA </w:t>
      </w:r>
      <w:r w:rsidR="00AE0B43" w:rsidRPr="00606F5C">
        <w:rPr>
          <w:rFonts w:ascii="Calibri" w:eastAsia="Calibri" w:hAnsi="Calibri" w:cs="Times New Roman"/>
          <w:b/>
        </w:rPr>
        <w:t>Response:</w:t>
      </w:r>
      <w:r w:rsidR="00AE0B43">
        <w:rPr>
          <w:rFonts w:ascii="Calibri" w:eastAsia="Calibri" w:hAnsi="Calibri" w:cs="Times New Roman"/>
          <w:b/>
        </w:rPr>
        <w:t xml:space="preserve"> </w:t>
      </w:r>
      <w:r w:rsidR="00AE0B43" w:rsidRPr="0051130F">
        <w:rPr>
          <w:rFonts w:ascii="Calibri" w:eastAsia="Calibri" w:hAnsi="Calibri" w:cs="Times New Roman"/>
          <w:i/>
        </w:rPr>
        <w:t xml:space="preserve">The Incident Reports section includes all ecological incidents involving clothianidin that are classified with certainty categories of possible, probable, or highly probable. No data other than details associated with the incident itself (toxicological/residue reports, record completeness, the presence/absence of other pesticides) are used to evaluate the likelihood of an incident in IDS. Therefore, </w:t>
      </w:r>
      <w:r w:rsidR="00A3535D">
        <w:rPr>
          <w:rFonts w:ascii="Calibri" w:eastAsia="Calibri" w:hAnsi="Calibri" w:cs="Times New Roman"/>
          <w:i/>
        </w:rPr>
        <w:t>this clothianidin incident retains its classification as “possible.”</w:t>
      </w:r>
      <w:r w:rsidR="00AE0B43" w:rsidRPr="0051130F">
        <w:rPr>
          <w:rFonts w:ascii="Calibri" w:eastAsia="Calibri" w:hAnsi="Calibri" w:cs="Times New Roman"/>
          <w:i/>
        </w:rPr>
        <w:t xml:space="preserve"> </w:t>
      </w:r>
    </w:p>
    <w:p w14:paraId="128100A0" w14:textId="6DE182A3" w:rsidR="003F4781" w:rsidRPr="003F4781" w:rsidRDefault="003F4781" w:rsidP="005859DB">
      <w:pPr>
        <w:contextualSpacing/>
        <w:rPr>
          <w:rFonts w:ascii="Calibri" w:eastAsia="Calibri" w:hAnsi="Calibri" w:cs="Times New Roman"/>
        </w:rPr>
      </w:pPr>
    </w:p>
    <w:p w14:paraId="7A01A581" w14:textId="7BB9F8B1" w:rsidR="003F4781" w:rsidRPr="003F4781" w:rsidRDefault="003F4781" w:rsidP="005859DB">
      <w:pPr>
        <w:contextualSpacing/>
        <w:rPr>
          <w:rFonts w:ascii="Calibri" w:eastAsia="Calibri" w:hAnsi="Calibri" w:cs="Times New Roman"/>
        </w:rPr>
      </w:pPr>
      <w:r w:rsidRPr="003F4781">
        <w:rPr>
          <w:rFonts w:ascii="Calibri" w:eastAsia="Calibri" w:hAnsi="Calibri" w:cs="Times New Roman"/>
          <w:b/>
        </w:rPr>
        <w:t xml:space="preserve">Comment: </w:t>
      </w:r>
      <w:r w:rsidRPr="003A3BAD">
        <w:rPr>
          <w:rFonts w:ascii="Calibri" w:eastAsia="Calibri" w:hAnsi="Calibri" w:cs="Times New Roman"/>
          <w:b/>
          <w:bCs/>
        </w:rPr>
        <w:t>Table 2-27</w:t>
      </w:r>
      <w:r w:rsidRPr="003F4781">
        <w:rPr>
          <w:rFonts w:ascii="Calibri" w:eastAsia="Calibri" w:hAnsi="Calibri" w:cs="Times New Roman"/>
        </w:rPr>
        <w:t xml:space="preserve"> – Page 2-53 the 99999 values in this table are presumably placeholders for endpoints that do not change in the alternative analysis “No change, non-definitive”. This should be better documented in a table footnote. The same issue was noted directly in the MAGtool which would benefit from additional clarity on the use of this value in special situations.</w:t>
      </w:r>
    </w:p>
    <w:p w14:paraId="2C374C96" w14:textId="77777777" w:rsidR="003F4781" w:rsidRPr="003F4781" w:rsidRDefault="003F4781" w:rsidP="005859DB">
      <w:pPr>
        <w:contextualSpacing/>
        <w:rPr>
          <w:rFonts w:ascii="Calibri" w:eastAsia="Calibri" w:hAnsi="Calibri" w:cs="Times New Roman"/>
        </w:rPr>
      </w:pPr>
    </w:p>
    <w:p w14:paraId="6081E0BF" w14:textId="20C0BD98" w:rsidR="003F4781" w:rsidRPr="0051130F" w:rsidRDefault="0051130F" w:rsidP="005859DB">
      <w:pPr>
        <w:contextualSpacing/>
        <w:rPr>
          <w:rFonts w:ascii="Calibri" w:eastAsia="Calibri" w:hAnsi="Calibri" w:cs="Times New Roman"/>
          <w:b/>
          <w:i/>
        </w:rPr>
      </w:pPr>
      <w:r>
        <w:rPr>
          <w:rFonts w:ascii="Calibri" w:eastAsia="Calibri" w:hAnsi="Calibri" w:cs="Times New Roman"/>
          <w:b/>
        </w:rPr>
        <w:t xml:space="preserve">EPA </w:t>
      </w:r>
      <w:r w:rsidR="003F4781" w:rsidRPr="003F4781">
        <w:rPr>
          <w:rFonts w:ascii="Calibri" w:eastAsia="Calibri" w:hAnsi="Calibri" w:cs="Times New Roman"/>
          <w:b/>
        </w:rPr>
        <w:t>Response:</w:t>
      </w:r>
      <w:r w:rsidR="00AE0B43">
        <w:rPr>
          <w:rFonts w:ascii="Calibri" w:eastAsia="Calibri" w:hAnsi="Calibri" w:cs="Times New Roman"/>
          <w:b/>
        </w:rPr>
        <w:t xml:space="preserve"> </w:t>
      </w:r>
      <w:r w:rsidR="00AE0B43" w:rsidRPr="0051130F">
        <w:rPr>
          <w:rFonts w:ascii="Calibri" w:eastAsia="Calibri" w:hAnsi="Calibri" w:cs="Times New Roman"/>
          <w:i/>
        </w:rPr>
        <w:t xml:space="preserve">The commenter is correct that the 99999 values are placeholders for non-definitive (&gt;) values or in situations where toxicity data </w:t>
      </w:r>
      <w:r w:rsidR="001F67CC">
        <w:rPr>
          <w:rFonts w:ascii="Calibri" w:eastAsia="Calibri" w:hAnsi="Calibri" w:cs="Times New Roman"/>
          <w:i/>
        </w:rPr>
        <w:t>are</w:t>
      </w:r>
      <w:r w:rsidR="00AE0B43" w:rsidRPr="0051130F">
        <w:rPr>
          <w:rFonts w:ascii="Calibri" w:eastAsia="Calibri" w:hAnsi="Calibri" w:cs="Times New Roman"/>
          <w:i/>
        </w:rPr>
        <w:t xml:space="preserve"> not available. A description of this placeholder has been provided above</w:t>
      </w:r>
      <w:r w:rsidR="00F0238C">
        <w:rPr>
          <w:rFonts w:ascii="Calibri" w:eastAsia="Calibri" w:hAnsi="Calibri" w:cs="Times New Roman"/>
          <w:i/>
        </w:rPr>
        <w:t xml:space="preserve"> in </w:t>
      </w:r>
      <w:r w:rsidR="00F0238C" w:rsidRPr="008A1296">
        <w:rPr>
          <w:rFonts w:ascii="Calibri" w:eastAsia="Calibri" w:hAnsi="Calibri" w:cs="Times New Roman"/>
          <w:b/>
          <w:bCs/>
          <w:i/>
        </w:rPr>
        <w:t xml:space="preserve">Section 2 </w:t>
      </w:r>
      <w:r w:rsidR="00F0238C">
        <w:rPr>
          <w:rFonts w:ascii="Calibri" w:eastAsia="Calibri" w:hAnsi="Calibri" w:cs="Times New Roman"/>
          <w:i/>
        </w:rPr>
        <w:t>of this document</w:t>
      </w:r>
      <w:r w:rsidR="00AE0B43" w:rsidRPr="0051130F">
        <w:rPr>
          <w:rFonts w:ascii="Calibri" w:eastAsia="Calibri" w:hAnsi="Calibri" w:cs="Times New Roman"/>
          <w:i/>
        </w:rPr>
        <w:t>.</w:t>
      </w:r>
    </w:p>
    <w:p w14:paraId="19FA6416" w14:textId="2424E637" w:rsidR="00E07052" w:rsidRDefault="00E07052" w:rsidP="005859DB">
      <w:pPr>
        <w:contextualSpacing/>
        <w:rPr>
          <w:rFonts w:asciiTheme="minorHAnsi" w:eastAsiaTheme="minorEastAsia" w:hAnsiTheme="minorHAnsi" w:cstheme="minorHAnsi"/>
          <w:b/>
          <w:color w:val="000000" w:themeColor="text1"/>
        </w:rPr>
      </w:pPr>
    </w:p>
    <w:p w14:paraId="61E0AD0C" w14:textId="3CACD449" w:rsidR="00B510E6" w:rsidRDefault="00B510E6" w:rsidP="005859DB">
      <w:pPr>
        <w:contextualSpacing/>
        <w:rPr>
          <w:rFonts w:ascii="Calibri" w:eastAsia="Calibri" w:hAnsi="Calibri" w:cs="Times New Roman"/>
        </w:rPr>
      </w:pPr>
      <w:r w:rsidRPr="00C15FA2">
        <w:rPr>
          <w:rFonts w:ascii="Calibri" w:eastAsia="Calibri" w:hAnsi="Calibri" w:cs="Times New Roman"/>
          <w:b/>
        </w:rPr>
        <w:t>Comment:</w:t>
      </w:r>
      <w:r w:rsidRPr="00C15FA2">
        <w:rPr>
          <w:rFonts w:ascii="Calibri" w:eastAsia="Calibri" w:hAnsi="Calibri" w:cs="Times New Roman"/>
        </w:rPr>
        <w:t xml:space="preserve"> The BE assessment endpoint for sublethal effects for freshwater invertebrates is a NOAEC of 0.05 ug/L based on</w:t>
      </w:r>
      <w:r w:rsidRPr="00F154DB">
        <w:rPr>
          <w:rFonts w:ascii="Calibri" w:eastAsia="Calibri" w:hAnsi="Calibri" w:cs="Times New Roman"/>
        </w:rPr>
        <w:t xml:space="preserve"> a 42% reduction in emergence in the study Cavallaro </w:t>
      </w:r>
      <w:r w:rsidRPr="008A1296">
        <w:rPr>
          <w:rFonts w:ascii="Calibri" w:eastAsia="Calibri" w:hAnsi="Calibri" w:cs="Times New Roman"/>
          <w:i/>
          <w:iCs/>
        </w:rPr>
        <w:t>et al</w:t>
      </w:r>
      <w:r w:rsidR="008A1296" w:rsidRPr="008A1296">
        <w:rPr>
          <w:rFonts w:ascii="Calibri" w:eastAsia="Calibri" w:hAnsi="Calibri" w:cs="Times New Roman"/>
          <w:i/>
          <w:iCs/>
        </w:rPr>
        <w:t>.</w:t>
      </w:r>
      <w:r w:rsidRPr="00F154DB">
        <w:rPr>
          <w:rFonts w:ascii="Calibri" w:eastAsia="Calibri" w:hAnsi="Calibri" w:cs="Times New Roman"/>
        </w:rPr>
        <w:t xml:space="preserve"> 2017 (E175184). </w:t>
      </w:r>
      <w:r>
        <w:rPr>
          <w:rFonts w:ascii="Calibri" w:eastAsia="Calibri" w:hAnsi="Calibri" w:cs="Times New Roman"/>
        </w:rPr>
        <w:t xml:space="preserve">This endpoint </w:t>
      </w:r>
      <w:r w:rsidRPr="0050254C">
        <w:rPr>
          <w:rFonts w:ascii="Calibri" w:eastAsia="Calibri" w:hAnsi="Calibri" w:cs="Times New Roman"/>
        </w:rPr>
        <w:t xml:space="preserve">does not meet basic scientific validity criteria for use in science-based risk management decisions because it is not repeatable by the same laboratory (Maloney </w:t>
      </w:r>
      <w:r w:rsidRPr="008A1296">
        <w:rPr>
          <w:rFonts w:ascii="Calibri" w:eastAsia="Calibri" w:hAnsi="Calibri" w:cs="Times New Roman"/>
          <w:i/>
          <w:iCs/>
        </w:rPr>
        <w:t>et al.</w:t>
      </w:r>
      <w:r w:rsidRPr="0050254C">
        <w:rPr>
          <w:rFonts w:ascii="Calibri" w:eastAsia="Calibri" w:hAnsi="Calibri" w:cs="Times New Roman"/>
        </w:rPr>
        <w:t xml:space="preserve"> 2018), cannot be independently validated (Raby </w:t>
      </w:r>
      <w:r w:rsidRPr="008A1296">
        <w:rPr>
          <w:rFonts w:ascii="Calibri" w:eastAsia="Calibri" w:hAnsi="Calibri" w:cs="Times New Roman"/>
          <w:i/>
          <w:iCs/>
        </w:rPr>
        <w:t>et al.</w:t>
      </w:r>
      <w:r w:rsidRPr="0050254C">
        <w:rPr>
          <w:rFonts w:ascii="Calibri" w:eastAsia="Calibri" w:hAnsi="Calibri" w:cs="Times New Roman"/>
        </w:rPr>
        <w:t xml:space="preserve"> 2018), and is not supported by higher tier studies (</w:t>
      </w:r>
      <w:proofErr w:type="spellStart"/>
      <w:r w:rsidRPr="0050254C">
        <w:rPr>
          <w:rFonts w:ascii="Calibri" w:eastAsia="Calibri" w:hAnsi="Calibri" w:cs="Times New Roman"/>
        </w:rPr>
        <w:t>Hartgers</w:t>
      </w:r>
      <w:proofErr w:type="spellEnd"/>
      <w:r w:rsidRPr="0050254C">
        <w:rPr>
          <w:rFonts w:ascii="Calibri" w:eastAsia="Calibri" w:hAnsi="Calibri" w:cs="Times New Roman"/>
        </w:rPr>
        <w:t xml:space="preserve"> and </w:t>
      </w:r>
      <w:proofErr w:type="spellStart"/>
      <w:r w:rsidRPr="0050254C">
        <w:rPr>
          <w:rFonts w:ascii="Calibri" w:eastAsia="Calibri" w:hAnsi="Calibri" w:cs="Times New Roman"/>
        </w:rPr>
        <w:t>Roessink</w:t>
      </w:r>
      <w:proofErr w:type="spellEnd"/>
      <w:r w:rsidRPr="0050254C">
        <w:rPr>
          <w:rFonts w:ascii="Calibri" w:eastAsia="Calibri" w:hAnsi="Calibri" w:cs="Times New Roman"/>
        </w:rPr>
        <w:t xml:space="preserve"> 2015).</w:t>
      </w:r>
      <w:r w:rsidRPr="00C34156">
        <w:t xml:space="preserve"> </w:t>
      </w:r>
      <w:r w:rsidRPr="00C34156">
        <w:rPr>
          <w:rFonts w:ascii="Calibri" w:eastAsia="Calibri" w:hAnsi="Calibri" w:cs="Times New Roman"/>
        </w:rPr>
        <w:t>In addition, the endpoint from the Cavallaro study is more than an order of magnitude lower than</w:t>
      </w:r>
      <w:r>
        <w:rPr>
          <w:rFonts w:ascii="Calibri" w:eastAsia="Calibri" w:hAnsi="Calibri" w:cs="Times New Roman"/>
        </w:rPr>
        <w:t xml:space="preserve"> </w:t>
      </w:r>
      <w:r w:rsidRPr="00C34156">
        <w:rPr>
          <w:rFonts w:ascii="Calibri" w:eastAsia="Calibri" w:hAnsi="Calibri" w:cs="Times New Roman"/>
        </w:rPr>
        <w:t>endpoints derived for the same effect (</w:t>
      </w:r>
      <w:r w:rsidRPr="008A1296">
        <w:rPr>
          <w:rFonts w:ascii="Calibri" w:eastAsia="Calibri" w:hAnsi="Calibri" w:cs="Times New Roman"/>
          <w:i/>
          <w:iCs/>
        </w:rPr>
        <w:t>i.e.,</w:t>
      </w:r>
      <w:r w:rsidRPr="00C34156">
        <w:rPr>
          <w:rFonts w:ascii="Calibri" w:eastAsia="Calibri" w:hAnsi="Calibri" w:cs="Times New Roman"/>
        </w:rPr>
        <w:t xml:space="preserve"> midge emergence) in four independent studies – perform</w:t>
      </w:r>
      <w:r>
        <w:rPr>
          <w:rFonts w:ascii="Calibri" w:eastAsia="Calibri" w:hAnsi="Calibri" w:cs="Times New Roman"/>
        </w:rPr>
        <w:t xml:space="preserve">ed </w:t>
      </w:r>
      <w:r w:rsidRPr="00C34156">
        <w:rPr>
          <w:rFonts w:ascii="Calibri" w:eastAsia="Calibri" w:hAnsi="Calibri" w:cs="Times New Roman"/>
        </w:rPr>
        <w:t xml:space="preserve">at two independent laboratories and one performed within the same </w:t>
      </w:r>
      <w:r>
        <w:rPr>
          <w:rFonts w:ascii="Calibri" w:eastAsia="Calibri" w:hAnsi="Calibri" w:cs="Times New Roman"/>
        </w:rPr>
        <w:t xml:space="preserve">laboratory – resulting in an </w:t>
      </w:r>
      <w:r w:rsidRPr="00C34156">
        <w:rPr>
          <w:rFonts w:ascii="Calibri" w:eastAsia="Calibri" w:hAnsi="Calibri" w:cs="Times New Roman"/>
        </w:rPr>
        <w:t>insupportably low NOEC value.</w:t>
      </w:r>
    </w:p>
    <w:p w14:paraId="035B8DBD" w14:textId="77777777" w:rsidR="00B510E6" w:rsidRDefault="00B510E6" w:rsidP="005859DB">
      <w:pPr>
        <w:contextualSpacing/>
        <w:rPr>
          <w:rFonts w:ascii="Calibri" w:eastAsia="Calibri" w:hAnsi="Calibri" w:cs="Times New Roman"/>
        </w:rPr>
      </w:pPr>
    </w:p>
    <w:p w14:paraId="6A59401C" w14:textId="77777777" w:rsidR="00B510E6" w:rsidRPr="00E04F35" w:rsidRDefault="00B510E6" w:rsidP="005859DB">
      <w:pPr>
        <w:contextualSpacing/>
        <w:rPr>
          <w:rFonts w:ascii="Calibri" w:eastAsia="Calibri" w:hAnsi="Calibri" w:cs="Times New Roman"/>
        </w:rPr>
      </w:pPr>
      <w:r w:rsidRPr="00E04F35">
        <w:rPr>
          <w:rFonts w:ascii="Calibri" w:eastAsia="Calibri" w:hAnsi="Calibri" w:cs="Times New Roman"/>
        </w:rPr>
        <w:t xml:space="preserve">In summary, we believe that the Cavallaro </w:t>
      </w:r>
      <w:r w:rsidRPr="008A1296">
        <w:rPr>
          <w:rFonts w:ascii="Calibri" w:eastAsia="Calibri" w:hAnsi="Calibri" w:cs="Times New Roman"/>
          <w:i/>
          <w:iCs/>
        </w:rPr>
        <w:t>et al.</w:t>
      </w:r>
      <w:r w:rsidRPr="00E04F35">
        <w:rPr>
          <w:rFonts w:ascii="Calibri" w:eastAsia="Calibri" w:hAnsi="Calibri" w:cs="Times New Roman"/>
        </w:rPr>
        <w:t xml:space="preserve"> 2017 study is not scientifically valid and not suitable</w:t>
      </w:r>
    </w:p>
    <w:p w14:paraId="7CFD51B4" w14:textId="77777777" w:rsidR="00B510E6" w:rsidRPr="00E04F35" w:rsidRDefault="00B510E6" w:rsidP="005859DB">
      <w:pPr>
        <w:contextualSpacing/>
        <w:rPr>
          <w:rFonts w:ascii="Calibri" w:eastAsia="Calibri" w:hAnsi="Calibri" w:cs="Times New Roman"/>
        </w:rPr>
      </w:pPr>
      <w:r w:rsidRPr="00E04F35">
        <w:rPr>
          <w:rFonts w:ascii="Calibri" w:eastAsia="Calibri" w:hAnsi="Calibri" w:cs="Times New Roman"/>
        </w:rPr>
        <w:t>endpoint for the aquatic invertebrate risk assessment for clothianidin. There is an extensive data</w:t>
      </w:r>
    </w:p>
    <w:p w14:paraId="1D3456EF" w14:textId="77777777" w:rsidR="00B510E6" w:rsidRPr="00E04F35" w:rsidRDefault="00B510E6" w:rsidP="005859DB">
      <w:pPr>
        <w:contextualSpacing/>
        <w:rPr>
          <w:rFonts w:ascii="Calibri" w:eastAsia="Calibri" w:hAnsi="Calibri" w:cs="Times New Roman"/>
        </w:rPr>
      </w:pPr>
      <w:r w:rsidRPr="00E04F35">
        <w:rPr>
          <w:rFonts w:ascii="Calibri" w:eastAsia="Calibri" w:hAnsi="Calibri" w:cs="Times New Roman"/>
        </w:rPr>
        <w:t>package on aquatic invertebrate species that is available for clothianidin, which has been summarized</w:t>
      </w:r>
    </w:p>
    <w:p w14:paraId="7BF7E211" w14:textId="77777777" w:rsidR="00B510E6" w:rsidRPr="00E04F35" w:rsidRDefault="00B510E6" w:rsidP="005859DB">
      <w:pPr>
        <w:contextualSpacing/>
        <w:rPr>
          <w:rFonts w:ascii="Calibri" w:eastAsia="Calibri" w:hAnsi="Calibri" w:cs="Times New Roman"/>
        </w:rPr>
      </w:pPr>
      <w:r w:rsidRPr="00E04F35">
        <w:rPr>
          <w:rFonts w:ascii="Calibri" w:eastAsia="Calibri" w:hAnsi="Calibri" w:cs="Times New Roman"/>
        </w:rPr>
        <w:t>and evaluated by both US EPA (US EPA, 2017) and more recently by the Canadian Pest Management</w:t>
      </w:r>
    </w:p>
    <w:p w14:paraId="6FA89ECF" w14:textId="7A0A1234" w:rsidR="00B510E6" w:rsidRDefault="00B510E6" w:rsidP="005859DB">
      <w:pPr>
        <w:contextualSpacing/>
        <w:rPr>
          <w:rFonts w:ascii="Calibri" w:eastAsia="Calibri" w:hAnsi="Calibri" w:cs="Times New Roman"/>
        </w:rPr>
      </w:pPr>
      <w:r w:rsidRPr="00E04F35">
        <w:rPr>
          <w:rFonts w:ascii="Calibri" w:eastAsia="Calibri" w:hAnsi="Calibri" w:cs="Times New Roman"/>
        </w:rPr>
        <w:t xml:space="preserve">Regulatory Authority (PMRA, 2021). </w:t>
      </w:r>
      <w:r w:rsidRPr="00283F9B">
        <w:rPr>
          <w:rFonts w:ascii="Calibri" w:eastAsia="Calibri" w:hAnsi="Calibri" w:cs="Times New Roman"/>
        </w:rPr>
        <w:t>We concur with the recent decision of the Pest Management Regulatory Agency (PMRA)</w:t>
      </w:r>
      <w:r>
        <w:rPr>
          <w:rFonts w:ascii="Calibri" w:eastAsia="Calibri" w:hAnsi="Calibri" w:cs="Times New Roman"/>
        </w:rPr>
        <w:t xml:space="preserve"> </w:t>
      </w:r>
      <w:r w:rsidRPr="00283F9B">
        <w:rPr>
          <w:rFonts w:ascii="Calibri" w:eastAsia="Calibri" w:hAnsi="Calibri" w:cs="Times New Roman"/>
        </w:rPr>
        <w:t>(PMRA, 2021 -SRD2021-03) to use the geomean of the EC</w:t>
      </w:r>
      <w:r w:rsidRPr="008A1296">
        <w:rPr>
          <w:rFonts w:ascii="Calibri" w:eastAsia="Calibri" w:hAnsi="Calibri" w:cs="Times New Roman"/>
          <w:vertAlign w:val="subscript"/>
        </w:rPr>
        <w:t>10</w:t>
      </w:r>
      <w:r w:rsidRPr="00283F9B">
        <w:rPr>
          <w:rFonts w:ascii="Calibri" w:eastAsia="Calibri" w:hAnsi="Calibri" w:cs="Times New Roman"/>
        </w:rPr>
        <w:t>/EC</w:t>
      </w:r>
      <w:r w:rsidRPr="008A1296">
        <w:rPr>
          <w:rFonts w:ascii="Calibri" w:eastAsia="Calibri" w:hAnsi="Calibri" w:cs="Times New Roman"/>
          <w:vertAlign w:val="subscript"/>
        </w:rPr>
        <w:t>20</w:t>
      </w:r>
      <w:r w:rsidRPr="00283F9B">
        <w:rPr>
          <w:rFonts w:ascii="Calibri" w:eastAsia="Calibri" w:hAnsi="Calibri" w:cs="Times New Roman"/>
        </w:rPr>
        <w:t xml:space="preserve"> for </w:t>
      </w:r>
      <w:r w:rsidRPr="008A1296">
        <w:rPr>
          <w:rFonts w:ascii="Calibri" w:eastAsia="Calibri" w:hAnsi="Calibri" w:cs="Times New Roman"/>
          <w:i/>
          <w:iCs/>
        </w:rPr>
        <w:t xml:space="preserve">C. </w:t>
      </w:r>
      <w:proofErr w:type="spellStart"/>
      <w:r w:rsidRPr="008A1296">
        <w:rPr>
          <w:rFonts w:ascii="Calibri" w:eastAsia="Calibri" w:hAnsi="Calibri" w:cs="Times New Roman"/>
          <w:i/>
          <w:iCs/>
        </w:rPr>
        <w:t>dilutus</w:t>
      </w:r>
      <w:proofErr w:type="spellEnd"/>
      <w:r w:rsidRPr="00283F9B">
        <w:rPr>
          <w:rFonts w:ascii="Calibri" w:eastAsia="Calibri" w:hAnsi="Calibri" w:cs="Times New Roman"/>
        </w:rPr>
        <w:t xml:space="preserve"> (n=3, Cavallaro </w:t>
      </w:r>
      <w:r w:rsidRPr="008A1296">
        <w:rPr>
          <w:rFonts w:ascii="Calibri" w:eastAsia="Calibri" w:hAnsi="Calibri" w:cs="Times New Roman"/>
          <w:i/>
          <w:iCs/>
        </w:rPr>
        <w:t>et al</w:t>
      </w:r>
      <w:r w:rsidRPr="00283F9B">
        <w:rPr>
          <w:rFonts w:ascii="Calibri" w:eastAsia="Calibri" w:hAnsi="Calibri" w:cs="Times New Roman"/>
        </w:rPr>
        <w:t xml:space="preserve">., 2017; Raby </w:t>
      </w:r>
      <w:r w:rsidRPr="008A1296">
        <w:rPr>
          <w:rFonts w:ascii="Calibri" w:eastAsia="Calibri" w:hAnsi="Calibri" w:cs="Times New Roman"/>
          <w:i/>
          <w:iCs/>
        </w:rPr>
        <w:t>et al</w:t>
      </w:r>
      <w:r w:rsidRPr="00283F9B">
        <w:rPr>
          <w:rFonts w:ascii="Calibri" w:eastAsia="Calibri" w:hAnsi="Calibri" w:cs="Times New Roman"/>
        </w:rPr>
        <w:t xml:space="preserve">., 2018a; Maloney </w:t>
      </w:r>
      <w:r w:rsidRPr="008A1296">
        <w:rPr>
          <w:rFonts w:ascii="Calibri" w:eastAsia="Calibri" w:hAnsi="Calibri" w:cs="Times New Roman"/>
          <w:i/>
          <w:iCs/>
        </w:rPr>
        <w:t>et al</w:t>
      </w:r>
      <w:r w:rsidRPr="00283F9B">
        <w:rPr>
          <w:rFonts w:ascii="Calibri" w:eastAsia="Calibri" w:hAnsi="Calibri" w:cs="Times New Roman"/>
        </w:rPr>
        <w:t>., 2018) of 0.12 ug/L for the most sensitive species, and a community level NOEC of 0.281 ug/L from the mesocosm study (</w:t>
      </w:r>
      <w:proofErr w:type="spellStart"/>
      <w:r w:rsidRPr="00283F9B">
        <w:rPr>
          <w:rFonts w:ascii="Calibri" w:eastAsia="Calibri" w:hAnsi="Calibri" w:cs="Times New Roman"/>
        </w:rPr>
        <w:t>Hartgers</w:t>
      </w:r>
      <w:proofErr w:type="spellEnd"/>
      <w:r w:rsidRPr="00283F9B">
        <w:rPr>
          <w:rFonts w:ascii="Calibri" w:eastAsia="Calibri" w:hAnsi="Calibri" w:cs="Times New Roman"/>
        </w:rPr>
        <w:t xml:space="preserve"> and </w:t>
      </w:r>
      <w:proofErr w:type="spellStart"/>
      <w:r w:rsidRPr="00283F9B">
        <w:rPr>
          <w:rFonts w:ascii="Calibri" w:eastAsia="Calibri" w:hAnsi="Calibri" w:cs="Times New Roman"/>
        </w:rPr>
        <w:t>Roessink</w:t>
      </w:r>
      <w:proofErr w:type="spellEnd"/>
      <w:r w:rsidRPr="00283F9B">
        <w:rPr>
          <w:rFonts w:ascii="Calibri" w:eastAsia="Calibri" w:hAnsi="Calibri" w:cs="Times New Roman"/>
        </w:rPr>
        <w:t>, 2015).</w:t>
      </w:r>
      <w:r>
        <w:rPr>
          <w:rFonts w:ascii="Calibri" w:eastAsia="Calibri" w:hAnsi="Calibri" w:cs="Times New Roman"/>
        </w:rPr>
        <w:t xml:space="preserve"> </w:t>
      </w:r>
      <w:r w:rsidRPr="00E04F35">
        <w:rPr>
          <w:rFonts w:ascii="Calibri" w:eastAsia="Calibri" w:hAnsi="Calibri" w:cs="Times New Roman"/>
        </w:rPr>
        <w:t xml:space="preserve">The </w:t>
      </w:r>
      <w:r>
        <w:rPr>
          <w:rFonts w:ascii="Calibri" w:eastAsia="Calibri" w:hAnsi="Calibri" w:cs="Times New Roman"/>
        </w:rPr>
        <w:t xml:space="preserve">mesocosm endpoint </w:t>
      </w:r>
      <w:r w:rsidRPr="00E04F35">
        <w:rPr>
          <w:rFonts w:ascii="Calibri" w:eastAsia="Calibri" w:hAnsi="Calibri" w:cs="Times New Roman"/>
        </w:rPr>
        <w:t>is</w:t>
      </w:r>
      <w:r>
        <w:rPr>
          <w:rFonts w:ascii="Calibri" w:eastAsia="Calibri" w:hAnsi="Calibri" w:cs="Times New Roman"/>
        </w:rPr>
        <w:t xml:space="preserve"> </w:t>
      </w:r>
      <w:r w:rsidRPr="00E04F35">
        <w:rPr>
          <w:rFonts w:ascii="Calibri" w:eastAsia="Calibri" w:hAnsi="Calibri" w:cs="Times New Roman"/>
        </w:rPr>
        <w:t>consi</w:t>
      </w:r>
      <w:r>
        <w:rPr>
          <w:rFonts w:ascii="Calibri" w:eastAsia="Calibri" w:hAnsi="Calibri" w:cs="Times New Roman"/>
        </w:rPr>
        <w:t xml:space="preserve">stent with other </w:t>
      </w:r>
      <w:r w:rsidRPr="00E04F35">
        <w:rPr>
          <w:rFonts w:ascii="Calibri" w:eastAsia="Calibri" w:hAnsi="Calibri" w:cs="Times New Roman"/>
        </w:rPr>
        <w:t>laboratory studies on the most</w:t>
      </w:r>
      <w:r>
        <w:rPr>
          <w:rFonts w:ascii="Calibri" w:eastAsia="Calibri" w:hAnsi="Calibri" w:cs="Times New Roman"/>
        </w:rPr>
        <w:t xml:space="preserve"> sensitive taxa (</w:t>
      </w:r>
      <w:r w:rsidRPr="00E6135D">
        <w:rPr>
          <w:rFonts w:ascii="Calibri" w:eastAsia="Calibri" w:hAnsi="Calibri" w:cs="Times New Roman"/>
          <w:i/>
          <w:iCs/>
        </w:rPr>
        <w:t>i.e</w:t>
      </w:r>
      <w:r>
        <w:rPr>
          <w:rFonts w:ascii="Calibri" w:eastAsia="Calibri" w:hAnsi="Calibri" w:cs="Times New Roman"/>
        </w:rPr>
        <w:t xml:space="preserve">., insects), and </w:t>
      </w:r>
      <w:r w:rsidRPr="00E04F35">
        <w:rPr>
          <w:rFonts w:ascii="Calibri" w:eastAsia="Calibri" w:hAnsi="Calibri" w:cs="Times New Roman"/>
        </w:rPr>
        <w:t>is</w:t>
      </w:r>
      <w:r>
        <w:rPr>
          <w:rFonts w:ascii="Calibri" w:eastAsia="Calibri" w:hAnsi="Calibri" w:cs="Times New Roman"/>
        </w:rPr>
        <w:t xml:space="preserve"> also</w:t>
      </w:r>
      <w:r w:rsidRPr="00E04F35">
        <w:rPr>
          <w:rFonts w:ascii="Calibri" w:eastAsia="Calibri" w:hAnsi="Calibri" w:cs="Times New Roman"/>
        </w:rPr>
        <w:t xml:space="preserve"> a more appropriate endpoint for aquatic invertebrate</w:t>
      </w:r>
      <w:r>
        <w:rPr>
          <w:rFonts w:ascii="Calibri" w:eastAsia="Calibri" w:hAnsi="Calibri" w:cs="Times New Roman"/>
        </w:rPr>
        <w:t xml:space="preserve"> </w:t>
      </w:r>
      <w:r w:rsidRPr="00E04F35">
        <w:rPr>
          <w:rFonts w:ascii="Calibri" w:eastAsia="Calibri" w:hAnsi="Calibri" w:cs="Times New Roman"/>
        </w:rPr>
        <w:t>risk assessments.</w:t>
      </w:r>
    </w:p>
    <w:p w14:paraId="32E1561F" w14:textId="77777777" w:rsidR="00B510E6" w:rsidRDefault="00B510E6" w:rsidP="005859DB">
      <w:pPr>
        <w:contextualSpacing/>
        <w:rPr>
          <w:rFonts w:ascii="Calibri" w:eastAsia="Calibri" w:hAnsi="Calibri" w:cs="Times New Roman"/>
        </w:rPr>
      </w:pPr>
    </w:p>
    <w:p w14:paraId="09B1C4E6" w14:textId="52446941" w:rsidR="00B510E6" w:rsidRPr="0051130F" w:rsidRDefault="0051130F" w:rsidP="005859DB">
      <w:pPr>
        <w:contextualSpacing/>
        <w:rPr>
          <w:rFonts w:ascii="Calibri" w:eastAsia="Calibri" w:hAnsi="Calibri" w:cs="Times New Roman"/>
          <w:i/>
        </w:rPr>
      </w:pPr>
      <w:r>
        <w:rPr>
          <w:rFonts w:ascii="Calibri" w:eastAsia="Calibri" w:hAnsi="Calibri" w:cs="Times New Roman"/>
          <w:b/>
        </w:rPr>
        <w:t xml:space="preserve">EPA </w:t>
      </w:r>
      <w:r w:rsidR="00B510E6" w:rsidRPr="0050254C">
        <w:rPr>
          <w:rFonts w:ascii="Calibri" w:eastAsia="Calibri" w:hAnsi="Calibri" w:cs="Times New Roman"/>
          <w:b/>
        </w:rPr>
        <w:t>Response:</w:t>
      </w:r>
      <w:r w:rsidR="00B510E6" w:rsidRPr="00EC2187">
        <w:t xml:space="preserve"> </w:t>
      </w:r>
      <w:r w:rsidR="00B510E6" w:rsidRPr="0051130F">
        <w:rPr>
          <w:rFonts w:ascii="Calibri" w:eastAsia="Calibri" w:hAnsi="Calibri" w:cs="Times New Roman"/>
          <w:i/>
        </w:rPr>
        <w:t>E</w:t>
      </w:r>
      <w:r w:rsidR="00595C03">
        <w:rPr>
          <w:rFonts w:ascii="Calibri" w:eastAsia="Calibri" w:hAnsi="Calibri" w:cs="Times New Roman"/>
          <w:i/>
        </w:rPr>
        <w:t>PA</w:t>
      </w:r>
      <w:r w:rsidR="00B510E6" w:rsidRPr="0051130F">
        <w:rPr>
          <w:rFonts w:ascii="Calibri" w:eastAsia="Calibri" w:hAnsi="Calibri" w:cs="Times New Roman"/>
          <w:i/>
        </w:rPr>
        <w:t xml:space="preserve"> revisited the study by Cavallaro </w:t>
      </w:r>
      <w:r w:rsidR="00B510E6" w:rsidRPr="00E6135D">
        <w:rPr>
          <w:rFonts w:ascii="Calibri" w:eastAsia="Calibri" w:hAnsi="Calibri" w:cs="Times New Roman"/>
          <w:iCs/>
        </w:rPr>
        <w:t>et al</w:t>
      </w:r>
      <w:r w:rsidR="00B510E6" w:rsidRPr="0051130F">
        <w:rPr>
          <w:rFonts w:ascii="Calibri" w:eastAsia="Calibri" w:hAnsi="Calibri" w:cs="Times New Roman"/>
          <w:i/>
        </w:rPr>
        <w:t>. 2017</w:t>
      </w:r>
      <w:r w:rsidR="00291689">
        <w:rPr>
          <w:rFonts w:ascii="Calibri" w:eastAsia="Calibri" w:hAnsi="Calibri" w:cs="Times New Roman"/>
          <w:i/>
        </w:rPr>
        <w:t xml:space="preserve"> (</w:t>
      </w:r>
      <w:r w:rsidR="00B510E6" w:rsidRPr="0051130F">
        <w:rPr>
          <w:rFonts w:ascii="Calibri" w:eastAsia="Calibri" w:hAnsi="Calibri" w:cs="Times New Roman"/>
          <w:i/>
        </w:rPr>
        <w:t>MRID 50344701) and stands by the previous review and interpretation of the results. E</w:t>
      </w:r>
      <w:r w:rsidR="008C5158">
        <w:rPr>
          <w:rFonts w:ascii="Calibri" w:eastAsia="Calibri" w:hAnsi="Calibri" w:cs="Times New Roman"/>
          <w:i/>
        </w:rPr>
        <w:t>PA</w:t>
      </w:r>
      <w:r w:rsidR="00B510E6" w:rsidRPr="0051130F">
        <w:rPr>
          <w:rFonts w:ascii="Calibri" w:eastAsia="Calibri" w:hAnsi="Calibri" w:cs="Times New Roman"/>
          <w:i/>
        </w:rPr>
        <w:t xml:space="preserve"> acknowledges that the NOAEC for emergence in the Cavallaro </w:t>
      </w:r>
      <w:r w:rsidR="00B510E6" w:rsidRPr="00232800">
        <w:rPr>
          <w:rFonts w:ascii="Calibri" w:eastAsia="Calibri" w:hAnsi="Calibri" w:cs="Times New Roman"/>
          <w:iCs/>
        </w:rPr>
        <w:t>et al.</w:t>
      </w:r>
      <w:r w:rsidR="00B510E6" w:rsidRPr="0051130F">
        <w:rPr>
          <w:rFonts w:ascii="Calibri" w:eastAsia="Calibri" w:hAnsi="Calibri" w:cs="Times New Roman"/>
          <w:i/>
        </w:rPr>
        <w:t xml:space="preserve"> study is lower than that found by Raby </w:t>
      </w:r>
      <w:r w:rsidR="00B510E6" w:rsidRPr="00D63617">
        <w:rPr>
          <w:rFonts w:ascii="Calibri" w:eastAsia="Calibri" w:hAnsi="Calibri" w:cs="Times New Roman"/>
          <w:iCs/>
        </w:rPr>
        <w:t>et al.</w:t>
      </w:r>
      <w:r w:rsidR="00B510E6" w:rsidRPr="0051130F">
        <w:rPr>
          <w:rFonts w:ascii="Calibri" w:eastAsia="Calibri" w:hAnsi="Calibri" w:cs="Times New Roman"/>
          <w:i/>
        </w:rPr>
        <w:t xml:space="preserve"> 2018</w:t>
      </w:r>
      <w:r w:rsidR="00291689">
        <w:rPr>
          <w:rFonts w:ascii="Calibri" w:eastAsia="Calibri" w:hAnsi="Calibri" w:cs="Times New Roman"/>
          <w:i/>
        </w:rPr>
        <w:t xml:space="preserve"> (</w:t>
      </w:r>
      <w:r w:rsidR="00B510E6" w:rsidRPr="0051130F">
        <w:rPr>
          <w:rFonts w:ascii="Calibri" w:eastAsia="Calibri" w:hAnsi="Calibri" w:cs="Times New Roman"/>
          <w:i/>
        </w:rPr>
        <w:t>MRID 50776201). However, a</w:t>
      </w:r>
      <w:r w:rsidR="00D90E0A">
        <w:rPr>
          <w:rFonts w:ascii="Calibri" w:eastAsia="Calibri" w:hAnsi="Calibri" w:cs="Times New Roman"/>
          <w:i/>
        </w:rPr>
        <w:t xml:space="preserve"> </w:t>
      </w:r>
      <w:r w:rsidR="00B510E6" w:rsidRPr="0051130F">
        <w:rPr>
          <w:rFonts w:ascii="Calibri" w:eastAsia="Calibri" w:hAnsi="Calibri" w:cs="Times New Roman"/>
          <w:i/>
        </w:rPr>
        <w:t xml:space="preserve">more sensitive endpoint, average adult lifespan, was observed in </w:t>
      </w:r>
      <w:r w:rsidR="004F0809">
        <w:rPr>
          <w:rFonts w:ascii="Calibri" w:eastAsia="Calibri" w:hAnsi="Calibri" w:cs="Times New Roman"/>
          <w:i/>
        </w:rPr>
        <w:t xml:space="preserve">Raby </w:t>
      </w:r>
      <w:r w:rsidR="004F0809" w:rsidRPr="007A2A32">
        <w:rPr>
          <w:rFonts w:ascii="Calibri" w:eastAsia="Calibri" w:hAnsi="Calibri" w:cs="Times New Roman"/>
        </w:rPr>
        <w:t>et al.</w:t>
      </w:r>
      <w:r w:rsidR="00984473">
        <w:rPr>
          <w:rFonts w:ascii="Calibri" w:eastAsia="Calibri" w:hAnsi="Calibri" w:cs="Times New Roman"/>
          <w:i/>
        </w:rPr>
        <w:t xml:space="preserve"> 2018</w:t>
      </w:r>
      <w:r w:rsidR="00B510E6" w:rsidRPr="0051130F">
        <w:rPr>
          <w:rFonts w:ascii="Calibri" w:eastAsia="Calibri" w:hAnsi="Calibri" w:cs="Times New Roman"/>
          <w:i/>
        </w:rPr>
        <w:t xml:space="preserve">. This and other points </w:t>
      </w:r>
      <w:r w:rsidR="00B510E6" w:rsidRPr="0051130F">
        <w:rPr>
          <w:rFonts w:ascii="Calibri" w:eastAsia="Calibri" w:hAnsi="Calibri" w:cs="Times New Roman"/>
          <w:i/>
        </w:rPr>
        <w:lastRenderedPageBreak/>
        <w:t>were summarized in the clothianidin Response to Comments on the Registration Review Preliminary Pollinator and Preliminary Non-pollinator Risk Assessments (DP 447634, 1/8/2020).</w:t>
      </w:r>
    </w:p>
    <w:p w14:paraId="03DB52AC" w14:textId="77777777" w:rsidR="00B510E6" w:rsidRPr="0051130F" w:rsidRDefault="00B510E6" w:rsidP="005859DB">
      <w:pPr>
        <w:contextualSpacing/>
        <w:rPr>
          <w:rFonts w:ascii="Calibri" w:eastAsia="Calibri" w:hAnsi="Calibri" w:cs="Times New Roman"/>
          <w:i/>
        </w:rPr>
      </w:pPr>
    </w:p>
    <w:p w14:paraId="0FFF3CEC" w14:textId="1C15DB61" w:rsidR="00B510E6" w:rsidRPr="0051130F" w:rsidRDefault="00B510E6" w:rsidP="005859DB">
      <w:pPr>
        <w:contextualSpacing/>
        <w:rPr>
          <w:rFonts w:ascii="Calibri" w:eastAsia="Calibri" w:hAnsi="Calibri" w:cs="Times New Roman"/>
          <w:i/>
        </w:rPr>
      </w:pPr>
      <w:r w:rsidRPr="0051130F">
        <w:rPr>
          <w:rFonts w:ascii="Calibri" w:eastAsia="Calibri" w:hAnsi="Calibri" w:cs="Times New Roman"/>
          <w:i/>
        </w:rPr>
        <w:t>The results of the Cavallaro</w:t>
      </w:r>
      <w:r w:rsidR="00291689">
        <w:rPr>
          <w:rFonts w:ascii="Calibri" w:eastAsia="Calibri" w:hAnsi="Calibri" w:cs="Times New Roman"/>
          <w:i/>
        </w:rPr>
        <w:t xml:space="preserve"> </w:t>
      </w:r>
      <w:r w:rsidR="00291689" w:rsidRPr="00D90E0A">
        <w:rPr>
          <w:rFonts w:ascii="Calibri" w:eastAsia="Calibri" w:hAnsi="Calibri" w:cs="Times New Roman"/>
          <w:iCs/>
        </w:rPr>
        <w:t>et al.</w:t>
      </w:r>
      <w:r w:rsidRPr="0051130F">
        <w:rPr>
          <w:rFonts w:ascii="Calibri" w:eastAsia="Calibri" w:hAnsi="Calibri" w:cs="Times New Roman"/>
          <w:i/>
        </w:rPr>
        <w:t xml:space="preserve"> and Raby </w:t>
      </w:r>
      <w:r w:rsidR="00291689" w:rsidRPr="00D90E0A">
        <w:rPr>
          <w:rFonts w:ascii="Calibri" w:eastAsia="Calibri" w:hAnsi="Calibri" w:cs="Times New Roman"/>
          <w:iCs/>
        </w:rPr>
        <w:t>et al.</w:t>
      </w:r>
      <w:r w:rsidR="00291689">
        <w:rPr>
          <w:rFonts w:ascii="Calibri" w:eastAsia="Calibri" w:hAnsi="Calibri" w:cs="Times New Roman"/>
          <w:i/>
        </w:rPr>
        <w:t xml:space="preserve"> </w:t>
      </w:r>
      <w:r w:rsidRPr="0051130F">
        <w:rPr>
          <w:rFonts w:ascii="Calibri" w:eastAsia="Calibri" w:hAnsi="Calibri" w:cs="Times New Roman"/>
          <w:i/>
        </w:rPr>
        <w:t xml:space="preserve">studies are relatively similar given that experimental variability is expected, especially with non-identical experimental conditions and design. There is concordance of the two studies in terms of the level of emergence at higher test concentrations and greater divergence at lower concentrations. Despite the Raby </w:t>
      </w:r>
      <w:r w:rsidRPr="00D90E0A">
        <w:rPr>
          <w:rFonts w:ascii="Calibri" w:eastAsia="Calibri" w:hAnsi="Calibri" w:cs="Times New Roman"/>
          <w:iCs/>
        </w:rPr>
        <w:t>et al.</w:t>
      </w:r>
      <w:r w:rsidRPr="0051130F">
        <w:rPr>
          <w:rFonts w:ascii="Calibri" w:eastAsia="Calibri" w:hAnsi="Calibri" w:cs="Times New Roman"/>
          <w:i/>
        </w:rPr>
        <w:t xml:space="preserve"> study having greater replication than the Cavallaro </w:t>
      </w:r>
      <w:r w:rsidRPr="00D90E0A">
        <w:rPr>
          <w:rFonts w:ascii="Calibri" w:eastAsia="Calibri" w:hAnsi="Calibri" w:cs="Times New Roman"/>
          <w:iCs/>
        </w:rPr>
        <w:t>et al.</w:t>
      </w:r>
      <w:r w:rsidRPr="0051130F">
        <w:rPr>
          <w:rFonts w:ascii="Calibri" w:eastAsia="Calibri" w:hAnsi="Calibri" w:cs="Times New Roman"/>
          <w:i/>
        </w:rPr>
        <w:t xml:space="preserve"> study for measurements of emergence, results were more variable in the Raby </w:t>
      </w:r>
      <w:r w:rsidRPr="00D90E0A">
        <w:rPr>
          <w:rFonts w:ascii="Calibri" w:eastAsia="Calibri" w:hAnsi="Calibri" w:cs="Times New Roman"/>
          <w:iCs/>
        </w:rPr>
        <w:t>et al.</w:t>
      </w:r>
      <w:r w:rsidRPr="0051130F">
        <w:rPr>
          <w:rFonts w:ascii="Calibri" w:eastAsia="Calibri" w:hAnsi="Calibri" w:cs="Times New Roman"/>
          <w:i/>
        </w:rPr>
        <w:t xml:space="preserve"> study at concentrations below those showing 0% to 3% emergence (</w:t>
      </w:r>
      <w:r w:rsidRPr="00D90E0A">
        <w:rPr>
          <w:rFonts w:ascii="Calibri" w:eastAsia="Calibri" w:hAnsi="Calibri" w:cs="Times New Roman"/>
          <w:iCs/>
        </w:rPr>
        <w:t>i.e.,</w:t>
      </w:r>
      <w:r w:rsidRPr="0051130F">
        <w:rPr>
          <w:rFonts w:ascii="Calibri" w:eastAsia="Calibri" w:hAnsi="Calibri" w:cs="Times New Roman"/>
          <w:i/>
        </w:rPr>
        <w:t xml:space="preserve"> 0.63 μg a.i./L and lower). Further, the control performance in the Cavallaro </w:t>
      </w:r>
      <w:r w:rsidR="00291689" w:rsidRPr="00D90E0A">
        <w:rPr>
          <w:rFonts w:ascii="Calibri" w:eastAsia="Calibri" w:hAnsi="Calibri" w:cs="Times New Roman"/>
          <w:iCs/>
        </w:rPr>
        <w:t>et al.</w:t>
      </w:r>
      <w:r w:rsidR="00291689">
        <w:rPr>
          <w:rFonts w:ascii="Calibri" w:eastAsia="Calibri" w:hAnsi="Calibri" w:cs="Times New Roman"/>
          <w:i/>
        </w:rPr>
        <w:t xml:space="preserve"> </w:t>
      </w:r>
      <w:r w:rsidRPr="0051130F">
        <w:rPr>
          <w:rFonts w:ascii="Calibri" w:eastAsia="Calibri" w:hAnsi="Calibri" w:cs="Times New Roman"/>
          <w:i/>
        </w:rPr>
        <w:t>study was better than that in the Raby</w:t>
      </w:r>
      <w:r w:rsidR="00291689">
        <w:rPr>
          <w:rFonts w:ascii="Calibri" w:eastAsia="Calibri" w:hAnsi="Calibri" w:cs="Times New Roman"/>
          <w:i/>
        </w:rPr>
        <w:t xml:space="preserve"> </w:t>
      </w:r>
      <w:r w:rsidR="00291689" w:rsidRPr="00D90E0A">
        <w:rPr>
          <w:rFonts w:ascii="Calibri" w:eastAsia="Calibri" w:hAnsi="Calibri" w:cs="Times New Roman"/>
          <w:iCs/>
        </w:rPr>
        <w:t>et al.</w:t>
      </w:r>
      <w:r w:rsidRPr="0051130F">
        <w:rPr>
          <w:rFonts w:ascii="Calibri" w:eastAsia="Calibri" w:hAnsi="Calibri" w:cs="Times New Roman"/>
          <w:i/>
        </w:rPr>
        <w:t xml:space="preserve"> study (95% vs 69% emergence, respectively). Both of those factors may contribute to the slightly different results. Greater variability in emergence at the lower test concentrations may simply represent greater variability in the sensitivity of individuals to the test material under the same (within study) and different (between study) conditions. There is no evidence that one study is more accurate </w:t>
      </w:r>
      <w:r w:rsidR="009B3D9D" w:rsidRPr="0051130F">
        <w:rPr>
          <w:rFonts w:ascii="Calibri" w:eastAsia="Calibri" w:hAnsi="Calibri" w:cs="Times New Roman"/>
          <w:i/>
        </w:rPr>
        <w:t xml:space="preserve">than the other </w:t>
      </w:r>
      <w:r w:rsidRPr="0051130F">
        <w:rPr>
          <w:rFonts w:ascii="Calibri" w:eastAsia="Calibri" w:hAnsi="Calibri" w:cs="Times New Roman"/>
          <w:i/>
        </w:rPr>
        <w:t>in terms of capturing this variability.</w:t>
      </w:r>
    </w:p>
    <w:p w14:paraId="4DD0D232" w14:textId="77777777" w:rsidR="00B510E6" w:rsidRPr="0051130F" w:rsidRDefault="00B510E6" w:rsidP="005859DB">
      <w:pPr>
        <w:contextualSpacing/>
        <w:rPr>
          <w:rFonts w:ascii="Calibri" w:eastAsia="Calibri" w:hAnsi="Calibri" w:cs="Times New Roman"/>
          <w:i/>
        </w:rPr>
      </w:pPr>
    </w:p>
    <w:p w14:paraId="6D49EDF0" w14:textId="1A0583E2" w:rsidR="009B3D9D" w:rsidRDefault="00B510E6" w:rsidP="005859DB">
      <w:pPr>
        <w:contextualSpacing/>
        <w:rPr>
          <w:rFonts w:ascii="Calibri" w:eastAsia="Calibri" w:hAnsi="Calibri" w:cs="Times New Roman"/>
          <w:i/>
        </w:rPr>
      </w:pPr>
      <w:r w:rsidRPr="0051130F">
        <w:rPr>
          <w:rFonts w:ascii="Calibri" w:eastAsia="Calibri" w:hAnsi="Calibri" w:cs="Times New Roman"/>
          <w:i/>
        </w:rPr>
        <w:t xml:space="preserve">Furthermore, there is inherent uncertainty </w:t>
      </w:r>
      <w:r w:rsidR="009B3D9D">
        <w:rPr>
          <w:rFonts w:ascii="Calibri" w:eastAsia="Calibri" w:hAnsi="Calibri" w:cs="Times New Roman"/>
          <w:i/>
        </w:rPr>
        <w:t>in the</w:t>
      </w:r>
      <w:r w:rsidR="009B3D9D" w:rsidRPr="0051130F">
        <w:rPr>
          <w:rFonts w:ascii="Calibri" w:eastAsia="Calibri" w:hAnsi="Calibri" w:cs="Times New Roman"/>
          <w:i/>
        </w:rPr>
        <w:t xml:space="preserve"> </w:t>
      </w:r>
      <w:r w:rsidR="009B3D9D">
        <w:rPr>
          <w:rFonts w:ascii="Calibri" w:eastAsia="Calibri" w:hAnsi="Calibri" w:cs="Times New Roman"/>
          <w:i/>
        </w:rPr>
        <w:t xml:space="preserve">exposure </w:t>
      </w:r>
      <w:r w:rsidRPr="0051130F">
        <w:rPr>
          <w:rFonts w:ascii="Calibri" w:eastAsia="Calibri" w:hAnsi="Calibri" w:cs="Times New Roman"/>
          <w:i/>
        </w:rPr>
        <w:t xml:space="preserve">concentrations in the Cavallaro </w:t>
      </w:r>
      <w:r w:rsidRPr="00D90E0A">
        <w:rPr>
          <w:rFonts w:ascii="Calibri" w:eastAsia="Calibri" w:hAnsi="Calibri" w:cs="Times New Roman"/>
          <w:iCs/>
        </w:rPr>
        <w:t>et al.</w:t>
      </w:r>
      <w:r w:rsidRPr="0051130F">
        <w:rPr>
          <w:rFonts w:ascii="Calibri" w:eastAsia="Calibri" w:hAnsi="Calibri" w:cs="Times New Roman"/>
          <w:i/>
        </w:rPr>
        <w:t xml:space="preserve"> and Raby </w:t>
      </w:r>
      <w:r w:rsidRPr="00D90E0A">
        <w:rPr>
          <w:rFonts w:ascii="Calibri" w:eastAsia="Calibri" w:hAnsi="Calibri" w:cs="Times New Roman"/>
          <w:iCs/>
        </w:rPr>
        <w:t>et al.</w:t>
      </w:r>
      <w:r w:rsidRPr="0051130F">
        <w:rPr>
          <w:rFonts w:ascii="Calibri" w:eastAsia="Calibri" w:hAnsi="Calibri" w:cs="Times New Roman"/>
          <w:i/>
        </w:rPr>
        <w:t xml:space="preserve"> studies</w:t>
      </w:r>
      <w:r w:rsidR="009B3D9D">
        <w:rPr>
          <w:rFonts w:ascii="Calibri" w:eastAsia="Calibri" w:hAnsi="Calibri" w:cs="Times New Roman"/>
          <w:i/>
        </w:rPr>
        <w:t>. In these studies, e</w:t>
      </w:r>
      <w:r w:rsidR="009B3D9D" w:rsidRPr="0051130F">
        <w:rPr>
          <w:rFonts w:ascii="Calibri" w:eastAsia="Calibri" w:hAnsi="Calibri" w:cs="Times New Roman"/>
          <w:i/>
        </w:rPr>
        <w:t>xposure to the test material would be primarily in the porewater, not the overlying water</w:t>
      </w:r>
      <w:r w:rsidR="009B3D9D">
        <w:rPr>
          <w:rFonts w:ascii="Calibri" w:eastAsia="Calibri" w:hAnsi="Calibri" w:cs="Times New Roman"/>
          <w:i/>
        </w:rPr>
        <w:t xml:space="preserve">, however </w:t>
      </w:r>
      <w:r w:rsidRPr="0051130F">
        <w:rPr>
          <w:rFonts w:ascii="Calibri" w:eastAsia="Calibri" w:hAnsi="Calibri" w:cs="Times New Roman"/>
          <w:i/>
        </w:rPr>
        <w:t>pore water concentrations were not measured</w:t>
      </w:r>
      <w:r w:rsidR="009B3D9D">
        <w:rPr>
          <w:rFonts w:ascii="Calibri" w:eastAsia="Calibri" w:hAnsi="Calibri" w:cs="Times New Roman"/>
          <w:i/>
        </w:rPr>
        <w:t xml:space="preserve">. </w:t>
      </w:r>
      <w:r w:rsidRPr="0051130F">
        <w:rPr>
          <w:rFonts w:ascii="Calibri" w:eastAsia="Calibri" w:hAnsi="Calibri" w:cs="Times New Roman"/>
          <w:i/>
        </w:rPr>
        <w:t>In terms of the</w:t>
      </w:r>
      <w:r w:rsidR="00D90E0A">
        <w:rPr>
          <w:rFonts w:ascii="Calibri" w:eastAsia="Calibri" w:hAnsi="Calibri" w:cs="Times New Roman"/>
          <w:i/>
        </w:rPr>
        <w:t xml:space="preserve"> </w:t>
      </w:r>
      <w:r w:rsidRPr="0051130F">
        <w:rPr>
          <w:rFonts w:ascii="Calibri" w:eastAsia="Calibri" w:hAnsi="Calibri" w:cs="Times New Roman"/>
          <w:i/>
        </w:rPr>
        <w:t xml:space="preserve">overlying water concentrations, there is greater confidence in those in the Cavallaro </w:t>
      </w:r>
      <w:r w:rsidRPr="00D90E0A">
        <w:rPr>
          <w:rFonts w:ascii="Calibri" w:eastAsia="Calibri" w:hAnsi="Calibri" w:cs="Times New Roman"/>
          <w:iCs/>
        </w:rPr>
        <w:t>et al</w:t>
      </w:r>
      <w:r w:rsidRPr="0051130F">
        <w:rPr>
          <w:rFonts w:ascii="Calibri" w:eastAsia="Calibri" w:hAnsi="Calibri" w:cs="Times New Roman"/>
          <w:i/>
        </w:rPr>
        <w:t>. study because they analyzed samples taken every three days throughout the study</w:t>
      </w:r>
      <w:r w:rsidR="009B3D9D">
        <w:rPr>
          <w:rFonts w:ascii="Calibri" w:eastAsia="Calibri" w:hAnsi="Calibri" w:cs="Times New Roman"/>
          <w:i/>
        </w:rPr>
        <w:t>. I</w:t>
      </w:r>
      <w:r w:rsidRPr="0051130F">
        <w:rPr>
          <w:rFonts w:ascii="Calibri" w:eastAsia="Calibri" w:hAnsi="Calibri" w:cs="Times New Roman"/>
          <w:i/>
        </w:rPr>
        <w:t>n comparison</w:t>
      </w:r>
      <w:r w:rsidR="009B3D9D">
        <w:rPr>
          <w:rFonts w:ascii="Calibri" w:eastAsia="Calibri" w:hAnsi="Calibri" w:cs="Times New Roman"/>
          <w:i/>
        </w:rPr>
        <w:t>,</w:t>
      </w:r>
      <w:r w:rsidRPr="0051130F">
        <w:rPr>
          <w:rFonts w:ascii="Calibri" w:eastAsia="Calibri" w:hAnsi="Calibri" w:cs="Times New Roman"/>
          <w:i/>
        </w:rPr>
        <w:t xml:space="preserve"> Raby </w:t>
      </w:r>
      <w:r w:rsidRPr="00D90E0A">
        <w:rPr>
          <w:rFonts w:ascii="Calibri" w:eastAsia="Calibri" w:hAnsi="Calibri" w:cs="Times New Roman"/>
          <w:iCs/>
        </w:rPr>
        <w:t>et al.</w:t>
      </w:r>
      <w:r w:rsidRPr="0051130F">
        <w:rPr>
          <w:rFonts w:ascii="Calibri" w:eastAsia="Calibri" w:hAnsi="Calibri" w:cs="Times New Roman"/>
          <w:i/>
        </w:rPr>
        <w:t xml:space="preserve"> </w:t>
      </w:r>
      <w:r w:rsidR="009B3D9D">
        <w:rPr>
          <w:rFonts w:ascii="Calibri" w:eastAsia="Calibri" w:hAnsi="Calibri" w:cs="Times New Roman"/>
          <w:i/>
        </w:rPr>
        <w:t xml:space="preserve">at best only </w:t>
      </w:r>
      <w:r w:rsidRPr="0051130F">
        <w:rPr>
          <w:rFonts w:ascii="Calibri" w:eastAsia="Calibri" w:hAnsi="Calibri" w:cs="Times New Roman"/>
          <w:i/>
        </w:rPr>
        <w:t>analyzed s</w:t>
      </w:r>
      <w:r w:rsidR="006439E5">
        <w:rPr>
          <w:rFonts w:ascii="Calibri" w:eastAsia="Calibri" w:hAnsi="Calibri" w:cs="Times New Roman"/>
          <w:i/>
        </w:rPr>
        <w:t xml:space="preserve">amples every </w:t>
      </w:r>
      <w:r w:rsidR="00E03B9E">
        <w:rPr>
          <w:rFonts w:ascii="Calibri" w:eastAsia="Calibri" w:hAnsi="Calibri" w:cs="Times New Roman"/>
          <w:i/>
        </w:rPr>
        <w:t>~</w:t>
      </w:r>
      <w:r w:rsidR="005B1699">
        <w:rPr>
          <w:rFonts w:ascii="Calibri" w:eastAsia="Calibri" w:hAnsi="Calibri" w:cs="Times New Roman"/>
          <w:i/>
        </w:rPr>
        <w:t>9-</w:t>
      </w:r>
      <w:r w:rsidR="006439E5">
        <w:rPr>
          <w:rFonts w:ascii="Calibri" w:eastAsia="Calibri" w:hAnsi="Calibri" w:cs="Times New Roman"/>
          <w:i/>
        </w:rPr>
        <w:t>10 days</w:t>
      </w:r>
      <w:r w:rsidRPr="0051130F">
        <w:rPr>
          <w:rFonts w:ascii="Calibri" w:eastAsia="Calibri" w:hAnsi="Calibri" w:cs="Times New Roman"/>
          <w:i/>
        </w:rPr>
        <w:t xml:space="preserve"> </w:t>
      </w:r>
      <w:r w:rsidR="0036373C">
        <w:rPr>
          <w:rFonts w:ascii="Calibri" w:eastAsia="Calibri" w:hAnsi="Calibri" w:cs="Times New Roman"/>
          <w:i/>
        </w:rPr>
        <w:t>during the exposure period</w:t>
      </w:r>
      <w:r w:rsidRPr="0051130F">
        <w:rPr>
          <w:rFonts w:ascii="Calibri" w:eastAsia="Calibri" w:hAnsi="Calibri" w:cs="Times New Roman"/>
          <w:i/>
        </w:rPr>
        <w:t xml:space="preserve"> depending on the test level</w:t>
      </w:r>
      <w:r w:rsidR="009B3D9D">
        <w:rPr>
          <w:rFonts w:ascii="Calibri" w:eastAsia="Calibri" w:hAnsi="Calibri" w:cs="Times New Roman"/>
          <w:i/>
        </w:rPr>
        <w:t>, however there were some test levels that did not have analytical results presented</w:t>
      </w:r>
      <w:r w:rsidRPr="0051130F">
        <w:rPr>
          <w:rFonts w:ascii="Calibri" w:eastAsia="Calibri" w:hAnsi="Calibri" w:cs="Times New Roman"/>
          <w:i/>
        </w:rPr>
        <w:t xml:space="preserve">. </w:t>
      </w:r>
    </w:p>
    <w:p w14:paraId="71A896B8" w14:textId="77777777" w:rsidR="009B3D9D" w:rsidRDefault="009B3D9D" w:rsidP="005859DB">
      <w:pPr>
        <w:contextualSpacing/>
        <w:rPr>
          <w:rFonts w:ascii="Calibri" w:eastAsia="Calibri" w:hAnsi="Calibri" w:cs="Times New Roman"/>
          <w:i/>
        </w:rPr>
      </w:pPr>
    </w:p>
    <w:p w14:paraId="5F1CA54C" w14:textId="17CB6224" w:rsidR="00B510E6" w:rsidRPr="0051130F" w:rsidRDefault="00B510E6" w:rsidP="005859DB">
      <w:pPr>
        <w:contextualSpacing/>
        <w:rPr>
          <w:rFonts w:ascii="Calibri" w:eastAsia="Calibri" w:hAnsi="Calibri" w:cs="Times New Roman"/>
          <w:i/>
        </w:rPr>
      </w:pPr>
      <w:r w:rsidRPr="0051130F">
        <w:rPr>
          <w:rFonts w:ascii="Calibri" w:eastAsia="Calibri" w:hAnsi="Calibri" w:cs="Times New Roman"/>
          <w:i/>
        </w:rPr>
        <w:t>Nonetheless, there should be caution when attempting to make precise comparisons between the two studies in terms of the percent emergence at specific exposure concentrations</w:t>
      </w:r>
      <w:r w:rsidR="009B3D9D">
        <w:rPr>
          <w:rFonts w:ascii="Calibri" w:eastAsia="Calibri" w:hAnsi="Calibri" w:cs="Times New Roman"/>
          <w:i/>
        </w:rPr>
        <w:t>. C</w:t>
      </w:r>
      <w:r w:rsidRPr="0051130F">
        <w:rPr>
          <w:rFonts w:ascii="Calibri" w:eastAsia="Calibri" w:hAnsi="Calibri" w:cs="Times New Roman"/>
          <w:i/>
        </w:rPr>
        <w:t>omparisons are potentially confounded by reliance on overlying water concentrations</w:t>
      </w:r>
      <w:r w:rsidR="009B3D9D">
        <w:rPr>
          <w:rFonts w:ascii="Calibri" w:eastAsia="Calibri" w:hAnsi="Calibri" w:cs="Times New Roman"/>
          <w:i/>
        </w:rPr>
        <w:t>,</w:t>
      </w:r>
      <w:r w:rsidRPr="0051130F">
        <w:rPr>
          <w:rFonts w:ascii="Calibri" w:eastAsia="Calibri" w:hAnsi="Calibri" w:cs="Times New Roman"/>
          <w:i/>
        </w:rPr>
        <w:t xml:space="preserve"> and the assumption that the relationship between overlying water and porewater concentrations is invariable. Although the low </w:t>
      </w:r>
      <w:proofErr w:type="spellStart"/>
      <w:r w:rsidRPr="0051130F">
        <w:rPr>
          <w:rFonts w:ascii="Calibri" w:eastAsia="Calibri" w:hAnsi="Calibri" w:cs="Times New Roman"/>
          <w:i/>
        </w:rPr>
        <w:t>Koc</w:t>
      </w:r>
      <w:proofErr w:type="spellEnd"/>
      <w:r w:rsidRPr="0051130F">
        <w:rPr>
          <w:rFonts w:ascii="Calibri" w:eastAsia="Calibri" w:hAnsi="Calibri" w:cs="Times New Roman"/>
          <w:i/>
        </w:rPr>
        <w:t xml:space="preserve"> (119 L/kg-</w:t>
      </w:r>
      <w:proofErr w:type="spellStart"/>
      <w:r w:rsidRPr="0051130F">
        <w:rPr>
          <w:rFonts w:ascii="Calibri" w:eastAsia="Calibri" w:hAnsi="Calibri" w:cs="Times New Roman"/>
          <w:i/>
        </w:rPr>
        <w:t>oc</w:t>
      </w:r>
      <w:proofErr w:type="spellEnd"/>
      <w:r w:rsidRPr="0051130F">
        <w:rPr>
          <w:rFonts w:ascii="Calibri" w:eastAsia="Calibri" w:hAnsi="Calibri" w:cs="Times New Roman"/>
          <w:i/>
        </w:rPr>
        <w:t>) of clothianidin and use of a sand substrate in both studies suggest that overlying water concentrations may reasonably approximate porewater concentrations, even relatively small deviations from this relationship (</w:t>
      </w:r>
      <w:r w:rsidRPr="00693171">
        <w:rPr>
          <w:rFonts w:ascii="Calibri" w:eastAsia="Calibri" w:hAnsi="Calibri" w:cs="Times New Roman"/>
          <w:iCs/>
        </w:rPr>
        <w:t>e.g</w:t>
      </w:r>
      <w:r w:rsidRPr="0051130F">
        <w:rPr>
          <w:rFonts w:ascii="Calibri" w:eastAsia="Calibri" w:hAnsi="Calibri" w:cs="Times New Roman"/>
          <w:i/>
        </w:rPr>
        <w:t>., among test concentrations and between the two studies) could confound comparisons between the studies</w:t>
      </w:r>
      <w:r w:rsidR="009B3D9D">
        <w:rPr>
          <w:rFonts w:ascii="Calibri" w:eastAsia="Calibri" w:hAnsi="Calibri" w:cs="Times New Roman"/>
          <w:i/>
        </w:rPr>
        <w:t xml:space="preserve">. This is </w:t>
      </w:r>
      <w:r w:rsidRPr="0051130F">
        <w:rPr>
          <w:rFonts w:ascii="Calibri" w:eastAsia="Calibri" w:hAnsi="Calibri" w:cs="Times New Roman"/>
          <w:i/>
        </w:rPr>
        <w:t>especially</w:t>
      </w:r>
      <w:r w:rsidR="009B3D9D">
        <w:rPr>
          <w:rFonts w:ascii="Calibri" w:eastAsia="Calibri" w:hAnsi="Calibri" w:cs="Times New Roman"/>
          <w:i/>
        </w:rPr>
        <w:t xml:space="preserve"> concerning</w:t>
      </w:r>
      <w:r w:rsidRPr="0051130F">
        <w:rPr>
          <w:rFonts w:ascii="Calibri" w:eastAsia="Calibri" w:hAnsi="Calibri" w:cs="Times New Roman"/>
          <w:i/>
        </w:rPr>
        <w:t xml:space="preserve"> at lower concentrations where sensitivity among individuals may be inherently more variable, and small deviations in concentration</w:t>
      </w:r>
      <w:r w:rsidR="009B3D9D">
        <w:rPr>
          <w:rFonts w:ascii="Calibri" w:eastAsia="Calibri" w:hAnsi="Calibri" w:cs="Times New Roman"/>
          <w:i/>
        </w:rPr>
        <w:t xml:space="preserve"> may</w:t>
      </w:r>
      <w:r w:rsidRPr="0051130F">
        <w:rPr>
          <w:rFonts w:ascii="Calibri" w:eastAsia="Calibri" w:hAnsi="Calibri" w:cs="Times New Roman"/>
          <w:i/>
        </w:rPr>
        <w:t xml:space="preserve"> potentially </w:t>
      </w:r>
      <w:r w:rsidR="009B3D9D">
        <w:rPr>
          <w:rFonts w:ascii="Calibri" w:eastAsia="Calibri" w:hAnsi="Calibri" w:cs="Times New Roman"/>
          <w:i/>
        </w:rPr>
        <w:t xml:space="preserve">be </w:t>
      </w:r>
      <w:r w:rsidRPr="0051130F">
        <w:rPr>
          <w:rFonts w:ascii="Calibri" w:eastAsia="Calibri" w:hAnsi="Calibri" w:cs="Times New Roman"/>
          <w:i/>
        </w:rPr>
        <w:t>more impactful on the results.</w:t>
      </w:r>
    </w:p>
    <w:p w14:paraId="68FE4C58" w14:textId="77777777" w:rsidR="00B510E6" w:rsidRPr="0051130F" w:rsidRDefault="00B510E6" w:rsidP="005859DB">
      <w:pPr>
        <w:contextualSpacing/>
        <w:rPr>
          <w:rFonts w:ascii="Calibri" w:eastAsia="Calibri" w:hAnsi="Calibri" w:cs="Times New Roman"/>
          <w:i/>
        </w:rPr>
      </w:pPr>
    </w:p>
    <w:p w14:paraId="7EC3AFD8" w14:textId="033827C9" w:rsidR="00B510E6" w:rsidRPr="0051130F" w:rsidRDefault="00B510E6" w:rsidP="005859DB">
      <w:pPr>
        <w:contextualSpacing/>
        <w:rPr>
          <w:rFonts w:ascii="Calibri" w:eastAsia="Calibri" w:hAnsi="Calibri" w:cs="Times New Roman"/>
          <w:i/>
        </w:rPr>
      </w:pPr>
      <w:r w:rsidRPr="0051130F">
        <w:rPr>
          <w:rFonts w:ascii="Calibri" w:eastAsia="Calibri" w:hAnsi="Calibri" w:cs="Times New Roman"/>
          <w:i/>
        </w:rPr>
        <w:t>Although E</w:t>
      </w:r>
      <w:r w:rsidR="00BC1DAC">
        <w:rPr>
          <w:rFonts w:ascii="Calibri" w:eastAsia="Calibri" w:hAnsi="Calibri" w:cs="Times New Roman"/>
          <w:i/>
        </w:rPr>
        <w:t>P</w:t>
      </w:r>
      <w:r w:rsidR="00D43334">
        <w:rPr>
          <w:rFonts w:ascii="Calibri" w:eastAsia="Calibri" w:hAnsi="Calibri" w:cs="Times New Roman"/>
          <w:i/>
        </w:rPr>
        <w:t>A</w:t>
      </w:r>
      <w:r w:rsidRPr="0051130F">
        <w:rPr>
          <w:rFonts w:ascii="Calibri" w:eastAsia="Calibri" w:hAnsi="Calibri" w:cs="Times New Roman"/>
          <w:i/>
        </w:rPr>
        <w:t xml:space="preserve"> has not fully reviewed Maloney </w:t>
      </w:r>
      <w:r w:rsidRPr="00693171">
        <w:rPr>
          <w:rFonts w:ascii="Calibri" w:eastAsia="Calibri" w:hAnsi="Calibri" w:cs="Times New Roman"/>
          <w:iCs/>
        </w:rPr>
        <w:t>et al.</w:t>
      </w:r>
      <w:r w:rsidRPr="0051130F">
        <w:rPr>
          <w:rFonts w:ascii="Calibri" w:eastAsia="Calibri" w:hAnsi="Calibri" w:cs="Times New Roman"/>
          <w:i/>
        </w:rPr>
        <w:t xml:space="preserve"> 2018, the endpoints from this study are 28-day EC</w:t>
      </w:r>
      <w:r w:rsidRPr="00693171">
        <w:rPr>
          <w:rFonts w:ascii="Calibri" w:eastAsia="Calibri" w:hAnsi="Calibri" w:cs="Times New Roman"/>
          <w:i/>
          <w:vertAlign w:val="subscript"/>
        </w:rPr>
        <w:t>50</w:t>
      </w:r>
      <w:r w:rsidR="00693171">
        <w:rPr>
          <w:rFonts w:ascii="Calibri" w:eastAsia="Calibri" w:hAnsi="Calibri" w:cs="Times New Roman"/>
          <w:i/>
        </w:rPr>
        <w:t xml:space="preserve"> value</w:t>
      </w:r>
      <w:r w:rsidRPr="0051130F">
        <w:rPr>
          <w:rFonts w:ascii="Calibri" w:eastAsia="Calibri" w:hAnsi="Calibri" w:cs="Times New Roman"/>
          <w:i/>
        </w:rPr>
        <w:t>s. E</w:t>
      </w:r>
      <w:r w:rsidR="00675D8A">
        <w:rPr>
          <w:rFonts w:ascii="Calibri" w:eastAsia="Calibri" w:hAnsi="Calibri" w:cs="Times New Roman"/>
          <w:i/>
        </w:rPr>
        <w:t>PA</w:t>
      </w:r>
      <w:r w:rsidRPr="0051130F">
        <w:rPr>
          <w:rFonts w:ascii="Calibri" w:eastAsia="Calibri" w:hAnsi="Calibri" w:cs="Times New Roman"/>
          <w:i/>
        </w:rPr>
        <w:t xml:space="preserve"> generally only uses NOAECs/NOAELs and LOAECs/LOAELs for chronic assessment.</w:t>
      </w:r>
    </w:p>
    <w:p w14:paraId="343DF68B" w14:textId="77777777" w:rsidR="00B510E6" w:rsidRPr="0051130F" w:rsidRDefault="00B510E6" w:rsidP="005859DB">
      <w:pPr>
        <w:contextualSpacing/>
        <w:rPr>
          <w:rFonts w:ascii="Calibri" w:eastAsia="Calibri" w:hAnsi="Calibri" w:cs="Times New Roman"/>
          <w:i/>
        </w:rPr>
      </w:pPr>
    </w:p>
    <w:p w14:paraId="4827FCC0" w14:textId="6B592614" w:rsidR="00B510E6" w:rsidRDefault="00B510E6" w:rsidP="005859DB">
      <w:pPr>
        <w:contextualSpacing/>
        <w:rPr>
          <w:rFonts w:ascii="Calibri" w:eastAsia="Calibri" w:hAnsi="Calibri" w:cs="Times New Roman"/>
          <w:i/>
        </w:rPr>
      </w:pPr>
      <w:r w:rsidRPr="0051130F">
        <w:rPr>
          <w:rFonts w:ascii="Calibri" w:eastAsia="Calibri" w:hAnsi="Calibri" w:cs="Times New Roman"/>
          <w:i/>
        </w:rPr>
        <w:t>Regarding the use of the mesocosm endpoint, as noted above, full-field and mesocosm studies are not appropriate for consideration of effects to a single individual or, indeed, even in some cases, to a species, but rather to a community of organisms. These studies and results may be considered (qualitatively)</w:t>
      </w:r>
      <w:r w:rsidR="00D745F2">
        <w:rPr>
          <w:rFonts w:ascii="Calibri" w:eastAsia="Calibri" w:hAnsi="Calibri" w:cs="Times New Roman"/>
          <w:i/>
        </w:rPr>
        <w:t>, as needed and relevant,</w:t>
      </w:r>
      <w:r w:rsidRPr="0051130F">
        <w:rPr>
          <w:rFonts w:ascii="Calibri" w:eastAsia="Calibri" w:hAnsi="Calibri" w:cs="Times New Roman"/>
          <w:i/>
        </w:rPr>
        <w:t xml:space="preserve"> for characterization of community</w:t>
      </w:r>
      <w:r w:rsidR="00D745F2">
        <w:rPr>
          <w:rFonts w:ascii="Calibri" w:eastAsia="Calibri" w:hAnsi="Calibri" w:cs="Times New Roman"/>
          <w:i/>
        </w:rPr>
        <w:t>-</w:t>
      </w:r>
      <w:r w:rsidRPr="0051130F">
        <w:rPr>
          <w:rFonts w:ascii="Calibri" w:eastAsia="Calibri" w:hAnsi="Calibri" w:cs="Times New Roman"/>
          <w:i/>
        </w:rPr>
        <w:t xml:space="preserve">level effects determinations </w:t>
      </w:r>
      <w:r w:rsidR="007A2A32" w:rsidRPr="009C1680">
        <w:rPr>
          <w:rFonts w:ascii="Calibri" w:eastAsia="Calibri" w:hAnsi="Calibri" w:cs="Calibri"/>
          <w:i/>
        </w:rPr>
        <w:t>during consultation with the Services.</w:t>
      </w:r>
    </w:p>
    <w:p w14:paraId="41182BD0" w14:textId="77777777" w:rsidR="00B510E6" w:rsidRDefault="00B510E6" w:rsidP="005859DB">
      <w:pPr>
        <w:contextualSpacing/>
        <w:rPr>
          <w:rFonts w:ascii="Calibri" w:eastAsia="Calibri" w:hAnsi="Calibri" w:cs="Times New Roman"/>
        </w:rPr>
      </w:pPr>
    </w:p>
    <w:p w14:paraId="1ABD7A20" w14:textId="2C43FC23" w:rsidR="00BB6FA6" w:rsidRPr="0022765C" w:rsidRDefault="009B3D9D" w:rsidP="006D7FBC">
      <w:pPr>
        <w:contextualSpacing/>
        <w:rPr>
          <w:rFonts w:asciiTheme="minorHAnsi" w:eastAsiaTheme="minorEastAsia" w:hAnsiTheme="minorHAnsi"/>
          <w:b/>
          <w:color w:val="000000"/>
        </w:rPr>
      </w:pPr>
      <w:r>
        <w:rPr>
          <w:rFonts w:ascii="Calibri" w:eastAsia="Calibri" w:hAnsi="Calibri" w:cs="Times New Roman"/>
          <w:i/>
        </w:rPr>
        <w:t>Lastly</w:t>
      </w:r>
      <w:r w:rsidR="00B510E6" w:rsidRPr="009300BF">
        <w:rPr>
          <w:rFonts w:ascii="Calibri" w:eastAsia="Calibri" w:hAnsi="Calibri" w:cs="Times New Roman"/>
          <w:i/>
        </w:rPr>
        <w:t>, E</w:t>
      </w:r>
      <w:r w:rsidR="002245E5">
        <w:rPr>
          <w:rFonts w:ascii="Calibri" w:eastAsia="Calibri" w:hAnsi="Calibri" w:cs="Times New Roman"/>
          <w:i/>
        </w:rPr>
        <w:t>PA</w:t>
      </w:r>
      <w:r w:rsidR="00B510E6" w:rsidRPr="009300BF">
        <w:rPr>
          <w:rFonts w:ascii="Calibri" w:eastAsia="Calibri" w:hAnsi="Calibri" w:cs="Times New Roman"/>
          <w:i/>
        </w:rPr>
        <w:t xml:space="preserve"> and PMRA </w:t>
      </w:r>
      <w:r w:rsidR="00DB5D4A">
        <w:rPr>
          <w:rFonts w:ascii="Calibri" w:eastAsia="Calibri" w:hAnsi="Calibri" w:cs="Times New Roman"/>
          <w:i/>
        </w:rPr>
        <w:t>rely upon</w:t>
      </w:r>
      <w:r w:rsidR="00DB5D4A" w:rsidRPr="009300BF">
        <w:rPr>
          <w:rFonts w:ascii="Calibri" w:eastAsia="Calibri" w:hAnsi="Calibri" w:cs="Times New Roman"/>
          <w:i/>
        </w:rPr>
        <w:t xml:space="preserve"> </w:t>
      </w:r>
      <w:r w:rsidR="00B510E6" w:rsidRPr="009300BF">
        <w:rPr>
          <w:rFonts w:ascii="Calibri" w:eastAsia="Calibri" w:hAnsi="Calibri" w:cs="Times New Roman"/>
          <w:i/>
        </w:rPr>
        <w:t>different policies, data evaluation and analysis practices, and overall risk assessment processes; therefore, while E</w:t>
      </w:r>
      <w:r w:rsidR="00227719">
        <w:rPr>
          <w:rFonts w:ascii="Calibri" w:eastAsia="Calibri" w:hAnsi="Calibri" w:cs="Times New Roman"/>
          <w:i/>
        </w:rPr>
        <w:t>PA</w:t>
      </w:r>
      <w:r w:rsidR="00B510E6" w:rsidRPr="009300BF">
        <w:rPr>
          <w:rFonts w:ascii="Calibri" w:eastAsia="Calibri" w:hAnsi="Calibri" w:cs="Times New Roman"/>
          <w:i/>
        </w:rPr>
        <w:t xml:space="preserve"> appreciates the registrant’s submission of PMRA’s conclusions, </w:t>
      </w:r>
      <w:r w:rsidR="00227719">
        <w:rPr>
          <w:rFonts w:ascii="Calibri" w:eastAsia="Calibri" w:hAnsi="Calibri" w:cs="Times New Roman"/>
          <w:i/>
        </w:rPr>
        <w:t xml:space="preserve">the Agency </w:t>
      </w:r>
      <w:r w:rsidR="00E74298" w:rsidRPr="623568DB">
        <w:rPr>
          <w:rFonts w:ascii="Calibri" w:eastAsia="Calibri" w:hAnsi="Calibri" w:cs="Times New Roman"/>
          <w:i/>
          <w:iCs/>
        </w:rPr>
        <w:t xml:space="preserve">does not </w:t>
      </w:r>
      <w:r w:rsidR="00E74298">
        <w:rPr>
          <w:rFonts w:ascii="Calibri" w:eastAsia="Calibri" w:hAnsi="Calibri" w:cs="Times New Roman"/>
          <w:i/>
          <w:iCs/>
        </w:rPr>
        <w:t>concur with</w:t>
      </w:r>
      <w:r w:rsidR="00E74298" w:rsidRPr="623568DB">
        <w:rPr>
          <w:rFonts w:ascii="Calibri" w:eastAsia="Calibri" w:hAnsi="Calibri" w:cs="Times New Roman"/>
          <w:i/>
          <w:iCs/>
        </w:rPr>
        <w:t xml:space="preserve"> PMRA’s </w:t>
      </w:r>
      <w:r w:rsidR="00E74298">
        <w:rPr>
          <w:rFonts w:ascii="Calibri" w:eastAsia="Calibri" w:hAnsi="Calibri" w:cs="Times New Roman"/>
          <w:i/>
          <w:iCs/>
        </w:rPr>
        <w:t>conclusion in this instance</w:t>
      </w:r>
      <w:r w:rsidR="00B510E6" w:rsidRPr="64CDB303">
        <w:rPr>
          <w:rFonts w:ascii="Calibri" w:eastAsia="Calibri" w:hAnsi="Calibri" w:cs="Times New Roman"/>
          <w:i/>
          <w:iCs/>
        </w:rPr>
        <w:t>.</w:t>
      </w:r>
      <w:r w:rsidR="00BB6FA6" w:rsidRPr="00954173">
        <w:rPr>
          <w:rFonts w:asciiTheme="minorHAnsi" w:hAnsiTheme="minorHAnsi"/>
        </w:rPr>
        <w:br w:type="page"/>
      </w:r>
    </w:p>
    <w:p w14:paraId="25B0BDBD" w14:textId="4C5455E5" w:rsidR="00706D56" w:rsidRDefault="00BB6FA6" w:rsidP="005859DB">
      <w:pPr>
        <w:pStyle w:val="Heading1"/>
      </w:pPr>
      <w:bookmarkStart w:id="68" w:name="_Toc106187582"/>
      <w:r>
        <w:lastRenderedPageBreak/>
        <w:t xml:space="preserve">Appendix </w:t>
      </w:r>
      <w:r w:rsidR="001D2385">
        <w:t>A</w:t>
      </w:r>
      <w:r>
        <w:t xml:space="preserve">. </w:t>
      </w:r>
      <w:r w:rsidR="00911AD9">
        <w:t xml:space="preserve"> List of Commenters for Neonicotinoid BEs</w:t>
      </w:r>
      <w:bookmarkEnd w:id="68"/>
    </w:p>
    <w:p w14:paraId="5B44FF24" w14:textId="77777777" w:rsidR="00F52134" w:rsidRPr="0090588D" w:rsidRDefault="00F52134" w:rsidP="005859DB">
      <w:pPr>
        <w:rPr>
          <w:rFonts w:asciiTheme="minorHAnsi" w:hAnsiTheme="minorHAnsi" w:cstheme="minorHAnsi"/>
          <w:bCs/>
        </w:rPr>
      </w:pPr>
    </w:p>
    <w:p w14:paraId="6C25DF43" w14:textId="617BC5DC" w:rsidR="00706D56" w:rsidRPr="0090588D" w:rsidRDefault="00F52134" w:rsidP="005859DB">
      <w:pPr>
        <w:rPr>
          <w:rFonts w:asciiTheme="minorHAnsi" w:hAnsiTheme="minorHAnsi" w:cstheme="minorHAnsi"/>
          <w:bCs/>
        </w:rPr>
      </w:pPr>
      <w:r w:rsidRPr="0090588D">
        <w:rPr>
          <w:rFonts w:asciiTheme="minorHAnsi" w:hAnsiTheme="minorHAnsi" w:cstheme="minorHAnsi"/>
          <w:bCs/>
        </w:rPr>
        <w:t>This appendix lists the submitters of public comments on the draft BEs for imidacloprid, thiamethoxam, and clothianidin</w:t>
      </w:r>
      <w:r w:rsidRPr="00B4664D">
        <w:rPr>
          <w:rFonts w:asciiTheme="minorHAnsi" w:hAnsiTheme="minorHAnsi" w:cstheme="minorHAnsi"/>
          <w:bCs/>
        </w:rPr>
        <w:t>. This</w:t>
      </w:r>
      <w:r w:rsidRPr="0090588D">
        <w:rPr>
          <w:rFonts w:asciiTheme="minorHAnsi" w:hAnsiTheme="minorHAnsi" w:cstheme="minorHAnsi"/>
          <w:bCs/>
        </w:rPr>
        <w:t xml:space="preserve"> </w:t>
      </w:r>
      <w:r w:rsidRPr="00B4664D">
        <w:rPr>
          <w:rFonts w:asciiTheme="minorHAnsi" w:hAnsiTheme="minorHAnsi" w:cstheme="minorHAnsi"/>
          <w:bCs/>
        </w:rPr>
        <w:t>list excludes submissions</w:t>
      </w:r>
      <w:r w:rsidR="007B0E3B" w:rsidRPr="0090588D">
        <w:rPr>
          <w:rFonts w:asciiTheme="minorHAnsi" w:hAnsiTheme="minorHAnsi" w:cstheme="minorHAnsi"/>
          <w:bCs/>
        </w:rPr>
        <w:t xml:space="preserve"> on unrelated topics. For example, comments sent to the wrong docket were forwarded to the correct docket and not listed here</w:t>
      </w:r>
      <w:r w:rsidRPr="00B4664D">
        <w:rPr>
          <w:rFonts w:asciiTheme="minorHAnsi" w:hAnsiTheme="minorHAnsi" w:cstheme="minorHAnsi"/>
          <w:bCs/>
        </w:rPr>
        <w:t>.</w:t>
      </w:r>
      <w:r w:rsidR="007B0E3B" w:rsidRPr="0090588D">
        <w:rPr>
          <w:rFonts w:asciiTheme="minorHAnsi" w:hAnsiTheme="minorHAnsi" w:cstheme="minorHAnsi"/>
          <w:bCs/>
        </w:rPr>
        <w:t xml:space="preserve"> </w:t>
      </w:r>
      <w:r w:rsidR="00980F8B" w:rsidRPr="00980F8B">
        <w:rPr>
          <w:rFonts w:asciiTheme="minorHAnsi" w:hAnsiTheme="minorHAnsi" w:cstheme="minorHAnsi"/>
          <w:bCs/>
        </w:rPr>
        <w:t xml:space="preserve">Public comments can be found in the neonicotinoid docket EPA-HQ-OPP-2021-0575 on </w:t>
      </w:r>
      <w:hyperlink r:id="rId21" w:history="1">
        <w:r w:rsidR="00693171" w:rsidRPr="0075718F">
          <w:rPr>
            <w:rStyle w:val="Hyperlink"/>
            <w:rFonts w:asciiTheme="minorHAnsi" w:hAnsiTheme="minorHAnsi" w:cstheme="minorHAnsi"/>
            <w:bCs/>
          </w:rPr>
          <w:t>www.regulations.gov</w:t>
        </w:r>
      </w:hyperlink>
      <w:r w:rsidR="00980F8B" w:rsidRPr="00980F8B">
        <w:rPr>
          <w:rFonts w:asciiTheme="minorHAnsi" w:hAnsiTheme="minorHAnsi" w:cstheme="minorHAnsi"/>
          <w:bCs/>
        </w:rPr>
        <w:t xml:space="preserve">. Specific comment numbers associated with the commenters listed below are in brackets, </w:t>
      </w:r>
      <w:r w:rsidR="00980F8B" w:rsidRPr="00693171">
        <w:rPr>
          <w:rFonts w:asciiTheme="minorHAnsi" w:hAnsiTheme="minorHAnsi" w:cstheme="minorHAnsi"/>
          <w:bCs/>
          <w:i/>
          <w:iCs/>
        </w:rPr>
        <w:t xml:space="preserve">i.e. </w:t>
      </w:r>
      <w:r w:rsidR="00980F8B" w:rsidRPr="00980F8B">
        <w:rPr>
          <w:rFonts w:asciiTheme="minorHAnsi" w:hAnsiTheme="minorHAnsi" w:cstheme="minorHAnsi"/>
          <w:bCs/>
        </w:rPr>
        <w:t xml:space="preserve">[-XXXX], so the full comment address is EPA-HQ-OPP-2021-0575-XXXX. </w:t>
      </w:r>
    </w:p>
    <w:p w14:paraId="4193A5B0" w14:textId="5848350A" w:rsidR="00211EDF" w:rsidRPr="0090588D" w:rsidRDefault="00211EDF" w:rsidP="005859DB">
      <w:pPr>
        <w:rPr>
          <w:rFonts w:asciiTheme="minorHAnsi" w:hAnsiTheme="minorHAnsi" w:cstheme="minorHAnsi"/>
          <w:bCs/>
        </w:rPr>
      </w:pPr>
    </w:p>
    <w:p w14:paraId="6527B43F" w14:textId="16F0CB40" w:rsidR="00211EDF" w:rsidRPr="00B4664D" w:rsidRDefault="00826440" w:rsidP="005859DB">
      <w:pPr>
        <w:rPr>
          <w:rFonts w:asciiTheme="minorHAnsi" w:hAnsiTheme="minorHAnsi" w:cstheme="minorHAnsi"/>
          <w:b/>
        </w:rPr>
      </w:pPr>
      <w:r w:rsidRPr="00B4664D">
        <w:rPr>
          <w:rFonts w:asciiTheme="minorHAnsi" w:hAnsiTheme="minorHAnsi" w:cstheme="minorHAnsi"/>
          <w:b/>
        </w:rPr>
        <w:t xml:space="preserve">Individual </w:t>
      </w:r>
      <w:r w:rsidR="00915EF2" w:rsidRPr="0090588D">
        <w:rPr>
          <w:rFonts w:asciiTheme="minorHAnsi" w:hAnsiTheme="minorHAnsi" w:cstheme="minorHAnsi"/>
          <w:b/>
        </w:rPr>
        <w:t>C</w:t>
      </w:r>
      <w:r w:rsidRPr="00B4664D">
        <w:rPr>
          <w:rFonts w:asciiTheme="minorHAnsi" w:hAnsiTheme="minorHAnsi" w:cstheme="minorHAnsi"/>
          <w:b/>
        </w:rPr>
        <w:t>itizens</w:t>
      </w:r>
    </w:p>
    <w:p w14:paraId="234F46CC" w14:textId="335BC2A6" w:rsidR="00826440" w:rsidRPr="0090588D" w:rsidRDefault="00826440" w:rsidP="005859DB">
      <w:pPr>
        <w:rPr>
          <w:rFonts w:asciiTheme="minorHAnsi" w:hAnsiTheme="minorHAnsi" w:cstheme="minorHAnsi"/>
          <w:bCs/>
        </w:rPr>
      </w:pPr>
    </w:p>
    <w:p w14:paraId="6247192B" w14:textId="5C88D3E4" w:rsidR="00826440" w:rsidRPr="0090588D" w:rsidRDefault="007B0E3B"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~350 comments from individuals</w:t>
      </w:r>
    </w:p>
    <w:p w14:paraId="58EB1A35" w14:textId="126BA81F"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7 mass mail campaigns</w:t>
      </w:r>
      <w:r w:rsidR="00C82DE1" w:rsidRPr="0090588D">
        <w:rPr>
          <w:rFonts w:asciiTheme="minorHAnsi" w:hAnsiTheme="minorHAnsi" w:cstheme="minorHAnsi"/>
          <w:bCs/>
        </w:rPr>
        <w:t xml:space="preserve"> (total signatures: ~67,000) requesting ban</w:t>
      </w:r>
      <w:r w:rsidR="00566F72">
        <w:rPr>
          <w:rFonts w:asciiTheme="minorHAnsi" w:hAnsiTheme="minorHAnsi" w:cstheme="minorHAnsi"/>
          <w:bCs/>
        </w:rPr>
        <w:t>s</w:t>
      </w:r>
      <w:r w:rsidR="00C82DE1" w:rsidRPr="0090588D">
        <w:rPr>
          <w:rFonts w:asciiTheme="minorHAnsi" w:hAnsiTheme="minorHAnsi" w:cstheme="minorHAnsi"/>
          <w:bCs/>
        </w:rPr>
        <w:t xml:space="preserve"> on active ingredients and/or protection of listed species</w:t>
      </w:r>
    </w:p>
    <w:p w14:paraId="35B09333" w14:textId="77777777" w:rsidR="00566F72" w:rsidRPr="00494448" w:rsidRDefault="00566F72" w:rsidP="005859DB">
      <w:pPr>
        <w:rPr>
          <w:rFonts w:asciiTheme="minorHAnsi" w:hAnsiTheme="minorHAnsi" w:cstheme="minorHAnsi"/>
          <w:bCs/>
        </w:rPr>
      </w:pPr>
    </w:p>
    <w:p w14:paraId="520BE571" w14:textId="77777777" w:rsidR="00566F72" w:rsidRPr="00494448" w:rsidRDefault="00566F72" w:rsidP="005859DB">
      <w:pPr>
        <w:rPr>
          <w:rFonts w:asciiTheme="minorHAnsi" w:hAnsiTheme="minorHAnsi"/>
          <w:b/>
          <w:bCs/>
        </w:rPr>
      </w:pPr>
      <w:r w:rsidRPr="0090588D">
        <w:rPr>
          <w:rFonts w:asciiTheme="minorHAnsi" w:hAnsiTheme="minorHAnsi"/>
          <w:b/>
          <w:bCs/>
        </w:rPr>
        <w:t xml:space="preserve">Environmental and Other </w:t>
      </w:r>
      <w:r w:rsidRPr="00494448">
        <w:rPr>
          <w:rFonts w:asciiTheme="minorHAnsi" w:hAnsiTheme="minorHAnsi"/>
          <w:b/>
          <w:bCs/>
        </w:rPr>
        <w:t>N</w:t>
      </w:r>
      <w:r w:rsidRPr="0090588D">
        <w:rPr>
          <w:rFonts w:asciiTheme="minorHAnsi" w:hAnsiTheme="minorHAnsi"/>
          <w:b/>
          <w:bCs/>
        </w:rPr>
        <w:t>on-</w:t>
      </w:r>
      <w:r w:rsidRPr="00494448">
        <w:rPr>
          <w:rFonts w:asciiTheme="minorHAnsi" w:hAnsiTheme="minorHAnsi"/>
          <w:b/>
          <w:bCs/>
        </w:rPr>
        <w:t>G</w:t>
      </w:r>
      <w:r w:rsidRPr="0090588D">
        <w:rPr>
          <w:rFonts w:asciiTheme="minorHAnsi" w:hAnsiTheme="minorHAnsi"/>
          <w:b/>
          <w:bCs/>
        </w:rPr>
        <w:t xml:space="preserve">overnmental </w:t>
      </w:r>
      <w:r w:rsidRPr="00494448">
        <w:rPr>
          <w:rFonts w:asciiTheme="minorHAnsi" w:hAnsiTheme="minorHAnsi"/>
          <w:b/>
          <w:bCs/>
        </w:rPr>
        <w:t>O</w:t>
      </w:r>
      <w:r w:rsidRPr="0090588D">
        <w:rPr>
          <w:rFonts w:asciiTheme="minorHAnsi" w:hAnsiTheme="minorHAnsi"/>
          <w:b/>
          <w:bCs/>
        </w:rPr>
        <w:t>rganization</w:t>
      </w:r>
      <w:r w:rsidRPr="00494448">
        <w:rPr>
          <w:rFonts w:asciiTheme="minorHAnsi" w:hAnsiTheme="minorHAnsi"/>
          <w:b/>
          <w:bCs/>
        </w:rPr>
        <w:t>s</w:t>
      </w:r>
      <w:r w:rsidRPr="0090588D">
        <w:rPr>
          <w:rFonts w:asciiTheme="minorHAnsi" w:hAnsiTheme="minorHAnsi"/>
          <w:b/>
          <w:bCs/>
        </w:rPr>
        <w:t xml:space="preserve"> (NGO)</w:t>
      </w:r>
    </w:p>
    <w:p w14:paraId="2D6DF8B1" w14:textId="77777777" w:rsidR="00566F72" w:rsidRPr="00494448" w:rsidRDefault="00566F72" w:rsidP="005859DB">
      <w:pPr>
        <w:rPr>
          <w:rFonts w:asciiTheme="minorHAnsi" w:hAnsiTheme="minorHAnsi"/>
        </w:rPr>
      </w:pPr>
    </w:p>
    <w:p w14:paraId="6EEA7391" w14:textId="204C7DE7" w:rsidR="00566F72" w:rsidRPr="0090588D" w:rsidRDefault="00566F72" w:rsidP="005859DB">
      <w:pPr>
        <w:pStyle w:val="ListParagraph"/>
        <w:numPr>
          <w:ilvl w:val="0"/>
          <w:numId w:val="57"/>
        </w:numPr>
        <w:rPr>
          <w:rFonts w:asciiTheme="minorHAnsi" w:hAnsiTheme="minorHAnsi"/>
        </w:rPr>
      </w:pPr>
      <w:r w:rsidRPr="00494448">
        <w:rPr>
          <w:rFonts w:asciiTheme="minorHAnsi" w:hAnsiTheme="minorHAnsi"/>
        </w:rPr>
        <w:t>CleanEarth4Kids.org</w:t>
      </w:r>
      <w:r w:rsidR="00980F8B">
        <w:rPr>
          <w:rFonts w:asciiTheme="minorHAnsi" w:hAnsiTheme="minorHAnsi"/>
        </w:rPr>
        <w:t xml:space="preserve"> [-0226]</w:t>
      </w:r>
    </w:p>
    <w:p w14:paraId="336076A4" w14:textId="6273A1F3" w:rsidR="00566F72" w:rsidRPr="0090588D" w:rsidRDefault="00566F72" w:rsidP="005859DB">
      <w:pPr>
        <w:pStyle w:val="ListParagraph"/>
        <w:numPr>
          <w:ilvl w:val="0"/>
          <w:numId w:val="57"/>
        </w:numPr>
        <w:rPr>
          <w:rFonts w:asciiTheme="minorHAnsi" w:hAnsiTheme="minorHAnsi"/>
        </w:rPr>
      </w:pPr>
      <w:r w:rsidRPr="00494448">
        <w:rPr>
          <w:rFonts w:asciiTheme="minorHAnsi" w:hAnsiTheme="minorHAnsi"/>
        </w:rPr>
        <w:t>Westland Ecumenical Community Food Pantry</w:t>
      </w:r>
      <w:r w:rsidR="00980F8B">
        <w:rPr>
          <w:rFonts w:asciiTheme="minorHAnsi" w:hAnsiTheme="minorHAnsi"/>
        </w:rPr>
        <w:t xml:space="preserve"> [-0289]</w:t>
      </w:r>
    </w:p>
    <w:p w14:paraId="16B439E3" w14:textId="42A2F6C1"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Pollinator Pathways NE</w:t>
      </w:r>
      <w:r w:rsidR="00980F8B">
        <w:rPr>
          <w:rFonts w:asciiTheme="minorHAnsi" w:hAnsiTheme="minorHAnsi"/>
        </w:rPr>
        <w:t xml:space="preserve"> [-0319]</w:t>
      </w:r>
    </w:p>
    <w:p w14:paraId="1B1D77CF" w14:textId="4E388190"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Ecology Party of Florida</w:t>
      </w:r>
      <w:r w:rsidR="00980F8B">
        <w:rPr>
          <w:rFonts w:asciiTheme="minorHAnsi" w:hAnsiTheme="minorHAnsi"/>
        </w:rPr>
        <w:t xml:space="preserve"> [-0314]</w:t>
      </w:r>
    </w:p>
    <w:p w14:paraId="5489F878" w14:textId="7CD9B61B"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Friends of Animals</w:t>
      </w:r>
      <w:r w:rsidR="00980F8B">
        <w:rPr>
          <w:rFonts w:asciiTheme="minorHAnsi" w:hAnsiTheme="minorHAnsi"/>
        </w:rPr>
        <w:t xml:space="preserve"> [-0335]</w:t>
      </w:r>
    </w:p>
    <w:p w14:paraId="4C0DFD3E" w14:textId="01547584"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Beyond Pesticides</w:t>
      </w:r>
      <w:r w:rsidR="00980F8B">
        <w:rPr>
          <w:rFonts w:asciiTheme="minorHAnsi" w:hAnsiTheme="minorHAnsi"/>
        </w:rPr>
        <w:t xml:space="preserve"> [-0361]</w:t>
      </w:r>
    </w:p>
    <w:p w14:paraId="4FB911B5" w14:textId="5FD76F10" w:rsidR="00566F72" w:rsidRPr="0090588D" w:rsidRDefault="00566F72" w:rsidP="005859DB">
      <w:pPr>
        <w:pStyle w:val="ListParagraph"/>
        <w:numPr>
          <w:ilvl w:val="0"/>
          <w:numId w:val="57"/>
        </w:numPr>
        <w:rPr>
          <w:rFonts w:asciiTheme="minorHAnsi" w:hAnsiTheme="minorHAnsi"/>
        </w:rPr>
      </w:pPr>
      <w:proofErr w:type="spellStart"/>
      <w:r w:rsidRPr="0090588D">
        <w:rPr>
          <w:rFonts w:asciiTheme="minorHAnsi" w:hAnsiTheme="minorHAnsi"/>
        </w:rPr>
        <w:t>Nextdoor</w:t>
      </w:r>
      <w:proofErr w:type="spellEnd"/>
      <w:r w:rsidRPr="0090588D">
        <w:rPr>
          <w:rFonts w:asciiTheme="minorHAnsi" w:hAnsiTheme="minorHAnsi"/>
        </w:rPr>
        <w:t>, Inc.</w:t>
      </w:r>
      <w:r w:rsidR="00980F8B">
        <w:rPr>
          <w:rFonts w:asciiTheme="minorHAnsi" w:hAnsiTheme="minorHAnsi"/>
        </w:rPr>
        <w:t xml:space="preserve"> [-0363]</w:t>
      </w:r>
    </w:p>
    <w:p w14:paraId="09E932F6" w14:textId="38E98BF8"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Cine-Consults</w:t>
      </w:r>
      <w:r w:rsidR="00980F8B">
        <w:rPr>
          <w:rFonts w:asciiTheme="minorHAnsi" w:hAnsiTheme="minorHAnsi"/>
        </w:rPr>
        <w:t xml:space="preserve"> [</w:t>
      </w:r>
      <w:r w:rsidR="00433FD0">
        <w:rPr>
          <w:rFonts w:asciiTheme="minorHAnsi" w:hAnsiTheme="minorHAnsi"/>
        </w:rPr>
        <w:t>-</w:t>
      </w:r>
      <w:r w:rsidR="00980F8B">
        <w:rPr>
          <w:rFonts w:asciiTheme="minorHAnsi" w:hAnsiTheme="minorHAnsi"/>
        </w:rPr>
        <w:t>0366]</w:t>
      </w:r>
    </w:p>
    <w:p w14:paraId="5254B18D" w14:textId="23B62120"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Northern Michigan Environmental Action Council</w:t>
      </w:r>
      <w:r w:rsidR="00980F8B">
        <w:rPr>
          <w:rFonts w:asciiTheme="minorHAnsi" w:hAnsiTheme="minorHAnsi"/>
        </w:rPr>
        <w:t xml:space="preserve"> [-0368]</w:t>
      </w:r>
    </w:p>
    <w:p w14:paraId="162C522E" w14:textId="084651F7"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Center for Biological Diversity</w:t>
      </w:r>
      <w:r w:rsidR="00980F8B">
        <w:rPr>
          <w:rFonts w:asciiTheme="minorHAnsi" w:hAnsiTheme="minorHAnsi"/>
        </w:rPr>
        <w:t xml:space="preserve"> </w:t>
      </w:r>
      <w:r w:rsidR="00980F8B" w:rsidRPr="00980F8B">
        <w:rPr>
          <w:rFonts w:asciiTheme="minorHAnsi" w:hAnsiTheme="minorHAnsi"/>
        </w:rPr>
        <w:t>(CBD) [-0460, -0461, -0462, -0463, -0464, -0470]</w:t>
      </w:r>
    </w:p>
    <w:p w14:paraId="3D596E07" w14:textId="2C9F5A63"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Center for Food Safety (CFS)</w:t>
      </w:r>
      <w:r w:rsidR="00980F8B">
        <w:rPr>
          <w:rFonts w:asciiTheme="minorHAnsi" w:hAnsiTheme="minorHAnsi"/>
        </w:rPr>
        <w:t xml:space="preserve"> [-0465]</w:t>
      </w:r>
    </w:p>
    <w:p w14:paraId="2ADEC8AD" w14:textId="7B330EFA"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United States Public Interest Research Group (U.S. PIRG)</w:t>
      </w:r>
      <w:r w:rsidR="00980F8B">
        <w:rPr>
          <w:rFonts w:asciiTheme="minorHAnsi" w:hAnsiTheme="minorHAnsi"/>
        </w:rPr>
        <w:t xml:space="preserve"> [-0469]</w:t>
      </w:r>
    </w:p>
    <w:p w14:paraId="3FC56F49" w14:textId="39891493" w:rsidR="00566F72" w:rsidRPr="00494448" w:rsidRDefault="00566F72" w:rsidP="005859DB">
      <w:pPr>
        <w:pStyle w:val="ListParagraph"/>
        <w:numPr>
          <w:ilvl w:val="0"/>
          <w:numId w:val="57"/>
        </w:numPr>
        <w:rPr>
          <w:rFonts w:asciiTheme="minorHAnsi" w:hAnsiTheme="minorHAnsi"/>
          <w:color w:val="000000"/>
        </w:rPr>
      </w:pPr>
      <w:r w:rsidRPr="00494448">
        <w:rPr>
          <w:rFonts w:asciiTheme="minorHAnsi" w:hAnsiTheme="minorHAnsi"/>
          <w:color w:val="000000"/>
        </w:rPr>
        <w:t>Environmental Action</w:t>
      </w:r>
      <w:r w:rsidR="00980F8B">
        <w:rPr>
          <w:rFonts w:asciiTheme="minorHAnsi" w:hAnsiTheme="minorHAnsi"/>
          <w:color w:val="000000"/>
        </w:rPr>
        <w:t xml:space="preserve"> [-0471]</w:t>
      </w:r>
    </w:p>
    <w:p w14:paraId="144B2694" w14:textId="28E57617" w:rsidR="00566F72" w:rsidRPr="0090588D" w:rsidRDefault="00566F72" w:rsidP="005859DB">
      <w:pPr>
        <w:pStyle w:val="ListParagraph"/>
        <w:numPr>
          <w:ilvl w:val="0"/>
          <w:numId w:val="57"/>
        </w:numPr>
        <w:rPr>
          <w:rFonts w:asciiTheme="minorHAnsi" w:hAnsiTheme="minorHAnsi"/>
        </w:rPr>
      </w:pPr>
      <w:r w:rsidRPr="0090588D">
        <w:rPr>
          <w:rFonts w:asciiTheme="minorHAnsi" w:hAnsiTheme="minorHAnsi"/>
        </w:rPr>
        <w:t>Environment America</w:t>
      </w:r>
      <w:r w:rsidR="00980F8B">
        <w:rPr>
          <w:rFonts w:asciiTheme="minorHAnsi" w:hAnsiTheme="minorHAnsi"/>
        </w:rPr>
        <w:t xml:space="preserve"> [-0474]</w:t>
      </w:r>
    </w:p>
    <w:p w14:paraId="5FEF5388" w14:textId="6BC50227" w:rsidR="00826440" w:rsidRPr="0090588D" w:rsidRDefault="00826440" w:rsidP="005859DB">
      <w:pPr>
        <w:rPr>
          <w:rFonts w:asciiTheme="minorHAnsi" w:hAnsiTheme="minorHAnsi" w:cstheme="minorHAnsi"/>
          <w:bCs/>
        </w:rPr>
      </w:pPr>
    </w:p>
    <w:p w14:paraId="15C1FE59" w14:textId="36923870" w:rsidR="00F02711" w:rsidRPr="0090588D" w:rsidRDefault="00883D78" w:rsidP="005859DB">
      <w:pPr>
        <w:rPr>
          <w:rFonts w:asciiTheme="minorHAnsi" w:hAnsiTheme="minorHAnsi" w:cstheme="minorHAnsi"/>
          <w:b/>
        </w:rPr>
      </w:pPr>
      <w:r w:rsidRPr="0090588D">
        <w:rPr>
          <w:rFonts w:asciiTheme="minorHAnsi" w:hAnsiTheme="minorHAnsi" w:cstheme="minorHAnsi"/>
          <w:b/>
        </w:rPr>
        <w:t xml:space="preserve">Pesticide </w:t>
      </w:r>
      <w:r w:rsidR="00F02711" w:rsidRPr="0090588D">
        <w:rPr>
          <w:rFonts w:asciiTheme="minorHAnsi" w:hAnsiTheme="minorHAnsi" w:cstheme="minorHAnsi"/>
          <w:b/>
        </w:rPr>
        <w:t>Registrants and Consultants</w:t>
      </w:r>
    </w:p>
    <w:p w14:paraId="1FAB36EF" w14:textId="77777777" w:rsidR="00F02711" w:rsidRPr="0090588D" w:rsidRDefault="00F02711" w:rsidP="005859DB">
      <w:pPr>
        <w:rPr>
          <w:rFonts w:asciiTheme="minorHAnsi" w:hAnsiTheme="minorHAnsi" w:cstheme="minorHAnsi"/>
          <w:b/>
        </w:rPr>
      </w:pPr>
    </w:p>
    <w:p w14:paraId="0A382178" w14:textId="46B40280" w:rsidR="00F02711" w:rsidRPr="00B4664D" w:rsidRDefault="00F02711" w:rsidP="005859DB">
      <w:pPr>
        <w:pStyle w:val="ListParagraph"/>
        <w:numPr>
          <w:ilvl w:val="0"/>
          <w:numId w:val="52"/>
        </w:numPr>
        <w:rPr>
          <w:rFonts w:asciiTheme="minorHAnsi" w:hAnsiTheme="minorHAnsi"/>
          <w:color w:val="000000"/>
        </w:rPr>
      </w:pPr>
      <w:r w:rsidRPr="00B4664D">
        <w:rPr>
          <w:rFonts w:asciiTheme="minorHAnsi" w:hAnsiTheme="minorHAnsi"/>
          <w:color w:val="000000"/>
        </w:rPr>
        <w:t>Syngenta Crop Protection, LLC</w:t>
      </w:r>
      <w:r w:rsidR="00980F8B" w:rsidRPr="00980F8B">
        <w:rPr>
          <w:rFonts w:asciiTheme="minorHAnsi" w:hAnsiTheme="minorHAnsi"/>
          <w:color w:val="000000"/>
        </w:rPr>
        <w:t xml:space="preserve"> [-0010, -0045, -0467]</w:t>
      </w:r>
    </w:p>
    <w:p w14:paraId="490A3299" w14:textId="0D6619C5" w:rsidR="00F02711" w:rsidRPr="00B4664D" w:rsidRDefault="00F02711" w:rsidP="005859DB">
      <w:pPr>
        <w:pStyle w:val="ListParagraph"/>
        <w:numPr>
          <w:ilvl w:val="0"/>
          <w:numId w:val="52"/>
        </w:numPr>
        <w:rPr>
          <w:rFonts w:asciiTheme="minorHAnsi" w:hAnsiTheme="minorHAnsi"/>
          <w:color w:val="000000"/>
        </w:rPr>
      </w:pPr>
      <w:r w:rsidRPr="00B4664D">
        <w:rPr>
          <w:rFonts w:asciiTheme="minorHAnsi" w:hAnsiTheme="minorHAnsi"/>
          <w:color w:val="000000"/>
        </w:rPr>
        <w:t>Bayer CropScience LP</w:t>
      </w:r>
      <w:r w:rsidR="00980F8B" w:rsidRPr="00980F8B">
        <w:rPr>
          <w:rFonts w:asciiTheme="minorHAnsi" w:hAnsiTheme="minorHAnsi"/>
          <w:color w:val="000000"/>
        </w:rPr>
        <w:t xml:space="preserve"> [-0008, -0466]</w:t>
      </w:r>
    </w:p>
    <w:p w14:paraId="426CDE2A" w14:textId="232770B1" w:rsidR="00F02711" w:rsidRPr="0090588D" w:rsidRDefault="00F02711" w:rsidP="005859DB">
      <w:pPr>
        <w:pStyle w:val="ListParagraph"/>
        <w:numPr>
          <w:ilvl w:val="0"/>
          <w:numId w:val="52"/>
        </w:numPr>
        <w:rPr>
          <w:rFonts w:asciiTheme="minorHAnsi" w:hAnsiTheme="minorHAnsi" w:cstheme="minorHAnsi"/>
          <w:bCs/>
        </w:rPr>
      </w:pPr>
      <w:r w:rsidRPr="00B4664D">
        <w:rPr>
          <w:rFonts w:asciiTheme="minorHAnsi" w:hAnsiTheme="minorHAnsi" w:cstheme="minorHAnsi"/>
          <w:bCs/>
        </w:rPr>
        <w:t xml:space="preserve">Bayer US LLC </w:t>
      </w:r>
      <w:r w:rsidRPr="00B4664D">
        <w:rPr>
          <w:rFonts w:asciiTheme="minorHAnsi" w:hAnsiTheme="minorHAnsi" w:cstheme="minorHAnsi"/>
          <w:bCs/>
          <w:i/>
          <w:iCs/>
        </w:rPr>
        <w:t>et al.</w:t>
      </w:r>
      <w:r w:rsidR="00980F8B">
        <w:rPr>
          <w:rFonts w:asciiTheme="minorHAnsi" w:hAnsiTheme="minorHAnsi" w:cstheme="minorHAnsi"/>
          <w:bCs/>
        </w:rPr>
        <w:t xml:space="preserve"> [-0049]</w:t>
      </w:r>
    </w:p>
    <w:p w14:paraId="469A1D74" w14:textId="42E92A89" w:rsidR="00F02711" w:rsidRPr="0090588D" w:rsidRDefault="00F02711"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Valent U.S.A. LLC</w:t>
      </w:r>
      <w:r w:rsidR="00980F8B">
        <w:rPr>
          <w:rFonts w:asciiTheme="minorHAnsi" w:hAnsiTheme="minorHAnsi" w:cstheme="minorHAnsi"/>
          <w:bCs/>
        </w:rPr>
        <w:t xml:space="preserve"> [-0051</w:t>
      </w:r>
      <w:r w:rsidR="00433FD0">
        <w:rPr>
          <w:rFonts w:asciiTheme="minorHAnsi" w:hAnsiTheme="minorHAnsi" w:cstheme="minorHAnsi"/>
          <w:bCs/>
        </w:rPr>
        <w:t>,</w:t>
      </w:r>
      <w:r w:rsidR="00980F8B">
        <w:rPr>
          <w:rFonts w:asciiTheme="minorHAnsi" w:hAnsiTheme="minorHAnsi" w:cstheme="minorHAnsi"/>
          <w:bCs/>
        </w:rPr>
        <w:t xml:space="preserve"> -0053]</w:t>
      </w:r>
    </w:p>
    <w:p w14:paraId="62926D62" w14:textId="6C61291A" w:rsidR="00F02711" w:rsidRPr="0090588D" w:rsidRDefault="00F02711"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BASF Corporation</w:t>
      </w:r>
      <w:r w:rsidR="00980F8B">
        <w:rPr>
          <w:rFonts w:asciiTheme="minorHAnsi" w:hAnsiTheme="minorHAnsi" w:cstheme="minorHAnsi"/>
          <w:bCs/>
        </w:rPr>
        <w:t xml:space="preserve"> [-0053]</w:t>
      </w:r>
    </w:p>
    <w:p w14:paraId="0FD59280" w14:textId="2DCC6B10" w:rsidR="00C31BA4" w:rsidRPr="0090588D" w:rsidRDefault="00C31BA4"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Nufarm Americas, Inc.</w:t>
      </w:r>
      <w:r w:rsidR="00980F8B">
        <w:rPr>
          <w:rFonts w:asciiTheme="minorHAnsi" w:hAnsiTheme="minorHAnsi" w:cstheme="minorHAnsi"/>
          <w:bCs/>
        </w:rPr>
        <w:t xml:space="preserve"> [-0054]</w:t>
      </w:r>
    </w:p>
    <w:p w14:paraId="4485DE0A" w14:textId="1478786E" w:rsidR="00F02711" w:rsidRPr="00B4664D" w:rsidRDefault="00F02711" w:rsidP="005859DB">
      <w:pPr>
        <w:pStyle w:val="ListParagraph"/>
        <w:numPr>
          <w:ilvl w:val="0"/>
          <w:numId w:val="52"/>
        </w:numPr>
        <w:rPr>
          <w:rFonts w:asciiTheme="minorHAnsi" w:hAnsiTheme="minorHAnsi"/>
          <w:color w:val="000000"/>
        </w:rPr>
      </w:pPr>
      <w:r w:rsidRPr="00B4664D">
        <w:rPr>
          <w:rFonts w:asciiTheme="minorHAnsi" w:hAnsiTheme="minorHAnsi"/>
          <w:color w:val="000000"/>
        </w:rPr>
        <w:t>SBM Life Science Corp.</w:t>
      </w:r>
      <w:r w:rsidR="00980F8B">
        <w:rPr>
          <w:rFonts w:asciiTheme="minorHAnsi" w:hAnsiTheme="minorHAnsi"/>
          <w:color w:val="000000"/>
        </w:rPr>
        <w:t xml:space="preserve"> [-0336]</w:t>
      </w:r>
    </w:p>
    <w:p w14:paraId="5B5E4E61" w14:textId="3658AAAA" w:rsidR="00F02711" w:rsidRPr="0090588D" w:rsidRDefault="00F02711"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Elanco US Inc.</w:t>
      </w:r>
      <w:r w:rsidR="00980F8B">
        <w:rPr>
          <w:rFonts w:asciiTheme="minorHAnsi" w:hAnsiTheme="minorHAnsi" w:cstheme="minorHAnsi"/>
          <w:bCs/>
        </w:rPr>
        <w:t xml:space="preserve"> [-0040]</w:t>
      </w:r>
    </w:p>
    <w:p w14:paraId="05941F5D" w14:textId="2310ADA6" w:rsidR="00F02711" w:rsidRPr="0090588D" w:rsidRDefault="00F02711"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Humane Wildlife Control Inc.</w:t>
      </w:r>
      <w:r w:rsidR="00980F8B">
        <w:rPr>
          <w:rFonts w:asciiTheme="minorHAnsi" w:hAnsiTheme="minorHAnsi" w:cstheme="minorHAnsi"/>
          <w:bCs/>
        </w:rPr>
        <w:t xml:space="preserve"> [-0320]</w:t>
      </w:r>
    </w:p>
    <w:p w14:paraId="7D1C912A" w14:textId="6ED86F8A" w:rsidR="00F02711" w:rsidRPr="0090588D" w:rsidRDefault="00F02711"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Clark Crop Consulting, Inc.</w:t>
      </w:r>
      <w:r w:rsidR="00980F8B">
        <w:rPr>
          <w:rFonts w:asciiTheme="minorHAnsi" w:hAnsiTheme="minorHAnsi" w:cstheme="minorHAnsi"/>
          <w:bCs/>
        </w:rPr>
        <w:t xml:space="preserve"> [-0354]</w:t>
      </w:r>
    </w:p>
    <w:p w14:paraId="0E5F9F2C" w14:textId="78A5C928" w:rsidR="00BE0A35" w:rsidRPr="00B4664D" w:rsidRDefault="00BE0A35"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FIFRA Endangered Species Task Force (FESTF)</w:t>
      </w:r>
      <w:r w:rsidR="00980F8B">
        <w:rPr>
          <w:rFonts w:asciiTheme="minorHAnsi" w:hAnsiTheme="minorHAnsi" w:cstheme="minorHAnsi"/>
          <w:bCs/>
        </w:rPr>
        <w:t xml:space="preserve"> [-0350]</w:t>
      </w:r>
    </w:p>
    <w:p w14:paraId="71567617" w14:textId="77777777" w:rsidR="00F02711" w:rsidRPr="00B4664D" w:rsidRDefault="00F02711" w:rsidP="005859DB">
      <w:pPr>
        <w:rPr>
          <w:rFonts w:asciiTheme="minorHAnsi" w:hAnsiTheme="minorHAnsi" w:cstheme="minorHAnsi"/>
          <w:bCs/>
        </w:rPr>
      </w:pPr>
    </w:p>
    <w:p w14:paraId="7FF0931E" w14:textId="768CF150" w:rsidR="00826440" w:rsidRPr="00B4664D" w:rsidRDefault="00826440" w:rsidP="005859DB">
      <w:pPr>
        <w:keepNext/>
        <w:keepLines/>
        <w:rPr>
          <w:rFonts w:asciiTheme="minorHAnsi" w:hAnsiTheme="minorHAnsi" w:cstheme="minorHAnsi"/>
          <w:b/>
        </w:rPr>
      </w:pPr>
      <w:r w:rsidRPr="00B4664D">
        <w:rPr>
          <w:rFonts w:asciiTheme="minorHAnsi" w:hAnsiTheme="minorHAnsi" w:cstheme="minorHAnsi"/>
          <w:b/>
        </w:rPr>
        <w:lastRenderedPageBreak/>
        <w:t>Commercial Association</w:t>
      </w:r>
      <w:r w:rsidR="00915EF2" w:rsidRPr="0090588D">
        <w:rPr>
          <w:rFonts w:asciiTheme="minorHAnsi" w:hAnsiTheme="minorHAnsi" w:cstheme="minorHAnsi"/>
          <w:b/>
        </w:rPr>
        <w:t>s</w:t>
      </w:r>
    </w:p>
    <w:p w14:paraId="76A9168C" w14:textId="4FD2DE3D" w:rsidR="00826440" w:rsidRPr="0090588D" w:rsidRDefault="00826440" w:rsidP="005859DB">
      <w:pPr>
        <w:keepNext/>
        <w:keepLines/>
        <w:rPr>
          <w:rFonts w:asciiTheme="minorHAnsi" w:hAnsiTheme="minorHAnsi" w:cstheme="minorHAnsi"/>
          <w:bCs/>
        </w:rPr>
      </w:pPr>
    </w:p>
    <w:p w14:paraId="67A49ADB" w14:textId="65AC4070" w:rsidR="00826440" w:rsidRPr="0090588D" w:rsidRDefault="00915EF2" w:rsidP="005859DB">
      <w:pPr>
        <w:pStyle w:val="ListParagraph"/>
        <w:keepNext/>
        <w:keepLines/>
        <w:numPr>
          <w:ilvl w:val="0"/>
          <w:numId w:val="52"/>
        </w:numPr>
        <w:rPr>
          <w:rFonts w:asciiTheme="minorHAnsi" w:hAnsiTheme="minorHAnsi" w:cstheme="minorHAnsi"/>
          <w:bCs/>
        </w:rPr>
      </w:pPr>
      <w:r w:rsidRPr="0090588D">
        <w:rPr>
          <w:rFonts w:asciiTheme="minorHAnsi" w:hAnsiTheme="minorHAnsi" w:cstheme="minorHAnsi"/>
          <w:bCs/>
        </w:rPr>
        <w:t>CropLife America (CLA)</w:t>
      </w:r>
      <w:r w:rsidR="00980F8B" w:rsidRPr="00980F8B">
        <w:rPr>
          <w:rFonts w:asciiTheme="minorHAnsi" w:hAnsiTheme="minorHAnsi" w:cstheme="minorHAnsi"/>
          <w:bCs/>
        </w:rPr>
        <w:t xml:space="preserve"> [-0011, -0330, -0345]</w:t>
      </w:r>
    </w:p>
    <w:p w14:paraId="66E831AB" w14:textId="2AF881C1"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Sunflower Association (NSA)</w:t>
      </w:r>
      <w:r w:rsidR="00980F8B">
        <w:rPr>
          <w:rFonts w:asciiTheme="minorHAnsi" w:hAnsiTheme="minorHAnsi" w:cstheme="minorHAnsi"/>
          <w:bCs/>
        </w:rPr>
        <w:t xml:space="preserve"> [-0013]</w:t>
      </w:r>
    </w:p>
    <w:p w14:paraId="6EFBE160" w14:textId="1C678CE9"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 xml:space="preserve">Agricultural Retailers Association </w:t>
      </w:r>
      <w:r w:rsidRPr="00B4664D">
        <w:rPr>
          <w:rFonts w:asciiTheme="minorHAnsi" w:hAnsiTheme="minorHAnsi" w:cstheme="minorHAnsi"/>
          <w:bCs/>
          <w:i/>
          <w:iCs/>
        </w:rPr>
        <w:t>et al.</w:t>
      </w:r>
      <w:r w:rsidR="00980F8B">
        <w:rPr>
          <w:rFonts w:asciiTheme="minorHAnsi" w:hAnsiTheme="minorHAnsi" w:cstheme="minorHAnsi"/>
          <w:bCs/>
        </w:rPr>
        <w:t xml:space="preserve"> [-0017]</w:t>
      </w:r>
    </w:p>
    <w:p w14:paraId="47EA5DD9" w14:textId="27ACCC8B"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Florida Fruit and Vegetable Association (FFVA)</w:t>
      </w:r>
      <w:r w:rsidR="00980F8B">
        <w:rPr>
          <w:rFonts w:asciiTheme="minorHAnsi" w:hAnsiTheme="minorHAnsi" w:cstheme="minorHAnsi"/>
          <w:bCs/>
        </w:rPr>
        <w:t xml:space="preserve"> [-0018]</w:t>
      </w:r>
    </w:p>
    <w:p w14:paraId="01737BFE" w14:textId="4CB98CD6"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The Michigan Vegetable Council, Inc.</w:t>
      </w:r>
      <w:r w:rsidR="00980F8B">
        <w:rPr>
          <w:rFonts w:asciiTheme="minorHAnsi" w:hAnsiTheme="minorHAnsi" w:cstheme="minorHAnsi"/>
          <w:bCs/>
        </w:rPr>
        <w:t xml:space="preserve"> [-0020]</w:t>
      </w:r>
    </w:p>
    <w:p w14:paraId="2A48C40A" w14:textId="3143004B"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Mid-South Entomology Working Group (MSEWG)</w:t>
      </w:r>
      <w:r w:rsidR="00980F8B">
        <w:rPr>
          <w:rFonts w:asciiTheme="minorHAnsi" w:hAnsiTheme="minorHAnsi" w:cstheme="minorHAnsi"/>
          <w:bCs/>
        </w:rPr>
        <w:t xml:space="preserve"> [-0021]</w:t>
      </w:r>
    </w:p>
    <w:p w14:paraId="34B7FDE0" w14:textId="468928B0"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Texas Citrus Mutual (TCM)</w:t>
      </w:r>
      <w:r w:rsidR="00980F8B">
        <w:rPr>
          <w:rFonts w:asciiTheme="minorHAnsi" w:hAnsiTheme="minorHAnsi" w:cstheme="minorHAnsi"/>
          <w:bCs/>
        </w:rPr>
        <w:t xml:space="preserve"> [-0022]</w:t>
      </w:r>
    </w:p>
    <w:p w14:paraId="6657958F" w14:textId="0CCB17A2"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Corn Growers Association (NCGA)</w:t>
      </w:r>
      <w:r w:rsidR="00980F8B">
        <w:rPr>
          <w:rFonts w:asciiTheme="minorHAnsi" w:hAnsiTheme="minorHAnsi" w:cstheme="minorHAnsi"/>
          <w:bCs/>
        </w:rPr>
        <w:t xml:space="preserve"> [-0023]</w:t>
      </w:r>
    </w:p>
    <w:p w14:paraId="5A4C4F77" w14:textId="79724290"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Georgia Fruit and Vegetable Growers Association (GFVGA)</w:t>
      </w:r>
      <w:r w:rsidR="00980F8B">
        <w:rPr>
          <w:rFonts w:asciiTheme="minorHAnsi" w:hAnsiTheme="minorHAnsi" w:cstheme="minorHAnsi"/>
          <w:bCs/>
        </w:rPr>
        <w:t xml:space="preserve"> </w:t>
      </w:r>
      <w:r w:rsidR="00EE5AA6">
        <w:rPr>
          <w:rFonts w:asciiTheme="minorHAnsi" w:hAnsiTheme="minorHAnsi" w:cstheme="minorHAnsi"/>
          <w:bCs/>
        </w:rPr>
        <w:t>[-0024]</w:t>
      </w:r>
    </w:p>
    <w:p w14:paraId="0EE8FEA8" w14:textId="32170D46"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Iowa Corn Growers Association (ICGA)</w:t>
      </w:r>
      <w:r w:rsidR="00EE5AA6">
        <w:rPr>
          <w:rFonts w:asciiTheme="minorHAnsi" w:hAnsiTheme="minorHAnsi" w:cstheme="minorHAnsi"/>
          <w:bCs/>
        </w:rPr>
        <w:t xml:space="preserve"> [-0025]</w:t>
      </w:r>
    </w:p>
    <w:p w14:paraId="724C9F65" w14:textId="4136AE98"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Barley Growers Association (NBGA)</w:t>
      </w:r>
      <w:r w:rsidR="00EE5AA6">
        <w:rPr>
          <w:rFonts w:asciiTheme="minorHAnsi" w:hAnsiTheme="minorHAnsi" w:cstheme="minorHAnsi"/>
          <w:bCs/>
        </w:rPr>
        <w:t xml:space="preserve"> [-0041]</w:t>
      </w:r>
    </w:p>
    <w:p w14:paraId="1ACDB0FA" w14:textId="0B2E947D"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Association of State Foresters (NASF)</w:t>
      </w:r>
      <w:r w:rsidR="00EE5AA6">
        <w:rPr>
          <w:rFonts w:asciiTheme="minorHAnsi" w:hAnsiTheme="minorHAnsi" w:cstheme="minorHAnsi"/>
          <w:bCs/>
        </w:rPr>
        <w:t xml:space="preserve"> [-0042]</w:t>
      </w:r>
    </w:p>
    <w:p w14:paraId="0FE9005A" w14:textId="2B899DEB"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Association of Wheat Growers (NAWG)</w:t>
      </w:r>
      <w:r w:rsidR="00EE5AA6">
        <w:rPr>
          <w:rFonts w:asciiTheme="minorHAnsi" w:hAnsiTheme="minorHAnsi" w:cstheme="minorHAnsi"/>
          <w:bCs/>
        </w:rPr>
        <w:t xml:space="preserve"> [-0043]</w:t>
      </w:r>
    </w:p>
    <w:p w14:paraId="03D26F74" w14:textId="3E49904B"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League of Food Producers (CLFP)</w:t>
      </w:r>
      <w:r w:rsidR="00EE5AA6">
        <w:rPr>
          <w:rFonts w:asciiTheme="minorHAnsi" w:hAnsiTheme="minorHAnsi" w:cstheme="minorHAnsi"/>
          <w:bCs/>
        </w:rPr>
        <w:t xml:space="preserve"> [-0044]</w:t>
      </w:r>
    </w:p>
    <w:p w14:paraId="6306D46E" w14:textId="509CB3D7"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American Peanut Council (APC)</w:t>
      </w:r>
      <w:r w:rsidR="00EE5AA6">
        <w:rPr>
          <w:rFonts w:asciiTheme="minorHAnsi" w:hAnsiTheme="minorHAnsi" w:cstheme="minorHAnsi"/>
          <w:bCs/>
        </w:rPr>
        <w:t xml:space="preserve"> [-0047]</w:t>
      </w:r>
    </w:p>
    <w:p w14:paraId="7F692E7F" w14:textId="402F1FE1"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Specialty Crops Council (CSCC)</w:t>
      </w:r>
      <w:r w:rsidR="00EE5AA6">
        <w:rPr>
          <w:rFonts w:asciiTheme="minorHAnsi" w:hAnsiTheme="minorHAnsi" w:cstheme="minorHAnsi"/>
          <w:bCs/>
        </w:rPr>
        <w:t xml:space="preserve"> [-0048]</w:t>
      </w:r>
    </w:p>
    <w:p w14:paraId="5A9CC4ED" w14:textId="60085E89"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Citrus Quality Council (CCQC) and California Citrus Mutual (CCM)</w:t>
      </w:r>
      <w:r w:rsidR="00EE5AA6">
        <w:rPr>
          <w:rFonts w:asciiTheme="minorHAnsi" w:hAnsiTheme="minorHAnsi" w:cstheme="minorHAnsi"/>
          <w:bCs/>
        </w:rPr>
        <w:t xml:space="preserve"> [-0050]</w:t>
      </w:r>
    </w:p>
    <w:p w14:paraId="271DDFBC" w14:textId="7FC9B0DA"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Potato Council (NPC)</w:t>
      </w:r>
      <w:r w:rsidR="00EE5AA6">
        <w:rPr>
          <w:rFonts w:asciiTheme="minorHAnsi" w:hAnsiTheme="minorHAnsi" w:cstheme="minorHAnsi"/>
          <w:bCs/>
        </w:rPr>
        <w:t xml:space="preserve"> [-0056]</w:t>
      </w:r>
    </w:p>
    <w:p w14:paraId="65FCAC4E" w14:textId="4D337114"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U.S. Canola Association (USCA)</w:t>
      </w:r>
      <w:r w:rsidR="00EE5AA6">
        <w:rPr>
          <w:rFonts w:asciiTheme="minorHAnsi" w:hAnsiTheme="minorHAnsi" w:cstheme="minorHAnsi"/>
          <w:bCs/>
        </w:rPr>
        <w:t xml:space="preserve"> [-0058]</w:t>
      </w:r>
    </w:p>
    <w:p w14:paraId="7B436E2F" w14:textId="0ACD078E"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Cranberry Institute (CI)</w:t>
      </w:r>
      <w:r w:rsidR="00EE5AA6">
        <w:rPr>
          <w:rFonts w:asciiTheme="minorHAnsi" w:hAnsiTheme="minorHAnsi" w:cstheme="minorHAnsi"/>
          <w:bCs/>
        </w:rPr>
        <w:t xml:space="preserve"> [-0059]</w:t>
      </w:r>
    </w:p>
    <w:p w14:paraId="7949F892" w14:textId="5AB8D15E"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South Dakota Agri-Business Association (SDABA)</w:t>
      </w:r>
      <w:r w:rsidR="00EE5AA6">
        <w:rPr>
          <w:rFonts w:asciiTheme="minorHAnsi" w:hAnsiTheme="minorHAnsi" w:cstheme="minorHAnsi"/>
          <w:bCs/>
        </w:rPr>
        <w:t xml:space="preserve"> [-0316]</w:t>
      </w:r>
    </w:p>
    <w:p w14:paraId="5FBBFAD3" w14:textId="5B96DF04"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American Seed Trade Association (ASTA)</w:t>
      </w:r>
      <w:r w:rsidR="00EE5AA6">
        <w:rPr>
          <w:rFonts w:asciiTheme="minorHAnsi" w:hAnsiTheme="minorHAnsi" w:cstheme="minorHAnsi"/>
          <w:bCs/>
        </w:rPr>
        <w:t xml:space="preserve"> [-0332]</w:t>
      </w:r>
    </w:p>
    <w:p w14:paraId="23035BE9" w14:textId="17F2A076"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 xml:space="preserve">U.S. Beet Sugar Association </w:t>
      </w:r>
      <w:r w:rsidRPr="00B4664D">
        <w:rPr>
          <w:rFonts w:asciiTheme="minorHAnsi" w:hAnsiTheme="minorHAnsi" w:cstheme="minorHAnsi"/>
          <w:bCs/>
          <w:i/>
          <w:iCs/>
        </w:rPr>
        <w:t>et al.</w:t>
      </w:r>
      <w:r w:rsidR="00EE5AA6">
        <w:rPr>
          <w:rFonts w:asciiTheme="minorHAnsi" w:hAnsiTheme="minorHAnsi" w:cstheme="minorHAnsi"/>
          <w:bCs/>
        </w:rPr>
        <w:t xml:space="preserve"> [-0034]</w:t>
      </w:r>
    </w:p>
    <w:p w14:paraId="39509D27" w14:textId="7D394915"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Pest Management Association (NPMA)</w:t>
      </w:r>
      <w:r w:rsidR="00EE5AA6">
        <w:rPr>
          <w:rFonts w:asciiTheme="minorHAnsi" w:hAnsiTheme="minorHAnsi" w:cstheme="minorHAnsi"/>
          <w:bCs/>
        </w:rPr>
        <w:t xml:space="preserve"> [-0337]</w:t>
      </w:r>
    </w:p>
    <w:p w14:paraId="25D2F5F4" w14:textId="73BAA4A4"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Fresh Fruit Association (CFFA)</w:t>
      </w:r>
      <w:r w:rsidR="00EE5AA6">
        <w:rPr>
          <w:rFonts w:asciiTheme="minorHAnsi" w:hAnsiTheme="minorHAnsi" w:cstheme="minorHAnsi"/>
          <w:bCs/>
        </w:rPr>
        <w:t xml:space="preserve"> [-0338]</w:t>
      </w:r>
    </w:p>
    <w:p w14:paraId="0B71DB39" w14:textId="7F6D96BA" w:rsidR="00915EF2" w:rsidRPr="0090588D" w:rsidRDefault="00915EF2"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Agricultural Retailers Association (ARA)</w:t>
      </w:r>
      <w:r w:rsidR="00EE5AA6">
        <w:rPr>
          <w:rFonts w:asciiTheme="minorHAnsi" w:hAnsiTheme="minorHAnsi" w:cstheme="minorHAnsi"/>
          <w:bCs/>
        </w:rPr>
        <w:t xml:space="preserve"> [-0340]</w:t>
      </w:r>
    </w:p>
    <w:p w14:paraId="3A50E7F0" w14:textId="5E7AB2A5" w:rsidR="00915EF2"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American Soybean Association (ASA)</w:t>
      </w:r>
      <w:r w:rsidR="00EE5AA6">
        <w:rPr>
          <w:rFonts w:asciiTheme="minorHAnsi" w:hAnsiTheme="minorHAnsi" w:cstheme="minorHAnsi"/>
          <w:bCs/>
        </w:rPr>
        <w:t xml:space="preserve"> [-0341]</w:t>
      </w:r>
    </w:p>
    <w:p w14:paraId="5803ABBB" w14:textId="4D28FD95"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Northwest Horticultural Council</w:t>
      </w:r>
      <w:r w:rsidR="00EE5AA6">
        <w:rPr>
          <w:rFonts w:asciiTheme="minorHAnsi" w:hAnsiTheme="minorHAnsi" w:cstheme="minorHAnsi"/>
          <w:bCs/>
        </w:rPr>
        <w:t xml:space="preserve"> [-0343]</w:t>
      </w:r>
    </w:p>
    <w:p w14:paraId="33E8D772" w14:textId="480D2D49"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Walnut Commission (CWC)</w:t>
      </w:r>
      <w:r w:rsidR="00EE5AA6">
        <w:rPr>
          <w:rFonts w:asciiTheme="minorHAnsi" w:hAnsiTheme="minorHAnsi" w:cstheme="minorHAnsi"/>
          <w:bCs/>
        </w:rPr>
        <w:t xml:space="preserve"> [-0344]</w:t>
      </w:r>
    </w:p>
    <w:p w14:paraId="1338E059" w14:textId="40F8D8C6"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Golf Course Superintendents Association of America (GCSAA)</w:t>
      </w:r>
      <w:r w:rsidR="00EE5AA6">
        <w:rPr>
          <w:rFonts w:asciiTheme="minorHAnsi" w:hAnsiTheme="minorHAnsi" w:cstheme="minorHAnsi"/>
          <w:bCs/>
        </w:rPr>
        <w:t xml:space="preserve"> [-0346]</w:t>
      </w:r>
    </w:p>
    <w:p w14:paraId="0A7D87B0" w14:textId="4EC5A990"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Responsible Industry for a Sound Environment (RISE)</w:t>
      </w:r>
      <w:r w:rsidR="00EE5AA6">
        <w:rPr>
          <w:rFonts w:asciiTheme="minorHAnsi" w:hAnsiTheme="minorHAnsi" w:cstheme="minorHAnsi"/>
          <w:bCs/>
        </w:rPr>
        <w:t xml:space="preserve"> [-0347]</w:t>
      </w:r>
    </w:p>
    <w:p w14:paraId="5771B46E" w14:textId="0BAFCEC1"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Tomato Research Institute (CTRI) and California Tomato Growers Association (CTGA)</w:t>
      </w:r>
      <w:r w:rsidR="00EE5AA6">
        <w:rPr>
          <w:rFonts w:asciiTheme="minorHAnsi" w:hAnsiTheme="minorHAnsi" w:cstheme="minorHAnsi"/>
          <w:bCs/>
        </w:rPr>
        <w:t xml:space="preserve"> [-0348]</w:t>
      </w:r>
    </w:p>
    <w:p w14:paraId="39F14D71" w14:textId="697093F7"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Cotton Council (NCC)</w:t>
      </w:r>
      <w:r w:rsidR="00EE5AA6">
        <w:rPr>
          <w:rFonts w:asciiTheme="minorHAnsi" w:hAnsiTheme="minorHAnsi" w:cstheme="minorHAnsi"/>
          <w:bCs/>
        </w:rPr>
        <w:t xml:space="preserve"> [-0349]</w:t>
      </w:r>
    </w:p>
    <w:p w14:paraId="65EB2E20" w14:textId="35B841A6"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Sorghum Producers (NSP)</w:t>
      </w:r>
      <w:r w:rsidR="00EE5AA6">
        <w:rPr>
          <w:rFonts w:asciiTheme="minorHAnsi" w:hAnsiTheme="minorHAnsi" w:cstheme="minorHAnsi"/>
          <w:bCs/>
        </w:rPr>
        <w:t xml:space="preserve"> [</w:t>
      </w:r>
      <w:r w:rsidR="00433FD0">
        <w:rPr>
          <w:rFonts w:asciiTheme="minorHAnsi" w:hAnsiTheme="minorHAnsi" w:cstheme="minorHAnsi"/>
          <w:bCs/>
        </w:rPr>
        <w:t>-</w:t>
      </w:r>
      <w:r w:rsidR="00EE5AA6">
        <w:rPr>
          <w:rFonts w:asciiTheme="minorHAnsi" w:hAnsiTheme="minorHAnsi" w:cstheme="minorHAnsi"/>
          <w:bCs/>
        </w:rPr>
        <w:t>0351]</w:t>
      </w:r>
    </w:p>
    <w:p w14:paraId="6B178ED2" w14:textId="4704BBA3" w:rsidR="006F10BA" w:rsidRPr="0090588D" w:rsidRDefault="006F10BA" w:rsidP="005859DB">
      <w:pPr>
        <w:pStyle w:val="ListParagraph"/>
        <w:numPr>
          <w:ilvl w:val="0"/>
          <w:numId w:val="52"/>
        </w:numPr>
        <w:rPr>
          <w:rFonts w:asciiTheme="minorHAnsi" w:hAnsiTheme="minorHAnsi" w:cstheme="minorHAnsi"/>
          <w:bCs/>
        </w:rPr>
      </w:pPr>
      <w:proofErr w:type="spellStart"/>
      <w:r w:rsidRPr="0090588D">
        <w:rPr>
          <w:rFonts w:asciiTheme="minorHAnsi" w:hAnsiTheme="minorHAnsi" w:cstheme="minorHAnsi"/>
          <w:bCs/>
        </w:rPr>
        <w:t>AmericanHort</w:t>
      </w:r>
      <w:proofErr w:type="spellEnd"/>
      <w:r w:rsidR="00EE5AA6">
        <w:rPr>
          <w:rFonts w:asciiTheme="minorHAnsi" w:hAnsiTheme="minorHAnsi" w:cstheme="minorHAnsi"/>
          <w:bCs/>
        </w:rPr>
        <w:t xml:space="preserve"> [-0352]</w:t>
      </w:r>
    </w:p>
    <w:p w14:paraId="636BBBD1" w14:textId="1BAB5180"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Western Growers</w:t>
      </w:r>
      <w:r w:rsidR="00EE5AA6">
        <w:rPr>
          <w:rFonts w:asciiTheme="minorHAnsi" w:hAnsiTheme="minorHAnsi" w:cstheme="minorHAnsi"/>
          <w:bCs/>
        </w:rPr>
        <w:t xml:space="preserve"> [-0353]</w:t>
      </w:r>
    </w:p>
    <w:p w14:paraId="3AA77322" w14:textId="2FFD268A"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Society of American Florists (SAF)</w:t>
      </w:r>
      <w:r w:rsidR="00EE5AA6">
        <w:rPr>
          <w:rFonts w:asciiTheme="minorHAnsi" w:hAnsiTheme="minorHAnsi" w:cstheme="minorHAnsi"/>
          <w:bCs/>
        </w:rPr>
        <w:t xml:space="preserve"> [-0355]</w:t>
      </w:r>
    </w:p>
    <w:p w14:paraId="4D548BF4" w14:textId="5E467DDF"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California Seed Association (CSA)</w:t>
      </w:r>
      <w:r w:rsidR="00EE5AA6">
        <w:rPr>
          <w:rFonts w:asciiTheme="minorHAnsi" w:hAnsiTheme="minorHAnsi" w:cstheme="minorHAnsi"/>
          <w:bCs/>
        </w:rPr>
        <w:t xml:space="preserve"> [-0362]</w:t>
      </w:r>
    </w:p>
    <w:p w14:paraId="5B59139E" w14:textId="0D12A6B5" w:rsidR="006F10BA" w:rsidRPr="0090588D" w:rsidRDefault="006F10B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National Agricultural Aviation Association (NAAA)</w:t>
      </w:r>
      <w:r w:rsidR="00EE5AA6">
        <w:rPr>
          <w:rFonts w:asciiTheme="minorHAnsi" w:hAnsiTheme="minorHAnsi" w:cstheme="minorHAnsi"/>
          <w:bCs/>
        </w:rPr>
        <w:t xml:space="preserve"> [-0459]</w:t>
      </w:r>
    </w:p>
    <w:p w14:paraId="7BDCE284" w14:textId="6D6F688D" w:rsidR="0071581A" w:rsidRPr="0090588D" w:rsidRDefault="0071581A" w:rsidP="005859DB">
      <w:pPr>
        <w:pStyle w:val="ListParagraph"/>
        <w:numPr>
          <w:ilvl w:val="0"/>
          <w:numId w:val="52"/>
        </w:numPr>
        <w:rPr>
          <w:rFonts w:asciiTheme="minorHAnsi" w:hAnsiTheme="minorHAnsi" w:cstheme="minorHAnsi"/>
          <w:bCs/>
        </w:rPr>
      </w:pPr>
      <w:r w:rsidRPr="0090588D">
        <w:rPr>
          <w:rFonts w:asciiTheme="minorHAnsi" w:hAnsiTheme="minorHAnsi" w:cstheme="minorHAnsi"/>
          <w:bCs/>
        </w:rPr>
        <w:t>Washington State Potato Commission</w:t>
      </w:r>
      <w:r w:rsidR="00EE5AA6">
        <w:rPr>
          <w:rFonts w:asciiTheme="minorHAnsi" w:hAnsiTheme="minorHAnsi" w:cstheme="minorHAnsi"/>
          <w:bCs/>
        </w:rPr>
        <w:t xml:space="preserve"> [-0038]</w:t>
      </w:r>
    </w:p>
    <w:p w14:paraId="46A3216F" w14:textId="77777777" w:rsidR="006F10BA" w:rsidRPr="0090588D" w:rsidRDefault="006F10BA" w:rsidP="005859DB">
      <w:pPr>
        <w:rPr>
          <w:rFonts w:asciiTheme="minorHAnsi" w:hAnsiTheme="minorHAnsi" w:cstheme="minorHAnsi"/>
          <w:bCs/>
        </w:rPr>
      </w:pPr>
    </w:p>
    <w:p w14:paraId="3ABB5724" w14:textId="352DAD7D" w:rsidR="002562E6" w:rsidRPr="00B4664D" w:rsidRDefault="006844C1" w:rsidP="005859DB">
      <w:pPr>
        <w:keepNext/>
        <w:keepLines/>
        <w:rPr>
          <w:rFonts w:asciiTheme="minorHAnsi" w:hAnsiTheme="minorHAnsi" w:cstheme="minorHAnsi"/>
          <w:b/>
        </w:rPr>
      </w:pPr>
      <w:r w:rsidRPr="00B4664D">
        <w:rPr>
          <w:rFonts w:asciiTheme="minorHAnsi" w:hAnsiTheme="minorHAnsi" w:cstheme="minorHAnsi"/>
          <w:b/>
        </w:rPr>
        <w:lastRenderedPageBreak/>
        <w:t>Farm Bureaus</w:t>
      </w:r>
    </w:p>
    <w:p w14:paraId="34656436" w14:textId="30C23041" w:rsidR="006844C1" w:rsidRPr="0090588D" w:rsidRDefault="006844C1" w:rsidP="005859DB">
      <w:pPr>
        <w:keepNext/>
        <w:keepLines/>
        <w:rPr>
          <w:rFonts w:asciiTheme="minorHAnsi" w:hAnsiTheme="minorHAnsi" w:cstheme="minorHAnsi"/>
          <w:bCs/>
        </w:rPr>
      </w:pPr>
    </w:p>
    <w:p w14:paraId="24C1EFC7" w14:textId="1DEFB8F6" w:rsidR="006844C1" w:rsidRPr="0090588D" w:rsidRDefault="006844C1" w:rsidP="005859DB">
      <w:pPr>
        <w:pStyle w:val="ListParagraph"/>
        <w:keepNext/>
        <w:keepLines/>
        <w:numPr>
          <w:ilvl w:val="0"/>
          <w:numId w:val="53"/>
        </w:numPr>
        <w:rPr>
          <w:rFonts w:asciiTheme="minorHAnsi" w:hAnsiTheme="minorHAnsi" w:cstheme="minorHAnsi"/>
          <w:bCs/>
        </w:rPr>
      </w:pPr>
      <w:r w:rsidRPr="0090588D">
        <w:rPr>
          <w:rFonts w:asciiTheme="minorHAnsi" w:hAnsiTheme="minorHAnsi" w:cstheme="minorHAnsi"/>
          <w:bCs/>
        </w:rPr>
        <w:t>New York Farm Bureau (NYFB)</w:t>
      </w:r>
      <w:r w:rsidR="00EE5AA6">
        <w:rPr>
          <w:rFonts w:asciiTheme="minorHAnsi" w:hAnsiTheme="minorHAnsi" w:cstheme="minorHAnsi"/>
          <w:bCs/>
        </w:rPr>
        <w:t xml:space="preserve"> [-0026]</w:t>
      </w:r>
    </w:p>
    <w:p w14:paraId="286B0201" w14:textId="2BDE7FF3" w:rsidR="006844C1" w:rsidRPr="0090588D" w:rsidRDefault="006844C1" w:rsidP="005859DB">
      <w:pPr>
        <w:pStyle w:val="ListParagraph"/>
        <w:numPr>
          <w:ilvl w:val="0"/>
          <w:numId w:val="53"/>
        </w:numPr>
        <w:rPr>
          <w:rFonts w:asciiTheme="minorHAnsi" w:hAnsiTheme="minorHAnsi" w:cstheme="minorHAnsi"/>
          <w:bCs/>
        </w:rPr>
      </w:pPr>
      <w:r w:rsidRPr="0090588D">
        <w:rPr>
          <w:rFonts w:asciiTheme="minorHAnsi" w:hAnsiTheme="minorHAnsi" w:cstheme="minorHAnsi"/>
          <w:bCs/>
        </w:rPr>
        <w:t>American Farm Bureau Federation (AFBF)</w:t>
      </w:r>
      <w:r w:rsidR="00EE5AA6">
        <w:rPr>
          <w:rFonts w:asciiTheme="minorHAnsi" w:hAnsiTheme="minorHAnsi" w:cstheme="minorHAnsi"/>
          <w:bCs/>
        </w:rPr>
        <w:t xml:space="preserve"> [-0039]</w:t>
      </w:r>
    </w:p>
    <w:p w14:paraId="19088434" w14:textId="6B154D79" w:rsidR="006844C1" w:rsidRPr="0090588D" w:rsidRDefault="006844C1" w:rsidP="005859DB">
      <w:pPr>
        <w:pStyle w:val="ListParagraph"/>
        <w:numPr>
          <w:ilvl w:val="0"/>
          <w:numId w:val="53"/>
        </w:numPr>
        <w:rPr>
          <w:rFonts w:asciiTheme="minorHAnsi" w:hAnsiTheme="minorHAnsi" w:cstheme="minorHAnsi"/>
          <w:bCs/>
        </w:rPr>
      </w:pPr>
      <w:r w:rsidRPr="0090588D">
        <w:rPr>
          <w:rFonts w:asciiTheme="minorHAnsi" w:hAnsiTheme="minorHAnsi" w:cstheme="minorHAnsi"/>
          <w:bCs/>
        </w:rPr>
        <w:t>Michigan Farm Bureau</w:t>
      </w:r>
      <w:r w:rsidR="00EE5AA6">
        <w:rPr>
          <w:rFonts w:asciiTheme="minorHAnsi" w:hAnsiTheme="minorHAnsi" w:cstheme="minorHAnsi"/>
          <w:bCs/>
        </w:rPr>
        <w:t xml:space="preserve"> [-0052]</w:t>
      </w:r>
    </w:p>
    <w:p w14:paraId="7F042626" w14:textId="0A779EEB" w:rsidR="006844C1" w:rsidRPr="0090588D" w:rsidRDefault="006844C1" w:rsidP="005859DB">
      <w:pPr>
        <w:pStyle w:val="ListParagraph"/>
        <w:numPr>
          <w:ilvl w:val="0"/>
          <w:numId w:val="53"/>
        </w:numPr>
        <w:rPr>
          <w:rFonts w:asciiTheme="minorHAnsi" w:hAnsiTheme="minorHAnsi" w:cstheme="minorHAnsi"/>
          <w:bCs/>
        </w:rPr>
      </w:pPr>
      <w:r w:rsidRPr="0090588D">
        <w:rPr>
          <w:rFonts w:asciiTheme="minorHAnsi" w:hAnsiTheme="minorHAnsi" w:cstheme="minorHAnsi"/>
          <w:bCs/>
        </w:rPr>
        <w:t>Arizona Farm Bureau Federation (AZFB)</w:t>
      </w:r>
      <w:r w:rsidR="00EE5AA6">
        <w:rPr>
          <w:rFonts w:asciiTheme="minorHAnsi" w:hAnsiTheme="minorHAnsi" w:cstheme="minorHAnsi"/>
          <w:bCs/>
        </w:rPr>
        <w:t xml:space="preserve"> [-0339]</w:t>
      </w:r>
    </w:p>
    <w:p w14:paraId="20CEEE37" w14:textId="40FF0599" w:rsidR="006844C1" w:rsidRPr="0090588D" w:rsidRDefault="006844C1" w:rsidP="005859DB">
      <w:pPr>
        <w:pStyle w:val="ListParagraph"/>
        <w:numPr>
          <w:ilvl w:val="0"/>
          <w:numId w:val="53"/>
        </w:numPr>
        <w:rPr>
          <w:rFonts w:asciiTheme="minorHAnsi" w:hAnsiTheme="minorHAnsi" w:cstheme="minorHAnsi"/>
          <w:bCs/>
        </w:rPr>
      </w:pPr>
      <w:r w:rsidRPr="0090588D">
        <w:rPr>
          <w:rFonts w:asciiTheme="minorHAnsi" w:hAnsiTheme="minorHAnsi" w:cstheme="minorHAnsi"/>
          <w:bCs/>
        </w:rPr>
        <w:t>Pennsylvania Farm Bureau (PFB)</w:t>
      </w:r>
      <w:r w:rsidR="00EE5AA6">
        <w:rPr>
          <w:rFonts w:asciiTheme="minorHAnsi" w:hAnsiTheme="minorHAnsi" w:cstheme="minorHAnsi"/>
          <w:bCs/>
        </w:rPr>
        <w:t xml:space="preserve"> [-0360]</w:t>
      </w:r>
    </w:p>
    <w:p w14:paraId="2403600E" w14:textId="7DA5278C" w:rsidR="006844C1" w:rsidRPr="0090588D" w:rsidRDefault="006844C1" w:rsidP="005859DB">
      <w:pPr>
        <w:rPr>
          <w:rFonts w:asciiTheme="minorHAnsi" w:hAnsiTheme="minorHAnsi" w:cstheme="minorHAnsi"/>
          <w:bCs/>
        </w:rPr>
      </w:pPr>
    </w:p>
    <w:p w14:paraId="43EB2F21" w14:textId="24F31C0B" w:rsidR="006844C1" w:rsidRPr="00B4664D" w:rsidRDefault="00C31BA4" w:rsidP="005859DB">
      <w:pPr>
        <w:rPr>
          <w:rFonts w:asciiTheme="minorHAnsi" w:hAnsiTheme="minorHAnsi" w:cstheme="minorHAnsi"/>
          <w:b/>
        </w:rPr>
      </w:pPr>
      <w:r w:rsidRPr="00B4664D">
        <w:rPr>
          <w:rFonts w:asciiTheme="minorHAnsi" w:hAnsiTheme="minorHAnsi" w:cstheme="minorHAnsi"/>
          <w:b/>
        </w:rPr>
        <w:t>Growers</w:t>
      </w:r>
    </w:p>
    <w:p w14:paraId="1D87AB17" w14:textId="78BB43B4" w:rsidR="00C31BA4" w:rsidRPr="0090588D" w:rsidRDefault="00C31BA4" w:rsidP="005859DB">
      <w:pPr>
        <w:rPr>
          <w:rFonts w:asciiTheme="minorHAnsi" w:hAnsiTheme="minorHAnsi" w:cstheme="minorHAnsi"/>
          <w:bCs/>
        </w:rPr>
      </w:pPr>
    </w:p>
    <w:p w14:paraId="432152FE" w14:textId="59675A44" w:rsidR="00C31BA4" w:rsidRPr="0090588D" w:rsidRDefault="00C31BA4" w:rsidP="005859DB">
      <w:pPr>
        <w:pStyle w:val="ListParagraph"/>
        <w:numPr>
          <w:ilvl w:val="0"/>
          <w:numId w:val="54"/>
        </w:numPr>
        <w:rPr>
          <w:rFonts w:asciiTheme="minorHAnsi" w:hAnsiTheme="minorHAnsi" w:cstheme="minorHAnsi"/>
          <w:bCs/>
        </w:rPr>
      </w:pPr>
      <w:r w:rsidRPr="0090588D">
        <w:rPr>
          <w:rFonts w:asciiTheme="minorHAnsi" w:hAnsiTheme="minorHAnsi" w:cstheme="minorHAnsi"/>
          <w:bCs/>
        </w:rPr>
        <w:t>Minor Brothers Farm</w:t>
      </w:r>
      <w:r w:rsidR="00EE5AA6">
        <w:rPr>
          <w:rFonts w:asciiTheme="minorHAnsi" w:hAnsiTheme="minorHAnsi" w:cstheme="minorHAnsi"/>
          <w:bCs/>
        </w:rPr>
        <w:t xml:space="preserve"> [-0356]</w:t>
      </w:r>
    </w:p>
    <w:p w14:paraId="1B9FCE01" w14:textId="61C6E961" w:rsidR="00C31BA4" w:rsidRPr="0090588D" w:rsidRDefault="00C31BA4" w:rsidP="005859DB">
      <w:pPr>
        <w:pStyle w:val="ListParagraph"/>
        <w:numPr>
          <w:ilvl w:val="0"/>
          <w:numId w:val="54"/>
        </w:numPr>
        <w:rPr>
          <w:rFonts w:asciiTheme="minorHAnsi" w:hAnsiTheme="minorHAnsi" w:cstheme="minorHAnsi"/>
          <w:bCs/>
        </w:rPr>
      </w:pPr>
      <w:r w:rsidRPr="0090588D">
        <w:rPr>
          <w:rFonts w:asciiTheme="minorHAnsi" w:hAnsiTheme="minorHAnsi" w:cstheme="minorHAnsi"/>
          <w:bCs/>
        </w:rPr>
        <w:t>Southern Valley</w:t>
      </w:r>
      <w:r w:rsidR="00EE5AA6">
        <w:rPr>
          <w:rFonts w:asciiTheme="minorHAnsi" w:hAnsiTheme="minorHAnsi" w:cstheme="minorHAnsi"/>
          <w:bCs/>
        </w:rPr>
        <w:t xml:space="preserve"> [-0357]</w:t>
      </w:r>
    </w:p>
    <w:p w14:paraId="7D47E3D5" w14:textId="2A220E52" w:rsidR="00243A71" w:rsidRPr="0090588D" w:rsidRDefault="00243A71" w:rsidP="005859DB">
      <w:pPr>
        <w:pStyle w:val="ListParagraph"/>
        <w:numPr>
          <w:ilvl w:val="0"/>
          <w:numId w:val="54"/>
        </w:numPr>
        <w:rPr>
          <w:rFonts w:asciiTheme="minorHAnsi" w:hAnsiTheme="minorHAnsi" w:cstheme="minorHAnsi"/>
          <w:bCs/>
        </w:rPr>
      </w:pPr>
      <w:r w:rsidRPr="0090588D">
        <w:rPr>
          <w:rFonts w:asciiTheme="minorHAnsi" w:hAnsiTheme="minorHAnsi" w:cstheme="minorHAnsi"/>
          <w:bCs/>
        </w:rPr>
        <w:t>Lewis Taylor Farms, Inc.</w:t>
      </w:r>
      <w:r w:rsidR="00EE5AA6">
        <w:rPr>
          <w:rFonts w:asciiTheme="minorHAnsi" w:hAnsiTheme="minorHAnsi" w:cstheme="minorHAnsi"/>
          <w:bCs/>
        </w:rPr>
        <w:t xml:space="preserve"> [-0358]</w:t>
      </w:r>
    </w:p>
    <w:p w14:paraId="7539C61E" w14:textId="7F60F9F4" w:rsidR="00243A71" w:rsidRPr="0090588D" w:rsidRDefault="00243A71" w:rsidP="005859DB">
      <w:pPr>
        <w:pStyle w:val="ListParagraph"/>
        <w:numPr>
          <w:ilvl w:val="0"/>
          <w:numId w:val="54"/>
        </w:numPr>
        <w:rPr>
          <w:rFonts w:asciiTheme="minorHAnsi" w:hAnsiTheme="minorHAnsi" w:cstheme="minorHAnsi"/>
          <w:bCs/>
        </w:rPr>
      </w:pPr>
      <w:r w:rsidRPr="0090588D">
        <w:rPr>
          <w:rFonts w:asciiTheme="minorHAnsi" w:hAnsiTheme="minorHAnsi" w:cstheme="minorHAnsi"/>
          <w:bCs/>
        </w:rPr>
        <w:t>Chill C Farms LLC</w:t>
      </w:r>
      <w:r w:rsidR="00EE5AA6">
        <w:rPr>
          <w:rFonts w:asciiTheme="minorHAnsi" w:hAnsiTheme="minorHAnsi" w:cstheme="minorHAnsi"/>
          <w:bCs/>
        </w:rPr>
        <w:t xml:space="preserve"> [-0359]</w:t>
      </w:r>
    </w:p>
    <w:p w14:paraId="4542CD49" w14:textId="0F7592E1" w:rsidR="007B0E3B" w:rsidRPr="0090588D" w:rsidRDefault="007B0E3B" w:rsidP="005859DB">
      <w:pPr>
        <w:rPr>
          <w:rFonts w:asciiTheme="minorHAnsi" w:hAnsiTheme="minorHAnsi" w:cstheme="minorHAnsi"/>
          <w:bCs/>
        </w:rPr>
      </w:pPr>
    </w:p>
    <w:p w14:paraId="2C908DDE" w14:textId="12BCF260" w:rsidR="007B0E3B" w:rsidRPr="00B4664D" w:rsidRDefault="007B0E3B" w:rsidP="005859DB">
      <w:pPr>
        <w:rPr>
          <w:rFonts w:asciiTheme="minorHAnsi" w:hAnsiTheme="minorHAnsi" w:cstheme="minorHAnsi"/>
          <w:b/>
        </w:rPr>
      </w:pPr>
      <w:r w:rsidRPr="00B4664D">
        <w:rPr>
          <w:rFonts w:asciiTheme="minorHAnsi" w:hAnsiTheme="minorHAnsi" w:cstheme="minorHAnsi"/>
          <w:b/>
        </w:rPr>
        <w:t>Academic Organizations</w:t>
      </w:r>
    </w:p>
    <w:p w14:paraId="75AB0D63" w14:textId="3E2D77DD" w:rsidR="007B0E3B" w:rsidRPr="0090588D" w:rsidRDefault="007B0E3B" w:rsidP="005859DB">
      <w:pPr>
        <w:rPr>
          <w:rFonts w:asciiTheme="minorHAnsi" w:hAnsiTheme="minorHAnsi" w:cstheme="minorHAnsi"/>
          <w:bCs/>
        </w:rPr>
      </w:pPr>
    </w:p>
    <w:p w14:paraId="715C3E83" w14:textId="2C7276B6" w:rsidR="007B0E3B" w:rsidRPr="0090588D" w:rsidRDefault="007B0E3B" w:rsidP="005859DB">
      <w:pPr>
        <w:pStyle w:val="ListParagraph"/>
        <w:numPr>
          <w:ilvl w:val="0"/>
          <w:numId w:val="56"/>
        </w:numPr>
        <w:rPr>
          <w:rFonts w:asciiTheme="minorHAnsi" w:hAnsiTheme="minorHAnsi" w:cstheme="minorHAnsi"/>
          <w:bCs/>
        </w:rPr>
      </w:pPr>
      <w:r w:rsidRPr="0090588D">
        <w:rPr>
          <w:rFonts w:asciiTheme="minorHAnsi" w:hAnsiTheme="minorHAnsi" w:cstheme="minorHAnsi"/>
          <w:bCs/>
        </w:rPr>
        <w:t>Department of Entomology, University of Wisconsin</w:t>
      </w:r>
      <w:r w:rsidR="00EE5AA6">
        <w:rPr>
          <w:rFonts w:asciiTheme="minorHAnsi" w:hAnsiTheme="minorHAnsi" w:cstheme="minorHAnsi"/>
          <w:bCs/>
        </w:rPr>
        <w:t xml:space="preserve"> [-0019]</w:t>
      </w:r>
    </w:p>
    <w:p w14:paraId="56E4285C" w14:textId="3A8EFBDB" w:rsidR="00393F86" w:rsidRPr="00B4664D" w:rsidRDefault="00393F86" w:rsidP="005859DB">
      <w:pPr>
        <w:pStyle w:val="ListParagraph"/>
        <w:numPr>
          <w:ilvl w:val="0"/>
          <w:numId w:val="56"/>
        </w:numPr>
        <w:rPr>
          <w:rFonts w:asciiTheme="minorHAnsi" w:hAnsiTheme="minorHAnsi" w:cstheme="minorHAnsi"/>
          <w:bCs/>
        </w:rPr>
      </w:pPr>
      <w:r w:rsidRPr="0090588D">
        <w:rPr>
          <w:rFonts w:asciiTheme="minorHAnsi" w:hAnsiTheme="minorHAnsi" w:cstheme="minorHAnsi"/>
          <w:bCs/>
        </w:rPr>
        <w:t>Department of Entomology, Michigan State University</w:t>
      </w:r>
      <w:r w:rsidR="00EE5AA6">
        <w:rPr>
          <w:rFonts w:asciiTheme="minorHAnsi" w:hAnsiTheme="minorHAnsi" w:cstheme="minorHAnsi"/>
          <w:bCs/>
        </w:rPr>
        <w:t xml:space="preserve"> [-0037]</w:t>
      </w:r>
    </w:p>
    <w:p w14:paraId="775BB742" w14:textId="77777777" w:rsidR="0071581A" w:rsidRPr="00B4664D" w:rsidRDefault="0071581A" w:rsidP="005859DB">
      <w:pPr>
        <w:rPr>
          <w:rFonts w:asciiTheme="minorHAnsi" w:hAnsiTheme="minorHAnsi" w:cstheme="minorHAnsi"/>
          <w:bCs/>
        </w:rPr>
      </w:pPr>
    </w:p>
    <w:p w14:paraId="197EB12F" w14:textId="60E6122C" w:rsidR="0071581A" w:rsidRPr="00B4664D" w:rsidRDefault="0071581A" w:rsidP="005859DB">
      <w:pPr>
        <w:rPr>
          <w:rFonts w:asciiTheme="minorHAnsi" w:hAnsiTheme="minorHAnsi" w:cstheme="minorHAnsi"/>
          <w:b/>
        </w:rPr>
      </w:pPr>
      <w:r w:rsidRPr="00B4664D">
        <w:rPr>
          <w:rFonts w:asciiTheme="minorHAnsi" w:hAnsiTheme="minorHAnsi" w:cstheme="minorHAnsi"/>
          <w:b/>
        </w:rPr>
        <w:t>Local, State, and Federal Government Agencies</w:t>
      </w:r>
    </w:p>
    <w:p w14:paraId="755407A9" w14:textId="063D8673" w:rsidR="0071581A" w:rsidRPr="0090588D" w:rsidRDefault="0071581A" w:rsidP="005859DB">
      <w:pPr>
        <w:rPr>
          <w:rFonts w:asciiTheme="minorHAnsi" w:hAnsiTheme="minorHAnsi" w:cstheme="minorHAnsi"/>
          <w:bCs/>
        </w:rPr>
      </w:pPr>
    </w:p>
    <w:p w14:paraId="34043CBB" w14:textId="6EA5D1C6" w:rsidR="0071581A" w:rsidRPr="0090588D" w:rsidRDefault="0071581A"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Washington State Department of Agriculture (WSDA)</w:t>
      </w:r>
      <w:r w:rsidR="00EE5AA6">
        <w:rPr>
          <w:rFonts w:asciiTheme="minorHAnsi" w:hAnsiTheme="minorHAnsi" w:cstheme="minorHAnsi"/>
          <w:bCs/>
        </w:rPr>
        <w:t xml:space="preserve"> [-0328]</w:t>
      </w:r>
    </w:p>
    <w:p w14:paraId="000A3224" w14:textId="68877B57" w:rsidR="0071581A" w:rsidRPr="0090588D" w:rsidRDefault="00B33B80"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Ohio Department of Natural Resources</w:t>
      </w:r>
      <w:r w:rsidR="00EE5AA6">
        <w:rPr>
          <w:rFonts w:asciiTheme="minorHAnsi" w:hAnsiTheme="minorHAnsi" w:cstheme="minorHAnsi"/>
          <w:bCs/>
        </w:rPr>
        <w:t xml:space="preserve"> [-0016]</w:t>
      </w:r>
    </w:p>
    <w:p w14:paraId="054BD519" w14:textId="4A64DF42" w:rsidR="00B33B80" w:rsidRPr="0090588D" w:rsidRDefault="00B33B80"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City of South Miami</w:t>
      </w:r>
      <w:r w:rsidR="00EE5AA6">
        <w:rPr>
          <w:rFonts w:asciiTheme="minorHAnsi" w:hAnsiTheme="minorHAnsi" w:cstheme="minorHAnsi"/>
          <w:bCs/>
        </w:rPr>
        <w:t xml:space="preserve"> [-0458]</w:t>
      </w:r>
    </w:p>
    <w:p w14:paraId="0A471161" w14:textId="0B6EE8A1" w:rsidR="00B33B80" w:rsidRPr="0090588D" w:rsidRDefault="00B33B80"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San Francisco Bay Regional Water Quality Control Board</w:t>
      </w:r>
      <w:r w:rsidR="00EE5AA6">
        <w:rPr>
          <w:rFonts w:asciiTheme="minorHAnsi" w:hAnsiTheme="minorHAnsi" w:cstheme="minorHAnsi"/>
          <w:bCs/>
        </w:rPr>
        <w:t xml:space="preserve"> [-0036]</w:t>
      </w:r>
    </w:p>
    <w:p w14:paraId="6507871E" w14:textId="769C7399" w:rsidR="007B0E3B" w:rsidRPr="0090588D" w:rsidRDefault="007B0E3B"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Bay Area Clean Water Agencies (BACWA)</w:t>
      </w:r>
      <w:r w:rsidR="00EE5AA6">
        <w:rPr>
          <w:rFonts w:asciiTheme="minorHAnsi" w:hAnsiTheme="minorHAnsi" w:cstheme="minorHAnsi"/>
          <w:bCs/>
        </w:rPr>
        <w:t xml:space="preserve"> [-0030]</w:t>
      </w:r>
    </w:p>
    <w:p w14:paraId="4C291405" w14:textId="0F73C7CA" w:rsidR="00393F86" w:rsidRPr="0090588D" w:rsidRDefault="00393F86"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National Association of Clean Water Agencies (NACWA)</w:t>
      </w:r>
      <w:r w:rsidR="00EE5AA6">
        <w:rPr>
          <w:rFonts w:asciiTheme="minorHAnsi" w:hAnsiTheme="minorHAnsi" w:cstheme="minorHAnsi"/>
          <w:bCs/>
        </w:rPr>
        <w:t xml:space="preserve"> [-0046]</w:t>
      </w:r>
    </w:p>
    <w:p w14:paraId="4EF4F120" w14:textId="55228CE9" w:rsidR="0071581A" w:rsidRPr="0090588D" w:rsidRDefault="0071581A"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IR-4 Project</w:t>
      </w:r>
      <w:r w:rsidR="00EE5AA6">
        <w:rPr>
          <w:rFonts w:asciiTheme="minorHAnsi" w:hAnsiTheme="minorHAnsi" w:cstheme="minorHAnsi"/>
          <w:bCs/>
        </w:rPr>
        <w:t xml:space="preserve"> [-0057, -0327]</w:t>
      </w:r>
    </w:p>
    <w:p w14:paraId="015BA307" w14:textId="7F736399" w:rsidR="0071581A" w:rsidRPr="0090588D" w:rsidRDefault="0071581A" w:rsidP="005859DB">
      <w:pPr>
        <w:pStyle w:val="ListParagraph"/>
        <w:numPr>
          <w:ilvl w:val="0"/>
          <w:numId w:val="55"/>
        </w:numPr>
        <w:rPr>
          <w:rFonts w:asciiTheme="minorHAnsi" w:hAnsiTheme="minorHAnsi" w:cstheme="minorHAnsi"/>
          <w:bCs/>
        </w:rPr>
      </w:pPr>
      <w:r w:rsidRPr="0090588D">
        <w:rPr>
          <w:rFonts w:asciiTheme="minorHAnsi" w:hAnsiTheme="minorHAnsi" w:cstheme="minorHAnsi"/>
          <w:bCs/>
        </w:rPr>
        <w:t>United States Department of Agriculture</w:t>
      </w:r>
      <w:r w:rsidR="00EE5AA6">
        <w:rPr>
          <w:rFonts w:asciiTheme="minorHAnsi" w:hAnsiTheme="minorHAnsi" w:cstheme="minorHAnsi"/>
          <w:bCs/>
        </w:rPr>
        <w:t xml:space="preserve"> (USDA) [-0331]</w:t>
      </w:r>
    </w:p>
    <w:p w14:paraId="29715F34" w14:textId="77777777" w:rsidR="00393F86" w:rsidRPr="00B4664D" w:rsidRDefault="00393F86" w:rsidP="005859DB">
      <w:pPr>
        <w:rPr>
          <w:rFonts w:asciiTheme="minorHAnsi" w:hAnsiTheme="minorHAnsi"/>
        </w:rPr>
      </w:pPr>
    </w:p>
    <w:p w14:paraId="1C10B1AF" w14:textId="77777777" w:rsidR="00393F86" w:rsidRPr="00B4664D" w:rsidRDefault="00393F86" w:rsidP="005859DB">
      <w:pPr>
        <w:rPr>
          <w:rFonts w:asciiTheme="minorHAnsi" w:hAnsiTheme="minorHAnsi"/>
        </w:rPr>
      </w:pPr>
    </w:p>
    <w:p w14:paraId="2E067559" w14:textId="7D5E0C74" w:rsidR="00393F86" w:rsidRDefault="00393F86" w:rsidP="005859DB">
      <w:pPr>
        <w:sectPr w:rsidR="00393F86" w:rsidSect="005C5E5D">
          <w:pgSz w:w="12240" w:h="15840"/>
          <w:pgMar w:top="1440" w:right="1440" w:bottom="1440" w:left="1440" w:header="720" w:footer="720" w:gutter="0"/>
          <w:cols w:space="720"/>
          <w:docGrid w:linePitch="360"/>
        </w:sectPr>
      </w:pPr>
    </w:p>
    <w:p w14:paraId="34EC2DC5" w14:textId="0ABE9DC8" w:rsidR="003F4781" w:rsidRPr="005F05ED" w:rsidRDefault="00BB6FA6" w:rsidP="005859DB">
      <w:pPr>
        <w:pStyle w:val="Heading1"/>
      </w:pPr>
      <w:bookmarkStart w:id="69" w:name="_Toc106187583"/>
      <w:r w:rsidRPr="005F05ED">
        <w:lastRenderedPageBreak/>
        <w:t xml:space="preserve">Appendix </w:t>
      </w:r>
      <w:r w:rsidR="00911AD9" w:rsidRPr="005F05ED">
        <w:t>B</w:t>
      </w:r>
      <w:r w:rsidRPr="005F05ED">
        <w:t>.</w:t>
      </w:r>
      <w:r w:rsidR="00C041B8">
        <w:t xml:space="preserve"> </w:t>
      </w:r>
      <w:r w:rsidRPr="005F05ED">
        <w:t xml:space="preserve"> Monitoring Data Analysis for Neonicotinoids in Wastewater Treatment Plants (WWTPs)</w:t>
      </w:r>
      <w:bookmarkEnd w:id="69"/>
    </w:p>
    <w:p w14:paraId="5892AA23" w14:textId="0D95F010" w:rsidR="00BB6FA6" w:rsidRDefault="00BB6FA6" w:rsidP="005859DB">
      <w:pPr>
        <w:pStyle w:val="Default"/>
        <w:rPr>
          <w:rFonts w:asciiTheme="minorHAnsi" w:hAnsiTheme="minorHAnsi" w:cstheme="minorHAnsi"/>
          <w:bCs/>
          <w:sz w:val="22"/>
          <w:szCs w:val="22"/>
        </w:rPr>
      </w:pPr>
    </w:p>
    <w:p w14:paraId="2F23E4B8" w14:textId="60FAEBC0" w:rsidR="00BB6FA6" w:rsidRDefault="00BB6FA6" w:rsidP="005859DB">
      <w:pPr>
        <w:pStyle w:val="Default"/>
        <w:rPr>
          <w:rFonts w:asciiTheme="minorHAnsi" w:hAnsiTheme="minorHAnsi" w:cstheme="minorHAnsi"/>
          <w:bCs/>
          <w:sz w:val="22"/>
          <w:szCs w:val="22"/>
        </w:rPr>
      </w:pPr>
      <w:r>
        <w:rPr>
          <w:rFonts w:asciiTheme="minorHAnsi" w:hAnsiTheme="minorHAnsi" w:cstheme="minorHAnsi"/>
          <w:bCs/>
          <w:sz w:val="22"/>
          <w:szCs w:val="22"/>
        </w:rPr>
        <w:t>Two open literature studies were submitted to the Agency providing measurements of neonicotinoids in WWTPs. The following discussion provides a summary of the concentrations reported in the studies and the concentrations used in the BEs to characterize release concentrations from WWTPs.</w:t>
      </w:r>
    </w:p>
    <w:p w14:paraId="16075AC5" w14:textId="77777777" w:rsidR="00BB6FA6" w:rsidRDefault="00BB6FA6" w:rsidP="005859DB">
      <w:pPr>
        <w:pStyle w:val="Default"/>
        <w:rPr>
          <w:rFonts w:asciiTheme="minorHAnsi" w:hAnsiTheme="minorHAnsi" w:cstheme="minorHAnsi"/>
          <w:bCs/>
          <w:sz w:val="22"/>
          <w:szCs w:val="22"/>
        </w:rPr>
      </w:pPr>
    </w:p>
    <w:p w14:paraId="2C1B29A5" w14:textId="32F90822" w:rsidR="00BB6FA6" w:rsidRPr="00BB6FA6" w:rsidRDefault="00BB6FA6" w:rsidP="005859DB">
      <w:pPr>
        <w:pStyle w:val="Default"/>
        <w:rPr>
          <w:rFonts w:asciiTheme="minorHAnsi" w:hAnsiTheme="minorHAnsi" w:cstheme="minorHAnsi"/>
          <w:b/>
          <w:i/>
          <w:iCs/>
          <w:sz w:val="22"/>
          <w:szCs w:val="22"/>
        </w:rPr>
      </w:pPr>
      <w:proofErr w:type="spellStart"/>
      <w:r w:rsidRPr="00BB6FA6">
        <w:rPr>
          <w:rFonts w:asciiTheme="minorHAnsi" w:hAnsiTheme="minorHAnsi" w:cstheme="minorHAnsi"/>
          <w:b/>
          <w:i/>
          <w:iCs/>
          <w:sz w:val="22"/>
          <w:szCs w:val="22"/>
        </w:rPr>
        <w:t>Sadaria</w:t>
      </w:r>
      <w:proofErr w:type="spellEnd"/>
      <w:r w:rsidRPr="00BB6FA6">
        <w:rPr>
          <w:rFonts w:asciiTheme="minorHAnsi" w:hAnsiTheme="minorHAnsi" w:cstheme="minorHAnsi"/>
          <w:b/>
          <w:i/>
          <w:iCs/>
          <w:sz w:val="22"/>
          <w:szCs w:val="22"/>
        </w:rPr>
        <w:t xml:space="preserve">, A.M., </w:t>
      </w:r>
      <w:proofErr w:type="spellStart"/>
      <w:r w:rsidRPr="00BB6FA6">
        <w:rPr>
          <w:rFonts w:asciiTheme="minorHAnsi" w:hAnsiTheme="minorHAnsi" w:cstheme="minorHAnsi"/>
          <w:b/>
          <w:i/>
          <w:iCs/>
          <w:sz w:val="22"/>
          <w:szCs w:val="22"/>
        </w:rPr>
        <w:t>Supowit</w:t>
      </w:r>
      <w:proofErr w:type="spellEnd"/>
      <w:r w:rsidRPr="00BB6FA6">
        <w:rPr>
          <w:rFonts w:asciiTheme="minorHAnsi" w:hAnsiTheme="minorHAnsi" w:cstheme="minorHAnsi"/>
          <w:b/>
          <w:i/>
          <w:iCs/>
          <w:sz w:val="22"/>
          <w:szCs w:val="22"/>
        </w:rPr>
        <w:t>, S.D., Halden, R.U. 2016. Mass Balance Assessment for Six Neonicotinoid Insecticides During Conventional Wastewater and Wetland Treatment: Nationwide Reconnaissance in United States Wastewater. Environ. Sci. Technol. 50:6199−6206</w:t>
      </w:r>
    </w:p>
    <w:p w14:paraId="2C89867C" w14:textId="77777777" w:rsidR="00BB6FA6" w:rsidRPr="00BB6FA6" w:rsidRDefault="00BB6FA6" w:rsidP="005859DB">
      <w:pPr>
        <w:pStyle w:val="Default"/>
        <w:rPr>
          <w:rFonts w:asciiTheme="minorHAnsi" w:hAnsiTheme="minorHAnsi" w:cstheme="minorHAnsi"/>
          <w:bCs/>
          <w:sz w:val="22"/>
          <w:szCs w:val="22"/>
        </w:rPr>
      </w:pPr>
    </w:p>
    <w:p w14:paraId="29195EEF" w14:textId="60767B6E" w:rsidR="00BB6FA6" w:rsidRDefault="00BB6FA6" w:rsidP="005859DB">
      <w:pPr>
        <w:pStyle w:val="Default"/>
        <w:rPr>
          <w:rFonts w:asciiTheme="minorHAnsi" w:hAnsiTheme="minorHAnsi" w:cstheme="minorHAnsi"/>
          <w:bCs/>
          <w:sz w:val="22"/>
          <w:szCs w:val="22"/>
        </w:rPr>
      </w:pPr>
      <w:r w:rsidRPr="00BB6FA6">
        <w:rPr>
          <w:rFonts w:asciiTheme="minorHAnsi" w:hAnsiTheme="minorHAnsi" w:cstheme="minorHAnsi"/>
          <w:bCs/>
          <w:sz w:val="22"/>
          <w:szCs w:val="22"/>
        </w:rPr>
        <w:t>In early December 2014, a large activated-sludge sewage treatment plant with an engineered wetland downstream was sampled</w:t>
      </w:r>
      <w:r w:rsidR="00DB5D4A">
        <w:rPr>
          <w:rFonts w:asciiTheme="minorHAnsi" w:hAnsiTheme="minorHAnsi" w:cstheme="minorHAnsi"/>
          <w:bCs/>
          <w:sz w:val="22"/>
          <w:szCs w:val="22"/>
        </w:rPr>
        <w:t xml:space="preserve"> by the </w:t>
      </w:r>
      <w:r w:rsidR="00584394">
        <w:rPr>
          <w:rFonts w:asciiTheme="minorHAnsi" w:hAnsiTheme="minorHAnsi" w:cstheme="minorHAnsi"/>
          <w:bCs/>
          <w:sz w:val="22"/>
          <w:szCs w:val="22"/>
        </w:rPr>
        <w:t xml:space="preserve">study </w:t>
      </w:r>
      <w:r w:rsidR="00DB5D4A">
        <w:rPr>
          <w:rFonts w:asciiTheme="minorHAnsi" w:hAnsiTheme="minorHAnsi" w:cstheme="minorHAnsi"/>
          <w:bCs/>
          <w:sz w:val="22"/>
          <w:szCs w:val="22"/>
        </w:rPr>
        <w:t>authors</w:t>
      </w:r>
      <w:r w:rsidRPr="00BB6FA6">
        <w:rPr>
          <w:rFonts w:asciiTheme="minorHAnsi" w:hAnsiTheme="minorHAnsi" w:cstheme="minorHAnsi"/>
          <w:bCs/>
          <w:sz w:val="22"/>
          <w:szCs w:val="22"/>
        </w:rPr>
        <w:t xml:space="preserve">. </w:t>
      </w:r>
      <w:r w:rsidR="00584394">
        <w:rPr>
          <w:rFonts w:asciiTheme="minorHAnsi" w:hAnsiTheme="minorHAnsi" w:cstheme="minorHAnsi"/>
          <w:bCs/>
          <w:sz w:val="22"/>
          <w:szCs w:val="22"/>
        </w:rPr>
        <w:t xml:space="preserve">Influent and effluent samples for the wetland were collected over a period of 24 hours for 5 consecutive days </w:t>
      </w:r>
      <w:r w:rsidR="00584394" w:rsidRPr="00BB6FA6">
        <w:rPr>
          <w:rFonts w:asciiTheme="minorHAnsi" w:hAnsiTheme="minorHAnsi" w:cstheme="minorHAnsi"/>
          <w:bCs/>
          <w:sz w:val="22"/>
          <w:szCs w:val="22"/>
        </w:rPr>
        <w:t>(Thursday through Monday)</w:t>
      </w:r>
      <w:r w:rsidR="00584394">
        <w:rPr>
          <w:rFonts w:asciiTheme="minorHAnsi" w:hAnsiTheme="minorHAnsi" w:cstheme="minorHAnsi"/>
          <w:bCs/>
          <w:sz w:val="22"/>
          <w:szCs w:val="22"/>
        </w:rPr>
        <w:t xml:space="preserve">. </w:t>
      </w:r>
      <w:r w:rsidRPr="00BB6FA6">
        <w:rPr>
          <w:rFonts w:asciiTheme="minorHAnsi" w:hAnsiTheme="minorHAnsi" w:cstheme="minorHAnsi"/>
          <w:bCs/>
          <w:sz w:val="22"/>
          <w:szCs w:val="22"/>
        </w:rPr>
        <w:t xml:space="preserve">The plant was located in the southwestern region of the United States and designed to serve a population of up to 2.5 million </w:t>
      </w:r>
      <w:r>
        <w:rPr>
          <w:rFonts w:asciiTheme="minorHAnsi" w:hAnsiTheme="minorHAnsi" w:cstheme="minorHAnsi"/>
          <w:bCs/>
          <w:sz w:val="22"/>
          <w:szCs w:val="22"/>
        </w:rPr>
        <w:t xml:space="preserve">people </w:t>
      </w:r>
      <w:r w:rsidRPr="00BB6FA6">
        <w:rPr>
          <w:rFonts w:asciiTheme="minorHAnsi" w:hAnsiTheme="minorHAnsi" w:cstheme="minorHAnsi"/>
          <w:bCs/>
          <w:sz w:val="22"/>
          <w:szCs w:val="22"/>
        </w:rPr>
        <w:t xml:space="preserve">with </w:t>
      </w:r>
      <w:r>
        <w:rPr>
          <w:rFonts w:asciiTheme="minorHAnsi" w:hAnsiTheme="minorHAnsi" w:cstheme="minorHAnsi"/>
          <w:bCs/>
          <w:sz w:val="22"/>
          <w:szCs w:val="22"/>
        </w:rPr>
        <w:t xml:space="preserve">a </w:t>
      </w:r>
      <w:r w:rsidRPr="00BB6FA6">
        <w:rPr>
          <w:rFonts w:asciiTheme="minorHAnsi" w:hAnsiTheme="minorHAnsi" w:cstheme="minorHAnsi"/>
          <w:bCs/>
          <w:sz w:val="22"/>
          <w:szCs w:val="22"/>
        </w:rPr>
        <w:t xml:space="preserve">design capacity of 870 million </w:t>
      </w:r>
      <w:r w:rsidR="00DB5D4A">
        <w:rPr>
          <w:rFonts w:asciiTheme="minorHAnsi" w:hAnsiTheme="minorHAnsi" w:cstheme="minorHAnsi"/>
          <w:bCs/>
          <w:sz w:val="22"/>
          <w:szCs w:val="22"/>
        </w:rPr>
        <w:t>liters</w:t>
      </w:r>
      <w:r w:rsidRPr="00BB6FA6">
        <w:rPr>
          <w:rFonts w:asciiTheme="minorHAnsi" w:hAnsiTheme="minorHAnsi" w:cstheme="minorHAnsi"/>
          <w:bCs/>
          <w:sz w:val="22"/>
          <w:szCs w:val="22"/>
        </w:rPr>
        <w:t>/d</w:t>
      </w:r>
      <w:r w:rsidR="00DB5D4A">
        <w:rPr>
          <w:rFonts w:asciiTheme="minorHAnsi" w:hAnsiTheme="minorHAnsi" w:cstheme="minorHAnsi"/>
          <w:bCs/>
          <w:sz w:val="22"/>
          <w:szCs w:val="22"/>
        </w:rPr>
        <w:t>ay</w:t>
      </w:r>
      <w:r w:rsidRPr="00BB6FA6">
        <w:rPr>
          <w:rFonts w:asciiTheme="minorHAnsi" w:hAnsiTheme="minorHAnsi" w:cstheme="minorHAnsi"/>
          <w:bCs/>
          <w:sz w:val="22"/>
          <w:szCs w:val="22"/>
        </w:rPr>
        <w:t xml:space="preserve"> (MLD), </w:t>
      </w:r>
      <w:r w:rsidR="00046BBB">
        <w:rPr>
          <w:rFonts w:asciiTheme="minorHAnsi" w:hAnsiTheme="minorHAnsi" w:cstheme="minorHAnsi"/>
          <w:bCs/>
          <w:sz w:val="22"/>
          <w:szCs w:val="22"/>
        </w:rPr>
        <w:t xml:space="preserve">or approximately </w:t>
      </w:r>
      <w:r w:rsidR="00046BBB" w:rsidRPr="00BB6FA6">
        <w:rPr>
          <w:rFonts w:asciiTheme="minorHAnsi" w:hAnsiTheme="minorHAnsi" w:cstheme="minorHAnsi"/>
          <w:bCs/>
          <w:sz w:val="22"/>
          <w:szCs w:val="22"/>
        </w:rPr>
        <w:t>3</w:t>
      </w:r>
      <w:r w:rsidR="00046BBB">
        <w:rPr>
          <w:rFonts w:asciiTheme="minorHAnsi" w:hAnsiTheme="minorHAnsi" w:cstheme="minorHAnsi"/>
          <w:bCs/>
          <w:sz w:val="22"/>
          <w:szCs w:val="22"/>
        </w:rPr>
        <w:t>48</w:t>
      </w:r>
      <w:r w:rsidR="00046BBB" w:rsidRPr="00BB6FA6">
        <w:rPr>
          <w:rFonts w:asciiTheme="minorHAnsi" w:hAnsiTheme="minorHAnsi" w:cstheme="minorHAnsi"/>
          <w:bCs/>
          <w:sz w:val="22"/>
          <w:szCs w:val="22"/>
        </w:rPr>
        <w:t xml:space="preserve"> L/person/d</w:t>
      </w:r>
      <w:r w:rsidR="00046BBB">
        <w:rPr>
          <w:rFonts w:asciiTheme="minorHAnsi" w:hAnsiTheme="minorHAnsi" w:cstheme="minorHAnsi"/>
          <w:bCs/>
          <w:sz w:val="22"/>
          <w:szCs w:val="22"/>
        </w:rPr>
        <w:t xml:space="preserve">, </w:t>
      </w:r>
      <w:r w:rsidRPr="00BB6FA6">
        <w:rPr>
          <w:rFonts w:asciiTheme="minorHAnsi" w:hAnsiTheme="minorHAnsi" w:cstheme="minorHAnsi"/>
          <w:bCs/>
          <w:sz w:val="22"/>
          <w:szCs w:val="22"/>
        </w:rPr>
        <w:t xml:space="preserve">receiving sewage comprised of 94% domestic wastewater and 6% industrial wastewater. </w:t>
      </w:r>
      <w:r w:rsidR="001155EC">
        <w:rPr>
          <w:rFonts w:asciiTheme="minorHAnsi" w:hAnsiTheme="minorHAnsi" w:cstheme="minorHAnsi"/>
          <w:bCs/>
          <w:sz w:val="22"/>
          <w:szCs w:val="22"/>
        </w:rPr>
        <w:t>The wastewater</w:t>
      </w:r>
      <w:r w:rsidR="001155EC" w:rsidRPr="00BB6FA6">
        <w:rPr>
          <w:rFonts w:asciiTheme="minorHAnsi" w:hAnsiTheme="minorHAnsi" w:cstheme="minorHAnsi"/>
          <w:bCs/>
          <w:sz w:val="22"/>
          <w:szCs w:val="22"/>
        </w:rPr>
        <w:t xml:space="preserve"> </w:t>
      </w:r>
      <w:r w:rsidRPr="00BB6FA6">
        <w:rPr>
          <w:rFonts w:asciiTheme="minorHAnsi" w:hAnsiTheme="minorHAnsi" w:cstheme="minorHAnsi"/>
          <w:bCs/>
          <w:sz w:val="22"/>
          <w:szCs w:val="22"/>
        </w:rPr>
        <w:t>processes at the WWTP</w:t>
      </w:r>
      <w:r w:rsidR="001155EC">
        <w:rPr>
          <w:rFonts w:asciiTheme="minorHAnsi" w:hAnsiTheme="minorHAnsi" w:cstheme="minorHAnsi"/>
          <w:bCs/>
          <w:sz w:val="22"/>
          <w:szCs w:val="22"/>
        </w:rPr>
        <w:t>s</w:t>
      </w:r>
      <w:r w:rsidRPr="00BB6FA6">
        <w:rPr>
          <w:rFonts w:asciiTheme="minorHAnsi" w:hAnsiTheme="minorHAnsi" w:cstheme="minorHAnsi"/>
          <w:bCs/>
          <w:sz w:val="22"/>
          <w:szCs w:val="22"/>
        </w:rPr>
        <w:t xml:space="preserve"> included screening, grit removal, primary sedimentation, activated sludge biological treatment, secondary clarification, disinfection treatment by chlorination, thickening of primary sludge, waste-activated sludge by centrifugation, anaerobic sludge digestion, and dewatering of digested sludge by centrifugation. The hydraulic retention time (HRT) of the wetland was about 4.7 days and the wetland had an average water depth of about 1.5 m. Additionally, in 2015, 12 </w:t>
      </w:r>
      <w:r w:rsidR="00584394">
        <w:rPr>
          <w:rFonts w:asciiTheme="minorHAnsi" w:hAnsiTheme="minorHAnsi" w:cstheme="minorHAnsi"/>
          <w:bCs/>
          <w:sz w:val="22"/>
          <w:szCs w:val="22"/>
        </w:rPr>
        <w:t xml:space="preserve">additional </w:t>
      </w:r>
      <w:r w:rsidRPr="00BB6FA6">
        <w:rPr>
          <w:rFonts w:asciiTheme="minorHAnsi" w:hAnsiTheme="minorHAnsi" w:cstheme="minorHAnsi"/>
          <w:bCs/>
          <w:sz w:val="22"/>
          <w:szCs w:val="22"/>
        </w:rPr>
        <w:t xml:space="preserve">United States WWTPs voluntarily collected 24-hour flow-adjusted samples, which were provided to the study team as composited samples. The WWTPs were located in the western (n = 4), southern (n = 6), and midwestern (n = 2) regions of the United States. Typically, only one </w:t>
      </w:r>
      <w:r w:rsidR="001B27A9">
        <w:rPr>
          <w:rFonts w:asciiTheme="minorHAnsi" w:hAnsiTheme="minorHAnsi" w:cstheme="minorHAnsi"/>
          <w:bCs/>
          <w:sz w:val="22"/>
          <w:szCs w:val="22"/>
        </w:rPr>
        <w:t>24</w:t>
      </w:r>
      <w:r w:rsidR="00584394">
        <w:rPr>
          <w:rFonts w:asciiTheme="minorHAnsi" w:hAnsiTheme="minorHAnsi" w:cstheme="minorHAnsi"/>
          <w:bCs/>
          <w:sz w:val="22"/>
          <w:szCs w:val="22"/>
        </w:rPr>
        <w:t>-</w:t>
      </w:r>
      <w:r w:rsidR="001B27A9">
        <w:rPr>
          <w:rFonts w:asciiTheme="minorHAnsi" w:hAnsiTheme="minorHAnsi" w:cstheme="minorHAnsi"/>
          <w:bCs/>
          <w:sz w:val="22"/>
          <w:szCs w:val="22"/>
        </w:rPr>
        <w:t>h</w:t>
      </w:r>
      <w:r w:rsidR="00584394">
        <w:rPr>
          <w:rFonts w:asciiTheme="minorHAnsi" w:hAnsiTheme="minorHAnsi" w:cstheme="minorHAnsi"/>
          <w:bCs/>
          <w:sz w:val="22"/>
          <w:szCs w:val="22"/>
        </w:rPr>
        <w:t>ou</w:t>
      </w:r>
      <w:r w:rsidR="001B27A9">
        <w:rPr>
          <w:rFonts w:asciiTheme="minorHAnsi" w:hAnsiTheme="minorHAnsi" w:cstheme="minorHAnsi"/>
          <w:bCs/>
          <w:sz w:val="22"/>
          <w:szCs w:val="22"/>
        </w:rPr>
        <w:t xml:space="preserve">r </w:t>
      </w:r>
      <w:r w:rsidRPr="00BB6FA6">
        <w:rPr>
          <w:rFonts w:asciiTheme="minorHAnsi" w:hAnsiTheme="minorHAnsi" w:cstheme="minorHAnsi"/>
          <w:bCs/>
          <w:sz w:val="22"/>
          <w:szCs w:val="22"/>
        </w:rPr>
        <w:t>composite sample for each WWTP was provided of raw influent and treated effluent collected simultaneously on a random workday. Four facilities provided effluent only. Three facilities performed tertiary treatment by filtration. Three facilities performed UV disinfection instead of chlorination. All other facilities performed conventional treatment (secondary treatment followed by chlorine disinfection).</w:t>
      </w:r>
    </w:p>
    <w:p w14:paraId="500C6063" w14:textId="77777777" w:rsidR="00BB6FA6" w:rsidRPr="00BB6FA6" w:rsidRDefault="00BB6FA6" w:rsidP="005859DB">
      <w:pPr>
        <w:pStyle w:val="Default"/>
        <w:rPr>
          <w:rFonts w:asciiTheme="minorHAnsi" w:hAnsiTheme="minorHAnsi" w:cstheme="minorHAnsi"/>
          <w:bCs/>
          <w:sz w:val="22"/>
          <w:szCs w:val="22"/>
        </w:rPr>
      </w:pPr>
    </w:p>
    <w:p w14:paraId="4D5BAEF2" w14:textId="13ABA58F" w:rsidR="00BB6FA6" w:rsidRDefault="00BB6FA6" w:rsidP="005859DB">
      <w:pPr>
        <w:pStyle w:val="Default"/>
        <w:rPr>
          <w:rFonts w:asciiTheme="minorHAnsi" w:hAnsiTheme="minorHAnsi" w:cstheme="minorHAnsi"/>
          <w:bCs/>
          <w:sz w:val="22"/>
          <w:szCs w:val="22"/>
        </w:rPr>
      </w:pPr>
      <w:r w:rsidRPr="00BB6FA6">
        <w:rPr>
          <w:rFonts w:asciiTheme="minorHAnsi" w:hAnsiTheme="minorHAnsi" w:cstheme="minorHAnsi"/>
          <w:bCs/>
          <w:sz w:val="22"/>
          <w:szCs w:val="22"/>
        </w:rPr>
        <w:t>For the sampling collected in 2014</w:t>
      </w:r>
      <w:r w:rsidR="00DB5D4A">
        <w:rPr>
          <w:rFonts w:asciiTheme="minorHAnsi" w:hAnsiTheme="minorHAnsi" w:cstheme="minorHAnsi"/>
          <w:bCs/>
          <w:sz w:val="22"/>
          <w:szCs w:val="22"/>
        </w:rPr>
        <w:t>,</w:t>
      </w:r>
      <w:r w:rsidRPr="00BB6FA6">
        <w:rPr>
          <w:rFonts w:asciiTheme="minorHAnsi" w:hAnsiTheme="minorHAnsi" w:cstheme="minorHAnsi"/>
          <w:bCs/>
          <w:sz w:val="22"/>
          <w:szCs w:val="22"/>
        </w:rPr>
        <w:t xml:space="preserve"> </w:t>
      </w:r>
      <w:r w:rsidR="00DB5D4A">
        <w:rPr>
          <w:rFonts w:asciiTheme="minorHAnsi" w:hAnsiTheme="minorHAnsi" w:cstheme="minorHAnsi"/>
          <w:bCs/>
          <w:sz w:val="22"/>
          <w:szCs w:val="22"/>
        </w:rPr>
        <w:t xml:space="preserve">detections of </w:t>
      </w:r>
      <w:r w:rsidRPr="00BB6FA6">
        <w:rPr>
          <w:rFonts w:asciiTheme="minorHAnsi" w:hAnsiTheme="minorHAnsi" w:cstheme="minorHAnsi"/>
          <w:bCs/>
          <w:sz w:val="22"/>
          <w:szCs w:val="22"/>
        </w:rPr>
        <w:t>imidacloprid (45−55 ng/L; 100% detection frequency)</w:t>
      </w:r>
      <w:r w:rsidR="00DB5D4A">
        <w:rPr>
          <w:rFonts w:asciiTheme="minorHAnsi" w:hAnsiTheme="minorHAnsi" w:cstheme="minorHAnsi"/>
          <w:bCs/>
          <w:sz w:val="22"/>
          <w:szCs w:val="22"/>
        </w:rPr>
        <w:t>,</w:t>
      </w:r>
      <w:r w:rsidR="00371D3D">
        <w:rPr>
          <w:rFonts w:asciiTheme="minorHAnsi" w:hAnsiTheme="minorHAnsi" w:cstheme="minorHAnsi"/>
          <w:bCs/>
          <w:sz w:val="22"/>
          <w:szCs w:val="22"/>
        </w:rPr>
        <w:t xml:space="preserve"> </w:t>
      </w:r>
      <w:r w:rsidRPr="00BB6FA6">
        <w:rPr>
          <w:rFonts w:asciiTheme="minorHAnsi" w:hAnsiTheme="minorHAnsi" w:cstheme="minorHAnsi"/>
          <w:bCs/>
          <w:sz w:val="22"/>
          <w:szCs w:val="22"/>
        </w:rPr>
        <w:t>acetamiprid (3−5 ng/L; 100% detection frequency), and clothianidin (&lt;1−666 ng/L; 80% detection)</w:t>
      </w:r>
      <w:r w:rsidR="00DB5D4A">
        <w:rPr>
          <w:rFonts w:asciiTheme="minorHAnsi" w:hAnsiTheme="minorHAnsi" w:cstheme="minorHAnsi"/>
          <w:bCs/>
          <w:sz w:val="22"/>
          <w:szCs w:val="22"/>
        </w:rPr>
        <w:t xml:space="preserve"> were reported</w:t>
      </w:r>
      <w:r w:rsidRPr="00BB6FA6">
        <w:rPr>
          <w:rFonts w:asciiTheme="minorHAnsi" w:hAnsiTheme="minorHAnsi" w:cstheme="minorHAnsi"/>
          <w:bCs/>
          <w:sz w:val="22"/>
          <w:szCs w:val="22"/>
        </w:rPr>
        <w:t xml:space="preserve">. Average concentrations of imidacloprid and clothianidin in secondary effluent were 48.6 ± 7.8 and 131.3 ± 170.8 ng/L, respectively. During the sampling period average daily concentrations of imidacloprid entering and leaving the engineered wetland were 48.2 ± 4.8 and 41.5 ± 11.5 ng/L, respectively. </w:t>
      </w:r>
      <w:r w:rsidR="00077565">
        <w:rPr>
          <w:rFonts w:asciiTheme="minorHAnsi" w:hAnsiTheme="minorHAnsi" w:cstheme="minorHAnsi"/>
          <w:bCs/>
          <w:sz w:val="22"/>
          <w:szCs w:val="22"/>
        </w:rPr>
        <w:t xml:space="preserve">On the first day of sampling, the average daily </w:t>
      </w:r>
      <w:r w:rsidR="00077565" w:rsidRPr="00BB6FA6">
        <w:rPr>
          <w:rFonts w:asciiTheme="minorHAnsi" w:hAnsiTheme="minorHAnsi" w:cstheme="minorHAnsi"/>
          <w:bCs/>
          <w:sz w:val="22"/>
          <w:szCs w:val="22"/>
        </w:rPr>
        <w:t xml:space="preserve">imidacloprid concentration entering the engineered wetland were 54.4 ± 3.4 </w:t>
      </w:r>
      <w:r w:rsidR="00077565">
        <w:rPr>
          <w:rFonts w:asciiTheme="minorHAnsi" w:hAnsiTheme="minorHAnsi" w:cstheme="minorHAnsi"/>
          <w:bCs/>
          <w:sz w:val="22"/>
          <w:szCs w:val="22"/>
        </w:rPr>
        <w:t xml:space="preserve">ng/L. </w:t>
      </w:r>
      <w:r w:rsidRPr="00BB6FA6">
        <w:rPr>
          <w:rFonts w:asciiTheme="minorHAnsi" w:hAnsiTheme="minorHAnsi" w:cstheme="minorHAnsi"/>
          <w:bCs/>
          <w:sz w:val="22"/>
          <w:szCs w:val="22"/>
        </w:rPr>
        <w:t xml:space="preserve">After 5 days, </w:t>
      </w:r>
      <w:r w:rsidR="00077565">
        <w:rPr>
          <w:rFonts w:asciiTheme="minorHAnsi" w:hAnsiTheme="minorHAnsi" w:cstheme="minorHAnsi"/>
          <w:bCs/>
          <w:sz w:val="22"/>
          <w:szCs w:val="22"/>
        </w:rPr>
        <w:t xml:space="preserve">the </w:t>
      </w:r>
      <w:r w:rsidR="001D2385">
        <w:rPr>
          <w:rFonts w:asciiTheme="minorHAnsi" w:hAnsiTheme="minorHAnsi" w:cstheme="minorHAnsi"/>
          <w:bCs/>
          <w:sz w:val="22"/>
          <w:szCs w:val="22"/>
        </w:rPr>
        <w:t xml:space="preserve">average daily </w:t>
      </w:r>
      <w:r w:rsidRPr="00BB6FA6">
        <w:rPr>
          <w:rFonts w:asciiTheme="minorHAnsi" w:hAnsiTheme="minorHAnsi" w:cstheme="minorHAnsi"/>
          <w:bCs/>
          <w:sz w:val="22"/>
          <w:szCs w:val="22"/>
        </w:rPr>
        <w:t xml:space="preserve">imidacloprid concentration leaving the engineered wetland </w:t>
      </w:r>
      <w:r w:rsidR="00077565">
        <w:rPr>
          <w:rFonts w:asciiTheme="minorHAnsi" w:hAnsiTheme="minorHAnsi" w:cstheme="minorHAnsi"/>
          <w:bCs/>
          <w:sz w:val="22"/>
          <w:szCs w:val="22"/>
        </w:rPr>
        <w:t>was</w:t>
      </w:r>
      <w:r w:rsidRPr="00BB6FA6">
        <w:rPr>
          <w:rFonts w:asciiTheme="minorHAnsi" w:hAnsiTheme="minorHAnsi" w:cstheme="minorHAnsi"/>
          <w:bCs/>
          <w:sz w:val="22"/>
          <w:szCs w:val="22"/>
        </w:rPr>
        <w:t xml:space="preserve"> 49.9 ± 14.6 ng/L, </w:t>
      </w:r>
      <w:r w:rsidR="00077565">
        <w:rPr>
          <w:rFonts w:asciiTheme="minorHAnsi" w:hAnsiTheme="minorHAnsi" w:cstheme="minorHAnsi"/>
          <w:bCs/>
          <w:sz w:val="22"/>
          <w:szCs w:val="22"/>
        </w:rPr>
        <w:t xml:space="preserve">indicating that </w:t>
      </w:r>
      <w:r w:rsidR="00077565" w:rsidRPr="00077565">
        <w:rPr>
          <w:rFonts w:asciiTheme="minorHAnsi" w:hAnsiTheme="minorHAnsi" w:cstheme="minorHAnsi"/>
          <w:bCs/>
          <w:sz w:val="22"/>
          <w:szCs w:val="22"/>
        </w:rPr>
        <w:t>no significant removal of imidacloprid was observed</w:t>
      </w:r>
      <w:r w:rsidRPr="00BB6FA6">
        <w:rPr>
          <w:rFonts w:asciiTheme="minorHAnsi" w:hAnsiTheme="minorHAnsi" w:cstheme="minorHAnsi"/>
          <w:bCs/>
          <w:sz w:val="22"/>
          <w:szCs w:val="22"/>
        </w:rPr>
        <w:t xml:space="preserve">. During the sampling period (5 days), average daily concentrations of clothianidin entering and leaving the engineered wetland were 124.8 ± 121.8 and 69.3 ± 53.9 ng/L, respectively. However, study authors </w:t>
      </w:r>
      <w:r w:rsidR="001D2385">
        <w:rPr>
          <w:rFonts w:asciiTheme="minorHAnsi" w:hAnsiTheme="minorHAnsi" w:cstheme="minorHAnsi"/>
          <w:bCs/>
          <w:sz w:val="22"/>
          <w:szCs w:val="22"/>
        </w:rPr>
        <w:t>indicat</w:t>
      </w:r>
      <w:r w:rsidRPr="00BB6FA6">
        <w:rPr>
          <w:rFonts w:asciiTheme="minorHAnsi" w:hAnsiTheme="minorHAnsi" w:cstheme="minorHAnsi"/>
          <w:bCs/>
          <w:sz w:val="22"/>
          <w:szCs w:val="22"/>
        </w:rPr>
        <w:t>ed that notable changes in loading of clothianidin (</w:t>
      </w:r>
      <w:r w:rsidRPr="00371D3D">
        <w:rPr>
          <w:rFonts w:asciiTheme="minorHAnsi" w:hAnsiTheme="minorHAnsi" w:cstheme="minorHAnsi"/>
          <w:bCs/>
          <w:i/>
          <w:iCs/>
          <w:sz w:val="22"/>
          <w:szCs w:val="22"/>
        </w:rPr>
        <w:t>i.e</w:t>
      </w:r>
      <w:r w:rsidRPr="00BB6FA6">
        <w:rPr>
          <w:rFonts w:asciiTheme="minorHAnsi" w:hAnsiTheme="minorHAnsi" w:cstheme="minorHAnsi"/>
          <w:bCs/>
          <w:sz w:val="22"/>
          <w:szCs w:val="22"/>
        </w:rPr>
        <w:t>., instances where the effluent was higher than the influent) made it impossible to draw any firm conclusions about potential losses in the wetland.</w:t>
      </w:r>
    </w:p>
    <w:p w14:paraId="50643AE7" w14:textId="77777777" w:rsidR="00BB6FA6" w:rsidRPr="00BB6FA6" w:rsidRDefault="00BB6FA6" w:rsidP="005859DB">
      <w:pPr>
        <w:pStyle w:val="Default"/>
        <w:rPr>
          <w:rFonts w:asciiTheme="minorHAnsi" w:hAnsiTheme="minorHAnsi" w:cstheme="minorHAnsi"/>
          <w:bCs/>
          <w:sz w:val="22"/>
          <w:szCs w:val="22"/>
        </w:rPr>
      </w:pPr>
    </w:p>
    <w:p w14:paraId="515355A0" w14:textId="3027FE78" w:rsidR="00BB6FA6" w:rsidRDefault="00BB6FA6" w:rsidP="005859DB">
      <w:pPr>
        <w:pStyle w:val="Default"/>
        <w:rPr>
          <w:rFonts w:asciiTheme="minorHAnsi" w:hAnsiTheme="minorHAnsi" w:cstheme="minorHAnsi"/>
          <w:bCs/>
          <w:sz w:val="22"/>
          <w:szCs w:val="22"/>
        </w:rPr>
      </w:pPr>
      <w:r w:rsidRPr="00BB6FA6">
        <w:rPr>
          <w:rFonts w:asciiTheme="minorHAnsi" w:hAnsiTheme="minorHAnsi" w:cstheme="minorHAnsi"/>
          <w:bCs/>
          <w:sz w:val="22"/>
          <w:szCs w:val="22"/>
        </w:rPr>
        <w:t xml:space="preserve">For the 12 WWTPs sampled in 2015, the average concentrations discharged (minimum, maximum, median values in ng/L, and detection frequency) were 62.6 ng/L (18.5, 146.4, 52.7, 100%) for imidacloprid, 1.9 ng/L (0.6, 5.7, 1.3, 67%) for acetamiprid, and 12.1 ng/L (9.9, 13.4, 12.5, 33%) for </w:t>
      </w:r>
      <w:r w:rsidRPr="00BB6FA6">
        <w:rPr>
          <w:rFonts w:asciiTheme="minorHAnsi" w:hAnsiTheme="minorHAnsi" w:cstheme="minorHAnsi"/>
          <w:bCs/>
          <w:sz w:val="22"/>
          <w:szCs w:val="22"/>
        </w:rPr>
        <w:lastRenderedPageBreak/>
        <w:t xml:space="preserve">clothianidin. Thiamethoxam, thiacloprid, and dinotefuran were not detected in any of the samples examined, with </w:t>
      </w:r>
      <w:r w:rsidR="001D2385">
        <w:rPr>
          <w:rFonts w:asciiTheme="minorHAnsi" w:hAnsiTheme="minorHAnsi" w:cstheme="minorHAnsi"/>
          <w:bCs/>
          <w:sz w:val="22"/>
          <w:szCs w:val="22"/>
        </w:rPr>
        <w:t>minimum detection limits (</w:t>
      </w:r>
      <w:r w:rsidRPr="00BB6FA6">
        <w:rPr>
          <w:rFonts w:asciiTheme="minorHAnsi" w:hAnsiTheme="minorHAnsi" w:cstheme="minorHAnsi"/>
          <w:bCs/>
          <w:sz w:val="22"/>
          <w:szCs w:val="22"/>
        </w:rPr>
        <w:t>MDLs</w:t>
      </w:r>
      <w:r w:rsidR="001D2385">
        <w:rPr>
          <w:rFonts w:asciiTheme="minorHAnsi" w:hAnsiTheme="minorHAnsi" w:cstheme="minorHAnsi"/>
          <w:bCs/>
          <w:sz w:val="22"/>
          <w:szCs w:val="22"/>
        </w:rPr>
        <w:t>)</w:t>
      </w:r>
      <w:r w:rsidRPr="00BB6FA6">
        <w:rPr>
          <w:rFonts w:asciiTheme="minorHAnsi" w:hAnsiTheme="minorHAnsi" w:cstheme="minorHAnsi"/>
          <w:bCs/>
          <w:sz w:val="22"/>
          <w:szCs w:val="22"/>
        </w:rPr>
        <w:t xml:space="preserve"> of 0.3, 0.1, and 32.6 ng/L, respectively. During this one-time sampling event</w:t>
      </w:r>
      <w:r w:rsidR="001D2385">
        <w:rPr>
          <w:rFonts w:asciiTheme="minorHAnsi" w:hAnsiTheme="minorHAnsi" w:cstheme="minorHAnsi"/>
          <w:bCs/>
          <w:sz w:val="22"/>
          <w:szCs w:val="22"/>
        </w:rPr>
        <w:t xml:space="preserve"> </w:t>
      </w:r>
      <w:r w:rsidRPr="00BB6FA6">
        <w:rPr>
          <w:rFonts w:asciiTheme="minorHAnsi" w:hAnsiTheme="minorHAnsi" w:cstheme="minorHAnsi"/>
          <w:bCs/>
          <w:sz w:val="22"/>
          <w:szCs w:val="22"/>
        </w:rPr>
        <w:t>at each facility (see discussion above pertaining to the sampling), study authors observed that relatively higher concentrations were discharged in the period of June to November when compared to the December to May time frame; however, they concluded that regional time series analysis was required to confirm and elucidate this phenomenon.</w:t>
      </w:r>
    </w:p>
    <w:p w14:paraId="095A0628" w14:textId="77777777" w:rsidR="001D2385" w:rsidRPr="00BB6FA6" w:rsidRDefault="001D2385" w:rsidP="005859DB">
      <w:pPr>
        <w:pStyle w:val="Default"/>
        <w:rPr>
          <w:rFonts w:asciiTheme="minorHAnsi" w:hAnsiTheme="minorHAnsi" w:cstheme="minorHAnsi"/>
          <w:bCs/>
          <w:sz w:val="22"/>
          <w:szCs w:val="22"/>
        </w:rPr>
      </w:pPr>
    </w:p>
    <w:p w14:paraId="0508C18E" w14:textId="20B3A8CF" w:rsidR="00BB6FA6" w:rsidRPr="00BB6FA6" w:rsidRDefault="00BB6FA6" w:rsidP="005859DB">
      <w:pPr>
        <w:pStyle w:val="Default"/>
        <w:rPr>
          <w:rFonts w:asciiTheme="minorHAnsi" w:hAnsiTheme="minorHAnsi" w:cstheme="minorHAnsi"/>
          <w:b/>
          <w:i/>
          <w:iCs/>
          <w:sz w:val="22"/>
          <w:szCs w:val="22"/>
        </w:rPr>
      </w:pPr>
      <w:proofErr w:type="spellStart"/>
      <w:r w:rsidRPr="00BB6FA6">
        <w:rPr>
          <w:rFonts w:asciiTheme="minorHAnsi" w:hAnsiTheme="minorHAnsi" w:cstheme="minorHAnsi"/>
          <w:b/>
          <w:i/>
          <w:iCs/>
          <w:sz w:val="22"/>
          <w:szCs w:val="22"/>
        </w:rPr>
        <w:t>Sadaria</w:t>
      </w:r>
      <w:proofErr w:type="spellEnd"/>
      <w:r w:rsidRPr="00BB6FA6">
        <w:rPr>
          <w:rFonts w:asciiTheme="minorHAnsi" w:hAnsiTheme="minorHAnsi" w:cstheme="minorHAnsi"/>
          <w:b/>
          <w:i/>
          <w:iCs/>
          <w:sz w:val="22"/>
          <w:szCs w:val="22"/>
        </w:rPr>
        <w:t xml:space="preserve">, A.M., Sutton, R., Moran, K.D., </w:t>
      </w:r>
      <w:proofErr w:type="spellStart"/>
      <w:r w:rsidRPr="00BB6FA6">
        <w:rPr>
          <w:rFonts w:asciiTheme="minorHAnsi" w:hAnsiTheme="minorHAnsi" w:cstheme="minorHAnsi"/>
          <w:b/>
          <w:i/>
          <w:iCs/>
          <w:sz w:val="22"/>
          <w:szCs w:val="22"/>
        </w:rPr>
        <w:t>Teerlink</w:t>
      </w:r>
      <w:proofErr w:type="spellEnd"/>
      <w:r w:rsidRPr="00BB6FA6">
        <w:rPr>
          <w:rFonts w:asciiTheme="minorHAnsi" w:hAnsiTheme="minorHAnsi" w:cstheme="minorHAnsi"/>
          <w:b/>
          <w:i/>
          <w:iCs/>
          <w:sz w:val="22"/>
          <w:szCs w:val="22"/>
        </w:rPr>
        <w:t xml:space="preserve">, J., Brown, J.V., Halden, R.U. 2017. Passage of </w:t>
      </w:r>
      <w:proofErr w:type="spellStart"/>
      <w:r w:rsidRPr="00BB6FA6">
        <w:rPr>
          <w:rFonts w:asciiTheme="minorHAnsi" w:hAnsiTheme="minorHAnsi" w:cstheme="minorHAnsi"/>
          <w:b/>
          <w:i/>
          <w:iCs/>
          <w:sz w:val="22"/>
          <w:szCs w:val="22"/>
        </w:rPr>
        <w:t>Fiproles</w:t>
      </w:r>
      <w:proofErr w:type="spellEnd"/>
      <w:r w:rsidRPr="00BB6FA6">
        <w:rPr>
          <w:rFonts w:asciiTheme="minorHAnsi" w:hAnsiTheme="minorHAnsi" w:cstheme="minorHAnsi"/>
          <w:b/>
          <w:i/>
          <w:iCs/>
          <w:sz w:val="22"/>
          <w:szCs w:val="22"/>
        </w:rPr>
        <w:t xml:space="preserve"> and Imidacloprid from Urban Pest Control Uses through Wastewater Treatment Plants in Northern California, USA. Environ </w:t>
      </w:r>
      <w:proofErr w:type="spellStart"/>
      <w:r w:rsidRPr="00BB6FA6">
        <w:rPr>
          <w:rFonts w:asciiTheme="minorHAnsi" w:hAnsiTheme="minorHAnsi" w:cstheme="minorHAnsi"/>
          <w:b/>
          <w:i/>
          <w:iCs/>
          <w:sz w:val="22"/>
          <w:szCs w:val="22"/>
        </w:rPr>
        <w:t>Toxicol</w:t>
      </w:r>
      <w:proofErr w:type="spellEnd"/>
      <w:r w:rsidRPr="00BB6FA6">
        <w:rPr>
          <w:rFonts w:asciiTheme="minorHAnsi" w:hAnsiTheme="minorHAnsi" w:cstheme="minorHAnsi"/>
          <w:b/>
          <w:i/>
          <w:iCs/>
          <w:sz w:val="22"/>
          <w:szCs w:val="22"/>
        </w:rPr>
        <w:t xml:space="preserve"> Chem 36:1473-1482</w:t>
      </w:r>
    </w:p>
    <w:p w14:paraId="275FE29F" w14:textId="77777777" w:rsidR="00BB6FA6" w:rsidRPr="00BB6FA6" w:rsidRDefault="00BB6FA6" w:rsidP="005859DB">
      <w:pPr>
        <w:pStyle w:val="Default"/>
        <w:rPr>
          <w:rFonts w:asciiTheme="minorHAnsi" w:hAnsiTheme="minorHAnsi" w:cstheme="minorHAnsi"/>
          <w:bCs/>
          <w:sz w:val="22"/>
          <w:szCs w:val="22"/>
        </w:rPr>
      </w:pPr>
    </w:p>
    <w:p w14:paraId="3BF623AD" w14:textId="34DB46F7" w:rsidR="00BB6FA6" w:rsidRPr="00BB6FA6" w:rsidRDefault="00BB6FA6" w:rsidP="005859DB">
      <w:pPr>
        <w:pStyle w:val="Default"/>
        <w:rPr>
          <w:rFonts w:asciiTheme="minorHAnsi" w:hAnsiTheme="minorHAnsi" w:cstheme="minorHAnsi"/>
          <w:bCs/>
          <w:sz w:val="22"/>
          <w:szCs w:val="22"/>
        </w:rPr>
      </w:pPr>
      <w:r w:rsidRPr="00BB6FA6">
        <w:rPr>
          <w:rFonts w:asciiTheme="minorHAnsi" w:hAnsiTheme="minorHAnsi" w:cstheme="minorHAnsi"/>
          <w:bCs/>
          <w:sz w:val="22"/>
          <w:szCs w:val="22"/>
        </w:rPr>
        <w:t>Imidacloprid, an urban pest control insecticide, was monitored during drought conditions in 8 San Francisco Bay (San Francisco, CA, USA) WWTPs. One facility sampled served only a large airport and the associated operations. The remaining 7 locations, representative of more typical municipal WWTPs, had per capita daily influent flows of 235 L/person/d to 302 L/person/d. Single 24-hour flow-weighted composite samples of influent and effluent were collected from each WWTP, except for one facility that used an influent composite (flow-weighted composite of 6 subsamples collected regularly throughout the 24-hour day). In influent, imidacloprid was detected in the range of 58–306 ng/L. In effluent, imidacloprid was detected in the range of 84–305 ng/L. Partitioning was also investigated; in influent, 100% of imidacloprid was present in the dissolved state. Imidacloprid persisted during wastewater treatment, regardless of treatment technology utilized (93±17%). At the airport WWTP, imidacloprid concentrations in effluent were approximately 3 times highe</w:t>
      </w:r>
      <w:r w:rsidR="001D2385">
        <w:rPr>
          <w:rFonts w:asciiTheme="minorHAnsi" w:hAnsiTheme="minorHAnsi" w:cstheme="minorHAnsi"/>
          <w:bCs/>
          <w:sz w:val="22"/>
          <w:szCs w:val="22"/>
        </w:rPr>
        <w:t xml:space="preserve">r </w:t>
      </w:r>
      <w:r w:rsidRPr="00BB6FA6">
        <w:rPr>
          <w:rFonts w:asciiTheme="minorHAnsi" w:hAnsiTheme="minorHAnsi" w:cstheme="minorHAnsi"/>
          <w:bCs/>
          <w:sz w:val="22"/>
          <w:szCs w:val="22"/>
        </w:rPr>
        <w:t>than influent levels, suggesting inconsistent loading into this facility that provided sanitary services to a major US airport.</w:t>
      </w:r>
    </w:p>
    <w:p w14:paraId="5C143BBE" w14:textId="77777777" w:rsidR="00BB6FA6" w:rsidRDefault="00BB6FA6" w:rsidP="005859DB">
      <w:pPr>
        <w:pStyle w:val="Default"/>
        <w:rPr>
          <w:rFonts w:asciiTheme="minorHAnsi" w:hAnsiTheme="minorHAnsi" w:cstheme="minorHAnsi"/>
          <w:bCs/>
          <w:sz w:val="22"/>
          <w:szCs w:val="22"/>
        </w:rPr>
      </w:pPr>
    </w:p>
    <w:p w14:paraId="6CC37B70" w14:textId="0F44D25A" w:rsidR="00BB6FA6" w:rsidRPr="00BB6FA6" w:rsidRDefault="00BB6FA6" w:rsidP="005859DB">
      <w:pPr>
        <w:pStyle w:val="Default"/>
        <w:rPr>
          <w:rFonts w:asciiTheme="minorHAnsi" w:hAnsiTheme="minorHAnsi" w:cstheme="minorHAnsi"/>
          <w:b/>
          <w:sz w:val="22"/>
          <w:szCs w:val="22"/>
        </w:rPr>
      </w:pPr>
      <w:r w:rsidRPr="00BB6FA6">
        <w:rPr>
          <w:rFonts w:asciiTheme="minorHAnsi" w:hAnsiTheme="minorHAnsi" w:cstheme="minorHAnsi"/>
          <w:b/>
          <w:sz w:val="22"/>
          <w:szCs w:val="22"/>
        </w:rPr>
        <w:t>BE Modeling</w:t>
      </w:r>
    </w:p>
    <w:p w14:paraId="5E467081" w14:textId="77777777" w:rsidR="00BB6FA6" w:rsidRPr="00BB6FA6" w:rsidRDefault="00BB6FA6" w:rsidP="005859DB">
      <w:pPr>
        <w:pStyle w:val="Default"/>
        <w:rPr>
          <w:rFonts w:asciiTheme="minorHAnsi" w:hAnsiTheme="minorHAnsi" w:cstheme="minorHAnsi"/>
          <w:bCs/>
          <w:sz w:val="22"/>
          <w:szCs w:val="22"/>
        </w:rPr>
      </w:pPr>
    </w:p>
    <w:p w14:paraId="22635E7E" w14:textId="1173C3F7" w:rsidR="00BB6FA6" w:rsidRPr="00E74298" w:rsidRDefault="00BB6FA6" w:rsidP="005859DB">
      <w:pPr>
        <w:pStyle w:val="Default"/>
        <w:rPr>
          <w:rFonts w:asciiTheme="minorHAnsi" w:hAnsiTheme="minorHAnsi" w:cstheme="minorHAnsi"/>
          <w:bCs/>
          <w:color w:val="auto"/>
          <w:sz w:val="22"/>
          <w:szCs w:val="22"/>
        </w:rPr>
      </w:pPr>
      <w:r w:rsidRPr="00BB6FA6">
        <w:rPr>
          <w:rFonts w:asciiTheme="minorHAnsi" w:hAnsiTheme="minorHAnsi" w:cstheme="minorHAnsi"/>
          <w:bCs/>
          <w:sz w:val="22"/>
          <w:szCs w:val="22"/>
        </w:rPr>
        <w:t xml:space="preserve">For comparison purposes, </w:t>
      </w:r>
      <w:r w:rsidR="005145E1">
        <w:rPr>
          <w:rFonts w:asciiTheme="minorHAnsi" w:hAnsiTheme="minorHAnsi" w:cstheme="minorHAnsi"/>
          <w:bCs/>
          <w:sz w:val="22"/>
          <w:szCs w:val="22"/>
        </w:rPr>
        <w:t xml:space="preserve">the </w:t>
      </w:r>
      <w:r w:rsidRPr="00BB6FA6">
        <w:rPr>
          <w:rFonts w:asciiTheme="minorHAnsi" w:hAnsiTheme="minorHAnsi" w:cstheme="minorHAnsi"/>
          <w:bCs/>
          <w:sz w:val="22"/>
          <w:szCs w:val="22"/>
        </w:rPr>
        <w:t>EECs for Bins 4 and 7</w:t>
      </w:r>
      <w:r w:rsidR="00840A3F">
        <w:rPr>
          <w:rFonts w:asciiTheme="minorHAnsi" w:hAnsiTheme="minorHAnsi" w:cstheme="minorHAnsi"/>
          <w:bCs/>
          <w:sz w:val="22"/>
          <w:szCs w:val="22"/>
        </w:rPr>
        <w:t xml:space="preserve"> (</w:t>
      </w:r>
      <w:r w:rsidR="00840A3F" w:rsidRPr="00371D3D">
        <w:rPr>
          <w:rFonts w:asciiTheme="minorHAnsi" w:hAnsiTheme="minorHAnsi" w:cstheme="minorHAnsi"/>
          <w:b/>
          <w:sz w:val="22"/>
          <w:szCs w:val="22"/>
        </w:rPr>
        <w:t>Chapter 3</w:t>
      </w:r>
      <w:r w:rsidR="00840A3F">
        <w:rPr>
          <w:rFonts w:asciiTheme="minorHAnsi" w:hAnsiTheme="minorHAnsi" w:cstheme="minorHAnsi"/>
          <w:bCs/>
          <w:sz w:val="22"/>
          <w:szCs w:val="22"/>
        </w:rPr>
        <w:t>)</w:t>
      </w:r>
      <w:r w:rsidRPr="00BB6FA6">
        <w:rPr>
          <w:rFonts w:asciiTheme="minorHAnsi" w:hAnsiTheme="minorHAnsi" w:cstheme="minorHAnsi"/>
          <w:bCs/>
          <w:sz w:val="22"/>
          <w:szCs w:val="22"/>
        </w:rPr>
        <w:t xml:space="preserve"> </w:t>
      </w:r>
      <w:r w:rsidR="005145E1">
        <w:rPr>
          <w:rFonts w:asciiTheme="minorHAnsi" w:hAnsiTheme="minorHAnsi" w:cstheme="minorHAnsi"/>
          <w:bCs/>
          <w:sz w:val="22"/>
          <w:szCs w:val="22"/>
        </w:rPr>
        <w:t xml:space="preserve">presented in the BEs </w:t>
      </w:r>
      <w:r w:rsidR="0044209F">
        <w:rPr>
          <w:rFonts w:asciiTheme="minorHAnsi" w:hAnsiTheme="minorHAnsi" w:cstheme="minorHAnsi"/>
          <w:bCs/>
          <w:sz w:val="22"/>
          <w:szCs w:val="22"/>
        </w:rPr>
        <w:t>(</w:t>
      </w:r>
      <w:r w:rsidR="0044209F" w:rsidRPr="00371D3D">
        <w:rPr>
          <w:rFonts w:asciiTheme="minorHAnsi" w:hAnsiTheme="minorHAnsi" w:cstheme="minorHAnsi"/>
          <w:b/>
          <w:sz w:val="22"/>
          <w:szCs w:val="22"/>
        </w:rPr>
        <w:t>Appendix 3-1</w:t>
      </w:r>
      <w:r w:rsidR="0044209F">
        <w:rPr>
          <w:rFonts w:asciiTheme="minorHAnsi" w:hAnsiTheme="minorHAnsi" w:cstheme="minorHAnsi"/>
          <w:bCs/>
          <w:sz w:val="22"/>
          <w:szCs w:val="22"/>
        </w:rPr>
        <w:t xml:space="preserve">) </w:t>
      </w:r>
      <w:r w:rsidRPr="00BB6FA6">
        <w:rPr>
          <w:rFonts w:asciiTheme="minorHAnsi" w:hAnsiTheme="minorHAnsi" w:cstheme="minorHAnsi"/>
          <w:bCs/>
          <w:sz w:val="22"/>
          <w:szCs w:val="22"/>
        </w:rPr>
        <w:t>for the three neonic</w:t>
      </w:r>
      <w:r>
        <w:rPr>
          <w:rFonts w:asciiTheme="minorHAnsi" w:hAnsiTheme="minorHAnsi" w:cstheme="minorHAnsi"/>
          <w:bCs/>
          <w:sz w:val="22"/>
          <w:szCs w:val="22"/>
        </w:rPr>
        <w:t>otinoids</w:t>
      </w:r>
      <w:r w:rsidRPr="00BB6FA6">
        <w:rPr>
          <w:rFonts w:asciiTheme="minorHAnsi" w:hAnsiTheme="minorHAnsi" w:cstheme="minorHAnsi"/>
          <w:bCs/>
          <w:sz w:val="22"/>
          <w:szCs w:val="22"/>
        </w:rPr>
        <w:t>, residential outdoor uses (</w:t>
      </w:r>
      <w:r w:rsidRPr="001D2385">
        <w:rPr>
          <w:rFonts w:asciiTheme="minorHAnsi" w:hAnsiTheme="minorHAnsi" w:cstheme="minorHAnsi"/>
          <w:b/>
          <w:sz w:val="22"/>
          <w:szCs w:val="22"/>
        </w:rPr>
        <w:t xml:space="preserve">Table </w:t>
      </w:r>
      <w:r w:rsidR="005550E9">
        <w:rPr>
          <w:rFonts w:asciiTheme="minorHAnsi" w:hAnsiTheme="minorHAnsi" w:cstheme="minorHAnsi"/>
          <w:b/>
          <w:sz w:val="22"/>
          <w:szCs w:val="22"/>
        </w:rPr>
        <w:t>B</w:t>
      </w:r>
      <w:r w:rsidR="001D2385" w:rsidRPr="001D2385">
        <w:rPr>
          <w:rFonts w:asciiTheme="minorHAnsi" w:hAnsiTheme="minorHAnsi" w:cstheme="minorHAnsi"/>
          <w:b/>
          <w:sz w:val="22"/>
          <w:szCs w:val="22"/>
        </w:rPr>
        <w:t>-</w:t>
      </w:r>
      <w:r w:rsidRPr="001D2385">
        <w:rPr>
          <w:rFonts w:asciiTheme="minorHAnsi" w:hAnsiTheme="minorHAnsi" w:cstheme="minorHAnsi"/>
          <w:b/>
          <w:sz w:val="22"/>
          <w:szCs w:val="22"/>
        </w:rPr>
        <w:t>1</w:t>
      </w:r>
      <w:r w:rsidR="005145E1">
        <w:rPr>
          <w:rFonts w:asciiTheme="minorHAnsi" w:hAnsiTheme="minorHAnsi" w:cstheme="minorHAnsi"/>
          <w:b/>
          <w:sz w:val="22"/>
          <w:szCs w:val="22"/>
        </w:rPr>
        <w:t xml:space="preserve"> </w:t>
      </w:r>
      <w:r w:rsidR="005145E1" w:rsidRPr="007415C8">
        <w:rPr>
          <w:rFonts w:asciiTheme="minorHAnsi" w:hAnsiTheme="minorHAnsi" w:cstheme="minorHAnsi"/>
          <w:bCs/>
          <w:sz w:val="22"/>
          <w:szCs w:val="22"/>
        </w:rPr>
        <w:t>below</w:t>
      </w:r>
      <w:r w:rsidRPr="00BB6FA6">
        <w:rPr>
          <w:rFonts w:asciiTheme="minorHAnsi" w:hAnsiTheme="minorHAnsi" w:cstheme="minorHAnsi"/>
          <w:bCs/>
          <w:sz w:val="22"/>
          <w:szCs w:val="22"/>
        </w:rPr>
        <w:t xml:space="preserve">) are on </w:t>
      </w:r>
      <w:r w:rsidRPr="005550E9">
        <w:rPr>
          <w:rFonts w:asciiTheme="minorHAnsi" w:hAnsiTheme="minorHAnsi" w:cstheme="minorHAnsi"/>
          <w:bCs/>
          <w:sz w:val="22"/>
          <w:szCs w:val="22"/>
        </w:rPr>
        <w:t xml:space="preserve">the same order of magnitude or higher than the values reported in the </w:t>
      </w:r>
      <w:r w:rsidR="005145E1">
        <w:rPr>
          <w:rFonts w:asciiTheme="minorHAnsi" w:hAnsiTheme="minorHAnsi" w:cstheme="minorHAnsi"/>
          <w:bCs/>
          <w:sz w:val="22"/>
          <w:szCs w:val="22"/>
        </w:rPr>
        <w:t xml:space="preserve">WWTPs </w:t>
      </w:r>
      <w:r w:rsidRPr="005550E9">
        <w:rPr>
          <w:rFonts w:asciiTheme="minorHAnsi" w:hAnsiTheme="minorHAnsi" w:cstheme="minorHAnsi"/>
          <w:bCs/>
          <w:sz w:val="22"/>
          <w:szCs w:val="22"/>
        </w:rPr>
        <w:t xml:space="preserve">open literature. </w:t>
      </w:r>
      <w:r w:rsidR="007415C8">
        <w:rPr>
          <w:rFonts w:asciiTheme="minorHAnsi" w:hAnsiTheme="minorHAnsi" w:cstheme="minorHAnsi"/>
          <w:bCs/>
          <w:sz w:val="22"/>
          <w:szCs w:val="22"/>
        </w:rPr>
        <w:t xml:space="preserve">While Bins 2 (edge of field estimates) and 10 (wetland) tend to have higher modeled EECs than Bins 4 and 7, </w:t>
      </w:r>
      <w:r w:rsidR="005145E1">
        <w:rPr>
          <w:rFonts w:asciiTheme="minorHAnsi" w:hAnsiTheme="minorHAnsi" w:cstheme="minorHAnsi"/>
          <w:bCs/>
          <w:sz w:val="22"/>
          <w:szCs w:val="22"/>
        </w:rPr>
        <w:t xml:space="preserve">Bins 4 and 7 are similar in context to the types of waterbodies that may represent waterbodies receiving </w:t>
      </w:r>
      <w:r w:rsidR="009E2B51">
        <w:rPr>
          <w:rFonts w:asciiTheme="minorHAnsi" w:hAnsiTheme="minorHAnsi" w:cstheme="minorHAnsi"/>
          <w:bCs/>
          <w:sz w:val="22"/>
          <w:szCs w:val="22"/>
        </w:rPr>
        <w:t xml:space="preserve">effluent from </w:t>
      </w:r>
      <w:r w:rsidR="005145E1">
        <w:rPr>
          <w:rFonts w:asciiTheme="minorHAnsi" w:hAnsiTheme="minorHAnsi" w:cstheme="minorHAnsi"/>
          <w:bCs/>
          <w:sz w:val="22"/>
          <w:szCs w:val="22"/>
        </w:rPr>
        <w:t xml:space="preserve">WWTPs. </w:t>
      </w:r>
      <w:r w:rsidRPr="005550E9">
        <w:rPr>
          <w:rFonts w:asciiTheme="minorHAnsi" w:hAnsiTheme="minorHAnsi" w:cstheme="minorHAnsi"/>
          <w:bCs/>
          <w:sz w:val="22"/>
          <w:szCs w:val="22"/>
        </w:rPr>
        <w:t>It should also be noted that the effluents discussed in the above open literature documents are not waterbody concentrations, except for perhaps those leaving the wetland</w:t>
      </w:r>
      <w:r w:rsidR="00840A3F">
        <w:rPr>
          <w:rFonts w:asciiTheme="minorHAnsi" w:hAnsiTheme="minorHAnsi" w:cstheme="minorHAnsi"/>
          <w:bCs/>
          <w:sz w:val="22"/>
          <w:szCs w:val="22"/>
        </w:rPr>
        <w:t xml:space="preserve"> (</w:t>
      </w:r>
      <w:proofErr w:type="spellStart"/>
      <w:r w:rsidR="00840A3F" w:rsidRPr="00840A3F">
        <w:rPr>
          <w:rFonts w:asciiTheme="minorHAnsi" w:hAnsiTheme="minorHAnsi" w:cstheme="minorHAnsi"/>
          <w:bCs/>
          <w:sz w:val="22"/>
          <w:szCs w:val="22"/>
        </w:rPr>
        <w:t>Sadaria</w:t>
      </w:r>
      <w:proofErr w:type="spellEnd"/>
      <w:r w:rsidR="00840A3F">
        <w:rPr>
          <w:rFonts w:asciiTheme="minorHAnsi" w:hAnsiTheme="minorHAnsi" w:cstheme="minorHAnsi"/>
          <w:bCs/>
          <w:sz w:val="22"/>
          <w:szCs w:val="22"/>
        </w:rPr>
        <w:t xml:space="preserve"> </w:t>
      </w:r>
      <w:r w:rsidR="00840A3F" w:rsidRPr="00371D3D">
        <w:rPr>
          <w:rFonts w:asciiTheme="minorHAnsi" w:hAnsiTheme="minorHAnsi" w:cstheme="minorHAnsi"/>
          <w:bCs/>
          <w:i/>
          <w:iCs/>
          <w:sz w:val="22"/>
          <w:szCs w:val="22"/>
        </w:rPr>
        <w:t>et al,</w:t>
      </w:r>
      <w:r w:rsidR="00840A3F">
        <w:rPr>
          <w:rFonts w:asciiTheme="minorHAnsi" w:hAnsiTheme="minorHAnsi" w:cstheme="minorHAnsi"/>
          <w:bCs/>
          <w:sz w:val="22"/>
          <w:szCs w:val="22"/>
        </w:rPr>
        <w:t xml:space="preserve"> 2016)</w:t>
      </w:r>
      <w:r w:rsidRPr="005550E9">
        <w:rPr>
          <w:rFonts w:asciiTheme="minorHAnsi" w:hAnsiTheme="minorHAnsi" w:cstheme="minorHAnsi"/>
          <w:bCs/>
          <w:sz w:val="22"/>
          <w:szCs w:val="22"/>
        </w:rPr>
        <w:t>, and do not account for any diluti</w:t>
      </w:r>
      <w:r w:rsidRPr="00E74298">
        <w:rPr>
          <w:rFonts w:asciiTheme="minorHAnsi" w:hAnsiTheme="minorHAnsi" w:cstheme="minorHAnsi"/>
          <w:bCs/>
          <w:sz w:val="22"/>
          <w:szCs w:val="22"/>
        </w:rPr>
        <w:t xml:space="preserve">on </w:t>
      </w:r>
      <w:r w:rsidRPr="00E74298">
        <w:rPr>
          <w:rFonts w:asciiTheme="minorHAnsi" w:hAnsiTheme="minorHAnsi" w:cstheme="minorHAnsi"/>
          <w:bCs/>
          <w:color w:val="auto"/>
          <w:sz w:val="22"/>
          <w:szCs w:val="22"/>
        </w:rPr>
        <w:t>that may occur when the effluent enters a waterbody.</w:t>
      </w:r>
    </w:p>
    <w:p w14:paraId="4C27519B" w14:textId="0DEAD00A" w:rsidR="00BB6FA6" w:rsidRPr="00E74298" w:rsidRDefault="00BB6FA6" w:rsidP="005859DB">
      <w:pPr>
        <w:pStyle w:val="Default"/>
        <w:rPr>
          <w:rFonts w:asciiTheme="minorHAnsi" w:hAnsiTheme="minorHAnsi" w:cstheme="minorHAnsi"/>
          <w:bCs/>
          <w:color w:val="auto"/>
          <w:sz w:val="22"/>
          <w:szCs w:val="22"/>
        </w:rPr>
      </w:pPr>
    </w:p>
    <w:p w14:paraId="286513FE" w14:textId="183ABC37" w:rsidR="00BB6FA6" w:rsidRPr="00BD1C41" w:rsidRDefault="00BB6FA6" w:rsidP="00146729">
      <w:pPr>
        <w:pStyle w:val="Caption"/>
        <w:keepNext/>
        <w:keepLines/>
        <w:spacing w:after="0"/>
        <w:rPr>
          <w:rFonts w:cstheme="minorHAnsi"/>
          <w:b/>
          <w:bCs/>
          <w:i w:val="0"/>
          <w:iCs w:val="0"/>
          <w:color w:val="auto"/>
          <w:sz w:val="22"/>
          <w:szCs w:val="22"/>
        </w:rPr>
      </w:pPr>
      <w:r w:rsidRPr="00BD1C41">
        <w:rPr>
          <w:rFonts w:cstheme="minorHAnsi"/>
          <w:b/>
          <w:bCs/>
          <w:i w:val="0"/>
          <w:iCs w:val="0"/>
          <w:color w:val="auto"/>
          <w:sz w:val="22"/>
          <w:szCs w:val="22"/>
        </w:rPr>
        <w:lastRenderedPageBreak/>
        <w:t xml:space="preserve">Table </w:t>
      </w:r>
      <w:r w:rsidR="005550E9" w:rsidRPr="00BD1C41">
        <w:rPr>
          <w:rFonts w:cstheme="minorHAnsi"/>
          <w:b/>
          <w:bCs/>
          <w:i w:val="0"/>
          <w:iCs w:val="0"/>
          <w:color w:val="auto"/>
          <w:sz w:val="22"/>
          <w:szCs w:val="22"/>
        </w:rPr>
        <w:t>B</w:t>
      </w:r>
      <w:r w:rsidR="001D2385" w:rsidRPr="00BD1C41">
        <w:rPr>
          <w:rFonts w:cstheme="minorHAnsi"/>
          <w:b/>
          <w:bCs/>
          <w:i w:val="0"/>
          <w:iCs w:val="0"/>
          <w:color w:val="auto"/>
          <w:sz w:val="22"/>
          <w:szCs w:val="22"/>
        </w:rPr>
        <w:t>-</w:t>
      </w:r>
      <w:r w:rsidRPr="00BD1C41">
        <w:rPr>
          <w:rFonts w:cstheme="minorHAnsi"/>
          <w:b/>
          <w:bCs/>
          <w:i w:val="0"/>
          <w:iCs w:val="0"/>
          <w:color w:val="auto"/>
          <w:sz w:val="22"/>
          <w:szCs w:val="22"/>
        </w:rPr>
        <w:fldChar w:fldCharType="begin"/>
      </w:r>
      <w:r w:rsidRPr="00190F7F">
        <w:rPr>
          <w:rFonts w:cstheme="minorHAnsi"/>
          <w:b/>
          <w:bCs/>
          <w:i w:val="0"/>
          <w:iCs w:val="0"/>
          <w:color w:val="auto"/>
          <w:sz w:val="22"/>
          <w:szCs w:val="22"/>
        </w:rPr>
        <w:instrText xml:space="preserve"> SEQ Table \* ARABIC </w:instrText>
      </w:r>
      <w:r w:rsidRPr="00BD1C41">
        <w:rPr>
          <w:rFonts w:cstheme="minorHAnsi"/>
          <w:b/>
          <w:bCs/>
          <w:i w:val="0"/>
          <w:iCs w:val="0"/>
          <w:color w:val="auto"/>
          <w:sz w:val="22"/>
          <w:szCs w:val="22"/>
        </w:rPr>
        <w:fldChar w:fldCharType="separate"/>
      </w:r>
      <w:r w:rsidR="0089290F">
        <w:rPr>
          <w:rFonts w:cstheme="minorHAnsi"/>
          <w:b/>
          <w:bCs/>
          <w:i w:val="0"/>
          <w:iCs w:val="0"/>
          <w:noProof/>
          <w:color w:val="auto"/>
          <w:sz w:val="22"/>
          <w:szCs w:val="22"/>
        </w:rPr>
        <w:t>1</w:t>
      </w:r>
      <w:r w:rsidRPr="00BD1C41">
        <w:rPr>
          <w:rFonts w:cstheme="minorHAnsi"/>
          <w:b/>
          <w:bCs/>
          <w:i w:val="0"/>
          <w:iCs w:val="0"/>
          <w:color w:val="auto"/>
          <w:sz w:val="22"/>
          <w:szCs w:val="22"/>
        </w:rPr>
        <w:fldChar w:fldCharType="end"/>
      </w:r>
      <w:r w:rsidRPr="00BD1C41">
        <w:rPr>
          <w:rFonts w:cstheme="minorHAnsi"/>
          <w:b/>
          <w:bCs/>
          <w:i w:val="0"/>
          <w:iCs w:val="0"/>
          <w:color w:val="auto"/>
          <w:sz w:val="22"/>
          <w:szCs w:val="22"/>
        </w:rPr>
        <w:t>. Residential EECs for Bins 4 and 7</w:t>
      </w:r>
      <w:r w:rsidR="00840A3F" w:rsidRPr="00BD1C41">
        <w:rPr>
          <w:rFonts w:cstheme="minorHAnsi"/>
          <w:b/>
          <w:bCs/>
          <w:i w:val="0"/>
          <w:iCs w:val="0"/>
          <w:color w:val="auto"/>
          <w:sz w:val="22"/>
          <w:szCs w:val="22"/>
        </w:rPr>
        <w:t xml:space="preserve"> (Appendix 3-1)</w:t>
      </w:r>
    </w:p>
    <w:tbl>
      <w:tblPr>
        <w:tblStyle w:val="TableGrid"/>
        <w:tblW w:w="0" w:type="auto"/>
        <w:tblLook w:val="04A0" w:firstRow="1" w:lastRow="0" w:firstColumn="1" w:lastColumn="0" w:noHBand="0" w:noVBand="1"/>
      </w:tblPr>
      <w:tblGrid>
        <w:gridCol w:w="2695"/>
        <w:gridCol w:w="1979"/>
        <w:gridCol w:w="2338"/>
        <w:gridCol w:w="2338"/>
      </w:tblGrid>
      <w:tr w:rsidR="005550E9" w:rsidRPr="00BD1C41" w14:paraId="703C3381" w14:textId="77777777" w:rsidTr="00840A3F">
        <w:tc>
          <w:tcPr>
            <w:tcW w:w="2695" w:type="dxa"/>
          </w:tcPr>
          <w:p w14:paraId="48BCBFE1" w14:textId="77777777" w:rsidR="00BB6FA6" w:rsidRPr="0082645B" w:rsidRDefault="00BB6FA6" w:rsidP="00146729">
            <w:pPr>
              <w:keepNext/>
              <w:keepLines/>
              <w:jc w:val="center"/>
              <w:rPr>
                <w:rFonts w:asciiTheme="minorHAnsi" w:hAnsiTheme="minorHAnsi" w:cstheme="minorHAnsi"/>
                <w:b/>
                <w:bCs/>
              </w:rPr>
            </w:pPr>
            <w:r w:rsidRPr="00F07398">
              <w:rPr>
                <w:rFonts w:asciiTheme="minorHAnsi" w:hAnsiTheme="minorHAnsi" w:cstheme="minorHAnsi"/>
                <w:b/>
                <w:bCs/>
              </w:rPr>
              <w:t>Value</w:t>
            </w:r>
          </w:p>
        </w:tc>
        <w:tc>
          <w:tcPr>
            <w:tcW w:w="1979" w:type="dxa"/>
          </w:tcPr>
          <w:p w14:paraId="0C19F4F5" w14:textId="77777777" w:rsidR="00BB6FA6" w:rsidRPr="00AC551E" w:rsidRDefault="00BB6FA6" w:rsidP="00146729">
            <w:pPr>
              <w:keepNext/>
              <w:keepLines/>
              <w:jc w:val="center"/>
              <w:rPr>
                <w:rFonts w:asciiTheme="minorHAnsi" w:hAnsiTheme="minorHAnsi" w:cstheme="minorHAnsi"/>
                <w:b/>
                <w:bCs/>
              </w:rPr>
            </w:pPr>
            <w:r w:rsidRPr="0082645B">
              <w:rPr>
                <w:rFonts w:asciiTheme="minorHAnsi" w:hAnsiTheme="minorHAnsi" w:cstheme="minorHAnsi"/>
                <w:b/>
                <w:bCs/>
              </w:rPr>
              <w:t>Clothianidin (ng/L)</w:t>
            </w:r>
          </w:p>
        </w:tc>
        <w:tc>
          <w:tcPr>
            <w:tcW w:w="2338" w:type="dxa"/>
          </w:tcPr>
          <w:p w14:paraId="5AD702CA" w14:textId="77777777" w:rsidR="00BB6FA6" w:rsidRPr="00DC2E6C" w:rsidRDefault="00BB6FA6" w:rsidP="00146729">
            <w:pPr>
              <w:keepNext/>
              <w:keepLines/>
              <w:jc w:val="center"/>
              <w:rPr>
                <w:rFonts w:asciiTheme="minorHAnsi" w:hAnsiTheme="minorHAnsi" w:cstheme="minorHAnsi"/>
                <w:b/>
                <w:bCs/>
              </w:rPr>
            </w:pPr>
            <w:r w:rsidRPr="00240D14">
              <w:rPr>
                <w:rFonts w:asciiTheme="minorHAnsi" w:hAnsiTheme="minorHAnsi" w:cstheme="minorHAnsi"/>
                <w:b/>
                <w:bCs/>
              </w:rPr>
              <w:t>Imidacloprid (ng/L)</w:t>
            </w:r>
          </w:p>
        </w:tc>
        <w:tc>
          <w:tcPr>
            <w:tcW w:w="2338" w:type="dxa"/>
          </w:tcPr>
          <w:p w14:paraId="0592EA89" w14:textId="77777777" w:rsidR="00BB6FA6" w:rsidRPr="00DE64B6" w:rsidRDefault="00BB6FA6" w:rsidP="00146729">
            <w:pPr>
              <w:keepNext/>
              <w:keepLines/>
              <w:jc w:val="center"/>
              <w:rPr>
                <w:rFonts w:asciiTheme="minorHAnsi" w:hAnsiTheme="minorHAnsi" w:cstheme="minorHAnsi"/>
                <w:b/>
                <w:bCs/>
              </w:rPr>
            </w:pPr>
            <w:r w:rsidRPr="00DC2E6C">
              <w:rPr>
                <w:rFonts w:asciiTheme="minorHAnsi" w:hAnsiTheme="minorHAnsi" w:cstheme="minorHAnsi"/>
                <w:b/>
                <w:bCs/>
              </w:rPr>
              <w:t>Thiamethoxam (ng/L)</w:t>
            </w:r>
          </w:p>
        </w:tc>
      </w:tr>
      <w:tr w:rsidR="00840A3F" w:rsidRPr="00BD1C41" w14:paraId="1745D35E" w14:textId="77777777" w:rsidTr="00840A3F">
        <w:tc>
          <w:tcPr>
            <w:tcW w:w="2695" w:type="dxa"/>
            <w:vAlign w:val="bottom"/>
          </w:tcPr>
          <w:p w14:paraId="58F360E0" w14:textId="3A975C3A" w:rsidR="00840A3F" w:rsidRPr="0082645B" w:rsidRDefault="00840A3F" w:rsidP="00146729">
            <w:pPr>
              <w:keepNext/>
              <w:keepLines/>
              <w:rPr>
                <w:rFonts w:asciiTheme="minorHAnsi" w:eastAsia="Times New Roman" w:hAnsiTheme="minorHAnsi" w:cstheme="minorHAnsi"/>
                <w:color w:val="000000"/>
              </w:rPr>
            </w:pPr>
            <w:proofErr w:type="spellStart"/>
            <w:r w:rsidRPr="00BD1C41">
              <w:rPr>
                <w:rFonts w:asciiTheme="minorHAnsi" w:eastAsia="Times New Roman" w:hAnsiTheme="minorHAnsi" w:cstheme="minorHAnsi"/>
                <w:color w:val="000000"/>
              </w:rPr>
              <w:t>Sadaria</w:t>
            </w:r>
            <w:proofErr w:type="spellEnd"/>
            <w:r w:rsidRPr="00BD1C41">
              <w:rPr>
                <w:rFonts w:asciiTheme="minorHAnsi" w:eastAsia="Times New Roman" w:hAnsiTheme="minorHAnsi" w:cstheme="minorHAnsi"/>
                <w:color w:val="000000"/>
              </w:rPr>
              <w:t xml:space="preserve"> </w:t>
            </w:r>
            <w:r w:rsidRPr="00146729">
              <w:rPr>
                <w:rFonts w:asciiTheme="minorHAnsi" w:eastAsia="Times New Roman" w:hAnsiTheme="minorHAnsi" w:cstheme="minorHAnsi"/>
                <w:i/>
                <w:iCs/>
                <w:color w:val="000000"/>
              </w:rPr>
              <w:t>et al</w:t>
            </w:r>
            <w:r w:rsidR="00146729" w:rsidRPr="00146729">
              <w:rPr>
                <w:rFonts w:asciiTheme="minorHAnsi" w:eastAsia="Times New Roman" w:hAnsiTheme="minorHAnsi" w:cstheme="minorHAnsi"/>
                <w:i/>
                <w:iCs/>
                <w:color w:val="000000"/>
              </w:rPr>
              <w:t>.</w:t>
            </w:r>
            <w:r w:rsidRPr="00BD1C41">
              <w:rPr>
                <w:rFonts w:asciiTheme="minorHAnsi" w:eastAsia="Times New Roman" w:hAnsiTheme="minorHAnsi" w:cstheme="minorHAnsi"/>
                <w:color w:val="000000"/>
              </w:rPr>
              <w:t xml:space="preserve"> 2016, </w:t>
            </w:r>
            <w:r w:rsidRPr="00F07398">
              <w:rPr>
                <w:rFonts w:asciiTheme="minorHAnsi" w:eastAsia="Times New Roman" w:hAnsiTheme="minorHAnsi" w:cstheme="minorHAnsi"/>
                <w:color w:val="000000"/>
              </w:rPr>
              <w:t>secondary effluent</w:t>
            </w:r>
          </w:p>
        </w:tc>
        <w:tc>
          <w:tcPr>
            <w:tcW w:w="1979" w:type="dxa"/>
            <w:vAlign w:val="bottom"/>
          </w:tcPr>
          <w:p w14:paraId="0BD84825" w14:textId="25F17573" w:rsidR="00840A3F" w:rsidRPr="00AC551E" w:rsidRDefault="00840A3F" w:rsidP="00146729">
            <w:pPr>
              <w:keepNext/>
              <w:keepLines/>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131.3 ± 170.8</w:t>
            </w:r>
          </w:p>
        </w:tc>
        <w:tc>
          <w:tcPr>
            <w:tcW w:w="2338" w:type="dxa"/>
            <w:vAlign w:val="bottom"/>
          </w:tcPr>
          <w:p w14:paraId="035473F5" w14:textId="2A722603" w:rsidR="00840A3F" w:rsidRPr="00DC2E6C" w:rsidRDefault="00840A3F" w:rsidP="00146729">
            <w:pPr>
              <w:keepNext/>
              <w:keepLines/>
              <w:jc w:val="center"/>
              <w:rPr>
                <w:rFonts w:asciiTheme="minorHAnsi" w:eastAsia="Times New Roman" w:hAnsiTheme="minorHAnsi" w:cstheme="minorHAnsi"/>
                <w:color w:val="000000"/>
              </w:rPr>
            </w:pPr>
            <w:r w:rsidRPr="00240D14">
              <w:rPr>
                <w:rFonts w:asciiTheme="minorHAnsi" w:eastAsia="Times New Roman" w:hAnsiTheme="minorHAnsi" w:cstheme="minorHAnsi"/>
                <w:color w:val="000000"/>
              </w:rPr>
              <w:t>48.6 ± 7.8</w:t>
            </w:r>
          </w:p>
        </w:tc>
        <w:tc>
          <w:tcPr>
            <w:tcW w:w="2338" w:type="dxa"/>
            <w:vAlign w:val="bottom"/>
          </w:tcPr>
          <w:p w14:paraId="59F1408A" w14:textId="35734B6C" w:rsidR="00840A3F" w:rsidRPr="00DE64B6" w:rsidRDefault="00475C0D" w:rsidP="00146729">
            <w:pPr>
              <w:keepNext/>
              <w:keepLines/>
              <w:jc w:val="center"/>
              <w:rPr>
                <w:rFonts w:asciiTheme="minorHAnsi" w:eastAsia="Times New Roman" w:hAnsiTheme="minorHAnsi" w:cstheme="minorHAnsi"/>
                <w:color w:val="000000"/>
              </w:rPr>
            </w:pPr>
            <w:r w:rsidRPr="00DC2E6C">
              <w:rPr>
                <w:rFonts w:asciiTheme="minorHAnsi" w:eastAsia="Times New Roman" w:hAnsiTheme="minorHAnsi" w:cstheme="minorHAnsi"/>
                <w:color w:val="000000"/>
              </w:rPr>
              <w:t>N/A</w:t>
            </w:r>
          </w:p>
        </w:tc>
      </w:tr>
      <w:tr w:rsidR="00475C0D" w:rsidRPr="00BD1C41" w14:paraId="30EDCC4F" w14:textId="77777777" w:rsidTr="00840A3F">
        <w:tc>
          <w:tcPr>
            <w:tcW w:w="2695" w:type="dxa"/>
            <w:vAlign w:val="bottom"/>
          </w:tcPr>
          <w:p w14:paraId="25495D33" w14:textId="5BB9F782" w:rsidR="00475C0D" w:rsidRPr="00F07398" w:rsidRDefault="00475C0D" w:rsidP="00146729">
            <w:pPr>
              <w:keepNext/>
              <w:keepLines/>
              <w:rPr>
                <w:rFonts w:asciiTheme="minorHAnsi" w:eastAsia="Times New Roman" w:hAnsiTheme="minorHAnsi" w:cstheme="minorHAnsi"/>
                <w:color w:val="000000"/>
              </w:rPr>
            </w:pPr>
            <w:proofErr w:type="spellStart"/>
            <w:r w:rsidRPr="00BD1C41">
              <w:rPr>
                <w:rFonts w:asciiTheme="minorHAnsi" w:eastAsia="Times New Roman" w:hAnsiTheme="minorHAnsi" w:cstheme="minorHAnsi"/>
                <w:color w:val="000000"/>
              </w:rPr>
              <w:t>Sadaria</w:t>
            </w:r>
            <w:proofErr w:type="spellEnd"/>
            <w:r w:rsidRPr="00BD1C41">
              <w:rPr>
                <w:rFonts w:asciiTheme="minorHAnsi" w:eastAsia="Times New Roman" w:hAnsiTheme="minorHAnsi" w:cstheme="minorHAnsi"/>
                <w:color w:val="000000"/>
              </w:rPr>
              <w:t xml:space="preserve"> </w:t>
            </w:r>
            <w:r w:rsidRPr="00146729">
              <w:rPr>
                <w:rFonts w:asciiTheme="minorHAnsi" w:eastAsia="Times New Roman" w:hAnsiTheme="minorHAnsi" w:cstheme="minorHAnsi"/>
                <w:i/>
                <w:iCs/>
                <w:color w:val="000000"/>
              </w:rPr>
              <w:t>et al</w:t>
            </w:r>
            <w:r w:rsidR="00146729" w:rsidRPr="00146729">
              <w:rPr>
                <w:rFonts w:asciiTheme="minorHAnsi" w:eastAsia="Times New Roman" w:hAnsiTheme="minorHAnsi" w:cstheme="minorHAnsi"/>
                <w:i/>
                <w:iCs/>
                <w:color w:val="000000"/>
              </w:rPr>
              <w:t>.</w:t>
            </w:r>
            <w:r w:rsidRPr="00BD1C41">
              <w:rPr>
                <w:rFonts w:asciiTheme="minorHAnsi" w:eastAsia="Times New Roman" w:hAnsiTheme="minorHAnsi" w:cstheme="minorHAnsi"/>
                <w:color w:val="000000"/>
              </w:rPr>
              <w:t xml:space="preserve"> 2016, wetland effluent</w:t>
            </w:r>
          </w:p>
        </w:tc>
        <w:tc>
          <w:tcPr>
            <w:tcW w:w="1979" w:type="dxa"/>
            <w:vAlign w:val="bottom"/>
          </w:tcPr>
          <w:p w14:paraId="0A892E32" w14:textId="79D75E16" w:rsidR="00475C0D" w:rsidRPr="00F07398" w:rsidRDefault="00475C0D" w:rsidP="00146729">
            <w:pPr>
              <w:keepNext/>
              <w:keepLines/>
              <w:jc w:val="center"/>
              <w:rPr>
                <w:rFonts w:asciiTheme="minorHAnsi" w:eastAsia="Times New Roman" w:hAnsiTheme="minorHAnsi" w:cstheme="minorHAnsi"/>
                <w:color w:val="000000"/>
              </w:rPr>
            </w:pPr>
            <w:r w:rsidRPr="00BD1C41">
              <w:rPr>
                <w:rFonts w:asciiTheme="minorHAnsi" w:hAnsiTheme="minorHAnsi" w:cstheme="minorHAnsi"/>
                <w:bCs/>
              </w:rPr>
              <w:t>69.3 ± 53.9</w:t>
            </w:r>
          </w:p>
        </w:tc>
        <w:tc>
          <w:tcPr>
            <w:tcW w:w="2338" w:type="dxa"/>
            <w:vAlign w:val="bottom"/>
          </w:tcPr>
          <w:p w14:paraId="4BBDDE46" w14:textId="2661D820" w:rsidR="00475C0D" w:rsidRPr="00F07398" w:rsidRDefault="00475C0D" w:rsidP="00146729">
            <w:pPr>
              <w:keepNext/>
              <w:keepLines/>
              <w:jc w:val="center"/>
              <w:rPr>
                <w:rFonts w:asciiTheme="minorHAnsi" w:eastAsia="Times New Roman" w:hAnsiTheme="minorHAnsi" w:cstheme="minorHAnsi"/>
                <w:color w:val="000000"/>
              </w:rPr>
            </w:pPr>
            <w:r w:rsidRPr="00BD1C41">
              <w:rPr>
                <w:rFonts w:asciiTheme="minorHAnsi" w:hAnsiTheme="minorHAnsi" w:cstheme="minorHAnsi"/>
                <w:bCs/>
              </w:rPr>
              <w:t>49.9 ± 14.6</w:t>
            </w:r>
          </w:p>
        </w:tc>
        <w:tc>
          <w:tcPr>
            <w:tcW w:w="2338" w:type="dxa"/>
            <w:vAlign w:val="bottom"/>
          </w:tcPr>
          <w:p w14:paraId="4E05006A" w14:textId="42F52D75" w:rsidR="00475C0D" w:rsidRPr="0082645B" w:rsidRDefault="00475C0D" w:rsidP="00146729">
            <w:pPr>
              <w:keepNext/>
              <w:keepLines/>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N/A</w:t>
            </w:r>
          </w:p>
        </w:tc>
      </w:tr>
      <w:tr w:rsidR="00475C0D" w:rsidRPr="00BD1C41" w14:paraId="1A585A79" w14:textId="77777777" w:rsidTr="00840A3F">
        <w:tc>
          <w:tcPr>
            <w:tcW w:w="2695" w:type="dxa"/>
            <w:vAlign w:val="bottom"/>
          </w:tcPr>
          <w:p w14:paraId="2DC3B875" w14:textId="08591949" w:rsidR="00475C0D" w:rsidRPr="00F07398" w:rsidRDefault="00475C0D" w:rsidP="00146729">
            <w:pPr>
              <w:keepNext/>
              <w:keepLines/>
              <w:rPr>
                <w:rFonts w:asciiTheme="minorHAnsi" w:eastAsia="Times New Roman" w:hAnsiTheme="minorHAnsi" w:cstheme="minorHAnsi"/>
                <w:color w:val="000000"/>
              </w:rPr>
            </w:pPr>
            <w:proofErr w:type="spellStart"/>
            <w:r w:rsidRPr="00BD1C41">
              <w:rPr>
                <w:rFonts w:asciiTheme="minorHAnsi" w:eastAsia="Times New Roman" w:hAnsiTheme="minorHAnsi" w:cstheme="minorHAnsi"/>
                <w:color w:val="000000"/>
              </w:rPr>
              <w:t>Sadaria</w:t>
            </w:r>
            <w:proofErr w:type="spellEnd"/>
            <w:r w:rsidRPr="00BD1C41">
              <w:rPr>
                <w:rFonts w:asciiTheme="minorHAnsi" w:eastAsia="Times New Roman" w:hAnsiTheme="minorHAnsi" w:cstheme="minorHAnsi"/>
                <w:color w:val="000000"/>
              </w:rPr>
              <w:t xml:space="preserve"> </w:t>
            </w:r>
            <w:r w:rsidRPr="00146729">
              <w:rPr>
                <w:rFonts w:asciiTheme="minorHAnsi" w:eastAsia="Times New Roman" w:hAnsiTheme="minorHAnsi" w:cstheme="minorHAnsi"/>
                <w:i/>
                <w:iCs/>
                <w:color w:val="000000"/>
              </w:rPr>
              <w:t>et al</w:t>
            </w:r>
            <w:r w:rsidR="00146729" w:rsidRPr="00146729">
              <w:rPr>
                <w:rFonts w:asciiTheme="minorHAnsi" w:eastAsia="Times New Roman" w:hAnsiTheme="minorHAnsi" w:cstheme="minorHAnsi"/>
                <w:i/>
                <w:iCs/>
                <w:color w:val="000000"/>
              </w:rPr>
              <w:t>.</w:t>
            </w:r>
            <w:r w:rsidRPr="00BD1C41">
              <w:rPr>
                <w:rFonts w:asciiTheme="minorHAnsi" w:eastAsia="Times New Roman" w:hAnsiTheme="minorHAnsi" w:cstheme="minorHAnsi"/>
                <w:color w:val="000000"/>
              </w:rPr>
              <w:t xml:space="preserve"> 2016, effluent from 12 WWTPs</w:t>
            </w:r>
          </w:p>
        </w:tc>
        <w:tc>
          <w:tcPr>
            <w:tcW w:w="1979" w:type="dxa"/>
            <w:vAlign w:val="bottom"/>
          </w:tcPr>
          <w:p w14:paraId="48883E77" w14:textId="1EFF8A19" w:rsidR="00475C0D" w:rsidRPr="0082645B" w:rsidRDefault="00475C0D" w:rsidP="00146729">
            <w:pPr>
              <w:keepNext/>
              <w:keepLines/>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9.9 - 13.4</w:t>
            </w:r>
          </w:p>
        </w:tc>
        <w:tc>
          <w:tcPr>
            <w:tcW w:w="2338" w:type="dxa"/>
            <w:vAlign w:val="bottom"/>
          </w:tcPr>
          <w:p w14:paraId="2DD12C87" w14:textId="170256D2" w:rsidR="00475C0D" w:rsidRPr="00240D14" w:rsidRDefault="00475C0D" w:rsidP="00146729">
            <w:pPr>
              <w:keepNext/>
              <w:keepLines/>
              <w:jc w:val="center"/>
              <w:rPr>
                <w:rFonts w:asciiTheme="minorHAnsi" w:eastAsia="Times New Roman" w:hAnsiTheme="minorHAnsi" w:cstheme="minorHAnsi"/>
                <w:color w:val="000000"/>
              </w:rPr>
            </w:pPr>
            <w:r w:rsidRPr="00AC551E">
              <w:rPr>
                <w:rFonts w:asciiTheme="minorHAnsi" w:eastAsia="Times New Roman" w:hAnsiTheme="minorHAnsi" w:cstheme="minorHAnsi"/>
                <w:color w:val="000000"/>
              </w:rPr>
              <w:t>18.5 - 146.4</w:t>
            </w:r>
          </w:p>
        </w:tc>
        <w:tc>
          <w:tcPr>
            <w:tcW w:w="2338" w:type="dxa"/>
            <w:vAlign w:val="bottom"/>
          </w:tcPr>
          <w:p w14:paraId="4CA613F4" w14:textId="66C1D4FE" w:rsidR="00475C0D" w:rsidRPr="00DC2E6C" w:rsidRDefault="00475C0D" w:rsidP="00146729">
            <w:pPr>
              <w:keepNext/>
              <w:keepLines/>
              <w:jc w:val="center"/>
              <w:rPr>
                <w:rFonts w:asciiTheme="minorHAnsi" w:eastAsia="Times New Roman" w:hAnsiTheme="minorHAnsi" w:cstheme="minorHAnsi"/>
                <w:color w:val="000000"/>
              </w:rPr>
            </w:pPr>
            <w:r w:rsidRPr="00DC2E6C">
              <w:rPr>
                <w:rFonts w:asciiTheme="minorHAnsi" w:eastAsia="Times New Roman" w:hAnsiTheme="minorHAnsi" w:cstheme="minorHAnsi"/>
                <w:color w:val="000000"/>
              </w:rPr>
              <w:t>N/A</w:t>
            </w:r>
          </w:p>
        </w:tc>
      </w:tr>
      <w:tr w:rsidR="00475C0D" w:rsidRPr="00BD1C41" w14:paraId="4BA3BA1F" w14:textId="77777777" w:rsidTr="00840A3F">
        <w:tc>
          <w:tcPr>
            <w:tcW w:w="2695" w:type="dxa"/>
            <w:vAlign w:val="bottom"/>
          </w:tcPr>
          <w:p w14:paraId="5869E61E" w14:textId="5D2BBDF0" w:rsidR="00475C0D" w:rsidRPr="00BD1C41" w:rsidRDefault="009E2B51" w:rsidP="00146729">
            <w:pPr>
              <w:keepNext/>
              <w:keepLines/>
              <w:rPr>
                <w:rFonts w:asciiTheme="minorHAnsi" w:eastAsia="Times New Roman" w:hAnsiTheme="minorHAnsi" w:cstheme="minorHAnsi"/>
                <w:color w:val="000000"/>
              </w:rPr>
            </w:pPr>
            <w:proofErr w:type="spellStart"/>
            <w:r w:rsidRPr="00BD1C41">
              <w:rPr>
                <w:rFonts w:asciiTheme="minorHAnsi" w:eastAsia="Times New Roman" w:hAnsiTheme="minorHAnsi" w:cstheme="minorHAnsi"/>
                <w:color w:val="000000"/>
              </w:rPr>
              <w:t>Sadaria</w:t>
            </w:r>
            <w:proofErr w:type="spellEnd"/>
            <w:r w:rsidRPr="00BD1C41">
              <w:rPr>
                <w:rFonts w:asciiTheme="minorHAnsi" w:eastAsia="Times New Roman" w:hAnsiTheme="minorHAnsi" w:cstheme="minorHAnsi"/>
                <w:color w:val="000000"/>
              </w:rPr>
              <w:t xml:space="preserve"> </w:t>
            </w:r>
            <w:r w:rsidRPr="00146729">
              <w:rPr>
                <w:rFonts w:asciiTheme="minorHAnsi" w:eastAsia="Times New Roman" w:hAnsiTheme="minorHAnsi" w:cstheme="minorHAnsi"/>
                <w:i/>
                <w:iCs/>
                <w:color w:val="000000"/>
              </w:rPr>
              <w:t>et al</w:t>
            </w:r>
            <w:r w:rsidR="00146729" w:rsidRPr="00146729">
              <w:rPr>
                <w:rFonts w:asciiTheme="minorHAnsi" w:eastAsia="Times New Roman" w:hAnsiTheme="minorHAnsi" w:cstheme="minorHAnsi"/>
                <w:i/>
                <w:iCs/>
                <w:color w:val="000000"/>
              </w:rPr>
              <w:t>.</w:t>
            </w:r>
            <w:r w:rsidRPr="00BD1C41">
              <w:rPr>
                <w:rFonts w:asciiTheme="minorHAnsi" w:eastAsia="Times New Roman" w:hAnsiTheme="minorHAnsi" w:cstheme="minorHAnsi"/>
                <w:color w:val="000000"/>
              </w:rPr>
              <w:t xml:space="preserve"> 2017, effluent</w:t>
            </w:r>
          </w:p>
        </w:tc>
        <w:tc>
          <w:tcPr>
            <w:tcW w:w="1979" w:type="dxa"/>
            <w:vAlign w:val="bottom"/>
          </w:tcPr>
          <w:p w14:paraId="71ADEE87" w14:textId="5005627A" w:rsidR="00475C0D" w:rsidRPr="0082645B" w:rsidRDefault="009E2B51" w:rsidP="00146729">
            <w:pPr>
              <w:keepNext/>
              <w:keepLines/>
              <w:jc w:val="center"/>
              <w:rPr>
                <w:rFonts w:asciiTheme="minorHAnsi" w:eastAsia="Times New Roman" w:hAnsiTheme="minorHAnsi" w:cstheme="minorHAnsi"/>
                <w:color w:val="000000"/>
              </w:rPr>
            </w:pPr>
            <w:r w:rsidRPr="00F07398">
              <w:rPr>
                <w:rFonts w:asciiTheme="minorHAnsi" w:eastAsia="Times New Roman" w:hAnsiTheme="minorHAnsi" w:cstheme="minorHAnsi"/>
                <w:color w:val="000000"/>
              </w:rPr>
              <w:t>N/A</w:t>
            </w:r>
          </w:p>
        </w:tc>
        <w:tc>
          <w:tcPr>
            <w:tcW w:w="2338" w:type="dxa"/>
            <w:vAlign w:val="bottom"/>
          </w:tcPr>
          <w:p w14:paraId="38A4A4E2" w14:textId="71EE0429" w:rsidR="00475C0D" w:rsidRPr="00AC551E" w:rsidRDefault="009E2B51" w:rsidP="00146729">
            <w:pPr>
              <w:keepNext/>
              <w:keepLines/>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84 – 305</w:t>
            </w:r>
          </w:p>
        </w:tc>
        <w:tc>
          <w:tcPr>
            <w:tcW w:w="2338" w:type="dxa"/>
            <w:vAlign w:val="bottom"/>
          </w:tcPr>
          <w:p w14:paraId="1F56450D" w14:textId="6FD9AA26" w:rsidR="00475C0D" w:rsidRPr="00DC2E6C" w:rsidRDefault="009E2B51" w:rsidP="00146729">
            <w:pPr>
              <w:keepNext/>
              <w:keepLines/>
              <w:jc w:val="center"/>
              <w:rPr>
                <w:rFonts w:asciiTheme="minorHAnsi" w:eastAsia="Times New Roman" w:hAnsiTheme="minorHAnsi" w:cstheme="minorHAnsi"/>
                <w:color w:val="000000"/>
              </w:rPr>
            </w:pPr>
            <w:r w:rsidRPr="00240D14">
              <w:rPr>
                <w:rFonts w:asciiTheme="minorHAnsi" w:eastAsia="Times New Roman" w:hAnsiTheme="minorHAnsi" w:cstheme="minorHAnsi"/>
                <w:color w:val="000000"/>
              </w:rPr>
              <w:t>N/A</w:t>
            </w:r>
          </w:p>
        </w:tc>
      </w:tr>
      <w:tr w:rsidR="00BB6FA6" w:rsidRPr="00BD1C41" w14:paraId="5DFEF27D" w14:textId="77777777" w:rsidTr="00840A3F">
        <w:tc>
          <w:tcPr>
            <w:tcW w:w="2695" w:type="dxa"/>
            <w:vAlign w:val="bottom"/>
          </w:tcPr>
          <w:p w14:paraId="5090BC5F" w14:textId="77777777" w:rsidR="00BB6FA6" w:rsidRPr="00BD1C41" w:rsidRDefault="00BB6FA6" w:rsidP="00146729">
            <w:pPr>
              <w:keepNext/>
              <w:keepLines/>
              <w:rPr>
                <w:rFonts w:asciiTheme="minorHAnsi" w:hAnsiTheme="minorHAnsi" w:cstheme="minorHAnsi"/>
              </w:rPr>
            </w:pPr>
            <w:r w:rsidRPr="00BD1C41">
              <w:rPr>
                <w:rFonts w:asciiTheme="minorHAnsi" w:eastAsia="Times New Roman" w:hAnsiTheme="minorHAnsi" w:cstheme="minorHAnsi"/>
                <w:color w:val="000000"/>
              </w:rPr>
              <w:t>Minimum</w:t>
            </w:r>
          </w:p>
        </w:tc>
        <w:tc>
          <w:tcPr>
            <w:tcW w:w="1979" w:type="dxa"/>
            <w:vAlign w:val="bottom"/>
          </w:tcPr>
          <w:p w14:paraId="5B97608D" w14:textId="77777777" w:rsidR="00BB6FA6" w:rsidRPr="0082645B" w:rsidRDefault="00BB6FA6" w:rsidP="00146729">
            <w:pPr>
              <w:keepNext/>
              <w:keepLines/>
              <w:jc w:val="center"/>
              <w:rPr>
                <w:rFonts w:asciiTheme="minorHAnsi" w:hAnsiTheme="minorHAnsi" w:cstheme="minorHAnsi"/>
              </w:rPr>
            </w:pPr>
            <w:r w:rsidRPr="00F07398">
              <w:rPr>
                <w:rFonts w:asciiTheme="minorHAnsi" w:eastAsia="Times New Roman" w:hAnsiTheme="minorHAnsi" w:cstheme="minorHAnsi"/>
                <w:color w:val="000000"/>
              </w:rPr>
              <w:t>960</w:t>
            </w:r>
          </w:p>
        </w:tc>
        <w:tc>
          <w:tcPr>
            <w:tcW w:w="2338" w:type="dxa"/>
            <w:vAlign w:val="bottom"/>
          </w:tcPr>
          <w:p w14:paraId="595FEB78" w14:textId="77777777" w:rsidR="00BB6FA6" w:rsidRPr="00AC551E" w:rsidRDefault="00BB6FA6" w:rsidP="00146729">
            <w:pPr>
              <w:keepNext/>
              <w:keepLines/>
              <w:jc w:val="center"/>
              <w:rPr>
                <w:rFonts w:asciiTheme="minorHAnsi" w:hAnsiTheme="minorHAnsi" w:cstheme="minorHAnsi"/>
              </w:rPr>
            </w:pPr>
            <w:r w:rsidRPr="0082645B">
              <w:rPr>
                <w:rFonts w:asciiTheme="minorHAnsi" w:eastAsia="Times New Roman" w:hAnsiTheme="minorHAnsi" w:cstheme="minorHAnsi"/>
                <w:color w:val="000000"/>
              </w:rPr>
              <w:t>454</w:t>
            </w:r>
          </w:p>
        </w:tc>
        <w:tc>
          <w:tcPr>
            <w:tcW w:w="2338" w:type="dxa"/>
            <w:vAlign w:val="bottom"/>
          </w:tcPr>
          <w:p w14:paraId="4FD94A29" w14:textId="77777777" w:rsidR="00BB6FA6" w:rsidRPr="00DC2E6C" w:rsidRDefault="00BB6FA6" w:rsidP="00146729">
            <w:pPr>
              <w:keepNext/>
              <w:keepLines/>
              <w:jc w:val="center"/>
              <w:rPr>
                <w:rFonts w:asciiTheme="minorHAnsi" w:hAnsiTheme="minorHAnsi" w:cstheme="minorHAnsi"/>
              </w:rPr>
            </w:pPr>
            <w:r w:rsidRPr="00240D14">
              <w:rPr>
                <w:rFonts w:asciiTheme="minorHAnsi" w:eastAsia="Times New Roman" w:hAnsiTheme="minorHAnsi" w:cstheme="minorHAnsi"/>
                <w:color w:val="000000"/>
              </w:rPr>
              <w:t>252</w:t>
            </w:r>
          </w:p>
        </w:tc>
      </w:tr>
      <w:tr w:rsidR="00BB6FA6" w:rsidRPr="00BD1C41" w14:paraId="11D003E2" w14:textId="77777777" w:rsidTr="00840A3F">
        <w:tc>
          <w:tcPr>
            <w:tcW w:w="2695" w:type="dxa"/>
            <w:vAlign w:val="bottom"/>
          </w:tcPr>
          <w:p w14:paraId="18A99F52" w14:textId="77777777" w:rsidR="00BB6FA6" w:rsidRPr="00BD1C41" w:rsidRDefault="00BB6FA6" w:rsidP="00146729">
            <w:pPr>
              <w:keepNext/>
              <w:keepLines/>
              <w:rPr>
                <w:rFonts w:asciiTheme="minorHAnsi" w:eastAsia="Times New Roman" w:hAnsiTheme="minorHAnsi" w:cstheme="minorHAnsi"/>
                <w:color w:val="000000"/>
              </w:rPr>
            </w:pPr>
            <w:r w:rsidRPr="00BD1C41">
              <w:rPr>
                <w:rFonts w:asciiTheme="minorHAnsi" w:eastAsia="Times New Roman" w:hAnsiTheme="minorHAnsi" w:cstheme="minorHAnsi"/>
                <w:color w:val="000000"/>
              </w:rPr>
              <w:t>10th%</w:t>
            </w:r>
          </w:p>
        </w:tc>
        <w:tc>
          <w:tcPr>
            <w:tcW w:w="1979" w:type="dxa"/>
            <w:vAlign w:val="bottom"/>
          </w:tcPr>
          <w:p w14:paraId="3E51D492" w14:textId="77777777" w:rsidR="00BB6FA6" w:rsidRPr="0082645B" w:rsidRDefault="00BB6FA6" w:rsidP="00146729">
            <w:pPr>
              <w:keepNext/>
              <w:keepLines/>
              <w:jc w:val="center"/>
              <w:rPr>
                <w:rFonts w:asciiTheme="minorHAnsi" w:eastAsia="Times New Roman" w:hAnsiTheme="minorHAnsi" w:cstheme="minorHAnsi"/>
                <w:color w:val="000000"/>
              </w:rPr>
            </w:pPr>
            <w:r w:rsidRPr="00F07398">
              <w:rPr>
                <w:rFonts w:asciiTheme="minorHAnsi" w:eastAsia="Times New Roman" w:hAnsiTheme="minorHAnsi" w:cstheme="minorHAnsi"/>
                <w:color w:val="000000"/>
              </w:rPr>
              <w:t>1,551</w:t>
            </w:r>
          </w:p>
        </w:tc>
        <w:tc>
          <w:tcPr>
            <w:tcW w:w="2338" w:type="dxa"/>
            <w:vAlign w:val="bottom"/>
          </w:tcPr>
          <w:p w14:paraId="6454BF53" w14:textId="77777777" w:rsidR="00BB6FA6" w:rsidRPr="00AC551E" w:rsidRDefault="00BB6FA6" w:rsidP="00146729">
            <w:pPr>
              <w:keepNext/>
              <w:keepLines/>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622</w:t>
            </w:r>
          </w:p>
        </w:tc>
        <w:tc>
          <w:tcPr>
            <w:tcW w:w="2338" w:type="dxa"/>
            <w:vAlign w:val="bottom"/>
          </w:tcPr>
          <w:p w14:paraId="223CCEA3" w14:textId="77777777" w:rsidR="00BB6FA6" w:rsidRPr="00DC2E6C" w:rsidRDefault="00BB6FA6" w:rsidP="00146729">
            <w:pPr>
              <w:keepNext/>
              <w:keepLines/>
              <w:jc w:val="center"/>
              <w:rPr>
                <w:rFonts w:asciiTheme="minorHAnsi" w:eastAsia="Times New Roman" w:hAnsiTheme="minorHAnsi" w:cstheme="minorHAnsi"/>
                <w:color w:val="000000"/>
              </w:rPr>
            </w:pPr>
            <w:r w:rsidRPr="00240D14">
              <w:rPr>
                <w:rFonts w:asciiTheme="minorHAnsi" w:eastAsia="Times New Roman" w:hAnsiTheme="minorHAnsi" w:cstheme="minorHAnsi"/>
                <w:color w:val="000000"/>
              </w:rPr>
              <w:t>607</w:t>
            </w:r>
          </w:p>
        </w:tc>
      </w:tr>
      <w:tr w:rsidR="00BB6FA6" w:rsidRPr="00BD1C41" w14:paraId="65EFBC4A" w14:textId="77777777" w:rsidTr="00840A3F">
        <w:tc>
          <w:tcPr>
            <w:tcW w:w="2695" w:type="dxa"/>
            <w:vAlign w:val="bottom"/>
          </w:tcPr>
          <w:p w14:paraId="74319F35" w14:textId="77777777" w:rsidR="00BB6FA6" w:rsidRPr="00BD1C41" w:rsidRDefault="00BB6FA6" w:rsidP="00146729">
            <w:pPr>
              <w:keepNext/>
              <w:keepLines/>
              <w:rPr>
                <w:rFonts w:asciiTheme="minorHAnsi" w:eastAsia="Times New Roman" w:hAnsiTheme="minorHAnsi" w:cstheme="minorHAnsi"/>
                <w:color w:val="000000"/>
              </w:rPr>
            </w:pPr>
            <w:r w:rsidRPr="00BD1C41">
              <w:rPr>
                <w:rFonts w:asciiTheme="minorHAnsi" w:eastAsia="Times New Roman" w:hAnsiTheme="minorHAnsi" w:cstheme="minorHAnsi"/>
                <w:color w:val="000000"/>
              </w:rPr>
              <w:t>Median</w:t>
            </w:r>
          </w:p>
        </w:tc>
        <w:tc>
          <w:tcPr>
            <w:tcW w:w="1979" w:type="dxa"/>
            <w:vAlign w:val="bottom"/>
          </w:tcPr>
          <w:p w14:paraId="2EB5B79B" w14:textId="77777777" w:rsidR="00BB6FA6" w:rsidRPr="0082645B" w:rsidRDefault="00BB6FA6" w:rsidP="00146729">
            <w:pPr>
              <w:keepNext/>
              <w:keepLines/>
              <w:jc w:val="center"/>
              <w:rPr>
                <w:rFonts w:asciiTheme="minorHAnsi" w:eastAsia="Times New Roman" w:hAnsiTheme="minorHAnsi" w:cstheme="minorHAnsi"/>
                <w:color w:val="000000"/>
              </w:rPr>
            </w:pPr>
            <w:r w:rsidRPr="00F07398">
              <w:rPr>
                <w:rFonts w:asciiTheme="minorHAnsi" w:eastAsia="Times New Roman" w:hAnsiTheme="minorHAnsi" w:cstheme="minorHAnsi"/>
                <w:color w:val="000000"/>
              </w:rPr>
              <w:t>3,064</w:t>
            </w:r>
          </w:p>
        </w:tc>
        <w:tc>
          <w:tcPr>
            <w:tcW w:w="2338" w:type="dxa"/>
            <w:vAlign w:val="bottom"/>
          </w:tcPr>
          <w:p w14:paraId="0C5178D3" w14:textId="77777777" w:rsidR="00BB6FA6" w:rsidRPr="00AC551E" w:rsidRDefault="00BB6FA6" w:rsidP="00146729">
            <w:pPr>
              <w:keepNext/>
              <w:keepLines/>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1,609</w:t>
            </w:r>
          </w:p>
        </w:tc>
        <w:tc>
          <w:tcPr>
            <w:tcW w:w="2338" w:type="dxa"/>
            <w:vAlign w:val="bottom"/>
          </w:tcPr>
          <w:p w14:paraId="2C94DD04" w14:textId="77777777" w:rsidR="00BB6FA6" w:rsidRPr="00DC2E6C" w:rsidRDefault="00BB6FA6" w:rsidP="00146729">
            <w:pPr>
              <w:keepNext/>
              <w:keepLines/>
              <w:jc w:val="center"/>
              <w:rPr>
                <w:rFonts w:asciiTheme="minorHAnsi" w:eastAsia="Times New Roman" w:hAnsiTheme="minorHAnsi" w:cstheme="minorHAnsi"/>
                <w:color w:val="000000"/>
              </w:rPr>
            </w:pPr>
            <w:r w:rsidRPr="00240D14">
              <w:rPr>
                <w:rFonts w:asciiTheme="minorHAnsi" w:eastAsia="Times New Roman" w:hAnsiTheme="minorHAnsi" w:cstheme="minorHAnsi"/>
                <w:color w:val="000000"/>
              </w:rPr>
              <w:t>1,907</w:t>
            </w:r>
          </w:p>
        </w:tc>
      </w:tr>
      <w:tr w:rsidR="00BB6FA6" w:rsidRPr="00BD1C41" w14:paraId="508E5A70" w14:textId="77777777" w:rsidTr="00840A3F">
        <w:tc>
          <w:tcPr>
            <w:tcW w:w="2695" w:type="dxa"/>
            <w:vAlign w:val="bottom"/>
          </w:tcPr>
          <w:p w14:paraId="39175AEB" w14:textId="77777777" w:rsidR="00BB6FA6" w:rsidRPr="00BD1C41" w:rsidRDefault="00BB6FA6" w:rsidP="005859DB">
            <w:pPr>
              <w:rPr>
                <w:rFonts w:asciiTheme="minorHAnsi" w:eastAsia="Times New Roman" w:hAnsiTheme="minorHAnsi" w:cstheme="minorHAnsi"/>
                <w:color w:val="000000"/>
              </w:rPr>
            </w:pPr>
            <w:r w:rsidRPr="00BD1C41">
              <w:rPr>
                <w:rFonts w:asciiTheme="minorHAnsi" w:eastAsia="Times New Roman" w:hAnsiTheme="minorHAnsi" w:cstheme="minorHAnsi"/>
                <w:color w:val="000000"/>
              </w:rPr>
              <w:t>Average</w:t>
            </w:r>
          </w:p>
        </w:tc>
        <w:tc>
          <w:tcPr>
            <w:tcW w:w="1979" w:type="dxa"/>
            <w:vAlign w:val="bottom"/>
          </w:tcPr>
          <w:p w14:paraId="5007C2C3" w14:textId="77777777" w:rsidR="00BB6FA6" w:rsidRPr="0082645B" w:rsidRDefault="00BB6FA6" w:rsidP="005859DB">
            <w:pPr>
              <w:jc w:val="center"/>
              <w:rPr>
                <w:rFonts w:asciiTheme="minorHAnsi" w:eastAsia="Times New Roman" w:hAnsiTheme="minorHAnsi" w:cstheme="minorHAnsi"/>
                <w:color w:val="000000"/>
              </w:rPr>
            </w:pPr>
            <w:r w:rsidRPr="00F07398">
              <w:rPr>
                <w:rFonts w:asciiTheme="minorHAnsi" w:eastAsia="Times New Roman" w:hAnsiTheme="minorHAnsi" w:cstheme="minorHAnsi"/>
                <w:color w:val="000000"/>
              </w:rPr>
              <w:t>3,277</w:t>
            </w:r>
          </w:p>
        </w:tc>
        <w:tc>
          <w:tcPr>
            <w:tcW w:w="2338" w:type="dxa"/>
            <w:vAlign w:val="bottom"/>
          </w:tcPr>
          <w:p w14:paraId="54C78110" w14:textId="77777777" w:rsidR="00BB6FA6" w:rsidRPr="00AC551E" w:rsidRDefault="00BB6FA6" w:rsidP="005859DB">
            <w:pPr>
              <w:jc w:val="center"/>
              <w:rPr>
                <w:rFonts w:asciiTheme="minorHAnsi" w:eastAsia="Times New Roman" w:hAnsiTheme="minorHAnsi" w:cstheme="minorHAnsi"/>
                <w:color w:val="000000"/>
              </w:rPr>
            </w:pPr>
            <w:r w:rsidRPr="0082645B">
              <w:rPr>
                <w:rFonts w:asciiTheme="minorHAnsi" w:eastAsia="Times New Roman" w:hAnsiTheme="minorHAnsi" w:cstheme="minorHAnsi"/>
                <w:color w:val="000000"/>
              </w:rPr>
              <w:t>2,135</w:t>
            </w:r>
          </w:p>
        </w:tc>
        <w:tc>
          <w:tcPr>
            <w:tcW w:w="2338" w:type="dxa"/>
            <w:vAlign w:val="bottom"/>
          </w:tcPr>
          <w:p w14:paraId="04AF34EF" w14:textId="77777777" w:rsidR="00BB6FA6" w:rsidRPr="00DC2E6C" w:rsidRDefault="00BB6FA6" w:rsidP="005859DB">
            <w:pPr>
              <w:jc w:val="center"/>
              <w:rPr>
                <w:rFonts w:asciiTheme="minorHAnsi" w:eastAsia="Times New Roman" w:hAnsiTheme="minorHAnsi" w:cstheme="minorHAnsi"/>
                <w:color w:val="000000"/>
              </w:rPr>
            </w:pPr>
            <w:r w:rsidRPr="00240D14">
              <w:rPr>
                <w:rFonts w:asciiTheme="minorHAnsi" w:eastAsia="Times New Roman" w:hAnsiTheme="minorHAnsi" w:cstheme="minorHAnsi"/>
                <w:color w:val="000000"/>
              </w:rPr>
              <w:t>2,135</w:t>
            </w:r>
          </w:p>
        </w:tc>
      </w:tr>
      <w:tr w:rsidR="00BB6FA6" w:rsidRPr="00E74298" w14:paraId="27629DC5" w14:textId="77777777" w:rsidTr="00840A3F">
        <w:tc>
          <w:tcPr>
            <w:tcW w:w="2695" w:type="dxa"/>
            <w:vAlign w:val="bottom"/>
          </w:tcPr>
          <w:p w14:paraId="00305B93" w14:textId="77777777" w:rsidR="00BB6FA6" w:rsidRPr="00E74298" w:rsidRDefault="00BB6FA6" w:rsidP="005859DB">
            <w:pPr>
              <w:rPr>
                <w:rFonts w:asciiTheme="minorHAnsi" w:hAnsiTheme="minorHAnsi"/>
              </w:rPr>
            </w:pPr>
            <w:r w:rsidRPr="00E74298">
              <w:rPr>
                <w:rFonts w:asciiTheme="minorHAnsi" w:eastAsia="Times New Roman" w:hAnsiTheme="minorHAnsi" w:cs="Calibri"/>
                <w:color w:val="000000"/>
              </w:rPr>
              <w:t>90th%</w:t>
            </w:r>
          </w:p>
        </w:tc>
        <w:tc>
          <w:tcPr>
            <w:tcW w:w="1979" w:type="dxa"/>
            <w:vAlign w:val="bottom"/>
          </w:tcPr>
          <w:p w14:paraId="5A35C48F" w14:textId="77777777" w:rsidR="00BB6FA6" w:rsidRPr="00E74298" w:rsidRDefault="00BB6FA6" w:rsidP="005859DB">
            <w:pPr>
              <w:jc w:val="center"/>
              <w:rPr>
                <w:rFonts w:asciiTheme="minorHAnsi" w:hAnsiTheme="minorHAnsi"/>
              </w:rPr>
            </w:pPr>
            <w:r w:rsidRPr="00E74298">
              <w:rPr>
                <w:rFonts w:asciiTheme="minorHAnsi" w:eastAsia="Times New Roman" w:hAnsiTheme="minorHAnsi" w:cs="Calibri"/>
                <w:color w:val="000000"/>
              </w:rPr>
              <w:t>5,113</w:t>
            </w:r>
          </w:p>
        </w:tc>
        <w:tc>
          <w:tcPr>
            <w:tcW w:w="2338" w:type="dxa"/>
            <w:vAlign w:val="bottom"/>
          </w:tcPr>
          <w:p w14:paraId="5BC27798" w14:textId="77777777" w:rsidR="00BB6FA6" w:rsidRPr="00E74298" w:rsidRDefault="00BB6FA6" w:rsidP="005859DB">
            <w:pPr>
              <w:jc w:val="center"/>
              <w:rPr>
                <w:rFonts w:asciiTheme="minorHAnsi" w:hAnsiTheme="minorHAnsi"/>
              </w:rPr>
            </w:pPr>
            <w:r w:rsidRPr="00E74298">
              <w:rPr>
                <w:rFonts w:asciiTheme="minorHAnsi" w:eastAsia="Times New Roman" w:hAnsiTheme="minorHAnsi" w:cs="Calibri"/>
                <w:color w:val="000000"/>
              </w:rPr>
              <w:t>3,913</w:t>
            </w:r>
          </w:p>
        </w:tc>
        <w:tc>
          <w:tcPr>
            <w:tcW w:w="2338" w:type="dxa"/>
            <w:vAlign w:val="bottom"/>
          </w:tcPr>
          <w:p w14:paraId="4E72DBAF" w14:textId="77777777" w:rsidR="00BB6FA6" w:rsidRPr="00E74298" w:rsidRDefault="00BB6FA6" w:rsidP="005859DB">
            <w:pPr>
              <w:jc w:val="center"/>
              <w:rPr>
                <w:rFonts w:asciiTheme="minorHAnsi" w:hAnsiTheme="minorHAnsi"/>
              </w:rPr>
            </w:pPr>
            <w:r w:rsidRPr="00E74298">
              <w:rPr>
                <w:rFonts w:asciiTheme="minorHAnsi" w:eastAsia="Times New Roman" w:hAnsiTheme="minorHAnsi" w:cs="Calibri"/>
                <w:color w:val="000000"/>
              </w:rPr>
              <w:t>3,423</w:t>
            </w:r>
          </w:p>
        </w:tc>
      </w:tr>
      <w:tr w:rsidR="00BB6FA6" w:rsidRPr="00E74298" w14:paraId="0839F4F1" w14:textId="77777777" w:rsidTr="00840A3F">
        <w:tc>
          <w:tcPr>
            <w:tcW w:w="2695" w:type="dxa"/>
            <w:vAlign w:val="bottom"/>
          </w:tcPr>
          <w:p w14:paraId="0D4B5634" w14:textId="77777777" w:rsidR="00BB6FA6" w:rsidRPr="00E74298" w:rsidRDefault="00BB6FA6" w:rsidP="005859DB">
            <w:pPr>
              <w:rPr>
                <w:rFonts w:asciiTheme="minorHAnsi" w:hAnsiTheme="minorHAnsi"/>
              </w:rPr>
            </w:pPr>
            <w:r w:rsidRPr="00E74298">
              <w:rPr>
                <w:rFonts w:asciiTheme="minorHAnsi" w:eastAsia="Times New Roman" w:hAnsiTheme="minorHAnsi" w:cs="Calibri"/>
                <w:color w:val="000000"/>
              </w:rPr>
              <w:t>Maximum</w:t>
            </w:r>
          </w:p>
        </w:tc>
        <w:tc>
          <w:tcPr>
            <w:tcW w:w="1979" w:type="dxa"/>
            <w:vAlign w:val="bottom"/>
          </w:tcPr>
          <w:p w14:paraId="1E36AEE2" w14:textId="77777777" w:rsidR="00BB6FA6" w:rsidRPr="00E74298" w:rsidRDefault="00BB6FA6" w:rsidP="005859DB">
            <w:pPr>
              <w:jc w:val="center"/>
              <w:rPr>
                <w:rFonts w:asciiTheme="minorHAnsi" w:hAnsiTheme="minorHAnsi"/>
              </w:rPr>
            </w:pPr>
            <w:r w:rsidRPr="00E74298">
              <w:rPr>
                <w:rFonts w:asciiTheme="minorHAnsi" w:eastAsia="Times New Roman" w:hAnsiTheme="minorHAnsi" w:cs="Calibri"/>
                <w:color w:val="000000"/>
              </w:rPr>
              <w:t>8,362</w:t>
            </w:r>
          </w:p>
        </w:tc>
        <w:tc>
          <w:tcPr>
            <w:tcW w:w="2338" w:type="dxa"/>
            <w:vAlign w:val="bottom"/>
          </w:tcPr>
          <w:p w14:paraId="32DFCB1A" w14:textId="77777777" w:rsidR="00BB6FA6" w:rsidRPr="00E74298" w:rsidRDefault="00BB6FA6" w:rsidP="005859DB">
            <w:pPr>
              <w:jc w:val="center"/>
              <w:rPr>
                <w:rFonts w:asciiTheme="minorHAnsi" w:hAnsiTheme="minorHAnsi"/>
              </w:rPr>
            </w:pPr>
            <w:r w:rsidRPr="00E74298">
              <w:rPr>
                <w:rFonts w:asciiTheme="minorHAnsi" w:eastAsia="Times New Roman" w:hAnsiTheme="minorHAnsi" w:cs="Calibri"/>
                <w:color w:val="000000"/>
              </w:rPr>
              <w:t>9,690</w:t>
            </w:r>
          </w:p>
        </w:tc>
        <w:tc>
          <w:tcPr>
            <w:tcW w:w="2338" w:type="dxa"/>
            <w:vAlign w:val="bottom"/>
          </w:tcPr>
          <w:p w14:paraId="4E7F645C" w14:textId="77777777" w:rsidR="00BB6FA6" w:rsidRPr="00E74298" w:rsidRDefault="00BB6FA6" w:rsidP="005859DB">
            <w:pPr>
              <w:jc w:val="center"/>
              <w:rPr>
                <w:rFonts w:asciiTheme="minorHAnsi" w:hAnsiTheme="minorHAnsi"/>
              </w:rPr>
            </w:pPr>
            <w:r w:rsidRPr="00E74298">
              <w:rPr>
                <w:rFonts w:asciiTheme="minorHAnsi" w:eastAsia="Times New Roman" w:hAnsiTheme="minorHAnsi" w:cs="Calibri"/>
                <w:color w:val="000000"/>
              </w:rPr>
              <w:t>5,956</w:t>
            </w:r>
          </w:p>
        </w:tc>
      </w:tr>
    </w:tbl>
    <w:p w14:paraId="043BD1DE" w14:textId="77777777" w:rsidR="003F4781" w:rsidRPr="005550E9" w:rsidRDefault="003F4781" w:rsidP="005859DB">
      <w:pPr>
        <w:pStyle w:val="Default"/>
        <w:rPr>
          <w:rFonts w:asciiTheme="minorHAnsi" w:hAnsiTheme="minorHAnsi" w:cstheme="minorHAnsi"/>
          <w:sz w:val="22"/>
          <w:szCs w:val="22"/>
        </w:rPr>
      </w:pPr>
    </w:p>
    <w:sectPr w:rsidR="003F4781" w:rsidRPr="005550E9" w:rsidSect="005C5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A3AF" w14:textId="77777777" w:rsidR="00035242" w:rsidRDefault="00035242" w:rsidP="00B54A14">
      <w:r>
        <w:separator/>
      </w:r>
    </w:p>
  </w:endnote>
  <w:endnote w:type="continuationSeparator" w:id="0">
    <w:p w14:paraId="259D080B" w14:textId="77777777" w:rsidR="00035242" w:rsidRDefault="00035242" w:rsidP="00B54A14">
      <w:r>
        <w:continuationSeparator/>
      </w:r>
    </w:p>
  </w:endnote>
  <w:endnote w:type="continuationNotice" w:id="1">
    <w:p w14:paraId="056A2F53" w14:textId="77777777" w:rsidR="00035242" w:rsidRDefault="00035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0175"/>
      <w:docPartObj>
        <w:docPartGallery w:val="Page Numbers (Bottom of Page)"/>
        <w:docPartUnique/>
      </w:docPartObj>
    </w:sdtPr>
    <w:sdtEndPr>
      <w:rPr>
        <w:rFonts w:asciiTheme="minorHAnsi" w:hAnsiTheme="minorHAnsi" w:cstheme="minorHAnsi"/>
      </w:rPr>
    </w:sdtEndPr>
    <w:sdtContent>
      <w:p w14:paraId="46379102" w14:textId="71AC4779" w:rsidR="00266EB2" w:rsidRPr="00E74298" w:rsidRDefault="00266EB2">
        <w:pPr>
          <w:pStyle w:val="Footer"/>
          <w:jc w:val="center"/>
          <w:rPr>
            <w:rFonts w:asciiTheme="minorHAnsi" w:hAnsiTheme="minorHAnsi" w:cstheme="minorHAnsi"/>
          </w:rPr>
        </w:pPr>
        <w:r w:rsidRPr="00E74298">
          <w:rPr>
            <w:rFonts w:asciiTheme="minorHAnsi" w:hAnsiTheme="minorHAnsi" w:cstheme="minorHAnsi"/>
          </w:rPr>
          <w:fldChar w:fldCharType="begin"/>
        </w:r>
        <w:r w:rsidRPr="00E74298">
          <w:rPr>
            <w:rFonts w:asciiTheme="minorHAnsi" w:hAnsiTheme="minorHAnsi"/>
          </w:rPr>
          <w:instrText xml:space="preserve"> PAGE   \* MERGEFORMAT </w:instrText>
        </w:r>
        <w:r w:rsidRPr="00E74298">
          <w:rPr>
            <w:rFonts w:asciiTheme="minorHAnsi" w:hAnsiTheme="minorHAnsi" w:cstheme="minorHAnsi"/>
          </w:rPr>
          <w:fldChar w:fldCharType="separate"/>
        </w:r>
        <w:r w:rsidR="00225F6A" w:rsidRPr="00E74298">
          <w:rPr>
            <w:rFonts w:asciiTheme="minorHAnsi" w:hAnsiTheme="minorHAnsi"/>
            <w:noProof/>
          </w:rPr>
          <w:t>13</w:t>
        </w:r>
        <w:r w:rsidRPr="00E74298">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C717" w14:textId="77777777" w:rsidR="00035242" w:rsidRDefault="00035242" w:rsidP="00B54A14">
      <w:r>
        <w:separator/>
      </w:r>
    </w:p>
  </w:footnote>
  <w:footnote w:type="continuationSeparator" w:id="0">
    <w:p w14:paraId="14DA1932" w14:textId="77777777" w:rsidR="00035242" w:rsidRDefault="00035242" w:rsidP="00B54A14">
      <w:r>
        <w:continuationSeparator/>
      </w:r>
    </w:p>
  </w:footnote>
  <w:footnote w:type="continuationNotice" w:id="1">
    <w:p w14:paraId="7AF27911" w14:textId="77777777" w:rsidR="00035242" w:rsidRDefault="00035242"/>
  </w:footnote>
  <w:footnote w:id="2">
    <w:p w14:paraId="3E5DE906" w14:textId="317C7050" w:rsidR="00266EB2" w:rsidRPr="00541802" w:rsidRDefault="00266EB2" w:rsidP="000A6B0E">
      <w:pPr>
        <w:pStyle w:val="FootnoteText"/>
        <w:rPr>
          <w:rFonts w:asciiTheme="minorHAnsi" w:hAnsiTheme="minorHAnsi" w:cstheme="minorHAnsi"/>
        </w:rPr>
      </w:pPr>
      <w:r w:rsidRPr="00541802">
        <w:rPr>
          <w:rStyle w:val="FootnoteReference"/>
          <w:rFonts w:asciiTheme="minorHAnsi" w:hAnsiTheme="minorHAnsi" w:cstheme="minorHAnsi"/>
        </w:rPr>
        <w:footnoteRef/>
      </w:r>
      <w:r w:rsidRPr="00541802">
        <w:rPr>
          <w:rFonts w:asciiTheme="minorHAnsi" w:hAnsiTheme="minorHAnsi" w:cstheme="minorHAnsi"/>
        </w:rPr>
        <w:t xml:space="preserve"> Available at: </w:t>
      </w:r>
      <w:hyperlink r:id="rId1" w:history="1">
        <w:r w:rsidRPr="00541802">
          <w:rPr>
            <w:rStyle w:val="Hyperlink"/>
            <w:rFonts w:asciiTheme="minorHAnsi" w:hAnsiTheme="minorHAnsi" w:cstheme="minorHAnsi"/>
          </w:rPr>
          <w:t>https://www3.epa.gov/pesticides/nas/revised/response-to-public-comments.pdf</w:t>
        </w:r>
      </w:hyperlink>
      <w:r w:rsidRPr="00541802">
        <w:rPr>
          <w:rFonts w:asciiTheme="minorHAnsi" w:hAnsiTheme="minorHAnsi" w:cstheme="minorHAnsi"/>
        </w:rPr>
        <w:t xml:space="preserve">  </w:t>
      </w:r>
    </w:p>
  </w:footnote>
  <w:footnote w:id="3">
    <w:p w14:paraId="6DEFAE93" w14:textId="7288C034" w:rsidR="00541802" w:rsidRPr="00541802" w:rsidRDefault="00541802">
      <w:pPr>
        <w:pStyle w:val="FootnoteText"/>
        <w:rPr>
          <w:rFonts w:asciiTheme="minorHAnsi" w:hAnsiTheme="minorHAnsi" w:cstheme="minorHAnsi"/>
        </w:rPr>
      </w:pPr>
      <w:r w:rsidRPr="00541802">
        <w:rPr>
          <w:rStyle w:val="FootnoteReference"/>
          <w:rFonts w:asciiTheme="minorHAnsi" w:hAnsiTheme="minorHAnsi" w:cstheme="minorHAnsi"/>
        </w:rPr>
        <w:footnoteRef/>
      </w:r>
      <w:r w:rsidRPr="00541802">
        <w:rPr>
          <w:rFonts w:asciiTheme="minorHAnsi" w:hAnsiTheme="minorHAnsi" w:cstheme="minorHAnsi"/>
        </w:rPr>
        <w:t xml:space="preserve"> </w:t>
      </w:r>
      <w:hyperlink r:id="rId2" w:history="1">
        <w:r w:rsidRPr="00541802">
          <w:rPr>
            <w:rStyle w:val="Hyperlink"/>
            <w:rFonts w:asciiTheme="minorHAnsi" w:hAnsiTheme="minorHAnsi" w:cstheme="minorHAnsi"/>
          </w:rPr>
          <w:t>https://www.epa.gov/endangered-species/revised-method-national-level-listed-species-biological-evaluations-conventional</w:t>
        </w:r>
      </w:hyperlink>
    </w:p>
  </w:footnote>
  <w:footnote w:id="4">
    <w:p w14:paraId="0C6CE7E4" w14:textId="77777777" w:rsidR="006D3746" w:rsidRPr="00FD2CB0" w:rsidRDefault="006D3746" w:rsidP="006D3746">
      <w:pPr>
        <w:pStyle w:val="FootnoteText"/>
        <w:rPr>
          <w:rFonts w:asciiTheme="minorHAnsi" w:hAnsiTheme="minorHAnsi" w:cstheme="minorHAnsi"/>
        </w:rPr>
      </w:pPr>
      <w:r w:rsidRPr="00FD2CB0">
        <w:rPr>
          <w:rStyle w:val="FootnoteReference"/>
          <w:rFonts w:asciiTheme="minorHAnsi" w:hAnsiTheme="minorHAnsi" w:cstheme="minorHAnsi"/>
        </w:rPr>
        <w:footnoteRef/>
      </w:r>
      <w:r w:rsidRPr="00FD2CB0">
        <w:rPr>
          <w:rFonts w:asciiTheme="minorHAnsi" w:hAnsiTheme="minorHAnsi" w:cstheme="minorHAnsi"/>
        </w:rPr>
        <w:t xml:space="preserve"> </w:t>
      </w:r>
      <w:hyperlink r:id="rId3" w:history="1">
        <w:r w:rsidRPr="00FD2CB0">
          <w:rPr>
            <w:rStyle w:val="Hyperlink"/>
            <w:rFonts w:asciiTheme="minorHAnsi" w:hAnsiTheme="minorHAnsi" w:cstheme="minorHAnsi"/>
          </w:rPr>
          <w:t>https://www3.epa.gov/pesticides/nas/methomyl/response-to-draft-bes.pdf</w:t>
        </w:r>
      </w:hyperlink>
      <w:r w:rsidRPr="00FD2CB0">
        <w:rPr>
          <w:rFonts w:asciiTheme="minorHAnsi" w:hAnsiTheme="minorHAnsi" w:cstheme="minorHAnsi"/>
        </w:rPr>
        <w:t xml:space="preserve"> </w:t>
      </w:r>
    </w:p>
  </w:footnote>
  <w:footnote w:id="5">
    <w:p w14:paraId="4908BB24" w14:textId="77777777" w:rsidR="006D3746" w:rsidRDefault="006D3746" w:rsidP="006D3746">
      <w:pPr>
        <w:pStyle w:val="FootnoteText"/>
      </w:pPr>
      <w:r w:rsidRPr="00FD2CB0">
        <w:rPr>
          <w:rStyle w:val="FootnoteReference"/>
          <w:rFonts w:asciiTheme="minorHAnsi" w:hAnsiTheme="minorHAnsi" w:cstheme="minorHAnsi"/>
        </w:rPr>
        <w:footnoteRef/>
      </w:r>
      <w:r w:rsidRPr="00FD2CB0">
        <w:rPr>
          <w:rFonts w:asciiTheme="minorHAnsi" w:hAnsiTheme="minorHAnsi" w:cstheme="minorHAnsi"/>
        </w:rPr>
        <w:t xml:space="preserve"> https://www.epa.gov/endangered-species/revised-method-national-level-listed-species-biological-evaluations-conventional</w:t>
      </w:r>
    </w:p>
  </w:footnote>
  <w:footnote w:id="6">
    <w:p w14:paraId="6F003F73" w14:textId="77777777" w:rsidR="006D3746" w:rsidRPr="00F82061" w:rsidRDefault="006D3746" w:rsidP="006D3746">
      <w:pPr>
        <w:pStyle w:val="FootnoteText"/>
        <w:rPr>
          <w:rFonts w:asciiTheme="minorHAnsi" w:hAnsiTheme="minorHAnsi" w:cstheme="minorHAnsi"/>
        </w:rPr>
      </w:pPr>
      <w:r w:rsidRPr="00F82061">
        <w:rPr>
          <w:rStyle w:val="FootnoteReference"/>
          <w:rFonts w:asciiTheme="minorHAnsi" w:hAnsiTheme="minorHAnsi" w:cstheme="minorHAnsi"/>
        </w:rPr>
        <w:footnoteRef/>
      </w:r>
      <w:r w:rsidRPr="00F82061">
        <w:rPr>
          <w:rFonts w:asciiTheme="minorHAnsi" w:hAnsiTheme="minorHAnsi" w:cstheme="minorHAnsi"/>
        </w:rPr>
        <w:t xml:space="preserve"> </w:t>
      </w:r>
      <w:hyperlink r:id="rId4" w:history="1">
        <w:r w:rsidRPr="00F82061">
          <w:rPr>
            <w:rStyle w:val="Hyperlink"/>
            <w:rFonts w:asciiTheme="minorHAnsi" w:hAnsiTheme="minorHAnsi" w:cstheme="minorHAnsi"/>
          </w:rPr>
          <w:t>https://www3.epa.gov/pesticides/nas/methomyl/response-to-draft-bes.pdf</w:t>
        </w:r>
      </w:hyperlink>
      <w:r w:rsidRPr="00F82061">
        <w:rPr>
          <w:rFonts w:asciiTheme="minorHAnsi" w:hAnsiTheme="minorHAnsi" w:cstheme="minorHAnsi"/>
        </w:rPr>
        <w:t xml:space="preserve"> </w:t>
      </w:r>
    </w:p>
  </w:footnote>
  <w:footnote w:id="7">
    <w:p w14:paraId="778F03C7" w14:textId="77777777" w:rsidR="006D3746" w:rsidRPr="00563DCB" w:rsidRDefault="006D3746" w:rsidP="006D3746">
      <w:pPr>
        <w:pStyle w:val="FootnoteText"/>
        <w:rPr>
          <w:rFonts w:asciiTheme="minorHAnsi" w:hAnsiTheme="minorHAnsi" w:cstheme="minorHAnsi"/>
        </w:rPr>
      </w:pPr>
      <w:r w:rsidRPr="00563DCB">
        <w:rPr>
          <w:rStyle w:val="FootnoteReference"/>
          <w:rFonts w:asciiTheme="minorHAnsi" w:hAnsiTheme="minorHAnsi" w:cstheme="minorHAnsi"/>
        </w:rPr>
        <w:footnoteRef/>
      </w:r>
      <w:r w:rsidRPr="00563DCB">
        <w:rPr>
          <w:rFonts w:asciiTheme="minorHAnsi" w:hAnsiTheme="minorHAnsi" w:cstheme="minorHAnsi"/>
        </w:rPr>
        <w:t xml:space="preserve"> </w:t>
      </w:r>
      <w:hyperlink r:id="rId5" w:history="1">
        <w:r w:rsidRPr="00563DCB">
          <w:rPr>
            <w:rStyle w:val="Hyperlink"/>
            <w:rFonts w:asciiTheme="minorHAnsi" w:hAnsiTheme="minorHAnsi" w:cstheme="minorHAnsi"/>
          </w:rPr>
          <w:t>https://www3.epa.gov/pesticides/nas/methomyl/response-to-draft-bes.pdf</w:t>
        </w:r>
      </w:hyperlink>
      <w:r w:rsidRPr="00563DCB">
        <w:rPr>
          <w:rFonts w:asciiTheme="minorHAnsi" w:hAnsiTheme="minorHAnsi" w:cstheme="minorHAnsi"/>
        </w:rPr>
        <w:t xml:space="preserve"> </w:t>
      </w:r>
    </w:p>
  </w:footnote>
  <w:footnote w:id="8">
    <w:p w14:paraId="3742C4E6" w14:textId="2001B784" w:rsidR="00164E43" w:rsidRPr="0089290F" w:rsidRDefault="00164E43">
      <w:pPr>
        <w:pStyle w:val="FootnoteText"/>
        <w:rPr>
          <w:rFonts w:asciiTheme="minorHAnsi" w:hAnsiTheme="minorHAnsi" w:cstheme="minorHAnsi"/>
        </w:rPr>
      </w:pPr>
      <w:r w:rsidRPr="0089290F">
        <w:rPr>
          <w:rStyle w:val="FootnoteReference"/>
          <w:rFonts w:asciiTheme="minorHAnsi" w:hAnsiTheme="minorHAnsi" w:cstheme="minorHAnsi"/>
        </w:rPr>
        <w:footnoteRef/>
      </w:r>
      <w:r w:rsidRPr="0089290F">
        <w:rPr>
          <w:rFonts w:asciiTheme="minorHAnsi" w:hAnsiTheme="minorHAnsi" w:cstheme="minorHAnsi"/>
        </w:rPr>
        <w:t xml:space="preserve"> </w:t>
      </w:r>
      <w:hyperlink r:id="rId6" w:history="1">
        <w:r w:rsidRPr="0089290F">
          <w:rPr>
            <w:rStyle w:val="Hyperlink"/>
            <w:rFonts w:asciiTheme="minorHAnsi" w:hAnsiTheme="minorHAnsi" w:cstheme="minorHAnsi"/>
          </w:rPr>
          <w:t>https://www3.epa.gov/pesticides/nas/methomyl/response-to-draft-bes.pdf</w:t>
        </w:r>
      </w:hyperlink>
    </w:p>
  </w:footnote>
  <w:footnote w:id="9">
    <w:p w14:paraId="33C15CDA" w14:textId="2DCC8EAB" w:rsidR="00266EB2" w:rsidRPr="001700C5" w:rsidRDefault="00266EB2" w:rsidP="000A6B0E">
      <w:pPr>
        <w:pStyle w:val="FootnoteText"/>
        <w:rPr>
          <w:rFonts w:cstheme="minorHAnsi"/>
        </w:rPr>
      </w:pPr>
      <w:r w:rsidRPr="001805D7">
        <w:rPr>
          <w:rStyle w:val="FootnoteReference"/>
          <w:rFonts w:asciiTheme="minorHAnsi" w:hAnsiTheme="minorHAnsi" w:cstheme="minorHAnsi"/>
        </w:rPr>
        <w:footnoteRef/>
      </w:r>
      <w:r w:rsidRPr="001805D7">
        <w:rPr>
          <w:rFonts w:asciiTheme="minorHAnsi" w:hAnsiTheme="minorHAnsi" w:cstheme="minorHAnsi"/>
        </w:rPr>
        <w:t xml:space="preserve"> </w:t>
      </w:r>
      <w:hyperlink r:id="rId7" w:history="1">
        <w:r w:rsidRPr="001805D7">
          <w:rPr>
            <w:rStyle w:val="Hyperlink"/>
            <w:rFonts w:asciiTheme="minorHAnsi" w:hAnsiTheme="minorHAnsi" w:cstheme="minorHAnsi"/>
          </w:rPr>
          <w:t>https://www3.epa.gov/pesticides/nas/revised/response-to-public-comments.pdf</w:t>
        </w:r>
      </w:hyperlink>
    </w:p>
  </w:footnote>
  <w:footnote w:id="10">
    <w:p w14:paraId="4F66F896" w14:textId="5C6AD238" w:rsidR="004D65BE" w:rsidRDefault="004D65BE">
      <w:pPr>
        <w:pStyle w:val="FootnoteText"/>
      </w:pPr>
      <w:r>
        <w:rPr>
          <w:rStyle w:val="FootnoteReference"/>
        </w:rPr>
        <w:footnoteRef/>
      </w:r>
      <w:r>
        <w:t xml:space="preserve"> </w:t>
      </w:r>
      <w:hyperlink r:id="rId8" w:anchor="magtool" w:history="1">
        <w:r w:rsidRPr="00884E0B">
          <w:rPr>
            <w:rStyle w:val="Hyperlink"/>
            <w:rFonts w:asciiTheme="minorHAnsi" w:hAnsiTheme="minorHAnsi" w:cstheme="minorHAnsi"/>
          </w:rPr>
          <w:t>https://www.epa.gov/endangered-species/models-and-tools-national-level-listed-species-biological-evaluations#magtool</w:t>
        </w:r>
      </w:hyperlink>
    </w:p>
  </w:footnote>
  <w:footnote w:id="11">
    <w:p w14:paraId="1C13F096" w14:textId="0C2A10CE" w:rsidR="00266EB2" w:rsidRPr="001805D7" w:rsidRDefault="00266EB2" w:rsidP="000A6B0E">
      <w:pPr>
        <w:pStyle w:val="FootnoteText"/>
        <w:rPr>
          <w:rFonts w:asciiTheme="minorHAnsi" w:hAnsiTheme="minorHAnsi" w:cstheme="minorHAnsi"/>
        </w:rPr>
      </w:pPr>
      <w:r w:rsidRPr="001805D7">
        <w:rPr>
          <w:rStyle w:val="FootnoteReference"/>
          <w:rFonts w:asciiTheme="minorHAnsi" w:hAnsiTheme="minorHAnsi" w:cstheme="minorHAnsi"/>
        </w:rPr>
        <w:footnoteRef/>
      </w:r>
      <w:r w:rsidRPr="001805D7">
        <w:rPr>
          <w:rFonts w:asciiTheme="minorHAnsi" w:hAnsiTheme="minorHAnsi" w:cstheme="minorHAnsi"/>
        </w:rPr>
        <w:t xml:space="preserve"> </w:t>
      </w:r>
      <w:r w:rsidR="00594781" w:rsidRPr="00594781">
        <w:rPr>
          <w:rFonts w:asciiTheme="minorHAnsi" w:hAnsiTheme="minorHAnsi" w:cstheme="minorHAnsi"/>
          <w:i/>
          <w:iCs/>
        </w:rPr>
        <w:t>I</w:t>
      </w:r>
      <w:r w:rsidRPr="00594781">
        <w:rPr>
          <w:rFonts w:asciiTheme="minorHAnsi" w:hAnsiTheme="minorHAnsi" w:cstheme="minorHAnsi"/>
          <w:i/>
          <w:iCs/>
        </w:rPr>
        <w:t>bid</w:t>
      </w:r>
      <w:r w:rsidR="00594781" w:rsidRPr="00594781">
        <w:rPr>
          <w:rFonts w:asciiTheme="minorHAnsi" w:hAnsiTheme="minorHAnsi" w:cstheme="minorHAnsi"/>
          <w:i/>
          <w:iCs/>
        </w:rPr>
        <w:t>.</w:t>
      </w:r>
    </w:p>
  </w:footnote>
  <w:footnote w:id="12">
    <w:p w14:paraId="440178B8" w14:textId="32388276" w:rsidR="00266EB2" w:rsidRPr="001805D7" w:rsidRDefault="00266EB2" w:rsidP="000A6B0E">
      <w:pPr>
        <w:pStyle w:val="FootnoteText"/>
        <w:rPr>
          <w:rFonts w:asciiTheme="minorHAnsi" w:hAnsiTheme="minorHAnsi" w:cstheme="minorHAnsi"/>
        </w:rPr>
      </w:pPr>
      <w:r w:rsidRPr="001805D7">
        <w:rPr>
          <w:rStyle w:val="FootnoteReference"/>
          <w:rFonts w:asciiTheme="minorHAnsi" w:hAnsiTheme="minorHAnsi" w:cstheme="minorHAnsi"/>
        </w:rPr>
        <w:footnoteRef/>
      </w:r>
      <w:r w:rsidRPr="001805D7">
        <w:rPr>
          <w:rFonts w:asciiTheme="minorHAnsi" w:hAnsiTheme="minorHAnsi" w:cstheme="minorHAnsi"/>
        </w:rPr>
        <w:t xml:space="preserve"> </w:t>
      </w:r>
      <w:r w:rsidR="00547C35" w:rsidRPr="00547C35">
        <w:rPr>
          <w:rFonts w:asciiTheme="minorHAnsi" w:hAnsiTheme="minorHAnsi" w:cstheme="minorHAnsi"/>
          <w:i/>
          <w:iCs/>
        </w:rPr>
        <w:t>I</w:t>
      </w:r>
      <w:r w:rsidRPr="00547C35">
        <w:rPr>
          <w:rFonts w:asciiTheme="minorHAnsi" w:hAnsiTheme="minorHAnsi" w:cstheme="minorHAnsi"/>
          <w:i/>
          <w:iCs/>
        </w:rPr>
        <w:t>bid.</w:t>
      </w:r>
    </w:p>
  </w:footnote>
  <w:footnote w:id="13">
    <w:p w14:paraId="0780F69A" w14:textId="6938575D" w:rsidR="00266EB2" w:rsidRDefault="00266EB2" w:rsidP="000A6B0E">
      <w:pPr>
        <w:pStyle w:val="FootnoteText"/>
      </w:pPr>
      <w:r w:rsidRPr="001805D7">
        <w:rPr>
          <w:rStyle w:val="FootnoteReference"/>
          <w:rFonts w:asciiTheme="minorHAnsi" w:hAnsiTheme="minorHAnsi" w:cstheme="minorHAnsi"/>
        </w:rPr>
        <w:footnoteRef/>
      </w:r>
      <w:r w:rsidRPr="001805D7">
        <w:rPr>
          <w:rFonts w:asciiTheme="minorHAnsi" w:hAnsiTheme="minorHAnsi" w:cstheme="minorHAnsi"/>
        </w:rPr>
        <w:t xml:space="preserve"> Available online at: </w:t>
      </w:r>
      <w:hyperlink r:id="rId9" w:history="1">
        <w:r w:rsidRPr="001805D7">
          <w:rPr>
            <w:rStyle w:val="Hyperlink"/>
            <w:rFonts w:asciiTheme="minorHAnsi" w:hAnsiTheme="minorHAnsi" w:cstheme="minorHAnsi"/>
          </w:rPr>
          <w:t>https://www.epa.gov/pesticide-science-and-assessing-pesticide-risks/evaluation-guidelines-ecological-toxicity-data-open</w:t>
        </w:r>
      </w:hyperlink>
      <w:r>
        <w:t xml:space="preserve"> </w:t>
      </w:r>
    </w:p>
  </w:footnote>
  <w:footnote w:id="14">
    <w:p w14:paraId="39B3B2E9" w14:textId="1E65EC27" w:rsidR="003A4BB9" w:rsidRPr="003D28DC" w:rsidRDefault="003A4BB9">
      <w:pPr>
        <w:pStyle w:val="FootnoteText"/>
        <w:rPr>
          <w:rFonts w:asciiTheme="minorHAnsi" w:hAnsiTheme="minorHAnsi" w:cstheme="minorHAnsi"/>
        </w:rPr>
      </w:pPr>
      <w:r w:rsidRPr="003D28DC">
        <w:rPr>
          <w:rStyle w:val="FootnoteReference"/>
          <w:rFonts w:asciiTheme="minorHAnsi" w:hAnsiTheme="minorHAnsi" w:cstheme="minorHAnsi"/>
        </w:rPr>
        <w:footnoteRef/>
      </w:r>
      <w:r w:rsidRPr="003D28DC">
        <w:rPr>
          <w:rFonts w:asciiTheme="minorHAnsi" w:hAnsiTheme="minorHAnsi" w:cstheme="minorHAnsi"/>
        </w:rPr>
        <w:t xml:space="preserve"> </w:t>
      </w:r>
      <w:r w:rsidRPr="003D28DC">
        <w:rPr>
          <w:rFonts w:asciiTheme="minorHAnsi" w:hAnsiTheme="minorHAnsi" w:cstheme="minorHAnsi"/>
        </w:rPr>
        <w:t xml:space="preserve">Sadaria, A.M., Sutton, R., Moran, K.D., Teerlink, J., Brown, J.V., Halden, R.U. 2017. Passage of Fiproles and Imidacloprid from Urban Pest Control Uses through Wastewater Treatment Plants in Northern California, USA. </w:t>
      </w:r>
      <w:r w:rsidRPr="00E74F23">
        <w:rPr>
          <w:rFonts w:asciiTheme="minorHAnsi" w:hAnsiTheme="minorHAnsi" w:cstheme="minorHAnsi"/>
          <w:i/>
          <w:iCs/>
        </w:rPr>
        <w:t>Environ Toxicol Chem</w:t>
      </w:r>
      <w:r w:rsidRPr="003D28DC">
        <w:rPr>
          <w:rFonts w:asciiTheme="minorHAnsi" w:hAnsiTheme="minorHAnsi" w:cstheme="minorHAnsi"/>
        </w:rPr>
        <w:t xml:space="preserve"> 36:1473-1482</w:t>
      </w:r>
    </w:p>
  </w:footnote>
  <w:footnote w:id="15">
    <w:p w14:paraId="1171047A" w14:textId="3B810678" w:rsidR="003A4BB9" w:rsidRPr="003A4BB9" w:rsidRDefault="003A4BB9">
      <w:pPr>
        <w:pStyle w:val="FootnoteText"/>
        <w:rPr>
          <w:rFonts w:asciiTheme="minorHAnsi" w:hAnsiTheme="minorHAnsi" w:cstheme="minorHAnsi"/>
        </w:rPr>
      </w:pPr>
      <w:r w:rsidRPr="003D28DC">
        <w:rPr>
          <w:rStyle w:val="FootnoteReference"/>
          <w:rFonts w:asciiTheme="minorHAnsi" w:hAnsiTheme="minorHAnsi" w:cstheme="minorHAnsi"/>
        </w:rPr>
        <w:footnoteRef/>
      </w:r>
      <w:r w:rsidRPr="003D28DC">
        <w:rPr>
          <w:rFonts w:asciiTheme="minorHAnsi" w:hAnsiTheme="minorHAnsi" w:cstheme="minorHAnsi"/>
        </w:rPr>
        <w:t xml:space="preserve"> </w:t>
      </w:r>
      <w:r w:rsidRPr="003D28DC">
        <w:rPr>
          <w:rFonts w:asciiTheme="minorHAnsi" w:hAnsiTheme="minorHAnsi" w:cstheme="minorHAnsi"/>
        </w:rPr>
        <w:t xml:space="preserve">Sadaria, A.M., Supowit, S.D., Halden, R.U. 2016. Mass Balance Assessment for Six Neonicotinoid Insecticides During Conventional Wastewater and Wetland Treatment: Nationwide Reconnaissance in United States Wastewater. </w:t>
      </w:r>
      <w:r w:rsidRPr="00E74F23">
        <w:rPr>
          <w:rFonts w:asciiTheme="minorHAnsi" w:hAnsiTheme="minorHAnsi" w:cstheme="minorHAnsi"/>
          <w:i/>
          <w:iCs/>
        </w:rPr>
        <w:t>Environ. Sci. Technol</w:t>
      </w:r>
      <w:r w:rsidRPr="003D28DC">
        <w:rPr>
          <w:rFonts w:asciiTheme="minorHAnsi" w:hAnsiTheme="minorHAnsi" w:cstheme="minorHAnsi"/>
        </w:rPr>
        <w:t>. 50:6199−6206</w:t>
      </w:r>
    </w:p>
  </w:footnote>
  <w:footnote w:id="16">
    <w:p w14:paraId="22E63DA3" w14:textId="4CA01E8E" w:rsidR="00006C14" w:rsidRPr="006D7FBC" w:rsidRDefault="00006C14" w:rsidP="00DD4946">
      <w:pPr>
        <w:pStyle w:val="FootnoteText"/>
        <w:rPr>
          <w:rFonts w:asciiTheme="minorHAnsi" w:hAnsiTheme="minorHAnsi" w:cstheme="minorHAnsi"/>
        </w:rPr>
      </w:pPr>
      <w:r w:rsidRPr="006D7FBC">
        <w:rPr>
          <w:rStyle w:val="FootnoteReference"/>
          <w:rFonts w:asciiTheme="minorHAnsi" w:hAnsiTheme="minorHAnsi" w:cstheme="minorHAnsi"/>
        </w:rPr>
        <w:footnoteRef/>
      </w:r>
      <w:r w:rsidRPr="006D7FBC">
        <w:rPr>
          <w:rFonts w:asciiTheme="minorHAnsi" w:hAnsiTheme="minorHAnsi" w:cstheme="minorHAnsi"/>
        </w:rPr>
        <w:t xml:space="preserve"> </w:t>
      </w:r>
      <w:r w:rsidR="00DD4946" w:rsidRPr="00817D62">
        <w:rPr>
          <w:rFonts w:asciiTheme="minorHAnsi" w:hAnsiTheme="minorHAnsi" w:cstheme="minorHAnsi"/>
        </w:rPr>
        <w:t>USEPA. 2020. Clothianidin</w:t>
      </w:r>
      <w:r w:rsidR="00DD4946" w:rsidRPr="00817D62">
        <w:rPr>
          <w:rFonts w:asciiTheme="minorHAnsi" w:eastAsia="Times New Roman" w:hAnsiTheme="minorHAnsi" w:cstheme="minorHAnsi"/>
        </w:rPr>
        <w:t xml:space="preserve"> </w:t>
      </w:r>
      <w:r w:rsidR="00DD4946" w:rsidRPr="00817D62">
        <w:rPr>
          <w:rFonts w:asciiTheme="minorHAnsi" w:hAnsiTheme="minorHAnsi" w:cstheme="minorHAnsi"/>
        </w:rPr>
        <w:t>Non</w:t>
      </w:r>
      <w:r w:rsidR="00DD4946" w:rsidRPr="00817D62">
        <w:rPr>
          <w:rFonts w:asciiTheme="minorHAnsi" w:eastAsia="Times New Roman" w:hAnsiTheme="minorHAnsi" w:cstheme="minorHAnsi"/>
        </w:rPr>
        <w:t>-</w:t>
      </w:r>
      <w:r w:rsidR="00DD4946" w:rsidRPr="00817D62">
        <w:rPr>
          <w:rFonts w:asciiTheme="minorHAnsi" w:hAnsiTheme="minorHAnsi" w:cstheme="minorHAnsi"/>
        </w:rPr>
        <w:t>pollinator</w:t>
      </w:r>
      <w:r w:rsidR="00DD4946" w:rsidRPr="00817D62">
        <w:rPr>
          <w:rFonts w:asciiTheme="minorHAnsi" w:eastAsia="Times New Roman" w:hAnsiTheme="minorHAnsi" w:cstheme="minorHAnsi"/>
        </w:rPr>
        <w:t xml:space="preserve"> </w:t>
      </w:r>
      <w:r w:rsidR="00DD4946" w:rsidRPr="00817D62">
        <w:rPr>
          <w:rFonts w:asciiTheme="minorHAnsi" w:hAnsiTheme="minorHAnsi" w:cstheme="minorHAnsi"/>
        </w:rPr>
        <w:t>Addendum</w:t>
      </w:r>
      <w:r w:rsidR="00DD4946" w:rsidRPr="00817D62">
        <w:rPr>
          <w:rFonts w:asciiTheme="minorHAnsi" w:eastAsia="Times New Roman" w:hAnsiTheme="minorHAnsi" w:cstheme="minorHAnsi"/>
        </w:rPr>
        <w:t xml:space="preserve"> </w:t>
      </w:r>
      <w:r w:rsidR="00DD4946" w:rsidRPr="00817D62">
        <w:rPr>
          <w:rFonts w:asciiTheme="minorHAnsi" w:hAnsiTheme="minorHAnsi" w:cstheme="minorHAnsi"/>
        </w:rPr>
        <w:t>and Chemical-specific Response</w:t>
      </w:r>
      <w:r w:rsidR="00817D62" w:rsidRPr="00817D62">
        <w:rPr>
          <w:rFonts w:asciiTheme="minorHAnsi" w:hAnsiTheme="minorHAnsi" w:cstheme="minorHAnsi"/>
        </w:rPr>
        <w:t xml:space="preserve"> </w:t>
      </w:r>
      <w:r w:rsidR="00DD4946" w:rsidRPr="00817D62">
        <w:rPr>
          <w:rFonts w:asciiTheme="minorHAnsi" w:hAnsiTheme="minorHAnsi" w:cstheme="minorHAnsi"/>
        </w:rPr>
        <w:t>to</w:t>
      </w:r>
      <w:r w:rsidR="00817D62" w:rsidRPr="00817D62">
        <w:rPr>
          <w:rFonts w:asciiTheme="minorHAnsi" w:hAnsiTheme="minorHAnsi" w:cstheme="minorHAnsi"/>
        </w:rPr>
        <w:t xml:space="preserve"> </w:t>
      </w:r>
      <w:r w:rsidR="00DD4946" w:rsidRPr="00817D62">
        <w:rPr>
          <w:rFonts w:asciiTheme="minorHAnsi" w:hAnsiTheme="minorHAnsi" w:cstheme="minorHAnsi"/>
        </w:rPr>
        <w:t>Comments</w:t>
      </w:r>
      <w:r w:rsidR="00817D62" w:rsidRPr="00817D62">
        <w:rPr>
          <w:rFonts w:asciiTheme="minorHAnsi" w:hAnsiTheme="minorHAnsi" w:cstheme="minorHAnsi"/>
        </w:rPr>
        <w:t xml:space="preserve"> </w:t>
      </w:r>
      <w:r w:rsidR="00DD4946" w:rsidRPr="00817D62">
        <w:rPr>
          <w:rFonts w:asciiTheme="minorHAnsi" w:hAnsiTheme="minorHAnsi" w:cstheme="minorHAnsi"/>
        </w:rPr>
        <w:t>Document</w:t>
      </w:r>
      <w:r w:rsidR="00817D62" w:rsidRPr="00817D62">
        <w:rPr>
          <w:rFonts w:asciiTheme="minorHAnsi" w:eastAsia="Times New Roman" w:hAnsiTheme="minorHAnsi" w:cstheme="minorHAnsi"/>
        </w:rPr>
        <w:t xml:space="preserve"> </w:t>
      </w:r>
      <w:r w:rsidR="00DD4946" w:rsidRPr="00817D62">
        <w:rPr>
          <w:rFonts w:asciiTheme="minorHAnsi" w:hAnsiTheme="minorHAnsi" w:cstheme="minorHAnsi"/>
        </w:rPr>
        <w:t>for</w:t>
      </w:r>
      <w:r w:rsidR="00817D62" w:rsidRPr="00817D62">
        <w:rPr>
          <w:rFonts w:asciiTheme="minorHAnsi" w:eastAsia="Times New Roman" w:hAnsiTheme="minorHAnsi" w:cstheme="minorHAnsi"/>
        </w:rPr>
        <w:t xml:space="preserve"> </w:t>
      </w:r>
      <w:r w:rsidR="00DD4946" w:rsidRPr="00817D62">
        <w:rPr>
          <w:rFonts w:asciiTheme="minorHAnsi" w:hAnsiTheme="minorHAnsi" w:cstheme="minorHAnsi"/>
        </w:rPr>
        <w:t>Public</w:t>
      </w:r>
      <w:r w:rsidR="00817D62" w:rsidRPr="00817D62">
        <w:rPr>
          <w:rFonts w:asciiTheme="minorHAnsi" w:eastAsia="Times New Roman" w:hAnsiTheme="minorHAnsi" w:cstheme="minorHAnsi"/>
        </w:rPr>
        <w:t xml:space="preserve"> </w:t>
      </w:r>
      <w:r w:rsidR="00DD4946" w:rsidRPr="00817D62">
        <w:rPr>
          <w:rFonts w:asciiTheme="minorHAnsi" w:hAnsiTheme="minorHAnsi" w:cstheme="minorHAnsi"/>
        </w:rPr>
        <w:t>Comments</w:t>
      </w:r>
      <w:r w:rsidR="00817D62" w:rsidRPr="00817D62">
        <w:rPr>
          <w:rFonts w:asciiTheme="minorHAnsi" w:hAnsiTheme="minorHAnsi" w:cstheme="minorHAnsi"/>
        </w:rPr>
        <w:t xml:space="preserve"> </w:t>
      </w:r>
      <w:r w:rsidR="00DD4946" w:rsidRPr="00817D62">
        <w:rPr>
          <w:rFonts w:asciiTheme="minorHAnsi" w:hAnsiTheme="minorHAnsi" w:cstheme="minorHAnsi"/>
        </w:rPr>
        <w:t>Received</w:t>
      </w:r>
      <w:r w:rsidR="00817D62" w:rsidRPr="00817D62">
        <w:rPr>
          <w:rFonts w:asciiTheme="minorHAnsi" w:hAnsiTheme="minorHAnsi" w:cstheme="minorHAnsi"/>
        </w:rPr>
        <w:t xml:space="preserve"> </w:t>
      </w:r>
      <w:r w:rsidR="00DD4946" w:rsidRPr="00817D62">
        <w:rPr>
          <w:rFonts w:asciiTheme="minorHAnsi" w:hAnsiTheme="minorHAnsi" w:cstheme="minorHAnsi"/>
        </w:rPr>
        <w:t>on</w:t>
      </w:r>
      <w:r w:rsidR="00817D62" w:rsidRPr="00817D62">
        <w:rPr>
          <w:rFonts w:asciiTheme="minorHAnsi" w:hAnsiTheme="minorHAnsi" w:cstheme="minorHAnsi"/>
        </w:rPr>
        <w:t xml:space="preserve"> </w:t>
      </w:r>
      <w:r w:rsidR="00DD4946" w:rsidRPr="00817D62">
        <w:rPr>
          <w:rFonts w:asciiTheme="minorHAnsi" w:hAnsiTheme="minorHAnsi" w:cstheme="minorHAnsi"/>
        </w:rPr>
        <w:t>the</w:t>
      </w:r>
      <w:r w:rsidR="00817D62" w:rsidRPr="00817D62">
        <w:rPr>
          <w:rFonts w:asciiTheme="minorHAnsi" w:hAnsiTheme="minorHAnsi" w:cstheme="minorHAnsi"/>
        </w:rPr>
        <w:t xml:space="preserve"> </w:t>
      </w:r>
      <w:r w:rsidR="00DD4946" w:rsidRPr="00817D62">
        <w:rPr>
          <w:rFonts w:asciiTheme="minorHAnsi" w:hAnsiTheme="minorHAnsi" w:cstheme="minorHAnsi"/>
        </w:rPr>
        <w:t>Registration</w:t>
      </w:r>
      <w:r w:rsidR="00817D62" w:rsidRPr="00817D62">
        <w:rPr>
          <w:rFonts w:asciiTheme="minorHAnsi" w:hAnsiTheme="minorHAnsi" w:cstheme="minorHAnsi"/>
        </w:rPr>
        <w:t xml:space="preserve"> </w:t>
      </w:r>
      <w:r w:rsidR="00DD4946" w:rsidRPr="00817D62">
        <w:rPr>
          <w:rFonts w:asciiTheme="minorHAnsi" w:hAnsiTheme="minorHAnsi" w:cstheme="minorHAnsi"/>
        </w:rPr>
        <w:t>Review</w:t>
      </w:r>
      <w:r w:rsidR="00817D62" w:rsidRPr="00817D62">
        <w:rPr>
          <w:rFonts w:asciiTheme="minorHAnsi" w:hAnsiTheme="minorHAnsi" w:cstheme="minorHAnsi"/>
        </w:rPr>
        <w:t xml:space="preserve"> </w:t>
      </w:r>
      <w:r w:rsidR="00DD4946" w:rsidRPr="00817D62">
        <w:rPr>
          <w:rFonts w:asciiTheme="minorHAnsi" w:hAnsiTheme="minorHAnsi" w:cstheme="minorHAnsi"/>
        </w:rPr>
        <w:t>Preliminary</w:t>
      </w:r>
      <w:r w:rsidR="00817D62" w:rsidRPr="00817D62">
        <w:rPr>
          <w:rFonts w:asciiTheme="minorHAnsi" w:hAnsiTheme="minorHAnsi" w:cstheme="minorHAnsi"/>
        </w:rPr>
        <w:t xml:space="preserve"> </w:t>
      </w:r>
      <w:r w:rsidR="00DD4946" w:rsidRPr="00817D62">
        <w:rPr>
          <w:rFonts w:asciiTheme="minorHAnsi" w:hAnsiTheme="minorHAnsi" w:cstheme="minorHAnsi"/>
        </w:rPr>
        <w:t>Pollinator</w:t>
      </w:r>
      <w:r w:rsidR="00817D62" w:rsidRPr="00817D62">
        <w:rPr>
          <w:rFonts w:asciiTheme="minorHAnsi" w:hAnsiTheme="minorHAnsi" w:cstheme="minorHAnsi"/>
        </w:rPr>
        <w:t xml:space="preserve"> </w:t>
      </w:r>
      <w:r w:rsidR="00DD4946" w:rsidRPr="00817D62">
        <w:rPr>
          <w:rFonts w:asciiTheme="minorHAnsi" w:hAnsiTheme="minorHAnsi" w:cstheme="minorHAnsi"/>
        </w:rPr>
        <w:t>and</w:t>
      </w:r>
      <w:r w:rsidR="00817D62" w:rsidRPr="00817D62">
        <w:rPr>
          <w:rFonts w:asciiTheme="minorHAnsi" w:hAnsiTheme="minorHAnsi" w:cstheme="minorHAnsi"/>
        </w:rPr>
        <w:t xml:space="preserve"> </w:t>
      </w:r>
      <w:r w:rsidR="00DD4946" w:rsidRPr="00817D62">
        <w:rPr>
          <w:rFonts w:asciiTheme="minorHAnsi" w:hAnsiTheme="minorHAnsi" w:cstheme="minorHAnsi"/>
        </w:rPr>
        <w:t>Preliminary</w:t>
      </w:r>
      <w:r w:rsidR="00817D62" w:rsidRPr="00817D62">
        <w:rPr>
          <w:rFonts w:asciiTheme="minorHAnsi" w:hAnsiTheme="minorHAnsi" w:cstheme="minorHAnsi"/>
        </w:rPr>
        <w:t xml:space="preserve"> </w:t>
      </w:r>
      <w:r w:rsidR="00DD4946" w:rsidRPr="00817D62">
        <w:rPr>
          <w:rFonts w:asciiTheme="minorHAnsi" w:hAnsiTheme="minorHAnsi" w:cstheme="minorHAnsi"/>
        </w:rPr>
        <w:t>Non</w:t>
      </w:r>
      <w:r w:rsidR="00817D62" w:rsidRPr="00817D62">
        <w:rPr>
          <w:rFonts w:asciiTheme="minorHAnsi" w:hAnsiTheme="minorHAnsi" w:cstheme="minorHAnsi"/>
        </w:rPr>
        <w:t>-</w:t>
      </w:r>
      <w:r w:rsidR="00DD4946" w:rsidRPr="00817D62">
        <w:rPr>
          <w:rFonts w:asciiTheme="minorHAnsi" w:hAnsiTheme="minorHAnsi" w:cstheme="minorHAnsi"/>
        </w:rPr>
        <w:t>pollinator</w:t>
      </w:r>
      <w:r w:rsidR="00817D62" w:rsidRPr="00817D62">
        <w:rPr>
          <w:rFonts w:asciiTheme="minorHAnsi" w:eastAsia="Times New Roman" w:hAnsiTheme="minorHAnsi" w:cstheme="minorHAnsi"/>
        </w:rPr>
        <w:t xml:space="preserve"> </w:t>
      </w:r>
      <w:r w:rsidR="00DD4946" w:rsidRPr="00817D62">
        <w:rPr>
          <w:rFonts w:asciiTheme="minorHAnsi" w:hAnsiTheme="minorHAnsi" w:cstheme="minorHAnsi"/>
        </w:rPr>
        <w:t>Risk</w:t>
      </w:r>
      <w:r w:rsidR="00817D62" w:rsidRPr="00817D62">
        <w:rPr>
          <w:rFonts w:asciiTheme="minorHAnsi" w:eastAsia="Times New Roman" w:hAnsiTheme="minorHAnsi" w:cstheme="minorHAnsi"/>
        </w:rPr>
        <w:t xml:space="preserve"> </w:t>
      </w:r>
      <w:r w:rsidR="00DD4946" w:rsidRPr="00817D62">
        <w:rPr>
          <w:rFonts w:asciiTheme="minorHAnsi" w:hAnsiTheme="minorHAnsi" w:cstheme="minorHAnsi"/>
        </w:rPr>
        <w:t>Assessments</w:t>
      </w:r>
      <w:r w:rsidR="00817D62" w:rsidRPr="00817D62">
        <w:rPr>
          <w:rFonts w:asciiTheme="minorHAnsi" w:hAnsiTheme="minorHAnsi" w:cstheme="minorHAnsi"/>
        </w:rPr>
        <w:t>. DP Barcode 447634. January 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9F231"/>
    <w:multiLevelType w:val="hybridMultilevel"/>
    <w:tmpl w:val="7E62B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460" w:hanging="360"/>
      </w:pPr>
      <w:rPr>
        <w:rFonts w:ascii="Symbol" w:hAnsi="Symbol" w:hint="default"/>
        <w:b w:val="0"/>
        <w:bCs w:val="0"/>
        <w:i w:val="0"/>
        <w:iCs w:val="0"/>
        <w:w w:val="100"/>
        <w:sz w:val="24"/>
        <w:szCs w:val="24"/>
      </w:rPr>
    </w:lvl>
    <w:lvl w:ilvl="1">
      <w:start w:val="1"/>
      <w:numFmt w:val="decimal"/>
      <w:lvlText w:val="%2."/>
      <w:lvlJc w:val="left"/>
      <w:pPr>
        <w:ind w:left="820" w:hanging="361"/>
      </w:pPr>
      <w:rPr>
        <w:rFonts w:ascii="Times New Roman" w:hAnsi="Times New Roman" w:cs="Times New Roman"/>
        <w:b w:val="0"/>
        <w:bCs w:val="0"/>
        <w:i w:val="0"/>
        <w:iCs w:val="0"/>
        <w:w w:val="100"/>
        <w:sz w:val="24"/>
        <w:szCs w:val="24"/>
      </w:rPr>
    </w:lvl>
    <w:lvl w:ilvl="2">
      <w:numFmt w:val="bullet"/>
      <w:lvlText w:val="•"/>
      <w:lvlJc w:val="left"/>
      <w:pPr>
        <w:ind w:left="1784" w:hanging="361"/>
      </w:pPr>
    </w:lvl>
    <w:lvl w:ilvl="3">
      <w:numFmt w:val="bullet"/>
      <w:lvlText w:val="•"/>
      <w:lvlJc w:val="left"/>
      <w:pPr>
        <w:ind w:left="2748" w:hanging="361"/>
      </w:pPr>
    </w:lvl>
    <w:lvl w:ilvl="4">
      <w:numFmt w:val="bullet"/>
      <w:lvlText w:val="•"/>
      <w:lvlJc w:val="left"/>
      <w:pPr>
        <w:ind w:left="3713" w:hanging="361"/>
      </w:pPr>
    </w:lvl>
    <w:lvl w:ilvl="5">
      <w:numFmt w:val="bullet"/>
      <w:lvlText w:val="•"/>
      <w:lvlJc w:val="left"/>
      <w:pPr>
        <w:ind w:left="4677" w:hanging="361"/>
      </w:pPr>
    </w:lvl>
    <w:lvl w:ilvl="6">
      <w:numFmt w:val="bullet"/>
      <w:lvlText w:val="•"/>
      <w:lvlJc w:val="left"/>
      <w:pPr>
        <w:ind w:left="5642" w:hanging="361"/>
      </w:pPr>
    </w:lvl>
    <w:lvl w:ilvl="7">
      <w:numFmt w:val="bullet"/>
      <w:lvlText w:val="•"/>
      <w:lvlJc w:val="left"/>
      <w:pPr>
        <w:ind w:left="6606" w:hanging="361"/>
      </w:pPr>
    </w:lvl>
    <w:lvl w:ilvl="8">
      <w:numFmt w:val="bullet"/>
      <w:lvlText w:val="•"/>
      <w:lvlJc w:val="left"/>
      <w:pPr>
        <w:ind w:left="7571" w:hanging="361"/>
      </w:pPr>
    </w:lvl>
  </w:abstractNum>
  <w:abstractNum w:abstractNumId="2" w15:restartNumberingAfterBreak="0">
    <w:nsid w:val="00A27896"/>
    <w:multiLevelType w:val="hybridMultilevel"/>
    <w:tmpl w:val="CF5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A4204"/>
    <w:multiLevelType w:val="hybridMultilevel"/>
    <w:tmpl w:val="F14A6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29175D"/>
    <w:multiLevelType w:val="hybridMultilevel"/>
    <w:tmpl w:val="26FCFDB0"/>
    <w:lvl w:ilvl="0" w:tplc="F1F6F6D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21F21"/>
    <w:multiLevelType w:val="hybridMultilevel"/>
    <w:tmpl w:val="FFFFFFFF"/>
    <w:lvl w:ilvl="0" w:tplc="D3E0B5D2">
      <w:start w:val="1"/>
      <w:numFmt w:val="bullet"/>
      <w:lvlText w:val=""/>
      <w:lvlJc w:val="left"/>
      <w:pPr>
        <w:ind w:left="720" w:hanging="360"/>
      </w:pPr>
      <w:rPr>
        <w:rFonts w:ascii="Symbol" w:hAnsi="Symbol" w:hint="default"/>
      </w:rPr>
    </w:lvl>
    <w:lvl w:ilvl="1" w:tplc="D1E26960">
      <w:start w:val="1"/>
      <w:numFmt w:val="bullet"/>
      <w:lvlText w:val="o"/>
      <w:lvlJc w:val="left"/>
      <w:pPr>
        <w:ind w:left="1440" w:hanging="360"/>
      </w:pPr>
      <w:rPr>
        <w:rFonts w:ascii="Courier New" w:hAnsi="Courier New" w:hint="default"/>
      </w:rPr>
    </w:lvl>
    <w:lvl w:ilvl="2" w:tplc="0C56BC92">
      <w:start w:val="1"/>
      <w:numFmt w:val="bullet"/>
      <w:lvlText w:val=""/>
      <w:lvlJc w:val="left"/>
      <w:pPr>
        <w:ind w:left="2160" w:hanging="360"/>
      </w:pPr>
      <w:rPr>
        <w:rFonts w:ascii="Wingdings" w:hAnsi="Wingdings" w:hint="default"/>
      </w:rPr>
    </w:lvl>
    <w:lvl w:ilvl="3" w:tplc="CEBA6210">
      <w:start w:val="1"/>
      <w:numFmt w:val="bullet"/>
      <w:lvlText w:val=""/>
      <w:lvlJc w:val="left"/>
      <w:pPr>
        <w:ind w:left="2880" w:hanging="360"/>
      </w:pPr>
      <w:rPr>
        <w:rFonts w:ascii="Symbol" w:hAnsi="Symbol" w:hint="default"/>
      </w:rPr>
    </w:lvl>
    <w:lvl w:ilvl="4" w:tplc="8D9AC8A4">
      <w:start w:val="1"/>
      <w:numFmt w:val="bullet"/>
      <w:lvlText w:val="o"/>
      <w:lvlJc w:val="left"/>
      <w:pPr>
        <w:ind w:left="3600" w:hanging="360"/>
      </w:pPr>
      <w:rPr>
        <w:rFonts w:ascii="Courier New" w:hAnsi="Courier New" w:hint="default"/>
      </w:rPr>
    </w:lvl>
    <w:lvl w:ilvl="5" w:tplc="C6205338">
      <w:start w:val="1"/>
      <w:numFmt w:val="bullet"/>
      <w:lvlText w:val=""/>
      <w:lvlJc w:val="left"/>
      <w:pPr>
        <w:ind w:left="4320" w:hanging="360"/>
      </w:pPr>
      <w:rPr>
        <w:rFonts w:ascii="Wingdings" w:hAnsi="Wingdings" w:hint="default"/>
      </w:rPr>
    </w:lvl>
    <w:lvl w:ilvl="6" w:tplc="E5360594">
      <w:start w:val="1"/>
      <w:numFmt w:val="bullet"/>
      <w:lvlText w:val=""/>
      <w:lvlJc w:val="left"/>
      <w:pPr>
        <w:ind w:left="5040" w:hanging="360"/>
      </w:pPr>
      <w:rPr>
        <w:rFonts w:ascii="Symbol" w:hAnsi="Symbol" w:hint="default"/>
      </w:rPr>
    </w:lvl>
    <w:lvl w:ilvl="7" w:tplc="3C5AAA08">
      <w:start w:val="1"/>
      <w:numFmt w:val="bullet"/>
      <w:lvlText w:val="o"/>
      <w:lvlJc w:val="left"/>
      <w:pPr>
        <w:ind w:left="5760" w:hanging="360"/>
      </w:pPr>
      <w:rPr>
        <w:rFonts w:ascii="Courier New" w:hAnsi="Courier New" w:hint="default"/>
      </w:rPr>
    </w:lvl>
    <w:lvl w:ilvl="8" w:tplc="6F08003C">
      <w:start w:val="1"/>
      <w:numFmt w:val="bullet"/>
      <w:lvlText w:val=""/>
      <w:lvlJc w:val="left"/>
      <w:pPr>
        <w:ind w:left="6480" w:hanging="360"/>
      </w:pPr>
      <w:rPr>
        <w:rFonts w:ascii="Wingdings" w:hAnsi="Wingdings" w:hint="default"/>
      </w:rPr>
    </w:lvl>
  </w:abstractNum>
  <w:abstractNum w:abstractNumId="6" w15:restartNumberingAfterBreak="0">
    <w:nsid w:val="0A520DB9"/>
    <w:multiLevelType w:val="hybridMultilevel"/>
    <w:tmpl w:val="589E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0368F"/>
    <w:multiLevelType w:val="hybridMultilevel"/>
    <w:tmpl w:val="C28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F3D8E"/>
    <w:multiLevelType w:val="hybridMultilevel"/>
    <w:tmpl w:val="458C7F20"/>
    <w:lvl w:ilvl="0" w:tplc="51CA028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4A40693"/>
    <w:multiLevelType w:val="hybridMultilevel"/>
    <w:tmpl w:val="F25A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C1366"/>
    <w:multiLevelType w:val="hybridMultilevel"/>
    <w:tmpl w:val="FE6E80BC"/>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2931C1"/>
    <w:multiLevelType w:val="hybridMultilevel"/>
    <w:tmpl w:val="B7F2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43A6"/>
    <w:multiLevelType w:val="hybridMultilevel"/>
    <w:tmpl w:val="B0A8AB00"/>
    <w:lvl w:ilvl="0" w:tplc="C44E733C">
      <w:start w:val="1"/>
      <w:numFmt w:val="decimal"/>
      <w:lvlText w:val="%1)"/>
      <w:lvlJc w:val="left"/>
      <w:pPr>
        <w:ind w:left="360" w:hanging="360"/>
      </w:pPr>
      <w:rPr>
        <w:rFonts w:hint="default"/>
      </w:rPr>
    </w:lvl>
    <w:lvl w:ilvl="1" w:tplc="4B22D21E">
      <w:start w:val="1"/>
      <w:numFmt w:val="lowerLetter"/>
      <w:lvlText w:val="%2)"/>
      <w:lvlJc w:val="left"/>
      <w:pPr>
        <w:ind w:left="720" w:hanging="360"/>
      </w:pPr>
      <w:rPr>
        <w:rFonts w:hint="default"/>
      </w:rPr>
    </w:lvl>
    <w:lvl w:ilvl="2" w:tplc="6FDE0B32">
      <w:start w:val="1"/>
      <w:numFmt w:val="lowerRoman"/>
      <w:lvlText w:val="%3)"/>
      <w:lvlJc w:val="left"/>
      <w:pPr>
        <w:ind w:left="1080" w:hanging="360"/>
      </w:pPr>
      <w:rPr>
        <w:rFonts w:hint="default"/>
      </w:rPr>
    </w:lvl>
    <w:lvl w:ilvl="3" w:tplc="F866FF0E">
      <w:start w:val="1"/>
      <w:numFmt w:val="decimal"/>
      <w:lvlText w:val="(%4)"/>
      <w:lvlJc w:val="left"/>
      <w:pPr>
        <w:ind w:left="1440" w:hanging="360"/>
      </w:pPr>
      <w:rPr>
        <w:rFonts w:hint="default"/>
      </w:rPr>
    </w:lvl>
    <w:lvl w:ilvl="4" w:tplc="7DA6EFB8">
      <w:start w:val="1"/>
      <w:numFmt w:val="lowerLetter"/>
      <w:lvlText w:val="(%5)"/>
      <w:lvlJc w:val="left"/>
      <w:pPr>
        <w:ind w:left="1800" w:hanging="360"/>
      </w:pPr>
      <w:rPr>
        <w:rFonts w:hint="default"/>
      </w:rPr>
    </w:lvl>
    <w:lvl w:ilvl="5" w:tplc="296C7258">
      <w:start w:val="1"/>
      <w:numFmt w:val="lowerRoman"/>
      <w:lvlText w:val="(%6)"/>
      <w:lvlJc w:val="left"/>
      <w:pPr>
        <w:ind w:left="2160" w:hanging="360"/>
      </w:pPr>
      <w:rPr>
        <w:rFonts w:hint="default"/>
      </w:rPr>
    </w:lvl>
    <w:lvl w:ilvl="6" w:tplc="32F8DBF8">
      <w:start w:val="1"/>
      <w:numFmt w:val="decimal"/>
      <w:lvlText w:val="%7."/>
      <w:lvlJc w:val="left"/>
      <w:pPr>
        <w:ind w:left="2520" w:hanging="360"/>
      </w:pPr>
      <w:rPr>
        <w:rFonts w:hint="default"/>
      </w:rPr>
    </w:lvl>
    <w:lvl w:ilvl="7" w:tplc="64129BD0">
      <w:start w:val="1"/>
      <w:numFmt w:val="lowerLetter"/>
      <w:lvlText w:val="%8."/>
      <w:lvlJc w:val="left"/>
      <w:pPr>
        <w:ind w:left="2880" w:hanging="360"/>
      </w:pPr>
      <w:rPr>
        <w:rFonts w:hint="default"/>
      </w:rPr>
    </w:lvl>
    <w:lvl w:ilvl="8" w:tplc="206EA096">
      <w:start w:val="1"/>
      <w:numFmt w:val="lowerRoman"/>
      <w:lvlText w:val="%9."/>
      <w:lvlJc w:val="left"/>
      <w:pPr>
        <w:ind w:left="3240" w:hanging="360"/>
      </w:pPr>
      <w:rPr>
        <w:rFonts w:hint="default"/>
      </w:rPr>
    </w:lvl>
  </w:abstractNum>
  <w:abstractNum w:abstractNumId="13" w15:restartNumberingAfterBreak="0">
    <w:nsid w:val="1CF51DE8"/>
    <w:multiLevelType w:val="hybridMultilevel"/>
    <w:tmpl w:val="2D3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406A7"/>
    <w:multiLevelType w:val="hybridMultilevel"/>
    <w:tmpl w:val="B0A8AB00"/>
    <w:lvl w:ilvl="0" w:tplc="C3ECBB7C">
      <w:start w:val="1"/>
      <w:numFmt w:val="decimal"/>
      <w:lvlText w:val="%1)"/>
      <w:lvlJc w:val="left"/>
      <w:pPr>
        <w:ind w:left="360" w:hanging="360"/>
      </w:pPr>
      <w:rPr>
        <w:rFonts w:hint="default"/>
      </w:rPr>
    </w:lvl>
    <w:lvl w:ilvl="1" w:tplc="38663312">
      <w:start w:val="1"/>
      <w:numFmt w:val="lowerLetter"/>
      <w:lvlText w:val="%2)"/>
      <w:lvlJc w:val="left"/>
      <w:pPr>
        <w:ind w:left="720" w:hanging="360"/>
      </w:pPr>
      <w:rPr>
        <w:rFonts w:hint="default"/>
      </w:rPr>
    </w:lvl>
    <w:lvl w:ilvl="2" w:tplc="92FEA558">
      <w:start w:val="1"/>
      <w:numFmt w:val="lowerRoman"/>
      <w:lvlText w:val="%3)"/>
      <w:lvlJc w:val="left"/>
      <w:pPr>
        <w:ind w:left="1080" w:hanging="360"/>
      </w:pPr>
      <w:rPr>
        <w:rFonts w:hint="default"/>
      </w:rPr>
    </w:lvl>
    <w:lvl w:ilvl="3" w:tplc="BC881F60">
      <w:start w:val="1"/>
      <w:numFmt w:val="decimal"/>
      <w:lvlText w:val="(%4)"/>
      <w:lvlJc w:val="left"/>
      <w:pPr>
        <w:ind w:left="1440" w:hanging="360"/>
      </w:pPr>
      <w:rPr>
        <w:rFonts w:hint="default"/>
      </w:rPr>
    </w:lvl>
    <w:lvl w:ilvl="4" w:tplc="F04C14C8">
      <w:start w:val="1"/>
      <w:numFmt w:val="lowerLetter"/>
      <w:lvlText w:val="(%5)"/>
      <w:lvlJc w:val="left"/>
      <w:pPr>
        <w:ind w:left="1800" w:hanging="360"/>
      </w:pPr>
      <w:rPr>
        <w:rFonts w:hint="default"/>
      </w:rPr>
    </w:lvl>
    <w:lvl w:ilvl="5" w:tplc="B4C0A5FC">
      <w:start w:val="1"/>
      <w:numFmt w:val="lowerRoman"/>
      <w:lvlText w:val="(%6)"/>
      <w:lvlJc w:val="left"/>
      <w:pPr>
        <w:ind w:left="2160" w:hanging="360"/>
      </w:pPr>
      <w:rPr>
        <w:rFonts w:hint="default"/>
      </w:rPr>
    </w:lvl>
    <w:lvl w:ilvl="6" w:tplc="61C2E92E">
      <w:start w:val="1"/>
      <w:numFmt w:val="decimal"/>
      <w:lvlText w:val="%7."/>
      <w:lvlJc w:val="left"/>
      <w:pPr>
        <w:ind w:left="2520" w:hanging="360"/>
      </w:pPr>
      <w:rPr>
        <w:rFonts w:hint="default"/>
      </w:rPr>
    </w:lvl>
    <w:lvl w:ilvl="7" w:tplc="3A60D296">
      <w:start w:val="1"/>
      <w:numFmt w:val="lowerLetter"/>
      <w:lvlText w:val="%8."/>
      <w:lvlJc w:val="left"/>
      <w:pPr>
        <w:ind w:left="2880" w:hanging="360"/>
      </w:pPr>
      <w:rPr>
        <w:rFonts w:hint="default"/>
      </w:rPr>
    </w:lvl>
    <w:lvl w:ilvl="8" w:tplc="8542A090">
      <w:start w:val="1"/>
      <w:numFmt w:val="lowerRoman"/>
      <w:lvlText w:val="%9."/>
      <w:lvlJc w:val="left"/>
      <w:pPr>
        <w:ind w:left="3240" w:hanging="360"/>
      </w:pPr>
      <w:rPr>
        <w:rFonts w:hint="default"/>
      </w:rPr>
    </w:lvl>
  </w:abstractNum>
  <w:abstractNum w:abstractNumId="15" w15:restartNumberingAfterBreak="0">
    <w:nsid w:val="1F5525A5"/>
    <w:multiLevelType w:val="hybridMultilevel"/>
    <w:tmpl w:val="97B80D8E"/>
    <w:lvl w:ilvl="0" w:tplc="600AB6A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31B36"/>
    <w:multiLevelType w:val="hybridMultilevel"/>
    <w:tmpl w:val="3140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C6079"/>
    <w:multiLevelType w:val="hybridMultilevel"/>
    <w:tmpl w:val="98B0F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607A49"/>
    <w:multiLevelType w:val="multilevel"/>
    <w:tmpl w:val="F30CA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244841"/>
    <w:multiLevelType w:val="hybridMultilevel"/>
    <w:tmpl w:val="FFFFFFFF"/>
    <w:lvl w:ilvl="0" w:tplc="395AB34C">
      <w:start w:val="1"/>
      <w:numFmt w:val="bullet"/>
      <w:lvlText w:val=""/>
      <w:lvlJc w:val="left"/>
      <w:pPr>
        <w:ind w:left="720" w:hanging="360"/>
      </w:pPr>
      <w:rPr>
        <w:rFonts w:ascii="Symbol" w:hAnsi="Symbol" w:hint="default"/>
      </w:rPr>
    </w:lvl>
    <w:lvl w:ilvl="1" w:tplc="215C323A">
      <w:start w:val="1"/>
      <w:numFmt w:val="bullet"/>
      <w:lvlText w:val="o"/>
      <w:lvlJc w:val="left"/>
      <w:pPr>
        <w:ind w:left="1440" w:hanging="360"/>
      </w:pPr>
      <w:rPr>
        <w:rFonts w:ascii="&quot;Courier New&quot;" w:hAnsi="&quot;Courier New&quot;" w:hint="default"/>
      </w:rPr>
    </w:lvl>
    <w:lvl w:ilvl="2" w:tplc="62DC174E">
      <w:start w:val="1"/>
      <w:numFmt w:val="bullet"/>
      <w:lvlText w:val=""/>
      <w:lvlJc w:val="left"/>
      <w:pPr>
        <w:ind w:left="2160" w:hanging="360"/>
      </w:pPr>
      <w:rPr>
        <w:rFonts w:ascii="Wingdings" w:hAnsi="Wingdings" w:hint="default"/>
      </w:rPr>
    </w:lvl>
    <w:lvl w:ilvl="3" w:tplc="50949062">
      <w:start w:val="1"/>
      <w:numFmt w:val="bullet"/>
      <w:lvlText w:val=""/>
      <w:lvlJc w:val="left"/>
      <w:pPr>
        <w:ind w:left="2880" w:hanging="360"/>
      </w:pPr>
      <w:rPr>
        <w:rFonts w:ascii="Symbol" w:hAnsi="Symbol" w:hint="default"/>
      </w:rPr>
    </w:lvl>
    <w:lvl w:ilvl="4" w:tplc="8B6C3502">
      <w:start w:val="1"/>
      <w:numFmt w:val="bullet"/>
      <w:lvlText w:val="o"/>
      <w:lvlJc w:val="left"/>
      <w:pPr>
        <w:ind w:left="3600" w:hanging="360"/>
      </w:pPr>
      <w:rPr>
        <w:rFonts w:ascii="Courier New" w:hAnsi="Courier New" w:hint="default"/>
      </w:rPr>
    </w:lvl>
    <w:lvl w:ilvl="5" w:tplc="14926818">
      <w:start w:val="1"/>
      <w:numFmt w:val="bullet"/>
      <w:lvlText w:val=""/>
      <w:lvlJc w:val="left"/>
      <w:pPr>
        <w:ind w:left="4320" w:hanging="360"/>
      </w:pPr>
      <w:rPr>
        <w:rFonts w:ascii="Wingdings" w:hAnsi="Wingdings" w:hint="default"/>
      </w:rPr>
    </w:lvl>
    <w:lvl w:ilvl="6" w:tplc="D30627A6">
      <w:start w:val="1"/>
      <w:numFmt w:val="bullet"/>
      <w:lvlText w:val=""/>
      <w:lvlJc w:val="left"/>
      <w:pPr>
        <w:ind w:left="5040" w:hanging="360"/>
      </w:pPr>
      <w:rPr>
        <w:rFonts w:ascii="Symbol" w:hAnsi="Symbol" w:hint="default"/>
      </w:rPr>
    </w:lvl>
    <w:lvl w:ilvl="7" w:tplc="5186FBEE">
      <w:start w:val="1"/>
      <w:numFmt w:val="bullet"/>
      <w:lvlText w:val="o"/>
      <w:lvlJc w:val="left"/>
      <w:pPr>
        <w:ind w:left="5760" w:hanging="360"/>
      </w:pPr>
      <w:rPr>
        <w:rFonts w:ascii="Courier New" w:hAnsi="Courier New" w:hint="default"/>
      </w:rPr>
    </w:lvl>
    <w:lvl w:ilvl="8" w:tplc="80D29E3A">
      <w:start w:val="1"/>
      <w:numFmt w:val="bullet"/>
      <w:lvlText w:val=""/>
      <w:lvlJc w:val="left"/>
      <w:pPr>
        <w:ind w:left="6480" w:hanging="360"/>
      </w:pPr>
      <w:rPr>
        <w:rFonts w:ascii="Wingdings" w:hAnsi="Wingdings" w:hint="default"/>
      </w:rPr>
    </w:lvl>
  </w:abstractNum>
  <w:abstractNum w:abstractNumId="20" w15:restartNumberingAfterBreak="0">
    <w:nsid w:val="2ED42E82"/>
    <w:multiLevelType w:val="hybridMultilevel"/>
    <w:tmpl w:val="1C3EBF5C"/>
    <w:lvl w:ilvl="0" w:tplc="67AA8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1D54C1"/>
    <w:multiLevelType w:val="hybridMultilevel"/>
    <w:tmpl w:val="FFFFFFFF"/>
    <w:lvl w:ilvl="0" w:tplc="82D0DD86">
      <w:numFmt w:val="bullet"/>
      <w:lvlText w:val=""/>
      <w:lvlJc w:val="left"/>
      <w:pPr>
        <w:ind w:left="720" w:hanging="360"/>
      </w:pPr>
      <w:rPr>
        <w:rFonts w:ascii="Symbol" w:hAnsi="Symbol" w:hint="default"/>
      </w:rPr>
    </w:lvl>
    <w:lvl w:ilvl="1" w:tplc="0D665D7A">
      <w:start w:val="1"/>
      <w:numFmt w:val="bullet"/>
      <w:lvlText w:val="o"/>
      <w:lvlJc w:val="left"/>
      <w:pPr>
        <w:ind w:left="1440" w:hanging="360"/>
      </w:pPr>
      <w:rPr>
        <w:rFonts w:ascii="Courier New" w:hAnsi="Courier New" w:hint="default"/>
      </w:rPr>
    </w:lvl>
    <w:lvl w:ilvl="2" w:tplc="73DAF798">
      <w:start w:val="1"/>
      <w:numFmt w:val="bullet"/>
      <w:lvlText w:val=""/>
      <w:lvlJc w:val="left"/>
      <w:pPr>
        <w:ind w:left="2160" w:hanging="360"/>
      </w:pPr>
      <w:rPr>
        <w:rFonts w:ascii="Wingdings" w:hAnsi="Wingdings" w:hint="default"/>
      </w:rPr>
    </w:lvl>
    <w:lvl w:ilvl="3" w:tplc="15CEFB8A">
      <w:start w:val="1"/>
      <w:numFmt w:val="bullet"/>
      <w:lvlText w:val=""/>
      <w:lvlJc w:val="left"/>
      <w:pPr>
        <w:ind w:left="2880" w:hanging="360"/>
      </w:pPr>
      <w:rPr>
        <w:rFonts w:ascii="Symbol" w:hAnsi="Symbol" w:hint="default"/>
      </w:rPr>
    </w:lvl>
    <w:lvl w:ilvl="4" w:tplc="92BEFA7E">
      <w:start w:val="1"/>
      <w:numFmt w:val="bullet"/>
      <w:lvlText w:val="o"/>
      <w:lvlJc w:val="left"/>
      <w:pPr>
        <w:ind w:left="3600" w:hanging="360"/>
      </w:pPr>
      <w:rPr>
        <w:rFonts w:ascii="Courier New" w:hAnsi="Courier New" w:hint="default"/>
      </w:rPr>
    </w:lvl>
    <w:lvl w:ilvl="5" w:tplc="73D63D60">
      <w:start w:val="1"/>
      <w:numFmt w:val="bullet"/>
      <w:lvlText w:val=""/>
      <w:lvlJc w:val="left"/>
      <w:pPr>
        <w:ind w:left="4320" w:hanging="360"/>
      </w:pPr>
      <w:rPr>
        <w:rFonts w:ascii="Wingdings" w:hAnsi="Wingdings" w:hint="default"/>
      </w:rPr>
    </w:lvl>
    <w:lvl w:ilvl="6" w:tplc="DC16BA9A">
      <w:start w:val="1"/>
      <w:numFmt w:val="bullet"/>
      <w:lvlText w:val=""/>
      <w:lvlJc w:val="left"/>
      <w:pPr>
        <w:ind w:left="5040" w:hanging="360"/>
      </w:pPr>
      <w:rPr>
        <w:rFonts w:ascii="Symbol" w:hAnsi="Symbol" w:hint="default"/>
      </w:rPr>
    </w:lvl>
    <w:lvl w:ilvl="7" w:tplc="3B349A36">
      <w:start w:val="1"/>
      <w:numFmt w:val="bullet"/>
      <w:lvlText w:val="o"/>
      <w:lvlJc w:val="left"/>
      <w:pPr>
        <w:ind w:left="5760" w:hanging="360"/>
      </w:pPr>
      <w:rPr>
        <w:rFonts w:ascii="Courier New" w:hAnsi="Courier New" w:hint="default"/>
      </w:rPr>
    </w:lvl>
    <w:lvl w:ilvl="8" w:tplc="A2B0BB6E">
      <w:start w:val="1"/>
      <w:numFmt w:val="bullet"/>
      <w:lvlText w:val=""/>
      <w:lvlJc w:val="left"/>
      <w:pPr>
        <w:ind w:left="6480" w:hanging="360"/>
      </w:pPr>
      <w:rPr>
        <w:rFonts w:ascii="Wingdings" w:hAnsi="Wingdings" w:hint="default"/>
      </w:rPr>
    </w:lvl>
  </w:abstractNum>
  <w:abstractNum w:abstractNumId="22" w15:restartNumberingAfterBreak="0">
    <w:nsid w:val="33894D88"/>
    <w:multiLevelType w:val="hybridMultilevel"/>
    <w:tmpl w:val="2CB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36C06"/>
    <w:multiLevelType w:val="hybridMultilevel"/>
    <w:tmpl w:val="D41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B3CAD"/>
    <w:multiLevelType w:val="hybridMultilevel"/>
    <w:tmpl w:val="950444DA"/>
    <w:lvl w:ilvl="0" w:tplc="303492CE">
      <w:start w:val="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A6886"/>
    <w:multiLevelType w:val="hybridMultilevel"/>
    <w:tmpl w:val="1BE46CB6"/>
    <w:lvl w:ilvl="0" w:tplc="430EDDF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9EC45FB"/>
    <w:multiLevelType w:val="hybridMultilevel"/>
    <w:tmpl w:val="FFFFFFFF"/>
    <w:lvl w:ilvl="0" w:tplc="F55C7936">
      <w:numFmt w:val="bullet"/>
      <w:lvlText w:val=""/>
      <w:lvlJc w:val="left"/>
      <w:pPr>
        <w:ind w:left="720" w:hanging="360"/>
      </w:pPr>
      <w:rPr>
        <w:rFonts w:ascii="Symbol" w:hAnsi="Symbol" w:hint="default"/>
      </w:rPr>
    </w:lvl>
    <w:lvl w:ilvl="1" w:tplc="85C8B3D6">
      <w:start w:val="1"/>
      <w:numFmt w:val="bullet"/>
      <w:lvlText w:val="o"/>
      <w:lvlJc w:val="left"/>
      <w:pPr>
        <w:ind w:left="1440" w:hanging="360"/>
      </w:pPr>
      <w:rPr>
        <w:rFonts w:ascii="Courier New" w:hAnsi="Courier New" w:hint="default"/>
      </w:rPr>
    </w:lvl>
    <w:lvl w:ilvl="2" w:tplc="8830063E">
      <w:start w:val="1"/>
      <w:numFmt w:val="bullet"/>
      <w:lvlText w:val=""/>
      <w:lvlJc w:val="left"/>
      <w:pPr>
        <w:ind w:left="2160" w:hanging="360"/>
      </w:pPr>
      <w:rPr>
        <w:rFonts w:ascii="Wingdings" w:hAnsi="Wingdings" w:hint="default"/>
      </w:rPr>
    </w:lvl>
    <w:lvl w:ilvl="3" w:tplc="DADA9F32">
      <w:start w:val="1"/>
      <w:numFmt w:val="bullet"/>
      <w:lvlText w:val=""/>
      <w:lvlJc w:val="left"/>
      <w:pPr>
        <w:ind w:left="2880" w:hanging="360"/>
      </w:pPr>
      <w:rPr>
        <w:rFonts w:ascii="Symbol" w:hAnsi="Symbol" w:hint="default"/>
      </w:rPr>
    </w:lvl>
    <w:lvl w:ilvl="4" w:tplc="DF4E5030">
      <w:start w:val="1"/>
      <w:numFmt w:val="bullet"/>
      <w:lvlText w:val="o"/>
      <w:lvlJc w:val="left"/>
      <w:pPr>
        <w:ind w:left="3600" w:hanging="360"/>
      </w:pPr>
      <w:rPr>
        <w:rFonts w:ascii="Courier New" w:hAnsi="Courier New" w:hint="default"/>
      </w:rPr>
    </w:lvl>
    <w:lvl w:ilvl="5" w:tplc="D5440836">
      <w:start w:val="1"/>
      <w:numFmt w:val="bullet"/>
      <w:lvlText w:val=""/>
      <w:lvlJc w:val="left"/>
      <w:pPr>
        <w:ind w:left="4320" w:hanging="360"/>
      </w:pPr>
      <w:rPr>
        <w:rFonts w:ascii="Wingdings" w:hAnsi="Wingdings" w:hint="default"/>
      </w:rPr>
    </w:lvl>
    <w:lvl w:ilvl="6" w:tplc="7A9E888A">
      <w:start w:val="1"/>
      <w:numFmt w:val="bullet"/>
      <w:lvlText w:val=""/>
      <w:lvlJc w:val="left"/>
      <w:pPr>
        <w:ind w:left="5040" w:hanging="360"/>
      </w:pPr>
      <w:rPr>
        <w:rFonts w:ascii="Symbol" w:hAnsi="Symbol" w:hint="default"/>
      </w:rPr>
    </w:lvl>
    <w:lvl w:ilvl="7" w:tplc="BADC2B0A">
      <w:start w:val="1"/>
      <w:numFmt w:val="bullet"/>
      <w:lvlText w:val="o"/>
      <w:lvlJc w:val="left"/>
      <w:pPr>
        <w:ind w:left="5760" w:hanging="360"/>
      </w:pPr>
      <w:rPr>
        <w:rFonts w:ascii="Courier New" w:hAnsi="Courier New" w:hint="default"/>
      </w:rPr>
    </w:lvl>
    <w:lvl w:ilvl="8" w:tplc="AA040F06">
      <w:start w:val="1"/>
      <w:numFmt w:val="bullet"/>
      <w:lvlText w:val=""/>
      <w:lvlJc w:val="left"/>
      <w:pPr>
        <w:ind w:left="6480" w:hanging="360"/>
      </w:pPr>
      <w:rPr>
        <w:rFonts w:ascii="Wingdings" w:hAnsi="Wingdings" w:hint="default"/>
      </w:rPr>
    </w:lvl>
  </w:abstractNum>
  <w:abstractNum w:abstractNumId="27" w15:restartNumberingAfterBreak="0">
    <w:nsid w:val="3B642602"/>
    <w:multiLevelType w:val="hybridMultilevel"/>
    <w:tmpl w:val="2E10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80698A"/>
    <w:multiLevelType w:val="multilevel"/>
    <w:tmpl w:val="022EE9F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C537DD"/>
    <w:multiLevelType w:val="hybridMultilevel"/>
    <w:tmpl w:val="493E40BE"/>
    <w:lvl w:ilvl="0" w:tplc="854E6E88">
      <w:start w:val="1"/>
      <w:numFmt w:val="decimal"/>
      <w:lvlText w:val="%1)"/>
      <w:lvlJc w:val="left"/>
      <w:pPr>
        <w:ind w:left="360" w:hanging="360"/>
      </w:pPr>
    </w:lvl>
    <w:lvl w:ilvl="1" w:tplc="C0D65D52" w:tentative="1">
      <w:start w:val="1"/>
      <w:numFmt w:val="lowerLetter"/>
      <w:lvlText w:val="%2."/>
      <w:lvlJc w:val="left"/>
      <w:pPr>
        <w:ind w:left="1080" w:hanging="360"/>
      </w:pPr>
    </w:lvl>
    <w:lvl w:ilvl="2" w:tplc="67A22F6A" w:tentative="1">
      <w:start w:val="1"/>
      <w:numFmt w:val="lowerRoman"/>
      <w:lvlText w:val="%3."/>
      <w:lvlJc w:val="right"/>
      <w:pPr>
        <w:ind w:left="1800" w:hanging="180"/>
      </w:pPr>
    </w:lvl>
    <w:lvl w:ilvl="3" w:tplc="4F2E1B2E" w:tentative="1">
      <w:start w:val="1"/>
      <w:numFmt w:val="decimal"/>
      <w:lvlText w:val="%4."/>
      <w:lvlJc w:val="left"/>
      <w:pPr>
        <w:ind w:left="2520" w:hanging="360"/>
      </w:pPr>
    </w:lvl>
    <w:lvl w:ilvl="4" w:tplc="09B4C058" w:tentative="1">
      <w:start w:val="1"/>
      <w:numFmt w:val="lowerLetter"/>
      <w:lvlText w:val="%5."/>
      <w:lvlJc w:val="left"/>
      <w:pPr>
        <w:ind w:left="3240" w:hanging="360"/>
      </w:pPr>
    </w:lvl>
    <w:lvl w:ilvl="5" w:tplc="7DCC96EC" w:tentative="1">
      <w:start w:val="1"/>
      <w:numFmt w:val="lowerRoman"/>
      <w:lvlText w:val="%6."/>
      <w:lvlJc w:val="right"/>
      <w:pPr>
        <w:ind w:left="3960" w:hanging="180"/>
      </w:pPr>
    </w:lvl>
    <w:lvl w:ilvl="6" w:tplc="41A84768" w:tentative="1">
      <w:start w:val="1"/>
      <w:numFmt w:val="decimal"/>
      <w:lvlText w:val="%7."/>
      <w:lvlJc w:val="left"/>
      <w:pPr>
        <w:ind w:left="4680" w:hanging="360"/>
      </w:pPr>
    </w:lvl>
    <w:lvl w:ilvl="7" w:tplc="B8CC10F4" w:tentative="1">
      <w:start w:val="1"/>
      <w:numFmt w:val="lowerLetter"/>
      <w:lvlText w:val="%8."/>
      <w:lvlJc w:val="left"/>
      <w:pPr>
        <w:ind w:left="5400" w:hanging="360"/>
      </w:pPr>
    </w:lvl>
    <w:lvl w:ilvl="8" w:tplc="BF78067C" w:tentative="1">
      <w:start w:val="1"/>
      <w:numFmt w:val="lowerRoman"/>
      <w:lvlText w:val="%9."/>
      <w:lvlJc w:val="right"/>
      <w:pPr>
        <w:ind w:left="6120" w:hanging="180"/>
      </w:pPr>
    </w:lvl>
  </w:abstractNum>
  <w:abstractNum w:abstractNumId="30" w15:restartNumberingAfterBreak="0">
    <w:nsid w:val="3F17264E"/>
    <w:multiLevelType w:val="hybridMultilevel"/>
    <w:tmpl w:val="4C64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E4150"/>
    <w:multiLevelType w:val="hybridMultilevel"/>
    <w:tmpl w:val="DC0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77405D"/>
    <w:multiLevelType w:val="hybridMultilevel"/>
    <w:tmpl w:val="B72A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94F2D"/>
    <w:multiLevelType w:val="hybridMultilevel"/>
    <w:tmpl w:val="FFFFFFFF"/>
    <w:lvl w:ilvl="0" w:tplc="4B30CCAC">
      <w:start w:val="1"/>
      <w:numFmt w:val="decimal"/>
      <w:lvlText w:val="%1)"/>
      <w:lvlJc w:val="left"/>
      <w:pPr>
        <w:ind w:left="720" w:hanging="360"/>
      </w:pPr>
    </w:lvl>
    <w:lvl w:ilvl="1" w:tplc="6BD662D4">
      <w:start w:val="1"/>
      <w:numFmt w:val="lowerLetter"/>
      <w:lvlText w:val="%2."/>
      <w:lvlJc w:val="left"/>
      <w:pPr>
        <w:ind w:left="1440" w:hanging="360"/>
      </w:pPr>
    </w:lvl>
    <w:lvl w:ilvl="2" w:tplc="D30C1510">
      <w:start w:val="1"/>
      <w:numFmt w:val="lowerRoman"/>
      <w:lvlText w:val="%3."/>
      <w:lvlJc w:val="right"/>
      <w:pPr>
        <w:ind w:left="2160" w:hanging="180"/>
      </w:pPr>
    </w:lvl>
    <w:lvl w:ilvl="3" w:tplc="74B607B8">
      <w:start w:val="1"/>
      <w:numFmt w:val="decimal"/>
      <w:lvlText w:val="%4."/>
      <w:lvlJc w:val="left"/>
      <w:pPr>
        <w:ind w:left="2880" w:hanging="360"/>
      </w:pPr>
    </w:lvl>
    <w:lvl w:ilvl="4" w:tplc="7876B12A">
      <w:start w:val="1"/>
      <w:numFmt w:val="lowerLetter"/>
      <w:lvlText w:val="%5."/>
      <w:lvlJc w:val="left"/>
      <w:pPr>
        <w:ind w:left="3600" w:hanging="360"/>
      </w:pPr>
    </w:lvl>
    <w:lvl w:ilvl="5" w:tplc="258CE722">
      <w:start w:val="1"/>
      <w:numFmt w:val="lowerRoman"/>
      <w:lvlText w:val="%6."/>
      <w:lvlJc w:val="right"/>
      <w:pPr>
        <w:ind w:left="4320" w:hanging="180"/>
      </w:pPr>
    </w:lvl>
    <w:lvl w:ilvl="6" w:tplc="BBCABE5A">
      <w:start w:val="1"/>
      <w:numFmt w:val="decimal"/>
      <w:lvlText w:val="%7."/>
      <w:lvlJc w:val="left"/>
      <w:pPr>
        <w:ind w:left="5040" w:hanging="360"/>
      </w:pPr>
    </w:lvl>
    <w:lvl w:ilvl="7" w:tplc="27C637BC">
      <w:start w:val="1"/>
      <w:numFmt w:val="lowerLetter"/>
      <w:lvlText w:val="%8."/>
      <w:lvlJc w:val="left"/>
      <w:pPr>
        <w:ind w:left="5760" w:hanging="360"/>
      </w:pPr>
    </w:lvl>
    <w:lvl w:ilvl="8" w:tplc="84CE63EA">
      <w:start w:val="1"/>
      <w:numFmt w:val="lowerRoman"/>
      <w:lvlText w:val="%9."/>
      <w:lvlJc w:val="right"/>
      <w:pPr>
        <w:ind w:left="6480" w:hanging="180"/>
      </w:pPr>
    </w:lvl>
  </w:abstractNum>
  <w:abstractNum w:abstractNumId="34" w15:restartNumberingAfterBreak="0">
    <w:nsid w:val="43CC353D"/>
    <w:multiLevelType w:val="hybridMultilevel"/>
    <w:tmpl w:val="0409001D"/>
    <w:lvl w:ilvl="0" w:tplc="83E2F206">
      <w:start w:val="1"/>
      <w:numFmt w:val="decimal"/>
      <w:lvlText w:val="%1)"/>
      <w:lvlJc w:val="left"/>
      <w:pPr>
        <w:ind w:left="360" w:hanging="360"/>
      </w:pPr>
    </w:lvl>
    <w:lvl w:ilvl="1" w:tplc="63B48F1A">
      <w:start w:val="1"/>
      <w:numFmt w:val="lowerLetter"/>
      <w:lvlText w:val="%2)"/>
      <w:lvlJc w:val="left"/>
      <w:pPr>
        <w:ind w:left="720" w:hanging="360"/>
      </w:pPr>
    </w:lvl>
    <w:lvl w:ilvl="2" w:tplc="7C7E4F02">
      <w:start w:val="1"/>
      <w:numFmt w:val="lowerRoman"/>
      <w:lvlText w:val="%3)"/>
      <w:lvlJc w:val="left"/>
      <w:pPr>
        <w:ind w:left="1080" w:hanging="360"/>
      </w:pPr>
    </w:lvl>
    <w:lvl w:ilvl="3" w:tplc="75EA243E">
      <w:start w:val="1"/>
      <w:numFmt w:val="decimal"/>
      <w:lvlText w:val="(%4)"/>
      <w:lvlJc w:val="left"/>
      <w:pPr>
        <w:ind w:left="1440" w:hanging="360"/>
      </w:pPr>
    </w:lvl>
    <w:lvl w:ilvl="4" w:tplc="E724DA16">
      <w:start w:val="1"/>
      <w:numFmt w:val="lowerLetter"/>
      <w:lvlText w:val="(%5)"/>
      <w:lvlJc w:val="left"/>
      <w:pPr>
        <w:ind w:left="1800" w:hanging="360"/>
      </w:pPr>
    </w:lvl>
    <w:lvl w:ilvl="5" w:tplc="1E8E9F68">
      <w:start w:val="1"/>
      <w:numFmt w:val="lowerRoman"/>
      <w:lvlText w:val="(%6)"/>
      <w:lvlJc w:val="left"/>
      <w:pPr>
        <w:ind w:left="2160" w:hanging="360"/>
      </w:pPr>
    </w:lvl>
    <w:lvl w:ilvl="6" w:tplc="F8DCB6D6">
      <w:start w:val="1"/>
      <w:numFmt w:val="decimal"/>
      <w:lvlText w:val="%7."/>
      <w:lvlJc w:val="left"/>
      <w:pPr>
        <w:ind w:left="2520" w:hanging="360"/>
      </w:pPr>
    </w:lvl>
    <w:lvl w:ilvl="7" w:tplc="CB60C7BA">
      <w:start w:val="1"/>
      <w:numFmt w:val="lowerLetter"/>
      <w:lvlText w:val="%8."/>
      <w:lvlJc w:val="left"/>
      <w:pPr>
        <w:ind w:left="2880" w:hanging="360"/>
      </w:pPr>
    </w:lvl>
    <w:lvl w:ilvl="8" w:tplc="B248E4F0">
      <w:start w:val="1"/>
      <w:numFmt w:val="lowerRoman"/>
      <w:lvlText w:val="%9."/>
      <w:lvlJc w:val="left"/>
      <w:pPr>
        <w:ind w:left="3240" w:hanging="360"/>
      </w:pPr>
    </w:lvl>
  </w:abstractNum>
  <w:abstractNum w:abstractNumId="35" w15:restartNumberingAfterBreak="0">
    <w:nsid w:val="46364C3A"/>
    <w:multiLevelType w:val="hybridMultilevel"/>
    <w:tmpl w:val="FFFFFFFF"/>
    <w:lvl w:ilvl="0" w:tplc="3BB87AC8">
      <w:start w:val="1"/>
      <w:numFmt w:val="decimal"/>
      <w:lvlText w:val="%1."/>
      <w:lvlJc w:val="left"/>
      <w:pPr>
        <w:ind w:left="720" w:hanging="360"/>
      </w:pPr>
    </w:lvl>
    <w:lvl w:ilvl="1" w:tplc="F1469BF4">
      <w:start w:val="1"/>
      <w:numFmt w:val="lowerLetter"/>
      <w:lvlText w:val="%2."/>
      <w:lvlJc w:val="left"/>
      <w:pPr>
        <w:ind w:left="1440" w:hanging="360"/>
      </w:pPr>
    </w:lvl>
    <w:lvl w:ilvl="2" w:tplc="80E2FC34">
      <w:start w:val="1"/>
      <w:numFmt w:val="lowerRoman"/>
      <w:lvlText w:val="%3."/>
      <w:lvlJc w:val="right"/>
      <w:pPr>
        <w:ind w:left="2160" w:hanging="180"/>
      </w:pPr>
    </w:lvl>
    <w:lvl w:ilvl="3" w:tplc="EADA2A64">
      <w:start w:val="1"/>
      <w:numFmt w:val="decimal"/>
      <w:lvlText w:val="%4."/>
      <w:lvlJc w:val="left"/>
      <w:pPr>
        <w:ind w:left="2880" w:hanging="360"/>
      </w:pPr>
    </w:lvl>
    <w:lvl w:ilvl="4" w:tplc="B9F0AE66">
      <w:start w:val="1"/>
      <w:numFmt w:val="lowerLetter"/>
      <w:lvlText w:val="%5."/>
      <w:lvlJc w:val="left"/>
      <w:pPr>
        <w:ind w:left="3600" w:hanging="360"/>
      </w:pPr>
    </w:lvl>
    <w:lvl w:ilvl="5" w:tplc="EC6A3C0C">
      <w:start w:val="1"/>
      <w:numFmt w:val="lowerRoman"/>
      <w:lvlText w:val="%6."/>
      <w:lvlJc w:val="right"/>
      <w:pPr>
        <w:ind w:left="4320" w:hanging="180"/>
      </w:pPr>
    </w:lvl>
    <w:lvl w:ilvl="6" w:tplc="20A019FE">
      <w:start w:val="1"/>
      <w:numFmt w:val="decimal"/>
      <w:lvlText w:val="%7."/>
      <w:lvlJc w:val="left"/>
      <w:pPr>
        <w:ind w:left="5040" w:hanging="360"/>
      </w:pPr>
    </w:lvl>
    <w:lvl w:ilvl="7" w:tplc="67B4C97E">
      <w:start w:val="1"/>
      <w:numFmt w:val="lowerLetter"/>
      <w:lvlText w:val="%8."/>
      <w:lvlJc w:val="left"/>
      <w:pPr>
        <w:ind w:left="5760" w:hanging="360"/>
      </w:pPr>
    </w:lvl>
    <w:lvl w:ilvl="8" w:tplc="77C65EA2">
      <w:start w:val="1"/>
      <w:numFmt w:val="lowerRoman"/>
      <w:lvlText w:val="%9."/>
      <w:lvlJc w:val="right"/>
      <w:pPr>
        <w:ind w:left="6480" w:hanging="180"/>
      </w:pPr>
    </w:lvl>
  </w:abstractNum>
  <w:abstractNum w:abstractNumId="36" w15:restartNumberingAfterBreak="0">
    <w:nsid w:val="46F44454"/>
    <w:multiLevelType w:val="hybridMultilevel"/>
    <w:tmpl w:val="FA7A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762AF8"/>
    <w:multiLevelType w:val="hybridMultilevel"/>
    <w:tmpl w:val="B0A8AB00"/>
    <w:lvl w:ilvl="0" w:tplc="7FEE5A88">
      <w:start w:val="1"/>
      <w:numFmt w:val="decimal"/>
      <w:lvlText w:val="%1)"/>
      <w:lvlJc w:val="left"/>
      <w:pPr>
        <w:ind w:left="360" w:hanging="360"/>
      </w:pPr>
      <w:rPr>
        <w:rFonts w:hint="default"/>
      </w:rPr>
    </w:lvl>
    <w:lvl w:ilvl="1" w:tplc="6EA2D2AC">
      <w:start w:val="1"/>
      <w:numFmt w:val="lowerLetter"/>
      <w:lvlText w:val="%2)"/>
      <w:lvlJc w:val="left"/>
      <w:pPr>
        <w:ind w:left="720" w:hanging="360"/>
      </w:pPr>
      <w:rPr>
        <w:rFonts w:hint="default"/>
      </w:rPr>
    </w:lvl>
    <w:lvl w:ilvl="2" w:tplc="B25AC00E">
      <w:start w:val="1"/>
      <w:numFmt w:val="lowerRoman"/>
      <w:lvlText w:val="%3)"/>
      <w:lvlJc w:val="left"/>
      <w:pPr>
        <w:ind w:left="1080" w:hanging="360"/>
      </w:pPr>
      <w:rPr>
        <w:rFonts w:hint="default"/>
      </w:rPr>
    </w:lvl>
    <w:lvl w:ilvl="3" w:tplc="8BE41C50">
      <w:start w:val="1"/>
      <w:numFmt w:val="decimal"/>
      <w:lvlText w:val="(%4)"/>
      <w:lvlJc w:val="left"/>
      <w:pPr>
        <w:ind w:left="1440" w:hanging="360"/>
      </w:pPr>
      <w:rPr>
        <w:rFonts w:hint="default"/>
      </w:rPr>
    </w:lvl>
    <w:lvl w:ilvl="4" w:tplc="75944F90">
      <w:start w:val="1"/>
      <w:numFmt w:val="lowerLetter"/>
      <w:lvlText w:val="(%5)"/>
      <w:lvlJc w:val="left"/>
      <w:pPr>
        <w:ind w:left="1800" w:hanging="360"/>
      </w:pPr>
      <w:rPr>
        <w:rFonts w:hint="default"/>
      </w:rPr>
    </w:lvl>
    <w:lvl w:ilvl="5" w:tplc="A07AF71A">
      <w:start w:val="1"/>
      <w:numFmt w:val="lowerRoman"/>
      <w:lvlText w:val="(%6)"/>
      <w:lvlJc w:val="left"/>
      <w:pPr>
        <w:ind w:left="2160" w:hanging="360"/>
      </w:pPr>
      <w:rPr>
        <w:rFonts w:hint="default"/>
      </w:rPr>
    </w:lvl>
    <w:lvl w:ilvl="6" w:tplc="349818E4">
      <w:start w:val="1"/>
      <w:numFmt w:val="decimal"/>
      <w:lvlText w:val="%7."/>
      <w:lvlJc w:val="left"/>
      <w:pPr>
        <w:ind w:left="2520" w:hanging="360"/>
      </w:pPr>
      <w:rPr>
        <w:rFonts w:hint="default"/>
      </w:rPr>
    </w:lvl>
    <w:lvl w:ilvl="7" w:tplc="3BF8E7BC">
      <w:start w:val="1"/>
      <w:numFmt w:val="lowerLetter"/>
      <w:lvlText w:val="%8."/>
      <w:lvlJc w:val="left"/>
      <w:pPr>
        <w:ind w:left="2880" w:hanging="360"/>
      </w:pPr>
      <w:rPr>
        <w:rFonts w:hint="default"/>
      </w:rPr>
    </w:lvl>
    <w:lvl w:ilvl="8" w:tplc="A18890B2">
      <w:start w:val="1"/>
      <w:numFmt w:val="lowerRoman"/>
      <w:lvlText w:val="%9."/>
      <w:lvlJc w:val="left"/>
      <w:pPr>
        <w:ind w:left="3240" w:hanging="360"/>
      </w:pPr>
      <w:rPr>
        <w:rFonts w:hint="default"/>
      </w:rPr>
    </w:lvl>
  </w:abstractNum>
  <w:abstractNum w:abstractNumId="38" w15:restartNumberingAfterBreak="0">
    <w:nsid w:val="53133469"/>
    <w:multiLevelType w:val="hybridMultilevel"/>
    <w:tmpl w:val="AF7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FB79F6"/>
    <w:multiLevelType w:val="hybridMultilevel"/>
    <w:tmpl w:val="63424D38"/>
    <w:lvl w:ilvl="0" w:tplc="04090001">
      <w:start w:val="1"/>
      <w:numFmt w:val="bullet"/>
      <w:lvlText w:val=""/>
      <w:lvlJc w:val="left"/>
      <w:pPr>
        <w:ind w:left="360" w:hanging="360"/>
      </w:pPr>
      <w:rPr>
        <w:rFonts w:ascii="Symbol" w:hAnsi="Symbol" w:hint="default"/>
      </w:rPr>
    </w:lvl>
    <w:lvl w:ilvl="1" w:tplc="38663312">
      <w:start w:val="1"/>
      <w:numFmt w:val="lowerLetter"/>
      <w:lvlText w:val="%2)"/>
      <w:lvlJc w:val="left"/>
      <w:pPr>
        <w:ind w:left="720" w:hanging="360"/>
      </w:pPr>
      <w:rPr>
        <w:rFonts w:hint="default"/>
      </w:rPr>
    </w:lvl>
    <w:lvl w:ilvl="2" w:tplc="92FEA558">
      <w:start w:val="1"/>
      <w:numFmt w:val="lowerRoman"/>
      <w:lvlText w:val="%3)"/>
      <w:lvlJc w:val="left"/>
      <w:pPr>
        <w:ind w:left="1080" w:hanging="360"/>
      </w:pPr>
      <w:rPr>
        <w:rFonts w:hint="default"/>
      </w:rPr>
    </w:lvl>
    <w:lvl w:ilvl="3" w:tplc="BC881F60">
      <w:start w:val="1"/>
      <w:numFmt w:val="decimal"/>
      <w:lvlText w:val="(%4)"/>
      <w:lvlJc w:val="left"/>
      <w:pPr>
        <w:ind w:left="1440" w:hanging="360"/>
      </w:pPr>
      <w:rPr>
        <w:rFonts w:hint="default"/>
      </w:rPr>
    </w:lvl>
    <w:lvl w:ilvl="4" w:tplc="F04C14C8">
      <w:start w:val="1"/>
      <w:numFmt w:val="lowerLetter"/>
      <w:lvlText w:val="(%5)"/>
      <w:lvlJc w:val="left"/>
      <w:pPr>
        <w:ind w:left="1800" w:hanging="360"/>
      </w:pPr>
      <w:rPr>
        <w:rFonts w:hint="default"/>
      </w:rPr>
    </w:lvl>
    <w:lvl w:ilvl="5" w:tplc="B4C0A5FC">
      <w:start w:val="1"/>
      <w:numFmt w:val="lowerRoman"/>
      <w:lvlText w:val="(%6)"/>
      <w:lvlJc w:val="left"/>
      <w:pPr>
        <w:ind w:left="2160" w:hanging="360"/>
      </w:pPr>
      <w:rPr>
        <w:rFonts w:hint="default"/>
      </w:rPr>
    </w:lvl>
    <w:lvl w:ilvl="6" w:tplc="61C2E92E">
      <w:start w:val="1"/>
      <w:numFmt w:val="decimal"/>
      <w:lvlText w:val="%7."/>
      <w:lvlJc w:val="left"/>
      <w:pPr>
        <w:ind w:left="2520" w:hanging="360"/>
      </w:pPr>
      <w:rPr>
        <w:rFonts w:hint="default"/>
      </w:rPr>
    </w:lvl>
    <w:lvl w:ilvl="7" w:tplc="3A60D296">
      <w:start w:val="1"/>
      <w:numFmt w:val="lowerLetter"/>
      <w:lvlText w:val="%8."/>
      <w:lvlJc w:val="left"/>
      <w:pPr>
        <w:ind w:left="2880" w:hanging="360"/>
      </w:pPr>
      <w:rPr>
        <w:rFonts w:hint="default"/>
      </w:rPr>
    </w:lvl>
    <w:lvl w:ilvl="8" w:tplc="8542A090">
      <w:start w:val="1"/>
      <w:numFmt w:val="lowerRoman"/>
      <w:lvlText w:val="%9."/>
      <w:lvlJc w:val="left"/>
      <w:pPr>
        <w:ind w:left="3240" w:hanging="360"/>
      </w:pPr>
      <w:rPr>
        <w:rFonts w:hint="default"/>
      </w:rPr>
    </w:lvl>
  </w:abstractNum>
  <w:abstractNum w:abstractNumId="40" w15:restartNumberingAfterBreak="0">
    <w:nsid w:val="554D2817"/>
    <w:multiLevelType w:val="hybridMultilevel"/>
    <w:tmpl w:val="FFFFFFFF"/>
    <w:lvl w:ilvl="0" w:tplc="534044C0">
      <w:start w:val="1"/>
      <w:numFmt w:val="bullet"/>
      <w:lvlText w:val=""/>
      <w:lvlJc w:val="left"/>
      <w:pPr>
        <w:ind w:left="720" w:hanging="360"/>
      </w:pPr>
      <w:rPr>
        <w:rFonts w:ascii="Symbol" w:hAnsi="Symbol" w:hint="default"/>
      </w:rPr>
    </w:lvl>
    <w:lvl w:ilvl="1" w:tplc="D0A4B278">
      <w:start w:val="1"/>
      <w:numFmt w:val="bullet"/>
      <w:lvlText w:val="o"/>
      <w:lvlJc w:val="left"/>
      <w:pPr>
        <w:ind w:left="1440" w:hanging="360"/>
      </w:pPr>
      <w:rPr>
        <w:rFonts w:ascii="&quot;Courier New&quot;" w:hAnsi="&quot;Courier New&quot;" w:hint="default"/>
      </w:rPr>
    </w:lvl>
    <w:lvl w:ilvl="2" w:tplc="1452F5EC">
      <w:start w:val="1"/>
      <w:numFmt w:val="bullet"/>
      <w:lvlText w:val=""/>
      <w:lvlJc w:val="left"/>
      <w:pPr>
        <w:ind w:left="2160" w:hanging="360"/>
      </w:pPr>
      <w:rPr>
        <w:rFonts w:ascii="Wingdings" w:hAnsi="Wingdings" w:hint="default"/>
      </w:rPr>
    </w:lvl>
    <w:lvl w:ilvl="3" w:tplc="FC444072">
      <w:start w:val="1"/>
      <w:numFmt w:val="bullet"/>
      <w:lvlText w:val=""/>
      <w:lvlJc w:val="left"/>
      <w:pPr>
        <w:ind w:left="2880" w:hanging="360"/>
      </w:pPr>
      <w:rPr>
        <w:rFonts w:ascii="Symbol" w:hAnsi="Symbol" w:hint="default"/>
      </w:rPr>
    </w:lvl>
    <w:lvl w:ilvl="4" w:tplc="DB48F8E8">
      <w:start w:val="1"/>
      <w:numFmt w:val="bullet"/>
      <w:lvlText w:val="o"/>
      <w:lvlJc w:val="left"/>
      <w:pPr>
        <w:ind w:left="3600" w:hanging="360"/>
      </w:pPr>
      <w:rPr>
        <w:rFonts w:ascii="Courier New" w:hAnsi="Courier New" w:hint="default"/>
      </w:rPr>
    </w:lvl>
    <w:lvl w:ilvl="5" w:tplc="9E4EBC24">
      <w:start w:val="1"/>
      <w:numFmt w:val="bullet"/>
      <w:lvlText w:val=""/>
      <w:lvlJc w:val="left"/>
      <w:pPr>
        <w:ind w:left="4320" w:hanging="360"/>
      </w:pPr>
      <w:rPr>
        <w:rFonts w:ascii="Wingdings" w:hAnsi="Wingdings" w:hint="default"/>
      </w:rPr>
    </w:lvl>
    <w:lvl w:ilvl="6" w:tplc="35C06824">
      <w:start w:val="1"/>
      <w:numFmt w:val="bullet"/>
      <w:lvlText w:val=""/>
      <w:lvlJc w:val="left"/>
      <w:pPr>
        <w:ind w:left="5040" w:hanging="360"/>
      </w:pPr>
      <w:rPr>
        <w:rFonts w:ascii="Symbol" w:hAnsi="Symbol" w:hint="default"/>
      </w:rPr>
    </w:lvl>
    <w:lvl w:ilvl="7" w:tplc="AA74A872">
      <w:start w:val="1"/>
      <w:numFmt w:val="bullet"/>
      <w:lvlText w:val="o"/>
      <w:lvlJc w:val="left"/>
      <w:pPr>
        <w:ind w:left="5760" w:hanging="360"/>
      </w:pPr>
      <w:rPr>
        <w:rFonts w:ascii="Courier New" w:hAnsi="Courier New" w:hint="default"/>
      </w:rPr>
    </w:lvl>
    <w:lvl w:ilvl="8" w:tplc="9E2EDE68">
      <w:start w:val="1"/>
      <w:numFmt w:val="bullet"/>
      <w:lvlText w:val=""/>
      <w:lvlJc w:val="left"/>
      <w:pPr>
        <w:ind w:left="6480" w:hanging="360"/>
      </w:pPr>
      <w:rPr>
        <w:rFonts w:ascii="Wingdings" w:hAnsi="Wingdings" w:hint="default"/>
      </w:rPr>
    </w:lvl>
  </w:abstractNum>
  <w:abstractNum w:abstractNumId="41" w15:restartNumberingAfterBreak="0">
    <w:nsid w:val="567A4E6C"/>
    <w:multiLevelType w:val="hybridMultilevel"/>
    <w:tmpl w:val="A00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6AD0566"/>
    <w:multiLevelType w:val="hybridMultilevel"/>
    <w:tmpl w:val="FFFFFFFF"/>
    <w:lvl w:ilvl="0" w:tplc="958EEA16">
      <w:numFmt w:val="bullet"/>
      <w:lvlText w:val=""/>
      <w:lvlJc w:val="left"/>
      <w:pPr>
        <w:ind w:left="720" w:hanging="360"/>
      </w:pPr>
      <w:rPr>
        <w:rFonts w:ascii="Symbol" w:hAnsi="Symbol" w:hint="default"/>
      </w:rPr>
    </w:lvl>
    <w:lvl w:ilvl="1" w:tplc="EB3E5958">
      <w:start w:val="1"/>
      <w:numFmt w:val="bullet"/>
      <w:lvlText w:val="o"/>
      <w:lvlJc w:val="left"/>
      <w:pPr>
        <w:ind w:left="1440" w:hanging="360"/>
      </w:pPr>
      <w:rPr>
        <w:rFonts w:ascii="Courier New" w:hAnsi="Courier New" w:hint="default"/>
      </w:rPr>
    </w:lvl>
    <w:lvl w:ilvl="2" w:tplc="E5F0B5E0">
      <w:start w:val="1"/>
      <w:numFmt w:val="bullet"/>
      <w:lvlText w:val=""/>
      <w:lvlJc w:val="left"/>
      <w:pPr>
        <w:ind w:left="2160" w:hanging="360"/>
      </w:pPr>
      <w:rPr>
        <w:rFonts w:ascii="Wingdings" w:hAnsi="Wingdings" w:hint="default"/>
      </w:rPr>
    </w:lvl>
    <w:lvl w:ilvl="3" w:tplc="DD56BE16">
      <w:start w:val="1"/>
      <w:numFmt w:val="bullet"/>
      <w:lvlText w:val=""/>
      <w:lvlJc w:val="left"/>
      <w:pPr>
        <w:ind w:left="2880" w:hanging="360"/>
      </w:pPr>
      <w:rPr>
        <w:rFonts w:ascii="Symbol" w:hAnsi="Symbol" w:hint="default"/>
      </w:rPr>
    </w:lvl>
    <w:lvl w:ilvl="4" w:tplc="EAE4BB5E">
      <w:start w:val="1"/>
      <w:numFmt w:val="bullet"/>
      <w:lvlText w:val="o"/>
      <w:lvlJc w:val="left"/>
      <w:pPr>
        <w:ind w:left="3600" w:hanging="360"/>
      </w:pPr>
      <w:rPr>
        <w:rFonts w:ascii="Courier New" w:hAnsi="Courier New" w:hint="default"/>
      </w:rPr>
    </w:lvl>
    <w:lvl w:ilvl="5" w:tplc="BCA21A56">
      <w:start w:val="1"/>
      <w:numFmt w:val="bullet"/>
      <w:lvlText w:val=""/>
      <w:lvlJc w:val="left"/>
      <w:pPr>
        <w:ind w:left="4320" w:hanging="360"/>
      </w:pPr>
      <w:rPr>
        <w:rFonts w:ascii="Wingdings" w:hAnsi="Wingdings" w:hint="default"/>
      </w:rPr>
    </w:lvl>
    <w:lvl w:ilvl="6" w:tplc="DDB4D3EC">
      <w:start w:val="1"/>
      <w:numFmt w:val="bullet"/>
      <w:lvlText w:val=""/>
      <w:lvlJc w:val="left"/>
      <w:pPr>
        <w:ind w:left="5040" w:hanging="360"/>
      </w:pPr>
      <w:rPr>
        <w:rFonts w:ascii="Symbol" w:hAnsi="Symbol" w:hint="default"/>
      </w:rPr>
    </w:lvl>
    <w:lvl w:ilvl="7" w:tplc="A36E2756">
      <w:start w:val="1"/>
      <w:numFmt w:val="bullet"/>
      <w:lvlText w:val="o"/>
      <w:lvlJc w:val="left"/>
      <w:pPr>
        <w:ind w:left="5760" w:hanging="360"/>
      </w:pPr>
      <w:rPr>
        <w:rFonts w:ascii="Courier New" w:hAnsi="Courier New" w:hint="default"/>
      </w:rPr>
    </w:lvl>
    <w:lvl w:ilvl="8" w:tplc="7158D816">
      <w:start w:val="1"/>
      <w:numFmt w:val="bullet"/>
      <w:lvlText w:val=""/>
      <w:lvlJc w:val="left"/>
      <w:pPr>
        <w:ind w:left="6480" w:hanging="360"/>
      </w:pPr>
      <w:rPr>
        <w:rFonts w:ascii="Wingdings" w:hAnsi="Wingdings" w:hint="default"/>
      </w:rPr>
    </w:lvl>
  </w:abstractNum>
  <w:abstractNum w:abstractNumId="43" w15:restartNumberingAfterBreak="0">
    <w:nsid w:val="57DD140B"/>
    <w:multiLevelType w:val="hybridMultilevel"/>
    <w:tmpl w:val="53DA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BE46A8"/>
    <w:multiLevelType w:val="hybridMultilevel"/>
    <w:tmpl w:val="B59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D11E2B"/>
    <w:multiLevelType w:val="hybridMultilevel"/>
    <w:tmpl w:val="B0A8AB00"/>
    <w:lvl w:ilvl="0" w:tplc="391081AA">
      <w:start w:val="1"/>
      <w:numFmt w:val="decimal"/>
      <w:lvlText w:val="%1)"/>
      <w:lvlJc w:val="left"/>
      <w:pPr>
        <w:ind w:left="360" w:hanging="360"/>
      </w:pPr>
      <w:rPr>
        <w:rFonts w:hint="default"/>
      </w:rPr>
    </w:lvl>
    <w:lvl w:ilvl="1" w:tplc="C8A4D5F6">
      <w:start w:val="1"/>
      <w:numFmt w:val="lowerLetter"/>
      <w:lvlText w:val="%2)"/>
      <w:lvlJc w:val="left"/>
      <w:pPr>
        <w:ind w:left="720" w:hanging="360"/>
      </w:pPr>
      <w:rPr>
        <w:rFonts w:hint="default"/>
      </w:rPr>
    </w:lvl>
    <w:lvl w:ilvl="2" w:tplc="BAB8B3AC">
      <w:start w:val="1"/>
      <w:numFmt w:val="lowerRoman"/>
      <w:lvlText w:val="%3)"/>
      <w:lvlJc w:val="left"/>
      <w:pPr>
        <w:ind w:left="1080" w:hanging="360"/>
      </w:pPr>
      <w:rPr>
        <w:rFonts w:hint="default"/>
      </w:rPr>
    </w:lvl>
    <w:lvl w:ilvl="3" w:tplc="57666E6E">
      <w:start w:val="1"/>
      <w:numFmt w:val="decimal"/>
      <w:lvlText w:val="(%4)"/>
      <w:lvlJc w:val="left"/>
      <w:pPr>
        <w:ind w:left="1440" w:hanging="360"/>
      </w:pPr>
      <w:rPr>
        <w:rFonts w:hint="default"/>
      </w:rPr>
    </w:lvl>
    <w:lvl w:ilvl="4" w:tplc="10BAF4C6">
      <w:start w:val="1"/>
      <w:numFmt w:val="lowerLetter"/>
      <w:lvlText w:val="(%5)"/>
      <w:lvlJc w:val="left"/>
      <w:pPr>
        <w:ind w:left="1800" w:hanging="360"/>
      </w:pPr>
      <w:rPr>
        <w:rFonts w:hint="default"/>
      </w:rPr>
    </w:lvl>
    <w:lvl w:ilvl="5" w:tplc="D1E278B0">
      <w:start w:val="1"/>
      <w:numFmt w:val="lowerRoman"/>
      <w:lvlText w:val="(%6)"/>
      <w:lvlJc w:val="left"/>
      <w:pPr>
        <w:ind w:left="2160" w:hanging="360"/>
      </w:pPr>
      <w:rPr>
        <w:rFonts w:hint="default"/>
      </w:rPr>
    </w:lvl>
    <w:lvl w:ilvl="6" w:tplc="702A917A">
      <w:start w:val="1"/>
      <w:numFmt w:val="decimal"/>
      <w:lvlText w:val="%7."/>
      <w:lvlJc w:val="left"/>
      <w:pPr>
        <w:ind w:left="2520" w:hanging="360"/>
      </w:pPr>
      <w:rPr>
        <w:rFonts w:hint="default"/>
      </w:rPr>
    </w:lvl>
    <w:lvl w:ilvl="7" w:tplc="650E31BE">
      <w:start w:val="1"/>
      <w:numFmt w:val="lowerLetter"/>
      <w:lvlText w:val="%8."/>
      <w:lvlJc w:val="left"/>
      <w:pPr>
        <w:ind w:left="2880" w:hanging="360"/>
      </w:pPr>
      <w:rPr>
        <w:rFonts w:hint="default"/>
      </w:rPr>
    </w:lvl>
    <w:lvl w:ilvl="8" w:tplc="B240E348">
      <w:start w:val="1"/>
      <w:numFmt w:val="lowerRoman"/>
      <w:lvlText w:val="%9."/>
      <w:lvlJc w:val="left"/>
      <w:pPr>
        <w:ind w:left="3240" w:hanging="360"/>
      </w:pPr>
      <w:rPr>
        <w:rFonts w:hint="default"/>
      </w:rPr>
    </w:lvl>
  </w:abstractNum>
  <w:abstractNum w:abstractNumId="46" w15:restartNumberingAfterBreak="0">
    <w:nsid w:val="650C5AA3"/>
    <w:multiLevelType w:val="hybridMultilevel"/>
    <w:tmpl w:val="B0A8AB00"/>
    <w:lvl w:ilvl="0" w:tplc="C34E43DC">
      <w:start w:val="1"/>
      <w:numFmt w:val="decimal"/>
      <w:lvlText w:val="%1)"/>
      <w:lvlJc w:val="left"/>
      <w:pPr>
        <w:ind w:left="360" w:hanging="360"/>
      </w:pPr>
      <w:rPr>
        <w:rFonts w:hint="default"/>
      </w:rPr>
    </w:lvl>
    <w:lvl w:ilvl="1" w:tplc="B0B22B5E">
      <w:start w:val="1"/>
      <w:numFmt w:val="lowerLetter"/>
      <w:lvlText w:val="%2)"/>
      <w:lvlJc w:val="left"/>
      <w:pPr>
        <w:ind w:left="720" w:hanging="360"/>
      </w:pPr>
      <w:rPr>
        <w:rFonts w:hint="default"/>
      </w:rPr>
    </w:lvl>
    <w:lvl w:ilvl="2" w:tplc="32AAEC88">
      <w:start w:val="1"/>
      <w:numFmt w:val="lowerRoman"/>
      <w:lvlText w:val="%3)"/>
      <w:lvlJc w:val="left"/>
      <w:pPr>
        <w:ind w:left="1080" w:hanging="360"/>
      </w:pPr>
      <w:rPr>
        <w:rFonts w:hint="default"/>
      </w:rPr>
    </w:lvl>
    <w:lvl w:ilvl="3" w:tplc="B2FCE3CC">
      <w:start w:val="1"/>
      <w:numFmt w:val="decimal"/>
      <w:lvlText w:val="(%4)"/>
      <w:lvlJc w:val="left"/>
      <w:pPr>
        <w:ind w:left="1440" w:hanging="360"/>
      </w:pPr>
      <w:rPr>
        <w:rFonts w:hint="default"/>
      </w:rPr>
    </w:lvl>
    <w:lvl w:ilvl="4" w:tplc="84C281AE">
      <w:start w:val="1"/>
      <w:numFmt w:val="lowerLetter"/>
      <w:lvlText w:val="(%5)"/>
      <w:lvlJc w:val="left"/>
      <w:pPr>
        <w:ind w:left="1800" w:hanging="360"/>
      </w:pPr>
      <w:rPr>
        <w:rFonts w:hint="default"/>
      </w:rPr>
    </w:lvl>
    <w:lvl w:ilvl="5" w:tplc="69544BE2">
      <w:start w:val="1"/>
      <w:numFmt w:val="lowerRoman"/>
      <w:lvlText w:val="(%6)"/>
      <w:lvlJc w:val="left"/>
      <w:pPr>
        <w:ind w:left="2160" w:hanging="360"/>
      </w:pPr>
      <w:rPr>
        <w:rFonts w:hint="default"/>
      </w:rPr>
    </w:lvl>
    <w:lvl w:ilvl="6" w:tplc="A914D64A">
      <w:start w:val="1"/>
      <w:numFmt w:val="decimal"/>
      <w:lvlText w:val="%7."/>
      <w:lvlJc w:val="left"/>
      <w:pPr>
        <w:ind w:left="2520" w:hanging="360"/>
      </w:pPr>
      <w:rPr>
        <w:rFonts w:hint="default"/>
      </w:rPr>
    </w:lvl>
    <w:lvl w:ilvl="7" w:tplc="57A6D814">
      <w:start w:val="1"/>
      <w:numFmt w:val="lowerLetter"/>
      <w:lvlText w:val="%8."/>
      <w:lvlJc w:val="left"/>
      <w:pPr>
        <w:ind w:left="2880" w:hanging="360"/>
      </w:pPr>
      <w:rPr>
        <w:rFonts w:hint="default"/>
      </w:rPr>
    </w:lvl>
    <w:lvl w:ilvl="8" w:tplc="079E8DA0">
      <w:start w:val="1"/>
      <w:numFmt w:val="lowerRoman"/>
      <w:lvlText w:val="%9."/>
      <w:lvlJc w:val="left"/>
      <w:pPr>
        <w:ind w:left="3240" w:hanging="360"/>
      </w:pPr>
      <w:rPr>
        <w:rFonts w:hint="default"/>
      </w:rPr>
    </w:lvl>
  </w:abstractNum>
  <w:abstractNum w:abstractNumId="47" w15:restartNumberingAfterBreak="0">
    <w:nsid w:val="650D6033"/>
    <w:multiLevelType w:val="hybridMultilevel"/>
    <w:tmpl w:val="FFFFFFFF"/>
    <w:lvl w:ilvl="0" w:tplc="A78ADF9C">
      <w:start w:val="1"/>
      <w:numFmt w:val="bullet"/>
      <w:lvlText w:val="-"/>
      <w:lvlJc w:val="left"/>
      <w:pPr>
        <w:ind w:left="720" w:hanging="360"/>
      </w:pPr>
      <w:rPr>
        <w:rFonts w:ascii="Calibri" w:hAnsi="Calibri" w:hint="default"/>
      </w:rPr>
    </w:lvl>
    <w:lvl w:ilvl="1" w:tplc="E8E2DC30">
      <w:start w:val="1"/>
      <w:numFmt w:val="bullet"/>
      <w:lvlText w:val="o"/>
      <w:lvlJc w:val="left"/>
      <w:pPr>
        <w:ind w:left="1440" w:hanging="360"/>
      </w:pPr>
      <w:rPr>
        <w:rFonts w:ascii="Courier New" w:hAnsi="Courier New" w:hint="default"/>
      </w:rPr>
    </w:lvl>
    <w:lvl w:ilvl="2" w:tplc="B7AE3F72">
      <w:start w:val="1"/>
      <w:numFmt w:val="bullet"/>
      <w:lvlText w:val=""/>
      <w:lvlJc w:val="left"/>
      <w:pPr>
        <w:ind w:left="2160" w:hanging="360"/>
      </w:pPr>
      <w:rPr>
        <w:rFonts w:ascii="Wingdings" w:hAnsi="Wingdings" w:hint="default"/>
      </w:rPr>
    </w:lvl>
    <w:lvl w:ilvl="3" w:tplc="7DEE8FB0">
      <w:start w:val="1"/>
      <w:numFmt w:val="bullet"/>
      <w:lvlText w:val=""/>
      <w:lvlJc w:val="left"/>
      <w:pPr>
        <w:ind w:left="2880" w:hanging="360"/>
      </w:pPr>
      <w:rPr>
        <w:rFonts w:ascii="Symbol" w:hAnsi="Symbol" w:hint="default"/>
      </w:rPr>
    </w:lvl>
    <w:lvl w:ilvl="4" w:tplc="F5CEA652">
      <w:start w:val="1"/>
      <w:numFmt w:val="bullet"/>
      <w:lvlText w:val="o"/>
      <w:lvlJc w:val="left"/>
      <w:pPr>
        <w:ind w:left="3600" w:hanging="360"/>
      </w:pPr>
      <w:rPr>
        <w:rFonts w:ascii="Courier New" w:hAnsi="Courier New" w:hint="default"/>
      </w:rPr>
    </w:lvl>
    <w:lvl w:ilvl="5" w:tplc="15781678">
      <w:start w:val="1"/>
      <w:numFmt w:val="bullet"/>
      <w:lvlText w:val=""/>
      <w:lvlJc w:val="left"/>
      <w:pPr>
        <w:ind w:left="4320" w:hanging="360"/>
      </w:pPr>
      <w:rPr>
        <w:rFonts w:ascii="Wingdings" w:hAnsi="Wingdings" w:hint="default"/>
      </w:rPr>
    </w:lvl>
    <w:lvl w:ilvl="6" w:tplc="7DE07ADE">
      <w:start w:val="1"/>
      <w:numFmt w:val="bullet"/>
      <w:lvlText w:val=""/>
      <w:lvlJc w:val="left"/>
      <w:pPr>
        <w:ind w:left="5040" w:hanging="360"/>
      </w:pPr>
      <w:rPr>
        <w:rFonts w:ascii="Symbol" w:hAnsi="Symbol" w:hint="default"/>
      </w:rPr>
    </w:lvl>
    <w:lvl w:ilvl="7" w:tplc="254C3652">
      <w:start w:val="1"/>
      <w:numFmt w:val="bullet"/>
      <w:lvlText w:val="o"/>
      <w:lvlJc w:val="left"/>
      <w:pPr>
        <w:ind w:left="5760" w:hanging="360"/>
      </w:pPr>
      <w:rPr>
        <w:rFonts w:ascii="Courier New" w:hAnsi="Courier New" w:hint="default"/>
      </w:rPr>
    </w:lvl>
    <w:lvl w:ilvl="8" w:tplc="7A045426">
      <w:start w:val="1"/>
      <w:numFmt w:val="bullet"/>
      <w:lvlText w:val=""/>
      <w:lvlJc w:val="left"/>
      <w:pPr>
        <w:ind w:left="6480" w:hanging="360"/>
      </w:pPr>
      <w:rPr>
        <w:rFonts w:ascii="Wingdings" w:hAnsi="Wingdings" w:hint="default"/>
      </w:rPr>
    </w:lvl>
  </w:abstractNum>
  <w:abstractNum w:abstractNumId="48" w15:restartNumberingAfterBreak="0">
    <w:nsid w:val="675A3187"/>
    <w:multiLevelType w:val="hybridMultilevel"/>
    <w:tmpl w:val="FFFFFFFF"/>
    <w:lvl w:ilvl="0" w:tplc="985EED48">
      <w:start w:val="1"/>
      <w:numFmt w:val="bullet"/>
      <w:lvlText w:val=""/>
      <w:lvlJc w:val="left"/>
      <w:pPr>
        <w:ind w:left="720" w:hanging="360"/>
      </w:pPr>
      <w:rPr>
        <w:rFonts w:ascii="Symbol" w:hAnsi="Symbol" w:hint="default"/>
      </w:rPr>
    </w:lvl>
    <w:lvl w:ilvl="1" w:tplc="9FEA6472">
      <w:start w:val="1"/>
      <w:numFmt w:val="bullet"/>
      <w:lvlText w:val="o"/>
      <w:lvlJc w:val="left"/>
      <w:pPr>
        <w:ind w:left="1440" w:hanging="360"/>
      </w:pPr>
      <w:rPr>
        <w:rFonts w:ascii="Courier New" w:hAnsi="Courier New" w:hint="default"/>
      </w:rPr>
    </w:lvl>
    <w:lvl w:ilvl="2" w:tplc="05387646">
      <w:start w:val="1"/>
      <w:numFmt w:val="bullet"/>
      <w:lvlText w:val=""/>
      <w:lvlJc w:val="left"/>
      <w:pPr>
        <w:ind w:left="2160" w:hanging="360"/>
      </w:pPr>
      <w:rPr>
        <w:rFonts w:ascii="Wingdings" w:hAnsi="Wingdings" w:hint="default"/>
      </w:rPr>
    </w:lvl>
    <w:lvl w:ilvl="3" w:tplc="B6E8552E">
      <w:start w:val="1"/>
      <w:numFmt w:val="bullet"/>
      <w:lvlText w:val=""/>
      <w:lvlJc w:val="left"/>
      <w:pPr>
        <w:ind w:left="2880" w:hanging="360"/>
      </w:pPr>
      <w:rPr>
        <w:rFonts w:ascii="Symbol" w:hAnsi="Symbol" w:hint="default"/>
      </w:rPr>
    </w:lvl>
    <w:lvl w:ilvl="4" w:tplc="4C3E54DA">
      <w:start w:val="1"/>
      <w:numFmt w:val="bullet"/>
      <w:lvlText w:val="o"/>
      <w:lvlJc w:val="left"/>
      <w:pPr>
        <w:ind w:left="3600" w:hanging="360"/>
      </w:pPr>
      <w:rPr>
        <w:rFonts w:ascii="Courier New" w:hAnsi="Courier New" w:hint="default"/>
      </w:rPr>
    </w:lvl>
    <w:lvl w:ilvl="5" w:tplc="B02E6FB0">
      <w:start w:val="1"/>
      <w:numFmt w:val="bullet"/>
      <w:lvlText w:val=""/>
      <w:lvlJc w:val="left"/>
      <w:pPr>
        <w:ind w:left="4320" w:hanging="360"/>
      </w:pPr>
      <w:rPr>
        <w:rFonts w:ascii="Wingdings" w:hAnsi="Wingdings" w:hint="default"/>
      </w:rPr>
    </w:lvl>
    <w:lvl w:ilvl="6" w:tplc="4372D492">
      <w:start w:val="1"/>
      <w:numFmt w:val="bullet"/>
      <w:lvlText w:val=""/>
      <w:lvlJc w:val="left"/>
      <w:pPr>
        <w:ind w:left="5040" w:hanging="360"/>
      </w:pPr>
      <w:rPr>
        <w:rFonts w:ascii="Symbol" w:hAnsi="Symbol" w:hint="default"/>
      </w:rPr>
    </w:lvl>
    <w:lvl w:ilvl="7" w:tplc="8FAA0F60">
      <w:start w:val="1"/>
      <w:numFmt w:val="bullet"/>
      <w:lvlText w:val="o"/>
      <w:lvlJc w:val="left"/>
      <w:pPr>
        <w:ind w:left="5760" w:hanging="360"/>
      </w:pPr>
      <w:rPr>
        <w:rFonts w:ascii="Courier New" w:hAnsi="Courier New" w:hint="default"/>
      </w:rPr>
    </w:lvl>
    <w:lvl w:ilvl="8" w:tplc="54FA58DE">
      <w:start w:val="1"/>
      <w:numFmt w:val="bullet"/>
      <w:lvlText w:val=""/>
      <w:lvlJc w:val="left"/>
      <w:pPr>
        <w:ind w:left="6480" w:hanging="360"/>
      </w:pPr>
      <w:rPr>
        <w:rFonts w:ascii="Wingdings" w:hAnsi="Wingdings" w:hint="default"/>
      </w:rPr>
    </w:lvl>
  </w:abstractNum>
  <w:abstractNum w:abstractNumId="49" w15:restartNumberingAfterBreak="0">
    <w:nsid w:val="6A127FB4"/>
    <w:multiLevelType w:val="hybridMultilevel"/>
    <w:tmpl w:val="B0A8AB00"/>
    <w:lvl w:ilvl="0" w:tplc="D00CDA24">
      <w:start w:val="1"/>
      <w:numFmt w:val="decimal"/>
      <w:lvlText w:val="%1)"/>
      <w:lvlJc w:val="left"/>
      <w:pPr>
        <w:ind w:left="360" w:hanging="360"/>
      </w:pPr>
      <w:rPr>
        <w:rFonts w:hint="default"/>
      </w:rPr>
    </w:lvl>
    <w:lvl w:ilvl="1" w:tplc="57561414">
      <w:start w:val="1"/>
      <w:numFmt w:val="lowerLetter"/>
      <w:lvlText w:val="%2)"/>
      <w:lvlJc w:val="left"/>
      <w:pPr>
        <w:ind w:left="720" w:hanging="360"/>
      </w:pPr>
      <w:rPr>
        <w:rFonts w:hint="default"/>
      </w:rPr>
    </w:lvl>
    <w:lvl w:ilvl="2" w:tplc="92EAAC84">
      <w:start w:val="1"/>
      <w:numFmt w:val="lowerRoman"/>
      <w:lvlText w:val="%3)"/>
      <w:lvlJc w:val="left"/>
      <w:pPr>
        <w:ind w:left="1080" w:hanging="360"/>
      </w:pPr>
      <w:rPr>
        <w:rFonts w:hint="default"/>
      </w:rPr>
    </w:lvl>
    <w:lvl w:ilvl="3" w:tplc="ADFAFCCA">
      <w:start w:val="1"/>
      <w:numFmt w:val="decimal"/>
      <w:lvlText w:val="(%4)"/>
      <w:lvlJc w:val="left"/>
      <w:pPr>
        <w:ind w:left="1440" w:hanging="360"/>
      </w:pPr>
      <w:rPr>
        <w:rFonts w:hint="default"/>
      </w:rPr>
    </w:lvl>
    <w:lvl w:ilvl="4" w:tplc="95520C8E">
      <w:start w:val="1"/>
      <w:numFmt w:val="lowerLetter"/>
      <w:lvlText w:val="(%5)"/>
      <w:lvlJc w:val="left"/>
      <w:pPr>
        <w:ind w:left="1800" w:hanging="360"/>
      </w:pPr>
      <w:rPr>
        <w:rFonts w:hint="default"/>
      </w:rPr>
    </w:lvl>
    <w:lvl w:ilvl="5" w:tplc="F62EEE36">
      <w:start w:val="1"/>
      <w:numFmt w:val="lowerRoman"/>
      <w:lvlText w:val="(%6)"/>
      <w:lvlJc w:val="left"/>
      <w:pPr>
        <w:ind w:left="2160" w:hanging="360"/>
      </w:pPr>
      <w:rPr>
        <w:rFonts w:hint="default"/>
      </w:rPr>
    </w:lvl>
    <w:lvl w:ilvl="6" w:tplc="2E8061E6">
      <w:start w:val="1"/>
      <w:numFmt w:val="decimal"/>
      <w:lvlText w:val="%7."/>
      <w:lvlJc w:val="left"/>
      <w:pPr>
        <w:ind w:left="2520" w:hanging="360"/>
      </w:pPr>
      <w:rPr>
        <w:rFonts w:hint="default"/>
      </w:rPr>
    </w:lvl>
    <w:lvl w:ilvl="7" w:tplc="2C44ABF6">
      <w:start w:val="1"/>
      <w:numFmt w:val="lowerLetter"/>
      <w:lvlText w:val="%8."/>
      <w:lvlJc w:val="left"/>
      <w:pPr>
        <w:ind w:left="2880" w:hanging="360"/>
      </w:pPr>
      <w:rPr>
        <w:rFonts w:hint="default"/>
      </w:rPr>
    </w:lvl>
    <w:lvl w:ilvl="8" w:tplc="7A14C356">
      <w:start w:val="1"/>
      <w:numFmt w:val="lowerRoman"/>
      <w:lvlText w:val="%9."/>
      <w:lvlJc w:val="left"/>
      <w:pPr>
        <w:ind w:left="3240" w:hanging="360"/>
      </w:pPr>
      <w:rPr>
        <w:rFonts w:hint="default"/>
      </w:rPr>
    </w:lvl>
  </w:abstractNum>
  <w:abstractNum w:abstractNumId="50" w15:restartNumberingAfterBreak="0">
    <w:nsid w:val="6E8B0CFB"/>
    <w:multiLevelType w:val="hybridMultilevel"/>
    <w:tmpl w:val="0E72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043A13"/>
    <w:multiLevelType w:val="hybridMultilevel"/>
    <w:tmpl w:val="8356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7805B5"/>
    <w:multiLevelType w:val="hybridMultilevel"/>
    <w:tmpl w:val="23C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13862"/>
    <w:multiLevelType w:val="hybridMultilevel"/>
    <w:tmpl w:val="D7C09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E31AD2"/>
    <w:multiLevelType w:val="hybridMultilevel"/>
    <w:tmpl w:val="657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8A2878"/>
    <w:multiLevelType w:val="hybridMultilevel"/>
    <w:tmpl w:val="B0A8AB00"/>
    <w:lvl w:ilvl="0" w:tplc="72083174">
      <w:start w:val="1"/>
      <w:numFmt w:val="decimal"/>
      <w:lvlText w:val="%1)"/>
      <w:lvlJc w:val="left"/>
      <w:pPr>
        <w:ind w:left="360" w:hanging="360"/>
      </w:pPr>
      <w:rPr>
        <w:rFonts w:hint="default"/>
      </w:rPr>
    </w:lvl>
    <w:lvl w:ilvl="1" w:tplc="94388E4A">
      <w:start w:val="1"/>
      <w:numFmt w:val="lowerLetter"/>
      <w:lvlText w:val="%2)"/>
      <w:lvlJc w:val="left"/>
      <w:pPr>
        <w:ind w:left="720" w:hanging="360"/>
      </w:pPr>
      <w:rPr>
        <w:rFonts w:hint="default"/>
      </w:rPr>
    </w:lvl>
    <w:lvl w:ilvl="2" w:tplc="263E7368">
      <w:start w:val="1"/>
      <w:numFmt w:val="lowerRoman"/>
      <w:lvlText w:val="%3)"/>
      <w:lvlJc w:val="left"/>
      <w:pPr>
        <w:ind w:left="1080" w:hanging="360"/>
      </w:pPr>
      <w:rPr>
        <w:rFonts w:hint="default"/>
      </w:rPr>
    </w:lvl>
    <w:lvl w:ilvl="3" w:tplc="EE4C91C6">
      <w:start w:val="1"/>
      <w:numFmt w:val="decimal"/>
      <w:lvlText w:val="(%4)"/>
      <w:lvlJc w:val="left"/>
      <w:pPr>
        <w:ind w:left="1440" w:hanging="360"/>
      </w:pPr>
      <w:rPr>
        <w:rFonts w:hint="default"/>
      </w:rPr>
    </w:lvl>
    <w:lvl w:ilvl="4" w:tplc="E0CA3D92">
      <w:start w:val="1"/>
      <w:numFmt w:val="lowerLetter"/>
      <w:lvlText w:val="(%5)"/>
      <w:lvlJc w:val="left"/>
      <w:pPr>
        <w:ind w:left="1800" w:hanging="360"/>
      </w:pPr>
      <w:rPr>
        <w:rFonts w:hint="default"/>
      </w:rPr>
    </w:lvl>
    <w:lvl w:ilvl="5" w:tplc="8286C7D2">
      <w:start w:val="1"/>
      <w:numFmt w:val="lowerRoman"/>
      <w:lvlText w:val="(%6)"/>
      <w:lvlJc w:val="left"/>
      <w:pPr>
        <w:ind w:left="2160" w:hanging="360"/>
      </w:pPr>
      <w:rPr>
        <w:rFonts w:hint="default"/>
      </w:rPr>
    </w:lvl>
    <w:lvl w:ilvl="6" w:tplc="387E9A42">
      <w:start w:val="1"/>
      <w:numFmt w:val="decimal"/>
      <w:lvlText w:val="%7."/>
      <w:lvlJc w:val="left"/>
      <w:pPr>
        <w:ind w:left="2520" w:hanging="360"/>
      </w:pPr>
      <w:rPr>
        <w:rFonts w:hint="default"/>
      </w:rPr>
    </w:lvl>
    <w:lvl w:ilvl="7" w:tplc="5C42DF06">
      <w:start w:val="1"/>
      <w:numFmt w:val="lowerLetter"/>
      <w:lvlText w:val="%8."/>
      <w:lvlJc w:val="left"/>
      <w:pPr>
        <w:ind w:left="2880" w:hanging="360"/>
      </w:pPr>
      <w:rPr>
        <w:rFonts w:hint="default"/>
      </w:rPr>
    </w:lvl>
    <w:lvl w:ilvl="8" w:tplc="A3625ACC">
      <w:start w:val="1"/>
      <w:numFmt w:val="lowerRoman"/>
      <w:lvlText w:val="%9."/>
      <w:lvlJc w:val="left"/>
      <w:pPr>
        <w:ind w:left="3240" w:hanging="360"/>
      </w:pPr>
      <w:rPr>
        <w:rFonts w:hint="default"/>
      </w:rPr>
    </w:lvl>
  </w:abstractNum>
  <w:abstractNum w:abstractNumId="56" w15:restartNumberingAfterBreak="0">
    <w:nsid w:val="770D6C7F"/>
    <w:multiLevelType w:val="hybridMultilevel"/>
    <w:tmpl w:val="BF3E2DD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33399C"/>
    <w:multiLevelType w:val="hybridMultilevel"/>
    <w:tmpl w:val="FFFFFFFF"/>
    <w:lvl w:ilvl="0" w:tplc="A6708844">
      <w:numFmt w:val="bullet"/>
      <w:lvlText w:val=""/>
      <w:lvlJc w:val="left"/>
      <w:pPr>
        <w:ind w:left="720" w:hanging="360"/>
      </w:pPr>
      <w:rPr>
        <w:rFonts w:ascii="Symbol" w:hAnsi="Symbol" w:hint="default"/>
      </w:rPr>
    </w:lvl>
    <w:lvl w:ilvl="1" w:tplc="42A8B3C4">
      <w:start w:val="1"/>
      <w:numFmt w:val="bullet"/>
      <w:lvlText w:val="o"/>
      <w:lvlJc w:val="left"/>
      <w:pPr>
        <w:ind w:left="1440" w:hanging="360"/>
      </w:pPr>
      <w:rPr>
        <w:rFonts w:ascii="Courier New" w:hAnsi="Courier New" w:hint="default"/>
      </w:rPr>
    </w:lvl>
    <w:lvl w:ilvl="2" w:tplc="F2F2AEF0">
      <w:start w:val="1"/>
      <w:numFmt w:val="bullet"/>
      <w:lvlText w:val=""/>
      <w:lvlJc w:val="left"/>
      <w:pPr>
        <w:ind w:left="2160" w:hanging="360"/>
      </w:pPr>
      <w:rPr>
        <w:rFonts w:ascii="Wingdings" w:hAnsi="Wingdings" w:hint="default"/>
      </w:rPr>
    </w:lvl>
    <w:lvl w:ilvl="3" w:tplc="E10C14F2">
      <w:start w:val="1"/>
      <w:numFmt w:val="bullet"/>
      <w:lvlText w:val=""/>
      <w:lvlJc w:val="left"/>
      <w:pPr>
        <w:ind w:left="2880" w:hanging="360"/>
      </w:pPr>
      <w:rPr>
        <w:rFonts w:ascii="Symbol" w:hAnsi="Symbol" w:hint="default"/>
      </w:rPr>
    </w:lvl>
    <w:lvl w:ilvl="4" w:tplc="FEB29770">
      <w:start w:val="1"/>
      <w:numFmt w:val="bullet"/>
      <w:lvlText w:val="o"/>
      <w:lvlJc w:val="left"/>
      <w:pPr>
        <w:ind w:left="3600" w:hanging="360"/>
      </w:pPr>
      <w:rPr>
        <w:rFonts w:ascii="Courier New" w:hAnsi="Courier New" w:hint="default"/>
      </w:rPr>
    </w:lvl>
    <w:lvl w:ilvl="5" w:tplc="086ED2CA">
      <w:start w:val="1"/>
      <w:numFmt w:val="bullet"/>
      <w:lvlText w:val=""/>
      <w:lvlJc w:val="left"/>
      <w:pPr>
        <w:ind w:left="4320" w:hanging="360"/>
      </w:pPr>
      <w:rPr>
        <w:rFonts w:ascii="Wingdings" w:hAnsi="Wingdings" w:hint="default"/>
      </w:rPr>
    </w:lvl>
    <w:lvl w:ilvl="6" w:tplc="43A8DC76">
      <w:start w:val="1"/>
      <w:numFmt w:val="bullet"/>
      <w:lvlText w:val=""/>
      <w:lvlJc w:val="left"/>
      <w:pPr>
        <w:ind w:left="5040" w:hanging="360"/>
      </w:pPr>
      <w:rPr>
        <w:rFonts w:ascii="Symbol" w:hAnsi="Symbol" w:hint="default"/>
      </w:rPr>
    </w:lvl>
    <w:lvl w:ilvl="7" w:tplc="321CA7B0">
      <w:start w:val="1"/>
      <w:numFmt w:val="bullet"/>
      <w:lvlText w:val="o"/>
      <w:lvlJc w:val="left"/>
      <w:pPr>
        <w:ind w:left="5760" w:hanging="360"/>
      </w:pPr>
      <w:rPr>
        <w:rFonts w:ascii="Courier New" w:hAnsi="Courier New" w:hint="default"/>
      </w:rPr>
    </w:lvl>
    <w:lvl w:ilvl="8" w:tplc="95DA6252">
      <w:start w:val="1"/>
      <w:numFmt w:val="bullet"/>
      <w:lvlText w:val=""/>
      <w:lvlJc w:val="left"/>
      <w:pPr>
        <w:ind w:left="6480" w:hanging="360"/>
      </w:pPr>
      <w:rPr>
        <w:rFonts w:ascii="Wingdings" w:hAnsi="Wingdings" w:hint="default"/>
      </w:rPr>
    </w:lvl>
  </w:abstractNum>
  <w:abstractNum w:abstractNumId="58" w15:restartNumberingAfterBreak="0">
    <w:nsid w:val="78D568F1"/>
    <w:multiLevelType w:val="hybridMultilevel"/>
    <w:tmpl w:val="D4C2C146"/>
    <w:lvl w:ilvl="0" w:tplc="3FB2EF9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D627A5"/>
    <w:multiLevelType w:val="hybridMultilevel"/>
    <w:tmpl w:val="5B40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521EE3"/>
    <w:multiLevelType w:val="hybridMultilevel"/>
    <w:tmpl w:val="290C1026"/>
    <w:lvl w:ilvl="0" w:tplc="CF78E9B8">
      <w:start w:val="1"/>
      <w:numFmt w:val="bullet"/>
      <w:lvlText w:val=""/>
      <w:lvlJc w:val="left"/>
      <w:pPr>
        <w:tabs>
          <w:tab w:val="num" w:pos="720"/>
        </w:tabs>
        <w:ind w:left="720" w:hanging="360"/>
      </w:pPr>
      <w:rPr>
        <w:rFonts w:ascii="Symbol" w:hAnsi="Symbol" w:hint="default"/>
        <w:sz w:val="20"/>
      </w:rPr>
    </w:lvl>
    <w:lvl w:ilvl="1" w:tplc="F1026774" w:tentative="1">
      <w:start w:val="1"/>
      <w:numFmt w:val="bullet"/>
      <w:lvlText w:val="o"/>
      <w:lvlJc w:val="left"/>
      <w:pPr>
        <w:tabs>
          <w:tab w:val="num" w:pos="1440"/>
        </w:tabs>
        <w:ind w:left="1440" w:hanging="360"/>
      </w:pPr>
      <w:rPr>
        <w:rFonts w:ascii="Courier New" w:hAnsi="Courier New" w:hint="default"/>
        <w:sz w:val="20"/>
      </w:rPr>
    </w:lvl>
    <w:lvl w:ilvl="2" w:tplc="4DA4F688" w:tentative="1">
      <w:start w:val="1"/>
      <w:numFmt w:val="bullet"/>
      <w:lvlText w:val=""/>
      <w:lvlJc w:val="left"/>
      <w:pPr>
        <w:tabs>
          <w:tab w:val="num" w:pos="2160"/>
        </w:tabs>
        <w:ind w:left="2160" w:hanging="360"/>
      </w:pPr>
      <w:rPr>
        <w:rFonts w:ascii="Wingdings" w:hAnsi="Wingdings" w:hint="default"/>
        <w:sz w:val="20"/>
      </w:rPr>
    </w:lvl>
    <w:lvl w:ilvl="3" w:tplc="7F0EA8DC" w:tentative="1">
      <w:start w:val="1"/>
      <w:numFmt w:val="bullet"/>
      <w:lvlText w:val=""/>
      <w:lvlJc w:val="left"/>
      <w:pPr>
        <w:tabs>
          <w:tab w:val="num" w:pos="2880"/>
        </w:tabs>
        <w:ind w:left="2880" w:hanging="360"/>
      </w:pPr>
      <w:rPr>
        <w:rFonts w:ascii="Wingdings" w:hAnsi="Wingdings" w:hint="default"/>
        <w:sz w:val="20"/>
      </w:rPr>
    </w:lvl>
    <w:lvl w:ilvl="4" w:tplc="96A83B2E" w:tentative="1">
      <w:start w:val="1"/>
      <w:numFmt w:val="bullet"/>
      <w:lvlText w:val=""/>
      <w:lvlJc w:val="left"/>
      <w:pPr>
        <w:tabs>
          <w:tab w:val="num" w:pos="3600"/>
        </w:tabs>
        <w:ind w:left="3600" w:hanging="360"/>
      </w:pPr>
      <w:rPr>
        <w:rFonts w:ascii="Wingdings" w:hAnsi="Wingdings" w:hint="default"/>
        <w:sz w:val="20"/>
      </w:rPr>
    </w:lvl>
    <w:lvl w:ilvl="5" w:tplc="B9D60010" w:tentative="1">
      <w:start w:val="1"/>
      <w:numFmt w:val="bullet"/>
      <w:lvlText w:val=""/>
      <w:lvlJc w:val="left"/>
      <w:pPr>
        <w:tabs>
          <w:tab w:val="num" w:pos="4320"/>
        </w:tabs>
        <w:ind w:left="4320" w:hanging="360"/>
      </w:pPr>
      <w:rPr>
        <w:rFonts w:ascii="Wingdings" w:hAnsi="Wingdings" w:hint="default"/>
        <w:sz w:val="20"/>
      </w:rPr>
    </w:lvl>
    <w:lvl w:ilvl="6" w:tplc="C9625F82" w:tentative="1">
      <w:start w:val="1"/>
      <w:numFmt w:val="bullet"/>
      <w:lvlText w:val=""/>
      <w:lvlJc w:val="left"/>
      <w:pPr>
        <w:tabs>
          <w:tab w:val="num" w:pos="5040"/>
        </w:tabs>
        <w:ind w:left="5040" w:hanging="360"/>
      </w:pPr>
      <w:rPr>
        <w:rFonts w:ascii="Wingdings" w:hAnsi="Wingdings" w:hint="default"/>
        <w:sz w:val="20"/>
      </w:rPr>
    </w:lvl>
    <w:lvl w:ilvl="7" w:tplc="863892B2" w:tentative="1">
      <w:start w:val="1"/>
      <w:numFmt w:val="bullet"/>
      <w:lvlText w:val=""/>
      <w:lvlJc w:val="left"/>
      <w:pPr>
        <w:tabs>
          <w:tab w:val="num" w:pos="5760"/>
        </w:tabs>
        <w:ind w:left="5760" w:hanging="360"/>
      </w:pPr>
      <w:rPr>
        <w:rFonts w:ascii="Wingdings" w:hAnsi="Wingdings" w:hint="default"/>
        <w:sz w:val="20"/>
      </w:rPr>
    </w:lvl>
    <w:lvl w:ilvl="8" w:tplc="5AD29C0A"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8"/>
  </w:num>
  <w:num w:numId="3">
    <w:abstractNumId w:val="42"/>
  </w:num>
  <w:num w:numId="4">
    <w:abstractNumId w:val="21"/>
  </w:num>
  <w:num w:numId="5">
    <w:abstractNumId w:val="57"/>
  </w:num>
  <w:num w:numId="6">
    <w:abstractNumId w:val="26"/>
  </w:num>
  <w:num w:numId="7">
    <w:abstractNumId w:val="3"/>
  </w:num>
  <w:num w:numId="8">
    <w:abstractNumId w:val="25"/>
  </w:num>
  <w:num w:numId="9">
    <w:abstractNumId w:val="15"/>
  </w:num>
  <w:num w:numId="10">
    <w:abstractNumId w:val="18"/>
  </w:num>
  <w:num w:numId="11">
    <w:abstractNumId w:val="16"/>
  </w:num>
  <w:num w:numId="12">
    <w:abstractNumId w:val="28"/>
  </w:num>
  <w:num w:numId="13">
    <w:abstractNumId w:val="34"/>
  </w:num>
  <w:num w:numId="14">
    <w:abstractNumId w:val="38"/>
  </w:num>
  <w:num w:numId="15">
    <w:abstractNumId w:val="45"/>
  </w:num>
  <w:num w:numId="16">
    <w:abstractNumId w:val="13"/>
  </w:num>
  <w:num w:numId="17">
    <w:abstractNumId w:val="12"/>
  </w:num>
  <w:num w:numId="18">
    <w:abstractNumId w:val="55"/>
  </w:num>
  <w:num w:numId="19">
    <w:abstractNumId w:val="49"/>
  </w:num>
  <w:num w:numId="20">
    <w:abstractNumId w:val="46"/>
  </w:num>
  <w:num w:numId="21">
    <w:abstractNumId w:val="37"/>
  </w:num>
  <w:num w:numId="22">
    <w:abstractNumId w:val="14"/>
  </w:num>
  <w:num w:numId="23">
    <w:abstractNumId w:val="60"/>
  </w:num>
  <w:num w:numId="24">
    <w:abstractNumId w:val="41"/>
  </w:num>
  <w:num w:numId="25">
    <w:abstractNumId w:val="31"/>
  </w:num>
  <w:num w:numId="26">
    <w:abstractNumId w:val="23"/>
  </w:num>
  <w:num w:numId="27">
    <w:abstractNumId w:val="2"/>
  </w:num>
  <w:num w:numId="28">
    <w:abstractNumId w:val="54"/>
  </w:num>
  <w:num w:numId="29">
    <w:abstractNumId w:val="9"/>
  </w:num>
  <w:num w:numId="30">
    <w:abstractNumId w:val="32"/>
  </w:num>
  <w:num w:numId="31">
    <w:abstractNumId w:val="33"/>
  </w:num>
  <w:num w:numId="32">
    <w:abstractNumId w:val="35"/>
  </w:num>
  <w:num w:numId="33">
    <w:abstractNumId w:val="53"/>
  </w:num>
  <w:num w:numId="34">
    <w:abstractNumId w:val="39"/>
  </w:num>
  <w:num w:numId="35">
    <w:abstractNumId w:val="0"/>
  </w:num>
  <w:num w:numId="36">
    <w:abstractNumId w:val="6"/>
  </w:num>
  <w:num w:numId="37">
    <w:abstractNumId w:val="11"/>
  </w:num>
  <w:num w:numId="38">
    <w:abstractNumId w:val="27"/>
  </w:num>
  <w:num w:numId="39">
    <w:abstractNumId w:val="5"/>
  </w:num>
  <w:num w:numId="40">
    <w:abstractNumId w:val="4"/>
  </w:num>
  <w:num w:numId="41">
    <w:abstractNumId w:val="1"/>
  </w:num>
  <w:num w:numId="42">
    <w:abstractNumId w:val="20"/>
  </w:num>
  <w:num w:numId="43">
    <w:abstractNumId w:val="8"/>
  </w:num>
  <w:num w:numId="44">
    <w:abstractNumId w:val="10"/>
  </w:num>
  <w:num w:numId="45">
    <w:abstractNumId w:val="58"/>
  </w:num>
  <w:num w:numId="46">
    <w:abstractNumId w:val="17"/>
  </w:num>
  <w:num w:numId="47">
    <w:abstractNumId w:val="7"/>
  </w:num>
  <w:num w:numId="48">
    <w:abstractNumId w:val="29"/>
  </w:num>
  <w:num w:numId="49">
    <w:abstractNumId w:val="19"/>
  </w:num>
  <w:num w:numId="50">
    <w:abstractNumId w:val="40"/>
  </w:num>
  <w:num w:numId="51">
    <w:abstractNumId w:val="56"/>
  </w:num>
  <w:num w:numId="52">
    <w:abstractNumId w:val="51"/>
  </w:num>
  <w:num w:numId="53">
    <w:abstractNumId w:val="30"/>
  </w:num>
  <w:num w:numId="54">
    <w:abstractNumId w:val="52"/>
  </w:num>
  <w:num w:numId="55">
    <w:abstractNumId w:val="22"/>
  </w:num>
  <w:num w:numId="56">
    <w:abstractNumId w:val="59"/>
  </w:num>
  <w:num w:numId="57">
    <w:abstractNumId w:val="50"/>
  </w:num>
  <w:num w:numId="58">
    <w:abstractNumId w:val="24"/>
  </w:num>
  <w:num w:numId="59">
    <w:abstractNumId w:val="44"/>
  </w:num>
  <w:num w:numId="60">
    <w:abstractNumId w:val="43"/>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documentProtection w:edit="forms" w:enforcement="1" w:cryptProviderType="rsaAES" w:cryptAlgorithmClass="hash" w:cryptAlgorithmType="typeAny" w:cryptAlgorithmSid="14" w:cryptSpinCount="100000" w:hash="QkL+dBQlJ1eYe3L9ck27hwAoOJyukZdXlWlkF8CFRclRCIWlUX5qn7GJPG0LFelrJ1dkug5I8iEW8j3kEYZnXg==" w:salt="+L/g7nJuKBoJSGoG4VHSG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B2"/>
    <w:rsid w:val="000013D7"/>
    <w:rsid w:val="000018BA"/>
    <w:rsid w:val="00002CFC"/>
    <w:rsid w:val="000038B2"/>
    <w:rsid w:val="00003A00"/>
    <w:rsid w:val="0000446A"/>
    <w:rsid w:val="00004C12"/>
    <w:rsid w:val="000061B2"/>
    <w:rsid w:val="00006424"/>
    <w:rsid w:val="00006548"/>
    <w:rsid w:val="00006C14"/>
    <w:rsid w:val="00006EE0"/>
    <w:rsid w:val="00006F6A"/>
    <w:rsid w:val="00007371"/>
    <w:rsid w:val="00010E86"/>
    <w:rsid w:val="00010E91"/>
    <w:rsid w:val="00011320"/>
    <w:rsid w:val="00011929"/>
    <w:rsid w:val="00011D11"/>
    <w:rsid w:val="00012027"/>
    <w:rsid w:val="00012951"/>
    <w:rsid w:val="00013521"/>
    <w:rsid w:val="00014528"/>
    <w:rsid w:val="0001457E"/>
    <w:rsid w:val="0001520F"/>
    <w:rsid w:val="000153F7"/>
    <w:rsid w:val="0001599F"/>
    <w:rsid w:val="00015F5E"/>
    <w:rsid w:val="00017654"/>
    <w:rsid w:val="00020D5C"/>
    <w:rsid w:val="00020ED6"/>
    <w:rsid w:val="00021913"/>
    <w:rsid w:val="00021A2D"/>
    <w:rsid w:val="00022DEA"/>
    <w:rsid w:val="00023A03"/>
    <w:rsid w:val="00023BD2"/>
    <w:rsid w:val="00023FD8"/>
    <w:rsid w:val="0002458C"/>
    <w:rsid w:val="00024605"/>
    <w:rsid w:val="000247A6"/>
    <w:rsid w:val="000258C5"/>
    <w:rsid w:val="00025952"/>
    <w:rsid w:val="0002642B"/>
    <w:rsid w:val="0002650D"/>
    <w:rsid w:val="00027086"/>
    <w:rsid w:val="00027570"/>
    <w:rsid w:val="00027ADC"/>
    <w:rsid w:val="0003043D"/>
    <w:rsid w:val="00030714"/>
    <w:rsid w:val="000316DA"/>
    <w:rsid w:val="00031A6B"/>
    <w:rsid w:val="00032E42"/>
    <w:rsid w:val="0003364E"/>
    <w:rsid w:val="00033829"/>
    <w:rsid w:val="000338FB"/>
    <w:rsid w:val="00033CC0"/>
    <w:rsid w:val="000345F6"/>
    <w:rsid w:val="00035242"/>
    <w:rsid w:val="000358DF"/>
    <w:rsid w:val="00035A63"/>
    <w:rsid w:val="00035E0C"/>
    <w:rsid w:val="0003633D"/>
    <w:rsid w:val="00036986"/>
    <w:rsid w:val="00037228"/>
    <w:rsid w:val="00037D8C"/>
    <w:rsid w:val="0004042F"/>
    <w:rsid w:val="00040CDE"/>
    <w:rsid w:val="000415F4"/>
    <w:rsid w:val="000417D2"/>
    <w:rsid w:val="00042D1C"/>
    <w:rsid w:val="0004319C"/>
    <w:rsid w:val="000438E2"/>
    <w:rsid w:val="0004428A"/>
    <w:rsid w:val="000452D5"/>
    <w:rsid w:val="00045C5F"/>
    <w:rsid w:val="000460C5"/>
    <w:rsid w:val="00046851"/>
    <w:rsid w:val="00046BBB"/>
    <w:rsid w:val="00046E75"/>
    <w:rsid w:val="00047714"/>
    <w:rsid w:val="00047C23"/>
    <w:rsid w:val="00047D3D"/>
    <w:rsid w:val="0005061C"/>
    <w:rsid w:val="00051739"/>
    <w:rsid w:val="00051EED"/>
    <w:rsid w:val="000520A3"/>
    <w:rsid w:val="00052116"/>
    <w:rsid w:val="0005267C"/>
    <w:rsid w:val="00052990"/>
    <w:rsid w:val="00053087"/>
    <w:rsid w:val="000537A8"/>
    <w:rsid w:val="0005392D"/>
    <w:rsid w:val="00054193"/>
    <w:rsid w:val="000541CE"/>
    <w:rsid w:val="000544D8"/>
    <w:rsid w:val="00054568"/>
    <w:rsid w:val="00054ABA"/>
    <w:rsid w:val="00054CC0"/>
    <w:rsid w:val="00055250"/>
    <w:rsid w:val="000556D5"/>
    <w:rsid w:val="000558AA"/>
    <w:rsid w:val="00055A91"/>
    <w:rsid w:val="000564AA"/>
    <w:rsid w:val="0005701A"/>
    <w:rsid w:val="0005709C"/>
    <w:rsid w:val="00057B32"/>
    <w:rsid w:val="00057BAF"/>
    <w:rsid w:val="00057D00"/>
    <w:rsid w:val="00061ACD"/>
    <w:rsid w:val="0006232F"/>
    <w:rsid w:val="0006271E"/>
    <w:rsid w:val="0006377F"/>
    <w:rsid w:val="00063F05"/>
    <w:rsid w:val="000645F9"/>
    <w:rsid w:val="0006513E"/>
    <w:rsid w:val="00065522"/>
    <w:rsid w:val="00066312"/>
    <w:rsid w:val="00067E18"/>
    <w:rsid w:val="00070930"/>
    <w:rsid w:val="00071B44"/>
    <w:rsid w:val="00071C55"/>
    <w:rsid w:val="000725D5"/>
    <w:rsid w:val="00072CCE"/>
    <w:rsid w:val="00073D51"/>
    <w:rsid w:val="000743C1"/>
    <w:rsid w:val="0007516A"/>
    <w:rsid w:val="000757A5"/>
    <w:rsid w:val="00077565"/>
    <w:rsid w:val="000776E4"/>
    <w:rsid w:val="00077D9B"/>
    <w:rsid w:val="000805F0"/>
    <w:rsid w:val="00080E26"/>
    <w:rsid w:val="00081CB5"/>
    <w:rsid w:val="00081DAA"/>
    <w:rsid w:val="0008275E"/>
    <w:rsid w:val="00082E8F"/>
    <w:rsid w:val="00083899"/>
    <w:rsid w:val="0008480C"/>
    <w:rsid w:val="000849B1"/>
    <w:rsid w:val="00085D55"/>
    <w:rsid w:val="0008631E"/>
    <w:rsid w:val="00086416"/>
    <w:rsid w:val="00086472"/>
    <w:rsid w:val="00087D6D"/>
    <w:rsid w:val="00087DC5"/>
    <w:rsid w:val="00090FDC"/>
    <w:rsid w:val="00091692"/>
    <w:rsid w:val="000936A3"/>
    <w:rsid w:val="00093F02"/>
    <w:rsid w:val="00094759"/>
    <w:rsid w:val="00094781"/>
    <w:rsid w:val="00095B46"/>
    <w:rsid w:val="00096519"/>
    <w:rsid w:val="0009698D"/>
    <w:rsid w:val="0009763B"/>
    <w:rsid w:val="0009794F"/>
    <w:rsid w:val="00097BB8"/>
    <w:rsid w:val="000A0090"/>
    <w:rsid w:val="000A06A3"/>
    <w:rsid w:val="000A0844"/>
    <w:rsid w:val="000A0B1F"/>
    <w:rsid w:val="000A28B1"/>
    <w:rsid w:val="000A3F2D"/>
    <w:rsid w:val="000A6B0E"/>
    <w:rsid w:val="000B0A95"/>
    <w:rsid w:val="000B1551"/>
    <w:rsid w:val="000B1CD7"/>
    <w:rsid w:val="000B23ED"/>
    <w:rsid w:val="000B614F"/>
    <w:rsid w:val="000B660E"/>
    <w:rsid w:val="000C0200"/>
    <w:rsid w:val="000C02BF"/>
    <w:rsid w:val="000C196A"/>
    <w:rsid w:val="000C1D43"/>
    <w:rsid w:val="000C1ED6"/>
    <w:rsid w:val="000C2193"/>
    <w:rsid w:val="000C2E85"/>
    <w:rsid w:val="000C48D1"/>
    <w:rsid w:val="000C4D99"/>
    <w:rsid w:val="000C5002"/>
    <w:rsid w:val="000C5075"/>
    <w:rsid w:val="000C620F"/>
    <w:rsid w:val="000C7AC2"/>
    <w:rsid w:val="000D0DF2"/>
    <w:rsid w:val="000D1272"/>
    <w:rsid w:val="000D1588"/>
    <w:rsid w:val="000D1DF2"/>
    <w:rsid w:val="000D2539"/>
    <w:rsid w:val="000D2AB2"/>
    <w:rsid w:val="000D3A89"/>
    <w:rsid w:val="000D3A8F"/>
    <w:rsid w:val="000D4193"/>
    <w:rsid w:val="000D44A8"/>
    <w:rsid w:val="000D4DF2"/>
    <w:rsid w:val="000D6404"/>
    <w:rsid w:val="000D6C47"/>
    <w:rsid w:val="000D6D55"/>
    <w:rsid w:val="000D6DED"/>
    <w:rsid w:val="000E0F7A"/>
    <w:rsid w:val="000E107D"/>
    <w:rsid w:val="000E24F9"/>
    <w:rsid w:val="000E2704"/>
    <w:rsid w:val="000E3333"/>
    <w:rsid w:val="000E3F47"/>
    <w:rsid w:val="000E4567"/>
    <w:rsid w:val="000E4D90"/>
    <w:rsid w:val="000E5780"/>
    <w:rsid w:val="000E7DC0"/>
    <w:rsid w:val="000F0472"/>
    <w:rsid w:val="000F04B2"/>
    <w:rsid w:val="000F04DF"/>
    <w:rsid w:val="000F1685"/>
    <w:rsid w:val="000F3637"/>
    <w:rsid w:val="000F4520"/>
    <w:rsid w:val="000F516F"/>
    <w:rsid w:val="000F5546"/>
    <w:rsid w:val="000F64C1"/>
    <w:rsid w:val="000F665D"/>
    <w:rsid w:val="000F6959"/>
    <w:rsid w:val="000F6E42"/>
    <w:rsid w:val="00100E18"/>
    <w:rsid w:val="00101484"/>
    <w:rsid w:val="00101B28"/>
    <w:rsid w:val="001025E8"/>
    <w:rsid w:val="00102BB4"/>
    <w:rsid w:val="0010314C"/>
    <w:rsid w:val="00103348"/>
    <w:rsid w:val="0010426E"/>
    <w:rsid w:val="00104C00"/>
    <w:rsid w:val="001057D1"/>
    <w:rsid w:val="00105F07"/>
    <w:rsid w:val="001064AD"/>
    <w:rsid w:val="00106ABC"/>
    <w:rsid w:val="00106BAD"/>
    <w:rsid w:val="00110247"/>
    <w:rsid w:val="00110601"/>
    <w:rsid w:val="00111898"/>
    <w:rsid w:val="001118F5"/>
    <w:rsid w:val="00112547"/>
    <w:rsid w:val="00112C89"/>
    <w:rsid w:val="001131F1"/>
    <w:rsid w:val="00113350"/>
    <w:rsid w:val="001135E4"/>
    <w:rsid w:val="00113E40"/>
    <w:rsid w:val="00113F21"/>
    <w:rsid w:val="0011421D"/>
    <w:rsid w:val="00114B06"/>
    <w:rsid w:val="00114B5B"/>
    <w:rsid w:val="001155EC"/>
    <w:rsid w:val="00115F96"/>
    <w:rsid w:val="00115FD6"/>
    <w:rsid w:val="00117391"/>
    <w:rsid w:val="001175D2"/>
    <w:rsid w:val="00117F11"/>
    <w:rsid w:val="00120170"/>
    <w:rsid w:val="001201D0"/>
    <w:rsid w:val="00120F51"/>
    <w:rsid w:val="0012144B"/>
    <w:rsid w:val="00121C5C"/>
    <w:rsid w:val="001220D5"/>
    <w:rsid w:val="00123140"/>
    <w:rsid w:val="00123EA1"/>
    <w:rsid w:val="0012565E"/>
    <w:rsid w:val="001267DF"/>
    <w:rsid w:val="0012749B"/>
    <w:rsid w:val="00127719"/>
    <w:rsid w:val="00127907"/>
    <w:rsid w:val="00127947"/>
    <w:rsid w:val="00127A0A"/>
    <w:rsid w:val="00127FC0"/>
    <w:rsid w:val="00130027"/>
    <w:rsid w:val="0013048B"/>
    <w:rsid w:val="00130B49"/>
    <w:rsid w:val="00131AD9"/>
    <w:rsid w:val="001326A3"/>
    <w:rsid w:val="0013270E"/>
    <w:rsid w:val="00132927"/>
    <w:rsid w:val="00133372"/>
    <w:rsid w:val="00133F6B"/>
    <w:rsid w:val="001347C3"/>
    <w:rsid w:val="0013481E"/>
    <w:rsid w:val="001348E8"/>
    <w:rsid w:val="0013562F"/>
    <w:rsid w:val="00135E12"/>
    <w:rsid w:val="00136CA9"/>
    <w:rsid w:val="0013743E"/>
    <w:rsid w:val="001379A3"/>
    <w:rsid w:val="001413BB"/>
    <w:rsid w:val="0014201C"/>
    <w:rsid w:val="001427C9"/>
    <w:rsid w:val="00142985"/>
    <w:rsid w:val="00142A14"/>
    <w:rsid w:val="001438E2"/>
    <w:rsid w:val="00144078"/>
    <w:rsid w:val="001445F2"/>
    <w:rsid w:val="0014494B"/>
    <w:rsid w:val="0014575E"/>
    <w:rsid w:val="0014602B"/>
    <w:rsid w:val="0014655B"/>
    <w:rsid w:val="00146729"/>
    <w:rsid w:val="00146850"/>
    <w:rsid w:val="00146BC4"/>
    <w:rsid w:val="00147A4A"/>
    <w:rsid w:val="00147D1F"/>
    <w:rsid w:val="0014AA8A"/>
    <w:rsid w:val="001507AB"/>
    <w:rsid w:val="00150E7F"/>
    <w:rsid w:val="001513A2"/>
    <w:rsid w:val="00151D29"/>
    <w:rsid w:val="00151D86"/>
    <w:rsid w:val="0015248E"/>
    <w:rsid w:val="00152999"/>
    <w:rsid w:val="001530A2"/>
    <w:rsid w:val="00154975"/>
    <w:rsid w:val="001549B3"/>
    <w:rsid w:val="00154BCC"/>
    <w:rsid w:val="00154DEB"/>
    <w:rsid w:val="00154DF6"/>
    <w:rsid w:val="00156229"/>
    <w:rsid w:val="001568EA"/>
    <w:rsid w:val="00156A6B"/>
    <w:rsid w:val="00162E63"/>
    <w:rsid w:val="0016444E"/>
    <w:rsid w:val="00164E43"/>
    <w:rsid w:val="001658D6"/>
    <w:rsid w:val="00165CA7"/>
    <w:rsid w:val="0016689D"/>
    <w:rsid w:val="0016766C"/>
    <w:rsid w:val="00167C96"/>
    <w:rsid w:val="00171923"/>
    <w:rsid w:val="00173B2B"/>
    <w:rsid w:val="00173D7B"/>
    <w:rsid w:val="0017468C"/>
    <w:rsid w:val="0017578E"/>
    <w:rsid w:val="0017600C"/>
    <w:rsid w:val="00176100"/>
    <w:rsid w:val="00176D38"/>
    <w:rsid w:val="001779DE"/>
    <w:rsid w:val="00180364"/>
    <w:rsid w:val="001805D7"/>
    <w:rsid w:val="00180A24"/>
    <w:rsid w:val="00181CFA"/>
    <w:rsid w:val="00181FE6"/>
    <w:rsid w:val="0018218B"/>
    <w:rsid w:val="00182A30"/>
    <w:rsid w:val="00182A54"/>
    <w:rsid w:val="0018341D"/>
    <w:rsid w:val="00184E56"/>
    <w:rsid w:val="00185246"/>
    <w:rsid w:val="0018555E"/>
    <w:rsid w:val="00185BFA"/>
    <w:rsid w:val="00186534"/>
    <w:rsid w:val="00187A76"/>
    <w:rsid w:val="00190F7F"/>
    <w:rsid w:val="00191D89"/>
    <w:rsid w:val="00191FE4"/>
    <w:rsid w:val="00192A14"/>
    <w:rsid w:val="001938B3"/>
    <w:rsid w:val="00193F71"/>
    <w:rsid w:val="001946C0"/>
    <w:rsid w:val="001957F3"/>
    <w:rsid w:val="00195851"/>
    <w:rsid w:val="00196295"/>
    <w:rsid w:val="0019669F"/>
    <w:rsid w:val="0019751D"/>
    <w:rsid w:val="001977A5"/>
    <w:rsid w:val="00197981"/>
    <w:rsid w:val="00197F8A"/>
    <w:rsid w:val="00197FB0"/>
    <w:rsid w:val="001A0BAD"/>
    <w:rsid w:val="001A0D50"/>
    <w:rsid w:val="001A0EBE"/>
    <w:rsid w:val="001A1293"/>
    <w:rsid w:val="001A1CD7"/>
    <w:rsid w:val="001A2778"/>
    <w:rsid w:val="001A3CA1"/>
    <w:rsid w:val="001A44AE"/>
    <w:rsid w:val="001A44F1"/>
    <w:rsid w:val="001A5308"/>
    <w:rsid w:val="001A665F"/>
    <w:rsid w:val="001A66ED"/>
    <w:rsid w:val="001A7FDB"/>
    <w:rsid w:val="001B012E"/>
    <w:rsid w:val="001B27A9"/>
    <w:rsid w:val="001B27C1"/>
    <w:rsid w:val="001B2833"/>
    <w:rsid w:val="001B294C"/>
    <w:rsid w:val="001B323D"/>
    <w:rsid w:val="001B3320"/>
    <w:rsid w:val="001B3659"/>
    <w:rsid w:val="001B3EBE"/>
    <w:rsid w:val="001B52C9"/>
    <w:rsid w:val="001B58AC"/>
    <w:rsid w:val="001B6003"/>
    <w:rsid w:val="001B6525"/>
    <w:rsid w:val="001B6D2E"/>
    <w:rsid w:val="001B768A"/>
    <w:rsid w:val="001B7B4A"/>
    <w:rsid w:val="001C02F1"/>
    <w:rsid w:val="001C0F52"/>
    <w:rsid w:val="001C1268"/>
    <w:rsid w:val="001C1599"/>
    <w:rsid w:val="001C17B7"/>
    <w:rsid w:val="001C1CD4"/>
    <w:rsid w:val="001C28F3"/>
    <w:rsid w:val="001C3546"/>
    <w:rsid w:val="001C38DD"/>
    <w:rsid w:val="001C3C51"/>
    <w:rsid w:val="001C433D"/>
    <w:rsid w:val="001C461A"/>
    <w:rsid w:val="001C4A0B"/>
    <w:rsid w:val="001C5E35"/>
    <w:rsid w:val="001C5E58"/>
    <w:rsid w:val="001C5EB8"/>
    <w:rsid w:val="001C6580"/>
    <w:rsid w:val="001C6A36"/>
    <w:rsid w:val="001C6C9A"/>
    <w:rsid w:val="001C75EF"/>
    <w:rsid w:val="001C77C1"/>
    <w:rsid w:val="001D012B"/>
    <w:rsid w:val="001D093D"/>
    <w:rsid w:val="001D1174"/>
    <w:rsid w:val="001D1683"/>
    <w:rsid w:val="001D18C7"/>
    <w:rsid w:val="001D2385"/>
    <w:rsid w:val="001D26D5"/>
    <w:rsid w:val="001D2E25"/>
    <w:rsid w:val="001D33A3"/>
    <w:rsid w:val="001D3B60"/>
    <w:rsid w:val="001D5359"/>
    <w:rsid w:val="001D598F"/>
    <w:rsid w:val="001D5F05"/>
    <w:rsid w:val="001D5F74"/>
    <w:rsid w:val="001D6433"/>
    <w:rsid w:val="001D792B"/>
    <w:rsid w:val="001D7A59"/>
    <w:rsid w:val="001E04D4"/>
    <w:rsid w:val="001E0825"/>
    <w:rsid w:val="001E08DA"/>
    <w:rsid w:val="001E1F48"/>
    <w:rsid w:val="001E2294"/>
    <w:rsid w:val="001E2E22"/>
    <w:rsid w:val="001E3F79"/>
    <w:rsid w:val="001E4256"/>
    <w:rsid w:val="001E486F"/>
    <w:rsid w:val="001E5830"/>
    <w:rsid w:val="001E5F87"/>
    <w:rsid w:val="001E60EA"/>
    <w:rsid w:val="001E672D"/>
    <w:rsid w:val="001E6C57"/>
    <w:rsid w:val="001E6FDC"/>
    <w:rsid w:val="001E71C6"/>
    <w:rsid w:val="001E798E"/>
    <w:rsid w:val="001F0C06"/>
    <w:rsid w:val="001F0EC5"/>
    <w:rsid w:val="001F15EE"/>
    <w:rsid w:val="001F2226"/>
    <w:rsid w:val="001F293C"/>
    <w:rsid w:val="001F40DD"/>
    <w:rsid w:val="001F4C3E"/>
    <w:rsid w:val="001F4F13"/>
    <w:rsid w:val="001F52F3"/>
    <w:rsid w:val="001F553F"/>
    <w:rsid w:val="001F657F"/>
    <w:rsid w:val="001F661E"/>
    <w:rsid w:val="001F6777"/>
    <w:rsid w:val="001F67CC"/>
    <w:rsid w:val="001F6C10"/>
    <w:rsid w:val="001F6E2C"/>
    <w:rsid w:val="001F7A0A"/>
    <w:rsid w:val="001F7BA8"/>
    <w:rsid w:val="00200144"/>
    <w:rsid w:val="0020042B"/>
    <w:rsid w:val="0020063F"/>
    <w:rsid w:val="00201569"/>
    <w:rsid w:val="00202276"/>
    <w:rsid w:val="0020241D"/>
    <w:rsid w:val="0020275E"/>
    <w:rsid w:val="00203A43"/>
    <w:rsid w:val="0020436E"/>
    <w:rsid w:val="00204E04"/>
    <w:rsid w:val="00204FA5"/>
    <w:rsid w:val="0020781E"/>
    <w:rsid w:val="00207C0F"/>
    <w:rsid w:val="00210705"/>
    <w:rsid w:val="00211AB2"/>
    <w:rsid w:val="00211D5C"/>
    <w:rsid w:val="00211EDF"/>
    <w:rsid w:val="00211FB1"/>
    <w:rsid w:val="0021226C"/>
    <w:rsid w:val="00213925"/>
    <w:rsid w:val="0021573D"/>
    <w:rsid w:val="00215ADB"/>
    <w:rsid w:val="00215B18"/>
    <w:rsid w:val="002163A2"/>
    <w:rsid w:val="00216897"/>
    <w:rsid w:val="00216F1D"/>
    <w:rsid w:val="002177C7"/>
    <w:rsid w:val="00217A27"/>
    <w:rsid w:val="0022070D"/>
    <w:rsid w:val="00223165"/>
    <w:rsid w:val="002236F3"/>
    <w:rsid w:val="002241D2"/>
    <w:rsid w:val="0022433E"/>
    <w:rsid w:val="002245E5"/>
    <w:rsid w:val="00224C18"/>
    <w:rsid w:val="00225162"/>
    <w:rsid w:val="00225F6A"/>
    <w:rsid w:val="00225F98"/>
    <w:rsid w:val="0022662E"/>
    <w:rsid w:val="0022711A"/>
    <w:rsid w:val="0022765C"/>
    <w:rsid w:val="00227719"/>
    <w:rsid w:val="0023115B"/>
    <w:rsid w:val="002318F8"/>
    <w:rsid w:val="0023219C"/>
    <w:rsid w:val="00232596"/>
    <w:rsid w:val="00232620"/>
    <w:rsid w:val="00232800"/>
    <w:rsid w:val="00235A02"/>
    <w:rsid w:val="00236463"/>
    <w:rsid w:val="002366CB"/>
    <w:rsid w:val="002371A3"/>
    <w:rsid w:val="00237563"/>
    <w:rsid w:val="00237778"/>
    <w:rsid w:val="00237BDD"/>
    <w:rsid w:val="00237FA8"/>
    <w:rsid w:val="0024003C"/>
    <w:rsid w:val="00240D14"/>
    <w:rsid w:val="00240F84"/>
    <w:rsid w:val="00241551"/>
    <w:rsid w:val="0024189D"/>
    <w:rsid w:val="00243A71"/>
    <w:rsid w:val="00243AA4"/>
    <w:rsid w:val="00243C84"/>
    <w:rsid w:val="00243D9B"/>
    <w:rsid w:val="0024623D"/>
    <w:rsid w:val="0024690F"/>
    <w:rsid w:val="00246FD2"/>
    <w:rsid w:val="00247461"/>
    <w:rsid w:val="002478B4"/>
    <w:rsid w:val="00250101"/>
    <w:rsid w:val="00250C18"/>
    <w:rsid w:val="0025264B"/>
    <w:rsid w:val="00252DA9"/>
    <w:rsid w:val="00253305"/>
    <w:rsid w:val="00253C4F"/>
    <w:rsid w:val="00254C4F"/>
    <w:rsid w:val="002562E6"/>
    <w:rsid w:val="00256357"/>
    <w:rsid w:val="00256568"/>
    <w:rsid w:val="00256CD4"/>
    <w:rsid w:val="00257807"/>
    <w:rsid w:val="00257F25"/>
    <w:rsid w:val="0026099F"/>
    <w:rsid w:val="00260E4A"/>
    <w:rsid w:val="0026191F"/>
    <w:rsid w:val="00264194"/>
    <w:rsid w:val="0026454A"/>
    <w:rsid w:val="00266811"/>
    <w:rsid w:val="00266EB2"/>
    <w:rsid w:val="002670FF"/>
    <w:rsid w:val="002672E1"/>
    <w:rsid w:val="0026735F"/>
    <w:rsid w:val="00267BB6"/>
    <w:rsid w:val="00270E4C"/>
    <w:rsid w:val="00272F34"/>
    <w:rsid w:val="00272FF7"/>
    <w:rsid w:val="00273222"/>
    <w:rsid w:val="002735FF"/>
    <w:rsid w:val="002738CF"/>
    <w:rsid w:val="002738E7"/>
    <w:rsid w:val="00273EF7"/>
    <w:rsid w:val="002744A0"/>
    <w:rsid w:val="00274694"/>
    <w:rsid w:val="0027679A"/>
    <w:rsid w:val="00276DEE"/>
    <w:rsid w:val="0027763F"/>
    <w:rsid w:val="00277C86"/>
    <w:rsid w:val="00280050"/>
    <w:rsid w:val="002806E2"/>
    <w:rsid w:val="00280B2C"/>
    <w:rsid w:val="002817C7"/>
    <w:rsid w:val="00281A35"/>
    <w:rsid w:val="00281AC3"/>
    <w:rsid w:val="00282096"/>
    <w:rsid w:val="00283C2C"/>
    <w:rsid w:val="00286B26"/>
    <w:rsid w:val="00287E34"/>
    <w:rsid w:val="002901D1"/>
    <w:rsid w:val="00290293"/>
    <w:rsid w:val="00290341"/>
    <w:rsid w:val="0029119E"/>
    <w:rsid w:val="00291368"/>
    <w:rsid w:val="00291689"/>
    <w:rsid w:val="00291CA2"/>
    <w:rsid w:val="002933A1"/>
    <w:rsid w:val="002936D9"/>
    <w:rsid w:val="002950A9"/>
    <w:rsid w:val="00295530"/>
    <w:rsid w:val="00295E10"/>
    <w:rsid w:val="00296289"/>
    <w:rsid w:val="002A00FB"/>
    <w:rsid w:val="002A08D6"/>
    <w:rsid w:val="002A0D58"/>
    <w:rsid w:val="002A3670"/>
    <w:rsid w:val="002A368F"/>
    <w:rsid w:val="002A3B9C"/>
    <w:rsid w:val="002A6C71"/>
    <w:rsid w:val="002A6CAC"/>
    <w:rsid w:val="002AF8E0"/>
    <w:rsid w:val="002B0C0A"/>
    <w:rsid w:val="002B1910"/>
    <w:rsid w:val="002B1ABA"/>
    <w:rsid w:val="002B2BB8"/>
    <w:rsid w:val="002B2FA6"/>
    <w:rsid w:val="002B3956"/>
    <w:rsid w:val="002B4446"/>
    <w:rsid w:val="002B4726"/>
    <w:rsid w:val="002B4C7A"/>
    <w:rsid w:val="002B56E0"/>
    <w:rsid w:val="002B5ACE"/>
    <w:rsid w:val="002B5EDA"/>
    <w:rsid w:val="002B7357"/>
    <w:rsid w:val="002B7BBF"/>
    <w:rsid w:val="002C0202"/>
    <w:rsid w:val="002C028B"/>
    <w:rsid w:val="002C06BC"/>
    <w:rsid w:val="002C0881"/>
    <w:rsid w:val="002C0CCF"/>
    <w:rsid w:val="002C2225"/>
    <w:rsid w:val="002C2BFD"/>
    <w:rsid w:val="002C2D9B"/>
    <w:rsid w:val="002C375D"/>
    <w:rsid w:val="002C4D93"/>
    <w:rsid w:val="002C4E05"/>
    <w:rsid w:val="002C541A"/>
    <w:rsid w:val="002C5ABB"/>
    <w:rsid w:val="002C69A8"/>
    <w:rsid w:val="002D021B"/>
    <w:rsid w:val="002D0433"/>
    <w:rsid w:val="002D04E8"/>
    <w:rsid w:val="002D1864"/>
    <w:rsid w:val="002D194A"/>
    <w:rsid w:val="002D2219"/>
    <w:rsid w:val="002D26AD"/>
    <w:rsid w:val="002D2C21"/>
    <w:rsid w:val="002D2EA2"/>
    <w:rsid w:val="002D2F1C"/>
    <w:rsid w:val="002D308C"/>
    <w:rsid w:val="002D4699"/>
    <w:rsid w:val="002D4B0A"/>
    <w:rsid w:val="002D5723"/>
    <w:rsid w:val="002D6A6B"/>
    <w:rsid w:val="002D6DBD"/>
    <w:rsid w:val="002D6EEB"/>
    <w:rsid w:val="002D6FFC"/>
    <w:rsid w:val="002E05C3"/>
    <w:rsid w:val="002E0B0C"/>
    <w:rsid w:val="002E0C20"/>
    <w:rsid w:val="002E1618"/>
    <w:rsid w:val="002E1BE4"/>
    <w:rsid w:val="002E25B2"/>
    <w:rsid w:val="002E2F6C"/>
    <w:rsid w:val="002E2FD7"/>
    <w:rsid w:val="002E3959"/>
    <w:rsid w:val="002E4DDE"/>
    <w:rsid w:val="002E529E"/>
    <w:rsid w:val="002E5651"/>
    <w:rsid w:val="002E650B"/>
    <w:rsid w:val="002E68C6"/>
    <w:rsid w:val="002E6C78"/>
    <w:rsid w:val="002E6FFA"/>
    <w:rsid w:val="002E70EB"/>
    <w:rsid w:val="002F044A"/>
    <w:rsid w:val="002F04E0"/>
    <w:rsid w:val="002F0DCC"/>
    <w:rsid w:val="002F1A04"/>
    <w:rsid w:val="002F3039"/>
    <w:rsid w:val="002F3FF9"/>
    <w:rsid w:val="002F41C2"/>
    <w:rsid w:val="002F4AE9"/>
    <w:rsid w:val="002F4CAE"/>
    <w:rsid w:val="002F5790"/>
    <w:rsid w:val="002F658D"/>
    <w:rsid w:val="002F6C95"/>
    <w:rsid w:val="002F6F35"/>
    <w:rsid w:val="00300238"/>
    <w:rsid w:val="00300890"/>
    <w:rsid w:val="003018B2"/>
    <w:rsid w:val="00301E52"/>
    <w:rsid w:val="00301FC6"/>
    <w:rsid w:val="00302504"/>
    <w:rsid w:val="00302AD0"/>
    <w:rsid w:val="00303453"/>
    <w:rsid w:val="00303F0B"/>
    <w:rsid w:val="0030519F"/>
    <w:rsid w:val="003056DE"/>
    <w:rsid w:val="00305A3A"/>
    <w:rsid w:val="0030648B"/>
    <w:rsid w:val="00306634"/>
    <w:rsid w:val="003068B5"/>
    <w:rsid w:val="00306982"/>
    <w:rsid w:val="00306FD4"/>
    <w:rsid w:val="003072C6"/>
    <w:rsid w:val="00307D32"/>
    <w:rsid w:val="003105B5"/>
    <w:rsid w:val="00310777"/>
    <w:rsid w:val="00313122"/>
    <w:rsid w:val="0031409A"/>
    <w:rsid w:val="0031483F"/>
    <w:rsid w:val="0031672D"/>
    <w:rsid w:val="00316853"/>
    <w:rsid w:val="003174CE"/>
    <w:rsid w:val="0032007A"/>
    <w:rsid w:val="00320CE5"/>
    <w:rsid w:val="00320D18"/>
    <w:rsid w:val="00321B4B"/>
    <w:rsid w:val="00322F19"/>
    <w:rsid w:val="0032313B"/>
    <w:rsid w:val="0032374E"/>
    <w:rsid w:val="003243B8"/>
    <w:rsid w:val="0032465E"/>
    <w:rsid w:val="00324D44"/>
    <w:rsid w:val="00324F01"/>
    <w:rsid w:val="003273F0"/>
    <w:rsid w:val="00327993"/>
    <w:rsid w:val="00327EED"/>
    <w:rsid w:val="00330131"/>
    <w:rsid w:val="0033135D"/>
    <w:rsid w:val="00331D19"/>
    <w:rsid w:val="003335C6"/>
    <w:rsid w:val="0033444D"/>
    <w:rsid w:val="0033447A"/>
    <w:rsid w:val="00334D6E"/>
    <w:rsid w:val="00335B75"/>
    <w:rsid w:val="00335CF8"/>
    <w:rsid w:val="00336045"/>
    <w:rsid w:val="003360F7"/>
    <w:rsid w:val="00336A43"/>
    <w:rsid w:val="00337372"/>
    <w:rsid w:val="00337991"/>
    <w:rsid w:val="003400D3"/>
    <w:rsid w:val="00340252"/>
    <w:rsid w:val="00341CD5"/>
    <w:rsid w:val="00343187"/>
    <w:rsid w:val="00343E59"/>
    <w:rsid w:val="00345738"/>
    <w:rsid w:val="003457B6"/>
    <w:rsid w:val="00345E5E"/>
    <w:rsid w:val="00346C00"/>
    <w:rsid w:val="0034736C"/>
    <w:rsid w:val="003473D1"/>
    <w:rsid w:val="003475F6"/>
    <w:rsid w:val="00347AB3"/>
    <w:rsid w:val="00350EBC"/>
    <w:rsid w:val="003513AB"/>
    <w:rsid w:val="0035201B"/>
    <w:rsid w:val="00352B6E"/>
    <w:rsid w:val="0035321C"/>
    <w:rsid w:val="003535C9"/>
    <w:rsid w:val="0035470F"/>
    <w:rsid w:val="00354A17"/>
    <w:rsid w:val="00354D4D"/>
    <w:rsid w:val="00355361"/>
    <w:rsid w:val="00355DB1"/>
    <w:rsid w:val="00355E12"/>
    <w:rsid w:val="003562BC"/>
    <w:rsid w:val="00356AA0"/>
    <w:rsid w:val="00357AEB"/>
    <w:rsid w:val="00357B7C"/>
    <w:rsid w:val="00357E8C"/>
    <w:rsid w:val="00360192"/>
    <w:rsid w:val="0036023F"/>
    <w:rsid w:val="0036152D"/>
    <w:rsid w:val="0036271F"/>
    <w:rsid w:val="0036284E"/>
    <w:rsid w:val="0036373C"/>
    <w:rsid w:val="0036451F"/>
    <w:rsid w:val="0036460C"/>
    <w:rsid w:val="00364B10"/>
    <w:rsid w:val="00364CAF"/>
    <w:rsid w:val="00365A99"/>
    <w:rsid w:val="00365C44"/>
    <w:rsid w:val="00366B77"/>
    <w:rsid w:val="00366D7F"/>
    <w:rsid w:val="0036708B"/>
    <w:rsid w:val="00367540"/>
    <w:rsid w:val="003676FC"/>
    <w:rsid w:val="00370393"/>
    <w:rsid w:val="0037049D"/>
    <w:rsid w:val="00370ABC"/>
    <w:rsid w:val="00371385"/>
    <w:rsid w:val="00371D3D"/>
    <w:rsid w:val="0037269E"/>
    <w:rsid w:val="00373698"/>
    <w:rsid w:val="003740A3"/>
    <w:rsid w:val="003743CF"/>
    <w:rsid w:val="0037592B"/>
    <w:rsid w:val="0037624A"/>
    <w:rsid w:val="003762D1"/>
    <w:rsid w:val="003762E9"/>
    <w:rsid w:val="00380674"/>
    <w:rsid w:val="00380D76"/>
    <w:rsid w:val="0038187E"/>
    <w:rsid w:val="0038192E"/>
    <w:rsid w:val="00381EF7"/>
    <w:rsid w:val="0038291B"/>
    <w:rsid w:val="00382D45"/>
    <w:rsid w:val="003843C6"/>
    <w:rsid w:val="00384527"/>
    <w:rsid w:val="00384788"/>
    <w:rsid w:val="003848DB"/>
    <w:rsid w:val="00384A31"/>
    <w:rsid w:val="00384D8F"/>
    <w:rsid w:val="0038584A"/>
    <w:rsid w:val="00385EF7"/>
    <w:rsid w:val="003861E2"/>
    <w:rsid w:val="00387494"/>
    <w:rsid w:val="00387AA1"/>
    <w:rsid w:val="00390754"/>
    <w:rsid w:val="00390780"/>
    <w:rsid w:val="00391518"/>
    <w:rsid w:val="00391822"/>
    <w:rsid w:val="00392A21"/>
    <w:rsid w:val="0039337D"/>
    <w:rsid w:val="0039376D"/>
    <w:rsid w:val="0039394D"/>
    <w:rsid w:val="00393F86"/>
    <w:rsid w:val="003973E4"/>
    <w:rsid w:val="00397A5C"/>
    <w:rsid w:val="003A1058"/>
    <w:rsid w:val="003A1083"/>
    <w:rsid w:val="003A1AA4"/>
    <w:rsid w:val="003A2106"/>
    <w:rsid w:val="003A3328"/>
    <w:rsid w:val="003A34F5"/>
    <w:rsid w:val="003A355E"/>
    <w:rsid w:val="003A3BAD"/>
    <w:rsid w:val="003A4B56"/>
    <w:rsid w:val="003A4BB9"/>
    <w:rsid w:val="003A5097"/>
    <w:rsid w:val="003A55AF"/>
    <w:rsid w:val="003A68A4"/>
    <w:rsid w:val="003A7C5E"/>
    <w:rsid w:val="003A7F71"/>
    <w:rsid w:val="003B00C7"/>
    <w:rsid w:val="003B0ECC"/>
    <w:rsid w:val="003B154E"/>
    <w:rsid w:val="003B2AE6"/>
    <w:rsid w:val="003B2D01"/>
    <w:rsid w:val="003B3C77"/>
    <w:rsid w:val="003B479D"/>
    <w:rsid w:val="003B4AB2"/>
    <w:rsid w:val="003B4D9B"/>
    <w:rsid w:val="003B61AF"/>
    <w:rsid w:val="003B6423"/>
    <w:rsid w:val="003B6AB0"/>
    <w:rsid w:val="003B6C1F"/>
    <w:rsid w:val="003B7C07"/>
    <w:rsid w:val="003C03FC"/>
    <w:rsid w:val="003C060F"/>
    <w:rsid w:val="003C0E85"/>
    <w:rsid w:val="003C1961"/>
    <w:rsid w:val="003C26D2"/>
    <w:rsid w:val="003C2893"/>
    <w:rsid w:val="003C3443"/>
    <w:rsid w:val="003C562B"/>
    <w:rsid w:val="003C56FD"/>
    <w:rsid w:val="003C6782"/>
    <w:rsid w:val="003C67F6"/>
    <w:rsid w:val="003C753D"/>
    <w:rsid w:val="003D00D6"/>
    <w:rsid w:val="003D0886"/>
    <w:rsid w:val="003D11D1"/>
    <w:rsid w:val="003D16C1"/>
    <w:rsid w:val="003D28DC"/>
    <w:rsid w:val="003D31FE"/>
    <w:rsid w:val="003D33B4"/>
    <w:rsid w:val="003D471D"/>
    <w:rsid w:val="003D4B26"/>
    <w:rsid w:val="003D4DC4"/>
    <w:rsid w:val="003D551C"/>
    <w:rsid w:val="003D6199"/>
    <w:rsid w:val="003D686B"/>
    <w:rsid w:val="003D68A5"/>
    <w:rsid w:val="003D73DF"/>
    <w:rsid w:val="003D7D7B"/>
    <w:rsid w:val="003E0010"/>
    <w:rsid w:val="003E1F89"/>
    <w:rsid w:val="003E3370"/>
    <w:rsid w:val="003E33F1"/>
    <w:rsid w:val="003E53DC"/>
    <w:rsid w:val="003E544A"/>
    <w:rsid w:val="003E5478"/>
    <w:rsid w:val="003E5562"/>
    <w:rsid w:val="003E5F0A"/>
    <w:rsid w:val="003E600D"/>
    <w:rsid w:val="003E673E"/>
    <w:rsid w:val="003E67E3"/>
    <w:rsid w:val="003E75AB"/>
    <w:rsid w:val="003E7632"/>
    <w:rsid w:val="003E7B53"/>
    <w:rsid w:val="003E7E50"/>
    <w:rsid w:val="003F07EF"/>
    <w:rsid w:val="003F086C"/>
    <w:rsid w:val="003F1593"/>
    <w:rsid w:val="003F2689"/>
    <w:rsid w:val="003F277E"/>
    <w:rsid w:val="003F3124"/>
    <w:rsid w:val="003F358D"/>
    <w:rsid w:val="003F4781"/>
    <w:rsid w:val="003F5126"/>
    <w:rsid w:val="003F596C"/>
    <w:rsid w:val="003F5A5B"/>
    <w:rsid w:val="003F5BDE"/>
    <w:rsid w:val="003F607A"/>
    <w:rsid w:val="003F6D32"/>
    <w:rsid w:val="003F6D76"/>
    <w:rsid w:val="003F73AC"/>
    <w:rsid w:val="003F76C0"/>
    <w:rsid w:val="004002CB"/>
    <w:rsid w:val="00401325"/>
    <w:rsid w:val="00401971"/>
    <w:rsid w:val="00401CCA"/>
    <w:rsid w:val="00402A79"/>
    <w:rsid w:val="00404467"/>
    <w:rsid w:val="004048E6"/>
    <w:rsid w:val="00404B1B"/>
    <w:rsid w:val="00404E6E"/>
    <w:rsid w:val="0040594F"/>
    <w:rsid w:val="00406128"/>
    <w:rsid w:val="00406370"/>
    <w:rsid w:val="004067FC"/>
    <w:rsid w:val="00406A53"/>
    <w:rsid w:val="00406CF2"/>
    <w:rsid w:val="00410023"/>
    <w:rsid w:val="00410045"/>
    <w:rsid w:val="00411128"/>
    <w:rsid w:val="004113C2"/>
    <w:rsid w:val="00411DD4"/>
    <w:rsid w:val="004124B2"/>
    <w:rsid w:val="00412C85"/>
    <w:rsid w:val="0041500B"/>
    <w:rsid w:val="00415B38"/>
    <w:rsid w:val="00415D06"/>
    <w:rsid w:val="00417474"/>
    <w:rsid w:val="004174BC"/>
    <w:rsid w:val="00417AC0"/>
    <w:rsid w:val="00420EC8"/>
    <w:rsid w:val="00421AE0"/>
    <w:rsid w:val="004220EB"/>
    <w:rsid w:val="00422368"/>
    <w:rsid w:val="00423651"/>
    <w:rsid w:val="00423AF8"/>
    <w:rsid w:val="00424558"/>
    <w:rsid w:val="00424B19"/>
    <w:rsid w:val="00424CDD"/>
    <w:rsid w:val="00425946"/>
    <w:rsid w:val="004269E3"/>
    <w:rsid w:val="00426A36"/>
    <w:rsid w:val="00426F56"/>
    <w:rsid w:val="00427142"/>
    <w:rsid w:val="00427E0E"/>
    <w:rsid w:val="0043041D"/>
    <w:rsid w:val="00430C5A"/>
    <w:rsid w:val="00431841"/>
    <w:rsid w:val="00431FD9"/>
    <w:rsid w:val="00432A3C"/>
    <w:rsid w:val="00432E4C"/>
    <w:rsid w:val="0043309A"/>
    <w:rsid w:val="00433C53"/>
    <w:rsid w:val="00433D50"/>
    <w:rsid w:val="00433FD0"/>
    <w:rsid w:val="00435115"/>
    <w:rsid w:val="004367C1"/>
    <w:rsid w:val="004370DF"/>
    <w:rsid w:val="004400B4"/>
    <w:rsid w:val="004400CF"/>
    <w:rsid w:val="00440BAD"/>
    <w:rsid w:val="004413AE"/>
    <w:rsid w:val="0044209F"/>
    <w:rsid w:val="00442D11"/>
    <w:rsid w:val="0044358F"/>
    <w:rsid w:val="004438A6"/>
    <w:rsid w:val="00443AA0"/>
    <w:rsid w:val="00443EFA"/>
    <w:rsid w:val="00444EA9"/>
    <w:rsid w:val="004463D2"/>
    <w:rsid w:val="00446744"/>
    <w:rsid w:val="00446A3E"/>
    <w:rsid w:val="00447787"/>
    <w:rsid w:val="004479D5"/>
    <w:rsid w:val="004512E0"/>
    <w:rsid w:val="00451E5F"/>
    <w:rsid w:val="004520C2"/>
    <w:rsid w:val="004531CA"/>
    <w:rsid w:val="00453401"/>
    <w:rsid w:val="004546CF"/>
    <w:rsid w:val="00455B9A"/>
    <w:rsid w:val="00456C3F"/>
    <w:rsid w:val="00457017"/>
    <w:rsid w:val="0045B5CD"/>
    <w:rsid w:val="00460DD6"/>
    <w:rsid w:val="00461561"/>
    <w:rsid w:val="004618E0"/>
    <w:rsid w:val="00461CFC"/>
    <w:rsid w:val="00462A50"/>
    <w:rsid w:val="00462BE0"/>
    <w:rsid w:val="00463314"/>
    <w:rsid w:val="0046379B"/>
    <w:rsid w:val="00463D08"/>
    <w:rsid w:val="00463FBB"/>
    <w:rsid w:val="00464548"/>
    <w:rsid w:val="00464BEE"/>
    <w:rsid w:val="0046737F"/>
    <w:rsid w:val="00470178"/>
    <w:rsid w:val="00470EAB"/>
    <w:rsid w:val="00471BC9"/>
    <w:rsid w:val="00472281"/>
    <w:rsid w:val="0047228D"/>
    <w:rsid w:val="00475BC1"/>
    <w:rsid w:val="00475C0D"/>
    <w:rsid w:val="00475EEE"/>
    <w:rsid w:val="004767FC"/>
    <w:rsid w:val="00477082"/>
    <w:rsid w:val="00480152"/>
    <w:rsid w:val="00480180"/>
    <w:rsid w:val="004802FD"/>
    <w:rsid w:val="00480FF7"/>
    <w:rsid w:val="004812CD"/>
    <w:rsid w:val="00481D54"/>
    <w:rsid w:val="00481D7F"/>
    <w:rsid w:val="00484E0C"/>
    <w:rsid w:val="00484F45"/>
    <w:rsid w:val="004859C0"/>
    <w:rsid w:val="00485FB7"/>
    <w:rsid w:val="00486605"/>
    <w:rsid w:val="004869E1"/>
    <w:rsid w:val="00487D01"/>
    <w:rsid w:val="00491439"/>
    <w:rsid w:val="004914F6"/>
    <w:rsid w:val="004921A3"/>
    <w:rsid w:val="004924CD"/>
    <w:rsid w:val="00493BC1"/>
    <w:rsid w:val="00494C53"/>
    <w:rsid w:val="00495EEE"/>
    <w:rsid w:val="00496AA4"/>
    <w:rsid w:val="00496B4A"/>
    <w:rsid w:val="00496DD1"/>
    <w:rsid w:val="004A143E"/>
    <w:rsid w:val="004A1C8A"/>
    <w:rsid w:val="004A40EF"/>
    <w:rsid w:val="004A44A2"/>
    <w:rsid w:val="004A4718"/>
    <w:rsid w:val="004A5307"/>
    <w:rsid w:val="004A58E8"/>
    <w:rsid w:val="004A5B16"/>
    <w:rsid w:val="004A6435"/>
    <w:rsid w:val="004A6B39"/>
    <w:rsid w:val="004A6BF5"/>
    <w:rsid w:val="004A750C"/>
    <w:rsid w:val="004A776A"/>
    <w:rsid w:val="004B0DBB"/>
    <w:rsid w:val="004B0FC3"/>
    <w:rsid w:val="004B1556"/>
    <w:rsid w:val="004B1A7E"/>
    <w:rsid w:val="004B2D71"/>
    <w:rsid w:val="004B300B"/>
    <w:rsid w:val="004B4EC8"/>
    <w:rsid w:val="004B58B2"/>
    <w:rsid w:val="004B7DBD"/>
    <w:rsid w:val="004C12C1"/>
    <w:rsid w:val="004C19A7"/>
    <w:rsid w:val="004C1CEE"/>
    <w:rsid w:val="004C1DFD"/>
    <w:rsid w:val="004C2ABD"/>
    <w:rsid w:val="004C37AB"/>
    <w:rsid w:val="004C4834"/>
    <w:rsid w:val="004C4C80"/>
    <w:rsid w:val="004C4DDA"/>
    <w:rsid w:val="004C51F4"/>
    <w:rsid w:val="004C69F5"/>
    <w:rsid w:val="004C6D5D"/>
    <w:rsid w:val="004C74A0"/>
    <w:rsid w:val="004C7B9F"/>
    <w:rsid w:val="004C7EB6"/>
    <w:rsid w:val="004D013C"/>
    <w:rsid w:val="004D0AD4"/>
    <w:rsid w:val="004D0B78"/>
    <w:rsid w:val="004D144C"/>
    <w:rsid w:val="004D2697"/>
    <w:rsid w:val="004D3578"/>
    <w:rsid w:val="004D36FD"/>
    <w:rsid w:val="004D4130"/>
    <w:rsid w:val="004D466E"/>
    <w:rsid w:val="004D4ABF"/>
    <w:rsid w:val="004D5572"/>
    <w:rsid w:val="004D576B"/>
    <w:rsid w:val="004D5888"/>
    <w:rsid w:val="004D65BE"/>
    <w:rsid w:val="004D65D6"/>
    <w:rsid w:val="004D6E5E"/>
    <w:rsid w:val="004D7082"/>
    <w:rsid w:val="004D77B4"/>
    <w:rsid w:val="004E0077"/>
    <w:rsid w:val="004E0D0D"/>
    <w:rsid w:val="004E10EA"/>
    <w:rsid w:val="004E1453"/>
    <w:rsid w:val="004E14D0"/>
    <w:rsid w:val="004E1C8A"/>
    <w:rsid w:val="004E1F09"/>
    <w:rsid w:val="004E21FE"/>
    <w:rsid w:val="004E279F"/>
    <w:rsid w:val="004E27AB"/>
    <w:rsid w:val="004E3191"/>
    <w:rsid w:val="004E3526"/>
    <w:rsid w:val="004E4E16"/>
    <w:rsid w:val="004E51A3"/>
    <w:rsid w:val="004E59D3"/>
    <w:rsid w:val="004E5DB6"/>
    <w:rsid w:val="004E61EA"/>
    <w:rsid w:val="004E6248"/>
    <w:rsid w:val="004E66E6"/>
    <w:rsid w:val="004E6F59"/>
    <w:rsid w:val="004E7AC2"/>
    <w:rsid w:val="004F00E5"/>
    <w:rsid w:val="004F0110"/>
    <w:rsid w:val="004F0761"/>
    <w:rsid w:val="004F0809"/>
    <w:rsid w:val="004F0FC8"/>
    <w:rsid w:val="004F2883"/>
    <w:rsid w:val="004F2BEB"/>
    <w:rsid w:val="004F3034"/>
    <w:rsid w:val="004F306D"/>
    <w:rsid w:val="004F3A04"/>
    <w:rsid w:val="004F3BFF"/>
    <w:rsid w:val="004F4858"/>
    <w:rsid w:val="004F4AF0"/>
    <w:rsid w:val="004F4E61"/>
    <w:rsid w:val="004F4FA6"/>
    <w:rsid w:val="004F57BD"/>
    <w:rsid w:val="004F6267"/>
    <w:rsid w:val="004F676E"/>
    <w:rsid w:val="0050044C"/>
    <w:rsid w:val="00500A88"/>
    <w:rsid w:val="00500E84"/>
    <w:rsid w:val="00502474"/>
    <w:rsid w:val="0050374E"/>
    <w:rsid w:val="00503F8E"/>
    <w:rsid w:val="005044A2"/>
    <w:rsid w:val="005048F2"/>
    <w:rsid w:val="00506885"/>
    <w:rsid w:val="00506B8B"/>
    <w:rsid w:val="00506EE4"/>
    <w:rsid w:val="00510478"/>
    <w:rsid w:val="005106DD"/>
    <w:rsid w:val="00511046"/>
    <w:rsid w:val="0051130F"/>
    <w:rsid w:val="00511C99"/>
    <w:rsid w:val="0051201B"/>
    <w:rsid w:val="0051228E"/>
    <w:rsid w:val="005128B2"/>
    <w:rsid w:val="00512AA3"/>
    <w:rsid w:val="005145E1"/>
    <w:rsid w:val="00514CC1"/>
    <w:rsid w:val="005159DB"/>
    <w:rsid w:val="005169DB"/>
    <w:rsid w:val="00516AA9"/>
    <w:rsid w:val="00516E34"/>
    <w:rsid w:val="00517276"/>
    <w:rsid w:val="005201CF"/>
    <w:rsid w:val="005204AB"/>
    <w:rsid w:val="00520F5D"/>
    <w:rsid w:val="005220E3"/>
    <w:rsid w:val="00522B54"/>
    <w:rsid w:val="00522EA4"/>
    <w:rsid w:val="00523560"/>
    <w:rsid w:val="0052461F"/>
    <w:rsid w:val="00524F10"/>
    <w:rsid w:val="0052683C"/>
    <w:rsid w:val="00526A28"/>
    <w:rsid w:val="00526C92"/>
    <w:rsid w:val="00527157"/>
    <w:rsid w:val="0052729F"/>
    <w:rsid w:val="00530292"/>
    <w:rsid w:val="00530DB6"/>
    <w:rsid w:val="00532094"/>
    <w:rsid w:val="0053294B"/>
    <w:rsid w:val="00532AAA"/>
    <w:rsid w:val="00533067"/>
    <w:rsid w:val="00533368"/>
    <w:rsid w:val="005336F3"/>
    <w:rsid w:val="00533743"/>
    <w:rsid w:val="00533A24"/>
    <w:rsid w:val="00533A5D"/>
    <w:rsid w:val="005341A9"/>
    <w:rsid w:val="00534326"/>
    <w:rsid w:val="00535671"/>
    <w:rsid w:val="00535DF2"/>
    <w:rsid w:val="005365B7"/>
    <w:rsid w:val="005365D3"/>
    <w:rsid w:val="00537C3D"/>
    <w:rsid w:val="00537CB5"/>
    <w:rsid w:val="00537DC5"/>
    <w:rsid w:val="0054027A"/>
    <w:rsid w:val="005406BC"/>
    <w:rsid w:val="00541127"/>
    <w:rsid w:val="0054127A"/>
    <w:rsid w:val="00541802"/>
    <w:rsid w:val="0054216E"/>
    <w:rsid w:val="00542505"/>
    <w:rsid w:val="005426D7"/>
    <w:rsid w:val="005428EF"/>
    <w:rsid w:val="00542912"/>
    <w:rsid w:val="00542F13"/>
    <w:rsid w:val="00543ADF"/>
    <w:rsid w:val="00544770"/>
    <w:rsid w:val="005448FF"/>
    <w:rsid w:val="005451F3"/>
    <w:rsid w:val="00545C31"/>
    <w:rsid w:val="00545C70"/>
    <w:rsid w:val="00545CAC"/>
    <w:rsid w:val="005466BD"/>
    <w:rsid w:val="005468E1"/>
    <w:rsid w:val="00546B2F"/>
    <w:rsid w:val="00547C35"/>
    <w:rsid w:val="005504BC"/>
    <w:rsid w:val="00551397"/>
    <w:rsid w:val="0055149A"/>
    <w:rsid w:val="005519B1"/>
    <w:rsid w:val="00552DC6"/>
    <w:rsid w:val="005550E9"/>
    <w:rsid w:val="005558BD"/>
    <w:rsid w:val="00557443"/>
    <w:rsid w:val="00557D51"/>
    <w:rsid w:val="00560CCD"/>
    <w:rsid w:val="00561ECE"/>
    <w:rsid w:val="00561FCE"/>
    <w:rsid w:val="0056244D"/>
    <w:rsid w:val="005629EC"/>
    <w:rsid w:val="0056352B"/>
    <w:rsid w:val="00563DCB"/>
    <w:rsid w:val="00563EAB"/>
    <w:rsid w:val="00564DD2"/>
    <w:rsid w:val="00564EF0"/>
    <w:rsid w:val="005665DE"/>
    <w:rsid w:val="00566F72"/>
    <w:rsid w:val="0056731E"/>
    <w:rsid w:val="00567499"/>
    <w:rsid w:val="0056749B"/>
    <w:rsid w:val="0056762B"/>
    <w:rsid w:val="005677D2"/>
    <w:rsid w:val="00567B0B"/>
    <w:rsid w:val="00571318"/>
    <w:rsid w:val="005713AB"/>
    <w:rsid w:val="00571B2A"/>
    <w:rsid w:val="00571E2B"/>
    <w:rsid w:val="00572553"/>
    <w:rsid w:val="005733D7"/>
    <w:rsid w:val="00573598"/>
    <w:rsid w:val="0057405A"/>
    <w:rsid w:val="005744CF"/>
    <w:rsid w:val="00574D44"/>
    <w:rsid w:val="005763BD"/>
    <w:rsid w:val="005768D9"/>
    <w:rsid w:val="00576B80"/>
    <w:rsid w:val="005770A2"/>
    <w:rsid w:val="0057767C"/>
    <w:rsid w:val="0057785B"/>
    <w:rsid w:val="00577AD3"/>
    <w:rsid w:val="00577F19"/>
    <w:rsid w:val="00580147"/>
    <w:rsid w:val="0058023F"/>
    <w:rsid w:val="00580E10"/>
    <w:rsid w:val="0058111B"/>
    <w:rsid w:val="00581703"/>
    <w:rsid w:val="00581761"/>
    <w:rsid w:val="005818C6"/>
    <w:rsid w:val="00581F0E"/>
    <w:rsid w:val="005824AF"/>
    <w:rsid w:val="00582DB8"/>
    <w:rsid w:val="00583250"/>
    <w:rsid w:val="005835CF"/>
    <w:rsid w:val="00583B34"/>
    <w:rsid w:val="00583F4A"/>
    <w:rsid w:val="00584394"/>
    <w:rsid w:val="0058462C"/>
    <w:rsid w:val="00585446"/>
    <w:rsid w:val="005859DB"/>
    <w:rsid w:val="00586535"/>
    <w:rsid w:val="00586633"/>
    <w:rsid w:val="00586DF2"/>
    <w:rsid w:val="0058716F"/>
    <w:rsid w:val="005875D2"/>
    <w:rsid w:val="0059076D"/>
    <w:rsid w:val="005907C3"/>
    <w:rsid w:val="0059089B"/>
    <w:rsid w:val="00591AA8"/>
    <w:rsid w:val="005922DE"/>
    <w:rsid w:val="00592BE0"/>
    <w:rsid w:val="00594781"/>
    <w:rsid w:val="00595613"/>
    <w:rsid w:val="00595C03"/>
    <w:rsid w:val="00595CA1"/>
    <w:rsid w:val="00596612"/>
    <w:rsid w:val="00596903"/>
    <w:rsid w:val="00596E1C"/>
    <w:rsid w:val="005970E7"/>
    <w:rsid w:val="0059749A"/>
    <w:rsid w:val="005976A9"/>
    <w:rsid w:val="00597AF7"/>
    <w:rsid w:val="005A0889"/>
    <w:rsid w:val="005A1119"/>
    <w:rsid w:val="005A13D0"/>
    <w:rsid w:val="005A1C06"/>
    <w:rsid w:val="005A25CC"/>
    <w:rsid w:val="005A3876"/>
    <w:rsid w:val="005A4519"/>
    <w:rsid w:val="005A5513"/>
    <w:rsid w:val="005A5BD1"/>
    <w:rsid w:val="005A76CA"/>
    <w:rsid w:val="005A790A"/>
    <w:rsid w:val="005A7DBC"/>
    <w:rsid w:val="005B0F61"/>
    <w:rsid w:val="005B11BA"/>
    <w:rsid w:val="005B1699"/>
    <w:rsid w:val="005B17E9"/>
    <w:rsid w:val="005B35F9"/>
    <w:rsid w:val="005B388F"/>
    <w:rsid w:val="005B4A0D"/>
    <w:rsid w:val="005B4E2F"/>
    <w:rsid w:val="005B5C3D"/>
    <w:rsid w:val="005B6366"/>
    <w:rsid w:val="005B6CC3"/>
    <w:rsid w:val="005B7838"/>
    <w:rsid w:val="005C0865"/>
    <w:rsid w:val="005C0C20"/>
    <w:rsid w:val="005C0CBC"/>
    <w:rsid w:val="005C1BD7"/>
    <w:rsid w:val="005C256E"/>
    <w:rsid w:val="005C2AFA"/>
    <w:rsid w:val="005C2C1F"/>
    <w:rsid w:val="005C42C1"/>
    <w:rsid w:val="005C50D1"/>
    <w:rsid w:val="005C5198"/>
    <w:rsid w:val="005C57D4"/>
    <w:rsid w:val="005C5C5C"/>
    <w:rsid w:val="005C5E5D"/>
    <w:rsid w:val="005D1A21"/>
    <w:rsid w:val="005D1DE6"/>
    <w:rsid w:val="005D2814"/>
    <w:rsid w:val="005D2BE6"/>
    <w:rsid w:val="005D2DD5"/>
    <w:rsid w:val="005D38B3"/>
    <w:rsid w:val="005D3AC2"/>
    <w:rsid w:val="005D4551"/>
    <w:rsid w:val="005D4854"/>
    <w:rsid w:val="005D4ACE"/>
    <w:rsid w:val="005D55D4"/>
    <w:rsid w:val="005D5717"/>
    <w:rsid w:val="005D6412"/>
    <w:rsid w:val="005D65F4"/>
    <w:rsid w:val="005D6AC7"/>
    <w:rsid w:val="005D6B6E"/>
    <w:rsid w:val="005D6EDE"/>
    <w:rsid w:val="005D7C47"/>
    <w:rsid w:val="005E0E63"/>
    <w:rsid w:val="005E1306"/>
    <w:rsid w:val="005E1DAF"/>
    <w:rsid w:val="005E1DCF"/>
    <w:rsid w:val="005E2067"/>
    <w:rsid w:val="005E2EF1"/>
    <w:rsid w:val="005E3678"/>
    <w:rsid w:val="005E3F8F"/>
    <w:rsid w:val="005E482C"/>
    <w:rsid w:val="005E4AEF"/>
    <w:rsid w:val="005E5BE1"/>
    <w:rsid w:val="005E5D7E"/>
    <w:rsid w:val="005E5E7A"/>
    <w:rsid w:val="005E688F"/>
    <w:rsid w:val="005E6D52"/>
    <w:rsid w:val="005E6F48"/>
    <w:rsid w:val="005E70E2"/>
    <w:rsid w:val="005E71EE"/>
    <w:rsid w:val="005E7D36"/>
    <w:rsid w:val="005F01B7"/>
    <w:rsid w:val="005F05ED"/>
    <w:rsid w:val="005F10C1"/>
    <w:rsid w:val="005F116D"/>
    <w:rsid w:val="005F1EEA"/>
    <w:rsid w:val="005F22E6"/>
    <w:rsid w:val="005F2509"/>
    <w:rsid w:val="005F282E"/>
    <w:rsid w:val="005F2AD4"/>
    <w:rsid w:val="005F39DC"/>
    <w:rsid w:val="005F3C52"/>
    <w:rsid w:val="005F4154"/>
    <w:rsid w:val="005F49E5"/>
    <w:rsid w:val="005F4FCA"/>
    <w:rsid w:val="005F5482"/>
    <w:rsid w:val="005F6B1D"/>
    <w:rsid w:val="005F7AEF"/>
    <w:rsid w:val="0060013C"/>
    <w:rsid w:val="00600440"/>
    <w:rsid w:val="00600725"/>
    <w:rsid w:val="00601205"/>
    <w:rsid w:val="00601ACF"/>
    <w:rsid w:val="00602B92"/>
    <w:rsid w:val="00602E76"/>
    <w:rsid w:val="006030EC"/>
    <w:rsid w:val="006032EF"/>
    <w:rsid w:val="006035E5"/>
    <w:rsid w:val="0060399C"/>
    <w:rsid w:val="00603C39"/>
    <w:rsid w:val="00604757"/>
    <w:rsid w:val="00605953"/>
    <w:rsid w:val="00605F41"/>
    <w:rsid w:val="00605F74"/>
    <w:rsid w:val="0060636E"/>
    <w:rsid w:val="006065CB"/>
    <w:rsid w:val="006070A2"/>
    <w:rsid w:val="006073D3"/>
    <w:rsid w:val="006104CF"/>
    <w:rsid w:val="00610D49"/>
    <w:rsid w:val="00611954"/>
    <w:rsid w:val="00611A4B"/>
    <w:rsid w:val="00612083"/>
    <w:rsid w:val="00612741"/>
    <w:rsid w:val="00612882"/>
    <w:rsid w:val="0061303C"/>
    <w:rsid w:val="006139FE"/>
    <w:rsid w:val="006149F8"/>
    <w:rsid w:val="00614BC7"/>
    <w:rsid w:val="00615815"/>
    <w:rsid w:val="006166E2"/>
    <w:rsid w:val="00616A56"/>
    <w:rsid w:val="00616B69"/>
    <w:rsid w:val="00617321"/>
    <w:rsid w:val="00617D34"/>
    <w:rsid w:val="00620575"/>
    <w:rsid w:val="00620E01"/>
    <w:rsid w:val="006211EA"/>
    <w:rsid w:val="00621F37"/>
    <w:rsid w:val="00622703"/>
    <w:rsid w:val="0062396A"/>
    <w:rsid w:val="0062484A"/>
    <w:rsid w:val="00625C82"/>
    <w:rsid w:val="006276DB"/>
    <w:rsid w:val="00630283"/>
    <w:rsid w:val="006303E2"/>
    <w:rsid w:val="00630D59"/>
    <w:rsid w:val="00631134"/>
    <w:rsid w:val="00631509"/>
    <w:rsid w:val="00631668"/>
    <w:rsid w:val="00632ECB"/>
    <w:rsid w:val="0063314B"/>
    <w:rsid w:val="00633D0A"/>
    <w:rsid w:val="00634EF3"/>
    <w:rsid w:val="00635592"/>
    <w:rsid w:val="00635695"/>
    <w:rsid w:val="006374A8"/>
    <w:rsid w:val="006405DB"/>
    <w:rsid w:val="006408D6"/>
    <w:rsid w:val="0064100B"/>
    <w:rsid w:val="0064165B"/>
    <w:rsid w:val="006419A9"/>
    <w:rsid w:val="00641E7F"/>
    <w:rsid w:val="00641F72"/>
    <w:rsid w:val="0064315A"/>
    <w:rsid w:val="006439E5"/>
    <w:rsid w:val="00644F58"/>
    <w:rsid w:val="006461A7"/>
    <w:rsid w:val="00646670"/>
    <w:rsid w:val="00646D58"/>
    <w:rsid w:val="00647EBF"/>
    <w:rsid w:val="00647F14"/>
    <w:rsid w:val="00647F2B"/>
    <w:rsid w:val="00650999"/>
    <w:rsid w:val="00650A74"/>
    <w:rsid w:val="006518B4"/>
    <w:rsid w:val="006521AF"/>
    <w:rsid w:val="0065342D"/>
    <w:rsid w:val="0065488D"/>
    <w:rsid w:val="00654CED"/>
    <w:rsid w:val="00655641"/>
    <w:rsid w:val="006560DB"/>
    <w:rsid w:val="00656124"/>
    <w:rsid w:val="006561B1"/>
    <w:rsid w:val="00656314"/>
    <w:rsid w:val="006564F0"/>
    <w:rsid w:val="006569B4"/>
    <w:rsid w:val="0065714C"/>
    <w:rsid w:val="00657641"/>
    <w:rsid w:val="00657817"/>
    <w:rsid w:val="00660B5D"/>
    <w:rsid w:val="00661105"/>
    <w:rsid w:val="00661E69"/>
    <w:rsid w:val="00662F4C"/>
    <w:rsid w:val="006631CA"/>
    <w:rsid w:val="00663495"/>
    <w:rsid w:val="00664157"/>
    <w:rsid w:val="0066437D"/>
    <w:rsid w:val="00664C64"/>
    <w:rsid w:val="00665612"/>
    <w:rsid w:val="0066725A"/>
    <w:rsid w:val="00667E61"/>
    <w:rsid w:val="00670329"/>
    <w:rsid w:val="00670D35"/>
    <w:rsid w:val="00671D1C"/>
    <w:rsid w:val="006720A9"/>
    <w:rsid w:val="00672D2F"/>
    <w:rsid w:val="006731BC"/>
    <w:rsid w:val="00673307"/>
    <w:rsid w:val="00673CEF"/>
    <w:rsid w:val="006741A2"/>
    <w:rsid w:val="00675049"/>
    <w:rsid w:val="0067522E"/>
    <w:rsid w:val="00675B9F"/>
    <w:rsid w:val="00675D8A"/>
    <w:rsid w:val="006762DF"/>
    <w:rsid w:val="006764C7"/>
    <w:rsid w:val="0067789F"/>
    <w:rsid w:val="00677D15"/>
    <w:rsid w:val="00680E00"/>
    <w:rsid w:val="006826FB"/>
    <w:rsid w:val="00682701"/>
    <w:rsid w:val="00682741"/>
    <w:rsid w:val="00682E2E"/>
    <w:rsid w:val="006832E3"/>
    <w:rsid w:val="0068351A"/>
    <w:rsid w:val="006835F7"/>
    <w:rsid w:val="0068390F"/>
    <w:rsid w:val="00683F75"/>
    <w:rsid w:val="006844C1"/>
    <w:rsid w:val="006848BA"/>
    <w:rsid w:val="0068495F"/>
    <w:rsid w:val="006852BD"/>
    <w:rsid w:val="006855E2"/>
    <w:rsid w:val="0068594D"/>
    <w:rsid w:val="00685A76"/>
    <w:rsid w:val="00686070"/>
    <w:rsid w:val="00686516"/>
    <w:rsid w:val="006867BE"/>
    <w:rsid w:val="006873E5"/>
    <w:rsid w:val="0068757C"/>
    <w:rsid w:val="006913FD"/>
    <w:rsid w:val="00692515"/>
    <w:rsid w:val="006925CE"/>
    <w:rsid w:val="00692700"/>
    <w:rsid w:val="00693171"/>
    <w:rsid w:val="006931A6"/>
    <w:rsid w:val="006931DC"/>
    <w:rsid w:val="006932E3"/>
    <w:rsid w:val="00693B4F"/>
    <w:rsid w:val="00694477"/>
    <w:rsid w:val="00695A55"/>
    <w:rsid w:val="00695BA9"/>
    <w:rsid w:val="00696320"/>
    <w:rsid w:val="0069694A"/>
    <w:rsid w:val="006969FB"/>
    <w:rsid w:val="00696C8D"/>
    <w:rsid w:val="006973DC"/>
    <w:rsid w:val="0069776E"/>
    <w:rsid w:val="00697D2D"/>
    <w:rsid w:val="006A0398"/>
    <w:rsid w:val="006A04DB"/>
    <w:rsid w:val="006A1369"/>
    <w:rsid w:val="006A185C"/>
    <w:rsid w:val="006A18AA"/>
    <w:rsid w:val="006A2C39"/>
    <w:rsid w:val="006A308F"/>
    <w:rsid w:val="006A394B"/>
    <w:rsid w:val="006A51F7"/>
    <w:rsid w:val="006A5CBA"/>
    <w:rsid w:val="006A5CF8"/>
    <w:rsid w:val="006A6AC2"/>
    <w:rsid w:val="006A6BE1"/>
    <w:rsid w:val="006A6C75"/>
    <w:rsid w:val="006A6F44"/>
    <w:rsid w:val="006A78F6"/>
    <w:rsid w:val="006A7F72"/>
    <w:rsid w:val="006B00F2"/>
    <w:rsid w:val="006B01DE"/>
    <w:rsid w:val="006B151B"/>
    <w:rsid w:val="006B3AEF"/>
    <w:rsid w:val="006B3FE4"/>
    <w:rsid w:val="006B47BF"/>
    <w:rsid w:val="006B4E94"/>
    <w:rsid w:val="006B725D"/>
    <w:rsid w:val="006B7AB8"/>
    <w:rsid w:val="006B7AF2"/>
    <w:rsid w:val="006C0933"/>
    <w:rsid w:val="006C14DB"/>
    <w:rsid w:val="006C229A"/>
    <w:rsid w:val="006C3908"/>
    <w:rsid w:val="006C3E53"/>
    <w:rsid w:val="006C5494"/>
    <w:rsid w:val="006C54FF"/>
    <w:rsid w:val="006C5AA4"/>
    <w:rsid w:val="006C62BF"/>
    <w:rsid w:val="006D0A72"/>
    <w:rsid w:val="006D0F22"/>
    <w:rsid w:val="006D1492"/>
    <w:rsid w:val="006D2685"/>
    <w:rsid w:val="006D3746"/>
    <w:rsid w:val="006D3F6D"/>
    <w:rsid w:val="006D4CFB"/>
    <w:rsid w:val="006D521E"/>
    <w:rsid w:val="006D58BB"/>
    <w:rsid w:val="006D696F"/>
    <w:rsid w:val="006D6DE6"/>
    <w:rsid w:val="006D7582"/>
    <w:rsid w:val="006D7FBC"/>
    <w:rsid w:val="006E0483"/>
    <w:rsid w:val="006E0868"/>
    <w:rsid w:val="006E143C"/>
    <w:rsid w:val="006E1F91"/>
    <w:rsid w:val="006E20ED"/>
    <w:rsid w:val="006E2409"/>
    <w:rsid w:val="006E2583"/>
    <w:rsid w:val="006E3150"/>
    <w:rsid w:val="006E3DFE"/>
    <w:rsid w:val="006E42E6"/>
    <w:rsid w:val="006E48C4"/>
    <w:rsid w:val="006E5CE4"/>
    <w:rsid w:val="006E6B34"/>
    <w:rsid w:val="006E6DE9"/>
    <w:rsid w:val="006E7A44"/>
    <w:rsid w:val="006E7D01"/>
    <w:rsid w:val="006E7EDD"/>
    <w:rsid w:val="006F003D"/>
    <w:rsid w:val="006F10BA"/>
    <w:rsid w:val="006F2500"/>
    <w:rsid w:val="006F2B77"/>
    <w:rsid w:val="006F2D3E"/>
    <w:rsid w:val="006F31AD"/>
    <w:rsid w:val="006F338D"/>
    <w:rsid w:val="006F36F3"/>
    <w:rsid w:val="006F3853"/>
    <w:rsid w:val="006F395C"/>
    <w:rsid w:val="006F3F2F"/>
    <w:rsid w:val="006F40B9"/>
    <w:rsid w:val="006F40C6"/>
    <w:rsid w:val="006F4BFC"/>
    <w:rsid w:val="006F75A8"/>
    <w:rsid w:val="006F7A8F"/>
    <w:rsid w:val="007017F0"/>
    <w:rsid w:val="00702645"/>
    <w:rsid w:val="0070315F"/>
    <w:rsid w:val="00703672"/>
    <w:rsid w:val="00704F18"/>
    <w:rsid w:val="00705FE8"/>
    <w:rsid w:val="007062CA"/>
    <w:rsid w:val="00706D56"/>
    <w:rsid w:val="0070774D"/>
    <w:rsid w:val="00707937"/>
    <w:rsid w:val="00711018"/>
    <w:rsid w:val="007115A1"/>
    <w:rsid w:val="00712C49"/>
    <w:rsid w:val="00712DA7"/>
    <w:rsid w:val="00713005"/>
    <w:rsid w:val="007134EB"/>
    <w:rsid w:val="0071581A"/>
    <w:rsid w:val="00715F0C"/>
    <w:rsid w:val="00716512"/>
    <w:rsid w:val="007165CC"/>
    <w:rsid w:val="0071724C"/>
    <w:rsid w:val="00717997"/>
    <w:rsid w:val="0072129E"/>
    <w:rsid w:val="007223C6"/>
    <w:rsid w:val="00722C48"/>
    <w:rsid w:val="00723417"/>
    <w:rsid w:val="00723748"/>
    <w:rsid w:val="00724013"/>
    <w:rsid w:val="007248F2"/>
    <w:rsid w:val="00724945"/>
    <w:rsid w:val="00724F64"/>
    <w:rsid w:val="00726D26"/>
    <w:rsid w:val="0072712F"/>
    <w:rsid w:val="007273F3"/>
    <w:rsid w:val="00731322"/>
    <w:rsid w:val="00731B20"/>
    <w:rsid w:val="00732238"/>
    <w:rsid w:val="00732B37"/>
    <w:rsid w:val="00732FDC"/>
    <w:rsid w:val="007338F9"/>
    <w:rsid w:val="007339C5"/>
    <w:rsid w:val="00733A9C"/>
    <w:rsid w:val="00734D83"/>
    <w:rsid w:val="0073544F"/>
    <w:rsid w:val="00736557"/>
    <w:rsid w:val="00737338"/>
    <w:rsid w:val="00740539"/>
    <w:rsid w:val="007415C8"/>
    <w:rsid w:val="0074166E"/>
    <w:rsid w:val="00741962"/>
    <w:rsid w:val="00741EBC"/>
    <w:rsid w:val="00742D0B"/>
    <w:rsid w:val="00743991"/>
    <w:rsid w:val="00744F73"/>
    <w:rsid w:val="00745E4E"/>
    <w:rsid w:val="007470F4"/>
    <w:rsid w:val="0074762A"/>
    <w:rsid w:val="00750FFB"/>
    <w:rsid w:val="007515D7"/>
    <w:rsid w:val="007519F5"/>
    <w:rsid w:val="0075364D"/>
    <w:rsid w:val="00753C3E"/>
    <w:rsid w:val="00753C77"/>
    <w:rsid w:val="00753D56"/>
    <w:rsid w:val="00753FA4"/>
    <w:rsid w:val="00754345"/>
    <w:rsid w:val="00754E0F"/>
    <w:rsid w:val="00755541"/>
    <w:rsid w:val="007556B3"/>
    <w:rsid w:val="0075582A"/>
    <w:rsid w:val="00755C76"/>
    <w:rsid w:val="00756143"/>
    <w:rsid w:val="00756AB8"/>
    <w:rsid w:val="00756DC7"/>
    <w:rsid w:val="007600C8"/>
    <w:rsid w:val="00760977"/>
    <w:rsid w:val="00760F95"/>
    <w:rsid w:val="007614D6"/>
    <w:rsid w:val="007619E5"/>
    <w:rsid w:val="00762767"/>
    <w:rsid w:val="0076281E"/>
    <w:rsid w:val="0076390E"/>
    <w:rsid w:val="007651C8"/>
    <w:rsid w:val="0076559B"/>
    <w:rsid w:val="007657A7"/>
    <w:rsid w:val="00765BAA"/>
    <w:rsid w:val="007668FB"/>
    <w:rsid w:val="00766992"/>
    <w:rsid w:val="00766EBC"/>
    <w:rsid w:val="0076752D"/>
    <w:rsid w:val="00767D05"/>
    <w:rsid w:val="007704B0"/>
    <w:rsid w:val="00770B01"/>
    <w:rsid w:val="00771A38"/>
    <w:rsid w:val="007726C4"/>
    <w:rsid w:val="00772FC8"/>
    <w:rsid w:val="00774943"/>
    <w:rsid w:val="007759B0"/>
    <w:rsid w:val="00775C20"/>
    <w:rsid w:val="0077616E"/>
    <w:rsid w:val="00776338"/>
    <w:rsid w:val="007764B3"/>
    <w:rsid w:val="007764E9"/>
    <w:rsid w:val="007765E1"/>
    <w:rsid w:val="00776D12"/>
    <w:rsid w:val="0077721B"/>
    <w:rsid w:val="00777F3D"/>
    <w:rsid w:val="0078002E"/>
    <w:rsid w:val="00782285"/>
    <w:rsid w:val="0078296B"/>
    <w:rsid w:val="00782D6B"/>
    <w:rsid w:val="0078329E"/>
    <w:rsid w:val="00784AD4"/>
    <w:rsid w:val="00784F89"/>
    <w:rsid w:val="00785339"/>
    <w:rsid w:val="007853B7"/>
    <w:rsid w:val="00786C44"/>
    <w:rsid w:val="00787652"/>
    <w:rsid w:val="00787887"/>
    <w:rsid w:val="007901A1"/>
    <w:rsid w:val="0079159A"/>
    <w:rsid w:val="007919ED"/>
    <w:rsid w:val="00791F9A"/>
    <w:rsid w:val="00792043"/>
    <w:rsid w:val="007926E8"/>
    <w:rsid w:val="00793159"/>
    <w:rsid w:val="00793649"/>
    <w:rsid w:val="00793770"/>
    <w:rsid w:val="0079441E"/>
    <w:rsid w:val="007949AD"/>
    <w:rsid w:val="00794FC3"/>
    <w:rsid w:val="0079571B"/>
    <w:rsid w:val="007969F7"/>
    <w:rsid w:val="00796D4C"/>
    <w:rsid w:val="007A014B"/>
    <w:rsid w:val="007A0A10"/>
    <w:rsid w:val="007A16CC"/>
    <w:rsid w:val="007A179F"/>
    <w:rsid w:val="007A2545"/>
    <w:rsid w:val="007A2834"/>
    <w:rsid w:val="007A2A32"/>
    <w:rsid w:val="007A3356"/>
    <w:rsid w:val="007A3984"/>
    <w:rsid w:val="007A3A5A"/>
    <w:rsid w:val="007A40F1"/>
    <w:rsid w:val="007A4412"/>
    <w:rsid w:val="007A44C8"/>
    <w:rsid w:val="007A4697"/>
    <w:rsid w:val="007A46C0"/>
    <w:rsid w:val="007A49C7"/>
    <w:rsid w:val="007A51AF"/>
    <w:rsid w:val="007A5460"/>
    <w:rsid w:val="007A5DE4"/>
    <w:rsid w:val="007A6DCF"/>
    <w:rsid w:val="007A7006"/>
    <w:rsid w:val="007A71EC"/>
    <w:rsid w:val="007A74DF"/>
    <w:rsid w:val="007A76C0"/>
    <w:rsid w:val="007A78C1"/>
    <w:rsid w:val="007A7F87"/>
    <w:rsid w:val="007B0719"/>
    <w:rsid w:val="007B0A4C"/>
    <w:rsid w:val="007B0E3B"/>
    <w:rsid w:val="007B100F"/>
    <w:rsid w:val="007B1FA3"/>
    <w:rsid w:val="007B201D"/>
    <w:rsid w:val="007B2542"/>
    <w:rsid w:val="007B2E6C"/>
    <w:rsid w:val="007B4AAB"/>
    <w:rsid w:val="007B7188"/>
    <w:rsid w:val="007B7E77"/>
    <w:rsid w:val="007C008C"/>
    <w:rsid w:val="007C0688"/>
    <w:rsid w:val="007C0A0E"/>
    <w:rsid w:val="007C12FA"/>
    <w:rsid w:val="007C1E04"/>
    <w:rsid w:val="007C2860"/>
    <w:rsid w:val="007C286E"/>
    <w:rsid w:val="007C2B5D"/>
    <w:rsid w:val="007C3F8E"/>
    <w:rsid w:val="007C40B8"/>
    <w:rsid w:val="007C45B0"/>
    <w:rsid w:val="007C53F0"/>
    <w:rsid w:val="007C56A3"/>
    <w:rsid w:val="007C6C12"/>
    <w:rsid w:val="007C6D74"/>
    <w:rsid w:val="007C6E4B"/>
    <w:rsid w:val="007C715D"/>
    <w:rsid w:val="007C776E"/>
    <w:rsid w:val="007C7A97"/>
    <w:rsid w:val="007D059A"/>
    <w:rsid w:val="007D07E9"/>
    <w:rsid w:val="007D17D8"/>
    <w:rsid w:val="007D185B"/>
    <w:rsid w:val="007D2948"/>
    <w:rsid w:val="007D34FC"/>
    <w:rsid w:val="007D38C9"/>
    <w:rsid w:val="007D3EEB"/>
    <w:rsid w:val="007D3F5A"/>
    <w:rsid w:val="007D492C"/>
    <w:rsid w:val="007D51D5"/>
    <w:rsid w:val="007D5AB7"/>
    <w:rsid w:val="007D6ADD"/>
    <w:rsid w:val="007E01C2"/>
    <w:rsid w:val="007E03D7"/>
    <w:rsid w:val="007E0402"/>
    <w:rsid w:val="007E1878"/>
    <w:rsid w:val="007E1B9E"/>
    <w:rsid w:val="007E2064"/>
    <w:rsid w:val="007E23CF"/>
    <w:rsid w:val="007E29D3"/>
    <w:rsid w:val="007E2B8A"/>
    <w:rsid w:val="007E38F3"/>
    <w:rsid w:val="007E46D3"/>
    <w:rsid w:val="007E5305"/>
    <w:rsid w:val="007E61C2"/>
    <w:rsid w:val="007E665F"/>
    <w:rsid w:val="007E75AF"/>
    <w:rsid w:val="007E77B2"/>
    <w:rsid w:val="007E7A63"/>
    <w:rsid w:val="007F0163"/>
    <w:rsid w:val="007F0784"/>
    <w:rsid w:val="007F0D66"/>
    <w:rsid w:val="007F13D1"/>
    <w:rsid w:val="007F2DD3"/>
    <w:rsid w:val="007F3051"/>
    <w:rsid w:val="007F309E"/>
    <w:rsid w:val="007F3819"/>
    <w:rsid w:val="007F3BA0"/>
    <w:rsid w:val="007F4A3F"/>
    <w:rsid w:val="007F4DC9"/>
    <w:rsid w:val="007F52B5"/>
    <w:rsid w:val="007F664D"/>
    <w:rsid w:val="007F66A4"/>
    <w:rsid w:val="007F6DEF"/>
    <w:rsid w:val="007F6F15"/>
    <w:rsid w:val="007F7010"/>
    <w:rsid w:val="007F75E7"/>
    <w:rsid w:val="007F7678"/>
    <w:rsid w:val="007F7E4E"/>
    <w:rsid w:val="00801E57"/>
    <w:rsid w:val="00803420"/>
    <w:rsid w:val="00803E2B"/>
    <w:rsid w:val="00803EA6"/>
    <w:rsid w:val="008040C3"/>
    <w:rsid w:val="0080411D"/>
    <w:rsid w:val="00804A89"/>
    <w:rsid w:val="00805A00"/>
    <w:rsid w:val="00805BD3"/>
    <w:rsid w:val="00806902"/>
    <w:rsid w:val="008069C2"/>
    <w:rsid w:val="00810455"/>
    <w:rsid w:val="008109EC"/>
    <w:rsid w:val="00810EA5"/>
    <w:rsid w:val="00811906"/>
    <w:rsid w:val="00811F24"/>
    <w:rsid w:val="00812755"/>
    <w:rsid w:val="00812BCE"/>
    <w:rsid w:val="0081457C"/>
    <w:rsid w:val="00814641"/>
    <w:rsid w:val="0081486C"/>
    <w:rsid w:val="008148E8"/>
    <w:rsid w:val="00814D6D"/>
    <w:rsid w:val="00814EC7"/>
    <w:rsid w:val="0081551A"/>
    <w:rsid w:val="008163D1"/>
    <w:rsid w:val="0081700F"/>
    <w:rsid w:val="00817AAE"/>
    <w:rsid w:val="00817D62"/>
    <w:rsid w:val="008214B3"/>
    <w:rsid w:val="00821A68"/>
    <w:rsid w:val="00822DCF"/>
    <w:rsid w:val="00823439"/>
    <w:rsid w:val="00823CAB"/>
    <w:rsid w:val="00823EC7"/>
    <w:rsid w:val="0082554A"/>
    <w:rsid w:val="00825860"/>
    <w:rsid w:val="008263A9"/>
    <w:rsid w:val="00826440"/>
    <w:rsid w:val="0082645B"/>
    <w:rsid w:val="00826AF1"/>
    <w:rsid w:val="00826B44"/>
    <w:rsid w:val="00826B57"/>
    <w:rsid w:val="00826E4F"/>
    <w:rsid w:val="00827405"/>
    <w:rsid w:val="00827E07"/>
    <w:rsid w:val="008304DD"/>
    <w:rsid w:val="00830595"/>
    <w:rsid w:val="00830A16"/>
    <w:rsid w:val="00831184"/>
    <w:rsid w:val="008327B9"/>
    <w:rsid w:val="008351B3"/>
    <w:rsid w:val="00835291"/>
    <w:rsid w:val="00835B1A"/>
    <w:rsid w:val="00836FA9"/>
    <w:rsid w:val="00837748"/>
    <w:rsid w:val="008378A2"/>
    <w:rsid w:val="00837D55"/>
    <w:rsid w:val="00840A3F"/>
    <w:rsid w:val="00842683"/>
    <w:rsid w:val="00843AC8"/>
    <w:rsid w:val="008445DE"/>
    <w:rsid w:val="008447FE"/>
    <w:rsid w:val="0084531A"/>
    <w:rsid w:val="00845759"/>
    <w:rsid w:val="008464B7"/>
    <w:rsid w:val="00846FC2"/>
    <w:rsid w:val="00846FCE"/>
    <w:rsid w:val="00847A3B"/>
    <w:rsid w:val="00850496"/>
    <w:rsid w:val="0085137F"/>
    <w:rsid w:val="0085206F"/>
    <w:rsid w:val="008525BB"/>
    <w:rsid w:val="008527C6"/>
    <w:rsid w:val="008534FB"/>
    <w:rsid w:val="008542D9"/>
    <w:rsid w:val="00855BB0"/>
    <w:rsid w:val="00856A16"/>
    <w:rsid w:val="008579B5"/>
    <w:rsid w:val="00857CD2"/>
    <w:rsid w:val="00860D79"/>
    <w:rsid w:val="00861181"/>
    <w:rsid w:val="008620E9"/>
    <w:rsid w:val="008625B8"/>
    <w:rsid w:val="00862C82"/>
    <w:rsid w:val="00863402"/>
    <w:rsid w:val="00863DDA"/>
    <w:rsid w:val="008653A1"/>
    <w:rsid w:val="00865611"/>
    <w:rsid w:val="00866870"/>
    <w:rsid w:val="00867304"/>
    <w:rsid w:val="00867A19"/>
    <w:rsid w:val="00870778"/>
    <w:rsid w:val="00873C79"/>
    <w:rsid w:val="00873D35"/>
    <w:rsid w:val="008746B7"/>
    <w:rsid w:val="008753F2"/>
    <w:rsid w:val="00876531"/>
    <w:rsid w:val="0087664A"/>
    <w:rsid w:val="00876FFF"/>
    <w:rsid w:val="0087726B"/>
    <w:rsid w:val="00877710"/>
    <w:rsid w:val="00877A04"/>
    <w:rsid w:val="00877B27"/>
    <w:rsid w:val="00877C53"/>
    <w:rsid w:val="00877CDC"/>
    <w:rsid w:val="00882211"/>
    <w:rsid w:val="0088295F"/>
    <w:rsid w:val="00882EBB"/>
    <w:rsid w:val="00882FBE"/>
    <w:rsid w:val="008839DC"/>
    <w:rsid w:val="00883D78"/>
    <w:rsid w:val="0088474E"/>
    <w:rsid w:val="00884E0B"/>
    <w:rsid w:val="00885740"/>
    <w:rsid w:val="00886445"/>
    <w:rsid w:val="00886447"/>
    <w:rsid w:val="00886817"/>
    <w:rsid w:val="00887949"/>
    <w:rsid w:val="00890786"/>
    <w:rsid w:val="00890F85"/>
    <w:rsid w:val="00891975"/>
    <w:rsid w:val="00891C37"/>
    <w:rsid w:val="008926A5"/>
    <w:rsid w:val="0089290F"/>
    <w:rsid w:val="0089330D"/>
    <w:rsid w:val="00893E80"/>
    <w:rsid w:val="00893EAB"/>
    <w:rsid w:val="008963C5"/>
    <w:rsid w:val="00896ECF"/>
    <w:rsid w:val="008976D6"/>
    <w:rsid w:val="008A017F"/>
    <w:rsid w:val="008A0C6F"/>
    <w:rsid w:val="008A1296"/>
    <w:rsid w:val="008A1312"/>
    <w:rsid w:val="008A3207"/>
    <w:rsid w:val="008A3E21"/>
    <w:rsid w:val="008A3E33"/>
    <w:rsid w:val="008A4C6D"/>
    <w:rsid w:val="008A50BB"/>
    <w:rsid w:val="008A5A97"/>
    <w:rsid w:val="008A6C99"/>
    <w:rsid w:val="008A7238"/>
    <w:rsid w:val="008A7EDC"/>
    <w:rsid w:val="008B0626"/>
    <w:rsid w:val="008B077E"/>
    <w:rsid w:val="008B0D4B"/>
    <w:rsid w:val="008B175A"/>
    <w:rsid w:val="008B2705"/>
    <w:rsid w:val="008B2F38"/>
    <w:rsid w:val="008B4D8C"/>
    <w:rsid w:val="008B6DBF"/>
    <w:rsid w:val="008B7371"/>
    <w:rsid w:val="008B7F71"/>
    <w:rsid w:val="008B7F97"/>
    <w:rsid w:val="008C0ECA"/>
    <w:rsid w:val="008C1330"/>
    <w:rsid w:val="008C158E"/>
    <w:rsid w:val="008C1689"/>
    <w:rsid w:val="008C336F"/>
    <w:rsid w:val="008C4471"/>
    <w:rsid w:val="008C4852"/>
    <w:rsid w:val="008C4CA9"/>
    <w:rsid w:val="008C5128"/>
    <w:rsid w:val="008C5158"/>
    <w:rsid w:val="008C6537"/>
    <w:rsid w:val="008C7644"/>
    <w:rsid w:val="008C7F13"/>
    <w:rsid w:val="008D017A"/>
    <w:rsid w:val="008D133A"/>
    <w:rsid w:val="008D1C9B"/>
    <w:rsid w:val="008D25E3"/>
    <w:rsid w:val="008D2C12"/>
    <w:rsid w:val="008D33F6"/>
    <w:rsid w:val="008D3459"/>
    <w:rsid w:val="008D38B3"/>
    <w:rsid w:val="008D53CC"/>
    <w:rsid w:val="008D5813"/>
    <w:rsid w:val="008D5963"/>
    <w:rsid w:val="008D59E2"/>
    <w:rsid w:val="008D59F1"/>
    <w:rsid w:val="008D5B36"/>
    <w:rsid w:val="008D624B"/>
    <w:rsid w:val="008D6400"/>
    <w:rsid w:val="008D697A"/>
    <w:rsid w:val="008D6A7B"/>
    <w:rsid w:val="008D719B"/>
    <w:rsid w:val="008D7DBA"/>
    <w:rsid w:val="008E0C30"/>
    <w:rsid w:val="008E1CC4"/>
    <w:rsid w:val="008E1E13"/>
    <w:rsid w:val="008E244A"/>
    <w:rsid w:val="008E34B6"/>
    <w:rsid w:val="008E371D"/>
    <w:rsid w:val="008E409C"/>
    <w:rsid w:val="008E456E"/>
    <w:rsid w:val="008E531E"/>
    <w:rsid w:val="008E7606"/>
    <w:rsid w:val="008E79ED"/>
    <w:rsid w:val="008F0B5A"/>
    <w:rsid w:val="008F13AC"/>
    <w:rsid w:val="008F14DF"/>
    <w:rsid w:val="008F231D"/>
    <w:rsid w:val="008F2A6D"/>
    <w:rsid w:val="008F438B"/>
    <w:rsid w:val="008F4AD3"/>
    <w:rsid w:val="008F507B"/>
    <w:rsid w:val="008F6BC9"/>
    <w:rsid w:val="009004F7"/>
    <w:rsid w:val="009009B5"/>
    <w:rsid w:val="00900F58"/>
    <w:rsid w:val="00901149"/>
    <w:rsid w:val="00902F39"/>
    <w:rsid w:val="00903217"/>
    <w:rsid w:val="00903855"/>
    <w:rsid w:val="009038BE"/>
    <w:rsid w:val="009042A1"/>
    <w:rsid w:val="00904917"/>
    <w:rsid w:val="00904B01"/>
    <w:rsid w:val="00904FAE"/>
    <w:rsid w:val="009052F1"/>
    <w:rsid w:val="00905361"/>
    <w:rsid w:val="0090588D"/>
    <w:rsid w:val="00905C0D"/>
    <w:rsid w:val="00905C40"/>
    <w:rsid w:val="0090646B"/>
    <w:rsid w:val="00906D6A"/>
    <w:rsid w:val="009103A7"/>
    <w:rsid w:val="00910958"/>
    <w:rsid w:val="0091186D"/>
    <w:rsid w:val="00911AD9"/>
    <w:rsid w:val="0091241A"/>
    <w:rsid w:val="009129A0"/>
    <w:rsid w:val="00912D54"/>
    <w:rsid w:val="0091355C"/>
    <w:rsid w:val="0091362B"/>
    <w:rsid w:val="00914AE2"/>
    <w:rsid w:val="00915EF2"/>
    <w:rsid w:val="0091684A"/>
    <w:rsid w:val="00916A36"/>
    <w:rsid w:val="00917202"/>
    <w:rsid w:val="0092043C"/>
    <w:rsid w:val="00920929"/>
    <w:rsid w:val="009210A5"/>
    <w:rsid w:val="009223B7"/>
    <w:rsid w:val="00922496"/>
    <w:rsid w:val="00923011"/>
    <w:rsid w:val="009232DA"/>
    <w:rsid w:val="009237B8"/>
    <w:rsid w:val="00924085"/>
    <w:rsid w:val="009241D1"/>
    <w:rsid w:val="00924D82"/>
    <w:rsid w:val="00925156"/>
    <w:rsid w:val="00925BB4"/>
    <w:rsid w:val="00925DDD"/>
    <w:rsid w:val="00925F33"/>
    <w:rsid w:val="009300BF"/>
    <w:rsid w:val="0093063D"/>
    <w:rsid w:val="00931FDE"/>
    <w:rsid w:val="009321D4"/>
    <w:rsid w:val="00932211"/>
    <w:rsid w:val="009325F1"/>
    <w:rsid w:val="00932702"/>
    <w:rsid w:val="00932806"/>
    <w:rsid w:val="00932EEE"/>
    <w:rsid w:val="009332EB"/>
    <w:rsid w:val="00933973"/>
    <w:rsid w:val="00933ACE"/>
    <w:rsid w:val="00933D0C"/>
    <w:rsid w:val="00934368"/>
    <w:rsid w:val="00934505"/>
    <w:rsid w:val="00934B3A"/>
    <w:rsid w:val="00935153"/>
    <w:rsid w:val="009359B2"/>
    <w:rsid w:val="00936846"/>
    <w:rsid w:val="009374AC"/>
    <w:rsid w:val="00937554"/>
    <w:rsid w:val="009404AF"/>
    <w:rsid w:val="0094073B"/>
    <w:rsid w:val="00940FBD"/>
    <w:rsid w:val="00941133"/>
    <w:rsid w:val="009411BE"/>
    <w:rsid w:val="009411E7"/>
    <w:rsid w:val="00942B96"/>
    <w:rsid w:val="00942E8C"/>
    <w:rsid w:val="00943CE1"/>
    <w:rsid w:val="00943E1C"/>
    <w:rsid w:val="00944569"/>
    <w:rsid w:val="00944C93"/>
    <w:rsid w:val="00945469"/>
    <w:rsid w:val="00945D20"/>
    <w:rsid w:val="00945DA7"/>
    <w:rsid w:val="00945E83"/>
    <w:rsid w:val="00946223"/>
    <w:rsid w:val="00946636"/>
    <w:rsid w:val="00947654"/>
    <w:rsid w:val="00947B6F"/>
    <w:rsid w:val="00947EB2"/>
    <w:rsid w:val="00950186"/>
    <w:rsid w:val="009513D3"/>
    <w:rsid w:val="0095223D"/>
    <w:rsid w:val="00952401"/>
    <w:rsid w:val="0095249E"/>
    <w:rsid w:val="00952993"/>
    <w:rsid w:val="009531B5"/>
    <w:rsid w:val="00953637"/>
    <w:rsid w:val="00953D5B"/>
    <w:rsid w:val="00953ED7"/>
    <w:rsid w:val="00954173"/>
    <w:rsid w:val="00954424"/>
    <w:rsid w:val="0095486F"/>
    <w:rsid w:val="00954CEA"/>
    <w:rsid w:val="0095561B"/>
    <w:rsid w:val="00955B1F"/>
    <w:rsid w:val="00955F04"/>
    <w:rsid w:val="00956432"/>
    <w:rsid w:val="00956D4B"/>
    <w:rsid w:val="00956F56"/>
    <w:rsid w:val="009572A7"/>
    <w:rsid w:val="009572EE"/>
    <w:rsid w:val="009575D7"/>
    <w:rsid w:val="009602A8"/>
    <w:rsid w:val="00961FE6"/>
    <w:rsid w:val="00963841"/>
    <w:rsid w:val="00963E2E"/>
    <w:rsid w:val="00964597"/>
    <w:rsid w:val="00965124"/>
    <w:rsid w:val="00965F20"/>
    <w:rsid w:val="00967499"/>
    <w:rsid w:val="00967653"/>
    <w:rsid w:val="00967659"/>
    <w:rsid w:val="00967C01"/>
    <w:rsid w:val="00970675"/>
    <w:rsid w:val="00970F27"/>
    <w:rsid w:val="0097115E"/>
    <w:rsid w:val="00971617"/>
    <w:rsid w:val="00971707"/>
    <w:rsid w:val="00971BD8"/>
    <w:rsid w:val="0097344F"/>
    <w:rsid w:val="0097362D"/>
    <w:rsid w:val="00973D0A"/>
    <w:rsid w:val="009743E8"/>
    <w:rsid w:val="00974938"/>
    <w:rsid w:val="00975C09"/>
    <w:rsid w:val="00980947"/>
    <w:rsid w:val="00980F8B"/>
    <w:rsid w:val="00981545"/>
    <w:rsid w:val="009815FD"/>
    <w:rsid w:val="00982680"/>
    <w:rsid w:val="009841F8"/>
    <w:rsid w:val="00984473"/>
    <w:rsid w:val="00985D75"/>
    <w:rsid w:val="009866DB"/>
    <w:rsid w:val="00986914"/>
    <w:rsid w:val="009876F3"/>
    <w:rsid w:val="00987AF4"/>
    <w:rsid w:val="0099031D"/>
    <w:rsid w:val="00991183"/>
    <w:rsid w:val="0099131D"/>
    <w:rsid w:val="00991B3D"/>
    <w:rsid w:val="009921F1"/>
    <w:rsid w:val="009935C8"/>
    <w:rsid w:val="0099629C"/>
    <w:rsid w:val="009967C5"/>
    <w:rsid w:val="00996A8F"/>
    <w:rsid w:val="00996B57"/>
    <w:rsid w:val="00996DF8"/>
    <w:rsid w:val="009973F8"/>
    <w:rsid w:val="00997546"/>
    <w:rsid w:val="00997E63"/>
    <w:rsid w:val="0099DCBE"/>
    <w:rsid w:val="009A0449"/>
    <w:rsid w:val="009A086E"/>
    <w:rsid w:val="009A0A39"/>
    <w:rsid w:val="009A0B65"/>
    <w:rsid w:val="009A0E89"/>
    <w:rsid w:val="009A1890"/>
    <w:rsid w:val="009A19A8"/>
    <w:rsid w:val="009A2099"/>
    <w:rsid w:val="009A2FBB"/>
    <w:rsid w:val="009A35C8"/>
    <w:rsid w:val="009A373C"/>
    <w:rsid w:val="009A38FA"/>
    <w:rsid w:val="009A4085"/>
    <w:rsid w:val="009A45D5"/>
    <w:rsid w:val="009A5436"/>
    <w:rsid w:val="009A55EC"/>
    <w:rsid w:val="009A57A6"/>
    <w:rsid w:val="009A5EA4"/>
    <w:rsid w:val="009A6922"/>
    <w:rsid w:val="009A6AAF"/>
    <w:rsid w:val="009A761E"/>
    <w:rsid w:val="009B0041"/>
    <w:rsid w:val="009B0348"/>
    <w:rsid w:val="009B04CB"/>
    <w:rsid w:val="009B05B6"/>
    <w:rsid w:val="009B1A70"/>
    <w:rsid w:val="009B1BED"/>
    <w:rsid w:val="009B23E5"/>
    <w:rsid w:val="009B2BFB"/>
    <w:rsid w:val="009B2C62"/>
    <w:rsid w:val="009B2FDA"/>
    <w:rsid w:val="009B3821"/>
    <w:rsid w:val="009B3D9D"/>
    <w:rsid w:val="009B5CAA"/>
    <w:rsid w:val="009C00B5"/>
    <w:rsid w:val="009C018E"/>
    <w:rsid w:val="009C0263"/>
    <w:rsid w:val="009C05DB"/>
    <w:rsid w:val="009C0B2A"/>
    <w:rsid w:val="009C0C6F"/>
    <w:rsid w:val="009C0EDF"/>
    <w:rsid w:val="009C13FA"/>
    <w:rsid w:val="009C1680"/>
    <w:rsid w:val="009C1871"/>
    <w:rsid w:val="009C1875"/>
    <w:rsid w:val="009C21C1"/>
    <w:rsid w:val="009C229F"/>
    <w:rsid w:val="009C27E8"/>
    <w:rsid w:val="009C30D1"/>
    <w:rsid w:val="009C35F9"/>
    <w:rsid w:val="009C3EC5"/>
    <w:rsid w:val="009C5969"/>
    <w:rsid w:val="009C63D0"/>
    <w:rsid w:val="009C6962"/>
    <w:rsid w:val="009C706D"/>
    <w:rsid w:val="009C7137"/>
    <w:rsid w:val="009C71D4"/>
    <w:rsid w:val="009C798E"/>
    <w:rsid w:val="009D0FDC"/>
    <w:rsid w:val="009D104B"/>
    <w:rsid w:val="009D188C"/>
    <w:rsid w:val="009D1FDC"/>
    <w:rsid w:val="009D2061"/>
    <w:rsid w:val="009D2976"/>
    <w:rsid w:val="009D33B8"/>
    <w:rsid w:val="009D359E"/>
    <w:rsid w:val="009D3853"/>
    <w:rsid w:val="009D40F4"/>
    <w:rsid w:val="009D5C9A"/>
    <w:rsid w:val="009D5FBB"/>
    <w:rsid w:val="009D62D4"/>
    <w:rsid w:val="009D6EA4"/>
    <w:rsid w:val="009D7124"/>
    <w:rsid w:val="009D7F1E"/>
    <w:rsid w:val="009D7F73"/>
    <w:rsid w:val="009E0086"/>
    <w:rsid w:val="009E0E5C"/>
    <w:rsid w:val="009E12B3"/>
    <w:rsid w:val="009E175F"/>
    <w:rsid w:val="009E2367"/>
    <w:rsid w:val="009E294D"/>
    <w:rsid w:val="009E29EB"/>
    <w:rsid w:val="009E2B51"/>
    <w:rsid w:val="009E3789"/>
    <w:rsid w:val="009E3A09"/>
    <w:rsid w:val="009E3B91"/>
    <w:rsid w:val="009E3F66"/>
    <w:rsid w:val="009E48C5"/>
    <w:rsid w:val="009E4B70"/>
    <w:rsid w:val="009E5012"/>
    <w:rsid w:val="009E509F"/>
    <w:rsid w:val="009E557E"/>
    <w:rsid w:val="009F0957"/>
    <w:rsid w:val="009F1582"/>
    <w:rsid w:val="009F1805"/>
    <w:rsid w:val="009F1D96"/>
    <w:rsid w:val="009F27B2"/>
    <w:rsid w:val="009F2938"/>
    <w:rsid w:val="009F2BA1"/>
    <w:rsid w:val="009F56DF"/>
    <w:rsid w:val="009F6143"/>
    <w:rsid w:val="009F647E"/>
    <w:rsid w:val="009F7964"/>
    <w:rsid w:val="009F7BA5"/>
    <w:rsid w:val="009F7F1D"/>
    <w:rsid w:val="00A01683"/>
    <w:rsid w:val="00A01928"/>
    <w:rsid w:val="00A01CFC"/>
    <w:rsid w:val="00A023DC"/>
    <w:rsid w:val="00A037F5"/>
    <w:rsid w:val="00A03D06"/>
    <w:rsid w:val="00A046C7"/>
    <w:rsid w:val="00A06832"/>
    <w:rsid w:val="00A06E44"/>
    <w:rsid w:val="00A07233"/>
    <w:rsid w:val="00A076B1"/>
    <w:rsid w:val="00A07BB7"/>
    <w:rsid w:val="00A07D41"/>
    <w:rsid w:val="00A07E4A"/>
    <w:rsid w:val="00A10A7F"/>
    <w:rsid w:val="00A10D88"/>
    <w:rsid w:val="00A10EF2"/>
    <w:rsid w:val="00A1182E"/>
    <w:rsid w:val="00A122D8"/>
    <w:rsid w:val="00A12B60"/>
    <w:rsid w:val="00A13F12"/>
    <w:rsid w:val="00A15A86"/>
    <w:rsid w:val="00A15E5F"/>
    <w:rsid w:val="00A160D4"/>
    <w:rsid w:val="00A160F1"/>
    <w:rsid w:val="00A16125"/>
    <w:rsid w:val="00A164F6"/>
    <w:rsid w:val="00A16B85"/>
    <w:rsid w:val="00A171C5"/>
    <w:rsid w:val="00A17258"/>
    <w:rsid w:val="00A17BF9"/>
    <w:rsid w:val="00A20E5C"/>
    <w:rsid w:val="00A21977"/>
    <w:rsid w:val="00A220F1"/>
    <w:rsid w:val="00A2367F"/>
    <w:rsid w:val="00A2371D"/>
    <w:rsid w:val="00A24A95"/>
    <w:rsid w:val="00A24E28"/>
    <w:rsid w:val="00A25283"/>
    <w:rsid w:val="00A259FA"/>
    <w:rsid w:val="00A272D9"/>
    <w:rsid w:val="00A2737B"/>
    <w:rsid w:val="00A275A3"/>
    <w:rsid w:val="00A2799C"/>
    <w:rsid w:val="00A3031F"/>
    <w:rsid w:val="00A307DA"/>
    <w:rsid w:val="00A30B04"/>
    <w:rsid w:val="00A30B20"/>
    <w:rsid w:val="00A30DEA"/>
    <w:rsid w:val="00A31AA9"/>
    <w:rsid w:val="00A32184"/>
    <w:rsid w:val="00A32820"/>
    <w:rsid w:val="00A32A25"/>
    <w:rsid w:val="00A338CF"/>
    <w:rsid w:val="00A3426D"/>
    <w:rsid w:val="00A3468D"/>
    <w:rsid w:val="00A346BC"/>
    <w:rsid w:val="00A348DC"/>
    <w:rsid w:val="00A3494D"/>
    <w:rsid w:val="00A3535D"/>
    <w:rsid w:val="00A358C3"/>
    <w:rsid w:val="00A358F2"/>
    <w:rsid w:val="00A37251"/>
    <w:rsid w:val="00A37DBB"/>
    <w:rsid w:val="00A40E38"/>
    <w:rsid w:val="00A4191E"/>
    <w:rsid w:val="00A424EA"/>
    <w:rsid w:val="00A42A8E"/>
    <w:rsid w:val="00A42D3E"/>
    <w:rsid w:val="00A43189"/>
    <w:rsid w:val="00A43489"/>
    <w:rsid w:val="00A43844"/>
    <w:rsid w:val="00A43C9B"/>
    <w:rsid w:val="00A43E59"/>
    <w:rsid w:val="00A440B0"/>
    <w:rsid w:val="00A44FE0"/>
    <w:rsid w:val="00A45F04"/>
    <w:rsid w:val="00A463B7"/>
    <w:rsid w:val="00A46A15"/>
    <w:rsid w:val="00A472C2"/>
    <w:rsid w:val="00A5062C"/>
    <w:rsid w:val="00A53FC6"/>
    <w:rsid w:val="00A540BC"/>
    <w:rsid w:val="00A54697"/>
    <w:rsid w:val="00A54921"/>
    <w:rsid w:val="00A55205"/>
    <w:rsid w:val="00A55396"/>
    <w:rsid w:val="00A55684"/>
    <w:rsid w:val="00A55F76"/>
    <w:rsid w:val="00A610BD"/>
    <w:rsid w:val="00A63663"/>
    <w:rsid w:val="00A63F00"/>
    <w:rsid w:val="00A6490A"/>
    <w:rsid w:val="00A64E61"/>
    <w:rsid w:val="00A654D8"/>
    <w:rsid w:val="00A65CE5"/>
    <w:rsid w:val="00A65FBB"/>
    <w:rsid w:val="00A6647C"/>
    <w:rsid w:val="00A664CA"/>
    <w:rsid w:val="00A66787"/>
    <w:rsid w:val="00A7176A"/>
    <w:rsid w:val="00A7178E"/>
    <w:rsid w:val="00A725BF"/>
    <w:rsid w:val="00A73CB4"/>
    <w:rsid w:val="00A7538F"/>
    <w:rsid w:val="00A75736"/>
    <w:rsid w:val="00A75D8A"/>
    <w:rsid w:val="00A768BC"/>
    <w:rsid w:val="00A76D09"/>
    <w:rsid w:val="00A80584"/>
    <w:rsid w:val="00A8069E"/>
    <w:rsid w:val="00A81435"/>
    <w:rsid w:val="00A828EF"/>
    <w:rsid w:val="00A8303C"/>
    <w:rsid w:val="00A8390F"/>
    <w:rsid w:val="00A83B87"/>
    <w:rsid w:val="00A83E25"/>
    <w:rsid w:val="00A848B5"/>
    <w:rsid w:val="00A8561E"/>
    <w:rsid w:val="00A858A2"/>
    <w:rsid w:val="00A87A7D"/>
    <w:rsid w:val="00A900C7"/>
    <w:rsid w:val="00A9032A"/>
    <w:rsid w:val="00A9135C"/>
    <w:rsid w:val="00A91633"/>
    <w:rsid w:val="00A91FF1"/>
    <w:rsid w:val="00A934EA"/>
    <w:rsid w:val="00A93912"/>
    <w:rsid w:val="00A955B2"/>
    <w:rsid w:val="00A958DA"/>
    <w:rsid w:val="00A95B21"/>
    <w:rsid w:val="00A95E36"/>
    <w:rsid w:val="00A96AE6"/>
    <w:rsid w:val="00A973DF"/>
    <w:rsid w:val="00A97F8B"/>
    <w:rsid w:val="00AA0763"/>
    <w:rsid w:val="00AA1F93"/>
    <w:rsid w:val="00AA2D81"/>
    <w:rsid w:val="00AA3D6C"/>
    <w:rsid w:val="00AA45AC"/>
    <w:rsid w:val="00AA4CEC"/>
    <w:rsid w:val="00AA5016"/>
    <w:rsid w:val="00AA5A14"/>
    <w:rsid w:val="00AA5D46"/>
    <w:rsid w:val="00AA65EE"/>
    <w:rsid w:val="00AA7281"/>
    <w:rsid w:val="00AA7BAA"/>
    <w:rsid w:val="00AB0180"/>
    <w:rsid w:val="00AB0766"/>
    <w:rsid w:val="00AB0998"/>
    <w:rsid w:val="00AB0C1C"/>
    <w:rsid w:val="00AB0F36"/>
    <w:rsid w:val="00AB284E"/>
    <w:rsid w:val="00AB36BB"/>
    <w:rsid w:val="00AB3737"/>
    <w:rsid w:val="00AB40A5"/>
    <w:rsid w:val="00AB4175"/>
    <w:rsid w:val="00AB5719"/>
    <w:rsid w:val="00AB5CC3"/>
    <w:rsid w:val="00AB7003"/>
    <w:rsid w:val="00AB78AB"/>
    <w:rsid w:val="00AB7BAF"/>
    <w:rsid w:val="00AB7BF3"/>
    <w:rsid w:val="00AC02FF"/>
    <w:rsid w:val="00AC047E"/>
    <w:rsid w:val="00AC0780"/>
    <w:rsid w:val="00AC0C34"/>
    <w:rsid w:val="00AC122F"/>
    <w:rsid w:val="00AC179B"/>
    <w:rsid w:val="00AC3131"/>
    <w:rsid w:val="00AC4261"/>
    <w:rsid w:val="00AC4C4B"/>
    <w:rsid w:val="00AC5209"/>
    <w:rsid w:val="00AC551E"/>
    <w:rsid w:val="00AC562B"/>
    <w:rsid w:val="00AC5FAB"/>
    <w:rsid w:val="00AC62D4"/>
    <w:rsid w:val="00AC686D"/>
    <w:rsid w:val="00AC7275"/>
    <w:rsid w:val="00AC773F"/>
    <w:rsid w:val="00AD0D15"/>
    <w:rsid w:val="00AD0EBB"/>
    <w:rsid w:val="00AD1937"/>
    <w:rsid w:val="00AD233F"/>
    <w:rsid w:val="00AD39B2"/>
    <w:rsid w:val="00AD456A"/>
    <w:rsid w:val="00AD4BF5"/>
    <w:rsid w:val="00AD4E64"/>
    <w:rsid w:val="00AD5002"/>
    <w:rsid w:val="00AD6902"/>
    <w:rsid w:val="00AD6B52"/>
    <w:rsid w:val="00AD70F9"/>
    <w:rsid w:val="00AD72AB"/>
    <w:rsid w:val="00AD7C0F"/>
    <w:rsid w:val="00AE0B43"/>
    <w:rsid w:val="00AE0EB2"/>
    <w:rsid w:val="00AE0ED3"/>
    <w:rsid w:val="00AE1237"/>
    <w:rsid w:val="00AE1CD0"/>
    <w:rsid w:val="00AE2692"/>
    <w:rsid w:val="00AE4638"/>
    <w:rsid w:val="00AE53AB"/>
    <w:rsid w:val="00AE550C"/>
    <w:rsid w:val="00AE56B8"/>
    <w:rsid w:val="00AE5840"/>
    <w:rsid w:val="00AE5ABA"/>
    <w:rsid w:val="00AE5B8E"/>
    <w:rsid w:val="00AE5C3E"/>
    <w:rsid w:val="00AE6583"/>
    <w:rsid w:val="00AE68B1"/>
    <w:rsid w:val="00AE6911"/>
    <w:rsid w:val="00AE7FBD"/>
    <w:rsid w:val="00AF05D0"/>
    <w:rsid w:val="00AF0F87"/>
    <w:rsid w:val="00AF12BF"/>
    <w:rsid w:val="00AF1AB9"/>
    <w:rsid w:val="00AF2D9B"/>
    <w:rsid w:val="00AF31AB"/>
    <w:rsid w:val="00AF36AE"/>
    <w:rsid w:val="00AF44FB"/>
    <w:rsid w:val="00AF4BD7"/>
    <w:rsid w:val="00AF5FE4"/>
    <w:rsid w:val="00AF6742"/>
    <w:rsid w:val="00AF6850"/>
    <w:rsid w:val="00AF6DC9"/>
    <w:rsid w:val="00AF7323"/>
    <w:rsid w:val="00AF7A6A"/>
    <w:rsid w:val="00AF7B28"/>
    <w:rsid w:val="00B0124C"/>
    <w:rsid w:val="00B019D7"/>
    <w:rsid w:val="00B01B46"/>
    <w:rsid w:val="00B01CB4"/>
    <w:rsid w:val="00B01FF0"/>
    <w:rsid w:val="00B0264E"/>
    <w:rsid w:val="00B028B0"/>
    <w:rsid w:val="00B02E61"/>
    <w:rsid w:val="00B03441"/>
    <w:rsid w:val="00B04C8C"/>
    <w:rsid w:val="00B0500A"/>
    <w:rsid w:val="00B05688"/>
    <w:rsid w:val="00B059DD"/>
    <w:rsid w:val="00B05A07"/>
    <w:rsid w:val="00B05A40"/>
    <w:rsid w:val="00B05C8D"/>
    <w:rsid w:val="00B06065"/>
    <w:rsid w:val="00B064C7"/>
    <w:rsid w:val="00B06646"/>
    <w:rsid w:val="00B06D70"/>
    <w:rsid w:val="00B071E5"/>
    <w:rsid w:val="00B07568"/>
    <w:rsid w:val="00B10661"/>
    <w:rsid w:val="00B1091A"/>
    <w:rsid w:val="00B11295"/>
    <w:rsid w:val="00B11C97"/>
    <w:rsid w:val="00B11EDD"/>
    <w:rsid w:val="00B12941"/>
    <w:rsid w:val="00B131AD"/>
    <w:rsid w:val="00B132FB"/>
    <w:rsid w:val="00B13E38"/>
    <w:rsid w:val="00B14275"/>
    <w:rsid w:val="00B1567B"/>
    <w:rsid w:val="00B1572A"/>
    <w:rsid w:val="00B15875"/>
    <w:rsid w:val="00B158C0"/>
    <w:rsid w:val="00B16160"/>
    <w:rsid w:val="00B1698B"/>
    <w:rsid w:val="00B16E9A"/>
    <w:rsid w:val="00B16F8D"/>
    <w:rsid w:val="00B17015"/>
    <w:rsid w:val="00B1783D"/>
    <w:rsid w:val="00B17A58"/>
    <w:rsid w:val="00B21D5C"/>
    <w:rsid w:val="00B21FAA"/>
    <w:rsid w:val="00B22576"/>
    <w:rsid w:val="00B23D68"/>
    <w:rsid w:val="00B24262"/>
    <w:rsid w:val="00B247A3"/>
    <w:rsid w:val="00B24B7F"/>
    <w:rsid w:val="00B254E2"/>
    <w:rsid w:val="00B25533"/>
    <w:rsid w:val="00B25605"/>
    <w:rsid w:val="00B26276"/>
    <w:rsid w:val="00B265AC"/>
    <w:rsid w:val="00B266B7"/>
    <w:rsid w:val="00B2692B"/>
    <w:rsid w:val="00B26B1E"/>
    <w:rsid w:val="00B26DB6"/>
    <w:rsid w:val="00B27885"/>
    <w:rsid w:val="00B27D1D"/>
    <w:rsid w:val="00B305E5"/>
    <w:rsid w:val="00B30F4F"/>
    <w:rsid w:val="00B3188E"/>
    <w:rsid w:val="00B32181"/>
    <w:rsid w:val="00B32A60"/>
    <w:rsid w:val="00B32AC1"/>
    <w:rsid w:val="00B32FA5"/>
    <w:rsid w:val="00B3338D"/>
    <w:rsid w:val="00B33B80"/>
    <w:rsid w:val="00B34F28"/>
    <w:rsid w:val="00B35232"/>
    <w:rsid w:val="00B35E72"/>
    <w:rsid w:val="00B35FCC"/>
    <w:rsid w:val="00B36511"/>
    <w:rsid w:val="00B367B9"/>
    <w:rsid w:val="00B36D76"/>
    <w:rsid w:val="00B36E87"/>
    <w:rsid w:val="00B37BFC"/>
    <w:rsid w:val="00B37E8D"/>
    <w:rsid w:val="00B41BAE"/>
    <w:rsid w:val="00B42149"/>
    <w:rsid w:val="00B43828"/>
    <w:rsid w:val="00B4464E"/>
    <w:rsid w:val="00B4664D"/>
    <w:rsid w:val="00B46877"/>
    <w:rsid w:val="00B46A91"/>
    <w:rsid w:val="00B500DE"/>
    <w:rsid w:val="00B5012F"/>
    <w:rsid w:val="00B510E6"/>
    <w:rsid w:val="00B512E2"/>
    <w:rsid w:val="00B52ACE"/>
    <w:rsid w:val="00B53426"/>
    <w:rsid w:val="00B5374A"/>
    <w:rsid w:val="00B53D3C"/>
    <w:rsid w:val="00B53F27"/>
    <w:rsid w:val="00B53F2E"/>
    <w:rsid w:val="00B54A14"/>
    <w:rsid w:val="00B54B6F"/>
    <w:rsid w:val="00B55C2F"/>
    <w:rsid w:val="00B5646A"/>
    <w:rsid w:val="00B5794E"/>
    <w:rsid w:val="00B57DA7"/>
    <w:rsid w:val="00B57ED6"/>
    <w:rsid w:val="00B618FB"/>
    <w:rsid w:val="00B619F0"/>
    <w:rsid w:val="00B62179"/>
    <w:rsid w:val="00B639C9"/>
    <w:rsid w:val="00B63D04"/>
    <w:rsid w:val="00B642C7"/>
    <w:rsid w:val="00B6554C"/>
    <w:rsid w:val="00B67304"/>
    <w:rsid w:val="00B70333"/>
    <w:rsid w:val="00B705A7"/>
    <w:rsid w:val="00B71868"/>
    <w:rsid w:val="00B719E2"/>
    <w:rsid w:val="00B721D3"/>
    <w:rsid w:val="00B72ADC"/>
    <w:rsid w:val="00B7397C"/>
    <w:rsid w:val="00B745EC"/>
    <w:rsid w:val="00B747A1"/>
    <w:rsid w:val="00B750E9"/>
    <w:rsid w:val="00B75BE6"/>
    <w:rsid w:val="00B7603A"/>
    <w:rsid w:val="00B76528"/>
    <w:rsid w:val="00B76E7E"/>
    <w:rsid w:val="00B770A5"/>
    <w:rsid w:val="00B77408"/>
    <w:rsid w:val="00B77600"/>
    <w:rsid w:val="00B778C5"/>
    <w:rsid w:val="00B77BB3"/>
    <w:rsid w:val="00B77E3A"/>
    <w:rsid w:val="00B8004C"/>
    <w:rsid w:val="00B800B7"/>
    <w:rsid w:val="00B808B8"/>
    <w:rsid w:val="00B80F67"/>
    <w:rsid w:val="00B82C51"/>
    <w:rsid w:val="00B83078"/>
    <w:rsid w:val="00B83420"/>
    <w:rsid w:val="00B83FB8"/>
    <w:rsid w:val="00B851E6"/>
    <w:rsid w:val="00B85CC2"/>
    <w:rsid w:val="00B8645B"/>
    <w:rsid w:val="00B868E3"/>
    <w:rsid w:val="00B86AFE"/>
    <w:rsid w:val="00B8704A"/>
    <w:rsid w:val="00B90D3B"/>
    <w:rsid w:val="00B92E4F"/>
    <w:rsid w:val="00B93F2D"/>
    <w:rsid w:val="00B943CB"/>
    <w:rsid w:val="00B9455B"/>
    <w:rsid w:val="00B956C3"/>
    <w:rsid w:val="00B960C5"/>
    <w:rsid w:val="00B968B9"/>
    <w:rsid w:val="00B96C27"/>
    <w:rsid w:val="00B9725D"/>
    <w:rsid w:val="00B973FB"/>
    <w:rsid w:val="00B97917"/>
    <w:rsid w:val="00BA03C4"/>
    <w:rsid w:val="00BA0692"/>
    <w:rsid w:val="00BA0D87"/>
    <w:rsid w:val="00BA1064"/>
    <w:rsid w:val="00BA152A"/>
    <w:rsid w:val="00BA213C"/>
    <w:rsid w:val="00BA2C46"/>
    <w:rsid w:val="00BA2E35"/>
    <w:rsid w:val="00BA32AC"/>
    <w:rsid w:val="00BA429E"/>
    <w:rsid w:val="00BA4458"/>
    <w:rsid w:val="00BA5342"/>
    <w:rsid w:val="00BA5B01"/>
    <w:rsid w:val="00BA6A9D"/>
    <w:rsid w:val="00BA76F7"/>
    <w:rsid w:val="00BA771B"/>
    <w:rsid w:val="00BB087A"/>
    <w:rsid w:val="00BB0DA5"/>
    <w:rsid w:val="00BB0DB2"/>
    <w:rsid w:val="00BB0F2E"/>
    <w:rsid w:val="00BB1751"/>
    <w:rsid w:val="00BB1806"/>
    <w:rsid w:val="00BB1CFB"/>
    <w:rsid w:val="00BB1E98"/>
    <w:rsid w:val="00BB2013"/>
    <w:rsid w:val="00BB3133"/>
    <w:rsid w:val="00BB32B7"/>
    <w:rsid w:val="00BB577E"/>
    <w:rsid w:val="00BB6FA6"/>
    <w:rsid w:val="00BB7825"/>
    <w:rsid w:val="00BC07AF"/>
    <w:rsid w:val="00BC13B1"/>
    <w:rsid w:val="00BC199E"/>
    <w:rsid w:val="00BC1DAC"/>
    <w:rsid w:val="00BC2AFC"/>
    <w:rsid w:val="00BC3A10"/>
    <w:rsid w:val="00BC4502"/>
    <w:rsid w:val="00BC4E87"/>
    <w:rsid w:val="00BC52BF"/>
    <w:rsid w:val="00BC57B1"/>
    <w:rsid w:val="00BC613C"/>
    <w:rsid w:val="00BC6227"/>
    <w:rsid w:val="00BC7009"/>
    <w:rsid w:val="00BC71EF"/>
    <w:rsid w:val="00BC79B8"/>
    <w:rsid w:val="00BD009B"/>
    <w:rsid w:val="00BD066D"/>
    <w:rsid w:val="00BD0750"/>
    <w:rsid w:val="00BD1C41"/>
    <w:rsid w:val="00BD254B"/>
    <w:rsid w:val="00BD2E03"/>
    <w:rsid w:val="00BD3BEC"/>
    <w:rsid w:val="00BD3D23"/>
    <w:rsid w:val="00BD426E"/>
    <w:rsid w:val="00BD571B"/>
    <w:rsid w:val="00BD5A2F"/>
    <w:rsid w:val="00BD6F0E"/>
    <w:rsid w:val="00BD7B4D"/>
    <w:rsid w:val="00BD7D06"/>
    <w:rsid w:val="00BE0148"/>
    <w:rsid w:val="00BE0354"/>
    <w:rsid w:val="00BE07D9"/>
    <w:rsid w:val="00BE0A35"/>
    <w:rsid w:val="00BE1018"/>
    <w:rsid w:val="00BE1165"/>
    <w:rsid w:val="00BE1DE6"/>
    <w:rsid w:val="00BE388E"/>
    <w:rsid w:val="00BE52A0"/>
    <w:rsid w:val="00BE575D"/>
    <w:rsid w:val="00BE6CDA"/>
    <w:rsid w:val="00BE6E32"/>
    <w:rsid w:val="00BE7C09"/>
    <w:rsid w:val="00BF0FE9"/>
    <w:rsid w:val="00BF1756"/>
    <w:rsid w:val="00BF1AC5"/>
    <w:rsid w:val="00BF2287"/>
    <w:rsid w:val="00BF53B3"/>
    <w:rsid w:val="00BF548E"/>
    <w:rsid w:val="00BF5D26"/>
    <w:rsid w:val="00BF699B"/>
    <w:rsid w:val="00BF7AFB"/>
    <w:rsid w:val="00C005F9"/>
    <w:rsid w:val="00C009E0"/>
    <w:rsid w:val="00C01AF2"/>
    <w:rsid w:val="00C01DAB"/>
    <w:rsid w:val="00C02774"/>
    <w:rsid w:val="00C02F3C"/>
    <w:rsid w:val="00C041B8"/>
    <w:rsid w:val="00C046AC"/>
    <w:rsid w:val="00C04A58"/>
    <w:rsid w:val="00C04C5F"/>
    <w:rsid w:val="00C04D5A"/>
    <w:rsid w:val="00C057D3"/>
    <w:rsid w:val="00C06687"/>
    <w:rsid w:val="00C06BB8"/>
    <w:rsid w:val="00C07109"/>
    <w:rsid w:val="00C07645"/>
    <w:rsid w:val="00C113ED"/>
    <w:rsid w:val="00C11E3E"/>
    <w:rsid w:val="00C1238B"/>
    <w:rsid w:val="00C126CB"/>
    <w:rsid w:val="00C134DD"/>
    <w:rsid w:val="00C14639"/>
    <w:rsid w:val="00C15FA2"/>
    <w:rsid w:val="00C16AFF"/>
    <w:rsid w:val="00C1795E"/>
    <w:rsid w:val="00C17B5D"/>
    <w:rsid w:val="00C20333"/>
    <w:rsid w:val="00C206ED"/>
    <w:rsid w:val="00C20719"/>
    <w:rsid w:val="00C20E4B"/>
    <w:rsid w:val="00C20EDA"/>
    <w:rsid w:val="00C21089"/>
    <w:rsid w:val="00C220EC"/>
    <w:rsid w:val="00C22CCB"/>
    <w:rsid w:val="00C236A4"/>
    <w:rsid w:val="00C239F3"/>
    <w:rsid w:val="00C2423C"/>
    <w:rsid w:val="00C24DF0"/>
    <w:rsid w:val="00C2523F"/>
    <w:rsid w:val="00C2546E"/>
    <w:rsid w:val="00C25728"/>
    <w:rsid w:val="00C259CB"/>
    <w:rsid w:val="00C25AFA"/>
    <w:rsid w:val="00C25C22"/>
    <w:rsid w:val="00C25FCE"/>
    <w:rsid w:val="00C2635D"/>
    <w:rsid w:val="00C26F6E"/>
    <w:rsid w:val="00C275F3"/>
    <w:rsid w:val="00C30263"/>
    <w:rsid w:val="00C30485"/>
    <w:rsid w:val="00C313E2"/>
    <w:rsid w:val="00C317BF"/>
    <w:rsid w:val="00C31BA4"/>
    <w:rsid w:val="00C32C4E"/>
    <w:rsid w:val="00C32FE2"/>
    <w:rsid w:val="00C3343E"/>
    <w:rsid w:val="00C345E6"/>
    <w:rsid w:val="00C3464B"/>
    <w:rsid w:val="00C350B0"/>
    <w:rsid w:val="00C3511F"/>
    <w:rsid w:val="00C35519"/>
    <w:rsid w:val="00C36B81"/>
    <w:rsid w:val="00C37049"/>
    <w:rsid w:val="00C37419"/>
    <w:rsid w:val="00C40239"/>
    <w:rsid w:val="00C405E5"/>
    <w:rsid w:val="00C40885"/>
    <w:rsid w:val="00C408B3"/>
    <w:rsid w:val="00C4095F"/>
    <w:rsid w:val="00C40B79"/>
    <w:rsid w:val="00C420BD"/>
    <w:rsid w:val="00C42288"/>
    <w:rsid w:val="00C425DB"/>
    <w:rsid w:val="00C4261C"/>
    <w:rsid w:val="00C4269D"/>
    <w:rsid w:val="00C427C6"/>
    <w:rsid w:val="00C42E06"/>
    <w:rsid w:val="00C43672"/>
    <w:rsid w:val="00C4415B"/>
    <w:rsid w:val="00C4439E"/>
    <w:rsid w:val="00C44E61"/>
    <w:rsid w:val="00C450A3"/>
    <w:rsid w:val="00C453D7"/>
    <w:rsid w:val="00C455DD"/>
    <w:rsid w:val="00C456EE"/>
    <w:rsid w:val="00C457D2"/>
    <w:rsid w:val="00C45861"/>
    <w:rsid w:val="00C45DC7"/>
    <w:rsid w:val="00C473EE"/>
    <w:rsid w:val="00C477E5"/>
    <w:rsid w:val="00C515D4"/>
    <w:rsid w:val="00C516C9"/>
    <w:rsid w:val="00C51B24"/>
    <w:rsid w:val="00C52211"/>
    <w:rsid w:val="00C5313F"/>
    <w:rsid w:val="00C5370E"/>
    <w:rsid w:val="00C53B8B"/>
    <w:rsid w:val="00C53EC7"/>
    <w:rsid w:val="00C54166"/>
    <w:rsid w:val="00C54419"/>
    <w:rsid w:val="00C55155"/>
    <w:rsid w:val="00C55698"/>
    <w:rsid w:val="00C562DF"/>
    <w:rsid w:val="00C569FC"/>
    <w:rsid w:val="00C57230"/>
    <w:rsid w:val="00C57278"/>
    <w:rsid w:val="00C57DAA"/>
    <w:rsid w:val="00C60863"/>
    <w:rsid w:val="00C631A7"/>
    <w:rsid w:val="00C65848"/>
    <w:rsid w:val="00C65C7C"/>
    <w:rsid w:val="00C65D37"/>
    <w:rsid w:val="00C66165"/>
    <w:rsid w:val="00C672B9"/>
    <w:rsid w:val="00C673B5"/>
    <w:rsid w:val="00C67844"/>
    <w:rsid w:val="00C679CC"/>
    <w:rsid w:val="00C67BA4"/>
    <w:rsid w:val="00C67DB9"/>
    <w:rsid w:val="00C702DB"/>
    <w:rsid w:val="00C7109A"/>
    <w:rsid w:val="00C72A9B"/>
    <w:rsid w:val="00C74AF8"/>
    <w:rsid w:val="00C74FF9"/>
    <w:rsid w:val="00C751C5"/>
    <w:rsid w:val="00C75233"/>
    <w:rsid w:val="00C752F6"/>
    <w:rsid w:val="00C7625D"/>
    <w:rsid w:val="00C763EB"/>
    <w:rsid w:val="00C77E1F"/>
    <w:rsid w:val="00C80C21"/>
    <w:rsid w:val="00C80D97"/>
    <w:rsid w:val="00C80E49"/>
    <w:rsid w:val="00C814E1"/>
    <w:rsid w:val="00C82DE1"/>
    <w:rsid w:val="00C8312C"/>
    <w:rsid w:val="00C8317C"/>
    <w:rsid w:val="00C83B77"/>
    <w:rsid w:val="00C83C2F"/>
    <w:rsid w:val="00C84024"/>
    <w:rsid w:val="00C84C50"/>
    <w:rsid w:val="00C85463"/>
    <w:rsid w:val="00C8774E"/>
    <w:rsid w:val="00C87941"/>
    <w:rsid w:val="00C911A1"/>
    <w:rsid w:val="00C91522"/>
    <w:rsid w:val="00C91D82"/>
    <w:rsid w:val="00C929C3"/>
    <w:rsid w:val="00C92FCB"/>
    <w:rsid w:val="00C93273"/>
    <w:rsid w:val="00C93BCD"/>
    <w:rsid w:val="00C93CC6"/>
    <w:rsid w:val="00C94045"/>
    <w:rsid w:val="00C9427C"/>
    <w:rsid w:val="00C946D7"/>
    <w:rsid w:val="00C957CD"/>
    <w:rsid w:val="00C9585C"/>
    <w:rsid w:val="00C95D2A"/>
    <w:rsid w:val="00C95DCA"/>
    <w:rsid w:val="00C96E0D"/>
    <w:rsid w:val="00C97CEB"/>
    <w:rsid w:val="00CA0499"/>
    <w:rsid w:val="00CA108F"/>
    <w:rsid w:val="00CA126A"/>
    <w:rsid w:val="00CA1B7F"/>
    <w:rsid w:val="00CA219D"/>
    <w:rsid w:val="00CA3A96"/>
    <w:rsid w:val="00CA4026"/>
    <w:rsid w:val="00CA4877"/>
    <w:rsid w:val="00CA4DE4"/>
    <w:rsid w:val="00CA5E55"/>
    <w:rsid w:val="00CA6760"/>
    <w:rsid w:val="00CA6E85"/>
    <w:rsid w:val="00CA6FCF"/>
    <w:rsid w:val="00CA7DB1"/>
    <w:rsid w:val="00CB0A4F"/>
    <w:rsid w:val="00CB104D"/>
    <w:rsid w:val="00CB25A6"/>
    <w:rsid w:val="00CB297E"/>
    <w:rsid w:val="00CB3F91"/>
    <w:rsid w:val="00CB452D"/>
    <w:rsid w:val="00CB5159"/>
    <w:rsid w:val="00CB58E7"/>
    <w:rsid w:val="00CB5D50"/>
    <w:rsid w:val="00CB76EC"/>
    <w:rsid w:val="00CB7F16"/>
    <w:rsid w:val="00CC090E"/>
    <w:rsid w:val="00CC0AE1"/>
    <w:rsid w:val="00CC0D64"/>
    <w:rsid w:val="00CC1831"/>
    <w:rsid w:val="00CC1A84"/>
    <w:rsid w:val="00CC1F0B"/>
    <w:rsid w:val="00CC24A2"/>
    <w:rsid w:val="00CC37A9"/>
    <w:rsid w:val="00CC5669"/>
    <w:rsid w:val="00CC5EB3"/>
    <w:rsid w:val="00CC6602"/>
    <w:rsid w:val="00CC759A"/>
    <w:rsid w:val="00CC7EF4"/>
    <w:rsid w:val="00CD05F7"/>
    <w:rsid w:val="00CD0A16"/>
    <w:rsid w:val="00CD0FD6"/>
    <w:rsid w:val="00CD112C"/>
    <w:rsid w:val="00CD1B0D"/>
    <w:rsid w:val="00CD1B67"/>
    <w:rsid w:val="00CD25B9"/>
    <w:rsid w:val="00CD26CF"/>
    <w:rsid w:val="00CD282A"/>
    <w:rsid w:val="00CD2C63"/>
    <w:rsid w:val="00CD2D1A"/>
    <w:rsid w:val="00CD3465"/>
    <w:rsid w:val="00CD38B3"/>
    <w:rsid w:val="00CD3A4D"/>
    <w:rsid w:val="00CD4A2E"/>
    <w:rsid w:val="00CD4A69"/>
    <w:rsid w:val="00CD55CD"/>
    <w:rsid w:val="00CD5758"/>
    <w:rsid w:val="00CD65A7"/>
    <w:rsid w:val="00CD6FCC"/>
    <w:rsid w:val="00CE0024"/>
    <w:rsid w:val="00CE15AE"/>
    <w:rsid w:val="00CE193D"/>
    <w:rsid w:val="00CE1CBE"/>
    <w:rsid w:val="00CE218F"/>
    <w:rsid w:val="00CE246D"/>
    <w:rsid w:val="00CE25E0"/>
    <w:rsid w:val="00CE2824"/>
    <w:rsid w:val="00CE2CA9"/>
    <w:rsid w:val="00CE38AA"/>
    <w:rsid w:val="00CE4339"/>
    <w:rsid w:val="00CE4DBF"/>
    <w:rsid w:val="00CE5E64"/>
    <w:rsid w:val="00CE607B"/>
    <w:rsid w:val="00CE6440"/>
    <w:rsid w:val="00CE67FA"/>
    <w:rsid w:val="00CE7691"/>
    <w:rsid w:val="00CE7E8D"/>
    <w:rsid w:val="00CF03F4"/>
    <w:rsid w:val="00CF0483"/>
    <w:rsid w:val="00CF0C77"/>
    <w:rsid w:val="00CF10D2"/>
    <w:rsid w:val="00CF1386"/>
    <w:rsid w:val="00CF18DF"/>
    <w:rsid w:val="00CF27AB"/>
    <w:rsid w:val="00CF3AAA"/>
    <w:rsid w:val="00CF3AFF"/>
    <w:rsid w:val="00CF4183"/>
    <w:rsid w:val="00CF42C9"/>
    <w:rsid w:val="00CF4338"/>
    <w:rsid w:val="00CF5A3F"/>
    <w:rsid w:val="00CF71F6"/>
    <w:rsid w:val="00CF79B8"/>
    <w:rsid w:val="00D0022B"/>
    <w:rsid w:val="00D0030F"/>
    <w:rsid w:val="00D010DB"/>
    <w:rsid w:val="00D010FB"/>
    <w:rsid w:val="00D01269"/>
    <w:rsid w:val="00D014FF"/>
    <w:rsid w:val="00D02D5A"/>
    <w:rsid w:val="00D02FC3"/>
    <w:rsid w:val="00D0515E"/>
    <w:rsid w:val="00D05335"/>
    <w:rsid w:val="00D05840"/>
    <w:rsid w:val="00D05BA3"/>
    <w:rsid w:val="00D05BF0"/>
    <w:rsid w:val="00D05F5B"/>
    <w:rsid w:val="00D0697B"/>
    <w:rsid w:val="00D078C9"/>
    <w:rsid w:val="00D0795C"/>
    <w:rsid w:val="00D10166"/>
    <w:rsid w:val="00D1075A"/>
    <w:rsid w:val="00D11970"/>
    <w:rsid w:val="00D11AE2"/>
    <w:rsid w:val="00D1331E"/>
    <w:rsid w:val="00D135BD"/>
    <w:rsid w:val="00D13A0A"/>
    <w:rsid w:val="00D140B9"/>
    <w:rsid w:val="00D141E9"/>
    <w:rsid w:val="00D1444F"/>
    <w:rsid w:val="00D14BFE"/>
    <w:rsid w:val="00D14F2F"/>
    <w:rsid w:val="00D15B00"/>
    <w:rsid w:val="00D163C2"/>
    <w:rsid w:val="00D16DF2"/>
    <w:rsid w:val="00D20213"/>
    <w:rsid w:val="00D20B12"/>
    <w:rsid w:val="00D21482"/>
    <w:rsid w:val="00D21E28"/>
    <w:rsid w:val="00D22E8C"/>
    <w:rsid w:val="00D22FF9"/>
    <w:rsid w:val="00D2363B"/>
    <w:rsid w:val="00D2479E"/>
    <w:rsid w:val="00D24966"/>
    <w:rsid w:val="00D26C4D"/>
    <w:rsid w:val="00D27CEE"/>
    <w:rsid w:val="00D301BA"/>
    <w:rsid w:val="00D303FB"/>
    <w:rsid w:val="00D312DA"/>
    <w:rsid w:val="00D3147C"/>
    <w:rsid w:val="00D32786"/>
    <w:rsid w:val="00D32E3C"/>
    <w:rsid w:val="00D3320A"/>
    <w:rsid w:val="00D33621"/>
    <w:rsid w:val="00D34C71"/>
    <w:rsid w:val="00D3593E"/>
    <w:rsid w:val="00D35B73"/>
    <w:rsid w:val="00D35B83"/>
    <w:rsid w:val="00D36822"/>
    <w:rsid w:val="00D4292E"/>
    <w:rsid w:val="00D43186"/>
    <w:rsid w:val="00D43334"/>
    <w:rsid w:val="00D438ED"/>
    <w:rsid w:val="00D43C44"/>
    <w:rsid w:val="00D441A5"/>
    <w:rsid w:val="00D45268"/>
    <w:rsid w:val="00D4536C"/>
    <w:rsid w:val="00D472BB"/>
    <w:rsid w:val="00D477B8"/>
    <w:rsid w:val="00D47C67"/>
    <w:rsid w:val="00D501C4"/>
    <w:rsid w:val="00D50DE5"/>
    <w:rsid w:val="00D51DA4"/>
    <w:rsid w:val="00D52E36"/>
    <w:rsid w:val="00D52FB3"/>
    <w:rsid w:val="00D53C02"/>
    <w:rsid w:val="00D53CCB"/>
    <w:rsid w:val="00D5405D"/>
    <w:rsid w:val="00D540B9"/>
    <w:rsid w:val="00D54360"/>
    <w:rsid w:val="00D5462F"/>
    <w:rsid w:val="00D55A30"/>
    <w:rsid w:val="00D5601C"/>
    <w:rsid w:val="00D56236"/>
    <w:rsid w:val="00D56322"/>
    <w:rsid w:val="00D56FB1"/>
    <w:rsid w:val="00D57640"/>
    <w:rsid w:val="00D603CC"/>
    <w:rsid w:val="00D603F6"/>
    <w:rsid w:val="00D61330"/>
    <w:rsid w:val="00D61A9D"/>
    <w:rsid w:val="00D61E1E"/>
    <w:rsid w:val="00D6225A"/>
    <w:rsid w:val="00D622CB"/>
    <w:rsid w:val="00D627A9"/>
    <w:rsid w:val="00D63617"/>
    <w:rsid w:val="00D638E3"/>
    <w:rsid w:val="00D63FA1"/>
    <w:rsid w:val="00D64337"/>
    <w:rsid w:val="00D647DE"/>
    <w:rsid w:val="00D65040"/>
    <w:rsid w:val="00D653AD"/>
    <w:rsid w:val="00D67FE6"/>
    <w:rsid w:val="00D70124"/>
    <w:rsid w:val="00D70622"/>
    <w:rsid w:val="00D7103A"/>
    <w:rsid w:val="00D72232"/>
    <w:rsid w:val="00D722B7"/>
    <w:rsid w:val="00D72836"/>
    <w:rsid w:val="00D72AB4"/>
    <w:rsid w:val="00D72E5A"/>
    <w:rsid w:val="00D73035"/>
    <w:rsid w:val="00D73539"/>
    <w:rsid w:val="00D73959"/>
    <w:rsid w:val="00D73B5A"/>
    <w:rsid w:val="00D73D72"/>
    <w:rsid w:val="00D742EB"/>
    <w:rsid w:val="00D745F2"/>
    <w:rsid w:val="00D74885"/>
    <w:rsid w:val="00D74E95"/>
    <w:rsid w:val="00D75E60"/>
    <w:rsid w:val="00D7638E"/>
    <w:rsid w:val="00D7656C"/>
    <w:rsid w:val="00D76F95"/>
    <w:rsid w:val="00D77D39"/>
    <w:rsid w:val="00D80320"/>
    <w:rsid w:val="00D80FCF"/>
    <w:rsid w:val="00D81DF3"/>
    <w:rsid w:val="00D82A45"/>
    <w:rsid w:val="00D82FAE"/>
    <w:rsid w:val="00D8513D"/>
    <w:rsid w:val="00D8694D"/>
    <w:rsid w:val="00D87789"/>
    <w:rsid w:val="00D903D5"/>
    <w:rsid w:val="00D90715"/>
    <w:rsid w:val="00D90E0A"/>
    <w:rsid w:val="00D923BA"/>
    <w:rsid w:val="00D92BA4"/>
    <w:rsid w:val="00D92CD4"/>
    <w:rsid w:val="00D92E70"/>
    <w:rsid w:val="00D92EE8"/>
    <w:rsid w:val="00D952C6"/>
    <w:rsid w:val="00D9835E"/>
    <w:rsid w:val="00DA043C"/>
    <w:rsid w:val="00DA0441"/>
    <w:rsid w:val="00DA0FF5"/>
    <w:rsid w:val="00DA1881"/>
    <w:rsid w:val="00DA190C"/>
    <w:rsid w:val="00DA1D71"/>
    <w:rsid w:val="00DA222E"/>
    <w:rsid w:val="00DA2316"/>
    <w:rsid w:val="00DA3D04"/>
    <w:rsid w:val="00DA52B5"/>
    <w:rsid w:val="00DA585A"/>
    <w:rsid w:val="00DA589B"/>
    <w:rsid w:val="00DA5ED8"/>
    <w:rsid w:val="00DA6397"/>
    <w:rsid w:val="00DA7A1E"/>
    <w:rsid w:val="00DB0395"/>
    <w:rsid w:val="00DB0CF2"/>
    <w:rsid w:val="00DB117D"/>
    <w:rsid w:val="00DB1255"/>
    <w:rsid w:val="00DB1908"/>
    <w:rsid w:val="00DB1EE5"/>
    <w:rsid w:val="00DB2642"/>
    <w:rsid w:val="00DB2C2F"/>
    <w:rsid w:val="00DB2CA8"/>
    <w:rsid w:val="00DB36A7"/>
    <w:rsid w:val="00DB3B39"/>
    <w:rsid w:val="00DB3BD8"/>
    <w:rsid w:val="00DB50BB"/>
    <w:rsid w:val="00DB57CB"/>
    <w:rsid w:val="00DB5D4A"/>
    <w:rsid w:val="00DB5F6D"/>
    <w:rsid w:val="00DB6409"/>
    <w:rsid w:val="00DB67B2"/>
    <w:rsid w:val="00DB69E9"/>
    <w:rsid w:val="00DB72BA"/>
    <w:rsid w:val="00DB7D37"/>
    <w:rsid w:val="00DC05D1"/>
    <w:rsid w:val="00DC08F4"/>
    <w:rsid w:val="00DC0C8E"/>
    <w:rsid w:val="00DC0D4D"/>
    <w:rsid w:val="00DC11F3"/>
    <w:rsid w:val="00DC15B0"/>
    <w:rsid w:val="00DC202C"/>
    <w:rsid w:val="00DC2B12"/>
    <w:rsid w:val="00DC2E6C"/>
    <w:rsid w:val="00DC3652"/>
    <w:rsid w:val="00DC3C60"/>
    <w:rsid w:val="00DC44D4"/>
    <w:rsid w:val="00DC54CB"/>
    <w:rsid w:val="00DC6BA2"/>
    <w:rsid w:val="00DD00AE"/>
    <w:rsid w:val="00DD091C"/>
    <w:rsid w:val="00DD207B"/>
    <w:rsid w:val="00DD2765"/>
    <w:rsid w:val="00DD2929"/>
    <w:rsid w:val="00DD2FE8"/>
    <w:rsid w:val="00DD356E"/>
    <w:rsid w:val="00DD459E"/>
    <w:rsid w:val="00DD490D"/>
    <w:rsid w:val="00DD4946"/>
    <w:rsid w:val="00DD4A6E"/>
    <w:rsid w:val="00DD52D9"/>
    <w:rsid w:val="00DD57B5"/>
    <w:rsid w:val="00DD58DB"/>
    <w:rsid w:val="00DD63BB"/>
    <w:rsid w:val="00DD6795"/>
    <w:rsid w:val="00DD6B11"/>
    <w:rsid w:val="00DD6C19"/>
    <w:rsid w:val="00DD6E29"/>
    <w:rsid w:val="00DD6E3C"/>
    <w:rsid w:val="00DD7307"/>
    <w:rsid w:val="00DD7A0A"/>
    <w:rsid w:val="00DD7DE2"/>
    <w:rsid w:val="00DE2487"/>
    <w:rsid w:val="00DE271D"/>
    <w:rsid w:val="00DE294E"/>
    <w:rsid w:val="00DE2C21"/>
    <w:rsid w:val="00DE2FD9"/>
    <w:rsid w:val="00DE564E"/>
    <w:rsid w:val="00DE5B62"/>
    <w:rsid w:val="00DE5E70"/>
    <w:rsid w:val="00DE64B6"/>
    <w:rsid w:val="00DE6849"/>
    <w:rsid w:val="00DE69AB"/>
    <w:rsid w:val="00DE6A5C"/>
    <w:rsid w:val="00DE731C"/>
    <w:rsid w:val="00DE77E7"/>
    <w:rsid w:val="00DE7C26"/>
    <w:rsid w:val="00DE7D0A"/>
    <w:rsid w:val="00DF0144"/>
    <w:rsid w:val="00DF024F"/>
    <w:rsid w:val="00DF02D6"/>
    <w:rsid w:val="00DF050F"/>
    <w:rsid w:val="00DF1340"/>
    <w:rsid w:val="00DF1808"/>
    <w:rsid w:val="00DF1EFE"/>
    <w:rsid w:val="00DF265A"/>
    <w:rsid w:val="00DF29C5"/>
    <w:rsid w:val="00DF3FC3"/>
    <w:rsid w:val="00DF4965"/>
    <w:rsid w:val="00DF4BB6"/>
    <w:rsid w:val="00DF4E56"/>
    <w:rsid w:val="00DF4FF6"/>
    <w:rsid w:val="00DF532F"/>
    <w:rsid w:val="00DF55B1"/>
    <w:rsid w:val="00DF5D3C"/>
    <w:rsid w:val="00DF737D"/>
    <w:rsid w:val="00E00751"/>
    <w:rsid w:val="00E00B90"/>
    <w:rsid w:val="00E00DED"/>
    <w:rsid w:val="00E01191"/>
    <w:rsid w:val="00E014E0"/>
    <w:rsid w:val="00E0215B"/>
    <w:rsid w:val="00E02610"/>
    <w:rsid w:val="00E03B9E"/>
    <w:rsid w:val="00E05A71"/>
    <w:rsid w:val="00E065C4"/>
    <w:rsid w:val="00E07052"/>
    <w:rsid w:val="00E077E4"/>
    <w:rsid w:val="00E078F1"/>
    <w:rsid w:val="00E07A5F"/>
    <w:rsid w:val="00E113A2"/>
    <w:rsid w:val="00E11594"/>
    <w:rsid w:val="00E11A7B"/>
    <w:rsid w:val="00E13068"/>
    <w:rsid w:val="00E131EA"/>
    <w:rsid w:val="00E13396"/>
    <w:rsid w:val="00E141FF"/>
    <w:rsid w:val="00E142FC"/>
    <w:rsid w:val="00E1475A"/>
    <w:rsid w:val="00E14B42"/>
    <w:rsid w:val="00E14CA2"/>
    <w:rsid w:val="00E14E97"/>
    <w:rsid w:val="00E14EAF"/>
    <w:rsid w:val="00E17071"/>
    <w:rsid w:val="00E17364"/>
    <w:rsid w:val="00E2031A"/>
    <w:rsid w:val="00E204C4"/>
    <w:rsid w:val="00E2092B"/>
    <w:rsid w:val="00E2098E"/>
    <w:rsid w:val="00E21CA5"/>
    <w:rsid w:val="00E225E2"/>
    <w:rsid w:val="00E234F2"/>
    <w:rsid w:val="00E237FE"/>
    <w:rsid w:val="00E2470B"/>
    <w:rsid w:val="00E24FE5"/>
    <w:rsid w:val="00E27499"/>
    <w:rsid w:val="00E30A5D"/>
    <w:rsid w:val="00E30EA5"/>
    <w:rsid w:val="00E30EF8"/>
    <w:rsid w:val="00E32053"/>
    <w:rsid w:val="00E32177"/>
    <w:rsid w:val="00E32B9B"/>
    <w:rsid w:val="00E32E0E"/>
    <w:rsid w:val="00E33A13"/>
    <w:rsid w:val="00E34A4F"/>
    <w:rsid w:val="00E34D05"/>
    <w:rsid w:val="00E34F7F"/>
    <w:rsid w:val="00E35670"/>
    <w:rsid w:val="00E35B8F"/>
    <w:rsid w:val="00E3766A"/>
    <w:rsid w:val="00E41043"/>
    <w:rsid w:val="00E42AA9"/>
    <w:rsid w:val="00E42BB6"/>
    <w:rsid w:val="00E43C99"/>
    <w:rsid w:val="00E44309"/>
    <w:rsid w:val="00E44A1C"/>
    <w:rsid w:val="00E44E3B"/>
    <w:rsid w:val="00E454CB"/>
    <w:rsid w:val="00E462E2"/>
    <w:rsid w:val="00E463BF"/>
    <w:rsid w:val="00E473F4"/>
    <w:rsid w:val="00E47CE7"/>
    <w:rsid w:val="00E47ED9"/>
    <w:rsid w:val="00E505C6"/>
    <w:rsid w:val="00E50813"/>
    <w:rsid w:val="00E50FCF"/>
    <w:rsid w:val="00E51637"/>
    <w:rsid w:val="00E517D0"/>
    <w:rsid w:val="00E51953"/>
    <w:rsid w:val="00E520ED"/>
    <w:rsid w:val="00E5210E"/>
    <w:rsid w:val="00E52140"/>
    <w:rsid w:val="00E5264F"/>
    <w:rsid w:val="00E528C6"/>
    <w:rsid w:val="00E52FED"/>
    <w:rsid w:val="00E5317D"/>
    <w:rsid w:val="00E539C1"/>
    <w:rsid w:val="00E545E8"/>
    <w:rsid w:val="00E54B18"/>
    <w:rsid w:val="00E54B90"/>
    <w:rsid w:val="00E54DB9"/>
    <w:rsid w:val="00E5503C"/>
    <w:rsid w:val="00E553E1"/>
    <w:rsid w:val="00E55414"/>
    <w:rsid w:val="00E564F7"/>
    <w:rsid w:val="00E57440"/>
    <w:rsid w:val="00E57516"/>
    <w:rsid w:val="00E6135D"/>
    <w:rsid w:val="00E61804"/>
    <w:rsid w:val="00E62248"/>
    <w:rsid w:val="00E63302"/>
    <w:rsid w:val="00E63524"/>
    <w:rsid w:val="00E63594"/>
    <w:rsid w:val="00E6445A"/>
    <w:rsid w:val="00E658CA"/>
    <w:rsid w:val="00E6678C"/>
    <w:rsid w:val="00E66A3B"/>
    <w:rsid w:val="00E67F17"/>
    <w:rsid w:val="00E70A35"/>
    <w:rsid w:val="00E70C0E"/>
    <w:rsid w:val="00E7137D"/>
    <w:rsid w:val="00E720B8"/>
    <w:rsid w:val="00E72225"/>
    <w:rsid w:val="00E725AE"/>
    <w:rsid w:val="00E727D6"/>
    <w:rsid w:val="00E72BAF"/>
    <w:rsid w:val="00E72BEE"/>
    <w:rsid w:val="00E736B0"/>
    <w:rsid w:val="00E73FBF"/>
    <w:rsid w:val="00E74298"/>
    <w:rsid w:val="00E74966"/>
    <w:rsid w:val="00E74AFC"/>
    <w:rsid w:val="00E74C11"/>
    <w:rsid w:val="00E74F23"/>
    <w:rsid w:val="00E759DE"/>
    <w:rsid w:val="00E767D0"/>
    <w:rsid w:val="00E7777E"/>
    <w:rsid w:val="00E77C33"/>
    <w:rsid w:val="00E77E75"/>
    <w:rsid w:val="00E80788"/>
    <w:rsid w:val="00E8139B"/>
    <w:rsid w:val="00E81C82"/>
    <w:rsid w:val="00E82454"/>
    <w:rsid w:val="00E82684"/>
    <w:rsid w:val="00E83ADC"/>
    <w:rsid w:val="00E843FD"/>
    <w:rsid w:val="00E86816"/>
    <w:rsid w:val="00E8720B"/>
    <w:rsid w:val="00E91194"/>
    <w:rsid w:val="00E91E45"/>
    <w:rsid w:val="00E924F3"/>
    <w:rsid w:val="00E92A13"/>
    <w:rsid w:val="00E92EF9"/>
    <w:rsid w:val="00E932FD"/>
    <w:rsid w:val="00E93A31"/>
    <w:rsid w:val="00E95BF7"/>
    <w:rsid w:val="00E972CA"/>
    <w:rsid w:val="00EA07E2"/>
    <w:rsid w:val="00EA0A45"/>
    <w:rsid w:val="00EA0C16"/>
    <w:rsid w:val="00EA0F1E"/>
    <w:rsid w:val="00EA1966"/>
    <w:rsid w:val="00EA362B"/>
    <w:rsid w:val="00EA3959"/>
    <w:rsid w:val="00EA4076"/>
    <w:rsid w:val="00EA4281"/>
    <w:rsid w:val="00EA47F4"/>
    <w:rsid w:val="00EA53BD"/>
    <w:rsid w:val="00EA5BFD"/>
    <w:rsid w:val="00EA71E1"/>
    <w:rsid w:val="00EA723E"/>
    <w:rsid w:val="00EA748A"/>
    <w:rsid w:val="00EB191F"/>
    <w:rsid w:val="00EB192E"/>
    <w:rsid w:val="00EB280F"/>
    <w:rsid w:val="00EB2BD9"/>
    <w:rsid w:val="00EB39B9"/>
    <w:rsid w:val="00EB451E"/>
    <w:rsid w:val="00EB45E8"/>
    <w:rsid w:val="00EB5096"/>
    <w:rsid w:val="00EB5D85"/>
    <w:rsid w:val="00EB6438"/>
    <w:rsid w:val="00EB761C"/>
    <w:rsid w:val="00EB7844"/>
    <w:rsid w:val="00EB7A75"/>
    <w:rsid w:val="00EC02F1"/>
    <w:rsid w:val="00EC04F3"/>
    <w:rsid w:val="00EC0516"/>
    <w:rsid w:val="00EC088A"/>
    <w:rsid w:val="00EC137B"/>
    <w:rsid w:val="00EC191C"/>
    <w:rsid w:val="00EC1BA0"/>
    <w:rsid w:val="00EC37FE"/>
    <w:rsid w:val="00EC4F7B"/>
    <w:rsid w:val="00EC559C"/>
    <w:rsid w:val="00EC584A"/>
    <w:rsid w:val="00EC62BE"/>
    <w:rsid w:val="00EC636C"/>
    <w:rsid w:val="00EC65C5"/>
    <w:rsid w:val="00EC6A42"/>
    <w:rsid w:val="00EC6AF7"/>
    <w:rsid w:val="00EC736D"/>
    <w:rsid w:val="00EC79C0"/>
    <w:rsid w:val="00ED030E"/>
    <w:rsid w:val="00ED0DB9"/>
    <w:rsid w:val="00ED1645"/>
    <w:rsid w:val="00ED173D"/>
    <w:rsid w:val="00ED1C9E"/>
    <w:rsid w:val="00ED1D23"/>
    <w:rsid w:val="00ED3730"/>
    <w:rsid w:val="00ED619B"/>
    <w:rsid w:val="00ED6BE4"/>
    <w:rsid w:val="00ED7B1C"/>
    <w:rsid w:val="00ED7DAC"/>
    <w:rsid w:val="00EE0659"/>
    <w:rsid w:val="00EE0E45"/>
    <w:rsid w:val="00EE27E4"/>
    <w:rsid w:val="00EE32B0"/>
    <w:rsid w:val="00EE32E6"/>
    <w:rsid w:val="00EE3344"/>
    <w:rsid w:val="00EE3B1E"/>
    <w:rsid w:val="00EE3E5B"/>
    <w:rsid w:val="00EE3F60"/>
    <w:rsid w:val="00EE4177"/>
    <w:rsid w:val="00EE419F"/>
    <w:rsid w:val="00EE455B"/>
    <w:rsid w:val="00EE5AA6"/>
    <w:rsid w:val="00EE5E2F"/>
    <w:rsid w:val="00EE74B2"/>
    <w:rsid w:val="00EE7789"/>
    <w:rsid w:val="00EF1E6C"/>
    <w:rsid w:val="00EF2482"/>
    <w:rsid w:val="00EF2F80"/>
    <w:rsid w:val="00EF36CC"/>
    <w:rsid w:val="00EF4035"/>
    <w:rsid w:val="00EF420F"/>
    <w:rsid w:val="00EF4225"/>
    <w:rsid w:val="00EF4CF1"/>
    <w:rsid w:val="00EF5349"/>
    <w:rsid w:val="00EF59AF"/>
    <w:rsid w:val="00EF6057"/>
    <w:rsid w:val="00F002A2"/>
    <w:rsid w:val="00F0067A"/>
    <w:rsid w:val="00F006B1"/>
    <w:rsid w:val="00F00817"/>
    <w:rsid w:val="00F01A8D"/>
    <w:rsid w:val="00F0238C"/>
    <w:rsid w:val="00F02711"/>
    <w:rsid w:val="00F02A7A"/>
    <w:rsid w:val="00F02C08"/>
    <w:rsid w:val="00F02CDD"/>
    <w:rsid w:val="00F033B0"/>
    <w:rsid w:val="00F03497"/>
    <w:rsid w:val="00F04481"/>
    <w:rsid w:val="00F04607"/>
    <w:rsid w:val="00F066A6"/>
    <w:rsid w:val="00F069BB"/>
    <w:rsid w:val="00F06CB6"/>
    <w:rsid w:val="00F06EC4"/>
    <w:rsid w:val="00F07398"/>
    <w:rsid w:val="00F0755C"/>
    <w:rsid w:val="00F07DF8"/>
    <w:rsid w:val="00F10013"/>
    <w:rsid w:val="00F10645"/>
    <w:rsid w:val="00F1069B"/>
    <w:rsid w:val="00F111B0"/>
    <w:rsid w:val="00F117A8"/>
    <w:rsid w:val="00F11F1F"/>
    <w:rsid w:val="00F12220"/>
    <w:rsid w:val="00F12700"/>
    <w:rsid w:val="00F12BC7"/>
    <w:rsid w:val="00F12E90"/>
    <w:rsid w:val="00F1308C"/>
    <w:rsid w:val="00F134D1"/>
    <w:rsid w:val="00F15192"/>
    <w:rsid w:val="00F1520E"/>
    <w:rsid w:val="00F154DB"/>
    <w:rsid w:val="00F15BEF"/>
    <w:rsid w:val="00F15D71"/>
    <w:rsid w:val="00F1614D"/>
    <w:rsid w:val="00F1659F"/>
    <w:rsid w:val="00F16716"/>
    <w:rsid w:val="00F16766"/>
    <w:rsid w:val="00F168E4"/>
    <w:rsid w:val="00F16BA2"/>
    <w:rsid w:val="00F16EB3"/>
    <w:rsid w:val="00F1711A"/>
    <w:rsid w:val="00F20212"/>
    <w:rsid w:val="00F202D8"/>
    <w:rsid w:val="00F21398"/>
    <w:rsid w:val="00F2161D"/>
    <w:rsid w:val="00F22DE8"/>
    <w:rsid w:val="00F230D0"/>
    <w:rsid w:val="00F23DF3"/>
    <w:rsid w:val="00F24E6B"/>
    <w:rsid w:val="00F24F0B"/>
    <w:rsid w:val="00F25884"/>
    <w:rsid w:val="00F26120"/>
    <w:rsid w:val="00F26A22"/>
    <w:rsid w:val="00F26B35"/>
    <w:rsid w:val="00F3028C"/>
    <w:rsid w:val="00F308EF"/>
    <w:rsid w:val="00F31185"/>
    <w:rsid w:val="00F31B52"/>
    <w:rsid w:val="00F31BF3"/>
    <w:rsid w:val="00F31EA1"/>
    <w:rsid w:val="00F33AE1"/>
    <w:rsid w:val="00F33DF7"/>
    <w:rsid w:val="00F341B1"/>
    <w:rsid w:val="00F347D1"/>
    <w:rsid w:val="00F351CB"/>
    <w:rsid w:val="00F35ADB"/>
    <w:rsid w:val="00F35D4A"/>
    <w:rsid w:val="00F363D8"/>
    <w:rsid w:val="00F376A1"/>
    <w:rsid w:val="00F37B46"/>
    <w:rsid w:val="00F40B03"/>
    <w:rsid w:val="00F41839"/>
    <w:rsid w:val="00F418B5"/>
    <w:rsid w:val="00F41CD3"/>
    <w:rsid w:val="00F420B2"/>
    <w:rsid w:val="00F42627"/>
    <w:rsid w:val="00F43242"/>
    <w:rsid w:val="00F44593"/>
    <w:rsid w:val="00F45697"/>
    <w:rsid w:val="00F45E0D"/>
    <w:rsid w:val="00F45FFE"/>
    <w:rsid w:val="00F47BF6"/>
    <w:rsid w:val="00F50FF2"/>
    <w:rsid w:val="00F51D4C"/>
    <w:rsid w:val="00F52134"/>
    <w:rsid w:val="00F534CF"/>
    <w:rsid w:val="00F550FC"/>
    <w:rsid w:val="00F55549"/>
    <w:rsid w:val="00F56227"/>
    <w:rsid w:val="00F56D9E"/>
    <w:rsid w:val="00F574EA"/>
    <w:rsid w:val="00F5752F"/>
    <w:rsid w:val="00F60FE7"/>
    <w:rsid w:val="00F61178"/>
    <w:rsid w:val="00F61252"/>
    <w:rsid w:val="00F62D02"/>
    <w:rsid w:val="00F632D2"/>
    <w:rsid w:val="00F63AEE"/>
    <w:rsid w:val="00F64BA3"/>
    <w:rsid w:val="00F64EB6"/>
    <w:rsid w:val="00F65035"/>
    <w:rsid w:val="00F65375"/>
    <w:rsid w:val="00F6542F"/>
    <w:rsid w:val="00F6668B"/>
    <w:rsid w:val="00F67710"/>
    <w:rsid w:val="00F677C7"/>
    <w:rsid w:val="00F67E38"/>
    <w:rsid w:val="00F7014D"/>
    <w:rsid w:val="00F70174"/>
    <w:rsid w:val="00F70517"/>
    <w:rsid w:val="00F70A37"/>
    <w:rsid w:val="00F70D54"/>
    <w:rsid w:val="00F71079"/>
    <w:rsid w:val="00F71500"/>
    <w:rsid w:val="00F71903"/>
    <w:rsid w:val="00F71D49"/>
    <w:rsid w:val="00F720DC"/>
    <w:rsid w:val="00F726A9"/>
    <w:rsid w:val="00F726BD"/>
    <w:rsid w:val="00F7286D"/>
    <w:rsid w:val="00F7327F"/>
    <w:rsid w:val="00F739E3"/>
    <w:rsid w:val="00F740B1"/>
    <w:rsid w:val="00F7444E"/>
    <w:rsid w:val="00F74584"/>
    <w:rsid w:val="00F7489F"/>
    <w:rsid w:val="00F75897"/>
    <w:rsid w:val="00F76694"/>
    <w:rsid w:val="00F768F5"/>
    <w:rsid w:val="00F76C27"/>
    <w:rsid w:val="00F77879"/>
    <w:rsid w:val="00F77BBB"/>
    <w:rsid w:val="00F80387"/>
    <w:rsid w:val="00F814BE"/>
    <w:rsid w:val="00F817FB"/>
    <w:rsid w:val="00F81D9C"/>
    <w:rsid w:val="00F82061"/>
    <w:rsid w:val="00F82323"/>
    <w:rsid w:val="00F82C38"/>
    <w:rsid w:val="00F83128"/>
    <w:rsid w:val="00F8379C"/>
    <w:rsid w:val="00F84041"/>
    <w:rsid w:val="00F843B6"/>
    <w:rsid w:val="00F84D1F"/>
    <w:rsid w:val="00F85919"/>
    <w:rsid w:val="00F860FC"/>
    <w:rsid w:val="00F87E4F"/>
    <w:rsid w:val="00F9051D"/>
    <w:rsid w:val="00F91285"/>
    <w:rsid w:val="00F91789"/>
    <w:rsid w:val="00F91A0D"/>
    <w:rsid w:val="00F91DCA"/>
    <w:rsid w:val="00F9217B"/>
    <w:rsid w:val="00F921FC"/>
    <w:rsid w:val="00F94D36"/>
    <w:rsid w:val="00F95004"/>
    <w:rsid w:val="00F95B5E"/>
    <w:rsid w:val="00F96027"/>
    <w:rsid w:val="00F97562"/>
    <w:rsid w:val="00F97689"/>
    <w:rsid w:val="00F97885"/>
    <w:rsid w:val="00FA00C6"/>
    <w:rsid w:val="00FA094D"/>
    <w:rsid w:val="00FA0A1D"/>
    <w:rsid w:val="00FA0BD8"/>
    <w:rsid w:val="00FA26CC"/>
    <w:rsid w:val="00FA276F"/>
    <w:rsid w:val="00FA2A2B"/>
    <w:rsid w:val="00FA2B82"/>
    <w:rsid w:val="00FA2FFA"/>
    <w:rsid w:val="00FA3A33"/>
    <w:rsid w:val="00FA56E1"/>
    <w:rsid w:val="00FA5A9E"/>
    <w:rsid w:val="00FA616E"/>
    <w:rsid w:val="00FA6E0A"/>
    <w:rsid w:val="00FA7043"/>
    <w:rsid w:val="00FA73C7"/>
    <w:rsid w:val="00FA7A72"/>
    <w:rsid w:val="00FB0524"/>
    <w:rsid w:val="00FB0FFB"/>
    <w:rsid w:val="00FB149E"/>
    <w:rsid w:val="00FB18D0"/>
    <w:rsid w:val="00FB19A5"/>
    <w:rsid w:val="00FB1C2F"/>
    <w:rsid w:val="00FB1D58"/>
    <w:rsid w:val="00FB2313"/>
    <w:rsid w:val="00FB2AEE"/>
    <w:rsid w:val="00FB372C"/>
    <w:rsid w:val="00FB40D0"/>
    <w:rsid w:val="00FB4DB6"/>
    <w:rsid w:val="00FB4FDA"/>
    <w:rsid w:val="00FB5366"/>
    <w:rsid w:val="00FB6D76"/>
    <w:rsid w:val="00FB6DCD"/>
    <w:rsid w:val="00FB78CE"/>
    <w:rsid w:val="00FB7C68"/>
    <w:rsid w:val="00FC0011"/>
    <w:rsid w:val="00FC08A4"/>
    <w:rsid w:val="00FC08E5"/>
    <w:rsid w:val="00FC13B9"/>
    <w:rsid w:val="00FC1BB7"/>
    <w:rsid w:val="00FC22E8"/>
    <w:rsid w:val="00FC2CAF"/>
    <w:rsid w:val="00FC2F1B"/>
    <w:rsid w:val="00FC3E11"/>
    <w:rsid w:val="00FC3FA0"/>
    <w:rsid w:val="00FC40F6"/>
    <w:rsid w:val="00FC529A"/>
    <w:rsid w:val="00FC588D"/>
    <w:rsid w:val="00FC5DA7"/>
    <w:rsid w:val="00FC7BB4"/>
    <w:rsid w:val="00FD0101"/>
    <w:rsid w:val="00FD02C6"/>
    <w:rsid w:val="00FD1240"/>
    <w:rsid w:val="00FD1AE6"/>
    <w:rsid w:val="00FD2095"/>
    <w:rsid w:val="00FD2CB0"/>
    <w:rsid w:val="00FD52CA"/>
    <w:rsid w:val="00FD586C"/>
    <w:rsid w:val="00FD5DD7"/>
    <w:rsid w:val="00FD68AB"/>
    <w:rsid w:val="00FD68E4"/>
    <w:rsid w:val="00FD7685"/>
    <w:rsid w:val="00FD7B32"/>
    <w:rsid w:val="00FD7E05"/>
    <w:rsid w:val="00FD7FC4"/>
    <w:rsid w:val="00FE0017"/>
    <w:rsid w:val="00FE0FC5"/>
    <w:rsid w:val="00FE12CD"/>
    <w:rsid w:val="00FE1730"/>
    <w:rsid w:val="00FE304D"/>
    <w:rsid w:val="00FE30D2"/>
    <w:rsid w:val="00FE32CC"/>
    <w:rsid w:val="00FE3CC8"/>
    <w:rsid w:val="00FE401A"/>
    <w:rsid w:val="00FE4514"/>
    <w:rsid w:val="00FE460A"/>
    <w:rsid w:val="00FE4B62"/>
    <w:rsid w:val="00FE4F8A"/>
    <w:rsid w:val="00FE60B2"/>
    <w:rsid w:val="00FE6E30"/>
    <w:rsid w:val="00FE6E83"/>
    <w:rsid w:val="00FE7511"/>
    <w:rsid w:val="00FE7A98"/>
    <w:rsid w:val="00FE7C96"/>
    <w:rsid w:val="00FE7FE2"/>
    <w:rsid w:val="00FF0E8D"/>
    <w:rsid w:val="00FF12BD"/>
    <w:rsid w:val="00FF12D4"/>
    <w:rsid w:val="00FF1892"/>
    <w:rsid w:val="00FF1E30"/>
    <w:rsid w:val="00FF30EF"/>
    <w:rsid w:val="00FF3E78"/>
    <w:rsid w:val="00FF460C"/>
    <w:rsid w:val="00FF5134"/>
    <w:rsid w:val="00FF529E"/>
    <w:rsid w:val="00FF59C9"/>
    <w:rsid w:val="00FF5C47"/>
    <w:rsid w:val="00FF5CAC"/>
    <w:rsid w:val="00FF605F"/>
    <w:rsid w:val="00FF6094"/>
    <w:rsid w:val="00FF7753"/>
    <w:rsid w:val="00FF79E0"/>
    <w:rsid w:val="01803CBF"/>
    <w:rsid w:val="018398BA"/>
    <w:rsid w:val="01AE8E4E"/>
    <w:rsid w:val="01D4B41D"/>
    <w:rsid w:val="01D6F944"/>
    <w:rsid w:val="02447097"/>
    <w:rsid w:val="0252881F"/>
    <w:rsid w:val="0269162C"/>
    <w:rsid w:val="028702ED"/>
    <w:rsid w:val="02AC9C7F"/>
    <w:rsid w:val="02ACE9BE"/>
    <w:rsid w:val="02D1376D"/>
    <w:rsid w:val="03209854"/>
    <w:rsid w:val="0323A104"/>
    <w:rsid w:val="0328F4D0"/>
    <w:rsid w:val="0340D92F"/>
    <w:rsid w:val="03465ECF"/>
    <w:rsid w:val="034D2BCE"/>
    <w:rsid w:val="0368B110"/>
    <w:rsid w:val="0377807D"/>
    <w:rsid w:val="0377AA43"/>
    <w:rsid w:val="038C3481"/>
    <w:rsid w:val="039222BD"/>
    <w:rsid w:val="03A2668D"/>
    <w:rsid w:val="03A7725C"/>
    <w:rsid w:val="03B737D1"/>
    <w:rsid w:val="03BF2FEF"/>
    <w:rsid w:val="03C196D8"/>
    <w:rsid w:val="04217B91"/>
    <w:rsid w:val="043B325B"/>
    <w:rsid w:val="0442ED10"/>
    <w:rsid w:val="04547235"/>
    <w:rsid w:val="045F8CAC"/>
    <w:rsid w:val="046088CB"/>
    <w:rsid w:val="0460D9D1"/>
    <w:rsid w:val="04728DEB"/>
    <w:rsid w:val="04755895"/>
    <w:rsid w:val="0475AB15"/>
    <w:rsid w:val="0494CD04"/>
    <w:rsid w:val="049A6B06"/>
    <w:rsid w:val="049E5554"/>
    <w:rsid w:val="04D2A609"/>
    <w:rsid w:val="04D403A6"/>
    <w:rsid w:val="04F58CEA"/>
    <w:rsid w:val="04FC76E0"/>
    <w:rsid w:val="0525FB75"/>
    <w:rsid w:val="052DFF25"/>
    <w:rsid w:val="05341E59"/>
    <w:rsid w:val="05877EE3"/>
    <w:rsid w:val="0596117B"/>
    <w:rsid w:val="05967F17"/>
    <w:rsid w:val="05CB047D"/>
    <w:rsid w:val="06030DBE"/>
    <w:rsid w:val="06484087"/>
    <w:rsid w:val="06543FC2"/>
    <w:rsid w:val="065A751F"/>
    <w:rsid w:val="066CEBC8"/>
    <w:rsid w:val="067E46DC"/>
    <w:rsid w:val="06DB3738"/>
    <w:rsid w:val="06F173DC"/>
    <w:rsid w:val="06F9379A"/>
    <w:rsid w:val="070D2B53"/>
    <w:rsid w:val="0738C5F7"/>
    <w:rsid w:val="07445CFF"/>
    <w:rsid w:val="07471733"/>
    <w:rsid w:val="078A4992"/>
    <w:rsid w:val="07A1809F"/>
    <w:rsid w:val="07C2D8AF"/>
    <w:rsid w:val="07CC6881"/>
    <w:rsid w:val="07DAE11A"/>
    <w:rsid w:val="084C1785"/>
    <w:rsid w:val="0862A3A0"/>
    <w:rsid w:val="086B6A6B"/>
    <w:rsid w:val="08738D5D"/>
    <w:rsid w:val="0879913E"/>
    <w:rsid w:val="08835E79"/>
    <w:rsid w:val="0890D91B"/>
    <w:rsid w:val="08940BDC"/>
    <w:rsid w:val="08D1B755"/>
    <w:rsid w:val="08D69796"/>
    <w:rsid w:val="08DE3C4F"/>
    <w:rsid w:val="08E81293"/>
    <w:rsid w:val="09537F2F"/>
    <w:rsid w:val="096F702C"/>
    <w:rsid w:val="099EC219"/>
    <w:rsid w:val="09D83FAD"/>
    <w:rsid w:val="0A000798"/>
    <w:rsid w:val="0A18AC1E"/>
    <w:rsid w:val="0A1AFCBB"/>
    <w:rsid w:val="0A1D5C21"/>
    <w:rsid w:val="0A1ED33C"/>
    <w:rsid w:val="0A44FE87"/>
    <w:rsid w:val="0A52EBEB"/>
    <w:rsid w:val="0A5431DE"/>
    <w:rsid w:val="0A6FF41B"/>
    <w:rsid w:val="0A78F1BA"/>
    <w:rsid w:val="0A79C156"/>
    <w:rsid w:val="0A9A6A5F"/>
    <w:rsid w:val="0AC7AAF3"/>
    <w:rsid w:val="0ADAAC32"/>
    <w:rsid w:val="0B03516A"/>
    <w:rsid w:val="0B04EB1D"/>
    <w:rsid w:val="0B187427"/>
    <w:rsid w:val="0B32AAFD"/>
    <w:rsid w:val="0B452112"/>
    <w:rsid w:val="0B6BA399"/>
    <w:rsid w:val="0B9AAE4E"/>
    <w:rsid w:val="0BB9610C"/>
    <w:rsid w:val="0BBF9ABC"/>
    <w:rsid w:val="0BC84A8F"/>
    <w:rsid w:val="0BD37102"/>
    <w:rsid w:val="0BD78AA0"/>
    <w:rsid w:val="0C11473B"/>
    <w:rsid w:val="0C1793F9"/>
    <w:rsid w:val="0C33A6AF"/>
    <w:rsid w:val="0C72AA4A"/>
    <w:rsid w:val="0CA2CFF5"/>
    <w:rsid w:val="0CB15AED"/>
    <w:rsid w:val="0CB749C8"/>
    <w:rsid w:val="0CC9B6A3"/>
    <w:rsid w:val="0CE9FFDC"/>
    <w:rsid w:val="0D0C2212"/>
    <w:rsid w:val="0D149195"/>
    <w:rsid w:val="0D1C4C4A"/>
    <w:rsid w:val="0D4D492C"/>
    <w:rsid w:val="0D4E54A2"/>
    <w:rsid w:val="0D674125"/>
    <w:rsid w:val="0D6DA4FA"/>
    <w:rsid w:val="0D83E4E1"/>
    <w:rsid w:val="0DE28A61"/>
    <w:rsid w:val="0DEF90D2"/>
    <w:rsid w:val="0E02BED1"/>
    <w:rsid w:val="0E128059"/>
    <w:rsid w:val="0E2665A1"/>
    <w:rsid w:val="0E30F71A"/>
    <w:rsid w:val="0E5C0B18"/>
    <w:rsid w:val="0E70EA04"/>
    <w:rsid w:val="0E7565FB"/>
    <w:rsid w:val="0EAE0416"/>
    <w:rsid w:val="0EFAB5BA"/>
    <w:rsid w:val="0F041A45"/>
    <w:rsid w:val="0F263FED"/>
    <w:rsid w:val="0F525DC1"/>
    <w:rsid w:val="0F8CC400"/>
    <w:rsid w:val="0F8E5146"/>
    <w:rsid w:val="0F90C99B"/>
    <w:rsid w:val="0FCF5B0A"/>
    <w:rsid w:val="1003E070"/>
    <w:rsid w:val="102212F6"/>
    <w:rsid w:val="10311B5B"/>
    <w:rsid w:val="10415A13"/>
    <w:rsid w:val="10455B85"/>
    <w:rsid w:val="10EB3F45"/>
    <w:rsid w:val="10EE0C42"/>
    <w:rsid w:val="10F6001C"/>
    <w:rsid w:val="1107880C"/>
    <w:rsid w:val="111E1A65"/>
    <w:rsid w:val="1154BB5D"/>
    <w:rsid w:val="11693D0A"/>
    <w:rsid w:val="119E8027"/>
    <w:rsid w:val="11A5FB10"/>
    <w:rsid w:val="11BE409B"/>
    <w:rsid w:val="11EA5A87"/>
    <w:rsid w:val="11F1F665"/>
    <w:rsid w:val="1202FA21"/>
    <w:rsid w:val="122913C3"/>
    <w:rsid w:val="125CE29A"/>
    <w:rsid w:val="126BA58B"/>
    <w:rsid w:val="12C16D65"/>
    <w:rsid w:val="12F754D5"/>
    <w:rsid w:val="12FABC3F"/>
    <w:rsid w:val="131E9B2A"/>
    <w:rsid w:val="13236087"/>
    <w:rsid w:val="1328DBF6"/>
    <w:rsid w:val="1338F827"/>
    <w:rsid w:val="13801E12"/>
    <w:rsid w:val="1382B7CC"/>
    <w:rsid w:val="13D1C82D"/>
    <w:rsid w:val="13E0CD14"/>
    <w:rsid w:val="13E398A4"/>
    <w:rsid w:val="13E4EC44"/>
    <w:rsid w:val="142EB1F2"/>
    <w:rsid w:val="1442572D"/>
    <w:rsid w:val="145B10FE"/>
    <w:rsid w:val="1466C97B"/>
    <w:rsid w:val="14670E15"/>
    <w:rsid w:val="14999AD1"/>
    <w:rsid w:val="149B4449"/>
    <w:rsid w:val="14B08EA1"/>
    <w:rsid w:val="14C639DD"/>
    <w:rsid w:val="14EF3653"/>
    <w:rsid w:val="14F83F3D"/>
    <w:rsid w:val="153D594D"/>
    <w:rsid w:val="15456050"/>
    <w:rsid w:val="154658D8"/>
    <w:rsid w:val="154FE556"/>
    <w:rsid w:val="15A2B136"/>
    <w:rsid w:val="15A451C3"/>
    <w:rsid w:val="15B02FC5"/>
    <w:rsid w:val="15C72EEB"/>
    <w:rsid w:val="15D73898"/>
    <w:rsid w:val="15D99962"/>
    <w:rsid w:val="15E3B003"/>
    <w:rsid w:val="15EF5B34"/>
    <w:rsid w:val="1614A9DD"/>
    <w:rsid w:val="165EE921"/>
    <w:rsid w:val="1679D556"/>
    <w:rsid w:val="168F2B11"/>
    <w:rsid w:val="16A3286F"/>
    <w:rsid w:val="16B095A8"/>
    <w:rsid w:val="16B0F69F"/>
    <w:rsid w:val="16D3E626"/>
    <w:rsid w:val="16F9968F"/>
    <w:rsid w:val="1721FA84"/>
    <w:rsid w:val="1727B4B9"/>
    <w:rsid w:val="173E4FFD"/>
    <w:rsid w:val="173FAD44"/>
    <w:rsid w:val="17480053"/>
    <w:rsid w:val="1752DDEA"/>
    <w:rsid w:val="178D56A4"/>
    <w:rsid w:val="17B2BD3F"/>
    <w:rsid w:val="17C48234"/>
    <w:rsid w:val="17CB6F09"/>
    <w:rsid w:val="17F8D703"/>
    <w:rsid w:val="17FACE02"/>
    <w:rsid w:val="17FD4327"/>
    <w:rsid w:val="182F4887"/>
    <w:rsid w:val="1832F4F3"/>
    <w:rsid w:val="18343105"/>
    <w:rsid w:val="1880BF88"/>
    <w:rsid w:val="189AED0D"/>
    <w:rsid w:val="18A8A449"/>
    <w:rsid w:val="18CFC472"/>
    <w:rsid w:val="18E7BDDF"/>
    <w:rsid w:val="190F86E1"/>
    <w:rsid w:val="1923C93C"/>
    <w:rsid w:val="1926DDC1"/>
    <w:rsid w:val="19905CB4"/>
    <w:rsid w:val="19A24B3F"/>
    <w:rsid w:val="19AC8501"/>
    <w:rsid w:val="19D6D7A6"/>
    <w:rsid w:val="19D9CD12"/>
    <w:rsid w:val="1A0D3669"/>
    <w:rsid w:val="1A23BC2F"/>
    <w:rsid w:val="1A25B46D"/>
    <w:rsid w:val="1A366187"/>
    <w:rsid w:val="1A4BBC4B"/>
    <w:rsid w:val="1A91A1E9"/>
    <w:rsid w:val="1AB12A25"/>
    <w:rsid w:val="1ABA86B6"/>
    <w:rsid w:val="1AD7A79F"/>
    <w:rsid w:val="1AE460AB"/>
    <w:rsid w:val="1AF1F81B"/>
    <w:rsid w:val="1B1B5CF6"/>
    <w:rsid w:val="1B2B2099"/>
    <w:rsid w:val="1B35D35B"/>
    <w:rsid w:val="1B6E7A36"/>
    <w:rsid w:val="1B82140F"/>
    <w:rsid w:val="1BA2C4BD"/>
    <w:rsid w:val="1BBF783D"/>
    <w:rsid w:val="1BD38790"/>
    <w:rsid w:val="1BE000F7"/>
    <w:rsid w:val="1BE15E6C"/>
    <w:rsid w:val="1BF2BFB5"/>
    <w:rsid w:val="1BFC54CC"/>
    <w:rsid w:val="1BFC8CF0"/>
    <w:rsid w:val="1C259867"/>
    <w:rsid w:val="1C343A7F"/>
    <w:rsid w:val="1C98437E"/>
    <w:rsid w:val="1CBC6AFE"/>
    <w:rsid w:val="1CD5CD84"/>
    <w:rsid w:val="1CEF413B"/>
    <w:rsid w:val="1D092B27"/>
    <w:rsid w:val="1D221186"/>
    <w:rsid w:val="1D42A8BB"/>
    <w:rsid w:val="1D56B6C2"/>
    <w:rsid w:val="1D5D48D5"/>
    <w:rsid w:val="1DB5CF48"/>
    <w:rsid w:val="1E0A5AA9"/>
    <w:rsid w:val="1E0D6F51"/>
    <w:rsid w:val="1E152A06"/>
    <w:rsid w:val="1E46F415"/>
    <w:rsid w:val="1E5A20F5"/>
    <w:rsid w:val="1E6C38BD"/>
    <w:rsid w:val="1E6FD85F"/>
    <w:rsid w:val="1E85FB1A"/>
    <w:rsid w:val="1E860D16"/>
    <w:rsid w:val="1E903476"/>
    <w:rsid w:val="1EA515D0"/>
    <w:rsid w:val="1EBD0F3D"/>
    <w:rsid w:val="1F324205"/>
    <w:rsid w:val="1F4498ED"/>
    <w:rsid w:val="1F635643"/>
    <w:rsid w:val="1F681B0C"/>
    <w:rsid w:val="1FA8ECA4"/>
    <w:rsid w:val="200FF04F"/>
    <w:rsid w:val="202DEDFB"/>
    <w:rsid w:val="202E208D"/>
    <w:rsid w:val="2039F5C5"/>
    <w:rsid w:val="2048C91D"/>
    <w:rsid w:val="206C2640"/>
    <w:rsid w:val="206EADFC"/>
    <w:rsid w:val="2074D613"/>
    <w:rsid w:val="2089A757"/>
    <w:rsid w:val="2092FDB3"/>
    <w:rsid w:val="209EDBB5"/>
    <w:rsid w:val="20A96EF3"/>
    <w:rsid w:val="20B90031"/>
    <w:rsid w:val="20D8B4E7"/>
    <w:rsid w:val="20E03233"/>
    <w:rsid w:val="20F1E64D"/>
    <w:rsid w:val="20F7114C"/>
    <w:rsid w:val="21005E4B"/>
    <w:rsid w:val="21019F12"/>
    <w:rsid w:val="2104E78C"/>
    <w:rsid w:val="210AE562"/>
    <w:rsid w:val="210D6D1E"/>
    <w:rsid w:val="21331686"/>
    <w:rsid w:val="214C3350"/>
    <w:rsid w:val="220AA694"/>
    <w:rsid w:val="2210A480"/>
    <w:rsid w:val="2221DA04"/>
    <w:rsid w:val="2227AAD7"/>
    <w:rsid w:val="22354A82"/>
    <w:rsid w:val="224160A8"/>
    <w:rsid w:val="22520BAD"/>
    <w:rsid w:val="22559B6F"/>
    <w:rsid w:val="2269BBEE"/>
    <w:rsid w:val="22858E49"/>
    <w:rsid w:val="2299211D"/>
    <w:rsid w:val="22A1018F"/>
    <w:rsid w:val="22A9CA5F"/>
    <w:rsid w:val="22AC18DB"/>
    <w:rsid w:val="22BE6227"/>
    <w:rsid w:val="22C720A1"/>
    <w:rsid w:val="22EB613C"/>
    <w:rsid w:val="2307F1B9"/>
    <w:rsid w:val="23258564"/>
    <w:rsid w:val="2336DC9B"/>
    <w:rsid w:val="233ADB78"/>
    <w:rsid w:val="233CEFAC"/>
    <w:rsid w:val="2370FF0F"/>
    <w:rsid w:val="237FD267"/>
    <w:rsid w:val="2397CBD4"/>
    <w:rsid w:val="239DC9C0"/>
    <w:rsid w:val="23C0FE58"/>
    <w:rsid w:val="23C72416"/>
    <w:rsid w:val="23ECEAA0"/>
    <w:rsid w:val="23F3EC36"/>
    <w:rsid w:val="24278ED1"/>
    <w:rsid w:val="24351A99"/>
    <w:rsid w:val="2435B0FF"/>
    <w:rsid w:val="243D48DC"/>
    <w:rsid w:val="243FBBEC"/>
    <w:rsid w:val="246A1FD0"/>
    <w:rsid w:val="2473D7EA"/>
    <w:rsid w:val="247EBE8E"/>
    <w:rsid w:val="24C61B0E"/>
    <w:rsid w:val="24F3E062"/>
    <w:rsid w:val="2500A455"/>
    <w:rsid w:val="2508075F"/>
    <w:rsid w:val="250B11FD"/>
    <w:rsid w:val="2510CC78"/>
    <w:rsid w:val="252854B2"/>
    <w:rsid w:val="2537CE66"/>
    <w:rsid w:val="256B299B"/>
    <w:rsid w:val="2584C30F"/>
    <w:rsid w:val="25D094F1"/>
    <w:rsid w:val="26009943"/>
    <w:rsid w:val="26040E88"/>
    <w:rsid w:val="260DDBC3"/>
    <w:rsid w:val="2651C4E6"/>
    <w:rsid w:val="2652D2B2"/>
    <w:rsid w:val="26755264"/>
    <w:rsid w:val="26A3D979"/>
    <w:rsid w:val="26A90D81"/>
    <w:rsid w:val="26F71781"/>
    <w:rsid w:val="2701CD29"/>
    <w:rsid w:val="27485173"/>
    <w:rsid w:val="279B56F5"/>
    <w:rsid w:val="27AB5117"/>
    <w:rsid w:val="27D23F51"/>
    <w:rsid w:val="27EDDABE"/>
    <w:rsid w:val="27FD9248"/>
    <w:rsid w:val="281FB473"/>
    <w:rsid w:val="28272835"/>
    <w:rsid w:val="2844DDE2"/>
    <w:rsid w:val="285BAA7A"/>
    <w:rsid w:val="288D2A11"/>
    <w:rsid w:val="28A7F55C"/>
    <w:rsid w:val="28B40FB8"/>
    <w:rsid w:val="28D04815"/>
    <w:rsid w:val="28E36225"/>
    <w:rsid w:val="28EB1CDA"/>
    <w:rsid w:val="28F4D8D6"/>
    <w:rsid w:val="28F72CB2"/>
    <w:rsid w:val="28F906A7"/>
    <w:rsid w:val="290A7D98"/>
    <w:rsid w:val="2938AB6D"/>
    <w:rsid w:val="2945EB30"/>
    <w:rsid w:val="29AD229E"/>
    <w:rsid w:val="29E4DD23"/>
    <w:rsid w:val="29E6D561"/>
    <w:rsid w:val="2A12CD1F"/>
    <w:rsid w:val="2A1553D2"/>
    <w:rsid w:val="2A3AE54D"/>
    <w:rsid w:val="2A42C99E"/>
    <w:rsid w:val="2A4389E3"/>
    <w:rsid w:val="2A487261"/>
    <w:rsid w:val="2A6031BC"/>
    <w:rsid w:val="2A6285FA"/>
    <w:rsid w:val="2A7D7513"/>
    <w:rsid w:val="2ADC9092"/>
    <w:rsid w:val="2ADFED19"/>
    <w:rsid w:val="2B1D960A"/>
    <w:rsid w:val="2B200DE3"/>
    <w:rsid w:val="2B2DCBE5"/>
    <w:rsid w:val="2B309749"/>
    <w:rsid w:val="2BA876FE"/>
    <w:rsid w:val="2BD57480"/>
    <w:rsid w:val="2BE994FF"/>
    <w:rsid w:val="2BF130DD"/>
    <w:rsid w:val="2C05675A"/>
    <w:rsid w:val="2C32320B"/>
    <w:rsid w:val="2C8416A8"/>
    <w:rsid w:val="2CCB6B8B"/>
    <w:rsid w:val="2CE4316B"/>
    <w:rsid w:val="2CF0A54F"/>
    <w:rsid w:val="2D1DA2D1"/>
    <w:rsid w:val="2D686540"/>
    <w:rsid w:val="2D9C521F"/>
    <w:rsid w:val="2DCA4237"/>
    <w:rsid w:val="2DD1FF74"/>
    <w:rsid w:val="2DD61829"/>
    <w:rsid w:val="2DE39EC8"/>
    <w:rsid w:val="2E0E4690"/>
    <w:rsid w:val="2E210D04"/>
    <w:rsid w:val="2E36C2F2"/>
    <w:rsid w:val="2E50FD2A"/>
    <w:rsid w:val="2E55C53B"/>
    <w:rsid w:val="2E6DBEA8"/>
    <w:rsid w:val="2E71C92A"/>
    <w:rsid w:val="2E8FAFF1"/>
    <w:rsid w:val="2ED0EDB0"/>
    <w:rsid w:val="2F064D0D"/>
    <w:rsid w:val="2F0B7713"/>
    <w:rsid w:val="2F0E07C2"/>
    <w:rsid w:val="2F1E05A7"/>
    <w:rsid w:val="2F248218"/>
    <w:rsid w:val="2F504249"/>
    <w:rsid w:val="2F5ADB8E"/>
    <w:rsid w:val="2F5CB375"/>
    <w:rsid w:val="2F6E90E7"/>
    <w:rsid w:val="2F9A025E"/>
    <w:rsid w:val="2FB14074"/>
    <w:rsid w:val="2FB3D651"/>
    <w:rsid w:val="2FDA294C"/>
    <w:rsid w:val="3002102E"/>
    <w:rsid w:val="30442FFA"/>
    <w:rsid w:val="3047D06B"/>
    <w:rsid w:val="30979084"/>
    <w:rsid w:val="309F4B39"/>
    <w:rsid w:val="30A1C4C4"/>
    <w:rsid w:val="30AD6DE0"/>
    <w:rsid w:val="30E621DD"/>
    <w:rsid w:val="30E984C7"/>
    <w:rsid w:val="314B6C8F"/>
    <w:rsid w:val="314FC51C"/>
    <w:rsid w:val="31668EFD"/>
    <w:rsid w:val="31869DC8"/>
    <w:rsid w:val="318BE101"/>
    <w:rsid w:val="3196CA65"/>
    <w:rsid w:val="3198B590"/>
    <w:rsid w:val="31A4C7F2"/>
    <w:rsid w:val="31D192A3"/>
    <w:rsid w:val="31D44C34"/>
    <w:rsid w:val="31E1D30F"/>
    <w:rsid w:val="31FFC2DE"/>
    <w:rsid w:val="3231E148"/>
    <w:rsid w:val="3241B2C9"/>
    <w:rsid w:val="325E6F4D"/>
    <w:rsid w:val="3280CCBA"/>
    <w:rsid w:val="32CDD9F8"/>
    <w:rsid w:val="32E6F857"/>
    <w:rsid w:val="32E89E96"/>
    <w:rsid w:val="32F5EE54"/>
    <w:rsid w:val="33038450"/>
    <w:rsid w:val="33072C57"/>
    <w:rsid w:val="3309D82E"/>
    <w:rsid w:val="333389D2"/>
    <w:rsid w:val="33433ACD"/>
    <w:rsid w:val="3355F677"/>
    <w:rsid w:val="335ADC67"/>
    <w:rsid w:val="3369326B"/>
    <w:rsid w:val="338956F1"/>
    <w:rsid w:val="33CE113A"/>
    <w:rsid w:val="33DB7002"/>
    <w:rsid w:val="33EE4DF0"/>
    <w:rsid w:val="341643C4"/>
    <w:rsid w:val="341EE7F0"/>
    <w:rsid w:val="3441D777"/>
    <w:rsid w:val="346CE678"/>
    <w:rsid w:val="34A4A3DD"/>
    <w:rsid w:val="34CBB063"/>
    <w:rsid w:val="34CF5A33"/>
    <w:rsid w:val="34DF0B2E"/>
    <w:rsid w:val="34E9B408"/>
    <w:rsid w:val="356B3478"/>
    <w:rsid w:val="3586A7DC"/>
    <w:rsid w:val="35B9F8A2"/>
    <w:rsid w:val="35CE91C2"/>
    <w:rsid w:val="35D06781"/>
    <w:rsid w:val="360AFF69"/>
    <w:rsid w:val="367A0A5E"/>
    <w:rsid w:val="3687868F"/>
    <w:rsid w:val="36EAAA17"/>
    <w:rsid w:val="3711D914"/>
    <w:rsid w:val="372CB75A"/>
    <w:rsid w:val="373B06C1"/>
    <w:rsid w:val="3746EB11"/>
    <w:rsid w:val="374BB06E"/>
    <w:rsid w:val="375603E2"/>
    <w:rsid w:val="377ED607"/>
    <w:rsid w:val="37979276"/>
    <w:rsid w:val="37BDE02C"/>
    <w:rsid w:val="37F297E1"/>
    <w:rsid w:val="37F6F2A2"/>
    <w:rsid w:val="382356F0"/>
    <w:rsid w:val="384E1596"/>
    <w:rsid w:val="38580D4F"/>
    <w:rsid w:val="3862EF32"/>
    <w:rsid w:val="387752C6"/>
    <w:rsid w:val="3886261E"/>
    <w:rsid w:val="38A41D77"/>
    <w:rsid w:val="38AA8EF4"/>
    <w:rsid w:val="38AC0AFD"/>
    <w:rsid w:val="38B6F5E9"/>
    <w:rsid w:val="38E0583F"/>
    <w:rsid w:val="38E3167A"/>
    <w:rsid w:val="3916AB54"/>
    <w:rsid w:val="39273AE6"/>
    <w:rsid w:val="3961BCD5"/>
    <w:rsid w:val="39707387"/>
    <w:rsid w:val="39F6AACF"/>
    <w:rsid w:val="39FFBBB2"/>
    <w:rsid w:val="3A1629DB"/>
    <w:rsid w:val="3A212720"/>
    <w:rsid w:val="3A2DBFEB"/>
    <w:rsid w:val="3A3FC50B"/>
    <w:rsid w:val="3A78EC7D"/>
    <w:rsid w:val="3A97B1C7"/>
    <w:rsid w:val="3AB279C1"/>
    <w:rsid w:val="3ADF9A64"/>
    <w:rsid w:val="3B1E7046"/>
    <w:rsid w:val="3B24C424"/>
    <w:rsid w:val="3B408A95"/>
    <w:rsid w:val="3B5E3E2C"/>
    <w:rsid w:val="3B9957FB"/>
    <w:rsid w:val="3BC9267A"/>
    <w:rsid w:val="3BD66A6D"/>
    <w:rsid w:val="3BE8C980"/>
    <w:rsid w:val="3BECD896"/>
    <w:rsid w:val="3C08BDAF"/>
    <w:rsid w:val="3C9DEE6A"/>
    <w:rsid w:val="3CAD9763"/>
    <w:rsid w:val="3CD210E2"/>
    <w:rsid w:val="3CF46146"/>
    <w:rsid w:val="3CFE77E7"/>
    <w:rsid w:val="3D124647"/>
    <w:rsid w:val="3D163E83"/>
    <w:rsid w:val="3D293012"/>
    <w:rsid w:val="3D461CFC"/>
    <w:rsid w:val="3D6D050D"/>
    <w:rsid w:val="3DBB4CFA"/>
    <w:rsid w:val="3DCEC5E9"/>
    <w:rsid w:val="3DE7A356"/>
    <w:rsid w:val="3DF798A8"/>
    <w:rsid w:val="3E19CBD7"/>
    <w:rsid w:val="3E1C8718"/>
    <w:rsid w:val="3E2A7DEB"/>
    <w:rsid w:val="3E362A17"/>
    <w:rsid w:val="3E78D6B3"/>
    <w:rsid w:val="3E80BB2A"/>
    <w:rsid w:val="3E8FF24A"/>
    <w:rsid w:val="3E912881"/>
    <w:rsid w:val="3ED6B09A"/>
    <w:rsid w:val="3EFAD00A"/>
    <w:rsid w:val="3F1BA789"/>
    <w:rsid w:val="3F243F2F"/>
    <w:rsid w:val="3F44D5BC"/>
    <w:rsid w:val="3F55EDBB"/>
    <w:rsid w:val="3F56CB48"/>
    <w:rsid w:val="3F75413C"/>
    <w:rsid w:val="3F7E95D1"/>
    <w:rsid w:val="3FAB04E4"/>
    <w:rsid w:val="3FC33122"/>
    <w:rsid w:val="3FDA1ACD"/>
    <w:rsid w:val="40327874"/>
    <w:rsid w:val="4047F229"/>
    <w:rsid w:val="404A1B2C"/>
    <w:rsid w:val="404D47CD"/>
    <w:rsid w:val="40583541"/>
    <w:rsid w:val="40A8DF71"/>
    <w:rsid w:val="40BF6C2B"/>
    <w:rsid w:val="40C4F867"/>
    <w:rsid w:val="40D2CA38"/>
    <w:rsid w:val="4156E227"/>
    <w:rsid w:val="4161CEA2"/>
    <w:rsid w:val="416AE90E"/>
    <w:rsid w:val="41A7EB76"/>
    <w:rsid w:val="41B6FA45"/>
    <w:rsid w:val="41D5652F"/>
    <w:rsid w:val="41DA46B1"/>
    <w:rsid w:val="41E85F6F"/>
    <w:rsid w:val="4219DFE7"/>
    <w:rsid w:val="4243B3B3"/>
    <w:rsid w:val="4255501D"/>
    <w:rsid w:val="42652AE4"/>
    <w:rsid w:val="426AAA40"/>
    <w:rsid w:val="427C0E3A"/>
    <w:rsid w:val="42C47273"/>
    <w:rsid w:val="42C9ACC0"/>
    <w:rsid w:val="42E3EDEE"/>
    <w:rsid w:val="42E49505"/>
    <w:rsid w:val="42F88384"/>
    <w:rsid w:val="433B57A4"/>
    <w:rsid w:val="43529741"/>
    <w:rsid w:val="43721634"/>
    <w:rsid w:val="437F32E4"/>
    <w:rsid w:val="43A10031"/>
    <w:rsid w:val="43A55A99"/>
    <w:rsid w:val="43AF3C13"/>
    <w:rsid w:val="43B08DA3"/>
    <w:rsid w:val="43DFD613"/>
    <w:rsid w:val="44A1F258"/>
    <w:rsid w:val="44D219A9"/>
    <w:rsid w:val="4511692B"/>
    <w:rsid w:val="452F6D1A"/>
    <w:rsid w:val="45625916"/>
    <w:rsid w:val="456AE4C4"/>
    <w:rsid w:val="457B5475"/>
    <w:rsid w:val="45853A39"/>
    <w:rsid w:val="45AC70E8"/>
    <w:rsid w:val="45B0FD0E"/>
    <w:rsid w:val="45C63FB1"/>
    <w:rsid w:val="45C6534A"/>
    <w:rsid w:val="45C788B9"/>
    <w:rsid w:val="45CE7E3B"/>
    <w:rsid w:val="4604F795"/>
    <w:rsid w:val="46184E2A"/>
    <w:rsid w:val="4635906F"/>
    <w:rsid w:val="46403E17"/>
    <w:rsid w:val="464DEDE4"/>
    <w:rsid w:val="468CF17F"/>
    <w:rsid w:val="46B118FF"/>
    <w:rsid w:val="46F19C90"/>
    <w:rsid w:val="47010883"/>
    <w:rsid w:val="47312214"/>
    <w:rsid w:val="474156C8"/>
    <w:rsid w:val="4742020C"/>
    <w:rsid w:val="47421F0C"/>
    <w:rsid w:val="47646FCA"/>
    <w:rsid w:val="47F24D19"/>
    <w:rsid w:val="4807AA46"/>
    <w:rsid w:val="48134A80"/>
    <w:rsid w:val="484C10BB"/>
    <w:rsid w:val="48560C55"/>
    <w:rsid w:val="486B17FC"/>
    <w:rsid w:val="486CF920"/>
    <w:rsid w:val="48865ABB"/>
    <w:rsid w:val="48D03F6B"/>
    <w:rsid w:val="48EC9D8C"/>
    <w:rsid w:val="490EE974"/>
    <w:rsid w:val="4922AAF8"/>
    <w:rsid w:val="4922E6D2"/>
    <w:rsid w:val="49238583"/>
    <w:rsid w:val="493F6E0C"/>
    <w:rsid w:val="496619E1"/>
    <w:rsid w:val="496A3296"/>
    <w:rsid w:val="498D221D"/>
    <w:rsid w:val="49A68731"/>
    <w:rsid w:val="49B40285"/>
    <w:rsid w:val="49D1C5A8"/>
    <w:rsid w:val="49E11E3C"/>
    <w:rsid w:val="4A062E38"/>
    <w:rsid w:val="4A46A63C"/>
    <w:rsid w:val="4A695143"/>
    <w:rsid w:val="4AA38D8F"/>
    <w:rsid w:val="4AD0D38D"/>
    <w:rsid w:val="4AD44E01"/>
    <w:rsid w:val="4ADBF123"/>
    <w:rsid w:val="4AEB4B4F"/>
    <w:rsid w:val="4AFCEBF1"/>
    <w:rsid w:val="4B489B56"/>
    <w:rsid w:val="4B574B73"/>
    <w:rsid w:val="4B7D2CFF"/>
    <w:rsid w:val="4B7E8234"/>
    <w:rsid w:val="4B959323"/>
    <w:rsid w:val="4BB5CB1A"/>
    <w:rsid w:val="4BB7CCF7"/>
    <w:rsid w:val="4BD79B22"/>
    <w:rsid w:val="4C432827"/>
    <w:rsid w:val="4C4E1838"/>
    <w:rsid w:val="4C7A3C4A"/>
    <w:rsid w:val="4C816890"/>
    <w:rsid w:val="4C96BDAB"/>
    <w:rsid w:val="4C96F5C1"/>
    <w:rsid w:val="4CA739CC"/>
    <w:rsid w:val="4CC0F002"/>
    <w:rsid w:val="4CF22AD2"/>
    <w:rsid w:val="4D20B621"/>
    <w:rsid w:val="4D325FA3"/>
    <w:rsid w:val="4D3A3A32"/>
    <w:rsid w:val="4D3CA105"/>
    <w:rsid w:val="4D465D01"/>
    <w:rsid w:val="4D7C4EC0"/>
    <w:rsid w:val="4D8E22E7"/>
    <w:rsid w:val="4D9E2600"/>
    <w:rsid w:val="4DDC96FE"/>
    <w:rsid w:val="4DF7183A"/>
    <w:rsid w:val="4E19FB6E"/>
    <w:rsid w:val="4E39EDC8"/>
    <w:rsid w:val="4E4826E2"/>
    <w:rsid w:val="4E80C3DD"/>
    <w:rsid w:val="4E9979A5"/>
    <w:rsid w:val="4E9B246F"/>
    <w:rsid w:val="4EA5B6B2"/>
    <w:rsid w:val="4EA76DF0"/>
    <w:rsid w:val="4EA7DD75"/>
    <w:rsid w:val="4EC427C9"/>
    <w:rsid w:val="4EDCF295"/>
    <w:rsid w:val="4EF04393"/>
    <w:rsid w:val="4F6E0B6E"/>
    <w:rsid w:val="4F994935"/>
    <w:rsid w:val="5024C3FD"/>
    <w:rsid w:val="5038A4B5"/>
    <w:rsid w:val="505C206A"/>
    <w:rsid w:val="505C212A"/>
    <w:rsid w:val="507C0585"/>
    <w:rsid w:val="5087B245"/>
    <w:rsid w:val="50A62554"/>
    <w:rsid w:val="50C6F0C1"/>
    <w:rsid w:val="50F717F9"/>
    <w:rsid w:val="50FAABDE"/>
    <w:rsid w:val="5119FB59"/>
    <w:rsid w:val="513C41B9"/>
    <w:rsid w:val="5162A6EA"/>
    <w:rsid w:val="516CE2C2"/>
    <w:rsid w:val="51A55386"/>
    <w:rsid w:val="51A79DD9"/>
    <w:rsid w:val="51B819FA"/>
    <w:rsid w:val="51B8ED4C"/>
    <w:rsid w:val="51D9EAB1"/>
    <w:rsid w:val="5218EC1D"/>
    <w:rsid w:val="523EDA5C"/>
    <w:rsid w:val="5250F70D"/>
    <w:rsid w:val="52AB12A4"/>
    <w:rsid w:val="52CC6C9B"/>
    <w:rsid w:val="52ED6C91"/>
    <w:rsid w:val="5332EDFC"/>
    <w:rsid w:val="53350082"/>
    <w:rsid w:val="5375C891"/>
    <w:rsid w:val="53A75B8E"/>
    <w:rsid w:val="53B2AA28"/>
    <w:rsid w:val="53C66BAC"/>
    <w:rsid w:val="53C784A1"/>
    <w:rsid w:val="53E957E0"/>
    <w:rsid w:val="54015692"/>
    <w:rsid w:val="54073E53"/>
    <w:rsid w:val="5407E9CC"/>
    <w:rsid w:val="5410A02C"/>
    <w:rsid w:val="5442641A"/>
    <w:rsid w:val="5454F6AE"/>
    <w:rsid w:val="5467C38D"/>
    <w:rsid w:val="546D5720"/>
    <w:rsid w:val="54A7B48A"/>
    <w:rsid w:val="54C45802"/>
    <w:rsid w:val="54D66992"/>
    <w:rsid w:val="54D765B1"/>
    <w:rsid w:val="54E4956B"/>
    <w:rsid w:val="54E77293"/>
    <w:rsid w:val="54FC10F2"/>
    <w:rsid w:val="54FE98AE"/>
    <w:rsid w:val="551DAABE"/>
    <w:rsid w:val="5531D4DC"/>
    <w:rsid w:val="55755B85"/>
    <w:rsid w:val="55F6E7DF"/>
    <w:rsid w:val="562B73DC"/>
    <w:rsid w:val="562D6DC5"/>
    <w:rsid w:val="563857B8"/>
    <w:rsid w:val="565FF9EB"/>
    <w:rsid w:val="566036F2"/>
    <w:rsid w:val="5673C481"/>
    <w:rsid w:val="56CFF575"/>
    <w:rsid w:val="56D3D0E2"/>
    <w:rsid w:val="56E0F565"/>
    <w:rsid w:val="571CAE01"/>
    <w:rsid w:val="572EC734"/>
    <w:rsid w:val="574D5CAA"/>
    <w:rsid w:val="575EC50D"/>
    <w:rsid w:val="5763BA44"/>
    <w:rsid w:val="576F1861"/>
    <w:rsid w:val="5776FBE3"/>
    <w:rsid w:val="577873B3"/>
    <w:rsid w:val="57F3D968"/>
    <w:rsid w:val="583310B3"/>
    <w:rsid w:val="5859CC48"/>
    <w:rsid w:val="58705676"/>
    <w:rsid w:val="58FCFB63"/>
    <w:rsid w:val="5902C374"/>
    <w:rsid w:val="59128026"/>
    <w:rsid w:val="591A2E68"/>
    <w:rsid w:val="59798257"/>
    <w:rsid w:val="599094B9"/>
    <w:rsid w:val="599A8F13"/>
    <w:rsid w:val="59A49D0E"/>
    <w:rsid w:val="59B460B1"/>
    <w:rsid w:val="59B9E797"/>
    <w:rsid w:val="59DD5B06"/>
    <w:rsid w:val="59E640AB"/>
    <w:rsid w:val="5A1ABECA"/>
    <w:rsid w:val="5A2A7237"/>
    <w:rsid w:val="5A2BC76C"/>
    <w:rsid w:val="5A4C2F67"/>
    <w:rsid w:val="5A55A6C9"/>
    <w:rsid w:val="5A66AFCA"/>
    <w:rsid w:val="5A697A92"/>
    <w:rsid w:val="5A81AA35"/>
    <w:rsid w:val="5A88CF59"/>
    <w:rsid w:val="5A8EEA77"/>
    <w:rsid w:val="5A93AB74"/>
    <w:rsid w:val="5ADB94D4"/>
    <w:rsid w:val="5AF538FC"/>
    <w:rsid w:val="5B44ADE8"/>
    <w:rsid w:val="5B7AEB6E"/>
    <w:rsid w:val="5B7B8898"/>
    <w:rsid w:val="5B928E90"/>
    <w:rsid w:val="5B9D3499"/>
    <w:rsid w:val="5BA50212"/>
    <w:rsid w:val="5BDD79CC"/>
    <w:rsid w:val="5BF6337E"/>
    <w:rsid w:val="5C418D65"/>
    <w:rsid w:val="5C68C15B"/>
    <w:rsid w:val="5CA5F313"/>
    <w:rsid w:val="5CBC9448"/>
    <w:rsid w:val="5CD8E2D8"/>
    <w:rsid w:val="5CF0AB53"/>
    <w:rsid w:val="5CFC3943"/>
    <w:rsid w:val="5D1E2B25"/>
    <w:rsid w:val="5D36109D"/>
    <w:rsid w:val="5D3F67F2"/>
    <w:rsid w:val="5D88F159"/>
    <w:rsid w:val="5D8B4644"/>
    <w:rsid w:val="5D9D546D"/>
    <w:rsid w:val="5DA3E251"/>
    <w:rsid w:val="5DB64771"/>
    <w:rsid w:val="5DBA9F1C"/>
    <w:rsid w:val="5DDBBAD8"/>
    <w:rsid w:val="5DE25E1D"/>
    <w:rsid w:val="5E6C6D98"/>
    <w:rsid w:val="5E768439"/>
    <w:rsid w:val="5E7951A1"/>
    <w:rsid w:val="5E7B33C2"/>
    <w:rsid w:val="5E7BD4BD"/>
    <w:rsid w:val="5EB0C5C8"/>
    <w:rsid w:val="5EB15D40"/>
    <w:rsid w:val="5ED0497A"/>
    <w:rsid w:val="5F0AB9CE"/>
    <w:rsid w:val="5F151A8E"/>
    <w:rsid w:val="5F23E22B"/>
    <w:rsid w:val="5F24EB96"/>
    <w:rsid w:val="5F2C68E2"/>
    <w:rsid w:val="5F3695F5"/>
    <w:rsid w:val="5F3B68FA"/>
    <w:rsid w:val="5F5827C4"/>
    <w:rsid w:val="5F7F2165"/>
    <w:rsid w:val="5F9A9F0E"/>
    <w:rsid w:val="5FA22693"/>
    <w:rsid w:val="5FA4D968"/>
    <w:rsid w:val="5FAEA6A3"/>
    <w:rsid w:val="5FE35EDA"/>
    <w:rsid w:val="6011F8FC"/>
    <w:rsid w:val="6027CEE9"/>
    <w:rsid w:val="603A1E79"/>
    <w:rsid w:val="60630911"/>
    <w:rsid w:val="60799123"/>
    <w:rsid w:val="60D122E6"/>
    <w:rsid w:val="60DA48FB"/>
    <w:rsid w:val="60FBF9A5"/>
    <w:rsid w:val="6139CD57"/>
    <w:rsid w:val="614B95BE"/>
    <w:rsid w:val="615EB2C4"/>
    <w:rsid w:val="61BBA320"/>
    <w:rsid w:val="61C586F0"/>
    <w:rsid w:val="61C743B9"/>
    <w:rsid w:val="61EF4FF8"/>
    <w:rsid w:val="61F650A7"/>
    <w:rsid w:val="61FF0484"/>
    <w:rsid w:val="621CBED9"/>
    <w:rsid w:val="622D64C0"/>
    <w:rsid w:val="623568DB"/>
    <w:rsid w:val="62390559"/>
    <w:rsid w:val="6246F0CB"/>
    <w:rsid w:val="62514A27"/>
    <w:rsid w:val="625272A6"/>
    <w:rsid w:val="625300A3"/>
    <w:rsid w:val="62841D55"/>
    <w:rsid w:val="629C2672"/>
    <w:rsid w:val="62B0F7B6"/>
    <w:rsid w:val="62E4E051"/>
    <w:rsid w:val="6329D970"/>
    <w:rsid w:val="634829A1"/>
    <w:rsid w:val="6348C119"/>
    <w:rsid w:val="639388DB"/>
    <w:rsid w:val="63A19B75"/>
    <w:rsid w:val="63D8DB68"/>
    <w:rsid w:val="6421F2F0"/>
    <w:rsid w:val="6423F588"/>
    <w:rsid w:val="64355B8A"/>
    <w:rsid w:val="643AEBBF"/>
    <w:rsid w:val="644EE987"/>
    <w:rsid w:val="648ACE9A"/>
    <w:rsid w:val="64CDB303"/>
    <w:rsid w:val="64E28447"/>
    <w:rsid w:val="64E5ED7C"/>
    <w:rsid w:val="6503BE58"/>
    <w:rsid w:val="65096956"/>
    <w:rsid w:val="6530555B"/>
    <w:rsid w:val="653F2B3D"/>
    <w:rsid w:val="6570277D"/>
    <w:rsid w:val="657571C6"/>
    <w:rsid w:val="65820D2C"/>
    <w:rsid w:val="65913633"/>
    <w:rsid w:val="65E03BFC"/>
    <w:rsid w:val="65FD6BB0"/>
    <w:rsid w:val="662E81E7"/>
    <w:rsid w:val="6664060D"/>
    <w:rsid w:val="66CB299D"/>
    <w:rsid w:val="66CB5B5F"/>
    <w:rsid w:val="66D4FBBE"/>
    <w:rsid w:val="66E2B45F"/>
    <w:rsid w:val="66F82610"/>
    <w:rsid w:val="67088BB2"/>
    <w:rsid w:val="6712DA0A"/>
    <w:rsid w:val="6729955D"/>
    <w:rsid w:val="672B0E56"/>
    <w:rsid w:val="6745FFA3"/>
    <w:rsid w:val="676A1A81"/>
    <w:rsid w:val="677C442A"/>
    <w:rsid w:val="67870D2B"/>
    <w:rsid w:val="678EDC76"/>
    <w:rsid w:val="6798162C"/>
    <w:rsid w:val="67AB686F"/>
    <w:rsid w:val="67B5F394"/>
    <w:rsid w:val="67F85416"/>
    <w:rsid w:val="68235ACC"/>
    <w:rsid w:val="686AC33C"/>
    <w:rsid w:val="6879FB3D"/>
    <w:rsid w:val="6888FAA7"/>
    <w:rsid w:val="68B3DD78"/>
    <w:rsid w:val="68CCC9FB"/>
    <w:rsid w:val="68CD1FED"/>
    <w:rsid w:val="68D1FCF4"/>
    <w:rsid w:val="68D4156F"/>
    <w:rsid w:val="68E988C5"/>
    <w:rsid w:val="68F2061D"/>
    <w:rsid w:val="68F7B4F7"/>
    <w:rsid w:val="69018232"/>
    <w:rsid w:val="690811C2"/>
    <w:rsid w:val="690DE7FC"/>
    <w:rsid w:val="69229ECE"/>
    <w:rsid w:val="693CABE6"/>
    <w:rsid w:val="69619708"/>
    <w:rsid w:val="69794713"/>
    <w:rsid w:val="69BA45C3"/>
    <w:rsid w:val="69E5D8B0"/>
    <w:rsid w:val="69F36475"/>
    <w:rsid w:val="6A0264A9"/>
    <w:rsid w:val="6A0B147C"/>
    <w:rsid w:val="6A1CBB81"/>
    <w:rsid w:val="6A39D11F"/>
    <w:rsid w:val="6A401619"/>
    <w:rsid w:val="6A49E354"/>
    <w:rsid w:val="6A5750A1"/>
    <w:rsid w:val="6A5CC56D"/>
    <w:rsid w:val="6A6631E4"/>
    <w:rsid w:val="6A81939B"/>
    <w:rsid w:val="6A8D6E33"/>
    <w:rsid w:val="6AAD126E"/>
    <w:rsid w:val="6AC954EF"/>
    <w:rsid w:val="6AF68542"/>
    <w:rsid w:val="6B00A4EC"/>
    <w:rsid w:val="6B601B43"/>
    <w:rsid w:val="6B6089A5"/>
    <w:rsid w:val="6B653744"/>
    <w:rsid w:val="6B81D2ED"/>
    <w:rsid w:val="6BA4B905"/>
    <w:rsid w:val="6BB19BFF"/>
    <w:rsid w:val="6BB4C5B5"/>
    <w:rsid w:val="6BBF0F27"/>
    <w:rsid w:val="6BD8708B"/>
    <w:rsid w:val="6BEBD9D8"/>
    <w:rsid w:val="6C1F32AA"/>
    <w:rsid w:val="6C4008C8"/>
    <w:rsid w:val="6C4B62F3"/>
    <w:rsid w:val="6C59469E"/>
    <w:rsid w:val="6C7D826B"/>
    <w:rsid w:val="6C899A6F"/>
    <w:rsid w:val="6CAA4D1C"/>
    <w:rsid w:val="6CABAAC3"/>
    <w:rsid w:val="6CB82FE8"/>
    <w:rsid w:val="6CBA0DF7"/>
    <w:rsid w:val="6CBC489D"/>
    <w:rsid w:val="6CCA7E8C"/>
    <w:rsid w:val="6CCFBD67"/>
    <w:rsid w:val="6CFBEBA4"/>
    <w:rsid w:val="6CFC5A06"/>
    <w:rsid w:val="6D0AAAE0"/>
    <w:rsid w:val="6D1569AA"/>
    <w:rsid w:val="6D9DAB68"/>
    <w:rsid w:val="6DA69606"/>
    <w:rsid w:val="6DC39E36"/>
    <w:rsid w:val="6DD7AC3D"/>
    <w:rsid w:val="6DEB5C4C"/>
    <w:rsid w:val="6E0E9FCD"/>
    <w:rsid w:val="6E22A118"/>
    <w:rsid w:val="6E6BED2A"/>
    <w:rsid w:val="6E6C2A93"/>
    <w:rsid w:val="6E741819"/>
    <w:rsid w:val="6E842D09"/>
    <w:rsid w:val="6EAF880D"/>
    <w:rsid w:val="6EB90F08"/>
    <w:rsid w:val="6ECBDAC2"/>
    <w:rsid w:val="6EFA753A"/>
    <w:rsid w:val="6F2B3E44"/>
    <w:rsid w:val="6F2EFCFE"/>
    <w:rsid w:val="6F34DEA3"/>
    <w:rsid w:val="6F3E1859"/>
    <w:rsid w:val="6F5A90B1"/>
    <w:rsid w:val="6F6F5CA2"/>
    <w:rsid w:val="6F77824C"/>
    <w:rsid w:val="6F8D8F17"/>
    <w:rsid w:val="6F921478"/>
    <w:rsid w:val="6FA75756"/>
    <w:rsid w:val="6FAA4243"/>
    <w:rsid w:val="6FAE5AF8"/>
    <w:rsid w:val="6FCDEEF1"/>
    <w:rsid w:val="702B45CC"/>
    <w:rsid w:val="7040038B"/>
    <w:rsid w:val="70414D76"/>
    <w:rsid w:val="708AE8B6"/>
    <w:rsid w:val="70A3C252"/>
    <w:rsid w:val="70A7845F"/>
    <w:rsid w:val="70A824CC"/>
    <w:rsid w:val="70C9BE98"/>
    <w:rsid w:val="70D8E696"/>
    <w:rsid w:val="70E3B9E2"/>
    <w:rsid w:val="710EB587"/>
    <w:rsid w:val="712B4180"/>
    <w:rsid w:val="71313F6C"/>
    <w:rsid w:val="719362C1"/>
    <w:rsid w:val="71A2F674"/>
    <w:rsid w:val="71C0393A"/>
    <w:rsid w:val="71C63B71"/>
    <w:rsid w:val="7207DEEE"/>
    <w:rsid w:val="7233428B"/>
    <w:rsid w:val="7246A520"/>
    <w:rsid w:val="72513045"/>
    <w:rsid w:val="7251D605"/>
    <w:rsid w:val="725E74BE"/>
    <w:rsid w:val="72B5375D"/>
    <w:rsid w:val="72C02175"/>
    <w:rsid w:val="732215F7"/>
    <w:rsid w:val="7347BB71"/>
    <w:rsid w:val="73731A65"/>
    <w:rsid w:val="737CCD58"/>
    <w:rsid w:val="737CFB11"/>
    <w:rsid w:val="73901791"/>
    <w:rsid w:val="7392F1A8"/>
    <w:rsid w:val="7395042E"/>
    <w:rsid w:val="73A2E6FA"/>
    <w:rsid w:val="73B61709"/>
    <w:rsid w:val="74372830"/>
    <w:rsid w:val="743A16F1"/>
    <w:rsid w:val="748709C2"/>
    <w:rsid w:val="75002FF5"/>
    <w:rsid w:val="753E59C9"/>
    <w:rsid w:val="753EB567"/>
    <w:rsid w:val="754F62CA"/>
    <w:rsid w:val="75528BD0"/>
    <w:rsid w:val="75811652"/>
    <w:rsid w:val="7588DF4F"/>
    <w:rsid w:val="75F6AF24"/>
    <w:rsid w:val="7602521B"/>
    <w:rsid w:val="76028556"/>
    <w:rsid w:val="76151780"/>
    <w:rsid w:val="7629E8C4"/>
    <w:rsid w:val="763A19F2"/>
    <w:rsid w:val="764E7DBF"/>
    <w:rsid w:val="76500266"/>
    <w:rsid w:val="766E1665"/>
    <w:rsid w:val="76876B20"/>
    <w:rsid w:val="76ADE34E"/>
    <w:rsid w:val="76FC0B33"/>
    <w:rsid w:val="771881B3"/>
    <w:rsid w:val="7724A428"/>
    <w:rsid w:val="772FF749"/>
    <w:rsid w:val="773B0B02"/>
    <w:rsid w:val="775D833A"/>
    <w:rsid w:val="776C5692"/>
    <w:rsid w:val="778A4DEB"/>
    <w:rsid w:val="77923B71"/>
    <w:rsid w:val="77BABCCE"/>
    <w:rsid w:val="77C40759"/>
    <w:rsid w:val="77E717F6"/>
    <w:rsid w:val="77EC03A4"/>
    <w:rsid w:val="77F22BBB"/>
    <w:rsid w:val="77F3F12A"/>
    <w:rsid w:val="7801FE85"/>
    <w:rsid w:val="7815F892"/>
    <w:rsid w:val="781FB887"/>
    <w:rsid w:val="7823EC12"/>
    <w:rsid w:val="7830C26F"/>
    <w:rsid w:val="78478CEC"/>
    <w:rsid w:val="784DB95D"/>
    <w:rsid w:val="7850AEB5"/>
    <w:rsid w:val="7874FE6C"/>
    <w:rsid w:val="78A4462B"/>
    <w:rsid w:val="78C8886C"/>
    <w:rsid w:val="78D0F2A9"/>
    <w:rsid w:val="78D3E706"/>
    <w:rsid w:val="78E5EC26"/>
    <w:rsid w:val="7904E604"/>
    <w:rsid w:val="79248562"/>
    <w:rsid w:val="7931D381"/>
    <w:rsid w:val="7937FA9F"/>
    <w:rsid w:val="7961C19C"/>
    <w:rsid w:val="79BD191C"/>
    <w:rsid w:val="79EB83F0"/>
    <w:rsid w:val="7A04A0BA"/>
    <w:rsid w:val="7A18FDA9"/>
    <w:rsid w:val="7A4997A9"/>
    <w:rsid w:val="7A76625A"/>
    <w:rsid w:val="7AA005DF"/>
    <w:rsid w:val="7AA35FDC"/>
    <w:rsid w:val="7AABB857"/>
    <w:rsid w:val="7AB213B7"/>
    <w:rsid w:val="7AE5934B"/>
    <w:rsid w:val="7AFC6A54"/>
    <w:rsid w:val="7B03BF67"/>
    <w:rsid w:val="7B228A81"/>
    <w:rsid w:val="7B33E512"/>
    <w:rsid w:val="7B50ED42"/>
    <w:rsid w:val="7B75FD3E"/>
    <w:rsid w:val="7B7A1B3B"/>
    <w:rsid w:val="7BA66EDD"/>
    <w:rsid w:val="7BC75CFA"/>
    <w:rsid w:val="7BD3623A"/>
    <w:rsid w:val="7BF93C36"/>
    <w:rsid w:val="7C07299A"/>
    <w:rsid w:val="7C11730C"/>
    <w:rsid w:val="7C18F058"/>
    <w:rsid w:val="7C2431CA"/>
    <w:rsid w:val="7C25938B"/>
    <w:rsid w:val="7C446DE4"/>
    <w:rsid w:val="7C4C2089"/>
    <w:rsid w:val="7C6B7A20"/>
    <w:rsid w:val="7CA97D9C"/>
    <w:rsid w:val="7CB7AF7A"/>
    <w:rsid w:val="7CBA869D"/>
    <w:rsid w:val="7CE2A50E"/>
    <w:rsid w:val="7CE42E24"/>
    <w:rsid w:val="7CE726D0"/>
    <w:rsid w:val="7D19A29C"/>
    <w:rsid w:val="7D1A1038"/>
    <w:rsid w:val="7D1C97F4"/>
    <w:rsid w:val="7D8C5B08"/>
    <w:rsid w:val="7D8E3901"/>
    <w:rsid w:val="7DA380CA"/>
    <w:rsid w:val="7DB47498"/>
    <w:rsid w:val="7DBB5716"/>
    <w:rsid w:val="7DC20F5E"/>
    <w:rsid w:val="7DD3131A"/>
    <w:rsid w:val="7E044885"/>
    <w:rsid w:val="7E166715"/>
    <w:rsid w:val="7E177D88"/>
    <w:rsid w:val="7E17B620"/>
    <w:rsid w:val="7E6BDEE8"/>
    <w:rsid w:val="7EA33A78"/>
    <w:rsid w:val="7EA521E6"/>
    <w:rsid w:val="7EB4C13D"/>
    <w:rsid w:val="7F4F022C"/>
    <w:rsid w:val="7F9AE987"/>
    <w:rsid w:val="7FECF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FC394"/>
  <w15:docId w15:val="{3F2AB84A-B843-43CF-88BD-5A15D6F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3D3C"/>
    <w:rPr>
      <w:rFonts w:ascii="Times New Roman" w:hAnsi="Times New Roman"/>
    </w:rPr>
  </w:style>
  <w:style w:type="paragraph" w:styleId="Heading1">
    <w:name w:val="heading 1"/>
    <w:basedOn w:val="Default"/>
    <w:link w:val="Heading1Char"/>
    <w:uiPriority w:val="1"/>
    <w:qFormat/>
    <w:rsid w:val="00822DCF"/>
    <w:pPr>
      <w:tabs>
        <w:tab w:val="left" w:pos="360"/>
      </w:tabs>
      <w:ind w:left="360" w:hanging="360"/>
      <w:outlineLvl w:val="0"/>
    </w:pPr>
    <w:rPr>
      <w:rFonts w:asciiTheme="minorHAnsi" w:hAnsiTheme="minorHAnsi" w:cstheme="minorHAnsi"/>
      <w:b/>
      <w:bCs/>
      <w:color w:val="0070C0"/>
      <w:sz w:val="28"/>
      <w:szCs w:val="28"/>
    </w:rPr>
  </w:style>
  <w:style w:type="paragraph" w:styleId="Heading2">
    <w:name w:val="heading 2"/>
    <w:basedOn w:val="Normal"/>
    <w:link w:val="Heading2Char"/>
    <w:uiPriority w:val="1"/>
    <w:qFormat/>
    <w:rsid w:val="003B61AF"/>
    <w:pPr>
      <w:ind w:left="820" w:hanging="720"/>
      <w:jc w:val="both"/>
      <w:outlineLvl w:val="1"/>
    </w:pPr>
    <w:rPr>
      <w:rFonts w:asciiTheme="minorHAnsi" w:eastAsia="Times New Roman" w:hAnsiTheme="minorHAnsi" w:cstheme="minorHAnsi"/>
      <w:b/>
      <w:bCs/>
      <w:color w:val="0070C0"/>
    </w:rPr>
  </w:style>
  <w:style w:type="paragraph" w:styleId="Heading3">
    <w:name w:val="heading 3"/>
    <w:basedOn w:val="Normal"/>
    <w:link w:val="Heading3Char"/>
    <w:uiPriority w:val="1"/>
    <w:qFormat/>
    <w:rsid w:val="007D185B"/>
    <w:pPr>
      <w:ind w:left="120"/>
      <w:outlineLvl w:val="2"/>
    </w:pPr>
    <w:rPr>
      <w:rFonts w:eastAsia="Times New Roman" w:cs="Times New Roman"/>
      <w:sz w:val="26"/>
      <w:szCs w:val="26"/>
    </w:rPr>
  </w:style>
  <w:style w:type="paragraph" w:styleId="Heading4">
    <w:name w:val="heading 4"/>
    <w:basedOn w:val="Normal"/>
    <w:link w:val="Heading4Char"/>
    <w:uiPriority w:val="1"/>
    <w:qFormat/>
    <w:rsid w:val="007D185B"/>
    <w:pPr>
      <w:ind w:left="100"/>
      <w:jc w:val="both"/>
      <w:outlineLvl w:val="3"/>
    </w:pPr>
    <w:rPr>
      <w:rFonts w:eastAsia="Times New Roman" w:cs="Times New Roman"/>
      <w:b/>
      <w:bCs/>
      <w:sz w:val="24"/>
      <w:szCs w:val="24"/>
    </w:rPr>
  </w:style>
  <w:style w:type="paragraph" w:styleId="Heading5">
    <w:name w:val="heading 5"/>
    <w:basedOn w:val="Normal"/>
    <w:link w:val="Heading5Char"/>
    <w:uiPriority w:val="1"/>
    <w:qFormat/>
    <w:rsid w:val="007D185B"/>
    <w:pPr>
      <w:ind w:left="100"/>
      <w:jc w:val="both"/>
      <w:outlineLvl w:val="4"/>
    </w:pPr>
    <w:rPr>
      <w:rFonts w:eastAsia="Times New Roman" w:cs="Times New Roman"/>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185B"/>
    <w:rPr>
      <w:rFonts w:eastAsia="Times New Roman" w:cs="Times New Roman"/>
    </w:rPr>
  </w:style>
  <w:style w:type="character" w:customStyle="1" w:styleId="Heading1Char">
    <w:name w:val="Heading 1 Char"/>
    <w:basedOn w:val="DefaultParagraphFont"/>
    <w:link w:val="Heading1"/>
    <w:uiPriority w:val="1"/>
    <w:rsid w:val="00924D82"/>
    <w:rPr>
      <w:rFonts w:cstheme="minorHAnsi"/>
      <w:b/>
      <w:bCs/>
      <w:color w:val="0070C0"/>
      <w:sz w:val="28"/>
      <w:szCs w:val="28"/>
    </w:rPr>
  </w:style>
  <w:style w:type="character" w:customStyle="1" w:styleId="Heading2Char">
    <w:name w:val="Heading 2 Char"/>
    <w:basedOn w:val="DefaultParagraphFont"/>
    <w:link w:val="Heading2"/>
    <w:uiPriority w:val="1"/>
    <w:rsid w:val="003B61AF"/>
    <w:rPr>
      <w:rFonts w:eastAsia="Times New Roman" w:cstheme="minorHAnsi"/>
      <w:b/>
      <w:bCs/>
      <w:color w:val="0070C0"/>
    </w:rPr>
  </w:style>
  <w:style w:type="character" w:customStyle="1" w:styleId="Heading3Char">
    <w:name w:val="Heading 3 Char"/>
    <w:basedOn w:val="DefaultParagraphFont"/>
    <w:link w:val="Heading3"/>
    <w:uiPriority w:val="1"/>
    <w:rsid w:val="007D185B"/>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1"/>
    <w:rsid w:val="007D18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7D185B"/>
    <w:rPr>
      <w:rFonts w:ascii="Times New Roman" w:eastAsia="Times New Roman" w:hAnsi="Times New Roman" w:cs="Times New Roman"/>
      <w:b/>
      <w:bCs/>
      <w:i/>
      <w:sz w:val="24"/>
      <w:szCs w:val="24"/>
      <w:u w:val="single" w:color="000000"/>
    </w:rPr>
  </w:style>
  <w:style w:type="paragraph" w:styleId="TOC1">
    <w:name w:val="toc 1"/>
    <w:basedOn w:val="Normal"/>
    <w:uiPriority w:val="39"/>
    <w:qFormat/>
    <w:rsid w:val="0009763B"/>
    <w:pPr>
      <w:spacing w:before="120"/>
      <w:ind w:left="539" w:hanging="439"/>
    </w:pPr>
    <w:rPr>
      <w:rFonts w:asciiTheme="minorHAnsi" w:eastAsia="Times New Roman" w:hAnsiTheme="minorHAnsi" w:cs="Times New Roman"/>
    </w:rPr>
  </w:style>
  <w:style w:type="paragraph" w:styleId="TOC2">
    <w:name w:val="toc 2"/>
    <w:basedOn w:val="Normal"/>
    <w:uiPriority w:val="39"/>
    <w:qFormat/>
    <w:rsid w:val="0009763B"/>
    <w:pPr>
      <w:spacing w:before="122"/>
      <w:ind w:left="981" w:hanging="660"/>
    </w:pPr>
    <w:rPr>
      <w:rFonts w:asciiTheme="minorHAnsi" w:eastAsia="Times New Roman" w:hAnsiTheme="minorHAnsi" w:cs="Times New Roman"/>
    </w:rPr>
  </w:style>
  <w:style w:type="paragraph" w:styleId="TOC3">
    <w:name w:val="toc 3"/>
    <w:basedOn w:val="Normal"/>
    <w:uiPriority w:val="1"/>
    <w:qFormat/>
    <w:rsid w:val="0009763B"/>
    <w:pPr>
      <w:spacing w:before="122"/>
      <w:ind w:left="981" w:hanging="660"/>
    </w:pPr>
    <w:rPr>
      <w:rFonts w:asciiTheme="minorHAnsi" w:eastAsia="Times New Roman" w:hAnsiTheme="minorHAnsi" w:cs="Times New Roman"/>
      <w:bCs/>
    </w:rPr>
  </w:style>
  <w:style w:type="paragraph" w:styleId="TOC4">
    <w:name w:val="toc 4"/>
    <w:basedOn w:val="Normal"/>
    <w:uiPriority w:val="1"/>
    <w:qFormat/>
    <w:rsid w:val="007D185B"/>
    <w:pPr>
      <w:spacing w:before="120"/>
      <w:ind w:left="1420" w:hanging="881"/>
    </w:pPr>
    <w:rPr>
      <w:rFonts w:eastAsia="Times New Roman" w:cs="Times New Roman"/>
    </w:rPr>
  </w:style>
  <w:style w:type="paragraph" w:styleId="BodyText">
    <w:name w:val="Body Text"/>
    <w:basedOn w:val="Normal"/>
    <w:link w:val="BodyTextChar"/>
    <w:uiPriority w:val="1"/>
    <w:qFormat/>
    <w:rsid w:val="007D185B"/>
    <w:rPr>
      <w:rFonts w:eastAsia="Times New Roman" w:cs="Times New Roman"/>
      <w:sz w:val="24"/>
      <w:szCs w:val="24"/>
    </w:rPr>
  </w:style>
  <w:style w:type="character" w:customStyle="1" w:styleId="BodyTextChar">
    <w:name w:val="Body Text Char"/>
    <w:basedOn w:val="DefaultParagraphFont"/>
    <w:link w:val="BodyText"/>
    <w:uiPriority w:val="1"/>
    <w:rsid w:val="007D185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185B"/>
    <w:rPr>
      <w:color w:val="0563C1" w:themeColor="hyperlink"/>
      <w:u w:val="single"/>
    </w:rPr>
  </w:style>
  <w:style w:type="paragraph" w:styleId="ListParagraph">
    <w:name w:val="List Paragraph"/>
    <w:basedOn w:val="Normal"/>
    <w:link w:val="ListParagraphChar"/>
    <w:uiPriority w:val="34"/>
    <w:qFormat/>
    <w:rsid w:val="007D185B"/>
    <w:pPr>
      <w:ind w:left="820" w:hanging="360"/>
    </w:pPr>
    <w:rPr>
      <w:rFonts w:eastAsia="Times New Roman" w:cs="Times New Roman"/>
    </w:rPr>
  </w:style>
  <w:style w:type="paragraph" w:customStyle="1" w:styleId="Default">
    <w:name w:val="Default"/>
    <w:rsid w:val="002E25B2"/>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B54A14"/>
    <w:rPr>
      <w:sz w:val="20"/>
      <w:szCs w:val="20"/>
    </w:rPr>
  </w:style>
  <w:style w:type="character" w:customStyle="1" w:styleId="FootnoteTextChar">
    <w:name w:val="Footnote Text Char"/>
    <w:basedOn w:val="DefaultParagraphFont"/>
    <w:link w:val="FootnoteText"/>
    <w:uiPriority w:val="99"/>
    <w:rsid w:val="00B54A14"/>
    <w:rPr>
      <w:rFonts w:ascii="Times New Roman" w:hAnsi="Times New Roman"/>
      <w:sz w:val="20"/>
      <w:szCs w:val="20"/>
    </w:rPr>
  </w:style>
  <w:style w:type="character" w:styleId="FootnoteReference">
    <w:name w:val="footnote reference"/>
    <w:basedOn w:val="DefaultParagraphFont"/>
    <w:uiPriority w:val="99"/>
    <w:unhideWhenUsed/>
    <w:rsid w:val="00B54A14"/>
    <w:rPr>
      <w:vertAlign w:val="superscript"/>
    </w:rPr>
  </w:style>
  <w:style w:type="paragraph" w:styleId="BalloonText">
    <w:name w:val="Balloon Text"/>
    <w:basedOn w:val="Normal"/>
    <w:link w:val="BalloonTextChar"/>
    <w:uiPriority w:val="99"/>
    <w:semiHidden/>
    <w:unhideWhenUsed/>
    <w:rsid w:val="0005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C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7603A"/>
    <w:rPr>
      <w:color w:val="808080"/>
      <w:shd w:val="clear" w:color="auto" w:fill="E6E6E6"/>
    </w:rPr>
  </w:style>
  <w:style w:type="character" w:styleId="CommentReference">
    <w:name w:val="annotation reference"/>
    <w:basedOn w:val="DefaultParagraphFont"/>
    <w:uiPriority w:val="99"/>
    <w:semiHidden/>
    <w:unhideWhenUsed/>
    <w:rsid w:val="007A7F87"/>
    <w:rPr>
      <w:sz w:val="16"/>
      <w:szCs w:val="16"/>
    </w:rPr>
  </w:style>
  <w:style w:type="paragraph" w:styleId="CommentText">
    <w:name w:val="annotation text"/>
    <w:basedOn w:val="Normal"/>
    <w:link w:val="CommentTextChar"/>
    <w:uiPriority w:val="99"/>
    <w:unhideWhenUsed/>
    <w:rsid w:val="007A7F87"/>
    <w:rPr>
      <w:sz w:val="20"/>
      <w:szCs w:val="20"/>
    </w:rPr>
  </w:style>
  <w:style w:type="character" w:customStyle="1" w:styleId="CommentTextChar">
    <w:name w:val="Comment Text Char"/>
    <w:basedOn w:val="DefaultParagraphFont"/>
    <w:link w:val="CommentText"/>
    <w:uiPriority w:val="99"/>
    <w:rsid w:val="007A7F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7F87"/>
    <w:rPr>
      <w:b/>
      <w:bCs/>
    </w:rPr>
  </w:style>
  <w:style w:type="character" w:customStyle="1" w:styleId="CommentSubjectChar">
    <w:name w:val="Comment Subject Char"/>
    <w:basedOn w:val="CommentTextChar"/>
    <w:link w:val="CommentSubject"/>
    <w:uiPriority w:val="99"/>
    <w:semiHidden/>
    <w:rsid w:val="007A7F87"/>
    <w:rPr>
      <w:rFonts w:ascii="Times New Roman" w:hAnsi="Times New Roman"/>
      <w:b/>
      <w:bCs/>
      <w:sz w:val="20"/>
      <w:szCs w:val="20"/>
    </w:rPr>
  </w:style>
  <w:style w:type="table" w:styleId="TableGrid">
    <w:name w:val="Table Grid"/>
    <w:basedOn w:val="TableNormal"/>
    <w:uiPriority w:val="39"/>
    <w:rsid w:val="0029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DBD"/>
    <w:pPr>
      <w:tabs>
        <w:tab w:val="center" w:pos="4680"/>
        <w:tab w:val="right" w:pos="9360"/>
      </w:tabs>
    </w:pPr>
  </w:style>
  <w:style w:type="character" w:customStyle="1" w:styleId="HeaderChar">
    <w:name w:val="Header Char"/>
    <w:basedOn w:val="DefaultParagraphFont"/>
    <w:link w:val="Header"/>
    <w:uiPriority w:val="99"/>
    <w:rsid w:val="004B7DBD"/>
    <w:rPr>
      <w:rFonts w:ascii="Times New Roman" w:hAnsi="Times New Roman"/>
    </w:rPr>
  </w:style>
  <w:style w:type="paragraph" w:styleId="Footer">
    <w:name w:val="footer"/>
    <w:basedOn w:val="Normal"/>
    <w:link w:val="FooterChar"/>
    <w:uiPriority w:val="99"/>
    <w:unhideWhenUsed/>
    <w:rsid w:val="004B7DBD"/>
    <w:pPr>
      <w:tabs>
        <w:tab w:val="center" w:pos="4680"/>
        <w:tab w:val="right" w:pos="9360"/>
      </w:tabs>
    </w:pPr>
  </w:style>
  <w:style w:type="character" w:customStyle="1" w:styleId="FooterChar">
    <w:name w:val="Footer Char"/>
    <w:basedOn w:val="DefaultParagraphFont"/>
    <w:link w:val="Footer"/>
    <w:uiPriority w:val="99"/>
    <w:rsid w:val="004B7DBD"/>
    <w:rPr>
      <w:rFonts w:ascii="Times New Roman" w:hAnsi="Times New Roman"/>
    </w:rPr>
  </w:style>
  <w:style w:type="paragraph" w:styleId="Revision">
    <w:name w:val="Revision"/>
    <w:hidden/>
    <w:uiPriority w:val="99"/>
    <w:semiHidden/>
    <w:rsid w:val="00DD459E"/>
    <w:rPr>
      <w:rFonts w:ascii="Times New Roman" w:hAnsi="Times New Roman"/>
    </w:rPr>
  </w:style>
  <w:style w:type="character" w:customStyle="1" w:styleId="UnresolvedMention2">
    <w:name w:val="Unresolved Mention2"/>
    <w:basedOn w:val="DefaultParagraphFont"/>
    <w:uiPriority w:val="99"/>
    <w:unhideWhenUsed/>
    <w:rsid w:val="004C4DDA"/>
    <w:rPr>
      <w:color w:val="605E5C"/>
      <w:shd w:val="clear" w:color="auto" w:fill="E1DFDD"/>
    </w:rPr>
  </w:style>
  <w:style w:type="character" w:styleId="Mention">
    <w:name w:val="Mention"/>
    <w:basedOn w:val="DefaultParagraphFont"/>
    <w:uiPriority w:val="99"/>
    <w:unhideWhenUsed/>
    <w:rsid w:val="004C4DDA"/>
    <w:rPr>
      <w:color w:val="2B579A"/>
      <w:shd w:val="clear" w:color="auto" w:fill="E1DFDD"/>
    </w:rPr>
  </w:style>
  <w:style w:type="character" w:customStyle="1" w:styleId="font01">
    <w:name w:val="font01"/>
    <w:basedOn w:val="DefaultParagraphFont"/>
    <w:rsid w:val="004C4DDA"/>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4C4DDA"/>
    <w:rPr>
      <w:rFonts w:ascii="Calibri" w:hAnsi="Calibri" w:cs="Calibri" w:hint="default"/>
      <w:b/>
      <w:bCs/>
      <w:i w:val="0"/>
      <w:iCs w:val="0"/>
      <w:strike w:val="0"/>
      <w:dstrike w:val="0"/>
      <w:color w:val="000000"/>
      <w:sz w:val="22"/>
      <w:szCs w:val="22"/>
      <w:u w:val="none"/>
      <w:effect w:val="none"/>
    </w:rPr>
  </w:style>
  <w:style w:type="character" w:styleId="FollowedHyperlink">
    <w:name w:val="FollowedHyperlink"/>
    <w:basedOn w:val="DefaultParagraphFont"/>
    <w:uiPriority w:val="99"/>
    <w:semiHidden/>
    <w:unhideWhenUsed/>
    <w:rsid w:val="00896ECF"/>
    <w:rPr>
      <w:color w:val="954F72" w:themeColor="followedHyperlink"/>
      <w:u w:val="single"/>
    </w:rPr>
  </w:style>
  <w:style w:type="character" w:customStyle="1" w:styleId="ListParagraphChar">
    <w:name w:val="List Paragraph Char"/>
    <w:basedOn w:val="DefaultParagraphFont"/>
    <w:link w:val="ListParagraph"/>
    <w:uiPriority w:val="34"/>
    <w:rsid w:val="000A6B0E"/>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1805D7"/>
    <w:rPr>
      <w:sz w:val="20"/>
      <w:szCs w:val="20"/>
    </w:rPr>
  </w:style>
  <w:style w:type="character" w:customStyle="1" w:styleId="EndnoteTextChar">
    <w:name w:val="Endnote Text Char"/>
    <w:basedOn w:val="DefaultParagraphFont"/>
    <w:link w:val="EndnoteText"/>
    <w:uiPriority w:val="99"/>
    <w:semiHidden/>
    <w:rsid w:val="001805D7"/>
    <w:rPr>
      <w:rFonts w:ascii="Times New Roman" w:hAnsi="Times New Roman"/>
      <w:sz w:val="20"/>
      <w:szCs w:val="20"/>
    </w:rPr>
  </w:style>
  <w:style w:type="character" w:styleId="EndnoteReference">
    <w:name w:val="endnote reference"/>
    <w:basedOn w:val="DefaultParagraphFont"/>
    <w:uiPriority w:val="99"/>
    <w:semiHidden/>
    <w:unhideWhenUsed/>
    <w:rsid w:val="001805D7"/>
    <w:rPr>
      <w:vertAlign w:val="superscript"/>
    </w:rPr>
  </w:style>
  <w:style w:type="character" w:customStyle="1" w:styleId="UnresolvedMention3">
    <w:name w:val="Unresolved Mention3"/>
    <w:basedOn w:val="DefaultParagraphFont"/>
    <w:uiPriority w:val="99"/>
    <w:unhideWhenUsed/>
    <w:rsid w:val="00877C53"/>
    <w:rPr>
      <w:color w:val="605E5C"/>
      <w:shd w:val="clear" w:color="auto" w:fill="E1DFDD"/>
    </w:rPr>
  </w:style>
  <w:style w:type="paragraph" w:styleId="Title">
    <w:name w:val="Title"/>
    <w:basedOn w:val="Normal"/>
    <w:next w:val="Normal"/>
    <w:link w:val="TitleChar"/>
    <w:uiPriority w:val="1"/>
    <w:qFormat/>
    <w:rsid w:val="00877C53"/>
    <w:pPr>
      <w:autoSpaceDE w:val="0"/>
      <w:autoSpaceDN w:val="0"/>
      <w:adjustRightInd w:val="0"/>
      <w:spacing w:before="160"/>
      <w:ind w:left="100"/>
    </w:pPr>
    <w:rPr>
      <w:rFonts w:cs="Times New Roman"/>
      <w:b/>
      <w:bCs/>
      <w:sz w:val="24"/>
      <w:szCs w:val="24"/>
    </w:rPr>
  </w:style>
  <w:style w:type="character" w:customStyle="1" w:styleId="TitleChar">
    <w:name w:val="Title Char"/>
    <w:basedOn w:val="DefaultParagraphFont"/>
    <w:link w:val="Title"/>
    <w:uiPriority w:val="1"/>
    <w:rsid w:val="00877C53"/>
    <w:rPr>
      <w:rFonts w:ascii="Times New Roman" w:hAnsi="Times New Roman" w:cs="Times New Roman"/>
      <w:b/>
      <w:bCs/>
      <w:sz w:val="24"/>
      <w:szCs w:val="24"/>
    </w:rPr>
  </w:style>
  <w:style w:type="paragraph" w:styleId="Caption">
    <w:name w:val="caption"/>
    <w:basedOn w:val="Normal"/>
    <w:next w:val="Normal"/>
    <w:uiPriority w:val="35"/>
    <w:unhideWhenUsed/>
    <w:qFormat/>
    <w:rsid w:val="00571B2A"/>
    <w:pPr>
      <w:spacing w:after="200"/>
    </w:pPr>
    <w:rPr>
      <w:rFonts w:asciiTheme="minorHAnsi" w:hAnsiTheme="minorHAnsi"/>
      <w:i/>
      <w:iCs/>
      <w:color w:val="44546A" w:themeColor="text2"/>
      <w:sz w:val="18"/>
      <w:szCs w:val="18"/>
    </w:rPr>
  </w:style>
  <w:style w:type="character" w:customStyle="1" w:styleId="UnresolvedMention4">
    <w:name w:val="Unresolved Mention4"/>
    <w:basedOn w:val="DefaultParagraphFont"/>
    <w:uiPriority w:val="99"/>
    <w:unhideWhenUsed/>
    <w:rsid w:val="00106BAD"/>
    <w:rPr>
      <w:color w:val="605E5C"/>
      <w:shd w:val="clear" w:color="auto" w:fill="E1DFDD"/>
    </w:rPr>
  </w:style>
  <w:style w:type="character" w:styleId="UnresolvedMention">
    <w:name w:val="Unresolved Mention"/>
    <w:basedOn w:val="DefaultParagraphFont"/>
    <w:uiPriority w:val="99"/>
    <w:unhideWhenUsed/>
    <w:rsid w:val="00404E6E"/>
    <w:rPr>
      <w:color w:val="605E5C"/>
      <w:shd w:val="clear" w:color="auto" w:fill="E1DFDD"/>
    </w:rPr>
  </w:style>
  <w:style w:type="character" w:customStyle="1" w:styleId="normaltextrun">
    <w:name w:val="normaltextrun"/>
    <w:basedOn w:val="DefaultParagraphFont"/>
    <w:rsid w:val="006D3746"/>
  </w:style>
  <w:style w:type="character" w:customStyle="1" w:styleId="eop">
    <w:name w:val="eop"/>
    <w:basedOn w:val="DefaultParagraphFont"/>
    <w:rsid w:val="006D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9005">
      <w:bodyDiv w:val="1"/>
      <w:marLeft w:val="0"/>
      <w:marRight w:val="0"/>
      <w:marTop w:val="0"/>
      <w:marBottom w:val="0"/>
      <w:divBdr>
        <w:top w:val="none" w:sz="0" w:space="0" w:color="auto"/>
        <w:left w:val="none" w:sz="0" w:space="0" w:color="auto"/>
        <w:bottom w:val="none" w:sz="0" w:space="0" w:color="auto"/>
        <w:right w:val="none" w:sz="0" w:space="0" w:color="auto"/>
      </w:divBdr>
    </w:div>
    <w:div w:id="130179250">
      <w:bodyDiv w:val="1"/>
      <w:marLeft w:val="0"/>
      <w:marRight w:val="0"/>
      <w:marTop w:val="0"/>
      <w:marBottom w:val="0"/>
      <w:divBdr>
        <w:top w:val="none" w:sz="0" w:space="0" w:color="auto"/>
        <w:left w:val="none" w:sz="0" w:space="0" w:color="auto"/>
        <w:bottom w:val="none" w:sz="0" w:space="0" w:color="auto"/>
        <w:right w:val="none" w:sz="0" w:space="0" w:color="auto"/>
      </w:divBdr>
    </w:div>
    <w:div w:id="179321883">
      <w:bodyDiv w:val="1"/>
      <w:marLeft w:val="0"/>
      <w:marRight w:val="0"/>
      <w:marTop w:val="0"/>
      <w:marBottom w:val="0"/>
      <w:divBdr>
        <w:top w:val="none" w:sz="0" w:space="0" w:color="auto"/>
        <w:left w:val="none" w:sz="0" w:space="0" w:color="auto"/>
        <w:bottom w:val="none" w:sz="0" w:space="0" w:color="auto"/>
        <w:right w:val="none" w:sz="0" w:space="0" w:color="auto"/>
      </w:divBdr>
    </w:div>
    <w:div w:id="190340056">
      <w:bodyDiv w:val="1"/>
      <w:marLeft w:val="0"/>
      <w:marRight w:val="0"/>
      <w:marTop w:val="0"/>
      <w:marBottom w:val="0"/>
      <w:divBdr>
        <w:top w:val="none" w:sz="0" w:space="0" w:color="auto"/>
        <w:left w:val="none" w:sz="0" w:space="0" w:color="auto"/>
        <w:bottom w:val="none" w:sz="0" w:space="0" w:color="auto"/>
        <w:right w:val="none" w:sz="0" w:space="0" w:color="auto"/>
      </w:divBdr>
    </w:div>
    <w:div w:id="349845087">
      <w:bodyDiv w:val="1"/>
      <w:marLeft w:val="0"/>
      <w:marRight w:val="0"/>
      <w:marTop w:val="0"/>
      <w:marBottom w:val="0"/>
      <w:divBdr>
        <w:top w:val="none" w:sz="0" w:space="0" w:color="auto"/>
        <w:left w:val="none" w:sz="0" w:space="0" w:color="auto"/>
        <w:bottom w:val="none" w:sz="0" w:space="0" w:color="auto"/>
        <w:right w:val="none" w:sz="0" w:space="0" w:color="auto"/>
      </w:divBdr>
    </w:div>
    <w:div w:id="520777000">
      <w:bodyDiv w:val="1"/>
      <w:marLeft w:val="0"/>
      <w:marRight w:val="0"/>
      <w:marTop w:val="0"/>
      <w:marBottom w:val="0"/>
      <w:divBdr>
        <w:top w:val="none" w:sz="0" w:space="0" w:color="auto"/>
        <w:left w:val="none" w:sz="0" w:space="0" w:color="auto"/>
        <w:bottom w:val="none" w:sz="0" w:space="0" w:color="auto"/>
        <w:right w:val="none" w:sz="0" w:space="0" w:color="auto"/>
      </w:divBdr>
    </w:div>
    <w:div w:id="541940099">
      <w:bodyDiv w:val="1"/>
      <w:marLeft w:val="0"/>
      <w:marRight w:val="0"/>
      <w:marTop w:val="0"/>
      <w:marBottom w:val="0"/>
      <w:divBdr>
        <w:top w:val="none" w:sz="0" w:space="0" w:color="auto"/>
        <w:left w:val="none" w:sz="0" w:space="0" w:color="auto"/>
        <w:bottom w:val="none" w:sz="0" w:space="0" w:color="auto"/>
        <w:right w:val="none" w:sz="0" w:space="0" w:color="auto"/>
      </w:divBdr>
    </w:div>
    <w:div w:id="694114682">
      <w:bodyDiv w:val="1"/>
      <w:marLeft w:val="0"/>
      <w:marRight w:val="0"/>
      <w:marTop w:val="0"/>
      <w:marBottom w:val="0"/>
      <w:divBdr>
        <w:top w:val="none" w:sz="0" w:space="0" w:color="auto"/>
        <w:left w:val="none" w:sz="0" w:space="0" w:color="auto"/>
        <w:bottom w:val="none" w:sz="0" w:space="0" w:color="auto"/>
        <w:right w:val="none" w:sz="0" w:space="0" w:color="auto"/>
      </w:divBdr>
    </w:div>
    <w:div w:id="771783742">
      <w:bodyDiv w:val="1"/>
      <w:marLeft w:val="0"/>
      <w:marRight w:val="0"/>
      <w:marTop w:val="0"/>
      <w:marBottom w:val="0"/>
      <w:divBdr>
        <w:top w:val="none" w:sz="0" w:space="0" w:color="auto"/>
        <w:left w:val="none" w:sz="0" w:space="0" w:color="auto"/>
        <w:bottom w:val="none" w:sz="0" w:space="0" w:color="auto"/>
        <w:right w:val="none" w:sz="0" w:space="0" w:color="auto"/>
      </w:divBdr>
    </w:div>
    <w:div w:id="837425752">
      <w:bodyDiv w:val="1"/>
      <w:marLeft w:val="0"/>
      <w:marRight w:val="0"/>
      <w:marTop w:val="0"/>
      <w:marBottom w:val="0"/>
      <w:divBdr>
        <w:top w:val="none" w:sz="0" w:space="0" w:color="auto"/>
        <w:left w:val="none" w:sz="0" w:space="0" w:color="auto"/>
        <w:bottom w:val="none" w:sz="0" w:space="0" w:color="auto"/>
        <w:right w:val="none" w:sz="0" w:space="0" w:color="auto"/>
      </w:divBdr>
    </w:div>
    <w:div w:id="865027051">
      <w:bodyDiv w:val="1"/>
      <w:marLeft w:val="0"/>
      <w:marRight w:val="0"/>
      <w:marTop w:val="0"/>
      <w:marBottom w:val="0"/>
      <w:divBdr>
        <w:top w:val="none" w:sz="0" w:space="0" w:color="auto"/>
        <w:left w:val="none" w:sz="0" w:space="0" w:color="auto"/>
        <w:bottom w:val="none" w:sz="0" w:space="0" w:color="auto"/>
        <w:right w:val="none" w:sz="0" w:space="0" w:color="auto"/>
      </w:divBdr>
      <w:divsChild>
        <w:div w:id="1697805568">
          <w:marLeft w:val="0"/>
          <w:marRight w:val="0"/>
          <w:marTop w:val="0"/>
          <w:marBottom w:val="0"/>
          <w:divBdr>
            <w:top w:val="none" w:sz="0" w:space="0" w:color="auto"/>
            <w:left w:val="none" w:sz="0" w:space="0" w:color="auto"/>
            <w:bottom w:val="none" w:sz="0" w:space="0" w:color="auto"/>
            <w:right w:val="none" w:sz="0" w:space="0" w:color="auto"/>
          </w:divBdr>
        </w:div>
      </w:divsChild>
    </w:div>
    <w:div w:id="1024286728">
      <w:bodyDiv w:val="1"/>
      <w:marLeft w:val="0"/>
      <w:marRight w:val="0"/>
      <w:marTop w:val="0"/>
      <w:marBottom w:val="0"/>
      <w:divBdr>
        <w:top w:val="none" w:sz="0" w:space="0" w:color="auto"/>
        <w:left w:val="none" w:sz="0" w:space="0" w:color="auto"/>
        <w:bottom w:val="none" w:sz="0" w:space="0" w:color="auto"/>
        <w:right w:val="none" w:sz="0" w:space="0" w:color="auto"/>
      </w:divBdr>
    </w:div>
    <w:div w:id="1037506752">
      <w:bodyDiv w:val="1"/>
      <w:marLeft w:val="0"/>
      <w:marRight w:val="0"/>
      <w:marTop w:val="0"/>
      <w:marBottom w:val="0"/>
      <w:divBdr>
        <w:top w:val="none" w:sz="0" w:space="0" w:color="auto"/>
        <w:left w:val="none" w:sz="0" w:space="0" w:color="auto"/>
        <w:bottom w:val="none" w:sz="0" w:space="0" w:color="auto"/>
        <w:right w:val="none" w:sz="0" w:space="0" w:color="auto"/>
      </w:divBdr>
    </w:div>
    <w:div w:id="1225407609">
      <w:bodyDiv w:val="1"/>
      <w:marLeft w:val="0"/>
      <w:marRight w:val="0"/>
      <w:marTop w:val="0"/>
      <w:marBottom w:val="0"/>
      <w:divBdr>
        <w:top w:val="none" w:sz="0" w:space="0" w:color="auto"/>
        <w:left w:val="none" w:sz="0" w:space="0" w:color="auto"/>
        <w:bottom w:val="none" w:sz="0" w:space="0" w:color="auto"/>
        <w:right w:val="none" w:sz="0" w:space="0" w:color="auto"/>
      </w:divBdr>
    </w:div>
    <w:div w:id="1824349849">
      <w:bodyDiv w:val="1"/>
      <w:marLeft w:val="0"/>
      <w:marRight w:val="0"/>
      <w:marTop w:val="0"/>
      <w:marBottom w:val="0"/>
      <w:divBdr>
        <w:top w:val="none" w:sz="0" w:space="0" w:color="auto"/>
        <w:left w:val="none" w:sz="0" w:space="0" w:color="auto"/>
        <w:bottom w:val="none" w:sz="0" w:space="0" w:color="auto"/>
        <w:right w:val="none" w:sz="0" w:space="0" w:color="auto"/>
      </w:divBdr>
    </w:div>
    <w:div w:id="1826973858">
      <w:bodyDiv w:val="1"/>
      <w:marLeft w:val="0"/>
      <w:marRight w:val="0"/>
      <w:marTop w:val="0"/>
      <w:marBottom w:val="0"/>
      <w:divBdr>
        <w:top w:val="none" w:sz="0" w:space="0" w:color="auto"/>
        <w:left w:val="none" w:sz="0" w:space="0" w:color="auto"/>
        <w:bottom w:val="none" w:sz="0" w:space="0" w:color="auto"/>
        <w:right w:val="none" w:sz="0" w:space="0" w:color="auto"/>
      </w:divBdr>
    </w:div>
    <w:div w:id="1977642138">
      <w:bodyDiv w:val="1"/>
      <w:marLeft w:val="0"/>
      <w:marRight w:val="0"/>
      <w:marTop w:val="0"/>
      <w:marBottom w:val="0"/>
      <w:divBdr>
        <w:top w:val="none" w:sz="0" w:space="0" w:color="auto"/>
        <w:left w:val="none" w:sz="0" w:space="0" w:color="auto"/>
        <w:bottom w:val="none" w:sz="0" w:space="0" w:color="auto"/>
        <w:right w:val="none" w:sz="0" w:space="0" w:color="auto"/>
      </w:divBdr>
    </w:div>
    <w:div w:id="2047218565">
      <w:bodyDiv w:val="1"/>
      <w:marLeft w:val="0"/>
      <w:marRight w:val="0"/>
      <w:marTop w:val="0"/>
      <w:marBottom w:val="0"/>
      <w:divBdr>
        <w:top w:val="none" w:sz="0" w:space="0" w:color="auto"/>
        <w:left w:val="none" w:sz="0" w:space="0" w:color="auto"/>
        <w:bottom w:val="none" w:sz="0" w:space="0" w:color="auto"/>
        <w:right w:val="none" w:sz="0" w:space="0" w:color="auto"/>
      </w:divBdr>
    </w:div>
    <w:div w:id="21370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hyperlink" Target="http://www.regulations.gov" TargetMode="External"/><Relationship Id="rId7" Type="http://schemas.openxmlformats.org/officeDocument/2006/relationships/styles" Target="styles.xml"/><Relationship Id="rId12" Type="http://schemas.openxmlformats.org/officeDocument/2006/relationships/hyperlink" Target="http://www.epa.gov/" TargetMode="Externa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usepa.sharepoint.com/sites/OCSPP_Community/ESAPilots/Shared%20Documents/Neonic%20BEs%202021/Public%20Comments/www.regulatio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www.epa.gov/epafiles/images/epafiles_aara_logo_epaseal.gi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endangered-species/models-and-tools-national-level-listed-species-biological-evaluations" TargetMode="External"/><Relationship Id="rId3" Type="http://schemas.openxmlformats.org/officeDocument/2006/relationships/hyperlink" Target="https://www3.epa.gov/pesticides/nas/methomyl/response-to-draft-bes.pdf" TargetMode="External"/><Relationship Id="rId7" Type="http://schemas.openxmlformats.org/officeDocument/2006/relationships/hyperlink" Target="https://www3.epa.gov/pesticides/nas/revised/response-to-public-comments.pdf" TargetMode="External"/><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3.epa.gov/pesticides/nas/revised/response-to-public-comments.pdf" TargetMode="External"/><Relationship Id="rId6" Type="http://schemas.openxmlformats.org/officeDocument/2006/relationships/hyperlink" Target="https://www3.epa.gov/pesticides/nas/methomyl/response-to-draft-bes.pdf" TargetMode="External"/><Relationship Id="rId5" Type="http://schemas.openxmlformats.org/officeDocument/2006/relationships/hyperlink" Target="https://www3.epa.gov/pesticides/nas/methomyl/response-to-draft-bes.pdf" TargetMode="External"/><Relationship Id="rId4" Type="http://schemas.openxmlformats.org/officeDocument/2006/relationships/hyperlink" Target="https://www3.epa.gov/pesticides/nas/methomyl/response-to-draft-bes.pdf" TargetMode="External"/><Relationship Id="rId9" Type="http://schemas.openxmlformats.org/officeDocument/2006/relationships/hyperlink" Target="https://www.epa.gov/pesticide-science-and-assessing-pesticide-risks/evaluation-guidelines-ecological-toxicity-data-open" TargetMode="External"/></Relationships>
</file>

<file path=word/documenttasks/documenttasks1.xml><?xml version="1.0" encoding="utf-8"?>
<t:Tasks xmlns:t="http://schemas.microsoft.com/office/tasks/2019/documenttasks" xmlns:oel="http://schemas.microsoft.com/office/2019/extlst">
  <t:Task id="{62A15E43-39A0-4CA7-96DB-E23EC5E5FF85}">
    <t:Anchor>
      <t:Comment id="1275361253"/>
    </t:Anchor>
    <t:History>
      <t:Event id="{562E380F-3C34-4C05-BAF4-3A9ABDA2D6BF}" time="2022-05-10T15:36:48.898Z">
        <t:Attribution userId="S::farruggia.frank@epa.gov::d5730000-0479-4c1b-89a6-4dc80bbb3cb7" userProvider="AD" userName="Farruggia, Frank"/>
        <t:Anchor>
          <t:Comment id="1275361253"/>
        </t:Anchor>
        <t:Create/>
      </t:Event>
      <t:Event id="{CB3A962C-979C-428F-85A2-CA4DB86B2396}" time="2022-05-10T15:36:48.898Z">
        <t:Attribution userId="S::farruggia.frank@epa.gov::d5730000-0479-4c1b-89a6-4dc80bbb3cb7" userProvider="AD" userName="Farruggia, Frank"/>
        <t:Anchor>
          <t:Comment id="1275361253"/>
        </t:Anchor>
        <t:Assign userId="S::jones.kristin@epa.gov::115aeea4-97d7-435c-9bec-1f9dc5ff7ca3" userProvider="AD" userName="Jones, Kristin"/>
      </t:Event>
      <t:Event id="{ECD3EB82-5127-471E-AABD-01CFD68B9AF7}" time="2022-05-10T15:36:48.898Z">
        <t:Attribution userId="S::farruggia.frank@epa.gov::d5730000-0479-4c1b-89a6-4dc80bbb3cb7" userProvider="AD" userName="Farruggia, Frank"/>
        <t:Anchor>
          <t:Comment id="1275361253"/>
        </t:Anchor>
        <t:SetTitle title="@Jones, Kristin this spot."/>
      </t:Event>
    </t:History>
  </t:Task>
  <t:Task id="{F0D9975B-7F0C-4148-B0B0-195861840440}">
    <t:Anchor>
      <t:Comment id="639255751"/>
    </t:Anchor>
    <t:History>
      <t:Event id="{45C745B4-CA7C-45E7-87EC-5D367F7DD6E0}" time="2022-05-10T17:29:16.133Z">
        <t:Attribution userId="S::farruggia.frank@epa.gov::d5730000-0479-4c1b-89a6-4dc80bbb3cb7" userProvider="AD" userName="Farruggia, Frank"/>
        <t:Anchor>
          <t:Comment id="1995561845"/>
        </t:Anchor>
        <t:Create/>
      </t:Event>
      <t:Event id="{90C51B4B-21FC-4915-B15C-96C2CEC9DF57}" time="2022-05-10T17:29:16.133Z">
        <t:Attribution userId="S::farruggia.frank@epa.gov::d5730000-0479-4c1b-89a6-4dc80bbb3cb7" userProvider="AD" userName="Farruggia, Frank"/>
        <t:Anchor>
          <t:Comment id="1995561845"/>
        </t:Anchor>
        <t:Assign userId="S::jones.kristin@epa.gov::115aeea4-97d7-435c-9bec-1f9dc5ff7ca3" userProvider="AD" userName="Jones, Kristin"/>
      </t:Event>
      <t:Event id="{07D8E6AA-062E-4BEA-8D6C-0FDCE1C1B448}" time="2022-05-10T17:29:16.133Z">
        <t:Attribution userId="S::farruggia.frank@epa.gov::d5730000-0479-4c1b-89a6-4dc80bbb3cb7" userProvider="AD" userName="Farruggia, Frank"/>
        <t:Anchor>
          <t:Comment id="1995561845"/>
        </t:Anchor>
        <t:SetTitle title="@Jones, Kristin I thought I had comments on the COSM data sections, but don't see them. Just make sure this section is consistent with the other COSM discuss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2019-08-07T18:01:55+00:00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Maschal, Emma</DisplayName>
        <AccountId>5658</AccountId>
        <AccountType/>
      </UserInfo>
      <UserInfo>
        <DisplayName>Huyser, Matthew</DisplayName>
        <AccountId>5539</AccountId>
        <AccountType/>
      </UserInfo>
      <UserInfo>
        <DisplayName>Valentine, Julia</DisplayName>
        <AccountId>5659</AccountId>
        <AccountType/>
      </UserInfo>
      <UserInfo>
        <DisplayName>Artis, Sandra-s</DisplayName>
        <AccountId>1532</AccountId>
        <AccountType/>
      </UserInfo>
      <UserInfo>
        <DisplayName>Pollard, Stephen</DisplayName>
        <AccountId>1212</AccountId>
        <AccountType/>
      </UserInfo>
      <UserInfo>
        <DisplayName>Barker, Jack</DisplayName>
        <AccountId>468</AccountId>
        <AccountType/>
      </UserInfo>
      <UserInfo>
        <DisplayName>Felver, Rachel</DisplayName>
        <AccountId>1213</AccountId>
        <AccountType/>
      </UserInfo>
      <UserInfo>
        <DisplayName>Mieles, Janette</DisplayName>
        <AccountId>3814</AccountId>
        <AccountType/>
      </UserInfo>
      <UserInfo>
        <DisplayName>Mroz, Jessica</DisplayName>
        <AccountId>134</AccountId>
        <AccountType/>
      </UserInfo>
      <UserInfo>
        <DisplayName>Gomez, Fernando O.</DisplayName>
        <AccountId>5330</AccountId>
        <AccountType/>
      </UserInfo>
      <UserInfo>
        <DisplayName>Palmer, Leif</DisplayName>
        <AccountId>1892</AccountId>
        <AccountType/>
      </UserInfo>
      <UserInfo>
        <DisplayName>McKinney, Robert</DisplayName>
        <AccountId>1304</AccountId>
        <AccountType/>
      </UserInfo>
      <UserInfo>
        <DisplayName>Wilbur, Donald</DisplayName>
        <AccountId>676</AccountId>
        <AccountType/>
      </UserInfo>
      <UserInfo>
        <DisplayName>Vega, Ann</DisplayName>
        <AccountId>6629</AccountId>
        <AccountType/>
      </UserInfo>
      <UserInfo>
        <DisplayName>Donaldson, Yerusha</DisplayName>
        <AccountId>7422</AccountId>
        <AccountType/>
      </UserInfo>
      <UserInfo>
        <DisplayName>Wood, MelanieL (she/her/hers)</DisplayName>
        <AccountId>617</AccountId>
        <AccountType/>
      </UserInfo>
      <UserInfo>
        <DisplayName>Lead Minor Amendments Final Rule Interagency Review Members</DisplayName>
        <AccountId>1773</AccountId>
        <AccountType/>
      </UserInfo>
      <UserInfo>
        <DisplayName>Kudarauskas, Paul</DisplayName>
        <AccountId>5554</AccountId>
        <AccountType/>
      </UserInfo>
      <UserInfo>
        <DisplayName>Daniels, Jessica</DisplayName>
        <AccountId>5382</AccountId>
        <AccountType/>
      </UserInfo>
      <UserInfo>
        <DisplayName>Deane, Claudia</DisplayName>
        <AccountId>1173</AccountId>
        <AccountType/>
      </UserInfo>
      <UserInfo>
        <DisplayName>Trombadore, Claire (she/her)</DisplayName>
        <AccountId>1589</AccountId>
        <AccountType/>
      </UserInfo>
      <UserInfo>
        <DisplayName>Duross, Jeanne</DisplayName>
        <AccountId>1211</AccountId>
        <AccountType/>
      </UserInfo>
      <UserInfo>
        <DisplayName>Sciretta, Nicholas</DisplayName>
        <AccountId>6236</AccountId>
        <AccountType/>
      </UserInfo>
      <UserInfo>
        <DisplayName>SharingLinks.6f2ad257-a89a-487f-ba47-a29c10cdae14.Flexible.3e4b5528-d9f7-4df6-95e8-205095b34b82</DisplayName>
        <AccountId>9432</AccountId>
        <AccountType/>
      </UserInfo>
      <UserInfo>
        <DisplayName>Farruggia, Frank</DisplayName>
        <AccountId>781</AccountId>
        <AccountType/>
      </UserInfo>
      <UserInfo>
        <DisplayName>Khan, Faruque</DisplayName>
        <AccountId>1196</AccountId>
        <AccountType/>
      </UserInfo>
      <UserInfo>
        <DisplayName>Sankula, Sujatha</DisplayName>
        <AccountId>2780</AccountId>
        <AccountType/>
      </UserInfo>
      <UserInfo>
        <DisplayName>Housenger, Justin</DisplayName>
        <AccountId>3909</AccountId>
        <AccountType/>
      </UserInfo>
      <UserInfo>
        <DisplayName>Knorr, Michele</DisplayName>
        <AccountId>1139</AccountId>
        <AccountType/>
      </UserInfo>
      <UserInfo>
        <DisplayName>Matuszko, Jan</DisplayName>
        <AccountId>2075</AccountId>
        <AccountType/>
      </UserInfo>
      <UserInfo>
        <DisplayName>Blankinship, Amy</DisplayName>
        <AccountId>1004</AccountId>
        <AccountType/>
      </UserInfo>
      <UserInfo>
        <DisplayName>Anderson, Brian</DisplayName>
        <AccountId>650</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8F417-A4D1-4FC1-8D10-4CE129864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8E9FE-61C5-4E45-B285-3B46F5DF7F39}">
  <ds:schemaRefs>
    <ds:schemaRef ds:uri="http://schemas.microsoft.com/sharepoint/v3/contenttype/forms"/>
  </ds:schemaRefs>
</ds:datastoreItem>
</file>

<file path=customXml/itemProps3.xml><?xml version="1.0" encoding="utf-8"?>
<ds:datastoreItem xmlns:ds="http://schemas.openxmlformats.org/officeDocument/2006/customXml" ds:itemID="{929EA0EB-0724-43AD-A128-435615B3BD41}">
  <ds:schemaRefs>
    <ds:schemaRef ds:uri="Microsoft.SharePoint.Taxonomy.ContentTypeSync"/>
  </ds:schemaRefs>
</ds:datastoreItem>
</file>

<file path=customXml/itemProps4.xml><?xml version="1.0" encoding="utf-8"?>
<ds:datastoreItem xmlns:ds="http://schemas.openxmlformats.org/officeDocument/2006/customXml" ds:itemID="{75B76BD2-72C2-42A2-84CE-CC96715F2D08}">
  <ds:schemaRefs>
    <ds:schemaRef ds:uri="http://schemas.openxmlformats.org/officeDocument/2006/bibliography"/>
  </ds:schemaRefs>
</ds:datastoreItem>
</file>

<file path=customXml/itemProps5.xml><?xml version="1.0" encoding="utf-8"?>
<ds:datastoreItem xmlns:ds="http://schemas.openxmlformats.org/officeDocument/2006/customXml" ds:itemID="{F7B15360-E71F-4530-B496-9428C8977AF3}">
  <ds:schemaRefs>
    <ds:schemaRef ds:uri="http://purl.org/dc/dcmitype/"/>
    <ds:schemaRef ds:uri="http://schemas.microsoft.com/sharepoint/v3/fields"/>
    <ds:schemaRef ds:uri="http://schemas.microsoft.com/office/2006/documentManagement/types"/>
    <ds:schemaRef ds:uri="http://schemas.microsoft.com/office/2006/metadata/properties"/>
    <ds:schemaRef ds:uri="http://schemas.microsoft.com/office/infopath/2007/PartnerControls"/>
    <ds:schemaRef ds:uri="a5d1ca4e-0a3f-4119-b619-e20b93ebd1aa"/>
    <ds:schemaRef ds:uri="1b69afd8-9bdb-481b-b26a-06cbd17fa30c"/>
    <ds:schemaRef ds:uri="4ffa91fb-a0ff-4ac5-b2db-65c790d184a4"/>
    <ds:schemaRef ds:uri="http://www.w3.org/XML/1998/namespace"/>
    <ds:schemaRef ds:uri="http://schemas.openxmlformats.org/package/2006/metadata/core-properties"/>
    <ds:schemaRef ds:uri="http://purl.org/dc/elements/1.1/"/>
    <ds:schemaRef ds:uri="http://schemas.microsoft.com/sharepoint.v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57</Pages>
  <Words>27405</Words>
  <Characters>156209</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183248</CharactersWithSpaces>
  <SharedDoc>false</SharedDoc>
  <HLinks>
    <vt:vector size="216" baseType="variant">
      <vt:variant>
        <vt:i4>2818151</vt:i4>
      </vt:variant>
      <vt:variant>
        <vt:i4>105</vt:i4>
      </vt:variant>
      <vt:variant>
        <vt:i4>0</vt:i4>
      </vt:variant>
      <vt:variant>
        <vt:i4>5</vt:i4>
      </vt:variant>
      <vt:variant>
        <vt:lpwstr>http://www.regulations.gov/</vt:lpwstr>
      </vt:variant>
      <vt:variant>
        <vt:lpwstr/>
      </vt:variant>
      <vt:variant>
        <vt:i4>4587634</vt:i4>
      </vt:variant>
      <vt:variant>
        <vt:i4>102</vt:i4>
      </vt:variant>
      <vt:variant>
        <vt:i4>0</vt:i4>
      </vt:variant>
      <vt:variant>
        <vt:i4>5</vt:i4>
      </vt:variant>
      <vt:variant>
        <vt:lpwstr>https://usepa.sharepoint.com/sites/OCSPP_Community/ESAPilots/Shared Documents/Neonic BEs 2021/Public Comments/www.regulations.gov</vt:lpwstr>
      </vt:variant>
      <vt:variant>
        <vt:lpwstr/>
      </vt:variant>
      <vt:variant>
        <vt:i4>2818151</vt:i4>
      </vt:variant>
      <vt:variant>
        <vt:i4>99</vt:i4>
      </vt:variant>
      <vt:variant>
        <vt:i4>0</vt:i4>
      </vt:variant>
      <vt:variant>
        <vt:i4>5</vt:i4>
      </vt:variant>
      <vt:variant>
        <vt:lpwstr>http://www.regulations.gov/</vt:lpwstr>
      </vt:variant>
      <vt:variant>
        <vt:lpwstr/>
      </vt:variant>
      <vt:variant>
        <vt:i4>2818151</vt:i4>
      </vt:variant>
      <vt:variant>
        <vt:i4>96</vt:i4>
      </vt:variant>
      <vt:variant>
        <vt:i4>0</vt:i4>
      </vt:variant>
      <vt:variant>
        <vt:i4>5</vt:i4>
      </vt:variant>
      <vt:variant>
        <vt:lpwstr>http://www.regulations.gov/</vt:lpwstr>
      </vt:variant>
      <vt:variant>
        <vt:lpwstr/>
      </vt:variant>
      <vt:variant>
        <vt:i4>2818151</vt:i4>
      </vt:variant>
      <vt:variant>
        <vt:i4>93</vt:i4>
      </vt:variant>
      <vt:variant>
        <vt:i4>0</vt:i4>
      </vt:variant>
      <vt:variant>
        <vt:i4>5</vt:i4>
      </vt:variant>
      <vt:variant>
        <vt:lpwstr>http://www.regulations.gov/</vt:lpwstr>
      </vt:variant>
      <vt:variant>
        <vt:lpwstr/>
      </vt:variant>
      <vt:variant>
        <vt:i4>1769521</vt:i4>
      </vt:variant>
      <vt:variant>
        <vt:i4>86</vt:i4>
      </vt:variant>
      <vt:variant>
        <vt:i4>0</vt:i4>
      </vt:variant>
      <vt:variant>
        <vt:i4>5</vt:i4>
      </vt:variant>
      <vt:variant>
        <vt:lpwstr/>
      </vt:variant>
      <vt:variant>
        <vt:lpwstr>_Toc105528712</vt:lpwstr>
      </vt:variant>
      <vt:variant>
        <vt:i4>1769521</vt:i4>
      </vt:variant>
      <vt:variant>
        <vt:i4>80</vt:i4>
      </vt:variant>
      <vt:variant>
        <vt:i4>0</vt:i4>
      </vt:variant>
      <vt:variant>
        <vt:i4>5</vt:i4>
      </vt:variant>
      <vt:variant>
        <vt:lpwstr/>
      </vt:variant>
      <vt:variant>
        <vt:lpwstr>_Toc105528711</vt:lpwstr>
      </vt:variant>
      <vt:variant>
        <vt:i4>1769521</vt:i4>
      </vt:variant>
      <vt:variant>
        <vt:i4>74</vt:i4>
      </vt:variant>
      <vt:variant>
        <vt:i4>0</vt:i4>
      </vt:variant>
      <vt:variant>
        <vt:i4>5</vt:i4>
      </vt:variant>
      <vt:variant>
        <vt:lpwstr/>
      </vt:variant>
      <vt:variant>
        <vt:lpwstr>_Toc105528710</vt:lpwstr>
      </vt:variant>
      <vt:variant>
        <vt:i4>1703985</vt:i4>
      </vt:variant>
      <vt:variant>
        <vt:i4>68</vt:i4>
      </vt:variant>
      <vt:variant>
        <vt:i4>0</vt:i4>
      </vt:variant>
      <vt:variant>
        <vt:i4>5</vt:i4>
      </vt:variant>
      <vt:variant>
        <vt:lpwstr/>
      </vt:variant>
      <vt:variant>
        <vt:lpwstr>_Toc105528709</vt:lpwstr>
      </vt:variant>
      <vt:variant>
        <vt:i4>1703985</vt:i4>
      </vt:variant>
      <vt:variant>
        <vt:i4>62</vt:i4>
      </vt:variant>
      <vt:variant>
        <vt:i4>0</vt:i4>
      </vt:variant>
      <vt:variant>
        <vt:i4>5</vt:i4>
      </vt:variant>
      <vt:variant>
        <vt:lpwstr/>
      </vt:variant>
      <vt:variant>
        <vt:lpwstr>_Toc105528708</vt:lpwstr>
      </vt:variant>
      <vt:variant>
        <vt:i4>1703985</vt:i4>
      </vt:variant>
      <vt:variant>
        <vt:i4>56</vt:i4>
      </vt:variant>
      <vt:variant>
        <vt:i4>0</vt:i4>
      </vt:variant>
      <vt:variant>
        <vt:i4>5</vt:i4>
      </vt:variant>
      <vt:variant>
        <vt:lpwstr/>
      </vt:variant>
      <vt:variant>
        <vt:lpwstr>_Toc105528707</vt:lpwstr>
      </vt:variant>
      <vt:variant>
        <vt:i4>1703985</vt:i4>
      </vt:variant>
      <vt:variant>
        <vt:i4>50</vt:i4>
      </vt:variant>
      <vt:variant>
        <vt:i4>0</vt:i4>
      </vt:variant>
      <vt:variant>
        <vt:i4>5</vt:i4>
      </vt:variant>
      <vt:variant>
        <vt:lpwstr/>
      </vt:variant>
      <vt:variant>
        <vt:lpwstr>_Toc105528706</vt:lpwstr>
      </vt:variant>
      <vt:variant>
        <vt:i4>1703985</vt:i4>
      </vt:variant>
      <vt:variant>
        <vt:i4>44</vt:i4>
      </vt:variant>
      <vt:variant>
        <vt:i4>0</vt:i4>
      </vt:variant>
      <vt:variant>
        <vt:i4>5</vt:i4>
      </vt:variant>
      <vt:variant>
        <vt:lpwstr/>
      </vt:variant>
      <vt:variant>
        <vt:lpwstr>_Toc105528705</vt:lpwstr>
      </vt:variant>
      <vt:variant>
        <vt:i4>1703985</vt:i4>
      </vt:variant>
      <vt:variant>
        <vt:i4>38</vt:i4>
      </vt:variant>
      <vt:variant>
        <vt:i4>0</vt:i4>
      </vt:variant>
      <vt:variant>
        <vt:i4>5</vt:i4>
      </vt:variant>
      <vt:variant>
        <vt:lpwstr/>
      </vt:variant>
      <vt:variant>
        <vt:lpwstr>_Toc105528704</vt:lpwstr>
      </vt:variant>
      <vt:variant>
        <vt:i4>1703985</vt:i4>
      </vt:variant>
      <vt:variant>
        <vt:i4>32</vt:i4>
      </vt:variant>
      <vt:variant>
        <vt:i4>0</vt:i4>
      </vt:variant>
      <vt:variant>
        <vt:i4>5</vt:i4>
      </vt:variant>
      <vt:variant>
        <vt:lpwstr/>
      </vt:variant>
      <vt:variant>
        <vt:lpwstr>_Toc105528703</vt:lpwstr>
      </vt:variant>
      <vt:variant>
        <vt:i4>1703985</vt:i4>
      </vt:variant>
      <vt:variant>
        <vt:i4>26</vt:i4>
      </vt:variant>
      <vt:variant>
        <vt:i4>0</vt:i4>
      </vt:variant>
      <vt:variant>
        <vt:i4>5</vt:i4>
      </vt:variant>
      <vt:variant>
        <vt:lpwstr/>
      </vt:variant>
      <vt:variant>
        <vt:lpwstr>_Toc105528702</vt:lpwstr>
      </vt:variant>
      <vt:variant>
        <vt:i4>1703985</vt:i4>
      </vt:variant>
      <vt:variant>
        <vt:i4>20</vt:i4>
      </vt:variant>
      <vt:variant>
        <vt:i4>0</vt:i4>
      </vt:variant>
      <vt:variant>
        <vt:i4>5</vt:i4>
      </vt:variant>
      <vt:variant>
        <vt:lpwstr/>
      </vt:variant>
      <vt:variant>
        <vt:lpwstr>_Toc105528701</vt:lpwstr>
      </vt:variant>
      <vt:variant>
        <vt:i4>1703985</vt:i4>
      </vt:variant>
      <vt:variant>
        <vt:i4>14</vt:i4>
      </vt:variant>
      <vt:variant>
        <vt:i4>0</vt:i4>
      </vt:variant>
      <vt:variant>
        <vt:i4>5</vt:i4>
      </vt:variant>
      <vt:variant>
        <vt:lpwstr/>
      </vt:variant>
      <vt:variant>
        <vt:lpwstr>_Toc105528700</vt:lpwstr>
      </vt:variant>
      <vt:variant>
        <vt:i4>1245232</vt:i4>
      </vt:variant>
      <vt:variant>
        <vt:i4>8</vt:i4>
      </vt:variant>
      <vt:variant>
        <vt:i4>0</vt:i4>
      </vt:variant>
      <vt:variant>
        <vt:i4>5</vt:i4>
      </vt:variant>
      <vt:variant>
        <vt:lpwstr/>
      </vt:variant>
      <vt:variant>
        <vt:lpwstr>_Toc105528699</vt:lpwstr>
      </vt:variant>
      <vt:variant>
        <vt:i4>1245232</vt:i4>
      </vt:variant>
      <vt:variant>
        <vt:i4>2</vt:i4>
      </vt:variant>
      <vt:variant>
        <vt:i4>0</vt:i4>
      </vt:variant>
      <vt:variant>
        <vt:i4>5</vt:i4>
      </vt:variant>
      <vt:variant>
        <vt:lpwstr/>
      </vt:variant>
      <vt:variant>
        <vt:lpwstr>_Toc105528698</vt:lpwstr>
      </vt:variant>
      <vt:variant>
        <vt:i4>3866720</vt:i4>
      </vt:variant>
      <vt:variant>
        <vt:i4>24</vt:i4>
      </vt:variant>
      <vt:variant>
        <vt:i4>0</vt:i4>
      </vt:variant>
      <vt:variant>
        <vt:i4>5</vt:i4>
      </vt:variant>
      <vt:variant>
        <vt:lpwstr>https://www.epa.gov/pesticide-science-and-assessing-pesticide-risks/evaluation-guidelines-ecological-toxicity-data-open</vt:lpwstr>
      </vt:variant>
      <vt:variant>
        <vt:lpwstr/>
      </vt:variant>
      <vt:variant>
        <vt:i4>8323173</vt:i4>
      </vt:variant>
      <vt:variant>
        <vt:i4>21</vt:i4>
      </vt:variant>
      <vt:variant>
        <vt:i4>0</vt:i4>
      </vt:variant>
      <vt:variant>
        <vt:i4>5</vt:i4>
      </vt:variant>
      <vt:variant>
        <vt:lpwstr>https://www.epa.gov/endangered-species/models-and-tools-national-level-listed-species-biological-evaluations</vt:lpwstr>
      </vt:variant>
      <vt:variant>
        <vt:lpwstr>magtool</vt:lpwstr>
      </vt:variant>
      <vt:variant>
        <vt:i4>6881405</vt:i4>
      </vt:variant>
      <vt:variant>
        <vt:i4>18</vt:i4>
      </vt:variant>
      <vt:variant>
        <vt:i4>0</vt:i4>
      </vt:variant>
      <vt:variant>
        <vt:i4>5</vt:i4>
      </vt:variant>
      <vt:variant>
        <vt:lpwstr>https://www3.epa.gov/pesticides/nas/revised/response-to-public-comments.pdf</vt:lpwstr>
      </vt:variant>
      <vt:variant>
        <vt:lpwstr/>
      </vt:variant>
      <vt:variant>
        <vt:i4>6422649</vt:i4>
      </vt:variant>
      <vt:variant>
        <vt:i4>15</vt:i4>
      </vt:variant>
      <vt:variant>
        <vt:i4>0</vt:i4>
      </vt:variant>
      <vt:variant>
        <vt:i4>5</vt:i4>
      </vt:variant>
      <vt:variant>
        <vt:lpwstr>https://www3.epa.gov/pesticides/nas/methomyl/response-to-draft-bes.pdf</vt:lpwstr>
      </vt:variant>
      <vt:variant>
        <vt:lpwstr/>
      </vt:variant>
      <vt:variant>
        <vt:i4>6422649</vt:i4>
      </vt:variant>
      <vt:variant>
        <vt:i4>12</vt:i4>
      </vt:variant>
      <vt:variant>
        <vt:i4>0</vt:i4>
      </vt:variant>
      <vt:variant>
        <vt:i4>5</vt:i4>
      </vt:variant>
      <vt:variant>
        <vt:lpwstr>https://www3.epa.gov/pesticides/nas/methomyl/response-to-draft-bes.pdf</vt:lpwstr>
      </vt:variant>
      <vt:variant>
        <vt:lpwstr/>
      </vt:variant>
      <vt:variant>
        <vt:i4>6422649</vt:i4>
      </vt:variant>
      <vt:variant>
        <vt:i4>9</vt:i4>
      </vt:variant>
      <vt:variant>
        <vt:i4>0</vt:i4>
      </vt:variant>
      <vt:variant>
        <vt:i4>5</vt:i4>
      </vt:variant>
      <vt:variant>
        <vt:lpwstr>https://www3.epa.gov/pesticides/nas/methomyl/response-to-draft-bes.pdf</vt:lpwstr>
      </vt:variant>
      <vt:variant>
        <vt:lpwstr/>
      </vt:variant>
      <vt:variant>
        <vt:i4>6422649</vt:i4>
      </vt:variant>
      <vt:variant>
        <vt:i4>6</vt:i4>
      </vt:variant>
      <vt:variant>
        <vt:i4>0</vt:i4>
      </vt:variant>
      <vt:variant>
        <vt:i4>5</vt:i4>
      </vt:variant>
      <vt:variant>
        <vt:lpwstr>https://www3.epa.gov/pesticides/nas/methomyl/response-to-draft-bes.pdf</vt:lpwstr>
      </vt:variant>
      <vt:variant>
        <vt:lpwstr/>
      </vt:variant>
      <vt:variant>
        <vt:i4>7995492</vt:i4>
      </vt:variant>
      <vt:variant>
        <vt:i4>3</vt:i4>
      </vt:variant>
      <vt:variant>
        <vt:i4>0</vt:i4>
      </vt:variant>
      <vt:variant>
        <vt:i4>5</vt:i4>
      </vt:variant>
      <vt:variant>
        <vt:lpwstr>https://www.epa.gov/endangered-species/revised-method-national-level-listed-species-biological-evaluations-conventional</vt:lpwstr>
      </vt:variant>
      <vt:variant>
        <vt:lpwstr/>
      </vt:variant>
      <vt:variant>
        <vt:i4>6881405</vt:i4>
      </vt:variant>
      <vt:variant>
        <vt:i4>0</vt:i4>
      </vt:variant>
      <vt:variant>
        <vt:i4>0</vt:i4>
      </vt:variant>
      <vt:variant>
        <vt:i4>5</vt:i4>
      </vt:variant>
      <vt:variant>
        <vt:lpwstr>https://www3.epa.gov/pesticides/nas/revised/response-to-public-comments.pdf</vt:lpwstr>
      </vt:variant>
      <vt:variant>
        <vt:lpwstr/>
      </vt:variant>
      <vt:variant>
        <vt:i4>1572983</vt:i4>
      </vt:variant>
      <vt:variant>
        <vt:i4>18</vt:i4>
      </vt:variant>
      <vt:variant>
        <vt:i4>0</vt:i4>
      </vt:variant>
      <vt:variant>
        <vt:i4>5</vt:i4>
      </vt:variant>
      <vt:variant>
        <vt:lpwstr>mailto:jones.kristin@epa.gov</vt:lpwstr>
      </vt:variant>
      <vt:variant>
        <vt:lpwstr/>
      </vt:variant>
      <vt:variant>
        <vt:i4>1704057</vt:i4>
      </vt:variant>
      <vt:variant>
        <vt:i4>15</vt:i4>
      </vt:variant>
      <vt:variant>
        <vt:i4>0</vt:i4>
      </vt:variant>
      <vt:variant>
        <vt:i4>5</vt:i4>
      </vt:variant>
      <vt:variant>
        <vt:lpwstr>mailto:Rossmeisl.Colleen@epa.gov</vt:lpwstr>
      </vt:variant>
      <vt:variant>
        <vt:lpwstr/>
      </vt:variant>
      <vt:variant>
        <vt:i4>1572983</vt:i4>
      </vt:variant>
      <vt:variant>
        <vt:i4>12</vt:i4>
      </vt:variant>
      <vt:variant>
        <vt:i4>0</vt:i4>
      </vt:variant>
      <vt:variant>
        <vt:i4>5</vt:i4>
      </vt:variant>
      <vt:variant>
        <vt:lpwstr>mailto:jones.kristin@epa.gov</vt:lpwstr>
      </vt:variant>
      <vt:variant>
        <vt:lpwstr/>
      </vt:variant>
      <vt:variant>
        <vt:i4>458856</vt:i4>
      </vt:variant>
      <vt:variant>
        <vt:i4>9</vt:i4>
      </vt:variant>
      <vt:variant>
        <vt:i4>0</vt:i4>
      </vt:variant>
      <vt:variant>
        <vt:i4>5</vt:i4>
      </vt:variant>
      <vt:variant>
        <vt:lpwstr>mailto:Wuerthner.Vanessa@epa.gov</vt:lpwstr>
      </vt:variant>
      <vt:variant>
        <vt:lpwstr/>
      </vt:variant>
      <vt:variant>
        <vt:i4>2097234</vt:i4>
      </vt:variant>
      <vt:variant>
        <vt:i4>6</vt:i4>
      </vt:variant>
      <vt:variant>
        <vt:i4>0</vt:i4>
      </vt:variant>
      <vt:variant>
        <vt:i4>5</vt:i4>
      </vt:variant>
      <vt:variant>
        <vt:lpwstr>mailto:Garber.Kristina@epa.gov</vt:lpwstr>
      </vt:variant>
      <vt:variant>
        <vt:lpwstr/>
      </vt:variant>
      <vt:variant>
        <vt:i4>1704057</vt:i4>
      </vt:variant>
      <vt:variant>
        <vt:i4>3</vt:i4>
      </vt:variant>
      <vt:variant>
        <vt:i4>0</vt:i4>
      </vt:variant>
      <vt:variant>
        <vt:i4>5</vt:i4>
      </vt:variant>
      <vt:variant>
        <vt:lpwstr>mailto:Rossmeisl.Colleen@epa.gov</vt:lpwstr>
      </vt:variant>
      <vt:variant>
        <vt:lpwstr/>
      </vt:variant>
      <vt:variant>
        <vt:i4>2097234</vt:i4>
      </vt:variant>
      <vt:variant>
        <vt:i4>0</vt:i4>
      </vt:variant>
      <vt:variant>
        <vt:i4>0</vt:i4>
      </vt:variant>
      <vt:variant>
        <vt:i4>5</vt:i4>
      </vt:variant>
      <vt:variant>
        <vt:lpwstr>mailto:Garber.Kristina@epa.gov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Housenger, Justin</dc:creator>
  <cp:keywords/>
  <dc:description/>
  <cp:lastModifiedBy>Orrick, Greg</cp:lastModifiedBy>
  <cp:revision>7</cp:revision>
  <dcterms:created xsi:type="dcterms:W3CDTF">2022-06-15T15:54:00Z</dcterms:created>
  <dcterms:modified xsi:type="dcterms:W3CDTF">2022-06-15T16:16:00Z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